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38"/>
        <w:ind w:firstLine="0" w:firstLineChars="0"/>
        <w:jc w:val="center"/>
        <w:rPr>
          <w:rFonts w:hint="eastAsia" w:ascii="黑体" w:hAnsi="黑体" w:eastAsia="黑体" w:cs="黑体"/>
          <w:b/>
          <w:bCs/>
          <w:sz w:val="52"/>
          <w:szCs w:val="52"/>
          <w:lang w:eastAsia="zh-CN"/>
        </w:rPr>
      </w:pPr>
      <w:r>
        <w:rPr>
          <w:rFonts w:hint="eastAsia" w:ascii="黑体" w:hAnsi="黑体" w:eastAsia="黑体" w:cs="黑体"/>
          <w:b/>
          <w:bCs/>
          <w:sz w:val="52"/>
          <w:szCs w:val="52"/>
          <w:lang w:eastAsia="zh-CN"/>
        </w:rPr>
        <w:t>阿克苏地区疾控中心实验室检测设备购置项目</w:t>
      </w:r>
    </w:p>
    <w:p>
      <w:pPr>
        <w:pStyle w:val="14"/>
        <w:rPr>
          <w:rFonts w:ascii="黑体" w:hAnsi="黑体" w:eastAsia="黑体" w:cs="黑体"/>
          <w:bCs/>
        </w:rPr>
      </w:pPr>
    </w:p>
    <w:p/>
    <w:p>
      <w:pPr>
        <w:pStyle w:val="4"/>
      </w:pPr>
    </w:p>
    <w:p>
      <w:pPr>
        <w:pStyle w:val="26"/>
        <w:tabs>
          <w:tab w:val="left" w:pos="5891"/>
          <w:tab w:val="right" w:leader="dot" w:pos="9004"/>
        </w:tabs>
        <w:rPr>
          <w:rFonts w:ascii="黑体" w:hAnsi="黑体" w:eastAsia="黑体" w:cs="黑体"/>
          <w:bCs/>
          <w:sz w:val="32"/>
          <w:szCs w:val="32"/>
        </w:rPr>
      </w:pPr>
    </w:p>
    <w:p>
      <w:pPr>
        <w:rPr>
          <w:rFonts w:ascii="黑体" w:hAnsi="黑体" w:eastAsia="黑体" w:cs="黑体"/>
          <w:bCs/>
        </w:rPr>
      </w:pPr>
    </w:p>
    <w:p>
      <w:pPr>
        <w:pStyle w:val="26"/>
        <w:tabs>
          <w:tab w:val="right" w:leader="dot" w:pos="9004"/>
        </w:tabs>
        <w:jc w:val="center"/>
        <w:rPr>
          <w:rFonts w:ascii="黑体" w:hAnsi="黑体" w:eastAsia="黑体" w:cs="黑体"/>
          <w:bCs/>
          <w:sz w:val="32"/>
          <w:szCs w:val="32"/>
        </w:rPr>
      </w:pPr>
    </w:p>
    <w:p/>
    <w:p>
      <w:pPr>
        <w:pStyle w:val="26"/>
        <w:tabs>
          <w:tab w:val="right" w:leader="dot" w:pos="9004"/>
        </w:tabs>
        <w:jc w:val="center"/>
        <w:rPr>
          <w:rFonts w:ascii="黑体" w:hAnsi="黑体" w:eastAsia="黑体" w:cs="黑体"/>
          <w:b/>
          <w:sz w:val="72"/>
          <w:szCs w:val="72"/>
        </w:rPr>
      </w:pPr>
      <w:r>
        <w:rPr>
          <w:rFonts w:hint="eastAsia" w:ascii="黑体" w:hAnsi="黑体" w:eastAsia="黑体" w:cs="黑体"/>
          <w:b/>
          <w:sz w:val="72"/>
          <w:szCs w:val="72"/>
        </w:rPr>
        <w:t>招标文件</w:t>
      </w:r>
    </w:p>
    <w:p>
      <w:pPr>
        <w:jc w:val="center"/>
        <w:rPr>
          <w:rFonts w:ascii="黑体" w:hAnsi="黑体" w:eastAsia="黑体" w:cs="黑体"/>
          <w:bCs/>
          <w:sz w:val="16"/>
          <w:szCs w:val="20"/>
        </w:rPr>
      </w:pPr>
    </w:p>
    <w:p>
      <w:pPr>
        <w:rPr>
          <w:rFonts w:ascii="黑体" w:hAnsi="黑体" w:eastAsia="黑体" w:cs="黑体"/>
          <w:bCs/>
        </w:rPr>
      </w:pPr>
    </w:p>
    <w:p>
      <w:pPr>
        <w:pStyle w:val="14"/>
        <w:rPr>
          <w:rFonts w:ascii="黑体" w:hAnsi="黑体" w:eastAsia="黑体" w:cs="黑体"/>
          <w:bCs/>
          <w:sz w:val="32"/>
          <w:szCs w:val="32"/>
        </w:rPr>
      </w:pPr>
    </w:p>
    <w:p>
      <w:pPr>
        <w:rPr>
          <w:rFonts w:ascii="黑体" w:hAnsi="黑体" w:eastAsia="黑体" w:cs="黑体"/>
          <w:bCs/>
        </w:rPr>
      </w:pPr>
    </w:p>
    <w:p>
      <w:pPr>
        <w:pStyle w:val="26"/>
        <w:tabs>
          <w:tab w:val="right" w:leader="dot" w:pos="9004"/>
        </w:tabs>
        <w:rPr>
          <w:rFonts w:ascii="黑体" w:hAnsi="黑体" w:eastAsia="黑体" w:cs="黑体"/>
          <w:bCs/>
          <w:sz w:val="32"/>
          <w:szCs w:val="32"/>
        </w:rPr>
      </w:pPr>
      <w:r>
        <w:rPr>
          <w:rFonts w:hint="eastAsia" w:ascii="黑体" w:hAnsi="黑体" w:eastAsia="黑体" w:cs="黑体"/>
          <w:bCs/>
          <w:sz w:val="32"/>
          <w:szCs w:val="32"/>
        </w:rPr>
        <w:t xml:space="preserve">       </w:t>
      </w:r>
    </w:p>
    <w:p>
      <w:pPr>
        <w:pStyle w:val="26"/>
        <w:tabs>
          <w:tab w:val="right" w:leader="dot" w:pos="9004"/>
        </w:tabs>
        <w:rPr>
          <w:rFonts w:ascii="黑体" w:hAnsi="黑体" w:eastAsia="黑体" w:cs="黑体"/>
          <w:bCs/>
          <w:sz w:val="32"/>
          <w:szCs w:val="32"/>
        </w:rPr>
      </w:pPr>
    </w:p>
    <w:p>
      <w:pPr>
        <w:rPr>
          <w:rFonts w:ascii="黑体" w:hAnsi="黑体" w:eastAsia="黑体" w:cs="黑体"/>
          <w:bCs/>
        </w:rPr>
      </w:pPr>
    </w:p>
    <w:p>
      <w:pPr>
        <w:spacing w:line="480" w:lineRule="auto"/>
        <w:ind w:firstLine="640" w:firstLineChars="200"/>
        <w:rPr>
          <w:rFonts w:ascii="黑体" w:hAnsi="黑体" w:eastAsia="黑体" w:cs="黑体"/>
          <w:bCs/>
          <w:sz w:val="28"/>
          <w:szCs w:val="28"/>
        </w:rPr>
      </w:pPr>
      <w:r>
        <w:rPr>
          <w:rFonts w:hint="eastAsia" w:ascii="黑体" w:hAnsi="黑体" w:eastAsia="黑体" w:cs="黑体"/>
          <w:bCs/>
          <w:sz w:val="32"/>
          <w:szCs w:val="32"/>
        </w:rPr>
        <w:t xml:space="preserve">   </w:t>
      </w:r>
      <w:r>
        <w:rPr>
          <w:rFonts w:hint="eastAsia" w:ascii="黑体" w:hAnsi="黑体" w:eastAsia="黑体" w:cs="黑体"/>
          <w:bCs/>
          <w:sz w:val="28"/>
          <w:szCs w:val="28"/>
        </w:rPr>
        <w:t xml:space="preserve"> </w:t>
      </w:r>
    </w:p>
    <w:p>
      <w:pPr>
        <w:spacing w:line="360" w:lineRule="auto"/>
        <w:ind w:firstLine="1124" w:firstLineChars="400"/>
        <w:rPr>
          <w:rFonts w:hint="eastAsia" w:ascii="黑体" w:hAnsi="黑体" w:eastAsia="黑体" w:cs="黑体"/>
          <w:b/>
          <w:color w:val="auto"/>
          <w:sz w:val="28"/>
          <w:szCs w:val="28"/>
          <w:lang w:val="en-US" w:eastAsia="zh-CN"/>
        </w:rPr>
      </w:pPr>
      <w:r>
        <w:rPr>
          <w:rFonts w:hint="eastAsia" w:ascii="黑体" w:hAnsi="黑体" w:eastAsia="黑体" w:cs="黑体"/>
          <w:b/>
          <w:sz w:val="28"/>
          <w:szCs w:val="28"/>
        </w:rPr>
        <w:t>项目编号：</w:t>
      </w:r>
      <w:r>
        <w:rPr>
          <w:rFonts w:hint="eastAsia" w:ascii="黑体" w:hAnsi="黑体" w:eastAsia="黑体" w:cs="黑体"/>
          <w:b/>
          <w:color w:val="auto"/>
          <w:sz w:val="28"/>
          <w:szCs w:val="28"/>
          <w:lang w:eastAsia="zh-CN"/>
        </w:rPr>
        <w:t>分2021-01-566-02</w:t>
      </w:r>
    </w:p>
    <w:p>
      <w:pPr>
        <w:spacing w:line="360" w:lineRule="auto"/>
        <w:ind w:firstLine="1124" w:firstLineChars="400"/>
        <w:rPr>
          <w:rFonts w:hint="eastAsia" w:ascii="黑体" w:hAnsi="黑体" w:eastAsia="黑体" w:cs="黑体"/>
          <w:b/>
          <w:sz w:val="28"/>
          <w:szCs w:val="28"/>
          <w:lang w:eastAsia="zh-CN"/>
        </w:rPr>
      </w:pPr>
      <w:r>
        <w:rPr>
          <w:rFonts w:hint="eastAsia" w:ascii="黑体" w:hAnsi="黑体" w:eastAsia="黑体" w:cs="黑体"/>
          <w:b/>
          <w:sz w:val="28"/>
          <w:szCs w:val="28"/>
        </w:rPr>
        <w:t>采 购 人：</w:t>
      </w:r>
      <w:r>
        <w:rPr>
          <w:rFonts w:hint="eastAsia" w:ascii="黑体" w:hAnsi="黑体" w:eastAsia="黑体" w:cs="黑体"/>
          <w:b/>
          <w:sz w:val="28"/>
          <w:szCs w:val="28"/>
          <w:lang w:eastAsia="zh-CN"/>
        </w:rPr>
        <w:t>新疆维吾尔自治区阿克苏地区疾病预防控制中心</w:t>
      </w:r>
    </w:p>
    <w:p>
      <w:pPr>
        <w:pStyle w:val="26"/>
        <w:tabs>
          <w:tab w:val="right" w:leader="dot" w:pos="9004"/>
        </w:tabs>
        <w:spacing w:line="700" w:lineRule="exact"/>
        <w:ind w:firstLine="1110" w:firstLineChars="395"/>
        <w:rPr>
          <w:rFonts w:hint="eastAsia" w:ascii="黑体" w:hAnsi="黑体" w:eastAsia="黑体" w:cs="黑体"/>
          <w:b/>
          <w:sz w:val="32"/>
          <w:szCs w:val="32"/>
          <w:lang w:eastAsia="zh-CN"/>
        </w:rPr>
      </w:pPr>
      <w:r>
        <w:rPr>
          <w:rFonts w:hint="eastAsia" w:ascii="黑体" w:hAnsi="黑体" w:eastAsia="黑体" w:cs="黑体"/>
          <w:b/>
          <w:sz w:val="28"/>
          <w:szCs w:val="28"/>
        </w:rPr>
        <w:t>招标机构：</w:t>
      </w:r>
      <w:r>
        <w:rPr>
          <w:rFonts w:hint="eastAsia" w:ascii="黑体" w:hAnsi="黑体" w:eastAsia="黑体" w:cs="黑体"/>
          <w:b/>
          <w:sz w:val="28"/>
          <w:szCs w:val="28"/>
          <w:lang w:eastAsia="zh-CN"/>
        </w:rPr>
        <w:t>新疆华玫睿项目管理有限公司</w:t>
      </w:r>
    </w:p>
    <w:p>
      <w:pPr>
        <w:pStyle w:val="26"/>
        <w:tabs>
          <w:tab w:val="right" w:leader="dot" w:pos="9004"/>
        </w:tabs>
        <w:spacing w:line="700" w:lineRule="exact"/>
        <w:ind w:firstLine="1269" w:firstLineChars="395"/>
        <w:rPr>
          <w:rFonts w:ascii="黑体" w:hAnsi="黑体" w:eastAsia="黑体" w:cs="黑体"/>
          <w:b/>
          <w:sz w:val="28"/>
          <w:szCs w:val="28"/>
        </w:rPr>
      </w:pPr>
      <w:r>
        <w:rPr>
          <w:rFonts w:hint="eastAsia" w:ascii="黑体" w:hAnsi="黑体" w:eastAsia="黑体" w:cs="黑体"/>
          <w:b/>
          <w:sz w:val="32"/>
          <w:szCs w:val="32"/>
        </w:rPr>
        <w:t xml:space="preserve">        </w:t>
      </w:r>
      <w:r>
        <w:rPr>
          <w:rFonts w:hint="eastAsia" w:ascii="黑体" w:hAnsi="黑体" w:eastAsia="黑体" w:cs="黑体"/>
          <w:b/>
          <w:sz w:val="28"/>
          <w:szCs w:val="28"/>
        </w:rPr>
        <w:t xml:space="preserve">    二0二一年十二月</w:t>
      </w:r>
    </w:p>
    <w:p>
      <w:pPr>
        <w:pStyle w:val="14"/>
        <w:rPr>
          <w:rFonts w:ascii="黑体" w:hAnsi="黑体" w:eastAsia="黑体" w:cs="黑体"/>
          <w:bCs/>
          <w:w w:val="80"/>
          <w:kern w:val="0"/>
          <w:sz w:val="28"/>
          <w:szCs w:val="28"/>
        </w:rPr>
      </w:pPr>
    </w:p>
    <w:p>
      <w:pPr>
        <w:spacing w:before="312" w:beforeLines="100"/>
        <w:jc w:val="center"/>
        <w:rPr>
          <w:sz w:val="16"/>
          <w:szCs w:val="20"/>
        </w:rPr>
      </w:pPr>
      <w:r>
        <w:rPr>
          <w:rFonts w:hint="eastAsia" w:ascii="宋体" w:hAnsi="宋体" w:cs="宋体"/>
          <w:b/>
          <w:sz w:val="44"/>
          <w:szCs w:val="44"/>
        </w:rPr>
        <w:t>招标文件</w:t>
      </w:r>
    </w:p>
    <w:p/>
    <w:p/>
    <w:p/>
    <w:p>
      <w:pPr>
        <w:spacing w:line="480" w:lineRule="auto"/>
        <w:rPr>
          <w:rFonts w:hint="eastAsia" w:ascii="宋体" w:hAnsi="宋体" w:eastAsia="宋体" w:cs="宋体"/>
          <w:sz w:val="24"/>
          <w:lang w:eastAsia="zh-CN"/>
        </w:rPr>
      </w:pPr>
      <w:r>
        <w:rPr>
          <w:rFonts w:hint="eastAsia" w:ascii="宋体" w:hAnsi="宋体" w:cs="宋体"/>
          <w:sz w:val="24"/>
        </w:rPr>
        <w:t>项 目 名 称:</w:t>
      </w:r>
      <w:r>
        <w:rPr>
          <w:rFonts w:hint="eastAsia" w:ascii="宋体" w:hAnsi="宋体" w:cs="宋体"/>
          <w:sz w:val="24"/>
          <w:lang w:eastAsia="zh-CN"/>
        </w:rPr>
        <w:t>阿克苏地区疾控中心实验室检测设备购置项目</w:t>
      </w:r>
    </w:p>
    <w:p>
      <w:pPr>
        <w:spacing w:line="480" w:lineRule="auto"/>
        <w:rPr>
          <w:rFonts w:ascii="宋体" w:hAnsi="宋体" w:cs="宋体"/>
          <w:sz w:val="24"/>
        </w:rPr>
      </w:pPr>
      <w:r>
        <w:rPr>
          <w:rFonts w:hint="eastAsia" w:ascii="宋体" w:hAnsi="宋体" w:cs="宋体"/>
          <w:sz w:val="24"/>
        </w:rPr>
        <w:t>采  购  人（公章）：</w:t>
      </w:r>
      <w:r>
        <w:rPr>
          <w:rFonts w:hint="eastAsia" w:ascii="宋体" w:hAnsi="宋体" w:cs="宋体"/>
          <w:sz w:val="24"/>
          <w:lang w:eastAsia="zh-CN"/>
        </w:rPr>
        <w:t>新疆维吾尔自治区阿克苏地区疾病预防控制中心</w:t>
      </w:r>
      <w:r>
        <w:rPr>
          <w:rFonts w:hint="eastAsia" w:ascii="宋体" w:hAnsi="宋体" w:cs="宋体"/>
          <w:sz w:val="24"/>
        </w:rPr>
        <w:t xml:space="preserve">       </w:t>
      </w:r>
    </w:p>
    <w:p>
      <w:pPr>
        <w:spacing w:line="480" w:lineRule="auto"/>
        <w:rPr>
          <w:rFonts w:ascii="宋体" w:hAnsi="宋体" w:cs="宋体"/>
          <w:sz w:val="24"/>
        </w:rPr>
      </w:pPr>
      <w:r>
        <w:rPr>
          <w:rFonts w:hint="eastAsia" w:ascii="宋体" w:hAnsi="宋体" w:cs="宋体"/>
          <w:sz w:val="24"/>
        </w:rPr>
        <w:t xml:space="preserve">法定代表人（签字或盖章）： </w:t>
      </w:r>
    </w:p>
    <w:p>
      <w:pPr>
        <w:spacing w:line="480" w:lineRule="auto"/>
        <w:rPr>
          <w:rFonts w:hint="default" w:ascii="宋体" w:hAnsi="宋体" w:eastAsia="宋体" w:cs="宋体"/>
          <w:sz w:val="24"/>
          <w:lang w:val="en-US" w:eastAsia="zh-CN"/>
        </w:rPr>
      </w:pPr>
      <w:r>
        <w:rPr>
          <w:rFonts w:hint="eastAsia" w:ascii="宋体" w:hAnsi="宋体" w:cs="宋体"/>
          <w:sz w:val="24"/>
        </w:rPr>
        <w:t xml:space="preserve">联  系  人： </w:t>
      </w:r>
      <w:r>
        <w:rPr>
          <w:rFonts w:hint="eastAsia" w:ascii="宋体" w:hAnsi="宋体" w:cs="宋体"/>
          <w:sz w:val="24"/>
          <w:lang w:val="en-US" w:eastAsia="zh-CN"/>
        </w:rPr>
        <w:t>张红艳</w:t>
      </w:r>
    </w:p>
    <w:p>
      <w:pPr>
        <w:spacing w:line="480" w:lineRule="auto"/>
        <w:rPr>
          <w:rFonts w:ascii="宋体" w:hAnsi="宋体" w:cs="宋体"/>
          <w:sz w:val="24"/>
        </w:rPr>
      </w:pPr>
      <w:r>
        <w:rPr>
          <w:rFonts w:hint="eastAsia" w:ascii="宋体" w:hAnsi="宋体" w:cs="宋体"/>
          <w:sz w:val="24"/>
        </w:rPr>
        <w:t>电      话：0997-2556906</w:t>
      </w:r>
    </w:p>
    <w:p>
      <w:pPr>
        <w:spacing w:line="360" w:lineRule="auto"/>
        <w:rPr>
          <w:rFonts w:ascii="宋体" w:hAnsi="宋体" w:cs="宋体"/>
          <w:sz w:val="24"/>
        </w:rPr>
      </w:pPr>
    </w:p>
    <w:p>
      <w:pPr>
        <w:spacing w:line="360" w:lineRule="auto"/>
        <w:rPr>
          <w:rFonts w:ascii="宋体" w:hAnsi="宋体" w:cs="宋体"/>
          <w:sz w:val="24"/>
        </w:rPr>
      </w:pPr>
    </w:p>
    <w:p>
      <w:pPr>
        <w:pStyle w:val="14"/>
        <w:rPr>
          <w:rFonts w:ascii="宋体" w:hAnsi="宋体" w:cs="宋体"/>
          <w:sz w:val="24"/>
        </w:rPr>
      </w:pPr>
    </w:p>
    <w:p/>
    <w:p>
      <w:pPr>
        <w:spacing w:line="360" w:lineRule="auto"/>
        <w:rPr>
          <w:rFonts w:ascii="宋体" w:hAnsi="宋体" w:cs="宋体"/>
          <w:sz w:val="24"/>
        </w:rPr>
      </w:pPr>
    </w:p>
    <w:p>
      <w:pPr>
        <w:spacing w:line="360" w:lineRule="auto"/>
        <w:rPr>
          <w:rFonts w:ascii="宋体" w:hAnsi="宋体" w:cs="宋体"/>
          <w:sz w:val="24"/>
        </w:rPr>
      </w:pPr>
    </w:p>
    <w:p>
      <w:pPr>
        <w:spacing w:line="480" w:lineRule="auto"/>
        <w:rPr>
          <w:rFonts w:hint="eastAsia" w:ascii="宋体" w:hAnsi="宋体" w:eastAsia="宋体" w:cs="宋体"/>
          <w:sz w:val="24"/>
          <w:lang w:eastAsia="zh-CN"/>
        </w:rPr>
      </w:pPr>
      <w:r>
        <w:rPr>
          <w:rFonts w:hint="eastAsia" w:ascii="宋体" w:hAnsi="宋体" w:cs="宋体"/>
          <w:sz w:val="24"/>
        </w:rPr>
        <w:t>采购代理机构（公章）：</w:t>
      </w:r>
      <w:r>
        <w:rPr>
          <w:rFonts w:hint="eastAsia" w:ascii="宋体" w:hAnsi="宋体" w:cs="宋体"/>
          <w:sz w:val="24"/>
          <w:lang w:eastAsia="zh-CN"/>
        </w:rPr>
        <w:t>新疆华玫睿项目管理有限公司</w:t>
      </w:r>
    </w:p>
    <w:p>
      <w:pPr>
        <w:spacing w:line="480" w:lineRule="auto"/>
        <w:rPr>
          <w:rFonts w:ascii="宋体" w:hAnsi="宋体" w:cs="宋体"/>
          <w:sz w:val="24"/>
        </w:rPr>
      </w:pPr>
      <w:r>
        <w:rPr>
          <w:rFonts w:hint="eastAsia" w:ascii="宋体" w:hAnsi="宋体" w:cs="宋体"/>
          <w:sz w:val="24"/>
        </w:rPr>
        <w:t>法定代表人（签字或盖章）：</w:t>
      </w:r>
    </w:p>
    <w:p>
      <w:pPr>
        <w:spacing w:line="480" w:lineRule="auto"/>
        <w:rPr>
          <w:rFonts w:hint="eastAsia" w:ascii="宋体" w:hAnsi="宋体" w:eastAsia="宋体" w:cs="宋体"/>
          <w:sz w:val="24"/>
          <w:lang w:eastAsia="zh-CN"/>
        </w:rPr>
      </w:pPr>
      <w:r>
        <w:rPr>
          <w:rFonts w:hint="eastAsia" w:ascii="宋体" w:hAnsi="宋体" w:cs="宋体"/>
          <w:sz w:val="24"/>
        </w:rPr>
        <w:t>联  系  人：</w:t>
      </w:r>
      <w:r>
        <w:rPr>
          <w:rFonts w:hint="eastAsia" w:ascii="宋体" w:hAnsi="宋体" w:cs="宋体"/>
          <w:sz w:val="24"/>
          <w:lang w:eastAsia="zh-CN"/>
        </w:rPr>
        <w:t>张恩慈</w:t>
      </w:r>
    </w:p>
    <w:p>
      <w:pPr>
        <w:spacing w:line="480" w:lineRule="auto"/>
        <w:rPr>
          <w:rFonts w:ascii="宋体" w:hAnsi="宋体" w:cs="宋体"/>
          <w:sz w:val="24"/>
        </w:rPr>
      </w:pPr>
      <w:r>
        <w:rPr>
          <w:rFonts w:hint="eastAsia" w:ascii="宋体" w:hAnsi="宋体" w:cs="宋体"/>
          <w:sz w:val="24"/>
        </w:rPr>
        <w:t xml:space="preserve">电      话：15292348006       </w:t>
      </w:r>
    </w:p>
    <w:p>
      <w:pPr>
        <w:spacing w:line="480" w:lineRule="auto"/>
        <w:rPr>
          <w:rFonts w:hint="eastAsia" w:ascii="宋体" w:hAnsi="宋体" w:eastAsia="宋体" w:cs="宋体"/>
          <w:sz w:val="24"/>
          <w:lang w:eastAsia="zh-CN"/>
        </w:rPr>
      </w:pPr>
      <w:r>
        <w:rPr>
          <w:rFonts w:hint="eastAsia" w:ascii="宋体" w:hAnsi="宋体" w:cs="宋体"/>
          <w:sz w:val="24"/>
        </w:rPr>
        <w:t>联 系 地 址：</w:t>
      </w:r>
      <w:r>
        <w:rPr>
          <w:rFonts w:hint="eastAsia" w:ascii="宋体" w:hAnsi="宋体" w:cs="宋体"/>
          <w:sz w:val="24"/>
          <w:lang w:val="en-US" w:eastAsia="zh-CN"/>
        </w:rPr>
        <w:t>阿克苏市南城街道南郊路6号多浪水泥厂家属院办公楼二楼201室</w:t>
      </w:r>
    </w:p>
    <w:p>
      <w:pPr>
        <w:spacing w:line="360" w:lineRule="auto"/>
        <w:rPr>
          <w:rFonts w:ascii="宋体" w:hAnsi="宋体" w:cs="宋体"/>
          <w:sz w:val="24"/>
        </w:rPr>
      </w:pPr>
    </w:p>
    <w:p/>
    <w:p/>
    <w:p/>
    <w:p/>
    <w:p>
      <w:pPr>
        <w:jc w:val="center"/>
        <w:rPr>
          <w:rFonts w:ascii="宋体" w:hAnsi="宋体" w:cs="宋体"/>
          <w:sz w:val="24"/>
        </w:rPr>
        <w:sectPr>
          <w:headerReference r:id="rId4" w:type="first"/>
          <w:headerReference r:id="rId3" w:type="default"/>
          <w:pgSz w:w="11906" w:h="16838"/>
          <w:pgMar w:top="1440" w:right="1800" w:bottom="1440" w:left="1800" w:header="851" w:footer="992" w:gutter="0"/>
          <w:pgNumType w:start="1"/>
          <w:cols w:space="720" w:num="1"/>
          <w:titlePg/>
          <w:docGrid w:type="lines" w:linePitch="312" w:charSpace="0"/>
        </w:sectPr>
      </w:pPr>
      <w:r>
        <w:rPr>
          <w:rFonts w:hint="eastAsia" w:ascii="宋体" w:hAnsi="宋体" w:cs="宋体"/>
          <w:sz w:val="24"/>
        </w:rPr>
        <w:t>2021年12月</w:t>
      </w:r>
    </w:p>
    <w:p>
      <w:pPr>
        <w:pStyle w:val="74"/>
        <w:snapToGrid w:val="0"/>
        <w:rPr>
          <w:b/>
          <w:bCs/>
          <w:color w:val="auto"/>
          <w:sz w:val="28"/>
          <w:szCs w:val="28"/>
        </w:rPr>
      </w:pPr>
    </w:p>
    <w:p>
      <w:pPr>
        <w:pStyle w:val="74"/>
        <w:snapToGrid w:val="0"/>
        <w:jc w:val="center"/>
        <w:rPr>
          <w:rFonts w:ascii="宋体" w:hAnsi="宋体" w:cs="宋体"/>
          <w:b/>
          <w:bCs/>
          <w:color w:val="auto"/>
          <w:sz w:val="21"/>
          <w:szCs w:val="21"/>
        </w:rPr>
      </w:pPr>
      <w:r>
        <w:rPr>
          <w:rFonts w:hint="eastAsia"/>
          <w:b/>
          <w:bCs/>
          <w:color w:val="auto"/>
          <w:sz w:val="28"/>
          <w:szCs w:val="28"/>
        </w:rPr>
        <w:t>目 录</w:t>
      </w:r>
    </w:p>
    <w:p>
      <w:pPr>
        <w:pStyle w:val="26"/>
        <w:tabs>
          <w:tab w:val="right" w:pos="4000"/>
          <w:tab w:val="right" w:leader="dot" w:pos="8300"/>
        </w:tabs>
        <w:spacing w:line="480" w:lineRule="auto"/>
      </w:pPr>
      <w:r>
        <w:rPr>
          <w:rFonts w:hint="eastAsia" w:ascii="宋体" w:hAnsi="宋体" w:cs="宋体"/>
          <w:b/>
          <w:bCs/>
          <w:szCs w:val="21"/>
        </w:rPr>
        <w:fldChar w:fldCharType="begin"/>
      </w:r>
      <w:r>
        <w:rPr>
          <w:rFonts w:hint="eastAsia" w:ascii="宋体" w:hAnsi="宋体" w:cs="宋体"/>
          <w:b/>
          <w:bCs/>
          <w:szCs w:val="21"/>
        </w:rPr>
        <w:instrText xml:space="preserve">TOC \o "1-2" \h \u </w:instrText>
      </w:r>
      <w:r>
        <w:rPr>
          <w:rFonts w:hint="eastAsia" w:ascii="宋体" w:hAnsi="宋体" w:cs="宋体"/>
          <w:b/>
          <w:bCs/>
          <w:szCs w:val="21"/>
        </w:rPr>
        <w:fldChar w:fldCharType="separate"/>
      </w:r>
      <w:r>
        <w:rPr>
          <w:rFonts w:hint="eastAsia" w:ascii="宋体" w:hAnsi="宋体" w:cs="宋体"/>
          <w:bCs/>
          <w:szCs w:val="21"/>
        </w:rPr>
        <w:fldChar w:fldCharType="begin"/>
      </w:r>
      <w:r>
        <w:rPr>
          <w:rFonts w:hint="eastAsia" w:ascii="宋体" w:hAnsi="宋体" w:cs="宋体"/>
          <w:bCs/>
          <w:szCs w:val="21"/>
        </w:rPr>
        <w:instrText xml:space="preserve"> HYPERLINK \l _Toc13853 </w:instrText>
      </w:r>
      <w:r>
        <w:rPr>
          <w:rFonts w:hint="eastAsia" w:ascii="宋体" w:hAnsi="宋体" w:cs="宋体"/>
          <w:bCs/>
          <w:szCs w:val="21"/>
        </w:rPr>
        <w:fldChar w:fldCharType="separate"/>
      </w:r>
      <w:r>
        <w:rPr>
          <w:rFonts w:hint="default" w:ascii="Times New Roman" w:hAnsi="Times New Roman" w:eastAsia="宋体" w:cs="Times New Roman"/>
          <w:bCs/>
          <w:kern w:val="0"/>
          <w:szCs w:val="32"/>
        </w:rPr>
        <w:t xml:space="preserve">第一章 </w:t>
      </w:r>
      <w:r>
        <w:rPr>
          <w:rFonts w:ascii="Times New Roman" w:hAnsi="Times New Roman" w:eastAsia="宋体" w:cs="Times New Roman"/>
          <w:bCs/>
          <w:kern w:val="0"/>
          <w:szCs w:val="32"/>
        </w:rPr>
        <w:t>招标公告</w:t>
      </w:r>
      <w:r>
        <w:rPr>
          <w:rFonts w:ascii="Times New Roman" w:hAnsi="Times New Roman" w:eastAsia="宋体" w:cs="Times New Roman"/>
          <w:bCs/>
          <w:kern w:val="0"/>
          <w:szCs w:val="32"/>
        </w:rPr>
        <w:tab/>
      </w:r>
      <w:r>
        <w:tab/>
      </w:r>
      <w:r>
        <w:fldChar w:fldCharType="begin"/>
      </w:r>
      <w:r>
        <w:instrText xml:space="preserve"> PAGEREF _Toc13853 \h </w:instrText>
      </w:r>
      <w:r>
        <w:fldChar w:fldCharType="separate"/>
      </w:r>
      <w:r>
        <w:t>1</w:t>
      </w:r>
      <w:r>
        <w:fldChar w:fldCharType="end"/>
      </w:r>
      <w:r>
        <w:rPr>
          <w:rFonts w:hint="eastAsia" w:ascii="宋体" w:hAnsi="宋体" w:cs="宋体"/>
          <w:bCs/>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_Toc30743 </w:instrText>
      </w:r>
      <w:r>
        <w:rPr>
          <w:rFonts w:hint="eastAsia" w:ascii="宋体" w:hAnsi="宋体" w:cs="宋体"/>
          <w:bCs/>
          <w:szCs w:val="21"/>
        </w:rPr>
        <w:fldChar w:fldCharType="separate"/>
      </w:r>
      <w:r>
        <w:rPr>
          <w:rFonts w:hint="eastAsia"/>
          <w:bCs/>
          <w:szCs w:val="32"/>
        </w:rPr>
        <w:t>第二章  投标人须知</w:t>
      </w:r>
      <w:r>
        <w:tab/>
      </w:r>
      <w:r>
        <w:fldChar w:fldCharType="begin"/>
      </w:r>
      <w:r>
        <w:instrText xml:space="preserve"> PAGEREF _Toc30743 \h </w:instrText>
      </w:r>
      <w:r>
        <w:fldChar w:fldCharType="separate"/>
      </w:r>
      <w:r>
        <w:t>5</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_Toc3660 </w:instrText>
      </w:r>
      <w:r>
        <w:rPr>
          <w:rFonts w:hint="eastAsia" w:ascii="宋体" w:hAnsi="宋体" w:cs="宋体"/>
          <w:bCs/>
          <w:szCs w:val="21"/>
        </w:rPr>
        <w:fldChar w:fldCharType="separate"/>
      </w:r>
      <w:r>
        <w:rPr>
          <w:rFonts w:hint="eastAsia"/>
          <w:bCs/>
          <w:szCs w:val="32"/>
        </w:rPr>
        <w:t>第三章  评标办法</w:t>
      </w:r>
      <w:r>
        <w:tab/>
      </w:r>
      <w:r>
        <w:fldChar w:fldCharType="begin"/>
      </w:r>
      <w:r>
        <w:instrText xml:space="preserve"> PAGEREF _Toc3660 \h </w:instrText>
      </w:r>
      <w:r>
        <w:fldChar w:fldCharType="separate"/>
      </w:r>
      <w:r>
        <w:t>25</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_Toc31947 </w:instrText>
      </w:r>
      <w:r>
        <w:rPr>
          <w:rFonts w:hint="eastAsia" w:ascii="宋体" w:hAnsi="宋体" w:cs="宋体"/>
          <w:bCs/>
          <w:szCs w:val="21"/>
        </w:rPr>
        <w:fldChar w:fldCharType="separate"/>
      </w:r>
      <w:r>
        <w:rPr>
          <w:rFonts w:hint="eastAsia" w:ascii="宋体" w:hAnsi="宋体" w:cs="宋体"/>
          <w:bCs/>
          <w:szCs w:val="32"/>
        </w:rPr>
        <w:t>第四章  合同条款</w:t>
      </w:r>
      <w:r>
        <w:tab/>
      </w:r>
      <w:r>
        <w:fldChar w:fldCharType="begin"/>
      </w:r>
      <w:r>
        <w:instrText xml:space="preserve"> PAGEREF _Toc31947 \h </w:instrText>
      </w:r>
      <w:r>
        <w:fldChar w:fldCharType="separate"/>
      </w:r>
      <w:r>
        <w:t>30</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_Toc7960 </w:instrText>
      </w:r>
      <w:r>
        <w:rPr>
          <w:rFonts w:hint="eastAsia" w:ascii="宋体" w:hAnsi="宋体" w:cs="宋体"/>
          <w:bCs/>
          <w:szCs w:val="21"/>
        </w:rPr>
        <w:fldChar w:fldCharType="separate"/>
      </w:r>
      <w:r>
        <w:rPr>
          <w:rFonts w:hint="eastAsia" w:ascii="宋体" w:hAnsi="宋体" w:cs="宋体"/>
          <w:bCs/>
          <w:szCs w:val="32"/>
        </w:rPr>
        <w:t>第五章 采购需求及技术参数</w:t>
      </w:r>
      <w:r>
        <w:tab/>
      </w:r>
      <w:r>
        <w:fldChar w:fldCharType="begin"/>
      </w:r>
      <w:r>
        <w:instrText xml:space="preserve"> PAGEREF _Toc7960 \h </w:instrText>
      </w:r>
      <w:r>
        <w:fldChar w:fldCharType="separate"/>
      </w:r>
      <w:r>
        <w:t>36</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_Toc756 </w:instrText>
      </w:r>
      <w:r>
        <w:rPr>
          <w:rFonts w:hint="eastAsia" w:ascii="宋体" w:hAnsi="宋体" w:cs="宋体"/>
          <w:bCs/>
          <w:szCs w:val="21"/>
        </w:rPr>
        <w:fldChar w:fldCharType="separate"/>
      </w:r>
      <w:r>
        <w:rPr>
          <w:rFonts w:hint="eastAsia" w:ascii="宋体" w:hAnsi="宋体" w:cs="宋体"/>
          <w:bCs/>
          <w:szCs w:val="32"/>
        </w:rPr>
        <w:t>第六章 投标文件格式</w:t>
      </w:r>
      <w:r>
        <w:tab/>
      </w:r>
      <w:r>
        <w:fldChar w:fldCharType="begin"/>
      </w:r>
      <w:r>
        <w:instrText xml:space="preserve"> PAGEREF _Toc756 \h </w:instrText>
      </w:r>
      <w:r>
        <w:fldChar w:fldCharType="separate"/>
      </w:r>
      <w:r>
        <w:t>57</w:t>
      </w:r>
      <w:r>
        <w:fldChar w:fldCharType="end"/>
      </w:r>
      <w:r>
        <w:rPr>
          <w:rFonts w:hint="eastAsia" w:ascii="宋体" w:hAnsi="宋体" w:cs="宋体"/>
          <w:bCs/>
          <w:color w:val="auto"/>
          <w:szCs w:val="21"/>
        </w:rPr>
        <w:fldChar w:fldCharType="end"/>
      </w:r>
    </w:p>
    <w:p>
      <w:pPr>
        <w:pStyle w:val="33"/>
        <w:tabs>
          <w:tab w:val="right" w:leader="dot" w:pos="8300"/>
        </w:tabs>
        <w:spacing w:line="480" w:lineRule="auto"/>
        <w:ind w:left="0" w:leftChars="0" w:firstLine="0" w:firstLineChars="0"/>
      </w:pPr>
      <w:r>
        <w:rPr>
          <w:rFonts w:hint="eastAsia" w:ascii="宋体" w:hAnsi="宋体" w:cs="宋体"/>
          <w:bCs/>
          <w:color w:val="auto"/>
          <w:szCs w:val="21"/>
        </w:rPr>
        <w:fldChar w:fldCharType="begin"/>
      </w:r>
      <w:r>
        <w:rPr>
          <w:rFonts w:hint="eastAsia" w:ascii="宋体" w:hAnsi="宋体" w:cs="宋体"/>
          <w:bCs/>
          <w:szCs w:val="21"/>
        </w:rPr>
        <w:instrText xml:space="preserve"> HYPERLINK \l _Toc6713 </w:instrText>
      </w:r>
      <w:r>
        <w:rPr>
          <w:rFonts w:hint="eastAsia" w:ascii="宋体" w:hAnsi="宋体" w:cs="宋体"/>
          <w:bCs/>
          <w:szCs w:val="21"/>
        </w:rPr>
        <w:fldChar w:fldCharType="separate"/>
      </w:r>
      <w:r>
        <w:rPr>
          <w:rFonts w:hint="eastAsia" w:ascii="宋体" w:hAnsi="宋体" w:cs="宋体"/>
        </w:rPr>
        <w:t>第七章 代理合同</w:t>
      </w:r>
      <w:r>
        <w:tab/>
      </w:r>
      <w:r>
        <w:fldChar w:fldCharType="begin"/>
      </w:r>
      <w:r>
        <w:instrText xml:space="preserve"> PAGEREF _Toc6713 \h </w:instrText>
      </w:r>
      <w:r>
        <w:fldChar w:fldCharType="separate"/>
      </w:r>
      <w:r>
        <w:t>76</w:t>
      </w:r>
      <w:r>
        <w:fldChar w:fldCharType="end"/>
      </w:r>
      <w:r>
        <w:rPr>
          <w:rFonts w:hint="eastAsia" w:ascii="宋体" w:hAnsi="宋体" w:cs="宋体"/>
          <w:bCs/>
          <w:color w:val="auto"/>
          <w:szCs w:val="21"/>
        </w:rPr>
        <w:fldChar w:fldCharType="end"/>
      </w:r>
    </w:p>
    <w:p>
      <w:pPr>
        <w:pStyle w:val="67"/>
        <w:snapToGrid w:val="0"/>
        <w:spacing w:line="480" w:lineRule="auto"/>
        <w:jc w:val="center"/>
        <w:rPr>
          <w:b/>
          <w:bCs/>
          <w:color w:val="auto"/>
          <w:sz w:val="24"/>
        </w:rPr>
      </w:pPr>
      <w:r>
        <w:rPr>
          <w:rFonts w:hint="eastAsia" w:ascii="宋体" w:hAnsi="宋体" w:cs="宋体"/>
          <w:bCs/>
          <w:color w:val="auto"/>
          <w:szCs w:val="21"/>
        </w:rPr>
        <w:fldChar w:fldCharType="end"/>
      </w:r>
    </w:p>
    <w:p>
      <w:pPr>
        <w:pStyle w:val="3"/>
        <w:tabs>
          <w:tab w:val="left" w:pos="0"/>
        </w:tabs>
        <w:autoSpaceDE w:val="0"/>
        <w:autoSpaceDN w:val="0"/>
        <w:spacing w:before="0" w:after="0" w:line="480" w:lineRule="auto"/>
        <w:jc w:val="center"/>
        <w:rPr>
          <w:rFonts w:hint="default" w:ascii="Times New Roman" w:hAnsi="Times New Roman" w:eastAsia="宋体" w:cs="Times New Roman"/>
          <w:b/>
          <w:bCs/>
          <w:kern w:val="0"/>
          <w:szCs w:val="32"/>
        </w:rPr>
        <w:sectPr>
          <w:pgSz w:w="11906" w:h="16838"/>
          <w:pgMar w:top="1440" w:right="1803" w:bottom="1440" w:left="1803" w:header="851" w:footer="992" w:gutter="0"/>
          <w:pgNumType w:fmt="numberInDash"/>
          <w:cols w:space="720" w:num="1"/>
          <w:titlePg/>
          <w:docGrid w:type="lines" w:linePitch="319" w:charSpace="0"/>
        </w:sectPr>
      </w:pPr>
      <w:bookmarkStart w:id="0" w:name="_Toc28359011"/>
      <w:bookmarkStart w:id="1" w:name="_Toc35393797"/>
    </w:p>
    <w:p>
      <w:pPr>
        <w:pStyle w:val="3"/>
        <w:tabs>
          <w:tab w:val="left" w:pos="0"/>
        </w:tabs>
        <w:autoSpaceDE w:val="0"/>
        <w:autoSpaceDN w:val="0"/>
        <w:adjustRightInd w:val="0"/>
        <w:spacing w:beforeAutospacing="0" w:afterAutospacing="0" w:line="360" w:lineRule="auto"/>
        <w:jc w:val="center"/>
        <w:rPr>
          <w:rFonts w:hint="default"/>
          <w:sz w:val="28"/>
          <w:szCs w:val="28"/>
        </w:rPr>
      </w:pPr>
      <w:bookmarkStart w:id="2" w:name="_Toc13853"/>
      <w:r>
        <w:rPr>
          <w:rFonts w:ascii="Times New Roman" w:hAnsi="Times New Roman" w:eastAsia="宋体" w:cs="Times New Roman"/>
          <w:b/>
          <w:bCs/>
          <w:kern w:val="0"/>
          <w:szCs w:val="32"/>
        </w:rPr>
        <w:fldChar w:fldCharType="begin"/>
      </w:r>
      <w:r>
        <w:rPr>
          <w:rFonts w:ascii="Times New Roman" w:hAnsi="Times New Roman" w:eastAsia="宋体" w:cs="Times New Roman"/>
          <w:b/>
          <w:bCs/>
          <w:kern w:val="0"/>
          <w:szCs w:val="32"/>
        </w:rPr>
        <w:instrText xml:space="preserve"> HYPERLINK \l _Toc16730 </w:instrText>
      </w:r>
      <w:r>
        <w:rPr>
          <w:rFonts w:ascii="Times New Roman" w:hAnsi="Times New Roman" w:eastAsia="宋体" w:cs="Times New Roman"/>
          <w:b/>
          <w:bCs/>
          <w:kern w:val="0"/>
          <w:szCs w:val="32"/>
        </w:rPr>
        <w:fldChar w:fldCharType="separate"/>
      </w:r>
      <w:r>
        <w:rPr>
          <w:rFonts w:hint="default" w:ascii="Times New Roman" w:hAnsi="Times New Roman" w:eastAsia="宋体" w:cs="Times New Roman"/>
          <w:b/>
          <w:bCs/>
          <w:kern w:val="0"/>
          <w:szCs w:val="32"/>
        </w:rPr>
        <w:t xml:space="preserve">第一章 </w:t>
      </w:r>
      <w:r>
        <w:rPr>
          <w:rFonts w:ascii="Times New Roman" w:hAnsi="Times New Roman" w:eastAsia="宋体" w:cs="Times New Roman"/>
          <w:b/>
          <w:bCs/>
          <w:kern w:val="0"/>
          <w:szCs w:val="32"/>
        </w:rPr>
        <w:t>招标公告</w:t>
      </w:r>
      <w:r>
        <w:rPr>
          <w:rFonts w:ascii="Times New Roman" w:hAnsi="Times New Roman" w:eastAsia="宋体" w:cs="Times New Roman"/>
          <w:b/>
          <w:bCs/>
          <w:kern w:val="0"/>
          <w:szCs w:val="32"/>
        </w:rPr>
        <w:tab/>
      </w:r>
      <w:r>
        <w:rPr>
          <w:rFonts w:ascii="Times New Roman" w:hAnsi="Times New Roman" w:eastAsia="宋体" w:cs="Times New Roman"/>
          <w:b/>
          <w:bCs/>
          <w:kern w:val="0"/>
          <w:szCs w:val="32"/>
        </w:rPr>
        <w:fldChar w:fldCharType="end"/>
      </w:r>
      <w:bookmarkEnd w:id="0"/>
      <w:bookmarkEnd w:id="1"/>
      <w:bookmarkEnd w:id="2"/>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eastAsia="zh-CN"/>
        </w:rPr>
        <w:t>阿克苏地区疾控中心实验室检测设备购置项目</w:t>
      </w:r>
      <w:r>
        <w:rPr>
          <w:rFonts w:hint="eastAsia" w:ascii="仿宋_GB2312" w:hAnsi="仿宋_GB2312" w:eastAsia="仿宋_GB2312" w:cs="仿宋_GB2312"/>
          <w:sz w:val="24"/>
          <w:szCs w:val="24"/>
        </w:rPr>
        <w:t>的潜在投标人应在政采云平台获取（下载）采购文件，并于</w:t>
      </w:r>
      <w:r>
        <w:rPr>
          <w:rFonts w:hint="eastAsia" w:ascii="仿宋_GB2312" w:hAnsi="仿宋_GB2312" w:eastAsia="仿宋_GB2312" w:cs="仿宋_GB2312"/>
          <w:b w:val="0"/>
          <w:bCs w:val="0"/>
          <w:color w:val="auto"/>
          <w:sz w:val="24"/>
          <w:szCs w:val="24"/>
        </w:rPr>
        <w:t>202</w:t>
      </w:r>
      <w:r>
        <w:rPr>
          <w:rFonts w:hint="eastAsia" w:ascii="仿宋_GB2312" w:hAnsi="仿宋_GB2312" w:eastAsia="仿宋_GB2312" w:cs="仿宋_GB2312"/>
          <w:b w:val="0"/>
          <w:bCs w:val="0"/>
          <w:color w:val="auto"/>
          <w:sz w:val="24"/>
          <w:szCs w:val="24"/>
          <w:lang w:val="en-US" w:eastAsia="zh-CN"/>
        </w:rPr>
        <w:t>2</w:t>
      </w:r>
      <w:r>
        <w:rPr>
          <w:rFonts w:hint="eastAsia" w:ascii="仿宋_GB2312" w:hAnsi="仿宋_GB2312" w:eastAsia="仿宋_GB2312" w:cs="仿宋_GB2312"/>
          <w:b w:val="0"/>
          <w:bCs w:val="0"/>
          <w:color w:val="auto"/>
          <w:sz w:val="24"/>
          <w:szCs w:val="24"/>
        </w:rPr>
        <w:t>年</w:t>
      </w:r>
      <w:r>
        <w:rPr>
          <w:rFonts w:hint="eastAsia" w:ascii="仿宋_GB2312" w:hAnsi="仿宋_GB2312" w:eastAsia="仿宋_GB2312" w:cs="仿宋_GB2312"/>
          <w:b w:val="0"/>
          <w:bCs w:val="0"/>
          <w:color w:val="auto"/>
          <w:sz w:val="24"/>
          <w:szCs w:val="24"/>
          <w:lang w:val="en-US" w:eastAsia="zh-CN"/>
        </w:rPr>
        <w:t>1</w:t>
      </w:r>
      <w:r>
        <w:rPr>
          <w:rFonts w:hint="eastAsia" w:ascii="仿宋_GB2312" w:hAnsi="仿宋_GB2312" w:eastAsia="仿宋_GB2312" w:cs="仿宋_GB2312"/>
          <w:b w:val="0"/>
          <w:bCs w:val="0"/>
          <w:color w:val="auto"/>
          <w:sz w:val="24"/>
          <w:szCs w:val="24"/>
        </w:rPr>
        <w:t>月</w:t>
      </w:r>
      <w:r>
        <w:rPr>
          <w:rFonts w:hint="eastAsia" w:ascii="仿宋_GB2312" w:hAnsi="仿宋_GB2312" w:eastAsia="仿宋_GB2312" w:cs="仿宋_GB2312"/>
          <w:b w:val="0"/>
          <w:bCs w:val="0"/>
          <w:color w:val="auto"/>
          <w:sz w:val="24"/>
          <w:szCs w:val="24"/>
          <w:lang w:val="en-US" w:eastAsia="zh-CN"/>
        </w:rPr>
        <w:t>21</w:t>
      </w:r>
      <w:r>
        <w:rPr>
          <w:rFonts w:hint="eastAsia" w:ascii="仿宋_GB2312" w:hAnsi="仿宋_GB2312" w:eastAsia="仿宋_GB2312" w:cs="仿宋_GB2312"/>
          <w:b w:val="0"/>
          <w:bCs w:val="0"/>
          <w:color w:val="auto"/>
          <w:sz w:val="24"/>
          <w:szCs w:val="24"/>
        </w:rPr>
        <w:t>日16点</w:t>
      </w:r>
      <w:r>
        <w:rPr>
          <w:rFonts w:hint="eastAsia" w:ascii="仿宋_GB2312" w:hAnsi="仿宋_GB2312" w:eastAsia="仿宋_GB2312" w:cs="仿宋_GB2312"/>
          <w:b w:val="0"/>
          <w:bCs w:val="0"/>
          <w:color w:val="auto"/>
          <w:sz w:val="24"/>
          <w:szCs w:val="24"/>
          <w:lang w:val="en-US" w:eastAsia="zh-CN"/>
        </w:rPr>
        <w:t>0</w:t>
      </w:r>
      <w:r>
        <w:rPr>
          <w:rFonts w:hint="eastAsia" w:ascii="仿宋_GB2312" w:hAnsi="仿宋_GB2312" w:eastAsia="仿宋_GB2312" w:cs="仿宋_GB2312"/>
          <w:b w:val="0"/>
          <w:bCs w:val="0"/>
          <w:color w:val="auto"/>
          <w:sz w:val="24"/>
          <w:szCs w:val="24"/>
        </w:rPr>
        <w:t>0分（北京时间）</w:t>
      </w:r>
      <w:r>
        <w:rPr>
          <w:rFonts w:hint="eastAsia" w:ascii="仿宋_GB2312" w:hAnsi="仿宋_GB2312" w:eastAsia="仿宋_GB2312" w:cs="仿宋_GB2312"/>
          <w:bCs/>
          <w:sz w:val="24"/>
          <w:szCs w:val="24"/>
        </w:rPr>
        <w:t>前提交投标文件</w:t>
      </w:r>
      <w:r>
        <w:rPr>
          <w:rFonts w:hint="eastAsia" w:ascii="仿宋_GB2312" w:hAnsi="仿宋_GB2312" w:eastAsia="仿宋_GB2312" w:cs="仿宋_GB2312"/>
          <w:sz w:val="24"/>
          <w:szCs w:val="24"/>
        </w:rPr>
        <w:t>。</w:t>
      </w:r>
    </w:p>
    <w:p>
      <w:pPr>
        <w:pStyle w:val="4"/>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3" w:name="_Toc28359012"/>
      <w:bookmarkStart w:id="4" w:name="_Toc28359089"/>
      <w:bookmarkStart w:id="5" w:name="_Toc35393629"/>
      <w:bookmarkStart w:id="6" w:name="_Toc13011"/>
      <w:bookmarkStart w:id="7" w:name="_Toc35393798"/>
      <w:r>
        <w:rPr>
          <w:rFonts w:hint="eastAsia" w:ascii="仿宋_GB2312" w:hAnsi="仿宋_GB2312" w:eastAsia="仿宋_GB2312" w:cs="仿宋_GB2312"/>
          <w:bCs w:val="0"/>
          <w:sz w:val="24"/>
          <w:szCs w:val="24"/>
        </w:rPr>
        <w:t>一、项目基本情况</w:t>
      </w:r>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sz w:val="24"/>
          <w:szCs w:val="24"/>
        </w:rPr>
        <w:t>项目编号：</w:t>
      </w:r>
      <w:r>
        <w:rPr>
          <w:rFonts w:hint="eastAsia" w:ascii="仿宋_GB2312" w:hAnsi="仿宋_GB2312" w:eastAsia="仿宋_GB2312" w:cs="仿宋_GB2312"/>
          <w:sz w:val="24"/>
          <w:szCs w:val="24"/>
          <w:lang w:eastAsia="zh-CN"/>
        </w:rPr>
        <w:t>分2021-01-566-02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项目名称：</w:t>
      </w:r>
      <w:r>
        <w:rPr>
          <w:rFonts w:hint="eastAsia" w:ascii="仿宋_GB2312" w:hAnsi="仿宋_GB2312" w:eastAsia="仿宋_GB2312" w:cs="仿宋_GB2312"/>
          <w:sz w:val="24"/>
          <w:szCs w:val="24"/>
          <w:lang w:eastAsia="zh-CN"/>
        </w:rPr>
        <w:t>阿克苏地区疾控中心实验室检测设备购置项目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预算金额：</w:t>
      </w:r>
      <w:r>
        <w:rPr>
          <w:rFonts w:hint="eastAsia" w:ascii="仿宋_GB2312" w:hAnsi="仿宋_GB2312" w:eastAsia="仿宋_GB2312" w:cs="仿宋_GB2312"/>
          <w:sz w:val="24"/>
          <w:szCs w:val="24"/>
          <w:lang w:val="en-US" w:eastAsia="zh-CN"/>
        </w:rPr>
        <w:t>6890000.00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最高限价：</w:t>
      </w:r>
      <w:r>
        <w:rPr>
          <w:rFonts w:hint="eastAsia" w:ascii="仿宋_GB2312" w:hAnsi="仿宋_GB2312" w:eastAsia="仿宋_GB2312" w:cs="仿宋_GB2312"/>
          <w:sz w:val="24"/>
          <w:szCs w:val="24"/>
          <w:lang w:val="en-US" w:eastAsia="zh-CN"/>
        </w:rPr>
        <w:t>一包：1485000.00</w:t>
      </w:r>
      <w:r>
        <w:rPr>
          <w:rFonts w:hint="eastAsia" w:ascii="仿宋_GB2312" w:hAnsi="仿宋_GB2312" w:eastAsia="仿宋_GB2312" w:cs="仿宋_GB2312"/>
          <w:sz w:val="24"/>
          <w:szCs w:val="24"/>
        </w:rPr>
        <w:t>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二包：5405000.00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采购需求：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ascii="仿宋_GB2312" w:hAnsi="仿宋_GB2312" w:eastAsia="仿宋_GB2312" w:cs="仿宋_GB2312"/>
          <w:sz w:val="24"/>
          <w:szCs w:val="24"/>
        </w:rPr>
        <w:t>标项一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标项名称:</w:t>
      </w:r>
      <w:r>
        <w:rPr>
          <w:rFonts w:hint="eastAsia" w:ascii="仿宋_GB2312" w:hAnsi="仿宋_GB2312" w:eastAsia="仿宋_GB2312" w:cs="仿宋_GB2312"/>
          <w:sz w:val="24"/>
          <w:szCs w:val="24"/>
          <w:lang w:val="en-US" w:eastAsia="zh-CN"/>
        </w:rPr>
        <w:t>阿克苏地区疾控中心实验室检测设备购置项目（一包）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数量:1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预算金额（元）:</w:t>
      </w:r>
      <w:r>
        <w:rPr>
          <w:rFonts w:hint="eastAsia" w:ascii="仿宋_GB2312" w:hAnsi="仿宋_GB2312" w:eastAsia="仿宋_GB2312" w:cs="仿宋_GB2312"/>
          <w:sz w:val="24"/>
          <w:szCs w:val="24"/>
          <w:lang w:val="en-US" w:eastAsia="zh-CN"/>
        </w:rPr>
        <w:t>1485000.00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单位：</w:t>
      </w:r>
      <w:r>
        <w:rPr>
          <w:rFonts w:hint="eastAsia" w:ascii="仿宋_GB2312" w:hAnsi="仿宋_GB2312" w:eastAsia="仿宋_GB2312" w:cs="仿宋_GB2312"/>
          <w:sz w:val="24"/>
          <w:szCs w:val="24"/>
          <w:lang w:val="en-US" w:eastAsia="zh-CN"/>
        </w:rPr>
        <w:t>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简要规格描述：脉冲场凝胶电泳</w:t>
      </w:r>
      <w:r>
        <w:rPr>
          <w:rFonts w:hint="eastAsia" w:ascii="仿宋_GB2312" w:hAnsi="仿宋_GB2312" w:eastAsia="仿宋_GB2312" w:cs="仿宋_GB2312"/>
          <w:sz w:val="24"/>
          <w:szCs w:val="24"/>
          <w:lang w:eastAsia="zh-CN"/>
        </w:rPr>
        <w:t>等，详见采购文件及清单。</w:t>
      </w:r>
      <w:r>
        <w:rPr>
          <w:rFonts w:hint="eastAsia" w:ascii="仿宋_GB2312" w:hAnsi="仿宋_GB2312" w:eastAsia="仿宋_GB2312" w:cs="仿宋_GB2312"/>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ascii="仿宋_GB2312" w:hAnsi="仿宋_GB2312" w:eastAsia="仿宋_GB2312" w:cs="仿宋_GB2312"/>
          <w:sz w:val="24"/>
          <w:szCs w:val="24"/>
        </w:rPr>
        <w:t>标项</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标项名称:</w:t>
      </w:r>
      <w:r>
        <w:rPr>
          <w:rFonts w:hint="eastAsia" w:ascii="仿宋_GB2312" w:hAnsi="仿宋_GB2312" w:eastAsia="仿宋_GB2312" w:cs="仿宋_GB2312"/>
          <w:sz w:val="24"/>
          <w:szCs w:val="24"/>
          <w:lang w:val="en-US" w:eastAsia="zh-CN"/>
        </w:rPr>
        <w:t>阿克苏地区疾控中心实验室检测设备购置项目（二包）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数量:</w:t>
      </w:r>
      <w:r>
        <w:rPr>
          <w:rFonts w:hint="eastAsia" w:ascii="仿宋_GB2312" w:hAnsi="仿宋_GB2312" w:eastAsia="仿宋_GB2312" w:cs="仿宋_GB2312"/>
          <w:sz w:val="24"/>
          <w:szCs w:val="24"/>
          <w:lang w:val="en-US" w:eastAsia="zh-CN"/>
        </w:rPr>
        <w:t>30台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预算金额（元）:</w:t>
      </w:r>
      <w:r>
        <w:rPr>
          <w:rFonts w:hint="eastAsia" w:ascii="仿宋_GB2312" w:hAnsi="仿宋_GB2312" w:eastAsia="仿宋_GB2312" w:cs="仿宋_GB2312"/>
          <w:sz w:val="24"/>
          <w:szCs w:val="24"/>
          <w:lang w:val="en-US" w:eastAsia="zh-CN"/>
        </w:rPr>
        <w:t>5405000.00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单位：</w:t>
      </w:r>
      <w:r>
        <w:rPr>
          <w:rFonts w:hint="eastAsia" w:ascii="仿宋_GB2312" w:hAnsi="仿宋_GB2312" w:eastAsia="仿宋_GB2312" w:cs="仿宋_GB2312"/>
          <w:sz w:val="24"/>
          <w:szCs w:val="24"/>
          <w:lang w:val="en-US" w:eastAsia="zh-CN"/>
        </w:rPr>
        <w:t>批</w:t>
      </w:r>
      <w:bookmarkStart w:id="363" w:name="_GoBack"/>
      <w:bookmarkEnd w:id="36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rPr>
      </w:pPr>
      <w:r>
        <w:rPr>
          <w:rFonts w:hint="eastAsia" w:ascii="仿宋_GB2312" w:hAnsi="仿宋_GB2312" w:eastAsia="仿宋_GB2312" w:cs="仿宋_GB2312"/>
          <w:sz w:val="24"/>
          <w:szCs w:val="24"/>
        </w:rPr>
        <w:t>简要规格描述：</w:t>
      </w:r>
      <w:r>
        <w:rPr>
          <w:rFonts w:hint="eastAsia" w:ascii="仿宋_GB2312" w:hAnsi="仿宋_GB2312" w:eastAsia="仿宋_GB2312" w:cs="仿宋_GB2312"/>
          <w:sz w:val="24"/>
          <w:szCs w:val="24"/>
          <w:lang w:val="en-US" w:eastAsia="zh-CN"/>
        </w:rPr>
        <w:t>高通量基因测序仪</w:t>
      </w:r>
      <w:r>
        <w:rPr>
          <w:rFonts w:hint="eastAsia" w:ascii="仿宋_GB2312" w:hAnsi="仿宋_GB2312" w:eastAsia="仿宋_GB2312" w:cs="仿宋_GB2312"/>
          <w:sz w:val="24"/>
          <w:szCs w:val="24"/>
        </w:rPr>
        <w:t>等设备</w:t>
      </w:r>
      <w:r>
        <w:rPr>
          <w:rFonts w:hint="eastAsia" w:ascii="仿宋_GB2312" w:hAnsi="仿宋_GB2312" w:eastAsia="仿宋_GB2312" w:cs="仿宋_GB2312"/>
          <w:sz w:val="24"/>
          <w:szCs w:val="24"/>
          <w:lang w:eastAsia="zh-CN"/>
        </w:rPr>
        <w:t>，详见采购文件及清单。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合同履行期限：按照甲乙双方签订的合同日期执行。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本项目不接受联合体。</w:t>
      </w:r>
    </w:p>
    <w:p>
      <w:pPr>
        <w:pStyle w:val="4"/>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bCs w:val="0"/>
          <w:sz w:val="24"/>
          <w:szCs w:val="24"/>
        </w:rPr>
      </w:pPr>
      <w:bookmarkStart w:id="8" w:name="_Toc28359090"/>
      <w:bookmarkStart w:id="9" w:name="_Toc14624"/>
      <w:bookmarkStart w:id="10" w:name="_Toc35393799"/>
      <w:bookmarkStart w:id="11" w:name="_Toc35393630"/>
      <w:bookmarkStart w:id="12" w:name="_Toc28359013"/>
      <w:r>
        <w:rPr>
          <w:rFonts w:hint="eastAsia" w:ascii="仿宋_GB2312" w:hAnsi="仿宋_GB2312" w:eastAsia="仿宋_GB2312" w:cs="仿宋_GB2312"/>
          <w:bCs w:val="0"/>
          <w:sz w:val="24"/>
          <w:szCs w:val="24"/>
        </w:rPr>
        <w:t>二、申请人的资格要求：</w:t>
      </w:r>
      <w:bookmarkEnd w:id="8"/>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bookmarkStart w:id="13" w:name="_Toc35393631"/>
      <w:bookmarkStart w:id="14" w:name="_Toc28359091"/>
      <w:bookmarkStart w:id="15" w:name="_Toc35393800"/>
      <w:bookmarkStart w:id="16" w:name="_Toc28359014"/>
      <w:r>
        <w:rPr>
          <w:rFonts w:hint="eastAsia" w:ascii="仿宋_GB2312" w:hAnsi="仿宋_GB2312" w:eastAsia="仿宋_GB2312" w:cs="仿宋_GB2312"/>
          <w:sz w:val="24"/>
          <w:szCs w:val="24"/>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（1）财政部、工业和信息化部关于印发《政府采购促进中小企业发展管理办法》的通知（财库〔2020〕46号）；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（2）《财政部、司法部关于政府采购支持监狱企业发展有关问题的通知》（财库[2014]68号）；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（3）《国务院办公厅关于建立政府强制采购节能产品制度的通知》（国发办[2007]51号）；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（4）《财政部 民政部 中国残疾人联合会关于促进残疾人就业政府采购政策的通知》财库[2017]141号；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3、本项目的特定资格要求：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标项一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（1）具有有效经年检的三证合一的营业执照原件；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（2）具有近</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2020年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的财务审计报告或成立不满足一年的提供财务报表；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）提供近六个月完税证明和盖有社保局公章的社保缴纳证明（社保缴纳证明中含法人及委托人的社保明细）；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）法定代表人到场需提供法定代表人身份证明及身份证原件，授权委托人到场的需提供附有法定代表人身份证明的授权委托书及被委托人身份证原件；</w:t>
      </w:r>
    </w:p>
    <w:p>
      <w:pPr>
        <w:pStyle w:val="14"/>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）未被“信用中国”（www.creditchina.gov.cn）、中国政府采购网（www.ccgp.gov.cn）列入失信被执行人、重大税收违法案件当事人名单、政府采购严重违法失信行为记录名单的﹙供应商网上自行打印后加盖公章﹚；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（1）具有有效经年检的三证合一的营业执照原件；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（2）具有近</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2020年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的财务审计报告或成立不满足一年的提供财务报表；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（3）具有有效的《医疗器械经营许可证》或《医疗器械生产许可证》，具有有效的二类医疗器械经营备案证；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（4）提供近六个月完税证明和盖有社保局公章的社保缴纳证明（社保缴纳证明中含法人及委托人的社保明细）；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（5）法定代表人到场需提供法定代表人身份证明及身份证原件，授权委托人到场的需提供附有法定代表人身份证明的授权委托书及被委托人身份证原件；</w:t>
      </w:r>
    </w:p>
    <w:p>
      <w:pPr>
        <w:pStyle w:val="14"/>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（6）未被“信用中国”（www.creditchina.gov.cn）、中国政府采购网（www.ccgp.gov.cn）列入失信被执行人、重大税收违法案件当事人名单、政府采购严重违法失信行为记录名单的﹙供应商网上自行打印后加盖公章﹚；</w:t>
      </w:r>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b/>
          <w:sz w:val="24"/>
          <w:szCs w:val="24"/>
        </w:rPr>
      </w:pPr>
      <w:r>
        <w:rPr>
          <w:rFonts w:hint="eastAsia" w:ascii="仿宋_GB2312" w:hAnsi="仿宋_GB2312" w:eastAsia="仿宋_GB2312" w:cs="仿宋_GB2312"/>
          <w:b/>
          <w:sz w:val="24"/>
          <w:szCs w:val="24"/>
        </w:rPr>
        <w:t>三、获取招标文件</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时间：</w:t>
      </w:r>
      <w:r>
        <w:rPr>
          <w:rFonts w:hint="eastAsia" w:ascii="仿宋_GB2312" w:hAnsi="仿宋_GB2312" w:eastAsia="仿宋_GB2312" w:cs="仿宋_GB2312"/>
          <w:color w:val="auto"/>
          <w:sz w:val="24"/>
          <w:szCs w:val="24"/>
        </w:rPr>
        <w:t>2021年</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lang w:val="en-US" w:eastAsia="zh-CN"/>
        </w:rPr>
        <w:t>31</w:t>
      </w:r>
      <w:r>
        <w:rPr>
          <w:rFonts w:hint="eastAsia" w:ascii="仿宋_GB2312" w:hAnsi="仿宋_GB2312" w:eastAsia="仿宋_GB2312" w:cs="仿宋_GB2312"/>
          <w:color w:val="auto"/>
          <w:sz w:val="24"/>
          <w:szCs w:val="24"/>
        </w:rPr>
        <w:t>日至 202</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日，</w:t>
      </w:r>
      <w:r>
        <w:rPr>
          <w:rFonts w:hint="eastAsia" w:ascii="仿宋_GB2312" w:hAnsi="仿宋_GB2312" w:eastAsia="仿宋_GB2312" w:cs="仿宋_GB2312"/>
          <w:sz w:val="24"/>
          <w:szCs w:val="24"/>
        </w:rPr>
        <w:t>每天上午</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:00至1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:00，下午1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0至</w:t>
      </w:r>
      <w:r>
        <w:rPr>
          <w:rFonts w:hint="eastAsia" w:ascii="仿宋_GB2312" w:hAnsi="仿宋_GB2312" w:eastAsia="仿宋_GB2312" w:cs="仿宋_GB2312"/>
          <w:sz w:val="24"/>
          <w:szCs w:val="24"/>
          <w:lang w:val="en-US" w:eastAsia="zh-CN"/>
        </w:rPr>
        <w:t>19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（北京时间，法定节假日除外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地点：</w:t>
      </w:r>
      <w:r>
        <w:rPr>
          <w:rFonts w:hint="eastAsia" w:ascii="仿宋_GB2312" w:hAnsi="仿宋_GB2312" w:eastAsia="仿宋_GB2312" w:cs="仿宋_GB2312"/>
          <w:kern w:val="0"/>
          <w:sz w:val="24"/>
          <w:szCs w:val="24"/>
        </w:rPr>
        <w:t>政采云平台</w:t>
      </w:r>
      <w:r>
        <w:rPr>
          <w:rFonts w:hint="eastAsia" w:ascii="仿宋_GB2312" w:hAnsi="仿宋_GB2312" w:eastAsia="仿宋_GB2312" w:cs="仿宋_GB2312"/>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方式：政采云平台注册报名成功后下载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售价： 0 元/份</w:t>
      </w:r>
    </w:p>
    <w:p>
      <w:pPr>
        <w:pStyle w:val="4"/>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17" w:name="_Toc35393632"/>
      <w:bookmarkStart w:id="18" w:name="_Toc28359092"/>
      <w:bookmarkStart w:id="19" w:name="_Toc35393801"/>
      <w:bookmarkStart w:id="20" w:name="_Toc28359015"/>
      <w:bookmarkStart w:id="21" w:name="_Toc4828"/>
      <w:r>
        <w:rPr>
          <w:rFonts w:hint="eastAsia" w:ascii="仿宋_GB2312" w:hAnsi="仿宋_GB2312" w:eastAsia="仿宋_GB2312" w:cs="仿宋_GB2312"/>
          <w:bCs w:val="0"/>
          <w:sz w:val="24"/>
          <w:szCs w:val="24"/>
        </w:rPr>
        <w:t>四、</w:t>
      </w:r>
      <w:bookmarkEnd w:id="17"/>
      <w:bookmarkEnd w:id="18"/>
      <w:bookmarkEnd w:id="19"/>
      <w:bookmarkEnd w:id="20"/>
      <w:r>
        <w:rPr>
          <w:rFonts w:hint="eastAsia" w:ascii="仿宋_GB2312" w:hAnsi="仿宋_GB2312" w:eastAsia="仿宋_GB2312" w:cs="仿宋_GB2312"/>
          <w:bCs w:val="0"/>
          <w:sz w:val="24"/>
          <w:szCs w:val="24"/>
        </w:rPr>
        <w:t>提交投标文件截止时间、开标时间和地点</w:t>
      </w:r>
      <w:bookmarkEnd w:id="2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bCs/>
          <w:sz w:val="24"/>
          <w:szCs w:val="24"/>
        </w:rPr>
      </w:pPr>
      <w:r>
        <w:rPr>
          <w:rFonts w:hint="eastAsia" w:ascii="仿宋_GB2312" w:hAnsi="仿宋_GB2312" w:eastAsia="仿宋_GB2312" w:cs="仿宋_GB2312"/>
          <w:sz w:val="24"/>
          <w:szCs w:val="24"/>
        </w:rPr>
        <w:t>截止时间：</w:t>
      </w:r>
      <w:r>
        <w:rPr>
          <w:rFonts w:hint="eastAsia" w:ascii="仿宋_GB2312" w:hAnsi="仿宋_GB2312" w:eastAsia="仿宋_GB2312" w:cs="仿宋_GB2312"/>
          <w:b w:val="0"/>
          <w:bCs w:val="0"/>
          <w:color w:val="auto"/>
          <w:sz w:val="24"/>
          <w:szCs w:val="24"/>
        </w:rPr>
        <w:t>202</w:t>
      </w:r>
      <w:r>
        <w:rPr>
          <w:rFonts w:hint="eastAsia" w:ascii="仿宋_GB2312" w:hAnsi="仿宋_GB2312" w:eastAsia="仿宋_GB2312" w:cs="仿宋_GB2312"/>
          <w:b w:val="0"/>
          <w:bCs w:val="0"/>
          <w:color w:val="auto"/>
          <w:sz w:val="24"/>
          <w:szCs w:val="24"/>
          <w:lang w:val="en-US" w:eastAsia="zh-CN"/>
        </w:rPr>
        <w:t>2</w:t>
      </w:r>
      <w:r>
        <w:rPr>
          <w:rFonts w:hint="eastAsia" w:ascii="仿宋_GB2312" w:hAnsi="仿宋_GB2312" w:eastAsia="仿宋_GB2312" w:cs="仿宋_GB2312"/>
          <w:b w:val="0"/>
          <w:bCs w:val="0"/>
          <w:color w:val="auto"/>
          <w:sz w:val="24"/>
          <w:szCs w:val="24"/>
        </w:rPr>
        <w:t>年</w:t>
      </w:r>
      <w:r>
        <w:rPr>
          <w:rFonts w:hint="eastAsia" w:ascii="仿宋_GB2312" w:hAnsi="仿宋_GB2312" w:eastAsia="仿宋_GB2312" w:cs="仿宋_GB2312"/>
          <w:b w:val="0"/>
          <w:bCs w:val="0"/>
          <w:color w:val="auto"/>
          <w:sz w:val="24"/>
          <w:szCs w:val="24"/>
          <w:lang w:val="en-US" w:eastAsia="zh-CN"/>
        </w:rPr>
        <w:t>1</w:t>
      </w:r>
      <w:r>
        <w:rPr>
          <w:rFonts w:hint="eastAsia" w:ascii="仿宋_GB2312" w:hAnsi="仿宋_GB2312" w:eastAsia="仿宋_GB2312" w:cs="仿宋_GB2312"/>
          <w:b w:val="0"/>
          <w:bCs w:val="0"/>
          <w:color w:val="auto"/>
          <w:sz w:val="24"/>
          <w:szCs w:val="24"/>
        </w:rPr>
        <w:t>月</w:t>
      </w:r>
      <w:r>
        <w:rPr>
          <w:rFonts w:hint="eastAsia" w:ascii="仿宋_GB2312" w:hAnsi="仿宋_GB2312" w:eastAsia="仿宋_GB2312" w:cs="仿宋_GB2312"/>
          <w:b w:val="0"/>
          <w:bCs w:val="0"/>
          <w:color w:val="auto"/>
          <w:sz w:val="24"/>
          <w:szCs w:val="24"/>
          <w:lang w:val="en-US" w:eastAsia="zh-CN"/>
        </w:rPr>
        <w:t>21</w:t>
      </w:r>
      <w:r>
        <w:rPr>
          <w:rFonts w:hint="eastAsia" w:ascii="仿宋_GB2312" w:hAnsi="仿宋_GB2312" w:eastAsia="仿宋_GB2312" w:cs="仿宋_GB2312"/>
          <w:b w:val="0"/>
          <w:bCs w:val="0"/>
          <w:color w:val="auto"/>
          <w:sz w:val="24"/>
          <w:szCs w:val="24"/>
        </w:rPr>
        <w:t>日16点</w:t>
      </w:r>
      <w:r>
        <w:rPr>
          <w:rFonts w:hint="eastAsia" w:ascii="仿宋_GB2312" w:hAnsi="仿宋_GB2312" w:eastAsia="仿宋_GB2312" w:cs="仿宋_GB2312"/>
          <w:b w:val="0"/>
          <w:bCs w:val="0"/>
          <w:color w:val="auto"/>
          <w:sz w:val="24"/>
          <w:szCs w:val="24"/>
          <w:lang w:val="en-US" w:eastAsia="zh-CN"/>
        </w:rPr>
        <w:t>0</w:t>
      </w:r>
      <w:r>
        <w:rPr>
          <w:rFonts w:hint="eastAsia" w:ascii="仿宋_GB2312" w:hAnsi="仿宋_GB2312" w:eastAsia="仿宋_GB2312" w:cs="仿宋_GB2312"/>
          <w:b w:val="0"/>
          <w:bCs w:val="0"/>
          <w:color w:val="auto"/>
          <w:sz w:val="24"/>
          <w:szCs w:val="24"/>
        </w:rPr>
        <w:t>0分</w:t>
      </w:r>
      <w:r>
        <w:rPr>
          <w:rFonts w:hint="eastAsia" w:ascii="仿宋_GB2312" w:hAnsi="仿宋_GB2312" w:eastAsia="仿宋_GB2312" w:cs="仿宋_GB2312"/>
          <w:bCs/>
          <w:sz w:val="24"/>
          <w:szCs w:val="24"/>
        </w:rPr>
        <w:t>（北京时间）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bCs/>
          <w:sz w:val="24"/>
          <w:szCs w:val="24"/>
        </w:rPr>
      </w:pPr>
      <w:r>
        <w:rPr>
          <w:rFonts w:hint="eastAsia" w:ascii="仿宋_GB2312" w:hAnsi="仿宋_GB2312" w:eastAsia="仿宋_GB2312" w:cs="仿宋_GB2312"/>
          <w:sz w:val="24"/>
          <w:szCs w:val="24"/>
        </w:rPr>
        <w:t xml:space="preserve">地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点：阿克苏药品集散中心办公大楼（温宿县长兴街15号）一楼</w:t>
      </w:r>
    </w:p>
    <w:p>
      <w:pPr>
        <w:pStyle w:val="4"/>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22" w:name="_Toc35393803"/>
      <w:bookmarkStart w:id="23" w:name="_Toc28359017"/>
      <w:bookmarkStart w:id="24" w:name="_Toc23029"/>
      <w:bookmarkStart w:id="25" w:name="_Toc28359094"/>
      <w:bookmarkStart w:id="26" w:name="_Toc35393634"/>
      <w:r>
        <w:rPr>
          <w:rFonts w:hint="eastAsia" w:ascii="仿宋_GB2312" w:hAnsi="仿宋_GB2312" w:eastAsia="仿宋_GB2312" w:cs="仿宋_GB2312"/>
          <w:bCs w:val="0"/>
          <w:sz w:val="24"/>
          <w:szCs w:val="24"/>
        </w:rPr>
        <w:t>五、公告期限</w:t>
      </w:r>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自本公告发布之日起5个工作日。</w:t>
      </w:r>
    </w:p>
    <w:p>
      <w:pPr>
        <w:pStyle w:val="4"/>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 w:val="0"/>
          <w:sz w:val="24"/>
          <w:szCs w:val="24"/>
        </w:rPr>
      </w:pPr>
      <w:bookmarkStart w:id="27" w:name="_Toc35393804"/>
      <w:bookmarkStart w:id="28" w:name="_Toc35393635"/>
      <w:bookmarkStart w:id="29" w:name="_Toc31024"/>
      <w:r>
        <w:rPr>
          <w:rFonts w:hint="eastAsia" w:ascii="仿宋_GB2312" w:hAnsi="仿宋_GB2312" w:eastAsia="仿宋_GB2312" w:cs="仿宋_GB2312"/>
          <w:bCs w:val="0"/>
          <w:sz w:val="24"/>
          <w:szCs w:val="24"/>
        </w:rPr>
        <w:t>六、其他补充事宜</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kern w:val="0"/>
          <w:sz w:val="24"/>
          <w:szCs w:val="24"/>
        </w:rPr>
      </w:pPr>
      <w:r>
        <w:rPr>
          <w:rFonts w:hint="eastAsia" w:ascii="仿宋_GB2312" w:hAnsi="仿宋_GB2312" w:eastAsia="仿宋_GB2312" w:cs="仿宋_GB2312"/>
          <w:sz w:val="24"/>
          <w:szCs w:val="24"/>
        </w:rPr>
        <w:t xml:space="preserve">    本招标公告</w:t>
      </w:r>
      <w:r>
        <w:rPr>
          <w:rFonts w:hint="eastAsia" w:ascii="仿宋_GB2312" w:hAnsi="仿宋_GB2312" w:eastAsia="仿宋_GB2312" w:cs="仿宋_GB2312"/>
          <w:kern w:val="0"/>
          <w:sz w:val="24"/>
          <w:szCs w:val="24"/>
        </w:rPr>
        <w:t>在新疆政府采购网发布。</w:t>
      </w:r>
    </w:p>
    <w:p>
      <w:pPr>
        <w:pStyle w:val="4"/>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30" w:name="_Toc10649"/>
      <w:bookmarkStart w:id="31" w:name="_Toc35393805"/>
      <w:bookmarkStart w:id="32" w:name="_Toc28359018"/>
      <w:bookmarkStart w:id="33" w:name="_Toc35393636"/>
      <w:bookmarkStart w:id="34" w:name="_Toc28359095"/>
      <w:r>
        <w:rPr>
          <w:rFonts w:hint="eastAsia" w:ascii="仿宋_GB2312" w:hAnsi="仿宋_GB2312" w:eastAsia="仿宋_GB2312" w:cs="仿宋_GB2312"/>
          <w:bCs w:val="0"/>
          <w:sz w:val="24"/>
          <w:szCs w:val="24"/>
        </w:rPr>
        <w:t>八、对本次招标提出询问，请按以下方式联系。</w:t>
      </w:r>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bookmarkStart w:id="35" w:name="_Toc35393637"/>
      <w:bookmarkStart w:id="36" w:name="_Toc35393806"/>
      <w:bookmarkStart w:id="37" w:name="_Toc28359096"/>
      <w:bookmarkStart w:id="38" w:name="_Toc28359019"/>
      <w:r>
        <w:rPr>
          <w:rFonts w:hint="eastAsia" w:ascii="仿宋_GB2312" w:hAnsi="仿宋_GB2312" w:eastAsia="仿宋_GB2312" w:cs="仿宋_GB2312"/>
          <w:kern w:val="0"/>
          <w:sz w:val="24"/>
          <w:szCs w:val="24"/>
        </w:rPr>
        <w:t>1、采购人信息</w:t>
      </w:r>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名    称：新疆维吾尔自治区阿克苏地区疾病预防控制中心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地    址：阿克苏市建设路24号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项目联系方式：0997-2556906             　</w:t>
      </w:r>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bookmarkStart w:id="39" w:name="_Toc35393638"/>
      <w:bookmarkStart w:id="40" w:name="_Toc28359097"/>
      <w:bookmarkStart w:id="41" w:name="_Toc35393807"/>
      <w:bookmarkStart w:id="42" w:name="_Toc28359020"/>
      <w:r>
        <w:rPr>
          <w:rFonts w:hint="eastAsia" w:ascii="仿宋_GB2312" w:hAnsi="仿宋_GB2312" w:eastAsia="仿宋_GB2312" w:cs="仿宋_GB2312"/>
          <w:kern w:val="0"/>
          <w:sz w:val="24"/>
          <w:szCs w:val="24"/>
        </w:rPr>
        <w:t>2、采购代理机构信息</w:t>
      </w:r>
      <w:bookmarkEnd w:id="39"/>
      <w:bookmarkEnd w:id="40"/>
      <w:bookmarkEnd w:id="41"/>
      <w:bookmarkEnd w:id="4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名    称：</w:t>
      </w:r>
      <w:r>
        <w:rPr>
          <w:rFonts w:hint="eastAsia" w:ascii="仿宋_GB2312" w:hAnsi="仿宋_GB2312" w:eastAsia="仿宋_GB2312" w:cs="仿宋_GB2312"/>
          <w:kern w:val="0"/>
          <w:sz w:val="24"/>
          <w:szCs w:val="24"/>
          <w:lang w:eastAsia="zh-CN"/>
        </w:rPr>
        <w:t>新疆华玫睿项目管理有限公司</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地　　址：</w:t>
      </w:r>
      <w:r>
        <w:rPr>
          <w:rFonts w:hint="eastAsia" w:ascii="仿宋_GB2312" w:hAnsi="仿宋_GB2312" w:eastAsia="仿宋_GB2312" w:cs="仿宋_GB2312"/>
          <w:kern w:val="0"/>
          <w:sz w:val="24"/>
          <w:szCs w:val="24"/>
          <w:lang w:val="en-US" w:eastAsia="zh-CN"/>
        </w:rPr>
        <w:t>阿克苏市南城街道南郊路6号多浪水泥厂家属院办公楼201室  </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项目联系方式：</w:t>
      </w:r>
      <w:r>
        <w:rPr>
          <w:rFonts w:hint="eastAsia" w:ascii="仿宋_GB2312" w:hAnsi="仿宋_GB2312" w:eastAsia="仿宋_GB2312" w:cs="仿宋_GB2312"/>
          <w:kern w:val="0"/>
          <w:sz w:val="24"/>
          <w:szCs w:val="24"/>
          <w:lang w:val="en-US" w:eastAsia="zh-CN"/>
        </w:rPr>
        <w:t>15292348006</w:t>
      </w:r>
      <w:r>
        <w:rPr>
          <w:rFonts w:hint="eastAsia" w:ascii="仿宋_GB2312" w:hAnsi="仿宋_GB2312" w:eastAsia="仿宋_GB2312" w:cs="仿宋_GB2312"/>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3、项目联系方式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项目联系人：</w:t>
      </w:r>
      <w:r>
        <w:rPr>
          <w:rFonts w:hint="eastAsia" w:ascii="仿宋_GB2312" w:hAnsi="仿宋_GB2312" w:eastAsia="仿宋_GB2312" w:cs="仿宋_GB2312"/>
          <w:kern w:val="0"/>
          <w:sz w:val="24"/>
          <w:szCs w:val="24"/>
          <w:lang w:eastAsia="zh-CN"/>
        </w:rPr>
        <w:t>张恩慈</w:t>
      </w:r>
      <w:r>
        <w:rPr>
          <w:rFonts w:hint="eastAsia" w:ascii="仿宋_GB2312" w:hAnsi="仿宋_GB2312" w:eastAsia="仿宋_GB2312" w:cs="仿宋_GB2312"/>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24"/>
          <w:szCs w:val="24"/>
        </w:rPr>
        <w:t>电　　  话：</w:t>
      </w:r>
      <w:r>
        <w:rPr>
          <w:rFonts w:hint="eastAsia" w:ascii="仿宋_GB2312" w:hAnsi="仿宋_GB2312" w:eastAsia="仿宋_GB2312" w:cs="仿宋_GB2312"/>
          <w:kern w:val="0"/>
          <w:sz w:val="24"/>
          <w:szCs w:val="24"/>
          <w:lang w:val="en-US" w:eastAsia="zh-CN"/>
        </w:rPr>
        <w:t>15292348006</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32"/>
          <w:szCs w:val="32"/>
        </w:rPr>
        <w:t xml:space="preserve">   </w:t>
      </w:r>
    </w:p>
    <w:p>
      <w:pPr>
        <w:spacing w:line="560" w:lineRule="exact"/>
        <w:ind w:firstLine="640" w:firstLineChars="200"/>
        <w:rPr>
          <w:rFonts w:ascii="仿宋_GB2312" w:hAnsi="仿宋_GB2312" w:eastAsia="仿宋_GB2312" w:cs="仿宋_GB2312"/>
          <w:kern w:val="0"/>
          <w:sz w:val="32"/>
          <w:szCs w:val="32"/>
        </w:rPr>
      </w:pPr>
    </w:p>
    <w:p>
      <w:pPr>
        <w:spacing w:line="480" w:lineRule="exact"/>
        <w:ind w:firstLine="48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32"/>
          <w:szCs w:val="32"/>
        </w:rPr>
        <w:t xml:space="preserve">  </w:t>
      </w:r>
    </w:p>
    <w:p>
      <w:pPr>
        <w:spacing w:line="560" w:lineRule="exact"/>
        <w:ind w:firstLine="640" w:firstLineChars="200"/>
        <w:rPr>
          <w:rFonts w:ascii="仿宋_GB2312" w:hAnsi="仿宋_GB2312" w:eastAsia="仿宋_GB2312" w:cs="仿宋_GB2312"/>
          <w:kern w:val="0"/>
          <w:sz w:val="32"/>
          <w:szCs w:val="32"/>
        </w:rPr>
      </w:pPr>
    </w:p>
    <w:p>
      <w:pPr>
        <w:pStyle w:val="67"/>
        <w:snapToGrid w:val="0"/>
        <w:spacing w:line="360" w:lineRule="exact"/>
        <w:jc w:val="center"/>
        <w:outlineLvl w:val="0"/>
        <w:rPr>
          <w:rFonts w:hint="eastAsia"/>
          <w:b/>
          <w:bCs/>
          <w:color w:val="auto"/>
          <w:sz w:val="32"/>
          <w:szCs w:val="32"/>
        </w:rPr>
      </w:pPr>
      <w:bookmarkStart w:id="43" w:name="_Toc30743"/>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rFonts w:hint="eastAsia"/>
          <w:b/>
          <w:bCs/>
          <w:color w:val="auto"/>
          <w:sz w:val="32"/>
          <w:szCs w:val="32"/>
        </w:rPr>
      </w:pPr>
    </w:p>
    <w:p>
      <w:pPr>
        <w:pStyle w:val="67"/>
        <w:snapToGrid w:val="0"/>
        <w:spacing w:line="360" w:lineRule="exact"/>
        <w:jc w:val="center"/>
        <w:outlineLvl w:val="0"/>
        <w:rPr>
          <w:b/>
          <w:bCs/>
          <w:color w:val="auto"/>
          <w:sz w:val="32"/>
          <w:szCs w:val="32"/>
        </w:rPr>
      </w:pPr>
      <w:r>
        <w:rPr>
          <w:rFonts w:hint="eastAsia"/>
          <w:b/>
          <w:bCs/>
          <w:color w:val="auto"/>
          <w:sz w:val="32"/>
          <w:szCs w:val="32"/>
        </w:rPr>
        <w:t>第二章  投标人须知</w:t>
      </w:r>
      <w:bookmarkEnd w:id="43"/>
    </w:p>
    <w:p>
      <w:pPr>
        <w:pStyle w:val="67"/>
        <w:snapToGrid w:val="0"/>
        <w:spacing w:line="276" w:lineRule="auto"/>
        <w:jc w:val="center"/>
        <w:outlineLvl w:val="0"/>
        <w:rPr>
          <w:rFonts w:ascii="宋体" w:hAnsi="宋体"/>
          <w:b/>
          <w:bCs/>
          <w:color w:val="auto"/>
          <w:sz w:val="28"/>
          <w:szCs w:val="28"/>
        </w:rPr>
      </w:pPr>
      <w:bookmarkStart w:id="44" w:name="_Toc16728"/>
      <w:r>
        <w:rPr>
          <w:rFonts w:hint="eastAsia" w:ascii="宋体" w:hAnsi="宋体"/>
          <w:b/>
          <w:bCs/>
          <w:color w:val="auto"/>
          <w:sz w:val="28"/>
          <w:szCs w:val="28"/>
        </w:rPr>
        <w:t>投标人须知前附表</w:t>
      </w:r>
      <w:bookmarkEnd w:id="44"/>
    </w:p>
    <w:tbl>
      <w:tblPr>
        <w:tblStyle w:val="39"/>
        <w:tblW w:w="0" w:type="auto"/>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782"/>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21" w:type="dxa"/>
            <w:vAlign w:val="center"/>
          </w:tcPr>
          <w:p>
            <w:pPr>
              <w:spacing w:line="276" w:lineRule="auto"/>
              <w:jc w:val="center"/>
              <w:rPr>
                <w:rFonts w:ascii="宋体" w:hAnsi="宋体"/>
                <w:b/>
                <w:sz w:val="24"/>
              </w:rPr>
            </w:pPr>
            <w:bookmarkStart w:id="45" w:name="_Toc811"/>
            <w:r>
              <w:rPr>
                <w:rFonts w:hint="eastAsia" w:ascii="宋体" w:hAnsi="宋体"/>
                <w:b/>
                <w:sz w:val="24"/>
              </w:rPr>
              <w:t>序号</w:t>
            </w:r>
          </w:p>
        </w:tc>
        <w:tc>
          <w:tcPr>
            <w:tcW w:w="8782" w:type="dxa"/>
            <w:vAlign w:val="center"/>
          </w:tcPr>
          <w:p>
            <w:pPr>
              <w:spacing w:line="276" w:lineRule="auto"/>
              <w:ind w:firstLine="482" w:firstLineChars="200"/>
              <w:jc w:val="center"/>
              <w:rPr>
                <w:rFonts w:ascii="宋体" w:hAnsi="宋体"/>
                <w:b/>
                <w:sz w:val="24"/>
              </w:rPr>
            </w:pPr>
            <w:r>
              <w:rPr>
                <w:rFonts w:hint="eastAsia" w:ascii="宋体" w:hAnsi="宋体"/>
                <w:b/>
                <w:sz w:val="24"/>
              </w:rPr>
              <w:t>内   容   规   定</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w:t>
            </w:r>
          </w:p>
        </w:tc>
        <w:tc>
          <w:tcPr>
            <w:tcW w:w="8782" w:type="dxa"/>
            <w:vAlign w:val="center"/>
          </w:tcPr>
          <w:p>
            <w:pPr>
              <w:spacing w:line="276" w:lineRule="auto"/>
              <w:ind w:left="1205" w:hanging="1205" w:hangingChars="500"/>
              <w:rPr>
                <w:rFonts w:hint="eastAsia" w:ascii="宋体" w:hAnsi="宋体" w:cs="Times New Roman"/>
                <w:kern w:val="2"/>
                <w:sz w:val="24"/>
                <w:szCs w:val="24"/>
                <w:lang w:val="en-US" w:eastAsia="zh-CN" w:bidi="ar-SA"/>
              </w:rPr>
            </w:pPr>
            <w:r>
              <w:rPr>
                <w:rFonts w:hint="eastAsia" w:ascii="宋体" w:hAnsi="宋体"/>
                <w:b/>
                <w:sz w:val="24"/>
              </w:rPr>
              <w:t>项目名称：</w:t>
            </w:r>
            <w:r>
              <w:rPr>
                <w:rFonts w:hint="eastAsia" w:ascii="宋体" w:hAnsi="宋体" w:cs="Times New Roman"/>
                <w:kern w:val="2"/>
                <w:sz w:val="24"/>
                <w:szCs w:val="24"/>
                <w:lang w:val="en-US" w:eastAsia="zh-CN" w:bidi="ar-SA"/>
              </w:rPr>
              <w:t>阿克苏地区疾控中心实验室检测设备购置项目（一包）</w:t>
            </w:r>
          </w:p>
          <w:p>
            <w:pPr>
              <w:pStyle w:val="10"/>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 xml:space="preserve">       阿克苏地区疾控中心实验室检测设备购置项目（二包）</w:t>
            </w:r>
          </w:p>
          <w:p>
            <w:pPr>
              <w:widowControl/>
              <w:spacing w:line="276" w:lineRule="auto"/>
              <w:jc w:val="left"/>
              <w:rPr>
                <w:rFonts w:hint="eastAsia" w:ascii="宋体" w:hAnsi="宋体"/>
                <w:b/>
                <w:color w:val="auto"/>
                <w:sz w:val="24"/>
                <w:lang w:val="en-US" w:eastAsia="zh-CN"/>
              </w:rPr>
            </w:pPr>
            <w:r>
              <w:rPr>
                <w:rFonts w:hint="eastAsia" w:ascii="宋体" w:hAnsi="宋体"/>
                <w:b/>
                <w:sz w:val="24"/>
              </w:rPr>
              <w:t>项目编号</w:t>
            </w:r>
            <w:r>
              <w:rPr>
                <w:rFonts w:hint="eastAsia" w:ascii="宋体" w:hAnsi="宋体"/>
                <w:b/>
                <w:sz w:val="24"/>
                <w:lang w:val="en-US" w:eastAsia="zh-CN"/>
              </w:rPr>
              <w:t>（一包）</w:t>
            </w:r>
            <w:r>
              <w:rPr>
                <w:rFonts w:hint="eastAsia" w:ascii="宋体" w:hAnsi="宋体"/>
                <w:b/>
                <w:sz w:val="24"/>
              </w:rPr>
              <w:t>：</w:t>
            </w:r>
            <w:r>
              <w:rPr>
                <w:rFonts w:hint="eastAsia" w:ascii="宋体" w:hAnsi="宋体"/>
                <w:b/>
                <w:color w:val="auto"/>
                <w:sz w:val="24"/>
                <w:lang w:eastAsia="zh-CN"/>
              </w:rPr>
              <w:t>分2021-01-566-02</w:t>
            </w:r>
            <w:r>
              <w:rPr>
                <w:rFonts w:hint="eastAsia" w:ascii="宋体" w:hAnsi="宋体"/>
                <w:b/>
                <w:color w:val="auto"/>
                <w:sz w:val="24"/>
                <w:lang w:val="en-US" w:eastAsia="zh-CN"/>
              </w:rPr>
              <w:t>-1</w:t>
            </w:r>
          </w:p>
          <w:p>
            <w:pPr>
              <w:pStyle w:val="10"/>
              <w:ind w:left="0" w:leftChars="0" w:firstLine="0" w:firstLineChars="0"/>
              <w:rPr>
                <w:rFonts w:hint="eastAsia" w:ascii="宋体" w:hAnsi="宋体"/>
                <w:b/>
                <w:color w:val="auto"/>
                <w:sz w:val="24"/>
                <w:lang w:val="en-US" w:eastAsia="zh-CN"/>
              </w:rPr>
            </w:pPr>
            <w:r>
              <w:rPr>
                <w:rFonts w:hint="eastAsia" w:ascii="宋体" w:hAnsi="宋体"/>
                <w:b/>
                <w:sz w:val="24"/>
              </w:rPr>
              <w:t>项目编号</w:t>
            </w:r>
            <w:r>
              <w:rPr>
                <w:rFonts w:hint="eastAsia" w:ascii="宋体" w:hAnsi="宋体"/>
                <w:b/>
                <w:sz w:val="24"/>
                <w:lang w:val="en-US" w:eastAsia="zh-CN"/>
              </w:rPr>
              <w:t>（二包）</w:t>
            </w:r>
            <w:r>
              <w:rPr>
                <w:rFonts w:hint="eastAsia" w:ascii="宋体" w:hAnsi="宋体"/>
                <w:b/>
                <w:sz w:val="24"/>
              </w:rPr>
              <w:t>：</w:t>
            </w:r>
            <w:r>
              <w:rPr>
                <w:rFonts w:hint="eastAsia" w:ascii="宋体" w:hAnsi="宋体"/>
                <w:b/>
                <w:color w:val="auto"/>
                <w:sz w:val="24"/>
                <w:lang w:eastAsia="zh-CN"/>
              </w:rPr>
              <w:t>分2021-01-566-02</w:t>
            </w:r>
            <w:r>
              <w:rPr>
                <w:rFonts w:hint="eastAsia" w:ascii="宋体" w:hAnsi="宋体"/>
                <w:b/>
                <w:color w:val="auto"/>
                <w:sz w:val="24"/>
                <w:lang w:val="en-US" w:eastAsia="zh-CN"/>
              </w:rPr>
              <w:t>-2</w:t>
            </w:r>
          </w:p>
          <w:p>
            <w:pPr>
              <w:pStyle w:val="10"/>
              <w:ind w:left="0" w:leftChars="0" w:firstLine="0" w:firstLineChars="0"/>
              <w:rPr>
                <w:rFonts w:hint="eastAsia" w:ascii="宋体" w:hAnsi="宋体"/>
                <w:sz w:val="24"/>
              </w:rPr>
            </w:pPr>
            <w:r>
              <w:rPr>
                <w:rFonts w:hint="eastAsia" w:ascii="宋体" w:hAnsi="宋体" w:cs="宋体"/>
                <w:b/>
                <w:kern w:val="0"/>
                <w:sz w:val="24"/>
                <w:lang w:eastAsia="zh-CN"/>
              </w:rPr>
              <w:t>（</w:t>
            </w:r>
            <w:r>
              <w:rPr>
                <w:rFonts w:hint="eastAsia" w:ascii="宋体" w:hAnsi="宋体" w:cs="宋体"/>
                <w:b/>
                <w:kern w:val="0"/>
                <w:sz w:val="24"/>
                <w:lang w:val="en-US" w:eastAsia="zh-CN"/>
              </w:rPr>
              <w:t>一包</w:t>
            </w:r>
            <w:r>
              <w:rPr>
                <w:rFonts w:hint="eastAsia" w:ascii="宋体" w:hAnsi="宋体" w:cs="宋体"/>
                <w:b/>
                <w:kern w:val="0"/>
                <w:sz w:val="24"/>
                <w:lang w:eastAsia="zh-CN"/>
              </w:rPr>
              <w:t>）</w:t>
            </w:r>
            <w:r>
              <w:rPr>
                <w:rFonts w:hint="eastAsia" w:ascii="宋体" w:hAnsi="宋体" w:cs="宋体"/>
                <w:b/>
                <w:kern w:val="0"/>
                <w:sz w:val="24"/>
                <w:lang w:val="en-US" w:eastAsia="zh-CN"/>
              </w:rPr>
              <w:t>服务</w:t>
            </w:r>
            <w:r>
              <w:rPr>
                <w:rFonts w:hint="eastAsia" w:ascii="宋体" w:hAnsi="宋体" w:cs="宋体"/>
                <w:b/>
                <w:kern w:val="0"/>
                <w:sz w:val="24"/>
              </w:rPr>
              <w:t>期：</w:t>
            </w:r>
            <w:r>
              <w:rPr>
                <w:rFonts w:hint="eastAsia" w:ascii="宋体" w:hAnsi="宋体"/>
                <w:sz w:val="24"/>
              </w:rPr>
              <w:t>合同签订之日起</w:t>
            </w:r>
            <w:r>
              <w:rPr>
                <w:rFonts w:hint="eastAsia" w:ascii="宋体" w:hAnsi="宋体"/>
                <w:sz w:val="24"/>
                <w:lang w:val="en-US" w:eastAsia="zh-CN"/>
              </w:rPr>
              <w:t>90</w:t>
            </w:r>
            <w:r>
              <w:rPr>
                <w:rFonts w:hint="eastAsia" w:ascii="宋体" w:hAnsi="宋体"/>
                <w:sz w:val="24"/>
              </w:rPr>
              <w:t>日历天完成安装、调试、培训。</w:t>
            </w:r>
          </w:p>
          <w:p>
            <w:pPr>
              <w:pStyle w:val="10"/>
              <w:ind w:left="0" w:leftChars="0" w:firstLine="0" w:firstLineChars="0"/>
              <w:rPr>
                <w:rFonts w:hint="default" w:ascii="宋体" w:hAnsi="宋体" w:eastAsia="宋体"/>
                <w:sz w:val="24"/>
                <w:lang w:val="en-US" w:eastAsia="zh-CN"/>
              </w:rPr>
            </w:pPr>
            <w:r>
              <w:rPr>
                <w:rFonts w:hint="eastAsia" w:ascii="宋体" w:hAnsi="宋体" w:cs="宋体"/>
                <w:b/>
                <w:kern w:val="0"/>
                <w:sz w:val="24"/>
                <w:lang w:eastAsia="zh-CN"/>
              </w:rPr>
              <w:t>（</w:t>
            </w:r>
            <w:r>
              <w:rPr>
                <w:rFonts w:hint="eastAsia" w:ascii="宋体" w:hAnsi="宋体" w:cs="宋体"/>
                <w:b/>
                <w:kern w:val="0"/>
                <w:sz w:val="24"/>
                <w:lang w:val="en-US" w:eastAsia="zh-CN"/>
              </w:rPr>
              <w:t>二包</w:t>
            </w:r>
            <w:r>
              <w:rPr>
                <w:rFonts w:hint="eastAsia" w:ascii="宋体" w:hAnsi="宋体" w:cs="宋体"/>
                <w:b/>
                <w:kern w:val="0"/>
                <w:sz w:val="24"/>
                <w:lang w:eastAsia="zh-CN"/>
              </w:rPr>
              <w:t>）</w:t>
            </w:r>
            <w:r>
              <w:rPr>
                <w:rFonts w:hint="eastAsia" w:ascii="宋体" w:hAnsi="宋体" w:cs="宋体"/>
                <w:b/>
                <w:kern w:val="0"/>
                <w:sz w:val="24"/>
              </w:rPr>
              <w:t>供货期：</w:t>
            </w:r>
            <w:r>
              <w:rPr>
                <w:rFonts w:hint="eastAsia" w:ascii="宋体" w:hAnsi="宋体"/>
                <w:sz w:val="24"/>
              </w:rPr>
              <w:t>合同签订之日起</w:t>
            </w:r>
            <w:r>
              <w:rPr>
                <w:rFonts w:hint="eastAsia" w:ascii="宋体" w:hAnsi="宋体"/>
                <w:sz w:val="24"/>
                <w:lang w:val="en-US" w:eastAsia="zh-CN"/>
              </w:rPr>
              <w:t>30</w:t>
            </w:r>
            <w:r>
              <w:rPr>
                <w:rFonts w:hint="eastAsia" w:ascii="宋体" w:hAnsi="宋体"/>
                <w:sz w:val="24"/>
              </w:rPr>
              <w:t>日历天完成供货、安装、调试、培训。</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w:t>
            </w:r>
          </w:p>
        </w:tc>
        <w:tc>
          <w:tcPr>
            <w:tcW w:w="8782" w:type="dxa"/>
            <w:vAlign w:val="center"/>
          </w:tcPr>
          <w:p>
            <w:pPr>
              <w:spacing w:line="276" w:lineRule="auto"/>
              <w:rPr>
                <w:rFonts w:hint="eastAsia" w:ascii="宋体" w:hAnsi="宋体" w:eastAsia="宋体" w:cs="宋体"/>
                <w:kern w:val="1"/>
                <w:sz w:val="24"/>
                <w:lang w:eastAsia="zh-CN"/>
              </w:rPr>
            </w:pPr>
            <w:r>
              <w:rPr>
                <w:rFonts w:hint="eastAsia" w:ascii="宋体" w:hAnsi="宋体"/>
                <w:b/>
                <w:sz w:val="24"/>
              </w:rPr>
              <w:t>招标人：</w:t>
            </w:r>
            <w:r>
              <w:rPr>
                <w:rFonts w:hint="eastAsia" w:ascii="宋体" w:hAnsi="宋体" w:cs="宋体"/>
                <w:kern w:val="1"/>
                <w:sz w:val="24"/>
              </w:rPr>
              <w:t>新疆</w:t>
            </w:r>
            <w:r>
              <w:rPr>
                <w:rFonts w:hint="eastAsia" w:ascii="宋体" w:hAnsi="宋体" w:cs="宋体"/>
                <w:kern w:val="1"/>
                <w:sz w:val="24"/>
                <w:lang w:eastAsia="zh-CN"/>
              </w:rPr>
              <w:t>新疆维吾尔自治区阿克苏地区疾病预防控制中心</w:t>
            </w:r>
          </w:p>
          <w:p>
            <w:pPr>
              <w:spacing w:line="276" w:lineRule="auto"/>
              <w:rPr>
                <w:rFonts w:hint="eastAsia" w:ascii="宋体" w:hAnsi="宋体" w:cs="宋体"/>
                <w:kern w:val="1"/>
                <w:sz w:val="24"/>
                <w:lang w:eastAsia="zh-CN"/>
              </w:rPr>
            </w:pPr>
            <w:r>
              <w:rPr>
                <w:rFonts w:hint="eastAsia" w:ascii="宋体" w:hAnsi="宋体"/>
                <w:b/>
                <w:sz w:val="24"/>
              </w:rPr>
              <w:t>地址：</w:t>
            </w:r>
            <w:r>
              <w:rPr>
                <w:rFonts w:hint="eastAsia" w:ascii="宋体" w:hAnsi="宋体" w:cs="宋体"/>
                <w:kern w:val="1"/>
                <w:sz w:val="24"/>
                <w:lang w:eastAsia="zh-CN"/>
              </w:rPr>
              <w:t>阿克苏市建设路24号</w:t>
            </w:r>
          </w:p>
          <w:p>
            <w:pPr>
              <w:spacing w:line="276" w:lineRule="auto"/>
              <w:rPr>
                <w:rFonts w:ascii="宋体" w:hAnsi="宋体"/>
                <w:sz w:val="24"/>
              </w:rPr>
            </w:pPr>
            <w:r>
              <w:rPr>
                <w:rFonts w:hint="eastAsia" w:ascii="宋体" w:hAnsi="宋体"/>
                <w:b/>
                <w:sz w:val="24"/>
              </w:rPr>
              <w:t>联系人</w:t>
            </w:r>
            <w:r>
              <w:rPr>
                <w:rFonts w:hint="eastAsia" w:ascii="宋体" w:hAnsi="宋体"/>
                <w:sz w:val="24"/>
              </w:rPr>
              <w:t>：</w:t>
            </w:r>
            <w:r>
              <w:rPr>
                <w:rFonts w:hint="eastAsia" w:ascii="宋体" w:hAnsi="宋体"/>
                <w:sz w:val="24"/>
                <w:lang w:val="en-US" w:eastAsia="zh-CN"/>
              </w:rPr>
              <w:t>张红艳</w:t>
            </w:r>
          </w:p>
          <w:p>
            <w:pPr>
              <w:spacing w:line="276" w:lineRule="auto"/>
              <w:rPr>
                <w:rFonts w:ascii="宋体" w:hAnsi="宋体"/>
                <w:sz w:val="24"/>
              </w:rPr>
            </w:pPr>
            <w:r>
              <w:rPr>
                <w:rFonts w:hint="eastAsia" w:ascii="宋体" w:hAnsi="宋体"/>
                <w:b/>
                <w:sz w:val="24"/>
              </w:rPr>
              <w:t>电话：</w:t>
            </w:r>
            <w:r>
              <w:rPr>
                <w:rFonts w:hint="eastAsia" w:ascii="宋体" w:hAnsi="宋体" w:cs="宋体"/>
                <w:kern w:val="1"/>
                <w:sz w:val="24"/>
                <w:lang w:eastAsia="zh-CN"/>
              </w:rPr>
              <w:t>0997-2556906</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w:t>
            </w:r>
          </w:p>
        </w:tc>
        <w:tc>
          <w:tcPr>
            <w:tcW w:w="8782" w:type="dxa"/>
            <w:vAlign w:val="center"/>
          </w:tcPr>
          <w:p>
            <w:pPr>
              <w:spacing w:line="276" w:lineRule="auto"/>
              <w:textAlignment w:val="baseline"/>
              <w:rPr>
                <w:rFonts w:hint="eastAsia" w:ascii="宋体" w:hAnsi="宋体" w:eastAsia="宋体"/>
                <w:sz w:val="24"/>
                <w:lang w:eastAsia="zh-CN"/>
              </w:rPr>
            </w:pPr>
            <w:r>
              <w:rPr>
                <w:rFonts w:hint="eastAsia" w:ascii="宋体" w:hAnsi="宋体"/>
                <w:b/>
                <w:sz w:val="24"/>
              </w:rPr>
              <w:t>招标代理机构：</w:t>
            </w:r>
            <w:r>
              <w:rPr>
                <w:rFonts w:hint="eastAsia" w:ascii="宋体" w:hAnsi="宋体"/>
                <w:sz w:val="24"/>
                <w:lang w:eastAsia="zh-CN"/>
              </w:rPr>
              <w:t>新疆华玫睿项目管理有限公司</w:t>
            </w:r>
          </w:p>
          <w:p>
            <w:pPr>
              <w:spacing w:line="276" w:lineRule="auto"/>
              <w:textAlignment w:val="baseline"/>
              <w:rPr>
                <w:rFonts w:hint="eastAsia" w:ascii="宋体" w:hAnsi="宋体"/>
                <w:sz w:val="24"/>
                <w:lang w:eastAsia="zh-CN"/>
              </w:rPr>
            </w:pPr>
            <w:r>
              <w:rPr>
                <w:rFonts w:hint="eastAsia" w:ascii="宋体" w:hAnsi="宋体"/>
                <w:b/>
                <w:sz w:val="24"/>
              </w:rPr>
              <w:t>地  址：</w:t>
            </w:r>
            <w:r>
              <w:rPr>
                <w:rFonts w:hint="eastAsia" w:ascii="宋体" w:hAnsi="宋体"/>
                <w:sz w:val="24"/>
                <w:lang w:val="en-US" w:eastAsia="zh-CN"/>
              </w:rPr>
              <w:t>阿克苏市南城街道南郊路6号多浪水泥厂家属院办公楼201室</w:t>
            </w:r>
            <w:r>
              <w:rPr>
                <w:rFonts w:hint="eastAsia" w:ascii="宋体" w:hAnsi="宋体"/>
                <w:sz w:val="24"/>
                <w:lang w:eastAsia="zh-CN"/>
              </w:rPr>
              <w:t> </w:t>
            </w:r>
          </w:p>
          <w:p>
            <w:pPr>
              <w:spacing w:line="276" w:lineRule="auto"/>
              <w:textAlignment w:val="baseline"/>
              <w:rPr>
                <w:rFonts w:hint="eastAsia" w:ascii="宋体" w:hAnsi="宋体" w:eastAsia="宋体"/>
                <w:sz w:val="24"/>
                <w:lang w:eastAsia="zh-CN"/>
              </w:rPr>
            </w:pPr>
            <w:r>
              <w:rPr>
                <w:rFonts w:hint="eastAsia" w:ascii="宋体" w:hAnsi="宋体"/>
                <w:b/>
                <w:sz w:val="24"/>
              </w:rPr>
              <w:t>联系人：</w:t>
            </w:r>
            <w:r>
              <w:rPr>
                <w:rFonts w:hint="eastAsia" w:ascii="宋体" w:hAnsi="宋体"/>
                <w:sz w:val="24"/>
                <w:lang w:eastAsia="zh-CN"/>
              </w:rPr>
              <w:t>张恩慈</w:t>
            </w:r>
          </w:p>
          <w:p>
            <w:pPr>
              <w:spacing w:line="276" w:lineRule="auto"/>
              <w:textAlignment w:val="baseline"/>
              <w:rPr>
                <w:rFonts w:ascii="宋体" w:hAnsi="宋体"/>
                <w:sz w:val="24"/>
              </w:rPr>
            </w:pPr>
            <w:r>
              <w:rPr>
                <w:rFonts w:hint="eastAsia" w:ascii="宋体" w:hAnsi="宋体"/>
                <w:b/>
                <w:sz w:val="24"/>
              </w:rPr>
              <w:t>联系电话：</w:t>
            </w:r>
            <w:r>
              <w:rPr>
                <w:rFonts w:hint="eastAsia" w:ascii="宋体" w:hAnsi="宋体"/>
                <w:sz w:val="24"/>
              </w:rPr>
              <w:t>15292348006</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4</w:t>
            </w:r>
          </w:p>
        </w:tc>
        <w:tc>
          <w:tcPr>
            <w:tcW w:w="8782" w:type="dxa"/>
            <w:vAlign w:val="center"/>
          </w:tcPr>
          <w:p>
            <w:pPr>
              <w:spacing w:line="276" w:lineRule="auto"/>
              <w:textAlignment w:val="baseline"/>
              <w:rPr>
                <w:rFonts w:hint="eastAsia" w:ascii="宋体" w:hAnsi="宋体" w:eastAsia="宋体"/>
                <w:sz w:val="24"/>
                <w:lang w:eastAsia="zh-CN"/>
              </w:rPr>
            </w:pPr>
            <w:r>
              <w:rPr>
                <w:rFonts w:hint="eastAsia" w:ascii="宋体" w:hAnsi="宋体"/>
                <w:b/>
                <w:sz w:val="24"/>
              </w:rPr>
              <w:t>招标内容：</w:t>
            </w:r>
            <w:r>
              <w:rPr>
                <w:rFonts w:hint="eastAsia" w:ascii="宋体" w:hAnsi="宋体" w:cs="Times New Roman"/>
                <w:kern w:val="2"/>
                <w:sz w:val="24"/>
                <w:szCs w:val="24"/>
                <w:lang w:val="en-US" w:eastAsia="zh-CN" w:bidi="ar-SA"/>
              </w:rPr>
              <w:t>（一包）：脉冲场凝胶电泳等，详见采购文件及清单。</w:t>
            </w:r>
          </w:p>
          <w:p>
            <w:pPr>
              <w:spacing w:line="276" w:lineRule="auto"/>
              <w:ind w:firstLine="1200" w:firstLineChars="500"/>
              <w:textAlignment w:val="baseline"/>
              <w:rPr>
                <w:rFonts w:ascii="宋体" w:hAnsi="宋体"/>
                <w:b/>
                <w:sz w:val="24"/>
              </w:rPr>
            </w:pPr>
            <w:r>
              <w:rPr>
                <w:rFonts w:hint="eastAsia" w:ascii="宋体" w:hAnsi="宋体" w:cs="Times New Roman"/>
                <w:kern w:val="2"/>
                <w:sz w:val="24"/>
                <w:szCs w:val="24"/>
                <w:lang w:val="en-US" w:eastAsia="zh-CN" w:bidi="ar-SA"/>
              </w:rPr>
              <w:t>（二包）：高通量基因测序仪等设备，详见采购文件及清单。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5</w:t>
            </w:r>
          </w:p>
        </w:tc>
        <w:tc>
          <w:tcPr>
            <w:tcW w:w="8782" w:type="dxa"/>
            <w:vAlign w:val="center"/>
          </w:tcPr>
          <w:p>
            <w:pPr>
              <w:adjustRightInd w:val="0"/>
              <w:snapToGrid w:val="0"/>
              <w:spacing w:line="276" w:lineRule="auto"/>
              <w:jc w:val="left"/>
              <w:textAlignment w:val="baseline"/>
              <w:rPr>
                <w:rFonts w:ascii="宋体" w:hAnsi="宋体" w:cs="仿宋_GB2312"/>
                <w:bCs/>
                <w:kern w:val="0"/>
                <w:sz w:val="24"/>
              </w:rPr>
            </w:pPr>
            <w:r>
              <w:rPr>
                <w:rFonts w:hint="eastAsia" w:ascii="宋体" w:hAnsi="宋体"/>
                <w:b/>
                <w:sz w:val="24"/>
              </w:rPr>
              <w:t>最高限价：</w:t>
            </w:r>
            <w:r>
              <w:rPr>
                <w:rFonts w:hint="eastAsia" w:ascii="宋体" w:hAnsi="宋体"/>
                <w:b/>
                <w:sz w:val="24"/>
                <w:lang w:val="en-US" w:eastAsia="zh-CN"/>
              </w:rPr>
              <w:t>（一包）：1485000.00元   （二包）：5405000.00元，</w:t>
            </w:r>
            <w:r>
              <w:rPr>
                <w:rFonts w:hint="eastAsia" w:ascii="宋体" w:hAnsi="宋体" w:cs="仿宋_GB2312"/>
                <w:b/>
                <w:kern w:val="0"/>
                <w:sz w:val="24"/>
              </w:rPr>
              <w:t>投标报价高于</w:t>
            </w:r>
            <w:r>
              <w:rPr>
                <w:rFonts w:hint="eastAsia" w:ascii="宋体" w:hAnsi="宋体" w:cs="仿宋_GB2312"/>
                <w:b/>
                <w:kern w:val="0"/>
                <w:sz w:val="24"/>
                <w:lang w:val="en-US" w:eastAsia="zh-CN"/>
              </w:rPr>
              <w:t>各包</w:t>
            </w:r>
            <w:r>
              <w:rPr>
                <w:rFonts w:hint="eastAsia" w:ascii="宋体" w:hAnsi="宋体" w:cs="仿宋_GB2312"/>
                <w:b/>
                <w:kern w:val="0"/>
                <w:sz w:val="24"/>
              </w:rPr>
              <w:t>最高限价的视为无效标。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6</w:t>
            </w:r>
          </w:p>
        </w:tc>
        <w:tc>
          <w:tcPr>
            <w:tcW w:w="8782" w:type="dxa"/>
            <w:vAlign w:val="center"/>
          </w:tcPr>
          <w:p>
            <w:pPr>
              <w:spacing w:line="276" w:lineRule="auto"/>
              <w:textAlignment w:val="baseline"/>
              <w:rPr>
                <w:rFonts w:ascii="宋体" w:hAnsi="宋体"/>
                <w:b/>
                <w:sz w:val="24"/>
              </w:rPr>
            </w:pPr>
            <w:r>
              <w:rPr>
                <w:rFonts w:hint="eastAsia" w:ascii="宋体" w:hAnsi="宋体"/>
                <w:b/>
                <w:sz w:val="24"/>
              </w:rPr>
              <w:t>投标人资格</w:t>
            </w:r>
            <w:r>
              <w:rPr>
                <w:rFonts w:hint="eastAsia" w:ascii="宋体" w:hAnsi="宋体"/>
                <w:b/>
                <w:kern w:val="0"/>
                <w:sz w:val="24"/>
              </w:rPr>
              <w:t>、能力、信誉及其它</w:t>
            </w:r>
            <w:r>
              <w:rPr>
                <w:rFonts w:hint="eastAsia" w:ascii="宋体" w:hAnsi="宋体"/>
                <w:b/>
                <w:sz w:val="24"/>
              </w:rPr>
              <w:t>要求：</w:t>
            </w:r>
          </w:p>
          <w:p>
            <w:pPr>
              <w:spacing w:line="276" w:lineRule="auto"/>
              <w:textAlignment w:val="baseline"/>
              <w:rPr>
                <w:rFonts w:ascii="宋体" w:hAnsi="宋体"/>
                <w:bCs/>
                <w:sz w:val="24"/>
              </w:rPr>
            </w:pPr>
            <w:r>
              <w:rPr>
                <w:rFonts w:hint="eastAsia" w:ascii="宋体" w:hAnsi="宋体"/>
                <w:bCs/>
                <w:sz w:val="24"/>
              </w:rPr>
              <w:t>1、满足《中华人民共和国政府采购法》第二十二条规定；</w:t>
            </w:r>
          </w:p>
          <w:p>
            <w:pPr>
              <w:spacing w:line="276" w:lineRule="auto"/>
              <w:textAlignment w:val="baseline"/>
              <w:rPr>
                <w:rFonts w:ascii="宋体" w:hAnsi="宋体"/>
                <w:bCs/>
                <w:sz w:val="24"/>
              </w:rPr>
            </w:pPr>
            <w:r>
              <w:rPr>
                <w:rFonts w:hint="eastAsia" w:ascii="宋体" w:hAnsi="宋体"/>
                <w:bCs/>
                <w:sz w:val="24"/>
              </w:rPr>
              <w:t>2、落实政府采购政策需满足的资格要求：</w:t>
            </w:r>
          </w:p>
          <w:p>
            <w:pPr>
              <w:spacing w:line="276" w:lineRule="auto"/>
              <w:textAlignment w:val="baseline"/>
              <w:rPr>
                <w:rFonts w:ascii="宋体" w:hAnsi="宋体"/>
                <w:bCs/>
                <w:sz w:val="24"/>
              </w:rPr>
            </w:pPr>
            <w:r>
              <w:rPr>
                <w:rFonts w:hint="eastAsia" w:ascii="宋体" w:hAnsi="宋体"/>
                <w:bCs/>
                <w:sz w:val="24"/>
              </w:rPr>
              <w:t>（1）财政部、工业和信息化部关于印发《政府采购促进中小企业发展管理办法》的通知（财库〔2020〕46号）； </w:t>
            </w:r>
          </w:p>
          <w:p>
            <w:pPr>
              <w:spacing w:line="276" w:lineRule="auto"/>
              <w:textAlignment w:val="baseline"/>
              <w:rPr>
                <w:rFonts w:ascii="宋体" w:hAnsi="宋体"/>
                <w:bCs/>
                <w:sz w:val="24"/>
              </w:rPr>
            </w:pPr>
            <w:r>
              <w:rPr>
                <w:rFonts w:hint="eastAsia" w:ascii="宋体" w:hAnsi="宋体"/>
                <w:bCs/>
                <w:sz w:val="24"/>
              </w:rPr>
              <w:t>（2）《财政部、司法部关于政府采购支持监狱企业发展有关问题的通知》（财库[2014]68号）； </w:t>
            </w:r>
          </w:p>
          <w:p>
            <w:pPr>
              <w:spacing w:line="276" w:lineRule="auto"/>
              <w:textAlignment w:val="baseline"/>
              <w:rPr>
                <w:rFonts w:ascii="宋体" w:hAnsi="宋体"/>
                <w:bCs/>
                <w:sz w:val="24"/>
              </w:rPr>
            </w:pPr>
            <w:r>
              <w:rPr>
                <w:rFonts w:hint="eastAsia" w:ascii="宋体" w:hAnsi="宋体"/>
                <w:bCs/>
                <w:sz w:val="24"/>
              </w:rPr>
              <w:t>（3）《国务院办公厅关于建立政府强制采购节能产品制度的通知》（国发办[2007]51号）； </w:t>
            </w:r>
          </w:p>
          <w:p>
            <w:pPr>
              <w:spacing w:line="276" w:lineRule="auto"/>
              <w:textAlignment w:val="baseline"/>
              <w:rPr>
                <w:rFonts w:ascii="宋体" w:hAnsi="宋体"/>
                <w:bCs/>
                <w:sz w:val="24"/>
              </w:rPr>
            </w:pPr>
            <w:r>
              <w:rPr>
                <w:rFonts w:hint="eastAsia" w:ascii="宋体" w:hAnsi="宋体"/>
                <w:bCs/>
                <w:sz w:val="24"/>
              </w:rPr>
              <w:t>（4）《财政部 民政部 中国残疾人联合会关于促进残疾人就业政府采购政策的通知》财库[2017]141号； </w:t>
            </w:r>
          </w:p>
          <w:p>
            <w:pPr>
              <w:spacing w:line="276" w:lineRule="auto"/>
              <w:textAlignment w:val="baseline"/>
              <w:rPr>
                <w:rFonts w:ascii="宋体" w:hAnsi="宋体"/>
                <w:bCs/>
                <w:sz w:val="24"/>
              </w:rPr>
            </w:pPr>
            <w:r>
              <w:rPr>
                <w:rFonts w:hint="eastAsia" w:ascii="宋体" w:hAnsi="宋体"/>
                <w:bCs/>
                <w:sz w:val="24"/>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w:t>
            </w:r>
          </w:p>
          <w:p>
            <w:pPr>
              <w:spacing w:line="276" w:lineRule="auto"/>
              <w:textAlignment w:val="baseline"/>
              <w:rPr>
                <w:rFonts w:hint="eastAsia" w:ascii="宋体" w:hAnsi="宋体"/>
                <w:bCs/>
                <w:sz w:val="24"/>
              </w:rPr>
            </w:pPr>
            <w:r>
              <w:rPr>
                <w:rFonts w:hint="eastAsia" w:ascii="宋体" w:hAnsi="宋体"/>
                <w:bCs/>
                <w:sz w:val="24"/>
              </w:rPr>
              <w:t>3、本项目的特定资格要求：</w:t>
            </w:r>
          </w:p>
          <w:p>
            <w:pPr>
              <w:spacing w:line="276" w:lineRule="auto"/>
              <w:textAlignment w:val="baseline"/>
              <w:rPr>
                <w:rFonts w:hint="eastAsia" w:ascii="宋体" w:hAnsi="宋体" w:eastAsia="宋体"/>
                <w:b/>
                <w:bCs w:val="0"/>
                <w:sz w:val="24"/>
                <w:lang w:eastAsia="zh-CN"/>
              </w:rPr>
            </w:pPr>
            <w:r>
              <w:rPr>
                <w:rFonts w:hint="eastAsia" w:ascii="宋体" w:hAnsi="宋体"/>
                <w:b/>
                <w:bCs w:val="0"/>
                <w:sz w:val="24"/>
                <w:lang w:eastAsia="zh-CN"/>
              </w:rPr>
              <w:t>一包：</w:t>
            </w:r>
          </w:p>
          <w:p>
            <w:pPr>
              <w:spacing w:line="276" w:lineRule="auto"/>
              <w:textAlignment w:val="baseline"/>
              <w:rPr>
                <w:rFonts w:ascii="宋体" w:hAnsi="宋体"/>
                <w:bCs/>
                <w:sz w:val="24"/>
              </w:rPr>
            </w:pPr>
            <w:r>
              <w:rPr>
                <w:rFonts w:hint="eastAsia" w:ascii="宋体" w:hAnsi="宋体"/>
                <w:bCs/>
                <w:sz w:val="24"/>
              </w:rPr>
              <w:t>（1）具有有效经年检的三证合一的营业执照原件；</w:t>
            </w:r>
          </w:p>
          <w:p>
            <w:pPr>
              <w:spacing w:line="276" w:lineRule="auto"/>
              <w:textAlignment w:val="baseline"/>
              <w:rPr>
                <w:rFonts w:ascii="宋体" w:hAnsi="宋体"/>
                <w:bCs/>
                <w:sz w:val="24"/>
              </w:rPr>
            </w:pPr>
            <w:r>
              <w:rPr>
                <w:rFonts w:hint="eastAsia" w:ascii="宋体" w:hAnsi="宋体"/>
                <w:bCs/>
                <w:sz w:val="24"/>
              </w:rPr>
              <w:t>（2）具有近一年（2020年）的财务审计报告或成立不满足一年的提供财务报表；</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）提供近六个月完税证明和盖有社保局公章的社保缴纳证明（社保缴纳证明中含法人及委托人的社保明细）；</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4</w:t>
            </w:r>
            <w:r>
              <w:rPr>
                <w:rFonts w:hint="eastAsia" w:ascii="宋体" w:hAnsi="宋体"/>
                <w:bCs/>
                <w:sz w:val="24"/>
              </w:rPr>
              <w:t>）法定代表人到场需提供法定代表人身份证明及身份证原件，授权委托人到场的需提供附有法定代表人身份证明的授权委托书及被委托人身份证原件；</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5</w:t>
            </w:r>
            <w:r>
              <w:rPr>
                <w:rFonts w:hint="eastAsia" w:ascii="宋体" w:hAnsi="宋体"/>
                <w:bCs/>
                <w:sz w:val="24"/>
              </w:rPr>
              <w:t>）未被“信用中国”（www.creditchina.gov.cn）、中国政府采购网（www.ccgp.gov.cn）列入失信被执行人、重大税收违法案件当事人名单、政府采购严重违法失信行为记录名单的﹙供应商网上自行打印后加盖公章﹚；</w:t>
            </w:r>
          </w:p>
          <w:p>
            <w:pPr>
              <w:spacing w:line="276" w:lineRule="auto"/>
              <w:textAlignment w:val="baseline"/>
              <w:rPr>
                <w:rFonts w:hint="eastAsia" w:ascii="宋体" w:hAnsi="宋体"/>
                <w:bCs/>
                <w:sz w:val="24"/>
              </w:rPr>
            </w:pPr>
            <w:r>
              <w:rPr>
                <w:rFonts w:hint="eastAsia" w:ascii="宋体" w:hAnsi="宋体"/>
                <w:bCs/>
                <w:sz w:val="24"/>
              </w:rPr>
              <w:t xml:space="preserve">4.本项目不接受联合体参加。 </w:t>
            </w:r>
          </w:p>
          <w:p>
            <w:pPr>
              <w:spacing w:line="276" w:lineRule="auto"/>
              <w:textAlignment w:val="baseline"/>
              <w:rPr>
                <w:rFonts w:hint="eastAsia" w:ascii="宋体" w:hAnsi="宋体" w:eastAsia="宋体"/>
                <w:b/>
                <w:bCs w:val="0"/>
                <w:sz w:val="24"/>
                <w:lang w:eastAsia="zh-CN"/>
              </w:rPr>
            </w:pPr>
            <w:r>
              <w:rPr>
                <w:rFonts w:hint="eastAsia" w:ascii="宋体" w:hAnsi="宋体"/>
                <w:b/>
                <w:bCs w:val="0"/>
                <w:sz w:val="24"/>
                <w:lang w:eastAsia="zh-CN"/>
              </w:rPr>
              <w:t>二包：</w:t>
            </w:r>
          </w:p>
          <w:p>
            <w:pPr>
              <w:spacing w:line="276" w:lineRule="auto"/>
              <w:textAlignment w:val="baseline"/>
              <w:rPr>
                <w:rFonts w:ascii="宋体" w:hAnsi="宋体"/>
                <w:bCs/>
                <w:sz w:val="24"/>
              </w:rPr>
            </w:pPr>
            <w:r>
              <w:rPr>
                <w:rFonts w:hint="eastAsia" w:ascii="宋体" w:hAnsi="宋体"/>
                <w:bCs/>
                <w:sz w:val="24"/>
              </w:rPr>
              <w:t>（1）具有有效经年检的三证合一的营业执照原件；</w:t>
            </w:r>
          </w:p>
          <w:p>
            <w:pPr>
              <w:spacing w:line="276" w:lineRule="auto"/>
              <w:textAlignment w:val="baseline"/>
              <w:rPr>
                <w:rFonts w:ascii="宋体" w:hAnsi="宋体"/>
                <w:bCs/>
                <w:sz w:val="24"/>
              </w:rPr>
            </w:pPr>
            <w:r>
              <w:rPr>
                <w:rFonts w:hint="eastAsia" w:ascii="宋体" w:hAnsi="宋体"/>
                <w:bCs/>
                <w:sz w:val="24"/>
              </w:rPr>
              <w:t>（2）具有近一年（2020年）的财务审计报告或成立不满足一年的提供财务报表；</w:t>
            </w:r>
          </w:p>
          <w:p>
            <w:pPr>
              <w:spacing w:line="276" w:lineRule="auto"/>
              <w:textAlignment w:val="baseline"/>
              <w:rPr>
                <w:rFonts w:ascii="宋体" w:hAnsi="宋体"/>
                <w:bCs/>
                <w:sz w:val="24"/>
              </w:rPr>
            </w:pPr>
            <w:r>
              <w:rPr>
                <w:rFonts w:hint="eastAsia" w:ascii="宋体" w:hAnsi="宋体"/>
                <w:bCs/>
                <w:sz w:val="24"/>
              </w:rPr>
              <w:t>（3）具有有效的《医疗器械经营许可证》或《医疗器械生产许可证》，具有有效的二类医疗器械经营备案证；</w:t>
            </w:r>
          </w:p>
          <w:p>
            <w:pPr>
              <w:spacing w:line="276" w:lineRule="auto"/>
              <w:textAlignment w:val="baseline"/>
              <w:rPr>
                <w:rFonts w:ascii="宋体" w:hAnsi="宋体"/>
                <w:bCs/>
                <w:sz w:val="24"/>
              </w:rPr>
            </w:pPr>
            <w:r>
              <w:rPr>
                <w:rFonts w:hint="eastAsia" w:ascii="宋体" w:hAnsi="宋体"/>
                <w:bCs/>
                <w:sz w:val="24"/>
              </w:rPr>
              <w:t>（4）提供近六个月完税证明和盖有社保局公章的社保缴纳证明（社保缴纳证明中含法人及委托人的社保明细）；</w:t>
            </w:r>
          </w:p>
          <w:p>
            <w:pPr>
              <w:spacing w:line="276" w:lineRule="auto"/>
              <w:textAlignment w:val="baseline"/>
              <w:rPr>
                <w:rFonts w:ascii="宋体" w:hAnsi="宋体"/>
                <w:bCs/>
                <w:sz w:val="24"/>
              </w:rPr>
            </w:pPr>
            <w:r>
              <w:rPr>
                <w:rFonts w:hint="eastAsia" w:ascii="宋体" w:hAnsi="宋体"/>
                <w:bCs/>
                <w:sz w:val="24"/>
              </w:rPr>
              <w:t>（5）法定代表人到场需提供法定代表人身份证明及身份证原件，授权委托人到场的需提供附有法定代表人身份证明的授权委托书及被委托人身份证原件；</w:t>
            </w:r>
          </w:p>
          <w:p>
            <w:pPr>
              <w:spacing w:line="276" w:lineRule="auto"/>
              <w:textAlignment w:val="baseline"/>
              <w:rPr>
                <w:rFonts w:ascii="宋体" w:hAnsi="宋体"/>
                <w:bCs/>
                <w:sz w:val="24"/>
              </w:rPr>
            </w:pPr>
            <w:r>
              <w:rPr>
                <w:rFonts w:hint="eastAsia" w:ascii="宋体" w:hAnsi="宋体"/>
                <w:bCs/>
                <w:sz w:val="24"/>
              </w:rPr>
              <w:t>（6）未被“信用中国”（www.creditchina.gov.cn）、中国政府采购网（www.ccgp.gov.cn）列入失信被执行人、重大税收违法案件当事人名单、政府采购严重违法失信行为记录名单的﹙供应商网上自行打印后加盖公章﹚；</w:t>
            </w:r>
          </w:p>
          <w:p>
            <w:pPr>
              <w:spacing w:line="276" w:lineRule="auto"/>
              <w:textAlignment w:val="baseline"/>
              <w:rPr>
                <w:rFonts w:hint="eastAsia" w:ascii="宋体" w:hAnsi="宋体"/>
                <w:bCs/>
                <w:sz w:val="24"/>
              </w:rPr>
            </w:pPr>
            <w:r>
              <w:rPr>
                <w:rFonts w:hint="eastAsia" w:ascii="宋体" w:hAnsi="宋体"/>
                <w:bCs/>
                <w:sz w:val="24"/>
              </w:rPr>
              <w:t xml:space="preserve">4.本项目不接受联合体参加。 </w:t>
            </w:r>
          </w:p>
          <w:p>
            <w:pPr>
              <w:pStyle w:val="2"/>
            </w:pPr>
          </w:p>
          <w:p>
            <w:pPr>
              <w:spacing w:line="276" w:lineRule="auto"/>
              <w:textAlignment w:val="baseline"/>
              <w:rPr>
                <w:rFonts w:ascii="宋体" w:hAnsi="宋体"/>
                <w:b/>
                <w:sz w:val="24"/>
              </w:rPr>
            </w:pPr>
            <w:r>
              <w:rPr>
                <w:rFonts w:hint="eastAsia" w:ascii="宋体" w:hAnsi="宋体"/>
                <w:b/>
                <w:sz w:val="24"/>
                <w:szCs w:val="21"/>
              </w:rPr>
              <w:t>注：投标人提交的所有证明文件及材料必须清晰、准确、真实。</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7</w:t>
            </w:r>
          </w:p>
        </w:tc>
        <w:tc>
          <w:tcPr>
            <w:tcW w:w="8782" w:type="dxa"/>
            <w:vAlign w:val="bottom"/>
          </w:tcPr>
          <w:p>
            <w:pPr>
              <w:spacing w:line="276" w:lineRule="auto"/>
              <w:rPr>
                <w:rFonts w:ascii="宋体" w:hAnsi="宋体"/>
                <w:sz w:val="24"/>
              </w:rPr>
            </w:pPr>
            <w:r>
              <w:rPr>
                <w:rFonts w:hint="eastAsia" w:ascii="宋体" w:hAnsi="宋体"/>
                <w:b/>
                <w:bCs/>
                <w:sz w:val="24"/>
              </w:rPr>
              <w:t>资格审查方式：</w:t>
            </w:r>
            <w:r>
              <w:rPr>
                <w:rFonts w:hint="eastAsia" w:ascii="宋体" w:hAnsi="宋体"/>
                <w:sz w:val="24"/>
              </w:rPr>
              <w:t>资格后审</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8</w:t>
            </w:r>
          </w:p>
        </w:tc>
        <w:tc>
          <w:tcPr>
            <w:tcW w:w="8782" w:type="dxa"/>
            <w:vAlign w:val="bottom"/>
          </w:tcPr>
          <w:p>
            <w:pPr>
              <w:spacing w:line="276" w:lineRule="auto"/>
              <w:rPr>
                <w:rFonts w:ascii="宋体" w:hAnsi="宋体"/>
                <w:sz w:val="24"/>
              </w:rPr>
            </w:pPr>
            <w:r>
              <w:rPr>
                <w:rFonts w:hint="eastAsia" w:ascii="宋体" w:hAnsi="宋体"/>
                <w:b/>
                <w:sz w:val="24"/>
              </w:rPr>
              <w:t>投标语言：</w:t>
            </w:r>
            <w:r>
              <w:rPr>
                <w:rFonts w:hint="eastAsia" w:ascii="宋体" w:hAnsi="宋体"/>
                <w:sz w:val="24"/>
              </w:rPr>
              <w:t>中文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9</w:t>
            </w:r>
          </w:p>
        </w:tc>
        <w:tc>
          <w:tcPr>
            <w:tcW w:w="8782" w:type="dxa"/>
            <w:vAlign w:val="bottom"/>
          </w:tcPr>
          <w:p>
            <w:pPr>
              <w:spacing w:line="276" w:lineRule="auto"/>
              <w:textAlignment w:val="baseline"/>
              <w:rPr>
                <w:rFonts w:ascii="宋体" w:hAnsi="宋体"/>
                <w:b/>
                <w:sz w:val="24"/>
              </w:rPr>
            </w:pPr>
            <w:r>
              <w:rPr>
                <w:rFonts w:hint="eastAsia" w:ascii="宋体" w:hAnsi="宋体"/>
                <w:b/>
                <w:sz w:val="24"/>
              </w:rPr>
              <w:t>投标有效期：</w:t>
            </w:r>
            <w:r>
              <w:rPr>
                <w:rFonts w:hint="eastAsia" w:ascii="宋体" w:hAnsi="宋体"/>
                <w:bCs/>
                <w:sz w:val="24"/>
              </w:rPr>
              <w:t>90</w:t>
            </w:r>
            <w:r>
              <w:rPr>
                <w:rFonts w:hint="eastAsia" w:ascii="宋体" w:hAnsi="宋体"/>
                <w:sz w:val="24"/>
              </w:rPr>
              <w:t>日历天；（从投标截止之日算起）</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10</w:t>
            </w:r>
          </w:p>
        </w:tc>
        <w:tc>
          <w:tcPr>
            <w:tcW w:w="8782" w:type="dxa"/>
            <w:vAlign w:val="bottom"/>
          </w:tcPr>
          <w:p>
            <w:pPr>
              <w:tabs>
                <w:tab w:val="left" w:pos="7665"/>
              </w:tabs>
              <w:spacing w:line="276" w:lineRule="auto"/>
              <w:rPr>
                <w:rFonts w:ascii="宋体" w:hAnsi="宋体"/>
                <w:b/>
                <w:kern w:val="0"/>
                <w:sz w:val="24"/>
              </w:rPr>
            </w:pPr>
            <w:r>
              <w:rPr>
                <w:rFonts w:hint="eastAsia" w:ascii="宋体" w:hAnsi="宋体"/>
                <w:b/>
                <w:kern w:val="0"/>
                <w:sz w:val="24"/>
              </w:rPr>
              <w:t>采购方式：</w:t>
            </w:r>
            <w:r>
              <w:rPr>
                <w:rFonts w:hint="eastAsia" w:ascii="宋体" w:hAnsi="宋体"/>
                <w:sz w:val="24"/>
              </w:rPr>
              <w:t>公开招标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11</w:t>
            </w:r>
          </w:p>
        </w:tc>
        <w:tc>
          <w:tcPr>
            <w:tcW w:w="8782" w:type="dxa"/>
            <w:vAlign w:val="bottom"/>
          </w:tcPr>
          <w:p>
            <w:pPr>
              <w:tabs>
                <w:tab w:val="left" w:pos="7665"/>
              </w:tabs>
              <w:spacing w:line="276" w:lineRule="auto"/>
              <w:rPr>
                <w:rFonts w:ascii="宋体" w:hAnsi="宋体"/>
                <w:b/>
                <w:sz w:val="24"/>
              </w:rPr>
            </w:pPr>
            <w:r>
              <w:rPr>
                <w:rFonts w:hint="eastAsia" w:ascii="宋体" w:hAnsi="宋体"/>
                <w:b/>
                <w:kern w:val="0"/>
                <w:sz w:val="24"/>
              </w:rPr>
              <w:t>评标办法：</w:t>
            </w:r>
            <w:r>
              <w:rPr>
                <w:rFonts w:hint="eastAsia" w:ascii="宋体" w:hAnsi="宋体"/>
                <w:sz w:val="24"/>
              </w:rPr>
              <w:t>综合评分法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12</w:t>
            </w:r>
          </w:p>
        </w:tc>
        <w:tc>
          <w:tcPr>
            <w:tcW w:w="8782" w:type="dxa"/>
            <w:vAlign w:val="bottom"/>
          </w:tcPr>
          <w:p>
            <w:pPr>
              <w:spacing w:line="276" w:lineRule="auto"/>
              <w:ind w:left="2125" w:hanging="2125" w:hangingChars="882"/>
              <w:textAlignment w:val="baseline"/>
              <w:rPr>
                <w:rFonts w:ascii="宋体" w:hAnsi="宋体"/>
                <w:b/>
                <w:kern w:val="0"/>
                <w:sz w:val="24"/>
              </w:rPr>
            </w:pPr>
            <w:r>
              <w:rPr>
                <w:rFonts w:hint="eastAsia" w:ascii="宋体" w:hAnsi="宋体"/>
                <w:b/>
                <w:kern w:val="0"/>
                <w:sz w:val="24"/>
              </w:rPr>
              <w:t>评标委员会的组建：</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评标委员会构成：</w:t>
            </w:r>
            <w:r>
              <w:rPr>
                <w:rFonts w:hint="eastAsia" w:ascii="宋体" w:hAnsi="宋体"/>
                <w:kern w:val="0"/>
                <w:sz w:val="24"/>
              </w:rPr>
              <w:t>评标委员会由5人及以上单数评审专家组成。</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评标专家确定方式：</w:t>
            </w:r>
            <w:r>
              <w:rPr>
                <w:rFonts w:hint="eastAsia" w:ascii="宋体" w:hAnsi="宋体"/>
                <w:kern w:val="0"/>
                <w:sz w:val="24"/>
              </w:rPr>
              <w:t>从政府采购评审专家库中随机抽取</w:t>
            </w:r>
          </w:p>
          <w:p>
            <w:pPr>
              <w:spacing w:line="276" w:lineRule="auto"/>
              <w:ind w:left="2125" w:hanging="2125" w:hangingChars="882"/>
              <w:textAlignment w:val="baseline"/>
              <w:rPr>
                <w:rFonts w:ascii="宋体" w:hAnsi="宋体"/>
                <w:b/>
                <w:kern w:val="0"/>
                <w:sz w:val="24"/>
              </w:rPr>
            </w:pPr>
            <w:r>
              <w:rPr>
                <w:rFonts w:ascii="宋体" w:hAnsi="宋体"/>
                <w:b/>
                <w:kern w:val="0"/>
                <w:sz w:val="24"/>
              </w:rPr>
              <w:t>监督</w:t>
            </w:r>
            <w:r>
              <w:rPr>
                <w:rFonts w:hint="eastAsia" w:ascii="宋体" w:hAnsi="宋体"/>
                <w:b/>
                <w:kern w:val="0"/>
                <w:sz w:val="24"/>
              </w:rPr>
              <w:t>单位：</w:t>
            </w:r>
            <w:r>
              <w:rPr>
                <w:rFonts w:hint="eastAsia" w:ascii="宋体" w:hAnsi="宋体"/>
                <w:kern w:val="0"/>
                <w:sz w:val="24"/>
              </w:rPr>
              <w:t>阿克苏地区政府采购管理办公室</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13</w:t>
            </w:r>
          </w:p>
        </w:tc>
        <w:tc>
          <w:tcPr>
            <w:tcW w:w="8782" w:type="dxa"/>
            <w:vAlign w:val="bottom"/>
          </w:tcPr>
          <w:p>
            <w:pPr>
              <w:spacing w:line="276" w:lineRule="auto"/>
              <w:ind w:left="2125" w:hanging="2125" w:hangingChars="882"/>
              <w:textAlignment w:val="baseline"/>
              <w:rPr>
                <w:rFonts w:ascii="宋体" w:hAnsi="宋体"/>
                <w:kern w:val="0"/>
                <w:sz w:val="24"/>
              </w:rPr>
            </w:pPr>
            <w:r>
              <w:rPr>
                <w:rFonts w:hint="eastAsia" w:ascii="宋体" w:hAnsi="宋体"/>
                <w:b/>
                <w:kern w:val="0"/>
                <w:sz w:val="24"/>
              </w:rPr>
              <w:t>是否授权评标委员会确定中标投标人：</w:t>
            </w:r>
            <w:r>
              <w:rPr>
                <w:rFonts w:hint="eastAsia" w:ascii="宋体" w:hAnsi="宋体"/>
                <w:kern w:val="0"/>
                <w:sz w:val="24"/>
              </w:rPr>
              <w:t xml:space="preserve"> </w:t>
            </w:r>
            <w:r>
              <w:rPr>
                <w:rFonts w:hint="eastAsia" w:ascii="宋体" w:hAnsi="宋体"/>
                <w:kern w:val="0"/>
                <w:sz w:val="24"/>
              </w:rPr>
              <w:fldChar w:fldCharType="begin"/>
            </w:r>
            <w:r>
              <w:rPr>
                <w:rFonts w:hint="eastAsia" w:ascii="宋体" w:hAnsi="宋体"/>
                <w:kern w:val="0"/>
                <w:sz w:val="24"/>
              </w:rPr>
              <w:instrText xml:space="preserve"> eq \o\ac(□)</w:instrText>
            </w:r>
            <w:r>
              <w:rPr>
                <w:rFonts w:hint="eastAsia" w:ascii="宋体" w:hAnsi="宋体"/>
                <w:kern w:val="0"/>
                <w:sz w:val="24"/>
              </w:rPr>
              <w:fldChar w:fldCharType="end"/>
            </w:r>
            <w:r>
              <w:rPr>
                <w:rFonts w:hint="eastAsia" w:ascii="宋体" w:hAnsi="宋体"/>
                <w:kern w:val="0"/>
                <w:sz w:val="24"/>
              </w:rPr>
              <w:t>是</w:t>
            </w:r>
          </w:p>
          <w:p>
            <w:pPr>
              <w:spacing w:line="276" w:lineRule="auto"/>
              <w:ind w:left="2153" w:leftChars="1025" w:firstLine="1735" w:firstLineChars="723"/>
              <w:textAlignment w:val="baseline"/>
              <w:rPr>
                <w:rFonts w:ascii="宋体" w:hAnsi="宋体"/>
                <w:b/>
                <w:sz w:val="24"/>
              </w:rPr>
            </w:pPr>
            <w:r>
              <w:rPr>
                <w:rFonts w:hint="eastAsia" w:ascii="宋体" w:hAnsi="宋体"/>
                <w:kern w:val="0"/>
                <w:sz w:val="24"/>
              </w:rPr>
              <w:t>☑否，推荐的成交候选人数：3 人</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14</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考察现场、标前答疑会</w:t>
            </w:r>
            <w:r>
              <w:rPr>
                <w:rFonts w:hint="eastAsia" w:ascii="宋体" w:hAnsi="宋体"/>
                <w:b/>
                <w:kern w:val="0"/>
                <w:sz w:val="24"/>
              </w:rPr>
              <w:t>：</w:t>
            </w:r>
            <w:r>
              <w:rPr>
                <w:rFonts w:ascii="宋体" w:hAnsi="宋体"/>
                <w:sz w:val="24"/>
                <w:lang w:val="zh-CN"/>
              </w:rPr>
              <w:t>招标采购单位认为有必要，另行通知。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15</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投标</w:t>
            </w:r>
            <w:r>
              <w:rPr>
                <w:rFonts w:hint="eastAsia" w:ascii="宋体" w:hAnsi="宋体"/>
                <w:b/>
                <w:sz w:val="24"/>
                <w:lang w:val="zh-CN"/>
              </w:rPr>
              <w:t>投标人</w:t>
            </w:r>
            <w:r>
              <w:rPr>
                <w:rFonts w:ascii="宋体" w:hAnsi="宋体"/>
                <w:b/>
                <w:sz w:val="24"/>
                <w:lang w:val="zh-CN"/>
              </w:rPr>
              <w:t>对</w:t>
            </w:r>
            <w:r>
              <w:rPr>
                <w:rFonts w:hint="eastAsia" w:ascii="宋体" w:hAnsi="宋体"/>
                <w:b/>
                <w:sz w:val="24"/>
                <w:lang w:val="zh-CN"/>
              </w:rPr>
              <w:t>招标文件</w:t>
            </w:r>
            <w:r>
              <w:rPr>
                <w:rFonts w:ascii="宋体" w:hAnsi="宋体"/>
                <w:b/>
                <w:sz w:val="24"/>
                <w:lang w:val="zh-CN"/>
              </w:rPr>
              <w:t>提出质疑的时间</w:t>
            </w:r>
            <w:r>
              <w:rPr>
                <w:rFonts w:hint="eastAsia" w:ascii="宋体" w:hAnsi="宋体"/>
                <w:b/>
                <w:sz w:val="24"/>
                <w:lang w:val="zh-CN"/>
              </w:rPr>
              <w:t>：</w:t>
            </w:r>
            <w:r>
              <w:rPr>
                <w:rFonts w:hint="eastAsia" w:ascii="宋体" w:hAnsi="宋体"/>
                <w:sz w:val="24"/>
              </w:rPr>
              <w:t>投标人下载招标文件</w:t>
            </w:r>
            <w:r>
              <w:rPr>
                <w:rFonts w:hint="eastAsia" w:ascii="宋体" w:hAnsi="宋体"/>
                <w:sz w:val="24"/>
                <w:lang w:val="zh-CN"/>
              </w:rPr>
              <w:t>之日起7个工作日内，以书面形式向采购人、采购代理机构提出质疑。</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16</w:t>
            </w:r>
          </w:p>
        </w:tc>
        <w:tc>
          <w:tcPr>
            <w:tcW w:w="8782" w:type="dxa"/>
            <w:vAlign w:val="center"/>
          </w:tcPr>
          <w:p>
            <w:pPr>
              <w:tabs>
                <w:tab w:val="left" w:pos="7665"/>
              </w:tabs>
              <w:spacing w:line="276" w:lineRule="auto"/>
              <w:ind w:left="3542" w:hanging="3542" w:hangingChars="1470"/>
              <w:rPr>
                <w:rFonts w:ascii="宋体" w:hAnsi="宋体"/>
                <w:b/>
                <w:sz w:val="24"/>
                <w:lang w:val="zh-CN"/>
              </w:rPr>
            </w:pPr>
            <w:r>
              <w:rPr>
                <w:rFonts w:ascii="宋体" w:hAnsi="宋体"/>
                <w:b/>
                <w:sz w:val="24"/>
                <w:lang w:val="zh-CN"/>
              </w:rPr>
              <w:t>构成</w:t>
            </w:r>
            <w:r>
              <w:rPr>
                <w:rFonts w:hint="eastAsia" w:ascii="宋体" w:hAnsi="宋体"/>
                <w:b/>
                <w:sz w:val="24"/>
                <w:lang w:val="zh-CN"/>
              </w:rPr>
              <w:t>招标文件</w:t>
            </w:r>
            <w:r>
              <w:rPr>
                <w:rFonts w:ascii="宋体" w:hAnsi="宋体"/>
                <w:b/>
                <w:sz w:val="24"/>
                <w:lang w:val="zh-CN"/>
              </w:rPr>
              <w:t>的其他文件</w:t>
            </w:r>
            <w:r>
              <w:rPr>
                <w:rFonts w:hint="eastAsia" w:ascii="宋体" w:hAnsi="宋体"/>
                <w:b/>
                <w:sz w:val="24"/>
                <w:lang w:val="zh-CN"/>
              </w:rPr>
              <w:t>：</w:t>
            </w:r>
          </w:p>
          <w:p>
            <w:pPr>
              <w:tabs>
                <w:tab w:val="left" w:pos="7665"/>
              </w:tabs>
              <w:spacing w:line="276" w:lineRule="auto"/>
              <w:ind w:left="3517" w:leftChars="228" w:hanging="3038" w:hangingChars="1266"/>
              <w:rPr>
                <w:rFonts w:ascii="宋体" w:hAnsi="宋体"/>
                <w:b/>
                <w:kern w:val="0"/>
                <w:sz w:val="24"/>
              </w:rPr>
            </w:pPr>
            <w:r>
              <w:rPr>
                <w:rFonts w:hint="eastAsia" w:ascii="宋体" w:hAnsi="宋体"/>
                <w:sz w:val="24"/>
                <w:lang w:val="zh-CN"/>
              </w:rPr>
              <w:t>招标文件</w:t>
            </w:r>
            <w:r>
              <w:rPr>
                <w:rFonts w:ascii="宋体" w:hAnsi="宋体"/>
                <w:sz w:val="24"/>
                <w:lang w:val="zh-CN"/>
              </w:rPr>
              <w:t>的澄清</w:t>
            </w:r>
            <w:r>
              <w:rPr>
                <w:rFonts w:ascii="宋体" w:hAnsi="宋体"/>
                <w:sz w:val="24"/>
              </w:rPr>
              <w:t>、修改书及有关补充通知为</w:t>
            </w:r>
            <w:r>
              <w:rPr>
                <w:rFonts w:hint="eastAsia" w:ascii="宋体" w:hAnsi="宋体"/>
                <w:sz w:val="24"/>
                <w:lang w:val="zh-CN"/>
              </w:rPr>
              <w:t>招标文件</w:t>
            </w:r>
            <w:r>
              <w:rPr>
                <w:rFonts w:ascii="宋体" w:hAnsi="宋体"/>
                <w:sz w:val="24"/>
              </w:rPr>
              <w:t>的有效组成部分。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17</w:t>
            </w:r>
          </w:p>
        </w:tc>
        <w:tc>
          <w:tcPr>
            <w:tcW w:w="8782" w:type="dxa"/>
            <w:vAlign w:val="bottom"/>
          </w:tcPr>
          <w:p>
            <w:pPr>
              <w:adjustRightInd w:val="0"/>
              <w:snapToGrid w:val="0"/>
              <w:spacing w:line="276" w:lineRule="auto"/>
              <w:rPr>
                <w:rFonts w:ascii="宋体" w:hAnsi="宋体"/>
                <w:b/>
                <w:sz w:val="24"/>
              </w:rPr>
            </w:pPr>
            <w:r>
              <w:rPr>
                <w:rFonts w:hint="eastAsia" w:ascii="宋体" w:hAnsi="宋体" w:cs="仿宋_GB2312"/>
                <w:b/>
                <w:sz w:val="24"/>
              </w:rPr>
              <w:t>报名要求</w:t>
            </w:r>
            <w:r>
              <w:rPr>
                <w:rFonts w:hint="eastAsia" w:ascii="宋体" w:hAnsi="宋体"/>
                <w:b/>
                <w:sz w:val="24"/>
              </w:rPr>
              <w:t>：</w:t>
            </w:r>
            <w:r>
              <w:rPr>
                <w:rFonts w:hint="eastAsia" w:ascii="宋体" w:hAnsi="宋体"/>
                <w:sz w:val="24"/>
              </w:rPr>
              <w:t>见公告内容。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18</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踏勘现场：</w:t>
            </w:r>
            <w:r>
              <w:rPr>
                <w:rFonts w:hint="eastAsia" w:ascii="宋体" w:hAnsi="宋体"/>
                <w:bCs/>
                <w:sz w:val="24"/>
              </w:rPr>
              <w:t>本项目不组织。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19</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分包（转让）：</w:t>
            </w:r>
            <w:r>
              <w:rPr>
                <w:rFonts w:hint="eastAsia" w:ascii="宋体" w:hAnsi="宋体"/>
                <w:sz w:val="24"/>
              </w:rPr>
              <w:t>不允许。</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20</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联合投标：</w:t>
            </w:r>
            <w:r>
              <w:rPr>
                <w:rFonts w:hint="eastAsia" w:ascii="宋体" w:hAnsi="宋体"/>
                <w:sz w:val="24"/>
              </w:rPr>
              <w:t>本项目不接受联合体投标。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21</w:t>
            </w:r>
          </w:p>
        </w:tc>
        <w:tc>
          <w:tcPr>
            <w:tcW w:w="8782" w:type="dxa"/>
            <w:vAlign w:val="bottom"/>
          </w:tcPr>
          <w:p>
            <w:pPr>
              <w:adjustRightInd w:val="0"/>
              <w:snapToGrid w:val="0"/>
              <w:spacing w:line="276" w:lineRule="auto"/>
              <w:textAlignment w:val="baseline"/>
              <w:rPr>
                <w:rFonts w:ascii="宋体" w:hAnsi="宋体"/>
                <w:b/>
                <w:sz w:val="24"/>
              </w:rPr>
            </w:pPr>
            <w:r>
              <w:rPr>
                <w:rFonts w:hint="eastAsia" w:ascii="宋体" w:hAnsi="宋体"/>
                <w:b/>
                <w:sz w:val="24"/>
              </w:rPr>
              <w:t>是否退还投标文件：</w:t>
            </w:r>
            <w:r>
              <w:rPr>
                <w:rFonts w:hint="eastAsia" w:ascii="宋体" w:hAnsi="宋体"/>
                <w:sz w:val="24"/>
              </w:rPr>
              <w:t>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22</w:t>
            </w:r>
          </w:p>
        </w:tc>
        <w:tc>
          <w:tcPr>
            <w:tcW w:w="8782" w:type="dxa"/>
            <w:vAlign w:val="center"/>
          </w:tcPr>
          <w:p>
            <w:pPr>
              <w:spacing w:line="276" w:lineRule="auto"/>
              <w:rPr>
                <w:rFonts w:ascii="宋体" w:hAnsi="宋体"/>
                <w:b/>
                <w:sz w:val="24"/>
              </w:rPr>
            </w:pPr>
            <w:r>
              <w:rPr>
                <w:rFonts w:hint="eastAsia" w:ascii="宋体" w:hAnsi="宋体"/>
                <w:b/>
                <w:sz w:val="24"/>
              </w:rPr>
              <w:t>投标保证金递交说明：</w:t>
            </w:r>
          </w:p>
          <w:p>
            <w:pPr>
              <w:numPr>
                <w:ilvl w:val="0"/>
                <w:numId w:val="2"/>
              </w:numPr>
              <w:spacing w:line="276" w:lineRule="auto"/>
              <w:ind w:firstLine="482" w:firstLineChars="200"/>
              <w:textAlignment w:val="baseline"/>
              <w:rPr>
                <w:rFonts w:ascii="宋体" w:hAnsi="宋体"/>
                <w:b/>
                <w:bCs/>
                <w:sz w:val="24"/>
              </w:rPr>
            </w:pPr>
            <w:r>
              <w:rPr>
                <w:rFonts w:hint="eastAsia" w:ascii="宋体" w:hAnsi="宋体"/>
                <w:b/>
                <w:bCs/>
                <w:sz w:val="24"/>
              </w:rPr>
              <w:t>金额：</w:t>
            </w:r>
            <w:r>
              <w:rPr>
                <w:rFonts w:hint="eastAsia" w:ascii="宋体" w:hAnsi="宋体"/>
                <w:b/>
                <w:sz w:val="24"/>
                <w:lang w:val="en-US" w:eastAsia="zh-CN"/>
              </w:rPr>
              <w:t>（一包）：25000.00元</w:t>
            </w:r>
            <w:r>
              <w:rPr>
                <w:rFonts w:hint="eastAsia" w:ascii="宋体" w:hAnsi="宋体"/>
                <w:b/>
                <w:bCs/>
                <w:sz w:val="24"/>
              </w:rPr>
              <w:t xml:space="preserve">  大写：</w:t>
            </w:r>
            <w:r>
              <w:rPr>
                <w:rFonts w:hint="eastAsia" w:ascii="宋体" w:hAnsi="宋体"/>
                <w:b/>
                <w:bCs/>
                <w:sz w:val="24"/>
                <w:lang w:val="en-US" w:eastAsia="zh-CN"/>
              </w:rPr>
              <w:t>贰万伍仟元整</w:t>
            </w:r>
          </w:p>
          <w:p>
            <w:pPr>
              <w:numPr>
                <w:ilvl w:val="0"/>
                <w:numId w:val="0"/>
              </w:numPr>
              <w:spacing w:line="276" w:lineRule="auto"/>
              <w:ind w:firstLine="1687" w:firstLineChars="700"/>
              <w:textAlignment w:val="baseline"/>
              <w:rPr>
                <w:rFonts w:ascii="宋体" w:hAnsi="宋体"/>
                <w:b/>
                <w:bCs/>
                <w:sz w:val="24"/>
              </w:rPr>
            </w:pPr>
            <w:r>
              <w:rPr>
                <w:rFonts w:hint="eastAsia" w:ascii="宋体" w:hAnsi="宋体"/>
                <w:b/>
                <w:sz w:val="24"/>
                <w:lang w:val="en-US" w:eastAsia="zh-CN"/>
              </w:rPr>
              <w:t>（二包）：100000.00元</w:t>
            </w:r>
            <w:r>
              <w:rPr>
                <w:rFonts w:hint="eastAsia" w:ascii="宋体" w:hAnsi="宋体"/>
                <w:b/>
                <w:bCs/>
                <w:sz w:val="24"/>
              </w:rPr>
              <w:t xml:space="preserve">  大写：</w:t>
            </w:r>
            <w:r>
              <w:rPr>
                <w:rFonts w:hint="eastAsia" w:ascii="宋体" w:hAnsi="宋体"/>
                <w:b/>
                <w:bCs/>
                <w:sz w:val="24"/>
                <w:lang w:val="en-US" w:eastAsia="zh-CN"/>
              </w:rPr>
              <w:t>壹拾万元整</w:t>
            </w:r>
          </w:p>
          <w:p>
            <w:pPr>
              <w:numPr>
                <w:ilvl w:val="0"/>
                <w:numId w:val="2"/>
              </w:numPr>
              <w:spacing w:line="276" w:lineRule="auto"/>
              <w:ind w:firstLine="480" w:firstLineChars="200"/>
              <w:textAlignment w:val="baseline"/>
              <w:rPr>
                <w:rFonts w:ascii="宋体" w:hAnsi="宋体"/>
                <w:sz w:val="24"/>
              </w:rPr>
            </w:pPr>
            <w:r>
              <w:rPr>
                <w:rFonts w:hint="eastAsia" w:ascii="宋体" w:hAnsi="宋体"/>
                <w:sz w:val="24"/>
              </w:rPr>
              <w:t>交纳账户信息如下：</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开 户 名：新疆</w:t>
            </w:r>
            <w:r>
              <w:rPr>
                <w:rFonts w:hint="eastAsia" w:ascii="宋体" w:hAnsi="宋体"/>
                <w:b w:val="0"/>
                <w:bCs/>
                <w:kern w:val="0"/>
                <w:sz w:val="24"/>
                <w:lang w:eastAsia="zh-CN"/>
              </w:rPr>
              <w:t>华玫睿</w:t>
            </w:r>
            <w:r>
              <w:rPr>
                <w:rFonts w:hint="eastAsia" w:ascii="宋体" w:hAnsi="宋体"/>
                <w:b w:val="0"/>
                <w:bCs/>
                <w:kern w:val="0"/>
                <w:sz w:val="24"/>
              </w:rPr>
              <w:t>项目管理有限公司</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开户银行：中国银行股份有限公司阿克苏地区分行</w:t>
            </w:r>
          </w:p>
          <w:p>
            <w:pPr>
              <w:spacing w:line="276" w:lineRule="auto"/>
              <w:ind w:firstLine="480" w:firstLineChars="200"/>
              <w:textAlignment w:val="baseline"/>
              <w:rPr>
                <w:rFonts w:hint="default" w:ascii="宋体" w:hAnsi="宋体"/>
                <w:b w:val="0"/>
                <w:bCs/>
                <w:kern w:val="0"/>
                <w:sz w:val="24"/>
                <w:lang w:val="en-US" w:eastAsia="zh-CN"/>
              </w:rPr>
            </w:pPr>
            <w:r>
              <w:rPr>
                <w:rFonts w:hint="eastAsia" w:ascii="宋体" w:hAnsi="宋体"/>
                <w:b w:val="0"/>
                <w:bCs/>
                <w:kern w:val="0"/>
                <w:sz w:val="24"/>
              </w:rPr>
              <w:t>帐    号：1070 8</w:t>
            </w:r>
            <w:r>
              <w:rPr>
                <w:rFonts w:hint="eastAsia" w:ascii="宋体" w:hAnsi="宋体"/>
                <w:b w:val="0"/>
                <w:bCs/>
                <w:kern w:val="0"/>
                <w:sz w:val="24"/>
                <w:lang w:val="en-US" w:eastAsia="zh-CN"/>
              </w:rPr>
              <w:t>4469929</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3.投标保证金的交纳单位必须与投标人名称一致，投标保证金缴存方式：投标保证金应当以支票、汇票、本票或者金融机构、担保机构出具的保函等非现金形式提交。投标人未按照采购文件要求提交投标保证金的投标无效；</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4.在投标截止时间前从投标人所在地企业基本帐户以电汇或银行转账的方式，汇到指定的投标保证金帐户；</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5.联合体投标的，投标保证金由牵头人交纳。</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6.投标人在缴纳投标保证金时需备注投标项目名称及项目编号。</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7.发生以下情况的，招标方将不予退还其投标保证金，并取消其以后参与招标方所组织的政府采购活动的资格：</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①投标截至时间后开标前投标投标人撤回投标的；</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②中标后无正当理由不与招标人签订合同的；</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 xml:space="preserve">③将中标项目转让给他人，或者在竞标文件中未说明，且未经招标人同意，将中标项目分包给他人的； </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④拒绝或不完全履行合同义务的；</w:t>
            </w:r>
          </w:p>
          <w:p>
            <w:pPr>
              <w:spacing w:line="276" w:lineRule="auto"/>
              <w:ind w:firstLine="480" w:firstLineChars="200"/>
              <w:textAlignment w:val="baseline"/>
              <w:rPr>
                <w:rFonts w:ascii="宋体" w:hAnsi="宋体"/>
                <w:b/>
                <w:kern w:val="0"/>
                <w:sz w:val="24"/>
              </w:rPr>
            </w:pPr>
            <w:r>
              <w:rPr>
                <w:rFonts w:hint="eastAsia" w:ascii="宋体" w:hAnsi="宋体"/>
                <w:b w:val="0"/>
                <w:bCs/>
                <w:kern w:val="0"/>
                <w:sz w:val="24"/>
              </w:rPr>
              <w:t>⑤提供虚假材料谋取中标的。</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23</w:t>
            </w:r>
          </w:p>
        </w:tc>
        <w:tc>
          <w:tcPr>
            <w:tcW w:w="8782" w:type="dxa"/>
            <w:vAlign w:val="center"/>
          </w:tcPr>
          <w:p>
            <w:pPr>
              <w:adjustRightInd w:val="0"/>
              <w:snapToGrid w:val="0"/>
              <w:spacing w:line="276" w:lineRule="auto"/>
              <w:jc w:val="left"/>
              <w:textAlignment w:val="baseline"/>
              <w:rPr>
                <w:rFonts w:ascii="宋体" w:hAnsi="宋体"/>
                <w:b/>
                <w:sz w:val="24"/>
              </w:rPr>
            </w:pPr>
            <w:r>
              <w:rPr>
                <w:rFonts w:hint="eastAsia" w:ascii="宋体" w:hAnsi="宋体"/>
                <w:b/>
                <w:sz w:val="24"/>
              </w:rPr>
              <w:t>投标保证金的退付：</w:t>
            </w:r>
          </w:p>
          <w:p>
            <w:pPr>
              <w:adjustRightInd w:val="0"/>
              <w:snapToGrid w:val="0"/>
              <w:ind w:firstLine="480" w:firstLineChars="200"/>
              <w:jc w:val="left"/>
              <w:textAlignment w:val="baseline"/>
              <w:rPr>
                <w:rFonts w:ascii="宋体" w:hAnsi="宋体"/>
                <w:sz w:val="24"/>
              </w:rPr>
            </w:pPr>
            <w:r>
              <w:rPr>
                <w:rFonts w:hint="eastAsia" w:ascii="宋体" w:hAnsi="宋体"/>
                <w:sz w:val="24"/>
              </w:rPr>
              <w:t>1.未中标的投标人投标保证金在成交公告期满（公告期为1个工作日）后5个工作日内全额无息退还；</w:t>
            </w:r>
          </w:p>
          <w:p>
            <w:pPr>
              <w:adjustRightInd w:val="0"/>
              <w:snapToGrid w:val="0"/>
              <w:ind w:firstLine="480" w:firstLineChars="200"/>
              <w:jc w:val="left"/>
              <w:textAlignment w:val="baseline"/>
              <w:rPr>
                <w:rFonts w:ascii="宋体" w:hAnsi="宋体"/>
                <w:sz w:val="24"/>
              </w:rPr>
            </w:pPr>
            <w:r>
              <w:rPr>
                <w:rFonts w:hint="eastAsia" w:ascii="宋体" w:hAnsi="宋体"/>
                <w:sz w:val="24"/>
              </w:rPr>
              <w:t>2.中标的投标人投标保证金签订合同后携带合同原件到</w:t>
            </w:r>
            <w:r>
              <w:rPr>
                <w:rFonts w:hint="eastAsia" w:ascii="宋体" w:hAnsi="宋体"/>
                <w:sz w:val="24"/>
                <w:lang w:eastAsia="zh-CN"/>
              </w:rPr>
              <w:t>新疆华玫睿项目管理有限公司</w:t>
            </w:r>
            <w:r>
              <w:rPr>
                <w:rFonts w:hint="eastAsia" w:ascii="宋体" w:hAnsi="宋体"/>
                <w:sz w:val="24"/>
              </w:rPr>
              <w:t>阿克苏分公司财务处全额无息退还。</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24</w:t>
            </w:r>
          </w:p>
        </w:tc>
        <w:tc>
          <w:tcPr>
            <w:tcW w:w="8782" w:type="dxa"/>
            <w:vAlign w:val="center"/>
          </w:tcPr>
          <w:p>
            <w:pPr>
              <w:adjustRightInd w:val="0"/>
              <w:snapToGrid w:val="0"/>
              <w:spacing w:line="276" w:lineRule="auto"/>
              <w:jc w:val="left"/>
              <w:rPr>
                <w:rFonts w:hint="eastAsia" w:ascii="宋体" w:hAnsi="宋体"/>
                <w:b/>
                <w:sz w:val="24"/>
              </w:rPr>
            </w:pPr>
            <w:r>
              <w:rPr>
                <w:rFonts w:hint="eastAsia" w:ascii="宋体" w:hAnsi="宋体"/>
                <w:b/>
                <w:sz w:val="24"/>
              </w:rPr>
              <w:t>《投标文件》递交份数、时间及地点：</w:t>
            </w:r>
          </w:p>
          <w:p>
            <w:pPr>
              <w:spacing w:line="276" w:lineRule="auto"/>
              <w:ind w:firstLine="482" w:firstLineChars="200"/>
              <w:textAlignment w:val="baseline"/>
              <w:rPr>
                <w:rFonts w:ascii="宋体" w:hAnsi="宋体"/>
                <w:sz w:val="24"/>
              </w:rPr>
            </w:pPr>
            <w:r>
              <w:rPr>
                <w:rFonts w:hint="eastAsia" w:ascii="宋体" w:hAnsi="宋体"/>
                <w:b/>
                <w:sz w:val="24"/>
              </w:rPr>
              <w:t>（1）份数：</w:t>
            </w:r>
            <w:r>
              <w:rPr>
                <w:rFonts w:hint="eastAsia" w:ascii="宋体" w:hAnsi="宋体"/>
                <w:sz w:val="24"/>
              </w:rPr>
              <w:t>正本1份,副本3份，电子版3份（光盘PDF格式存储2份，U盘Word版格式存储1份，</w:t>
            </w:r>
            <w:r>
              <w:rPr>
                <w:rFonts w:ascii="宋体" w:hAnsi="宋体"/>
                <w:sz w:val="24"/>
              </w:rPr>
              <w:t>分别密封</w:t>
            </w:r>
            <w:r>
              <w:rPr>
                <w:rFonts w:hint="eastAsia" w:ascii="宋体" w:hAnsi="宋体"/>
                <w:sz w:val="24"/>
              </w:rPr>
              <w:t>），所有文件递交不退。</w:t>
            </w:r>
          </w:p>
          <w:p>
            <w:pPr>
              <w:ind w:firstLine="241" w:firstLineChars="100"/>
              <w:textAlignment w:val="baseline"/>
              <w:rPr>
                <w:rFonts w:ascii="宋体" w:hAnsi="宋体"/>
                <w:b/>
                <w:sz w:val="24"/>
              </w:rPr>
            </w:pPr>
            <w:r>
              <w:rPr>
                <w:rFonts w:hint="eastAsia" w:ascii="宋体" w:hAnsi="宋体"/>
                <w:b/>
                <w:sz w:val="24"/>
              </w:rPr>
              <w:t>特别提示：光盘PDF格式电子版《投标文件》必须</w:t>
            </w:r>
            <w:r>
              <w:rPr>
                <w:rFonts w:hint="eastAsia" w:ascii="宋体" w:hAnsi="宋体"/>
                <w:b/>
                <w:sz w:val="24"/>
                <w:lang w:val="en-US" w:eastAsia="zh-CN"/>
              </w:rPr>
              <w:t>为</w:t>
            </w:r>
            <w:r>
              <w:rPr>
                <w:rFonts w:hint="eastAsia" w:ascii="宋体" w:hAnsi="宋体"/>
                <w:b/>
                <w:sz w:val="24"/>
              </w:rPr>
              <w:t>纸质版《投标文件》</w:t>
            </w:r>
            <w:r>
              <w:rPr>
                <w:rFonts w:hint="eastAsia" w:ascii="宋体" w:hAnsi="宋体"/>
                <w:b/>
                <w:sz w:val="24"/>
                <w:lang w:val="en-US" w:eastAsia="zh-CN"/>
              </w:rPr>
              <w:t>正本</w:t>
            </w:r>
            <w:r>
              <w:rPr>
                <w:rFonts w:hint="eastAsia" w:ascii="宋体" w:hAnsi="宋体"/>
                <w:b/>
                <w:sz w:val="24"/>
              </w:rPr>
              <w:t>内容</w:t>
            </w:r>
            <w:r>
              <w:rPr>
                <w:rFonts w:hint="eastAsia" w:ascii="宋体" w:hAnsi="宋体"/>
                <w:b/>
                <w:sz w:val="24"/>
                <w:lang w:val="en-US" w:eastAsia="zh-CN"/>
              </w:rPr>
              <w:t>的扫描件</w:t>
            </w:r>
            <w:r>
              <w:rPr>
                <w:rFonts w:hint="eastAsia" w:ascii="宋体" w:hAnsi="宋体"/>
                <w:b/>
                <w:sz w:val="24"/>
              </w:rPr>
              <w:t>，否则按无效投标处理。</w:t>
            </w:r>
          </w:p>
          <w:p>
            <w:pPr>
              <w:widowControl/>
              <w:shd w:val="clear" w:color="auto" w:fill="FFFFFF"/>
              <w:spacing w:line="276" w:lineRule="auto"/>
              <w:ind w:firstLine="480"/>
              <w:jc w:val="left"/>
              <w:rPr>
                <w:rFonts w:ascii="宋体" w:hAnsi="宋体"/>
                <w:sz w:val="24"/>
              </w:rPr>
            </w:pPr>
            <w:r>
              <w:rPr>
                <w:rFonts w:hint="eastAsia" w:ascii="宋体" w:hAnsi="宋体"/>
                <w:b/>
                <w:sz w:val="24"/>
              </w:rPr>
              <w:t>（2）投标文件</w:t>
            </w:r>
            <w:r>
              <w:rPr>
                <w:rFonts w:ascii="宋体" w:hAnsi="宋体"/>
                <w:b/>
                <w:sz w:val="24"/>
              </w:rPr>
              <w:t>递交截止时间</w:t>
            </w:r>
            <w:r>
              <w:rPr>
                <w:rFonts w:hint="eastAsia" w:ascii="宋体" w:hAnsi="宋体"/>
                <w:b/>
                <w:sz w:val="24"/>
              </w:rPr>
              <w:t>：</w:t>
            </w:r>
            <w:r>
              <w:rPr>
                <w:rFonts w:hint="eastAsia" w:ascii="宋体" w:hAnsi="宋体"/>
                <w:b/>
                <w:bCs/>
                <w:sz w:val="24"/>
              </w:rPr>
              <w:t>2022年1月</w:t>
            </w:r>
            <w:r>
              <w:rPr>
                <w:rFonts w:hint="eastAsia" w:ascii="宋体" w:hAnsi="宋体"/>
                <w:b/>
                <w:bCs/>
                <w:sz w:val="24"/>
                <w:lang w:val="en-US" w:eastAsia="zh-CN"/>
              </w:rPr>
              <w:t>21</w:t>
            </w:r>
            <w:r>
              <w:rPr>
                <w:rFonts w:hint="eastAsia" w:ascii="宋体" w:hAnsi="宋体"/>
                <w:b/>
                <w:bCs/>
                <w:sz w:val="24"/>
              </w:rPr>
              <w:t>日16点00分（北京时间）</w:t>
            </w:r>
          </w:p>
          <w:p>
            <w:pPr>
              <w:spacing w:line="276" w:lineRule="auto"/>
              <w:ind w:firstLine="480"/>
              <w:rPr>
                <w:rFonts w:ascii="宋体" w:hAnsi="宋体"/>
                <w:sz w:val="24"/>
              </w:rPr>
            </w:pPr>
            <w:r>
              <w:rPr>
                <w:rFonts w:hint="eastAsia" w:ascii="宋体" w:hAnsi="宋体"/>
                <w:b/>
                <w:sz w:val="24"/>
              </w:rPr>
              <w:t>（3）递交地点：阿克苏药品集散中心办公大楼（温宿县长兴街15号）一楼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25</w:t>
            </w:r>
          </w:p>
        </w:tc>
        <w:tc>
          <w:tcPr>
            <w:tcW w:w="8782" w:type="dxa"/>
            <w:vAlign w:val="center"/>
          </w:tcPr>
          <w:p>
            <w:pPr>
              <w:adjustRightInd w:val="0"/>
              <w:snapToGrid w:val="0"/>
              <w:spacing w:line="276" w:lineRule="auto"/>
              <w:jc w:val="left"/>
              <w:rPr>
                <w:rFonts w:ascii="宋体" w:hAnsi="宋体"/>
                <w:b/>
                <w:sz w:val="24"/>
              </w:rPr>
            </w:pPr>
            <w:r>
              <w:rPr>
                <w:rFonts w:hint="eastAsia" w:ascii="宋体" w:hAnsi="宋体"/>
                <w:b/>
                <w:sz w:val="24"/>
              </w:rPr>
              <w:t>开标时间及地点：</w:t>
            </w:r>
          </w:p>
          <w:p>
            <w:pPr>
              <w:widowControl/>
              <w:shd w:val="clear" w:color="auto" w:fill="FFFFFF"/>
              <w:spacing w:line="276" w:lineRule="auto"/>
              <w:jc w:val="left"/>
              <w:rPr>
                <w:rFonts w:ascii="宋体" w:hAnsi="宋体"/>
                <w:sz w:val="24"/>
              </w:rPr>
            </w:pPr>
            <w:r>
              <w:rPr>
                <w:rFonts w:hint="eastAsia" w:ascii="宋体" w:hAnsi="宋体"/>
                <w:b/>
                <w:bCs/>
                <w:sz w:val="24"/>
              </w:rPr>
              <w:t>开标时间：2022年1月</w:t>
            </w:r>
            <w:r>
              <w:rPr>
                <w:rFonts w:hint="eastAsia" w:ascii="宋体" w:hAnsi="宋体"/>
                <w:b/>
                <w:bCs/>
                <w:sz w:val="24"/>
                <w:lang w:val="en-US" w:eastAsia="zh-CN"/>
              </w:rPr>
              <w:t>21</w:t>
            </w:r>
            <w:r>
              <w:rPr>
                <w:rFonts w:hint="eastAsia" w:ascii="宋体" w:hAnsi="宋体"/>
                <w:b/>
                <w:bCs/>
                <w:sz w:val="24"/>
              </w:rPr>
              <w:t>日16点00分（北京时间）</w:t>
            </w:r>
          </w:p>
          <w:p>
            <w:pPr>
              <w:tabs>
                <w:tab w:val="left" w:pos="400"/>
              </w:tabs>
              <w:spacing w:line="276" w:lineRule="auto"/>
              <w:textAlignment w:val="baseline"/>
              <w:rPr>
                <w:rFonts w:ascii="宋体" w:hAnsi="宋体"/>
                <w:sz w:val="24"/>
              </w:rPr>
            </w:pPr>
            <w:r>
              <w:rPr>
                <w:rFonts w:hint="eastAsia" w:ascii="宋体" w:hAnsi="宋体"/>
                <w:b/>
                <w:sz w:val="24"/>
              </w:rPr>
              <w:t>开标地点：阿克苏药品集散中心办公大楼（温宿县长兴街15号）一楼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26</w:t>
            </w:r>
          </w:p>
        </w:tc>
        <w:tc>
          <w:tcPr>
            <w:tcW w:w="8782" w:type="dxa"/>
            <w:vAlign w:val="center"/>
          </w:tcPr>
          <w:p>
            <w:pPr>
              <w:pStyle w:val="92"/>
              <w:numPr>
                <w:ilvl w:val="0"/>
                <w:numId w:val="0"/>
              </w:numPr>
              <w:spacing w:line="276" w:lineRule="auto"/>
              <w:rPr>
                <w:sz w:val="24"/>
                <w:szCs w:val="24"/>
              </w:rPr>
            </w:pPr>
            <w:r>
              <w:rPr>
                <w:rFonts w:hint="eastAsia"/>
                <w:b/>
                <w:sz w:val="24"/>
              </w:rPr>
              <w:t>履约保证金：</w:t>
            </w:r>
            <w:r>
              <w:rPr>
                <w:rFonts w:hint="eastAsia"/>
                <w:b/>
                <w:bCs/>
                <w:sz w:val="24"/>
                <w:szCs w:val="24"/>
              </w:rPr>
              <w:t>无</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27</w:t>
            </w:r>
          </w:p>
        </w:tc>
        <w:tc>
          <w:tcPr>
            <w:tcW w:w="8782" w:type="dxa"/>
            <w:vAlign w:val="center"/>
          </w:tcPr>
          <w:p>
            <w:pPr>
              <w:adjustRightInd w:val="0"/>
              <w:snapToGrid w:val="0"/>
              <w:spacing w:line="276" w:lineRule="auto"/>
              <w:jc w:val="left"/>
              <w:rPr>
                <w:rFonts w:ascii="宋体" w:hAnsi="宋体"/>
                <w:b/>
                <w:sz w:val="24"/>
                <w:lang w:val="zh-CN"/>
              </w:rPr>
            </w:pPr>
            <w:r>
              <w:rPr>
                <w:rFonts w:hint="eastAsia" w:ascii="宋体" w:hAnsi="宋体"/>
                <w:b/>
                <w:sz w:val="24"/>
                <w:lang w:val="zh-CN"/>
              </w:rPr>
              <w:t>投标人代表出席开标会需带证件：</w:t>
            </w:r>
          </w:p>
          <w:p>
            <w:pPr>
              <w:spacing w:line="400" w:lineRule="exact"/>
              <w:ind w:firstLine="480" w:firstLineChars="200"/>
              <w:rPr>
                <w:rFonts w:hint="eastAsia" w:ascii="宋体" w:hAnsi="宋体"/>
                <w:sz w:val="24"/>
              </w:rPr>
            </w:pPr>
            <w:r>
              <w:rPr>
                <w:rFonts w:hint="eastAsia" w:ascii="宋体" w:hAnsi="宋体"/>
                <w:sz w:val="24"/>
              </w:rPr>
              <w:t>本次招投标活动邀请各投标人的法定代表人或委托代理人参加，到场的投标人代表需携带以下文件：</w:t>
            </w:r>
          </w:p>
          <w:p>
            <w:pPr>
              <w:spacing w:line="400" w:lineRule="exact"/>
              <w:ind w:firstLine="482" w:firstLineChars="200"/>
              <w:rPr>
                <w:rFonts w:hint="eastAsia" w:ascii="宋体" w:hAnsi="宋体" w:eastAsia="宋体"/>
                <w:b/>
                <w:bCs/>
                <w:sz w:val="24"/>
                <w:lang w:eastAsia="zh-CN"/>
              </w:rPr>
            </w:pPr>
            <w:r>
              <w:rPr>
                <w:rFonts w:hint="eastAsia" w:ascii="宋体" w:hAnsi="宋体"/>
                <w:b/>
                <w:bCs/>
                <w:sz w:val="24"/>
                <w:lang w:eastAsia="zh-CN"/>
              </w:rPr>
              <w:t>一包：</w:t>
            </w:r>
          </w:p>
          <w:p>
            <w:pPr>
              <w:spacing w:line="400" w:lineRule="exact"/>
              <w:ind w:firstLine="480" w:firstLineChars="200"/>
              <w:rPr>
                <w:rFonts w:ascii="宋体" w:hAnsi="宋体"/>
                <w:sz w:val="24"/>
              </w:rPr>
            </w:pPr>
            <w:r>
              <w:rPr>
                <w:rFonts w:hint="eastAsia" w:ascii="宋体" w:hAnsi="宋体"/>
                <w:sz w:val="24"/>
              </w:rPr>
              <w:t>1.具有有效经年检的三证合一的营业执照；</w:t>
            </w:r>
          </w:p>
          <w:p>
            <w:pPr>
              <w:spacing w:line="400" w:lineRule="exact"/>
              <w:ind w:firstLine="480" w:firstLineChars="200"/>
              <w:rPr>
                <w:rFonts w:ascii="宋体" w:hAnsi="宋体"/>
                <w:sz w:val="24"/>
              </w:rPr>
            </w:pPr>
            <w:r>
              <w:rPr>
                <w:rFonts w:hint="eastAsia" w:ascii="宋体" w:hAnsi="宋体"/>
                <w:sz w:val="24"/>
              </w:rPr>
              <w:t>2.法人代表或其委托代理人应携带本人身份证原件及复印件，委托代理人还应携带《法人代表授权委托书》《法定代表人身份证明》；</w:t>
            </w:r>
          </w:p>
          <w:p>
            <w:pPr>
              <w:spacing w:line="400" w:lineRule="exact"/>
              <w:ind w:firstLine="480" w:firstLineChars="200"/>
              <w:rPr>
                <w:rFonts w:ascii="宋体" w:hAnsi="宋体"/>
                <w:sz w:val="24"/>
              </w:rPr>
            </w:pPr>
            <w:r>
              <w:rPr>
                <w:rFonts w:hint="eastAsia" w:ascii="宋体" w:hAnsi="宋体"/>
                <w:sz w:val="24"/>
              </w:rPr>
              <w:t>3.具有近一年（2020年）的财务审计报告或成立不满足一年的提供财务报表；</w:t>
            </w:r>
          </w:p>
          <w:p>
            <w:pPr>
              <w:spacing w:line="400" w:lineRule="exact"/>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.提供近六个月完税证明和盖有社保局公章的社保缴纳证明（社保缴纳证明中含法人及委托人的社保明细）；</w:t>
            </w:r>
          </w:p>
          <w:p>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.信用中国网站及中国政府采购网查询结果报告﹙投标人网上自行打印后加盖投标单位公章﹚；</w:t>
            </w:r>
          </w:p>
          <w:p>
            <w:pPr>
              <w:spacing w:line="400" w:lineRule="exact"/>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.提供投标保证金收据原件；</w:t>
            </w:r>
          </w:p>
          <w:p>
            <w:pPr>
              <w:spacing w:line="400" w:lineRule="exact"/>
              <w:ind w:firstLine="482" w:firstLineChars="200"/>
              <w:rPr>
                <w:rFonts w:hint="eastAsia" w:ascii="宋体" w:hAnsi="宋体"/>
                <w:b/>
                <w:bCs/>
                <w:sz w:val="24"/>
                <w:lang w:eastAsia="zh-CN"/>
              </w:rPr>
            </w:pPr>
            <w:r>
              <w:rPr>
                <w:rFonts w:hint="eastAsia" w:ascii="宋体" w:hAnsi="宋体"/>
                <w:b/>
                <w:bCs/>
                <w:sz w:val="24"/>
                <w:lang w:eastAsia="zh-CN"/>
              </w:rPr>
              <w:t>二包：</w:t>
            </w:r>
          </w:p>
          <w:p>
            <w:pPr>
              <w:spacing w:line="400" w:lineRule="exact"/>
              <w:ind w:firstLine="480" w:firstLineChars="200"/>
              <w:rPr>
                <w:rFonts w:ascii="宋体" w:hAnsi="宋体"/>
                <w:sz w:val="24"/>
              </w:rPr>
            </w:pPr>
            <w:r>
              <w:rPr>
                <w:rFonts w:hint="eastAsia" w:ascii="宋体" w:hAnsi="宋体"/>
                <w:sz w:val="24"/>
              </w:rPr>
              <w:t>1.具有有效经年检的三证合一的营业执照；</w:t>
            </w:r>
          </w:p>
          <w:p>
            <w:pPr>
              <w:spacing w:line="400" w:lineRule="exact"/>
              <w:ind w:firstLine="480" w:firstLineChars="200"/>
              <w:rPr>
                <w:rFonts w:ascii="宋体" w:hAnsi="宋体"/>
                <w:sz w:val="24"/>
              </w:rPr>
            </w:pPr>
            <w:r>
              <w:rPr>
                <w:rFonts w:hint="eastAsia" w:ascii="宋体" w:hAnsi="宋体"/>
                <w:sz w:val="24"/>
              </w:rPr>
              <w:t>2.法人代表或其委托代理人应携带本人身份证原件及复印件，委托代理人还应携带《法人代表授权委托书》《法定代表人身份证明》；</w:t>
            </w:r>
          </w:p>
          <w:p>
            <w:pPr>
              <w:spacing w:line="400" w:lineRule="exact"/>
              <w:ind w:firstLine="480" w:firstLineChars="200"/>
              <w:rPr>
                <w:rFonts w:ascii="宋体" w:hAnsi="宋体"/>
                <w:sz w:val="24"/>
              </w:rPr>
            </w:pPr>
            <w:r>
              <w:rPr>
                <w:rFonts w:hint="eastAsia" w:ascii="宋体" w:hAnsi="宋体"/>
                <w:sz w:val="24"/>
              </w:rPr>
              <w:t>3.具有近一年（2020年）的财务审计报告或成立不满足一年的提供财务报表；</w:t>
            </w:r>
          </w:p>
          <w:p>
            <w:pPr>
              <w:spacing w:line="400" w:lineRule="exact"/>
              <w:ind w:firstLine="480" w:firstLineChars="200"/>
              <w:rPr>
                <w:rFonts w:hint="eastAsia" w:ascii="宋体" w:hAnsi="宋体" w:eastAsia="宋体"/>
                <w:sz w:val="24"/>
                <w:lang w:eastAsia="zh-CN"/>
              </w:rPr>
            </w:pPr>
            <w:r>
              <w:rPr>
                <w:rFonts w:hint="eastAsia" w:ascii="宋体" w:hAnsi="宋体"/>
                <w:sz w:val="24"/>
              </w:rPr>
              <w:t>4.提供具有有效的《医疗器械经营许可证》或《医疗器械生产许可证》，提供有效的二类医疗器械经营备案证；</w:t>
            </w:r>
            <w:r>
              <w:rPr>
                <w:rFonts w:hint="eastAsia" w:ascii="宋体" w:hAnsi="宋体"/>
                <w:sz w:val="24"/>
                <w:lang w:val="en-US" w:eastAsia="zh-CN"/>
              </w:rPr>
              <w:t xml:space="preserve"> </w:t>
            </w:r>
          </w:p>
          <w:p>
            <w:pPr>
              <w:spacing w:line="400" w:lineRule="exact"/>
              <w:ind w:firstLine="480" w:firstLineChars="200"/>
              <w:rPr>
                <w:rFonts w:ascii="宋体" w:hAnsi="宋体"/>
                <w:sz w:val="24"/>
              </w:rPr>
            </w:pPr>
            <w:r>
              <w:rPr>
                <w:rFonts w:hint="eastAsia" w:ascii="宋体" w:hAnsi="宋体"/>
                <w:sz w:val="24"/>
              </w:rPr>
              <w:t>5.提供近六个月完税证明和盖有社保局公章的社保缴纳证明（社保缴纳证明中含法人及委托人的社保明细）；</w:t>
            </w:r>
          </w:p>
          <w:p>
            <w:pPr>
              <w:spacing w:line="400" w:lineRule="exact"/>
              <w:ind w:firstLine="480" w:firstLineChars="200"/>
              <w:rPr>
                <w:rFonts w:ascii="宋体" w:hAnsi="宋体"/>
                <w:sz w:val="24"/>
              </w:rPr>
            </w:pPr>
            <w:r>
              <w:rPr>
                <w:rFonts w:hint="eastAsia" w:ascii="宋体" w:hAnsi="宋体"/>
                <w:sz w:val="24"/>
              </w:rPr>
              <w:t>6.信用中国网站及中国政府采购网查询结果报告﹙投标人网上自行打印后加盖投标单位公章﹚；</w:t>
            </w:r>
          </w:p>
          <w:p>
            <w:pPr>
              <w:spacing w:line="400" w:lineRule="exact"/>
              <w:ind w:firstLine="480" w:firstLineChars="200"/>
              <w:rPr>
                <w:rFonts w:ascii="宋体" w:hAnsi="宋体"/>
                <w:sz w:val="24"/>
              </w:rPr>
            </w:pPr>
            <w:r>
              <w:rPr>
                <w:rFonts w:hint="eastAsia" w:ascii="宋体" w:hAnsi="宋体"/>
                <w:sz w:val="24"/>
              </w:rPr>
              <w:t>7.提供投标保证金收据原件；</w:t>
            </w:r>
          </w:p>
          <w:p>
            <w:pPr>
              <w:spacing w:line="400" w:lineRule="exact"/>
              <w:ind w:firstLine="480" w:firstLineChars="200"/>
              <w:rPr>
                <w:rFonts w:ascii="宋体" w:hAnsi="宋体"/>
                <w:sz w:val="24"/>
              </w:rPr>
            </w:pPr>
            <w:r>
              <w:rPr>
                <w:rFonts w:hint="eastAsia" w:ascii="宋体" w:hAnsi="宋体"/>
                <w:sz w:val="24"/>
              </w:rPr>
              <w:t>（1）开标时，投标人必须提交上述证明材料原件及复印件1份，未提交或提交不全的视为验资不合格；</w:t>
            </w:r>
          </w:p>
          <w:p>
            <w:pPr>
              <w:spacing w:line="400" w:lineRule="exact"/>
              <w:ind w:firstLine="480" w:firstLineChars="200"/>
              <w:rPr>
                <w:rFonts w:ascii="宋体" w:hAnsi="宋体"/>
                <w:sz w:val="24"/>
              </w:rPr>
            </w:pPr>
            <w:r>
              <w:rPr>
                <w:rFonts w:hint="eastAsia" w:ascii="宋体" w:hAnsi="宋体"/>
                <w:sz w:val="24"/>
              </w:rPr>
              <w:t>（2）招标文件中所要求的相关证明资料，应当在递交投标文件截止时间前一同带入开标场地，逾期拒绝接收。</w:t>
            </w:r>
          </w:p>
          <w:p>
            <w:pPr>
              <w:spacing w:line="400" w:lineRule="exact"/>
              <w:ind w:firstLine="480" w:firstLineChars="200"/>
              <w:rPr>
                <w:rFonts w:ascii="宋体" w:hAnsi="宋体"/>
                <w:b/>
                <w:sz w:val="24"/>
              </w:rPr>
            </w:pPr>
            <w:r>
              <w:rPr>
                <w:rFonts w:hint="eastAsia" w:ascii="宋体" w:hAnsi="宋体"/>
                <w:sz w:val="24"/>
              </w:rPr>
              <w:t xml:space="preserve">（3）★以上证明材料的公证件 </w:t>
            </w:r>
            <w:r>
              <w:rPr>
                <w:rFonts w:hint="eastAsia" w:ascii="宋体" w:hAnsi="宋体"/>
                <w:sz w:val="24"/>
                <w:u w:val="single"/>
              </w:rPr>
              <w:t xml:space="preserve">不予 </w:t>
            </w:r>
            <w:r>
              <w:rPr>
                <w:rFonts w:hint="eastAsia" w:ascii="宋体" w:hAnsi="宋体"/>
                <w:sz w:val="24"/>
              </w:rPr>
              <w:t>认可。</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28</w:t>
            </w:r>
          </w:p>
        </w:tc>
        <w:tc>
          <w:tcPr>
            <w:tcW w:w="8782" w:type="dxa"/>
            <w:vAlign w:val="center"/>
          </w:tcPr>
          <w:p>
            <w:pPr>
              <w:spacing w:line="400" w:lineRule="exact"/>
              <w:rPr>
                <w:rFonts w:ascii="宋体" w:hAnsi="宋体"/>
                <w:sz w:val="24"/>
              </w:rPr>
            </w:pPr>
            <w:r>
              <w:rPr>
                <w:rFonts w:hint="eastAsia" w:ascii="宋体" w:hAnsi="宋体"/>
                <w:b/>
                <w:sz w:val="24"/>
                <w:lang w:val="zh-CN"/>
              </w:rPr>
              <w:t>中标结果公告：</w:t>
            </w:r>
            <w:r>
              <w:rPr>
                <w:rFonts w:hint="eastAsia" w:ascii="宋体" w:hAnsi="宋体"/>
                <w:sz w:val="24"/>
              </w:rPr>
              <w:t>成交结果公告在新疆政府采购网予以公告，公告期不少于1个工作日。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29</w:t>
            </w:r>
          </w:p>
        </w:tc>
        <w:tc>
          <w:tcPr>
            <w:tcW w:w="8782" w:type="dxa"/>
            <w:vAlign w:val="center"/>
          </w:tcPr>
          <w:p>
            <w:pPr>
              <w:spacing w:line="400" w:lineRule="exact"/>
              <w:rPr>
                <w:rFonts w:ascii="宋体" w:hAnsi="宋体"/>
                <w:sz w:val="24"/>
              </w:rPr>
            </w:pPr>
            <w:r>
              <w:rPr>
                <w:rFonts w:hint="eastAsia" w:ascii="宋体" w:hAnsi="宋体"/>
                <w:b/>
                <w:sz w:val="24"/>
                <w:lang w:val="zh-CN"/>
              </w:rPr>
              <w:t>相关费用：</w:t>
            </w:r>
            <w:r>
              <w:rPr>
                <w:rFonts w:hint="eastAsia" w:ascii="宋体" w:hAnsi="宋体"/>
                <w:sz w:val="24"/>
              </w:rPr>
              <w:t>1.场地服务费：投标人在提交投标文件时，需按规定缴纳场地服务费。</w:t>
            </w:r>
          </w:p>
          <w:p>
            <w:pPr>
              <w:spacing w:line="400" w:lineRule="exact"/>
              <w:rPr>
                <w:rFonts w:ascii="宋体" w:hAnsi="宋体"/>
                <w:sz w:val="24"/>
              </w:rPr>
            </w:pPr>
            <w:r>
              <w:rPr>
                <w:rFonts w:hint="eastAsia" w:ascii="宋体" w:hAnsi="宋体"/>
                <w:sz w:val="24"/>
              </w:rPr>
              <w:t>2.代理服务费：中标投标人按《招标代理服务收费管理暂行办法》（计价格[2002]1980号）向采购代理机构交纳成交服务费</w:t>
            </w:r>
          </w:p>
          <w:p>
            <w:pPr>
              <w:spacing w:line="400" w:lineRule="exact"/>
              <w:rPr>
                <w:rFonts w:ascii="宋体" w:hAnsi="宋体"/>
                <w:b/>
                <w:sz w:val="24"/>
                <w:lang w:val="zh-CN"/>
              </w:rPr>
            </w:pPr>
            <w:r>
              <w:rPr>
                <w:rFonts w:hint="eastAsia" w:ascii="宋体" w:hAnsi="宋体"/>
                <w:sz w:val="24"/>
              </w:rPr>
              <w:t>3.中标投标人在开标完成后向公证机关交纳公证费。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30</w:t>
            </w:r>
          </w:p>
        </w:tc>
        <w:tc>
          <w:tcPr>
            <w:tcW w:w="8782" w:type="dxa"/>
            <w:vAlign w:val="center"/>
          </w:tcPr>
          <w:p>
            <w:pPr>
              <w:spacing w:line="400" w:lineRule="exact"/>
              <w:rPr>
                <w:rFonts w:ascii="宋体" w:hAnsi="宋体"/>
                <w:b/>
                <w:sz w:val="24"/>
                <w:lang w:val="zh-CN"/>
              </w:rPr>
            </w:pPr>
            <w:r>
              <w:rPr>
                <w:rFonts w:hint="eastAsia" w:ascii="宋体" w:hAnsi="宋体"/>
                <w:b/>
                <w:sz w:val="24"/>
                <w:lang w:val="zh-CN"/>
              </w:rPr>
              <w:t>投标文件的密封及装订要求：</w:t>
            </w:r>
          </w:p>
          <w:p>
            <w:pPr>
              <w:spacing w:line="400" w:lineRule="exact"/>
              <w:rPr>
                <w:rFonts w:ascii="宋体" w:hAnsi="宋体"/>
                <w:sz w:val="24"/>
              </w:rPr>
            </w:pPr>
            <w:r>
              <w:rPr>
                <w:rFonts w:hint="eastAsia" w:ascii="宋体" w:hAnsi="宋体"/>
                <w:sz w:val="24"/>
              </w:rPr>
              <w:t>1、采用死页胶装方式装订,装订应牢固、不易拆散和换页，不得采用活页装订。</w:t>
            </w:r>
          </w:p>
          <w:p>
            <w:pPr>
              <w:spacing w:line="400" w:lineRule="exact"/>
              <w:rPr>
                <w:rFonts w:ascii="宋体" w:hAnsi="宋体"/>
                <w:sz w:val="24"/>
              </w:rPr>
            </w:pPr>
            <w:r>
              <w:rPr>
                <w:rFonts w:hint="eastAsia" w:ascii="宋体" w:hAnsi="宋体"/>
                <w:sz w:val="24"/>
              </w:rPr>
              <w:t>2、投标文件正副本装于一个档案袋中，电子版光盘、U盘单独密封在一起，投标文件的封套上应写明项目名称、项目编号、投标人名称、地址、联系人及联系电话。投标文件外封套须加盖投标单位公章以及法定代表人签字或盖章，并应确保密封完好。</w:t>
            </w:r>
          </w:p>
        </w:tc>
      </w:tr>
    </w:tbl>
    <w:p>
      <w:pPr>
        <w:pStyle w:val="4"/>
        <w:spacing w:line="480" w:lineRule="exact"/>
        <w:jc w:val="center"/>
        <w:rPr>
          <w:rFonts w:ascii="Times New Roman" w:hAnsi="Times New Roman"/>
          <w:sz w:val="21"/>
          <w:szCs w:val="21"/>
        </w:rPr>
      </w:pPr>
      <w:r>
        <w:rPr>
          <w:rFonts w:hint="eastAsia" w:ascii="宋体" w:hAnsi="宋体"/>
        </w:rPr>
        <w:br w:type="page"/>
      </w:r>
      <w:bookmarkEnd w:id="45"/>
      <w:bookmarkStart w:id="46" w:name="_Toc17204479"/>
      <w:bookmarkStart w:id="47" w:name="_Toc9910"/>
      <w:bookmarkStart w:id="48" w:name="_Toc8301"/>
      <w:r>
        <w:rPr>
          <w:rFonts w:hint="eastAsia" w:ascii="Times New Roman" w:hAnsi="Times New Roman"/>
          <w:sz w:val="21"/>
          <w:szCs w:val="21"/>
        </w:rPr>
        <w:t>一、总则</w:t>
      </w:r>
      <w:bookmarkEnd w:id="46"/>
      <w:bookmarkEnd w:id="47"/>
    </w:p>
    <w:p>
      <w:pPr>
        <w:numPr>
          <w:ilvl w:val="0"/>
          <w:numId w:val="3"/>
        </w:numPr>
        <w:spacing w:line="480" w:lineRule="exact"/>
        <w:outlineLvl w:val="2"/>
        <w:rPr>
          <w:rFonts w:ascii="宋体" w:hAnsi="宋体" w:cs="宋体"/>
          <w:b/>
          <w:szCs w:val="21"/>
        </w:rPr>
      </w:pPr>
      <w:r>
        <w:rPr>
          <w:rFonts w:hint="eastAsia" w:ascii="宋体" w:hAnsi="宋体" w:cs="宋体"/>
          <w:b/>
          <w:szCs w:val="21"/>
        </w:rPr>
        <w:t>适用法律、法规</w:t>
      </w:r>
    </w:p>
    <w:p>
      <w:pPr>
        <w:numPr>
          <w:ilvl w:val="1"/>
          <w:numId w:val="3"/>
        </w:numPr>
        <w:spacing w:line="480" w:lineRule="exact"/>
        <w:rPr>
          <w:szCs w:val="21"/>
          <w:lang w:val="en-GB"/>
        </w:rPr>
      </w:pPr>
      <w:r>
        <w:rPr>
          <w:szCs w:val="21"/>
          <w:lang w:val="en-GB"/>
        </w:rPr>
        <w:t>本招标文件是依据</w:t>
      </w:r>
      <w:r>
        <w:rPr>
          <w:rFonts w:hint="eastAsia"/>
          <w:szCs w:val="21"/>
          <w:lang w:val="en-GB"/>
        </w:rPr>
        <w:t>《中华人民共和国政府采购法》《中华人民共和国政府采购法实施条例》《政府采购货物和服务招标投标管理办法》等</w:t>
      </w:r>
      <w:r>
        <w:rPr>
          <w:szCs w:val="21"/>
          <w:lang w:val="en-GB"/>
        </w:rPr>
        <w:t>有关法律、法规、规章和规范性文件的规定，根据本招标</w:t>
      </w:r>
      <w:r>
        <w:rPr>
          <w:rFonts w:hint="eastAsia"/>
          <w:szCs w:val="21"/>
          <w:lang w:val="en-GB"/>
        </w:rPr>
        <w:t>项目</w:t>
      </w:r>
      <w:r>
        <w:rPr>
          <w:szCs w:val="21"/>
          <w:lang w:val="en-GB"/>
        </w:rPr>
        <w:t>的特点和需要编制的。</w:t>
      </w:r>
    </w:p>
    <w:p>
      <w:pPr>
        <w:numPr>
          <w:ilvl w:val="0"/>
          <w:numId w:val="3"/>
        </w:numPr>
        <w:spacing w:line="480" w:lineRule="exact"/>
        <w:outlineLvl w:val="2"/>
        <w:rPr>
          <w:rFonts w:ascii="宋体" w:hAnsi="宋体" w:cs="宋体"/>
          <w:b/>
          <w:szCs w:val="21"/>
        </w:rPr>
      </w:pPr>
      <w:r>
        <w:rPr>
          <w:rFonts w:hint="eastAsia" w:ascii="宋体" w:hAnsi="宋体" w:cs="宋体"/>
          <w:b/>
          <w:szCs w:val="21"/>
        </w:rPr>
        <w:t>资金</w:t>
      </w:r>
    </w:p>
    <w:p>
      <w:pPr>
        <w:numPr>
          <w:ilvl w:val="1"/>
          <w:numId w:val="3"/>
        </w:numPr>
        <w:spacing w:line="480" w:lineRule="exact"/>
        <w:rPr>
          <w:rFonts w:ascii="宋体" w:hAnsi="宋体"/>
          <w:szCs w:val="21"/>
        </w:rPr>
      </w:pPr>
      <w:r>
        <w:rPr>
          <w:rFonts w:hint="eastAsia"/>
          <w:szCs w:val="21"/>
          <w:lang w:val="en-GB"/>
        </w:rPr>
        <w:t>本项目实施资金来源为</w:t>
      </w:r>
      <w:r>
        <w:rPr>
          <w:rFonts w:hint="eastAsia"/>
          <w:szCs w:val="21"/>
          <w:lang w:val="en-US" w:eastAsia="zh-CN"/>
        </w:rPr>
        <w:t>财政</w:t>
      </w:r>
      <w:r>
        <w:rPr>
          <w:rFonts w:hint="eastAsia"/>
          <w:szCs w:val="21"/>
          <w:lang w:val="en-GB"/>
        </w:rPr>
        <w:t>资金，计划用于支付本次采购后所签订的合同项下的款项。</w:t>
      </w:r>
    </w:p>
    <w:p>
      <w:pPr>
        <w:numPr>
          <w:ilvl w:val="0"/>
          <w:numId w:val="3"/>
        </w:numPr>
        <w:spacing w:line="480" w:lineRule="exact"/>
        <w:outlineLvl w:val="2"/>
        <w:rPr>
          <w:rFonts w:ascii="宋体" w:hAnsi="宋体" w:cs="宋体"/>
          <w:b/>
          <w:szCs w:val="21"/>
        </w:rPr>
      </w:pPr>
      <w:r>
        <w:rPr>
          <w:rFonts w:hint="eastAsia" w:ascii="宋体" w:hAnsi="宋体" w:cs="宋体"/>
          <w:b/>
          <w:szCs w:val="21"/>
        </w:rPr>
        <w:t>释义</w:t>
      </w:r>
    </w:p>
    <w:p>
      <w:pPr>
        <w:numPr>
          <w:ilvl w:val="1"/>
          <w:numId w:val="3"/>
        </w:numPr>
        <w:spacing w:line="480" w:lineRule="exact"/>
        <w:rPr>
          <w:rFonts w:ascii="宋体" w:hAnsi="宋体"/>
          <w:szCs w:val="21"/>
        </w:rPr>
      </w:pPr>
      <w:r>
        <w:rPr>
          <w:rFonts w:hint="eastAsia" w:hAnsi="宋体"/>
          <w:szCs w:val="21"/>
        </w:rPr>
        <w:t>“招标人、买方、甲方”指</w:t>
      </w:r>
      <w:r>
        <w:rPr>
          <w:rFonts w:hint="eastAsia" w:hAnsi="宋体"/>
          <w:szCs w:val="21"/>
          <w:lang w:eastAsia="zh-CN"/>
        </w:rPr>
        <w:t>新疆维吾尔自治区阿克苏地区疾病预防控制中心</w:t>
      </w:r>
      <w:r>
        <w:rPr>
          <w:rFonts w:hint="eastAsia" w:hAnsi="宋体"/>
          <w:bCs/>
          <w:szCs w:val="21"/>
        </w:rPr>
        <w:t>；</w:t>
      </w:r>
    </w:p>
    <w:p>
      <w:pPr>
        <w:numPr>
          <w:ilvl w:val="1"/>
          <w:numId w:val="3"/>
        </w:numPr>
        <w:spacing w:line="480" w:lineRule="exact"/>
        <w:rPr>
          <w:rFonts w:ascii="宋体" w:hAnsi="宋体"/>
          <w:szCs w:val="21"/>
        </w:rPr>
      </w:pPr>
      <w:r>
        <w:rPr>
          <w:rFonts w:hint="eastAsia" w:hAnsi="宋体"/>
          <w:bCs/>
          <w:szCs w:val="21"/>
        </w:rPr>
        <w:t>招标代理机构：指为本次招标项目提供招投标服务组织工作的机构，即</w:t>
      </w:r>
      <w:r>
        <w:rPr>
          <w:rFonts w:hint="eastAsia" w:hAnsi="宋体"/>
          <w:bCs/>
          <w:szCs w:val="21"/>
          <w:lang w:eastAsia="zh-CN"/>
        </w:rPr>
        <w:t>新疆华玫睿项目管理有限公司</w:t>
      </w:r>
      <w:r>
        <w:rPr>
          <w:rFonts w:hint="eastAsia" w:hAnsi="宋体"/>
          <w:bCs/>
          <w:szCs w:val="21"/>
        </w:rPr>
        <w:t>；</w:t>
      </w:r>
    </w:p>
    <w:p>
      <w:pPr>
        <w:numPr>
          <w:ilvl w:val="1"/>
          <w:numId w:val="3"/>
        </w:numPr>
        <w:spacing w:line="480" w:lineRule="exact"/>
        <w:rPr>
          <w:rFonts w:ascii="宋体" w:hAnsi="宋体"/>
          <w:szCs w:val="21"/>
        </w:rPr>
      </w:pPr>
      <w:r>
        <w:rPr>
          <w:rFonts w:hint="eastAsia" w:ascii="宋体" w:hAnsi="宋体"/>
          <w:szCs w:val="21"/>
        </w:rPr>
        <w:t>投标人：</w:t>
      </w:r>
      <w:r>
        <w:rPr>
          <w:rFonts w:hint="eastAsia" w:hAnsi="宋体"/>
          <w:szCs w:val="21"/>
        </w:rPr>
        <w:t>指按照招标文件要求投标并向招标人或招标代理机构提交投标文件的</w:t>
      </w:r>
      <w:r>
        <w:rPr>
          <w:rFonts w:hint="eastAsia" w:ascii="宋体" w:hAnsi="宋体" w:cs="仿宋"/>
          <w:szCs w:val="21"/>
        </w:rPr>
        <w:t>法人或者其它组织</w:t>
      </w:r>
      <w:r>
        <w:rPr>
          <w:rFonts w:hint="eastAsia" w:hAnsi="宋体"/>
          <w:szCs w:val="21"/>
        </w:rPr>
        <w:t>；</w:t>
      </w:r>
    </w:p>
    <w:p>
      <w:pPr>
        <w:numPr>
          <w:ilvl w:val="1"/>
          <w:numId w:val="3"/>
        </w:numPr>
        <w:spacing w:line="480" w:lineRule="exact"/>
        <w:rPr>
          <w:rFonts w:ascii="宋体" w:hAnsi="宋体"/>
          <w:szCs w:val="21"/>
        </w:rPr>
      </w:pPr>
      <w:r>
        <w:rPr>
          <w:rFonts w:hint="eastAsia" w:hAnsi="宋体"/>
          <w:szCs w:val="21"/>
        </w:rPr>
        <w:t>法人：包括企业法人、机关法人、事业单位法人和社会团体法人；</w:t>
      </w:r>
    </w:p>
    <w:p>
      <w:pPr>
        <w:numPr>
          <w:ilvl w:val="1"/>
          <w:numId w:val="3"/>
        </w:numPr>
        <w:spacing w:line="480" w:lineRule="exact"/>
        <w:rPr>
          <w:rFonts w:ascii="宋体" w:hAnsi="宋体"/>
          <w:szCs w:val="21"/>
        </w:rPr>
      </w:pPr>
      <w:r>
        <w:rPr>
          <w:rFonts w:hint="eastAsia" w:hAnsi="宋体"/>
          <w:szCs w:val="21"/>
        </w:rPr>
        <w:t>其他组织：包括合伙企业、非企业专业服务机构、个体工商户、农村承包经营户；</w:t>
      </w:r>
    </w:p>
    <w:p>
      <w:pPr>
        <w:numPr>
          <w:ilvl w:val="1"/>
          <w:numId w:val="3"/>
        </w:numPr>
        <w:spacing w:line="480" w:lineRule="exact"/>
        <w:rPr>
          <w:rFonts w:ascii="宋体" w:hAnsi="宋体"/>
          <w:szCs w:val="21"/>
        </w:rPr>
      </w:pPr>
      <w:r>
        <w:rPr>
          <w:rFonts w:hint="eastAsia" w:hAnsi="宋体"/>
          <w:szCs w:val="21"/>
        </w:rPr>
        <w:t>自然人：指《中华人民共和国民法通则》或《民法总则》规定的具有完全民事行为能力、能够承担民事责任和义务的中国公民。</w:t>
      </w:r>
    </w:p>
    <w:p>
      <w:pPr>
        <w:numPr>
          <w:ilvl w:val="1"/>
          <w:numId w:val="3"/>
        </w:numPr>
        <w:spacing w:line="480" w:lineRule="exact"/>
        <w:rPr>
          <w:rFonts w:ascii="宋体" w:hAnsi="宋体"/>
          <w:szCs w:val="21"/>
        </w:rPr>
      </w:pPr>
      <w:r>
        <w:rPr>
          <w:rFonts w:hint="eastAsia" w:ascii="宋体" w:hAnsi="宋体"/>
          <w:szCs w:val="21"/>
        </w:rPr>
        <w:t>中标人、卖方：指依法确定成交资格并授予合同的投标人；</w:t>
      </w:r>
    </w:p>
    <w:p>
      <w:pPr>
        <w:numPr>
          <w:ilvl w:val="1"/>
          <w:numId w:val="3"/>
        </w:numPr>
        <w:spacing w:line="480" w:lineRule="exact"/>
        <w:rPr>
          <w:rFonts w:ascii="宋体" w:hAnsi="宋体"/>
          <w:szCs w:val="21"/>
        </w:rPr>
      </w:pPr>
      <w:r>
        <w:rPr>
          <w:rFonts w:hint="eastAsia" w:ascii="宋体" w:hAnsi="宋体"/>
          <w:szCs w:val="21"/>
        </w:rPr>
        <w:t>货物：系指投标人按招标文件要求，向招标人提供的各种形态和种类的物品，包括原材料、设备、产品(包括软件)及相关的备品备件、工具、手册及其它技术资料和材料。</w:t>
      </w:r>
    </w:p>
    <w:p>
      <w:pPr>
        <w:numPr>
          <w:ilvl w:val="1"/>
          <w:numId w:val="3"/>
        </w:numPr>
        <w:spacing w:line="480" w:lineRule="exact"/>
        <w:rPr>
          <w:rFonts w:ascii="宋体" w:hAnsi="宋体"/>
          <w:szCs w:val="21"/>
        </w:rPr>
      </w:pPr>
      <w:r>
        <w:rPr>
          <w:rFonts w:hint="eastAsia" w:ascii="宋体" w:hAnsi="宋体"/>
          <w:szCs w:val="21"/>
        </w:rPr>
        <w:t>服务：系指招标文件规定投标人须承担的系统集成、安装、调试、技术协助、校准、培训以及其它类似的义务。</w:t>
      </w:r>
    </w:p>
    <w:p>
      <w:pPr>
        <w:numPr>
          <w:ilvl w:val="1"/>
          <w:numId w:val="3"/>
        </w:numPr>
        <w:spacing w:line="480" w:lineRule="exact"/>
        <w:rPr>
          <w:szCs w:val="21"/>
        </w:rPr>
      </w:pPr>
      <w:r>
        <w:rPr>
          <w:rFonts w:hint="eastAsia" w:hAnsi="宋体"/>
          <w:szCs w:val="21"/>
        </w:rPr>
        <w:t>偏离：是指投标文件对招标文件的偏离，即不满足、或不响应招标文件的要求。偏离分为对招标文件的实质性要求条款偏离和对招标文件的一般商务和技术条款（参数）偏离。</w:t>
      </w:r>
    </w:p>
    <w:p>
      <w:pPr>
        <w:numPr>
          <w:ilvl w:val="1"/>
          <w:numId w:val="3"/>
        </w:numPr>
        <w:spacing w:line="480" w:lineRule="exact"/>
        <w:rPr>
          <w:szCs w:val="21"/>
        </w:rPr>
      </w:pPr>
      <w:r>
        <w:rPr>
          <w:rFonts w:hint="eastAsia" w:ascii="宋体" w:hAnsi="宋体"/>
          <w:bCs/>
          <w:szCs w:val="21"/>
        </w:rPr>
        <w:t>实质性条款：除法律、法规和规章规定外，</w:t>
      </w:r>
      <w:r>
        <w:rPr>
          <w:rFonts w:hint="eastAsia" w:ascii="宋体" w:hAnsi="宋体"/>
          <w:szCs w:val="21"/>
        </w:rPr>
        <w:t>招标文件中用“拒绝”、“不接受”、“无效”、“不得”、“未响应”、“废标”等文字规定或标注“★”符号的条款为实质性要求条款，对其中任何一条的偏离，在评审时将其视为无效投标（但技术规格参数涉及到评分的情形除外）。未用上述文字规定或符号标注的条款为非实质性要求条款(即一般条款)。</w:t>
      </w:r>
    </w:p>
    <w:p>
      <w:pPr>
        <w:numPr>
          <w:ilvl w:val="1"/>
          <w:numId w:val="3"/>
        </w:numPr>
        <w:spacing w:line="480" w:lineRule="exact"/>
        <w:rPr>
          <w:rFonts w:ascii="宋体" w:hAnsi="宋体"/>
          <w:szCs w:val="21"/>
        </w:rPr>
      </w:pPr>
      <w:r>
        <w:rPr>
          <w:rFonts w:hint="eastAsia" w:ascii="宋体" w:hAnsi="宋体"/>
          <w:szCs w:val="21"/>
        </w:rPr>
        <w:t>日期、天数、时间：未有特别说明时，均为公历日（天）及北京时间。</w:t>
      </w:r>
    </w:p>
    <w:p>
      <w:pPr>
        <w:numPr>
          <w:ilvl w:val="0"/>
          <w:numId w:val="3"/>
        </w:numPr>
        <w:spacing w:line="480" w:lineRule="exact"/>
        <w:outlineLvl w:val="2"/>
        <w:rPr>
          <w:rFonts w:ascii="宋体" w:hAnsi="宋体" w:cs="宋体"/>
          <w:b/>
          <w:szCs w:val="21"/>
        </w:rPr>
      </w:pPr>
      <w:r>
        <w:rPr>
          <w:rFonts w:hint="eastAsia" w:ascii="宋体" w:hAnsi="宋体"/>
          <w:szCs w:val="21"/>
        </w:rPr>
        <w:t>★</w:t>
      </w:r>
      <w:r>
        <w:rPr>
          <w:rFonts w:hint="eastAsia" w:ascii="宋体" w:hAnsi="宋体" w:cs="宋体"/>
          <w:b/>
          <w:szCs w:val="21"/>
        </w:rPr>
        <w:t>投标人资格条件</w:t>
      </w:r>
    </w:p>
    <w:p>
      <w:pPr>
        <w:spacing w:line="600" w:lineRule="exact"/>
        <w:ind w:firstLine="420" w:firstLineChars="200"/>
        <w:rPr>
          <w:szCs w:val="21"/>
        </w:rPr>
      </w:pPr>
      <w:r>
        <w:rPr>
          <w:rFonts w:hint="eastAsia"/>
          <w:szCs w:val="21"/>
        </w:rPr>
        <w:t>详见投标人须知前附表；</w:t>
      </w:r>
    </w:p>
    <w:p>
      <w:pPr>
        <w:numPr>
          <w:ilvl w:val="1"/>
          <w:numId w:val="3"/>
        </w:numPr>
        <w:spacing w:line="480" w:lineRule="exact"/>
        <w:rPr>
          <w:szCs w:val="21"/>
        </w:rPr>
      </w:pPr>
      <w:r>
        <w:rPr>
          <w:rFonts w:hint="eastAsia"/>
          <w:szCs w:val="21"/>
        </w:rPr>
        <w:t>符合招标文件中规定的其他特定资格要求；</w:t>
      </w:r>
    </w:p>
    <w:p>
      <w:pPr>
        <w:numPr>
          <w:ilvl w:val="1"/>
          <w:numId w:val="3"/>
        </w:numPr>
        <w:spacing w:line="480" w:lineRule="exact"/>
        <w:rPr>
          <w:szCs w:val="21"/>
        </w:rPr>
      </w:pPr>
      <w:r>
        <w:rPr>
          <w:rFonts w:hint="eastAsia"/>
          <w:szCs w:val="21"/>
        </w:rPr>
        <w:t>投标人参加投标不得存在下列情形之一：</w:t>
      </w:r>
    </w:p>
    <w:p>
      <w:pPr>
        <w:spacing w:line="480" w:lineRule="exact"/>
        <w:ind w:left="567"/>
        <w:rPr>
          <w:szCs w:val="21"/>
        </w:rPr>
      </w:pPr>
      <w:r>
        <w:rPr>
          <w:rFonts w:hint="eastAsia" w:ascii="宋体" w:hAnsi="宋体"/>
          <w:szCs w:val="21"/>
        </w:rPr>
        <w:t>（1）</w:t>
      </w:r>
      <w:r>
        <w:rPr>
          <w:rFonts w:hint="eastAsia"/>
          <w:szCs w:val="21"/>
        </w:rPr>
        <w:t>与招标人或招标代理机构存在隶属关系或者其他利害关系；</w:t>
      </w:r>
    </w:p>
    <w:p>
      <w:pPr>
        <w:spacing w:line="480" w:lineRule="exact"/>
        <w:ind w:left="1050" w:leftChars="250" w:hanging="525" w:hangingChars="250"/>
        <w:rPr>
          <w:szCs w:val="21"/>
        </w:rPr>
      </w:pPr>
      <w:r>
        <w:rPr>
          <w:rFonts w:hint="eastAsia" w:ascii="宋体" w:hAnsi="宋体"/>
          <w:szCs w:val="21"/>
        </w:rPr>
        <w:t>（2）</w:t>
      </w:r>
      <w:r>
        <w:rPr>
          <w:rFonts w:hint="eastAsia"/>
          <w:szCs w:val="21"/>
        </w:rPr>
        <w:t>法定代表人或者负责人为同一人或者存在控股、管理关系的两个以上投标人，不得参加同一政府采购项目同（包段）的投标；</w:t>
      </w:r>
    </w:p>
    <w:p>
      <w:pPr>
        <w:spacing w:line="480" w:lineRule="exact"/>
        <w:ind w:left="1050" w:leftChars="250" w:hanging="525" w:hangingChars="250"/>
        <w:rPr>
          <w:szCs w:val="21"/>
        </w:rPr>
      </w:pPr>
      <w:r>
        <w:rPr>
          <w:rFonts w:hint="eastAsia"/>
          <w:szCs w:val="21"/>
        </w:rPr>
        <w:t>（3）自然人与参与本项目投标的法人或其他组织存在隶属关系或者其他利害关系。</w:t>
      </w:r>
    </w:p>
    <w:p>
      <w:pPr>
        <w:numPr>
          <w:ilvl w:val="1"/>
          <w:numId w:val="3"/>
        </w:numPr>
        <w:spacing w:line="480" w:lineRule="exact"/>
        <w:rPr>
          <w:szCs w:val="21"/>
        </w:rPr>
      </w:pPr>
      <w:r>
        <w:rPr>
          <w:rFonts w:hint="eastAsia"/>
          <w:szCs w:val="21"/>
        </w:rPr>
        <w:t>投标人领取了招标文件并非意味着完全满足了合格投标人的条件，一切均以评标委员会审核的结果为准。</w:t>
      </w:r>
    </w:p>
    <w:p>
      <w:pPr>
        <w:numPr>
          <w:ilvl w:val="1"/>
          <w:numId w:val="3"/>
        </w:numPr>
        <w:spacing w:line="480" w:lineRule="exact"/>
        <w:rPr>
          <w:szCs w:val="21"/>
        </w:rPr>
      </w:pPr>
      <w:r>
        <w:rPr>
          <w:rFonts w:hint="eastAsia"/>
          <w:szCs w:val="21"/>
        </w:rPr>
        <w:t>不接受联合体投标。</w:t>
      </w:r>
    </w:p>
    <w:p>
      <w:pPr>
        <w:numPr>
          <w:ilvl w:val="0"/>
          <w:numId w:val="3"/>
        </w:numPr>
        <w:spacing w:line="480" w:lineRule="exact"/>
        <w:outlineLvl w:val="2"/>
        <w:rPr>
          <w:rFonts w:ascii="宋体" w:hAnsi="宋体" w:cs="宋体"/>
          <w:b/>
          <w:szCs w:val="21"/>
        </w:rPr>
      </w:pPr>
      <w:r>
        <w:rPr>
          <w:rFonts w:hint="eastAsia" w:ascii="宋体" w:hAnsi="宋体" w:cs="宋体"/>
          <w:b/>
          <w:szCs w:val="21"/>
        </w:rPr>
        <w:t>授权委托</w:t>
      </w:r>
    </w:p>
    <w:p>
      <w:pPr>
        <w:numPr>
          <w:ilvl w:val="1"/>
          <w:numId w:val="3"/>
        </w:numPr>
        <w:spacing w:line="480" w:lineRule="exact"/>
        <w:rPr>
          <w:szCs w:val="21"/>
        </w:rPr>
      </w:pPr>
      <w:r>
        <w:rPr>
          <w:rFonts w:hint="eastAsia"/>
          <w:szCs w:val="21"/>
        </w:rPr>
        <w:t>投标人代表不是投标人的法定代表人或其他组织负责人，应持有授权委托书，并附法定代表人或负责人身份证明。</w:t>
      </w:r>
    </w:p>
    <w:p>
      <w:pPr>
        <w:numPr>
          <w:ilvl w:val="1"/>
          <w:numId w:val="3"/>
        </w:numPr>
        <w:spacing w:line="480" w:lineRule="exact"/>
        <w:rPr>
          <w:szCs w:val="21"/>
        </w:rPr>
      </w:pPr>
      <w:r>
        <w:rPr>
          <w:rFonts w:hint="eastAsia"/>
          <w:szCs w:val="21"/>
        </w:rPr>
        <w:t>自然人参与本项目投标时不得再委托其他自然人进行投标，且持自然人身份证明投标。</w:t>
      </w:r>
    </w:p>
    <w:p>
      <w:pPr>
        <w:numPr>
          <w:ilvl w:val="1"/>
          <w:numId w:val="3"/>
        </w:numPr>
        <w:spacing w:line="480" w:lineRule="exact"/>
        <w:rPr>
          <w:szCs w:val="21"/>
        </w:rPr>
      </w:pPr>
      <w:r>
        <w:rPr>
          <w:rFonts w:hint="eastAsia"/>
          <w:szCs w:val="21"/>
        </w:rPr>
        <w:t>法定代表人或其他组织负责人出席开标仪式或者直接办理投标相关事宜者无须提供授权委托书，但须提供法定代表人或其他组织负责人身份证明。</w:t>
      </w:r>
    </w:p>
    <w:p>
      <w:pPr>
        <w:numPr>
          <w:ilvl w:val="0"/>
          <w:numId w:val="3"/>
        </w:numPr>
        <w:spacing w:line="480" w:lineRule="exact"/>
        <w:outlineLvl w:val="2"/>
        <w:rPr>
          <w:rFonts w:ascii="宋体" w:hAnsi="宋体" w:cs="宋体"/>
          <w:b/>
          <w:szCs w:val="21"/>
        </w:rPr>
      </w:pPr>
      <w:r>
        <w:rPr>
          <w:rFonts w:hint="eastAsia" w:ascii="宋体" w:hAnsi="宋体" w:cs="宋体"/>
          <w:b/>
          <w:szCs w:val="21"/>
        </w:rPr>
        <w:t>投标费用</w:t>
      </w:r>
    </w:p>
    <w:p>
      <w:pPr>
        <w:spacing w:line="480" w:lineRule="exact"/>
        <w:ind w:left="567"/>
        <w:rPr>
          <w:szCs w:val="21"/>
        </w:rPr>
      </w:pPr>
      <w:r>
        <w:rPr>
          <w:rFonts w:hint="eastAsia"/>
          <w:szCs w:val="21"/>
        </w:rPr>
        <w:t>投标人应承担所有与准备和参加投标有关的费用。</w:t>
      </w:r>
      <w:r>
        <w:rPr>
          <w:rFonts w:hint="eastAsia" w:ascii="宋体" w:hAnsi="宋体"/>
          <w:szCs w:val="21"/>
        </w:rPr>
        <w:t>不论投标的结果如何，招标代理机构和招标人在任何情况下均无义务和责任承担这些费用。</w:t>
      </w:r>
    </w:p>
    <w:p>
      <w:pPr>
        <w:pStyle w:val="4"/>
        <w:spacing w:line="480" w:lineRule="exact"/>
        <w:jc w:val="center"/>
        <w:rPr>
          <w:sz w:val="21"/>
          <w:szCs w:val="21"/>
        </w:rPr>
      </w:pPr>
      <w:bookmarkStart w:id="49" w:name="_Toc388260475"/>
      <w:bookmarkStart w:id="50" w:name="_Toc17204480"/>
      <w:bookmarkStart w:id="51" w:name="_Toc15144"/>
      <w:r>
        <w:rPr>
          <w:rFonts w:hint="eastAsia"/>
          <w:sz w:val="21"/>
          <w:szCs w:val="21"/>
        </w:rPr>
        <w:t>二、招标文件</w:t>
      </w:r>
      <w:bookmarkEnd w:id="49"/>
      <w:bookmarkEnd w:id="50"/>
      <w:bookmarkEnd w:id="51"/>
    </w:p>
    <w:p>
      <w:pPr>
        <w:numPr>
          <w:ilvl w:val="0"/>
          <w:numId w:val="3"/>
        </w:numPr>
        <w:spacing w:line="480" w:lineRule="exact"/>
        <w:rPr>
          <w:rFonts w:ascii="宋体" w:hAnsi="宋体" w:cs="宋体"/>
          <w:b/>
          <w:szCs w:val="21"/>
        </w:rPr>
      </w:pPr>
      <w:r>
        <w:rPr>
          <w:rFonts w:hint="eastAsia" w:ascii="宋体" w:hAnsi="宋体" w:cs="宋体"/>
          <w:b/>
          <w:szCs w:val="21"/>
        </w:rPr>
        <w:t>招标文件组成</w:t>
      </w:r>
    </w:p>
    <w:p>
      <w:pPr>
        <w:numPr>
          <w:ilvl w:val="1"/>
          <w:numId w:val="3"/>
        </w:numPr>
        <w:spacing w:line="480" w:lineRule="exact"/>
        <w:rPr>
          <w:szCs w:val="21"/>
        </w:rPr>
      </w:pPr>
      <w:r>
        <w:rPr>
          <w:rFonts w:hint="eastAsia"/>
          <w:szCs w:val="21"/>
        </w:rPr>
        <w:t>招标文件共分六章，其内容如下：</w:t>
      </w:r>
    </w:p>
    <w:p>
      <w:pPr>
        <w:spacing w:line="480" w:lineRule="exact"/>
        <w:ind w:firstLine="525" w:firstLineChars="250"/>
        <w:rPr>
          <w:szCs w:val="21"/>
        </w:rPr>
      </w:pPr>
      <w:r>
        <w:rPr>
          <w:rFonts w:hint="eastAsia"/>
          <w:szCs w:val="21"/>
        </w:rPr>
        <w:t>第一章 招标公告</w:t>
      </w:r>
    </w:p>
    <w:p>
      <w:pPr>
        <w:spacing w:line="480" w:lineRule="exact"/>
        <w:ind w:firstLine="525" w:firstLineChars="250"/>
        <w:rPr>
          <w:szCs w:val="21"/>
        </w:rPr>
      </w:pPr>
      <w:r>
        <w:rPr>
          <w:rFonts w:hint="eastAsia"/>
          <w:szCs w:val="21"/>
        </w:rPr>
        <w:t>第二章 投标须知</w:t>
      </w:r>
    </w:p>
    <w:p>
      <w:pPr>
        <w:spacing w:line="480" w:lineRule="exact"/>
        <w:ind w:firstLine="525" w:firstLineChars="250"/>
        <w:rPr>
          <w:szCs w:val="21"/>
        </w:rPr>
      </w:pPr>
      <w:r>
        <w:rPr>
          <w:rFonts w:hint="eastAsia"/>
          <w:szCs w:val="21"/>
        </w:rPr>
        <w:t>第三章 评标办法</w:t>
      </w:r>
    </w:p>
    <w:p>
      <w:pPr>
        <w:spacing w:line="480" w:lineRule="exact"/>
        <w:ind w:firstLine="525" w:firstLineChars="250"/>
        <w:rPr>
          <w:szCs w:val="21"/>
        </w:rPr>
      </w:pPr>
      <w:r>
        <w:rPr>
          <w:rFonts w:hint="eastAsia"/>
          <w:szCs w:val="21"/>
        </w:rPr>
        <w:t>第四章 合同条款</w:t>
      </w:r>
    </w:p>
    <w:p>
      <w:pPr>
        <w:spacing w:line="480" w:lineRule="exact"/>
        <w:ind w:firstLine="525" w:firstLineChars="250"/>
        <w:rPr>
          <w:szCs w:val="21"/>
        </w:rPr>
      </w:pPr>
      <w:r>
        <w:rPr>
          <w:rFonts w:hint="eastAsia"/>
          <w:szCs w:val="21"/>
        </w:rPr>
        <w:t>第五章 采购需求及技术参数</w:t>
      </w:r>
    </w:p>
    <w:p>
      <w:pPr>
        <w:spacing w:line="480" w:lineRule="exact"/>
        <w:ind w:firstLine="525" w:firstLineChars="250"/>
        <w:rPr>
          <w:szCs w:val="21"/>
        </w:rPr>
      </w:pPr>
      <w:r>
        <w:rPr>
          <w:rFonts w:hint="eastAsia"/>
          <w:szCs w:val="21"/>
        </w:rPr>
        <w:t>第六章 投标文件格式</w:t>
      </w:r>
    </w:p>
    <w:p>
      <w:pPr>
        <w:numPr>
          <w:ilvl w:val="1"/>
          <w:numId w:val="3"/>
        </w:numPr>
        <w:spacing w:line="480" w:lineRule="exact"/>
        <w:rPr>
          <w:szCs w:val="21"/>
        </w:rPr>
      </w:pPr>
      <w:r>
        <w:rPr>
          <w:rFonts w:hint="eastAsia" w:ascii="宋体" w:hAnsi="宋体" w:cs="宋体"/>
          <w:szCs w:val="21"/>
        </w:rPr>
        <w:t>对招标文件所作的澄清、修改，构成招标文件的组成部分。</w:t>
      </w:r>
    </w:p>
    <w:p>
      <w:pPr>
        <w:numPr>
          <w:ilvl w:val="1"/>
          <w:numId w:val="3"/>
        </w:numPr>
        <w:spacing w:line="480" w:lineRule="exact"/>
        <w:rPr>
          <w:szCs w:val="21"/>
        </w:rPr>
      </w:pPr>
      <w:r>
        <w:rPr>
          <w:rFonts w:hint="eastAsia" w:ascii="宋体" w:hAnsi="宋体"/>
          <w:szCs w:val="21"/>
        </w:rPr>
        <w:t>投标人应仔细阅读招标文件的全部内容，按照招标文件要求编制投标文件。任何对招标文件的忽略或误解不能作为投标文件存在缺陷或瑕疵的理由，其风险由投标人自行承担。</w:t>
      </w:r>
    </w:p>
    <w:p>
      <w:pPr>
        <w:numPr>
          <w:ilvl w:val="0"/>
          <w:numId w:val="3"/>
        </w:numPr>
        <w:spacing w:line="480" w:lineRule="exact"/>
        <w:rPr>
          <w:rFonts w:ascii="宋体" w:hAnsi="宋体" w:cs="宋体"/>
          <w:b/>
          <w:szCs w:val="21"/>
        </w:rPr>
      </w:pPr>
      <w:r>
        <w:rPr>
          <w:rFonts w:hint="eastAsia" w:ascii="宋体" w:hAnsi="宋体" w:cs="宋体"/>
          <w:b/>
          <w:szCs w:val="21"/>
        </w:rPr>
        <w:t>招标文件的澄清、修改</w:t>
      </w:r>
    </w:p>
    <w:p>
      <w:pPr>
        <w:numPr>
          <w:ilvl w:val="1"/>
          <w:numId w:val="3"/>
        </w:numPr>
        <w:spacing w:line="480" w:lineRule="exact"/>
        <w:rPr>
          <w:rFonts w:ascii="宋体" w:hAnsi="宋体" w:cs="宋体"/>
          <w:szCs w:val="21"/>
        </w:rPr>
      </w:pPr>
      <w:r>
        <w:rPr>
          <w:rFonts w:hint="eastAsia" w:ascii="宋体" w:hAnsi="宋体" w:cs="宋体"/>
          <w:szCs w:val="21"/>
        </w:rPr>
        <w:t>任何要求对招标文件进行澄清的投标人，均应以书面形式通知招标代理机构。招标代理机构联系方式见“投标须知前附表”。招标代理机构对其招标公告自发布之日起七个工作日内收到的对招标文件的澄清要求，如认为有必要，将以书面形式予以答复，同时将书面答复发给每个领取招标文件的投标人</w:t>
      </w:r>
      <w:r>
        <w:rPr>
          <w:rFonts w:ascii="宋体" w:hAnsi="宋体" w:cs="宋体"/>
          <w:szCs w:val="21"/>
        </w:rPr>
        <w:t>(</w:t>
      </w:r>
      <w:r>
        <w:rPr>
          <w:rFonts w:hint="eastAsia" w:ascii="宋体" w:hAnsi="宋体" w:cs="宋体"/>
          <w:szCs w:val="21"/>
        </w:rPr>
        <w:t>答复中不包括问题的来源</w:t>
      </w:r>
      <w:r>
        <w:rPr>
          <w:rFonts w:ascii="宋体" w:hAnsi="宋体" w:cs="宋体"/>
          <w:szCs w:val="21"/>
        </w:rPr>
        <w:t>)</w:t>
      </w:r>
      <w:r>
        <w:rPr>
          <w:rFonts w:hint="eastAsia" w:ascii="宋体" w:hAnsi="宋体" w:cs="宋体"/>
          <w:szCs w:val="21"/>
        </w:rPr>
        <w:t>，否则将视为所有投标人已详细阅读招标文件并能够响应招标文件实质性要求。</w:t>
      </w:r>
    </w:p>
    <w:p>
      <w:pPr>
        <w:numPr>
          <w:ilvl w:val="1"/>
          <w:numId w:val="3"/>
        </w:numPr>
        <w:spacing w:line="480" w:lineRule="exact"/>
        <w:rPr>
          <w:rFonts w:ascii="宋体" w:hAnsi="宋体" w:cs="宋体"/>
          <w:szCs w:val="21"/>
        </w:rPr>
      </w:pPr>
      <w:r>
        <w:rPr>
          <w:rFonts w:hint="eastAsia" w:ascii="宋体" w:hAnsi="宋体" w:cs="宋体"/>
          <w:szCs w:val="21"/>
        </w:rPr>
        <w:t>投标截止期前十五（</w:t>
      </w:r>
      <w:r>
        <w:rPr>
          <w:rFonts w:ascii="宋体" w:hAnsi="宋体" w:cs="宋体"/>
          <w:szCs w:val="21"/>
        </w:rPr>
        <w:t>15</w:t>
      </w:r>
      <w:r>
        <w:rPr>
          <w:rFonts w:hint="eastAsia" w:ascii="宋体" w:hAnsi="宋体" w:cs="宋体"/>
          <w:szCs w:val="21"/>
        </w:rPr>
        <w:t>）天，无论出于何种原因，招标代理机构可主动地或在解答投标人提出的澄清问题时对招标文件进行修改，招标文件的修改书将构成招标文件的一部分。</w:t>
      </w:r>
    </w:p>
    <w:p>
      <w:pPr>
        <w:numPr>
          <w:ilvl w:val="1"/>
          <w:numId w:val="3"/>
        </w:numPr>
        <w:spacing w:line="480" w:lineRule="exact"/>
        <w:rPr>
          <w:rFonts w:ascii="宋体" w:hAnsi="宋体" w:cs="宋体"/>
          <w:szCs w:val="21"/>
        </w:rPr>
      </w:pPr>
      <w:r>
        <w:rPr>
          <w:rFonts w:hint="eastAsia" w:ascii="宋体" w:hAnsi="宋体" w:cs="宋体"/>
          <w:szCs w:val="21"/>
        </w:rPr>
        <w:t>招标文件的修改将以书面形式通知所有领取招标文件的投标人，并对其具有约束力。投标人在收到上述通知后，应立即以传真形式向招标代理机构予以确认；在规定时间内未收到回复确认的，将视为默认接受。</w:t>
      </w:r>
    </w:p>
    <w:p>
      <w:pPr>
        <w:numPr>
          <w:ilvl w:val="1"/>
          <w:numId w:val="3"/>
        </w:numPr>
        <w:spacing w:line="480" w:lineRule="exact"/>
        <w:rPr>
          <w:rFonts w:ascii="宋体" w:hAnsi="宋体" w:cs="宋体"/>
          <w:szCs w:val="21"/>
        </w:rPr>
      </w:pPr>
      <w:r>
        <w:rPr>
          <w:rFonts w:hint="eastAsia" w:ascii="宋体" w:hAnsi="宋体" w:cs="宋体"/>
          <w:szCs w:val="21"/>
        </w:rPr>
        <w:t>为使投标人准备投标时有充分时间对招标文件的修改部分进行研究，招标人可自行决定是否延长投标截止日期和推迟开标时间。</w:t>
      </w:r>
    </w:p>
    <w:p>
      <w:pPr>
        <w:numPr>
          <w:ilvl w:val="1"/>
          <w:numId w:val="3"/>
        </w:numPr>
        <w:spacing w:line="480" w:lineRule="exact"/>
        <w:rPr>
          <w:rFonts w:ascii="宋体" w:hAnsi="宋体" w:cs="宋体"/>
          <w:szCs w:val="21"/>
        </w:rPr>
      </w:pPr>
      <w:r>
        <w:rPr>
          <w:rFonts w:hint="eastAsia" w:ascii="宋体" w:hAnsi="宋体" w:cs="宋体"/>
          <w:szCs w:val="21"/>
        </w:rPr>
        <w:t>投标人投标文件内出现组价、开标阶段报价或投标文件内前后报价出现不一致，使得评审工作无法继续者，评标委员会可以要求该投标人做出书面澄清，投标人拒不履行评标委员会澄清要求的将视为无效投标；投标文件其他应予修正范围和标准以《政府采购货物和服务招标投标管理办法》第五十九条执行。</w:t>
      </w:r>
    </w:p>
    <w:p>
      <w:pPr>
        <w:pStyle w:val="4"/>
        <w:spacing w:line="480" w:lineRule="exact"/>
        <w:jc w:val="center"/>
        <w:rPr>
          <w:sz w:val="21"/>
          <w:szCs w:val="21"/>
        </w:rPr>
      </w:pPr>
      <w:bookmarkStart w:id="52" w:name="_Toc388260476"/>
      <w:bookmarkStart w:id="53" w:name="_Toc17204481"/>
      <w:bookmarkStart w:id="54" w:name="_Toc22622"/>
      <w:r>
        <w:rPr>
          <w:rFonts w:hint="eastAsia"/>
          <w:sz w:val="21"/>
          <w:szCs w:val="21"/>
        </w:rPr>
        <w:t>三、投标文件</w:t>
      </w:r>
      <w:bookmarkEnd w:id="52"/>
      <w:r>
        <w:rPr>
          <w:rFonts w:hint="eastAsia"/>
          <w:sz w:val="21"/>
          <w:szCs w:val="21"/>
        </w:rPr>
        <w:t>的组成及编制</w:t>
      </w:r>
      <w:bookmarkEnd w:id="53"/>
      <w:bookmarkEnd w:id="54"/>
    </w:p>
    <w:p>
      <w:pPr>
        <w:numPr>
          <w:ilvl w:val="0"/>
          <w:numId w:val="3"/>
        </w:numPr>
        <w:spacing w:line="480" w:lineRule="exact"/>
        <w:rPr>
          <w:rFonts w:ascii="宋体" w:hAnsi="宋体" w:cs="宋体"/>
          <w:b/>
          <w:szCs w:val="21"/>
        </w:rPr>
      </w:pPr>
      <w:r>
        <w:rPr>
          <w:rFonts w:hint="eastAsia" w:ascii="宋体" w:hAnsi="宋体" w:cs="宋体"/>
          <w:b/>
          <w:szCs w:val="21"/>
        </w:rPr>
        <w:t>投标文件的组成</w:t>
      </w:r>
    </w:p>
    <w:p>
      <w:pPr>
        <w:numPr>
          <w:ilvl w:val="1"/>
          <w:numId w:val="3"/>
        </w:numPr>
        <w:spacing w:line="480" w:lineRule="exact"/>
        <w:rPr>
          <w:rFonts w:ascii="宋体" w:hAnsi="宋体"/>
          <w:szCs w:val="21"/>
        </w:rPr>
      </w:pPr>
      <w:r>
        <w:rPr>
          <w:rFonts w:hint="eastAsia" w:ascii="宋体" w:hAnsi="宋体"/>
          <w:szCs w:val="21"/>
        </w:rPr>
        <w:t>投标文件由内容如下组成：</w:t>
      </w:r>
    </w:p>
    <w:p>
      <w:pPr>
        <w:pStyle w:val="67"/>
        <w:snapToGrid w:val="0"/>
        <w:spacing w:line="400" w:lineRule="exact"/>
        <w:ind w:firstLine="420" w:firstLineChars="200"/>
        <w:jc w:val="both"/>
        <w:outlineLvl w:val="0"/>
        <w:rPr>
          <w:rFonts w:hint="default" w:ascii="宋体" w:hAnsi="宋体" w:eastAsia="宋体"/>
          <w:bCs/>
          <w:color w:val="auto"/>
          <w:sz w:val="21"/>
          <w:szCs w:val="21"/>
          <w:lang w:val="en-US" w:eastAsia="zh-CN"/>
        </w:rPr>
      </w:pPr>
      <w:bookmarkStart w:id="55" w:name="_Toc14474"/>
      <w:r>
        <w:rPr>
          <w:rFonts w:hint="eastAsia" w:ascii="宋体" w:hAnsi="宋体"/>
          <w:bCs/>
          <w:color w:val="auto"/>
          <w:sz w:val="21"/>
          <w:szCs w:val="21"/>
          <w:lang w:val="en-US" w:eastAsia="zh-CN"/>
        </w:rPr>
        <w:t>报价文件部分：</w:t>
      </w:r>
      <w:bookmarkEnd w:id="55"/>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56" w:name="_Toc9004"/>
      <w:bookmarkStart w:id="57" w:name="_Toc23116"/>
      <w:r>
        <w:rPr>
          <w:rFonts w:hint="eastAsia" w:ascii="宋体" w:hAnsi="宋体"/>
          <w:bCs/>
          <w:color w:val="auto"/>
          <w:sz w:val="21"/>
          <w:szCs w:val="21"/>
        </w:rPr>
        <w:t>投标函</w:t>
      </w:r>
      <w:bookmarkEnd w:id="56"/>
      <w:bookmarkEnd w:id="57"/>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58" w:name="_Toc24022"/>
      <w:bookmarkStart w:id="59" w:name="_Toc12586"/>
      <w:r>
        <w:rPr>
          <w:rFonts w:hint="eastAsia" w:ascii="宋体" w:hAnsi="宋体"/>
          <w:bCs/>
          <w:color w:val="auto"/>
          <w:sz w:val="21"/>
          <w:szCs w:val="21"/>
        </w:rPr>
        <w:t>投标报价一览表</w:t>
      </w:r>
      <w:bookmarkEnd w:id="58"/>
      <w:bookmarkEnd w:id="59"/>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60" w:name="_Toc12114"/>
      <w:bookmarkStart w:id="61" w:name="_Toc3882"/>
      <w:r>
        <w:rPr>
          <w:rFonts w:hint="eastAsia" w:ascii="宋体" w:hAnsi="宋体"/>
          <w:bCs/>
          <w:color w:val="auto"/>
          <w:sz w:val="21"/>
          <w:szCs w:val="21"/>
        </w:rPr>
        <w:t>报价明细表</w:t>
      </w:r>
      <w:bookmarkEnd w:id="60"/>
      <w:bookmarkEnd w:id="61"/>
    </w:p>
    <w:p>
      <w:pPr>
        <w:pStyle w:val="67"/>
        <w:numPr>
          <w:ilvl w:val="0"/>
          <w:numId w:val="0"/>
        </w:numPr>
        <w:snapToGrid w:val="0"/>
        <w:spacing w:line="400" w:lineRule="exact"/>
        <w:ind w:firstLine="420" w:firstLineChars="200"/>
        <w:jc w:val="both"/>
        <w:outlineLvl w:val="0"/>
        <w:rPr>
          <w:rFonts w:ascii="宋体" w:hAnsi="宋体"/>
          <w:bCs/>
          <w:color w:val="auto"/>
          <w:sz w:val="21"/>
          <w:szCs w:val="21"/>
        </w:rPr>
      </w:pPr>
      <w:bookmarkStart w:id="62" w:name="_Toc14156"/>
      <w:bookmarkStart w:id="63" w:name="_Toc18176"/>
      <w:r>
        <w:rPr>
          <w:rFonts w:hint="eastAsia" w:ascii="宋体" w:hAnsi="宋体"/>
          <w:bCs/>
          <w:color w:val="auto"/>
          <w:sz w:val="21"/>
          <w:szCs w:val="21"/>
        </w:rPr>
        <w:t>商务文件部分：</w:t>
      </w:r>
      <w:bookmarkEnd w:id="62"/>
      <w:bookmarkEnd w:id="63"/>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64" w:name="_Toc14905"/>
      <w:bookmarkStart w:id="65" w:name="_Toc674"/>
      <w:r>
        <w:rPr>
          <w:rFonts w:hint="eastAsia" w:ascii="宋体" w:hAnsi="宋体"/>
          <w:bCs/>
          <w:color w:val="auto"/>
          <w:sz w:val="21"/>
          <w:szCs w:val="21"/>
        </w:rPr>
        <w:t>法定代表人身份证明</w:t>
      </w:r>
      <w:bookmarkEnd w:id="64"/>
      <w:bookmarkEnd w:id="65"/>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66" w:name="_Toc20368"/>
      <w:bookmarkStart w:id="67" w:name="_Toc8117"/>
      <w:r>
        <w:rPr>
          <w:rFonts w:hint="eastAsia" w:ascii="宋体" w:hAnsi="宋体"/>
          <w:bCs/>
          <w:color w:val="auto"/>
          <w:sz w:val="21"/>
          <w:szCs w:val="21"/>
        </w:rPr>
        <w:t>法定代表人授权委托书</w:t>
      </w:r>
      <w:bookmarkEnd w:id="66"/>
      <w:bookmarkEnd w:id="67"/>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68" w:name="_Toc10233"/>
      <w:bookmarkStart w:id="69" w:name="_Toc29602"/>
      <w:r>
        <w:rPr>
          <w:rFonts w:hint="eastAsia" w:ascii="宋体" w:hAnsi="宋体"/>
          <w:bCs/>
          <w:color w:val="auto"/>
          <w:sz w:val="21"/>
          <w:szCs w:val="21"/>
        </w:rPr>
        <w:t>投标人基本情况</w:t>
      </w:r>
      <w:bookmarkEnd w:id="68"/>
      <w:bookmarkEnd w:id="69"/>
    </w:p>
    <w:p>
      <w:pPr>
        <w:pStyle w:val="67"/>
        <w:numPr>
          <w:ilvl w:val="0"/>
          <w:numId w:val="4"/>
        </w:numPr>
        <w:snapToGrid w:val="0"/>
        <w:spacing w:line="400" w:lineRule="exact"/>
        <w:ind w:firstLine="400" w:firstLineChars="200"/>
        <w:jc w:val="both"/>
        <w:outlineLvl w:val="0"/>
        <w:rPr>
          <w:rFonts w:ascii="宋体" w:hAnsi="宋体"/>
          <w:bCs/>
          <w:color w:val="auto"/>
          <w:sz w:val="21"/>
          <w:szCs w:val="21"/>
        </w:rPr>
      </w:pPr>
      <w:bookmarkStart w:id="70" w:name="_Toc17011"/>
      <w:bookmarkStart w:id="71" w:name="_Toc23349"/>
      <w:r>
        <w:rPr>
          <w:rFonts w:hint="eastAsia" w:ascii="宋体" w:hAnsi="宋体" w:cs="宋体"/>
          <w:bCs/>
          <w:color w:val="auto"/>
          <w:szCs w:val="21"/>
        </w:rPr>
        <w:t>近三年已完成或在执行类似项目一览表</w:t>
      </w:r>
      <w:bookmarkEnd w:id="70"/>
      <w:bookmarkEnd w:id="71"/>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72" w:name="_Toc225"/>
      <w:bookmarkStart w:id="73" w:name="_Toc10528"/>
      <w:r>
        <w:rPr>
          <w:rFonts w:hint="eastAsia" w:ascii="宋体" w:hAnsi="宋体"/>
          <w:bCs/>
          <w:color w:val="auto"/>
          <w:sz w:val="21"/>
          <w:szCs w:val="21"/>
        </w:rPr>
        <w:t>商务条款偏离表</w:t>
      </w:r>
      <w:bookmarkEnd w:id="72"/>
      <w:bookmarkEnd w:id="73"/>
    </w:p>
    <w:p>
      <w:pPr>
        <w:pStyle w:val="67"/>
        <w:snapToGrid w:val="0"/>
        <w:spacing w:line="400" w:lineRule="exact"/>
        <w:ind w:firstLine="420" w:firstLineChars="200"/>
        <w:jc w:val="both"/>
        <w:outlineLvl w:val="0"/>
        <w:rPr>
          <w:rFonts w:ascii="宋体" w:hAnsi="宋体"/>
          <w:bCs/>
          <w:color w:val="auto"/>
          <w:sz w:val="21"/>
          <w:szCs w:val="21"/>
        </w:rPr>
      </w:pPr>
      <w:bookmarkStart w:id="74" w:name="_Toc25445"/>
      <w:bookmarkStart w:id="75" w:name="_Toc25839"/>
      <w:r>
        <w:rPr>
          <w:rFonts w:hint="eastAsia" w:ascii="宋体" w:hAnsi="宋体"/>
          <w:bCs/>
          <w:color w:val="auto"/>
          <w:sz w:val="21"/>
          <w:szCs w:val="21"/>
        </w:rPr>
        <w:t>技术文件部分：</w:t>
      </w:r>
      <w:bookmarkEnd w:id="74"/>
      <w:bookmarkEnd w:id="75"/>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76" w:name="_Toc16368"/>
      <w:bookmarkStart w:id="77" w:name="_Toc29369"/>
      <w:r>
        <w:rPr>
          <w:rFonts w:hint="eastAsia" w:ascii="宋体" w:hAnsi="宋体" w:cs="宋体"/>
          <w:bCs/>
          <w:color w:val="auto"/>
          <w:sz w:val="21"/>
          <w:szCs w:val="21"/>
        </w:rPr>
        <w:t>技术参数、规格偏离表</w:t>
      </w:r>
      <w:bookmarkEnd w:id="76"/>
      <w:bookmarkEnd w:id="77"/>
    </w:p>
    <w:p>
      <w:pPr>
        <w:pStyle w:val="67"/>
        <w:numPr>
          <w:ilvl w:val="0"/>
          <w:numId w:val="4"/>
        </w:numPr>
        <w:snapToGrid w:val="0"/>
        <w:spacing w:line="400" w:lineRule="exact"/>
        <w:ind w:firstLine="400" w:firstLineChars="200"/>
        <w:jc w:val="both"/>
        <w:outlineLvl w:val="0"/>
        <w:rPr>
          <w:rFonts w:ascii="宋体" w:hAnsi="宋体"/>
          <w:bCs/>
          <w:color w:val="auto"/>
          <w:sz w:val="21"/>
          <w:szCs w:val="21"/>
        </w:rPr>
      </w:pPr>
      <w:bookmarkStart w:id="78" w:name="_Toc19400"/>
      <w:bookmarkStart w:id="79" w:name="_Toc10722"/>
      <w:r>
        <w:rPr>
          <w:rFonts w:hint="eastAsia" w:ascii="宋体" w:hAnsi="宋体" w:cs="宋体"/>
          <w:bCs/>
          <w:color w:val="auto"/>
          <w:szCs w:val="21"/>
        </w:rPr>
        <w:t>供货组织情况及实施方案</w:t>
      </w:r>
      <w:bookmarkEnd w:id="78"/>
      <w:bookmarkEnd w:id="79"/>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80" w:name="_Toc10025"/>
      <w:bookmarkStart w:id="81" w:name="_Toc2527"/>
      <w:r>
        <w:rPr>
          <w:rFonts w:hint="eastAsia" w:ascii="宋体" w:hAnsi="宋体"/>
          <w:bCs/>
          <w:color w:val="auto"/>
          <w:sz w:val="21"/>
          <w:szCs w:val="21"/>
        </w:rPr>
        <w:t>售后服务承诺书</w:t>
      </w:r>
      <w:bookmarkEnd w:id="80"/>
      <w:bookmarkEnd w:id="81"/>
    </w:p>
    <w:p>
      <w:pPr>
        <w:pStyle w:val="67"/>
        <w:numPr>
          <w:ilvl w:val="0"/>
          <w:numId w:val="4"/>
        </w:numPr>
        <w:snapToGrid w:val="0"/>
        <w:spacing w:line="400" w:lineRule="exact"/>
        <w:ind w:firstLine="400" w:firstLineChars="200"/>
        <w:jc w:val="both"/>
        <w:outlineLvl w:val="0"/>
        <w:rPr>
          <w:rFonts w:ascii="宋体" w:hAnsi="宋体"/>
          <w:bCs/>
          <w:color w:val="auto"/>
          <w:sz w:val="21"/>
          <w:szCs w:val="21"/>
        </w:rPr>
      </w:pPr>
      <w:bookmarkStart w:id="82" w:name="_Toc11849"/>
      <w:bookmarkStart w:id="83" w:name="_Toc9308"/>
      <w:r>
        <w:rPr>
          <w:rFonts w:hint="eastAsia" w:ascii="宋体" w:hAnsi="宋体" w:cs="宋体"/>
          <w:bCs/>
          <w:color w:val="auto"/>
          <w:szCs w:val="21"/>
        </w:rPr>
        <w:t>其它证明材料</w:t>
      </w:r>
      <w:bookmarkEnd w:id="82"/>
      <w:bookmarkEnd w:id="83"/>
    </w:p>
    <w:p>
      <w:pPr>
        <w:pStyle w:val="67"/>
        <w:numPr>
          <w:ilvl w:val="0"/>
          <w:numId w:val="4"/>
        </w:numPr>
        <w:snapToGrid w:val="0"/>
        <w:spacing w:line="400" w:lineRule="exact"/>
        <w:ind w:firstLine="420" w:firstLineChars="200"/>
        <w:jc w:val="both"/>
        <w:outlineLvl w:val="0"/>
        <w:rPr>
          <w:rFonts w:ascii="宋体" w:hAnsi="宋体"/>
          <w:bCs/>
          <w:color w:val="auto"/>
          <w:sz w:val="21"/>
          <w:szCs w:val="21"/>
        </w:rPr>
      </w:pPr>
      <w:bookmarkStart w:id="84" w:name="_Toc9804"/>
      <w:bookmarkStart w:id="85" w:name="_Toc10681"/>
      <w:r>
        <w:rPr>
          <w:rFonts w:hint="eastAsia" w:ascii="宋体" w:hAnsi="宋体"/>
          <w:bCs/>
          <w:color w:val="auto"/>
          <w:sz w:val="21"/>
          <w:szCs w:val="21"/>
        </w:rPr>
        <w:t>声明函</w:t>
      </w:r>
      <w:bookmarkEnd w:id="84"/>
      <w:bookmarkEnd w:id="85"/>
    </w:p>
    <w:p>
      <w:pPr>
        <w:numPr>
          <w:ilvl w:val="0"/>
          <w:numId w:val="3"/>
        </w:numPr>
        <w:spacing w:line="360" w:lineRule="exact"/>
        <w:rPr>
          <w:rFonts w:ascii="宋体" w:hAnsi="宋体" w:cs="宋体"/>
          <w:b/>
          <w:szCs w:val="21"/>
        </w:rPr>
      </w:pPr>
      <w:r>
        <w:rPr>
          <w:rFonts w:hint="eastAsia" w:ascii="宋体" w:hAnsi="宋体" w:cs="宋体"/>
          <w:b/>
          <w:szCs w:val="21"/>
        </w:rPr>
        <w:t>编制原则</w:t>
      </w:r>
    </w:p>
    <w:p>
      <w:pPr>
        <w:numPr>
          <w:ilvl w:val="1"/>
          <w:numId w:val="3"/>
        </w:numPr>
        <w:spacing w:line="480" w:lineRule="exact"/>
        <w:rPr>
          <w:rFonts w:ascii="宋体" w:hAnsi="宋体" w:cs="宋体"/>
          <w:szCs w:val="21"/>
        </w:rPr>
      </w:pPr>
      <w:r>
        <w:rPr>
          <w:rFonts w:hint="eastAsia" w:ascii="宋体" w:hAnsi="宋体" w:cs="宋体"/>
          <w:szCs w:val="21"/>
        </w:rPr>
        <w:t>投标人应在认真阅读招标文件所有内容的基础上，按照招标文件的要求编制完整的投标文件。★招标文件中对投标文件格式有要求的，应按格式逐项填写内容，不准有空项；无相应内容可填的项应填写“无”、 “没有相应指标”等明确的回答文字。投标文件中留有空项的，将被视为不完整响应的投标文件，其投标将有可能被视为无效投标。</w:t>
      </w:r>
    </w:p>
    <w:p>
      <w:pPr>
        <w:numPr>
          <w:ilvl w:val="1"/>
          <w:numId w:val="3"/>
        </w:numPr>
        <w:spacing w:line="480" w:lineRule="exact"/>
        <w:rPr>
          <w:rFonts w:ascii="宋体" w:hAnsi="宋体" w:cs="宋体"/>
          <w:szCs w:val="21"/>
        </w:rPr>
      </w:pPr>
      <w:r>
        <w:rPr>
          <w:rFonts w:hint="eastAsia" w:ascii="宋体" w:hAnsi="宋体" w:cs="宋体"/>
          <w:szCs w:val="21"/>
        </w:rPr>
        <w:t>投标人必须保证投标文件所提供的全部资料真实可靠，并接受评标委员会对其中任何资料进一步审查的要求。</w:t>
      </w:r>
    </w:p>
    <w:p>
      <w:pPr>
        <w:numPr>
          <w:ilvl w:val="1"/>
          <w:numId w:val="3"/>
        </w:numPr>
        <w:spacing w:line="480" w:lineRule="exact"/>
        <w:rPr>
          <w:rFonts w:ascii="宋体" w:hAnsi="宋体" w:cs="宋体"/>
          <w:szCs w:val="21"/>
        </w:rPr>
      </w:pPr>
      <w:r>
        <w:rPr>
          <w:rFonts w:hint="eastAsia" w:ascii="宋体" w:hAnsi="宋体" w:cs="宋体"/>
          <w:szCs w:val="21"/>
        </w:rPr>
        <w:t>投标文件须对招标文件中的内容做出实质性和完整的响应，否则其投标将被视为无效投标。</w:t>
      </w:r>
    </w:p>
    <w:p>
      <w:pPr>
        <w:numPr>
          <w:ilvl w:val="1"/>
          <w:numId w:val="3"/>
        </w:numPr>
        <w:spacing w:line="480" w:lineRule="exact"/>
        <w:rPr>
          <w:rFonts w:ascii="宋体" w:hAnsi="宋体" w:cs="宋体"/>
          <w:szCs w:val="21"/>
        </w:rPr>
      </w:pPr>
      <w:r>
        <w:rPr>
          <w:rFonts w:hint="eastAsia" w:ascii="宋体" w:hAnsi="宋体" w:cs="宋体"/>
          <w:szCs w:val="21"/>
        </w:rPr>
        <w:t>投标文件的编制及相关参数、证明材料、认证或报告等投标文件组成部分均应为简体中文版或中英文双语版否则在评审时将不予认可。</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投标文件编制要求</w:t>
      </w:r>
    </w:p>
    <w:p>
      <w:pPr>
        <w:numPr>
          <w:ilvl w:val="1"/>
          <w:numId w:val="3"/>
        </w:numPr>
        <w:spacing w:line="480" w:lineRule="exact"/>
        <w:rPr>
          <w:rFonts w:ascii="宋体" w:hAnsi="宋体"/>
          <w:szCs w:val="21"/>
        </w:rPr>
      </w:pPr>
      <w:r>
        <w:rPr>
          <w:rFonts w:hint="eastAsia" w:ascii="宋体" w:hAnsi="宋体"/>
          <w:szCs w:val="21"/>
        </w:rPr>
        <w:t>投标文件应按照“投标文件格式”的要求以</w:t>
      </w:r>
      <w:r>
        <w:rPr>
          <w:rFonts w:ascii="宋体" w:hAnsi="宋体"/>
          <w:szCs w:val="21"/>
        </w:rPr>
        <w:t>A4</w:t>
      </w:r>
      <w:r>
        <w:rPr>
          <w:rFonts w:hint="eastAsia" w:ascii="宋体" w:hAnsi="宋体"/>
          <w:szCs w:val="21"/>
        </w:rPr>
        <w:t>版面统一编制，如需采用A3版面编制的需进行折叠以保证统一以A4版面递交投标文件纸质版。</w:t>
      </w:r>
    </w:p>
    <w:p>
      <w:pPr>
        <w:numPr>
          <w:ilvl w:val="1"/>
          <w:numId w:val="3"/>
        </w:numPr>
        <w:spacing w:line="480" w:lineRule="exact"/>
        <w:rPr>
          <w:rFonts w:ascii="宋体" w:hAnsi="宋体"/>
          <w:szCs w:val="21"/>
        </w:rPr>
      </w:pPr>
      <w:r>
        <w:rPr>
          <w:rFonts w:hint="eastAsia" w:ascii="宋体" w:hAnsi="宋体"/>
          <w:szCs w:val="21"/>
        </w:rPr>
        <w:t>对于有特定格式要求的，不允许改动其内容，否则，其投标无效。</w:t>
      </w:r>
    </w:p>
    <w:p>
      <w:pPr>
        <w:numPr>
          <w:ilvl w:val="1"/>
          <w:numId w:val="3"/>
        </w:numPr>
        <w:spacing w:line="480" w:lineRule="exact"/>
        <w:rPr>
          <w:rFonts w:ascii="宋体" w:hAnsi="宋体"/>
          <w:szCs w:val="21"/>
        </w:rPr>
      </w:pPr>
      <w:r>
        <w:rPr>
          <w:rFonts w:hint="eastAsia" w:ascii="宋体" w:hAnsi="宋体"/>
          <w:szCs w:val="21"/>
        </w:rPr>
        <w:t>投标文件的制作，应使用简体中文（包括投标人对其投标文件进行支持的第三方证明文件，如审计报告、产品说明书、检验报告、评估报告等，均须采用简体中文进行编制或提交）。</w:t>
      </w:r>
    </w:p>
    <w:p>
      <w:pPr>
        <w:numPr>
          <w:ilvl w:val="1"/>
          <w:numId w:val="3"/>
        </w:numPr>
        <w:spacing w:line="480" w:lineRule="exact"/>
        <w:rPr>
          <w:rFonts w:ascii="宋体" w:hAnsi="宋体"/>
          <w:szCs w:val="21"/>
        </w:rPr>
      </w:pPr>
      <w:r>
        <w:rPr>
          <w:rFonts w:hint="eastAsia" w:ascii="宋体" w:hAnsi="宋体"/>
          <w:szCs w:val="21"/>
        </w:rPr>
        <w:t>投标文件应该用计算机打印，并加注页码，用不可拆卸的无线胶装方式整册装订牢固，任何使用塑料夹条、订书针装订或打孔装订的均按无效投标文件处理。</w:t>
      </w:r>
    </w:p>
    <w:p>
      <w:pPr>
        <w:numPr>
          <w:ilvl w:val="1"/>
          <w:numId w:val="3"/>
        </w:numPr>
        <w:spacing w:line="480" w:lineRule="exact"/>
        <w:rPr>
          <w:rFonts w:ascii="宋体" w:hAnsi="宋体"/>
          <w:szCs w:val="21"/>
        </w:rPr>
      </w:pPr>
      <w:r>
        <w:rPr>
          <w:rFonts w:hint="eastAsia" w:ascii="宋体" w:hAnsi="宋体"/>
          <w:szCs w:val="21"/>
        </w:rPr>
        <w:t>任何行间插字、涂改和增删，须由投标人法定代表人（或其他组织负责人，或自然人直接签字）或其授权委托书在旁边签字、盖章后方为有效；否则其内容将不被认可，涉及资格认定的未进行签字盖章的行间插字、涂改和增删均不予认可，并一同视为无效投标。</w:t>
      </w:r>
    </w:p>
    <w:p>
      <w:pPr>
        <w:numPr>
          <w:ilvl w:val="1"/>
          <w:numId w:val="3"/>
        </w:numPr>
        <w:spacing w:line="480" w:lineRule="exact"/>
        <w:rPr>
          <w:rFonts w:ascii="宋体" w:hAnsi="宋体"/>
          <w:szCs w:val="21"/>
        </w:rPr>
      </w:pPr>
      <w:r>
        <w:rPr>
          <w:rFonts w:hint="eastAsia" w:ascii="宋体" w:hAnsi="宋体"/>
          <w:szCs w:val="21"/>
        </w:rPr>
        <w:t>投标文件商务文件部分与技术文件部分原则上应采用一本进行装订提交；如因文本过厚无法一本装订的，投标人必须在投标文件封面连续注明“上册”、“下册”或“上册”、“中册”、“下册”。</w:t>
      </w:r>
    </w:p>
    <w:p>
      <w:pPr>
        <w:numPr>
          <w:ilvl w:val="1"/>
          <w:numId w:val="3"/>
        </w:numPr>
        <w:spacing w:line="480" w:lineRule="exact"/>
        <w:rPr>
          <w:rFonts w:ascii="宋体" w:hAnsi="宋体"/>
          <w:szCs w:val="21"/>
        </w:rPr>
      </w:pPr>
      <w:r>
        <w:rPr>
          <w:rFonts w:hint="eastAsia" w:ascii="宋体" w:hAnsi="宋体"/>
          <w:b/>
          <w:szCs w:val="21"/>
        </w:rPr>
        <w:t>《投标文件》应根据《招标文件》的要求编制，签署、盖章和内容应完整，如有遗漏或与《招标文件》要求不否的将被视为无效投标。</w:t>
      </w:r>
    </w:p>
    <w:p>
      <w:pPr>
        <w:numPr>
          <w:ilvl w:val="1"/>
          <w:numId w:val="3"/>
        </w:numPr>
        <w:spacing w:line="480" w:lineRule="exact"/>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投标人应按包（标）段，分别制作投标文件并提交，对于未按照招标文件要求制作的投标文件，代理机构有权拒收。</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投标报价</w:t>
      </w:r>
    </w:p>
    <w:p>
      <w:pPr>
        <w:numPr>
          <w:ilvl w:val="1"/>
          <w:numId w:val="3"/>
        </w:numPr>
        <w:spacing w:line="480" w:lineRule="exact"/>
        <w:rPr>
          <w:rFonts w:ascii="宋体" w:hAnsi="宋体"/>
          <w:szCs w:val="21"/>
        </w:rPr>
      </w:pPr>
      <w:r>
        <w:rPr>
          <w:rFonts w:hint="eastAsia" w:ascii="宋体" w:hAnsi="宋体"/>
          <w:szCs w:val="21"/>
        </w:rPr>
        <w:t>投标人应按招标文件规定的供货及服务要求、责任范围和合同条件，以人民币进行报价。</w:t>
      </w:r>
    </w:p>
    <w:p>
      <w:pPr>
        <w:numPr>
          <w:ilvl w:val="1"/>
          <w:numId w:val="3"/>
        </w:numPr>
        <w:spacing w:line="480" w:lineRule="exact"/>
        <w:rPr>
          <w:rFonts w:ascii="宋体" w:hAnsi="宋体"/>
          <w:szCs w:val="21"/>
        </w:rPr>
      </w:pPr>
      <w:r>
        <w:rPr>
          <w:rFonts w:hint="eastAsia" w:ascii="宋体" w:hAnsi="宋体"/>
          <w:szCs w:val="21"/>
        </w:rPr>
        <w:t>投标人应按投标报价一览表和分项价格表的内容和格式要求填写各项货物及服务的分项价格和总价。投标总价中不得包含招标文件要求以外的内容，否则，在评审时不予核减。投标总价中也不得缺漏招标文件所要求的内容，否则，在评审时将其视为无效投标。</w:t>
      </w:r>
    </w:p>
    <w:p>
      <w:pPr>
        <w:numPr>
          <w:ilvl w:val="1"/>
          <w:numId w:val="3"/>
        </w:numPr>
        <w:spacing w:line="480" w:lineRule="exact"/>
        <w:rPr>
          <w:rFonts w:ascii="宋体" w:hAnsi="宋体"/>
          <w:szCs w:val="21"/>
        </w:rPr>
      </w:pPr>
      <w:r>
        <w:rPr>
          <w:rFonts w:hint="eastAsia" w:hAnsi="宋体"/>
          <w:szCs w:val="21"/>
        </w:rPr>
        <w:t>投标人对每种货物及服务只允许有一个报价，不接受选择性报价，否则，在评审时将其视为无效投标。</w:t>
      </w:r>
    </w:p>
    <w:p>
      <w:pPr>
        <w:numPr>
          <w:ilvl w:val="1"/>
          <w:numId w:val="3"/>
        </w:numPr>
        <w:spacing w:line="480" w:lineRule="exact"/>
        <w:rPr>
          <w:rFonts w:hAnsi="宋体"/>
          <w:szCs w:val="21"/>
        </w:rPr>
      </w:pPr>
      <w:r>
        <w:rPr>
          <w:rFonts w:hint="eastAsia" w:hAnsi="宋体"/>
          <w:szCs w:val="21"/>
        </w:rPr>
        <w:t xml:space="preserve">投标报价范围及说明： </w:t>
      </w:r>
    </w:p>
    <w:p>
      <w:pPr>
        <w:spacing w:line="480" w:lineRule="exact"/>
        <w:ind w:left="567" w:firstLine="210" w:firstLineChars="100"/>
        <w:rPr>
          <w:rFonts w:hAnsi="宋体"/>
          <w:szCs w:val="21"/>
        </w:rPr>
      </w:pPr>
      <w:r>
        <w:rPr>
          <w:rFonts w:hint="eastAsia" w:hAnsi="宋体"/>
          <w:szCs w:val="21"/>
        </w:rPr>
        <w:t>报价：包括完成采购内容中全部服务等全过程的全部费用</w:t>
      </w:r>
      <w:r>
        <w:rPr>
          <w:rFonts w:hint="eastAsia" w:hAnsi="宋体"/>
          <w:b/>
          <w:szCs w:val="21"/>
        </w:rPr>
        <w:t>。</w:t>
      </w:r>
    </w:p>
    <w:p>
      <w:pPr>
        <w:numPr>
          <w:ilvl w:val="1"/>
          <w:numId w:val="3"/>
        </w:numPr>
        <w:spacing w:line="480" w:lineRule="exact"/>
        <w:rPr>
          <w:rFonts w:hAnsi="宋体"/>
          <w:b/>
          <w:szCs w:val="21"/>
        </w:rPr>
      </w:pPr>
      <w:r>
        <w:rPr>
          <w:rFonts w:hint="eastAsia" w:hAnsi="宋体"/>
          <w:b/>
          <w:szCs w:val="21"/>
        </w:rPr>
        <w:t>采购项目需要落实的政府采购政策：依据《中华人民共和国政府采购法》和《中华人民共和国政府采购实施条例》的有关规定，落实政府采购政策。</w:t>
      </w:r>
    </w:p>
    <w:p>
      <w:pPr>
        <w:numPr>
          <w:ilvl w:val="1"/>
          <w:numId w:val="3"/>
        </w:numPr>
        <w:spacing w:line="480" w:lineRule="exact"/>
        <w:rPr>
          <w:rFonts w:hAnsi="宋体"/>
          <w:b/>
          <w:szCs w:val="21"/>
        </w:rPr>
      </w:pPr>
      <w:r>
        <w:rPr>
          <w:rFonts w:hint="eastAsia" w:hAnsi="宋体"/>
          <w:b/>
          <w:szCs w:val="21"/>
        </w:rPr>
        <w:t>财政部、工业和信息化部关于印发《政府采购促进中小企业发展管理办法》的通知（财库〔2020〕46号）； </w:t>
      </w:r>
    </w:p>
    <w:p>
      <w:pPr>
        <w:numPr>
          <w:ilvl w:val="1"/>
          <w:numId w:val="3"/>
        </w:numPr>
        <w:spacing w:line="480" w:lineRule="exact"/>
        <w:rPr>
          <w:rFonts w:hAnsi="宋体"/>
          <w:b/>
          <w:szCs w:val="21"/>
        </w:rPr>
      </w:pPr>
      <w:r>
        <w:rPr>
          <w:rFonts w:hint="eastAsia" w:hAnsi="宋体"/>
          <w:b/>
          <w:szCs w:val="21"/>
        </w:rPr>
        <w:t>《财政部、司法部关于政府采购支持监狱企业发展有关问题的通知》（财库[2014]68号）；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《国务院办公厅关于建立政府强制采购节能产品制度的通知》（国发办[2007]51号）； </w:t>
      </w:r>
    </w:p>
    <w:p>
      <w:pPr>
        <w:numPr>
          <w:ilvl w:val="1"/>
          <w:numId w:val="3"/>
        </w:numPr>
        <w:spacing w:line="480" w:lineRule="exact"/>
        <w:rPr>
          <w:rFonts w:hAnsi="宋体"/>
          <w:b/>
          <w:szCs w:val="21"/>
        </w:rPr>
      </w:pPr>
      <w:r>
        <w:rPr>
          <w:rFonts w:hint="eastAsia" w:hAnsi="宋体"/>
          <w:b/>
          <w:szCs w:val="21"/>
        </w:rPr>
        <w:t>《财政部 民政部 中国残疾人联合会关于促进残疾人就业政府采购政策的通知》财库[2017]141号；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numPr>
          <w:ilvl w:val="1"/>
          <w:numId w:val="3"/>
        </w:numPr>
        <w:spacing w:line="480" w:lineRule="exact"/>
        <w:rPr>
          <w:rFonts w:hAnsi="宋体"/>
          <w:b/>
          <w:szCs w:val="21"/>
        </w:rPr>
      </w:pPr>
      <w:r>
        <w:rPr>
          <w:rFonts w:hint="eastAsia" w:hAnsi="宋体"/>
          <w:b/>
          <w:szCs w:val="21"/>
        </w:rPr>
        <w:t>对中小微企业执行（财库〔2020〕46号）文件的规定，对其价格给予一定比例扣除，其评标价为按规定比例扣除后的价格，扣除比例为其投标报价按6%扣除后的价格作为其评标价。</w:t>
      </w:r>
    </w:p>
    <w:p>
      <w:pPr>
        <w:numPr>
          <w:ilvl w:val="1"/>
          <w:numId w:val="3"/>
        </w:numPr>
        <w:spacing w:line="480" w:lineRule="exact"/>
        <w:rPr>
          <w:rFonts w:hAnsi="宋体"/>
          <w:b/>
          <w:szCs w:val="21"/>
        </w:rPr>
      </w:pPr>
      <w:r>
        <w:rPr>
          <w:rFonts w:hint="eastAsia" w:hAnsi="宋体"/>
          <w:b/>
          <w:szCs w:val="21"/>
        </w:rPr>
        <w:t>对满足财政部、民政部、中国残疾人联合会发布的《关于促进残疾人就业政府采购政策的通知》规定，本项目对残疾人福利性单位产品的价格给予6%的扣除，其评标价为按规定比例扣除后的价格，扣除比例为其投标报价按6%扣除后的价格作为其评标价。</w:t>
      </w:r>
    </w:p>
    <w:p>
      <w:pPr>
        <w:numPr>
          <w:ilvl w:val="1"/>
          <w:numId w:val="3"/>
        </w:numPr>
        <w:spacing w:line="480" w:lineRule="exact"/>
        <w:rPr>
          <w:rFonts w:hAnsi="宋体"/>
          <w:b/>
          <w:szCs w:val="21"/>
        </w:rPr>
      </w:pPr>
      <w:r>
        <w:rPr>
          <w:rFonts w:hint="eastAsia" w:hAnsi="宋体"/>
          <w:b/>
          <w:szCs w:val="21"/>
        </w:rPr>
        <w:t>对满足《政府采购促进中小企业发展暂行办法》（财库〔2020〕46号）和《财政部司法部关于政府采购支持监狱企业发展有关问题的通知》（财库（2015）68号）的规定，对满足价格扣除条件且在投标文件中提交了《投标人企业类型声明函》或者省级以上监狱管理局、戒毒管理局（含新疆生产建设兵团）出具的属于监狱企业的证明文件的投标人，其投标报价扣除6%后参与评审。</w:t>
      </w:r>
    </w:p>
    <w:p>
      <w:pPr>
        <w:numPr>
          <w:ilvl w:val="1"/>
          <w:numId w:val="3"/>
        </w:numPr>
        <w:spacing w:line="480" w:lineRule="exact"/>
        <w:rPr>
          <w:rFonts w:hAnsi="宋体"/>
          <w:b/>
          <w:szCs w:val="21"/>
        </w:rPr>
      </w:pPr>
      <w:r>
        <w:rPr>
          <w:rFonts w:hint="eastAsia" w:hAnsi="宋体"/>
          <w:b/>
          <w:szCs w:val="21"/>
        </w:rPr>
        <w:t>不符合下列要求的除外：</w:t>
      </w:r>
    </w:p>
    <w:p>
      <w:pPr>
        <w:spacing w:line="480" w:lineRule="exact"/>
        <w:ind w:left="567"/>
        <w:rPr>
          <w:rFonts w:hAnsi="宋体"/>
          <w:b/>
          <w:szCs w:val="21"/>
        </w:rPr>
      </w:pPr>
      <w:r>
        <w:rPr>
          <w:rFonts w:hint="eastAsia" w:hAnsi="宋体"/>
          <w:b/>
          <w:szCs w:val="21"/>
        </w:rPr>
        <w:t>（1）不符合招标文件规定格式要求提供声明函及证明材料的。</w:t>
      </w:r>
    </w:p>
    <w:p>
      <w:pPr>
        <w:spacing w:line="480" w:lineRule="exact"/>
        <w:ind w:left="567"/>
        <w:rPr>
          <w:rFonts w:hAnsi="宋体"/>
          <w:b/>
          <w:szCs w:val="21"/>
        </w:rPr>
      </w:pPr>
      <w:r>
        <w:rPr>
          <w:rFonts w:hint="eastAsia" w:hAnsi="宋体"/>
          <w:b/>
          <w:szCs w:val="21"/>
        </w:rPr>
        <w:t>（2）不符合（财库〔2020〕46号）文件的规定企业的产品价格不予扣除。</w:t>
      </w:r>
    </w:p>
    <w:p>
      <w:pPr>
        <w:spacing w:line="480" w:lineRule="exact"/>
        <w:ind w:left="567"/>
        <w:rPr>
          <w:rFonts w:hAnsi="宋体"/>
          <w:b/>
          <w:szCs w:val="21"/>
        </w:rPr>
      </w:pPr>
      <w:r>
        <w:rPr>
          <w:rFonts w:hint="eastAsia" w:hAnsi="宋体"/>
          <w:b/>
          <w:szCs w:val="21"/>
        </w:rPr>
        <w:t>（3）不符合招标文件规定格式要求并未提供“残疾人福利性单位声明函”声明函及证明材料的。</w:t>
      </w:r>
    </w:p>
    <w:p>
      <w:pPr>
        <w:spacing w:line="480" w:lineRule="exact"/>
        <w:ind w:left="567"/>
        <w:rPr>
          <w:rFonts w:hAnsi="宋体"/>
          <w:b/>
          <w:szCs w:val="21"/>
        </w:rPr>
      </w:pPr>
      <w:r>
        <w:rPr>
          <w:rFonts w:hint="eastAsia" w:hAnsi="宋体"/>
          <w:b/>
          <w:szCs w:val="21"/>
        </w:rPr>
        <w:t>（4）不符合财政部、民政部、中国残疾人联合会发布的《关于促进残疾人就业政府采购政策的通知》规定的不予扣除。</w:t>
      </w:r>
    </w:p>
    <w:p>
      <w:pPr>
        <w:spacing w:line="480" w:lineRule="exact"/>
        <w:ind w:firstLine="527" w:firstLineChars="250"/>
        <w:rPr>
          <w:rFonts w:hAnsi="宋体"/>
          <w:b/>
          <w:szCs w:val="21"/>
        </w:rPr>
      </w:pPr>
      <w:r>
        <w:rPr>
          <w:rFonts w:hint="eastAsia" w:hAnsi="宋体"/>
          <w:b/>
          <w:szCs w:val="21"/>
        </w:rPr>
        <w:t>（5）不符合《政府采购促进中小企业发展暂行办法》（财库〔2020〕46号）和《财政部司法部关于政府采购支持监狱企业发展有关问题的通知》（财库（2015）68号）的规定的不予扣除。</w:t>
      </w:r>
    </w:p>
    <w:p>
      <w:pPr>
        <w:spacing w:line="480" w:lineRule="exact"/>
        <w:ind w:firstLine="422" w:firstLineChars="200"/>
        <w:rPr>
          <w:rFonts w:hAnsi="宋体"/>
          <w:b/>
          <w:szCs w:val="21"/>
        </w:rPr>
      </w:pPr>
      <w:r>
        <w:rPr>
          <w:rFonts w:hint="eastAsia" w:hAnsi="宋体"/>
          <w:b/>
          <w:szCs w:val="21"/>
        </w:rPr>
        <w:t>（6）不符合《国务院办公厅关于建立政府强制采购节能产品制度的通知》--国办发[2</w:t>
      </w:r>
      <w:r>
        <w:rPr>
          <w:rFonts w:hAnsi="宋体"/>
          <w:b/>
          <w:szCs w:val="21"/>
        </w:rPr>
        <w:t>007</w:t>
      </w:r>
      <w:r>
        <w:rPr>
          <w:rFonts w:hint="eastAsia" w:hAnsi="宋体"/>
          <w:b/>
          <w:szCs w:val="21"/>
        </w:rPr>
        <w:t>]5</w:t>
      </w:r>
      <w:r>
        <w:rPr>
          <w:rFonts w:hAnsi="宋体"/>
          <w:b/>
          <w:szCs w:val="21"/>
        </w:rPr>
        <w:t>1</w:t>
      </w:r>
      <w:r>
        <w:rPr>
          <w:rFonts w:hint="eastAsia" w:hAnsi="宋体"/>
          <w:b/>
          <w:szCs w:val="21"/>
        </w:rPr>
        <w:t xml:space="preserve">号规定的不予扣除。 </w:t>
      </w:r>
    </w:p>
    <w:p>
      <w:pPr>
        <w:spacing w:line="480" w:lineRule="exact"/>
        <w:ind w:firstLine="422" w:firstLineChars="200"/>
        <w:rPr>
          <w:rFonts w:hAnsi="宋体"/>
          <w:b/>
          <w:szCs w:val="21"/>
        </w:rPr>
      </w:pPr>
      <w:r>
        <w:rPr>
          <w:rFonts w:hint="eastAsia" w:hAnsi="宋体"/>
          <w:b/>
          <w:szCs w:val="21"/>
        </w:rPr>
        <w:t>（7）不符合《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的不予扣除。</w:t>
      </w:r>
    </w:p>
    <w:p>
      <w:pPr>
        <w:numPr>
          <w:ilvl w:val="0"/>
          <w:numId w:val="3"/>
        </w:numPr>
        <w:spacing w:line="480" w:lineRule="exact"/>
        <w:rPr>
          <w:rFonts w:ascii="宋体" w:hAnsi="宋体"/>
          <w:szCs w:val="21"/>
        </w:rPr>
      </w:pPr>
      <w:r>
        <w:rPr>
          <w:rFonts w:hint="eastAsia" w:hAnsi="宋体"/>
          <w:b/>
          <w:szCs w:val="21"/>
        </w:rPr>
        <w:t>备选方案</w:t>
      </w:r>
    </w:p>
    <w:p>
      <w:pPr>
        <w:numPr>
          <w:ilvl w:val="1"/>
          <w:numId w:val="3"/>
        </w:numPr>
        <w:spacing w:line="480" w:lineRule="exact"/>
        <w:rPr>
          <w:rFonts w:ascii="宋体" w:hAnsi="宋体"/>
          <w:szCs w:val="21"/>
        </w:rPr>
      </w:pPr>
      <w:r>
        <w:rPr>
          <w:rFonts w:hint="eastAsia" w:ascii="宋体" w:hAnsi="宋体"/>
          <w:szCs w:val="21"/>
        </w:rPr>
        <w:t>备选方案是指在本招标文件已明确的货物（设备）或服务的基本要求，如货物（设备）或服务的用途、用意、服务基本需求等；但投标人应标的货物（设备）或服务分部分项内容优于招标文件基本要求的，不在备选方案之列。</w:t>
      </w:r>
    </w:p>
    <w:p>
      <w:pPr>
        <w:numPr>
          <w:ilvl w:val="1"/>
          <w:numId w:val="3"/>
        </w:numPr>
        <w:spacing w:line="480" w:lineRule="exact"/>
        <w:rPr>
          <w:rFonts w:ascii="宋体" w:hAnsi="宋体"/>
          <w:szCs w:val="21"/>
        </w:rPr>
      </w:pPr>
      <w:r>
        <w:rPr>
          <w:rFonts w:hint="eastAsia" w:ascii="宋体" w:hAnsi="宋体"/>
          <w:szCs w:val="21"/>
        </w:rPr>
        <w:t>本采购项目不接受备选方案投标。</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szCs w:val="21"/>
        </w:rPr>
        <w:t>投标人的资格证明文件</w:t>
      </w:r>
    </w:p>
    <w:p>
      <w:pPr>
        <w:spacing w:line="480" w:lineRule="exact"/>
        <w:ind w:left="567"/>
        <w:rPr>
          <w:rFonts w:ascii="宋体" w:hAnsi="宋体"/>
          <w:b/>
          <w:szCs w:val="21"/>
        </w:rPr>
      </w:pPr>
      <w:r>
        <w:rPr>
          <w:rFonts w:hint="eastAsia" w:ascii="宋体" w:hAnsi="宋体"/>
          <w:szCs w:val="21"/>
        </w:rPr>
        <w:t>投标人应提交满足资格条件要求的证明文件，该证明文件作为投标文件的一部分。</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投标保证金</w:t>
      </w:r>
    </w:p>
    <w:p>
      <w:pPr>
        <w:numPr>
          <w:ilvl w:val="1"/>
          <w:numId w:val="3"/>
        </w:numPr>
        <w:spacing w:line="480" w:lineRule="exact"/>
        <w:rPr>
          <w:szCs w:val="21"/>
        </w:rPr>
      </w:pPr>
      <w:r>
        <w:rPr>
          <w:rFonts w:hint="eastAsia" w:ascii="宋体" w:hAnsi="宋体"/>
          <w:szCs w:val="21"/>
        </w:rPr>
        <w:t>投标保证金金额及缴纳方式详见“投标须知前附表”。</w:t>
      </w:r>
    </w:p>
    <w:p>
      <w:pPr>
        <w:numPr>
          <w:ilvl w:val="1"/>
          <w:numId w:val="3"/>
        </w:numPr>
        <w:spacing w:line="480" w:lineRule="exact"/>
        <w:rPr>
          <w:rFonts w:ascii="宋体" w:hAnsi="宋体"/>
          <w:szCs w:val="21"/>
        </w:rPr>
      </w:pPr>
      <w:r>
        <w:rPr>
          <w:rFonts w:hint="eastAsia" w:ascii="宋体" w:hAnsi="宋体"/>
          <w:szCs w:val="21"/>
        </w:rPr>
        <w:t>投标人须将汇转凭证复印件装订在投标文件内，证明其具有投标资格。</w:t>
      </w:r>
    </w:p>
    <w:p>
      <w:pPr>
        <w:numPr>
          <w:ilvl w:val="1"/>
          <w:numId w:val="3"/>
        </w:numPr>
        <w:spacing w:line="480" w:lineRule="exact"/>
        <w:rPr>
          <w:rFonts w:ascii="宋体" w:hAnsi="宋体"/>
          <w:szCs w:val="21"/>
        </w:rPr>
      </w:pPr>
      <w:r>
        <w:rPr>
          <w:rFonts w:hint="eastAsia" w:ascii="宋体" w:hAnsi="宋体" w:cs="宋体"/>
          <w:kern w:val="0"/>
          <w:szCs w:val="21"/>
        </w:rPr>
        <w:t>未中标投标人的保证金应当在中标通知书发出后5个工作日内退还，中标人的保证金应当在采购合同签订后5个工作日内退还。</w:t>
      </w:r>
    </w:p>
    <w:p>
      <w:pPr>
        <w:widowControl/>
        <w:spacing w:line="480" w:lineRule="exact"/>
        <w:ind w:left="425" w:firstLine="105" w:firstLineChars="50"/>
        <w:jc w:val="left"/>
        <w:rPr>
          <w:rFonts w:ascii="宋体" w:hAnsi="宋体" w:cs="宋体"/>
          <w:kern w:val="0"/>
          <w:szCs w:val="21"/>
        </w:rPr>
      </w:pPr>
      <w:r>
        <w:rPr>
          <w:rFonts w:hint="eastAsia" w:ascii="宋体" w:hAnsi="宋体" w:cs="宋体"/>
          <w:kern w:val="0"/>
          <w:szCs w:val="21"/>
        </w:rPr>
        <w:t>有下列情形之一的，保证金不予退还：</w:t>
      </w:r>
    </w:p>
    <w:p>
      <w:pPr>
        <w:widowControl/>
        <w:spacing w:line="480" w:lineRule="exact"/>
        <w:ind w:left="425"/>
        <w:jc w:val="left"/>
        <w:rPr>
          <w:rFonts w:ascii="宋体" w:hAnsi="宋体" w:cs="宋体"/>
          <w:kern w:val="0"/>
          <w:szCs w:val="21"/>
        </w:rPr>
      </w:pPr>
      <w:r>
        <w:rPr>
          <w:rFonts w:hint="eastAsia" w:ascii="宋体" w:hAnsi="宋体" w:cs="宋体"/>
          <w:kern w:val="0"/>
          <w:szCs w:val="21"/>
        </w:rPr>
        <w:t>（1）投标人在提交投标文件截止时间后撤回投标文件的；</w:t>
      </w:r>
    </w:p>
    <w:p>
      <w:pPr>
        <w:widowControl/>
        <w:spacing w:line="480" w:lineRule="exact"/>
        <w:ind w:left="425"/>
        <w:jc w:val="left"/>
        <w:rPr>
          <w:rFonts w:ascii="宋体" w:hAnsi="宋体" w:cs="宋体"/>
          <w:kern w:val="0"/>
          <w:szCs w:val="21"/>
        </w:rPr>
      </w:pPr>
      <w:r>
        <w:rPr>
          <w:rFonts w:hint="eastAsia" w:ascii="宋体" w:hAnsi="宋体" w:cs="宋体"/>
          <w:kern w:val="0"/>
          <w:szCs w:val="21"/>
        </w:rPr>
        <w:t>（2）投标人在投标文件中提供虚假材料的；</w:t>
      </w:r>
    </w:p>
    <w:p>
      <w:pPr>
        <w:widowControl/>
        <w:spacing w:line="480" w:lineRule="exact"/>
        <w:ind w:left="425"/>
        <w:jc w:val="left"/>
        <w:rPr>
          <w:rFonts w:ascii="宋体" w:hAnsi="宋体" w:cs="宋体"/>
          <w:kern w:val="0"/>
          <w:szCs w:val="21"/>
        </w:rPr>
      </w:pPr>
      <w:r>
        <w:rPr>
          <w:rFonts w:hint="eastAsia" w:ascii="宋体" w:hAnsi="宋体" w:cs="宋体"/>
          <w:kern w:val="0"/>
          <w:szCs w:val="21"/>
        </w:rPr>
        <w:t>（3）除因不可抗力或招标文件认可的情形以外，中标人不与招标人签订合同的；</w:t>
      </w:r>
    </w:p>
    <w:p>
      <w:pPr>
        <w:widowControl/>
        <w:spacing w:line="480" w:lineRule="exact"/>
        <w:ind w:left="425"/>
        <w:jc w:val="left"/>
        <w:rPr>
          <w:rFonts w:ascii="宋体" w:hAnsi="宋体" w:cs="宋体"/>
          <w:kern w:val="0"/>
          <w:szCs w:val="21"/>
        </w:rPr>
      </w:pPr>
      <w:r>
        <w:rPr>
          <w:rFonts w:hint="eastAsia" w:ascii="宋体" w:hAnsi="宋体" w:cs="宋体"/>
          <w:kern w:val="0"/>
          <w:szCs w:val="21"/>
        </w:rPr>
        <w:t>（4）投标人与招标人、其他投标人或者招标代理机构恶意串通的；</w:t>
      </w:r>
    </w:p>
    <w:p>
      <w:pPr>
        <w:widowControl/>
        <w:spacing w:line="480" w:lineRule="exact"/>
        <w:ind w:left="425"/>
        <w:jc w:val="left"/>
        <w:rPr>
          <w:rFonts w:ascii="宋体" w:hAnsi="宋体" w:cs="宋体"/>
          <w:kern w:val="0"/>
          <w:szCs w:val="21"/>
        </w:rPr>
      </w:pPr>
      <w:r>
        <w:rPr>
          <w:rFonts w:hint="eastAsia" w:ascii="宋体" w:hAnsi="宋体" w:cs="宋体"/>
          <w:kern w:val="0"/>
          <w:szCs w:val="21"/>
        </w:rPr>
        <w:t>（5）招标文件规定的其他情形。</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bCs/>
          <w:szCs w:val="21"/>
        </w:rPr>
        <w:t>投标有效期</w:t>
      </w:r>
    </w:p>
    <w:p>
      <w:pPr>
        <w:numPr>
          <w:ilvl w:val="1"/>
          <w:numId w:val="3"/>
        </w:numPr>
        <w:spacing w:line="480" w:lineRule="exact"/>
        <w:rPr>
          <w:rFonts w:ascii="宋体" w:hAnsi="宋体"/>
          <w:b/>
          <w:szCs w:val="21"/>
        </w:rPr>
      </w:pPr>
      <w:r>
        <w:rPr>
          <w:rFonts w:hint="eastAsia" w:ascii="宋体" w:hAnsi="宋体"/>
          <w:szCs w:val="21"/>
        </w:rPr>
        <w:t>投标有效期为90天，在此期间投标文件对投标人具有法律约束力，以保证招标人有足够的时间完成评审、定标以及签订合同。投标有效期</w:t>
      </w:r>
      <w:r>
        <w:rPr>
          <w:rFonts w:hint="eastAsia" w:ascii="宋体" w:hAnsi="宋体" w:cs="Arial"/>
          <w:szCs w:val="21"/>
        </w:rPr>
        <w:t>从</w:t>
      </w:r>
      <w:r>
        <w:rPr>
          <w:rFonts w:hint="eastAsia" w:ascii="宋体" w:hAnsi="宋体"/>
          <w:szCs w:val="21"/>
        </w:rPr>
        <w:t>规定的</w:t>
      </w:r>
      <w:r>
        <w:rPr>
          <w:rFonts w:hint="eastAsia" w:ascii="宋体" w:hAnsi="宋体" w:cs="Arial"/>
          <w:szCs w:val="21"/>
        </w:rPr>
        <w:t>投标文件递交截止之日起</w:t>
      </w:r>
      <w:r>
        <w:rPr>
          <w:rFonts w:hint="eastAsia" w:ascii="宋体" w:hAnsi="宋体"/>
          <w:szCs w:val="21"/>
        </w:rPr>
        <w:t>计</w:t>
      </w:r>
      <w:r>
        <w:rPr>
          <w:rFonts w:hint="eastAsia" w:ascii="宋体" w:hAnsi="宋体" w:cs="Arial"/>
          <w:szCs w:val="21"/>
        </w:rPr>
        <w:t>算。</w:t>
      </w:r>
      <w:r>
        <w:rPr>
          <w:rFonts w:hint="eastAsia" w:ascii="宋体" w:hAnsi="宋体"/>
          <w:szCs w:val="21"/>
        </w:rPr>
        <w:t>投标有效期不足的，在评审时将其视为无效投标。</w:t>
      </w:r>
    </w:p>
    <w:p>
      <w:pPr>
        <w:numPr>
          <w:ilvl w:val="1"/>
          <w:numId w:val="3"/>
        </w:numPr>
        <w:spacing w:line="480" w:lineRule="exact"/>
        <w:rPr>
          <w:rFonts w:ascii="宋体" w:hAnsi="宋体"/>
          <w:b/>
          <w:szCs w:val="21"/>
        </w:rPr>
      </w:pPr>
      <w:r>
        <w:rPr>
          <w:rFonts w:hint="eastAsia" w:ascii="宋体" w:hAnsi="宋体"/>
          <w:szCs w:val="21"/>
        </w:rPr>
        <w:t>特殊情况需延长投标有效期的，招标代理机构可于投标有效期届满之前，要求投标人同意延长有效期，招标代理机构的要求与投标人的答复均应为书面形式。投标人拒绝延长的，其投标在原投标有效期期届满后将不再有效，但有权收回其投标保证金；投标人同意延长的，应相应延长其投标保证金的有效期，但不允许修改或撤回投标文件。</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投标文件份数和签署、盖章</w:t>
      </w:r>
    </w:p>
    <w:p>
      <w:pPr>
        <w:numPr>
          <w:ilvl w:val="1"/>
          <w:numId w:val="3"/>
        </w:numPr>
        <w:spacing w:line="480" w:lineRule="exact"/>
        <w:rPr>
          <w:szCs w:val="21"/>
        </w:rPr>
      </w:pPr>
      <w:bookmarkStart w:id="86" w:name="_Toc388260477"/>
      <w:r>
        <w:rPr>
          <w:rFonts w:hint="eastAsia"/>
          <w:szCs w:val="21"/>
        </w:rPr>
        <w:t>投标人应按照投标须知前附表要求规定的数量提交投标文件正副本，每份投标文件须按照实际内容清楚地标明“正本”或“副本”字样，一旦正本和副本不符，以正本为准。</w:t>
      </w:r>
    </w:p>
    <w:p>
      <w:pPr>
        <w:numPr>
          <w:ilvl w:val="1"/>
          <w:numId w:val="3"/>
        </w:numPr>
        <w:spacing w:line="480" w:lineRule="exact"/>
        <w:rPr>
          <w:szCs w:val="21"/>
        </w:rPr>
      </w:pPr>
      <w:r>
        <w:rPr>
          <w:rFonts w:hint="eastAsia"/>
          <w:szCs w:val="21"/>
        </w:rPr>
        <w:t>投标文件中要求由投标法定代表人（或其他组负责人，或自然人）或被授权人签字的内容必须签字、盖章。</w:t>
      </w:r>
    </w:p>
    <w:p>
      <w:pPr>
        <w:numPr>
          <w:ilvl w:val="1"/>
          <w:numId w:val="3"/>
        </w:numPr>
        <w:spacing w:line="480" w:lineRule="exact"/>
        <w:rPr>
          <w:szCs w:val="21"/>
        </w:rPr>
      </w:pPr>
      <w:r>
        <w:rPr>
          <w:rFonts w:hint="eastAsia"/>
          <w:szCs w:val="21"/>
        </w:rPr>
        <w:t>本招标文件中凡涉及加盖投标人公章的指法人企业公章或其他组织公章（</w:t>
      </w:r>
      <w:r>
        <w:rPr>
          <w:rFonts w:hint="eastAsia" w:ascii="宋体" w:hAnsi="宋体"/>
          <w:szCs w:val="21"/>
        </w:rPr>
        <w:t>不得使用合同专用章、财务专用章、公司部门章、授权（投标）专用章或与投标人主体名称违背的其他印章等代替，否则，投标文件按无效投标处理</w:t>
      </w:r>
      <w:r>
        <w:rPr>
          <w:rFonts w:hint="eastAsia"/>
          <w:szCs w:val="21"/>
        </w:rPr>
        <w:t>）;自然人参与本项目投标时相关签名或盖章以自然人投标主体身份证明信息对应姓名进行签字加盖自然人印章为准。</w:t>
      </w:r>
    </w:p>
    <w:p>
      <w:pPr>
        <w:numPr>
          <w:ilvl w:val="1"/>
          <w:numId w:val="3"/>
        </w:numPr>
        <w:spacing w:line="480" w:lineRule="exact"/>
        <w:rPr>
          <w:b/>
          <w:szCs w:val="21"/>
        </w:rPr>
      </w:pPr>
      <w:r>
        <w:rPr>
          <w:rFonts w:hint="eastAsia"/>
          <w:b/>
          <w:szCs w:val="21"/>
        </w:rPr>
        <w:t>未按招标文件要求签署盖章的投标文件视为无效投标。</w:t>
      </w:r>
    </w:p>
    <w:p>
      <w:pPr>
        <w:pStyle w:val="4"/>
        <w:spacing w:line="480" w:lineRule="exact"/>
        <w:jc w:val="center"/>
        <w:rPr>
          <w:sz w:val="21"/>
          <w:szCs w:val="21"/>
        </w:rPr>
      </w:pPr>
      <w:bookmarkStart w:id="87" w:name="_Toc20112"/>
      <w:bookmarkStart w:id="88" w:name="_Toc17204482"/>
      <w:r>
        <w:rPr>
          <w:rFonts w:hint="eastAsia"/>
          <w:sz w:val="21"/>
          <w:szCs w:val="21"/>
        </w:rPr>
        <w:t>四、投标文件的密封标记和递交</w:t>
      </w:r>
      <w:bookmarkEnd w:id="86"/>
      <w:bookmarkEnd w:id="87"/>
      <w:bookmarkEnd w:id="88"/>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投标文件的密封</w:t>
      </w:r>
    </w:p>
    <w:p>
      <w:pPr>
        <w:numPr>
          <w:ilvl w:val="1"/>
          <w:numId w:val="3"/>
        </w:numPr>
        <w:spacing w:line="480" w:lineRule="exact"/>
        <w:rPr>
          <w:b/>
          <w:szCs w:val="21"/>
        </w:rPr>
      </w:pPr>
      <w:r>
        <w:rPr>
          <w:rFonts w:hint="eastAsia"/>
          <w:b/>
          <w:szCs w:val="21"/>
        </w:rPr>
        <w:t>投标文件正副本装于一个档案袋中，电子版光盘、U盘单独密封在一起，投标文件的封套上应写明项目名称、项目编号、投标人名称、地址、联系人及联系电话。投标文件外封套须加盖投标单位公章以及法定代表人签字或盖章，并应确保密封完好。</w:t>
      </w:r>
    </w:p>
    <w:p>
      <w:pPr>
        <w:numPr>
          <w:ilvl w:val="1"/>
          <w:numId w:val="3"/>
        </w:numPr>
        <w:spacing w:line="480" w:lineRule="exact"/>
        <w:rPr>
          <w:szCs w:val="21"/>
        </w:rPr>
      </w:pPr>
      <w:r>
        <w:rPr>
          <w:rFonts w:hint="eastAsia" w:hAnsi="宋体"/>
          <w:szCs w:val="21"/>
        </w:rPr>
        <w:t>密封包装套外部应按照下列要求：</w:t>
      </w:r>
    </w:p>
    <w:p>
      <w:pPr>
        <w:adjustRightInd w:val="0"/>
        <w:snapToGrid w:val="0"/>
        <w:spacing w:before="159" w:beforeLines="50" w:line="480" w:lineRule="exact"/>
        <w:jc w:val="left"/>
        <w:rPr>
          <w:rFonts w:ascii="宋体" w:hAnsi="宋体"/>
          <w:b/>
          <w:spacing w:val="4"/>
          <w:szCs w:val="21"/>
        </w:rPr>
      </w:pPr>
      <w:r>
        <w:rPr>
          <w:rFonts w:ascii="宋体" w:hAnsi="宋体"/>
          <w:spacing w:val="4"/>
          <w:szCs w:val="21"/>
        </w:rPr>
        <mc:AlternateContent>
          <mc:Choice Requires="wps">
            <w:drawing>
              <wp:anchor distT="0" distB="0" distL="114300" distR="114300" simplePos="0" relativeHeight="251666432" behindDoc="0" locked="0" layoutInCell="1" allowOverlap="1">
                <wp:simplePos x="0" y="0"/>
                <wp:positionH relativeFrom="column">
                  <wp:posOffset>226695</wp:posOffset>
                </wp:positionH>
                <wp:positionV relativeFrom="paragraph">
                  <wp:posOffset>399415</wp:posOffset>
                </wp:positionV>
                <wp:extent cx="5605780" cy="2451100"/>
                <wp:effectExtent l="4445" t="4445" r="15875" b="8255"/>
                <wp:wrapNone/>
                <wp:docPr id="5" name="文本框 4"/>
                <wp:cNvGraphicFramePr/>
                <a:graphic xmlns:a="http://schemas.openxmlformats.org/drawingml/2006/main">
                  <a:graphicData uri="http://schemas.microsoft.com/office/word/2010/wordprocessingShape">
                    <wps:wsp>
                      <wps:cNvSpPr txBox="1"/>
                      <wps:spPr>
                        <a:xfrm>
                          <a:off x="0" y="0"/>
                          <a:ext cx="5605780" cy="20199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ind w:left="743" w:leftChars="354"/>
                              <w:jc w:val="left"/>
                              <w:rPr>
                                <w:rFonts w:ascii="宋体" w:hAnsi="宋体" w:cs="宋体"/>
                                <w:kern w:val="0"/>
                                <w:szCs w:val="21"/>
                              </w:rPr>
                            </w:pPr>
                            <w:r>
                              <w:rPr>
                                <w:rFonts w:hint="eastAsia" w:ascii="宋体" w:hAnsi="宋体" w:cs="宋体"/>
                                <w:kern w:val="0"/>
                                <w:szCs w:val="21"/>
                              </w:rPr>
                              <w:t>项目名称：</w:t>
                            </w:r>
                          </w:p>
                          <w:p>
                            <w:pPr>
                              <w:spacing w:line="480" w:lineRule="auto"/>
                              <w:ind w:left="743" w:leftChars="354"/>
                              <w:jc w:val="left"/>
                              <w:rPr>
                                <w:rFonts w:ascii="宋体" w:hAnsi="宋体"/>
                                <w:spacing w:val="4"/>
                                <w:szCs w:val="21"/>
                              </w:rPr>
                            </w:pPr>
                            <w:r>
                              <w:rPr>
                                <w:rFonts w:hint="eastAsia" w:ascii="宋体" w:hAnsi="宋体" w:cs="宋体"/>
                                <w:kern w:val="0"/>
                                <w:szCs w:val="21"/>
                              </w:rPr>
                              <w:t>项目编号：</w:t>
                            </w:r>
                            <w:r>
                              <w:rPr>
                                <w:rFonts w:hint="eastAsia" w:ascii="宋体" w:hAnsi="宋体"/>
                                <w:szCs w:val="21"/>
                              </w:rPr>
                              <w:t xml:space="preserve"> </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zCs w:val="21"/>
                              </w:rPr>
                              <w:t>投标人名称</w:t>
                            </w:r>
                            <w:r>
                              <w:rPr>
                                <w:rFonts w:hint="eastAsia" w:ascii="宋体" w:hAnsi="宋体"/>
                                <w:spacing w:val="4"/>
                                <w:szCs w:val="21"/>
                              </w:rPr>
                              <w:t>：</w:t>
                            </w:r>
                            <w:r>
                              <w:rPr>
                                <w:rFonts w:hint="eastAsia" w:ascii="宋体" w:hAnsi="宋体"/>
                                <w:spacing w:val="4"/>
                                <w:szCs w:val="21"/>
                                <w:u w:val="single"/>
                              </w:rPr>
                              <w:t xml:space="preserve">   （投标人全称）    </w:t>
                            </w:r>
                            <w:r>
                              <w:rPr>
                                <w:rFonts w:hint="eastAsia" w:ascii="宋体" w:hAnsi="宋体"/>
                                <w:spacing w:val="4"/>
                                <w:szCs w:val="21"/>
                              </w:rPr>
                              <w:t>（盖章）</w:t>
                            </w:r>
                          </w:p>
                          <w:p>
                            <w:pPr>
                              <w:pStyle w:val="14"/>
                              <w:rPr>
                                <w:rFonts w:ascii="宋体" w:hAnsi="宋体"/>
                                <w:spacing w:val="4"/>
                                <w:szCs w:val="21"/>
                              </w:rPr>
                            </w:pPr>
                            <w:r>
                              <w:rPr>
                                <w:rFonts w:hint="eastAsia" w:ascii="宋体" w:hAnsi="宋体"/>
                                <w:spacing w:val="4"/>
                                <w:szCs w:val="21"/>
                              </w:rPr>
                              <w:t xml:space="preserve">       地  址：</w:t>
                            </w:r>
                          </w:p>
                          <w:p>
                            <w:pPr>
                              <w:rPr>
                                <w:rFonts w:ascii="宋体" w:hAnsi="宋体"/>
                                <w:spacing w:val="4"/>
                                <w:szCs w:val="21"/>
                              </w:rPr>
                            </w:pPr>
                            <w:r>
                              <w:rPr>
                                <w:rFonts w:hint="eastAsia" w:ascii="宋体" w:hAnsi="宋体"/>
                                <w:spacing w:val="4"/>
                                <w:szCs w:val="21"/>
                              </w:rPr>
                              <w:t xml:space="preserve">       联 系 人：</w:t>
                            </w:r>
                          </w:p>
                          <w:p>
                            <w:pPr>
                              <w:pStyle w:val="14"/>
                            </w:pPr>
                            <w:r>
                              <w:rPr>
                                <w:rFonts w:hint="eastAsia" w:ascii="宋体" w:hAnsi="宋体"/>
                                <w:spacing w:val="4"/>
                                <w:szCs w:val="21"/>
                              </w:rPr>
                              <w:t xml:space="preserve">       联系电话：</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pacing w:val="4"/>
                                <w:szCs w:val="21"/>
                              </w:rPr>
                              <w:t>在</w:t>
                            </w:r>
                            <w:r>
                              <w:rPr>
                                <w:rFonts w:hint="eastAsia" w:ascii="宋体" w:hAnsi="宋体" w:cs="仿宋"/>
                                <w:szCs w:val="21"/>
                              </w:rPr>
                              <w:t>2022年 月 日 时00分00秒</w:t>
                            </w:r>
                            <w:r>
                              <w:rPr>
                                <w:rFonts w:hint="eastAsia" w:ascii="宋体" w:hAnsi="宋体"/>
                                <w:spacing w:val="4"/>
                                <w:szCs w:val="21"/>
                              </w:rPr>
                              <w:t>之前不得开启</w:t>
                            </w:r>
                          </w:p>
                        </w:txbxContent>
                      </wps:txbx>
                      <wps:bodyPr upright="1"/>
                    </wps:wsp>
                  </a:graphicData>
                </a:graphic>
              </wp:anchor>
            </w:drawing>
          </mc:Choice>
          <mc:Fallback>
            <w:pict>
              <v:shape id="文本框 4" o:spid="_x0000_s1026" o:spt="202" type="#_x0000_t202" style="position:absolute;left:0pt;margin-left:17.85pt;margin-top:31.45pt;height:193pt;width:441.4pt;z-index:251666432;mso-width-relative:page;mso-height-relative:page;" fillcolor="#FFFFFF" filled="t" stroked="t" coordsize="21600,21600" o:gfxdata="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k0MrZAAAACQEAAA8AAAAAAAAA&#10;AQAgAAAAIgAAAGRycy9kb3ducmV2LnhtbFBLAQIUABQAAAAIAIdO4kDsyLgnEAIAAEUEAAAOAAAA&#10;AAAAAAEAIAAAACgBAABkcnMvZTJvRG9jLnhtbFBLBQYAAAAABgAGAFkBAACqBQAAAAA=&#10;">
                <v:fill on="t" focussize="0,0"/>
                <v:stroke color="#000000" joinstyle="miter"/>
                <v:imagedata o:title=""/>
                <o:lock v:ext="edit" aspectratio="f"/>
                <v:textbox>
                  <w:txbxContent>
                    <w:p>
                      <w:pPr>
                        <w:spacing w:line="480" w:lineRule="auto"/>
                        <w:ind w:left="743" w:leftChars="354"/>
                        <w:jc w:val="left"/>
                        <w:rPr>
                          <w:rFonts w:ascii="宋体" w:hAnsi="宋体" w:cs="宋体"/>
                          <w:kern w:val="0"/>
                          <w:szCs w:val="21"/>
                        </w:rPr>
                      </w:pPr>
                      <w:r>
                        <w:rPr>
                          <w:rFonts w:hint="eastAsia" w:ascii="宋体" w:hAnsi="宋体" w:cs="宋体"/>
                          <w:kern w:val="0"/>
                          <w:szCs w:val="21"/>
                        </w:rPr>
                        <w:t>项目名称：</w:t>
                      </w:r>
                    </w:p>
                    <w:p>
                      <w:pPr>
                        <w:spacing w:line="480" w:lineRule="auto"/>
                        <w:ind w:left="743" w:leftChars="354"/>
                        <w:jc w:val="left"/>
                        <w:rPr>
                          <w:rFonts w:ascii="宋体" w:hAnsi="宋体"/>
                          <w:spacing w:val="4"/>
                          <w:szCs w:val="21"/>
                        </w:rPr>
                      </w:pPr>
                      <w:r>
                        <w:rPr>
                          <w:rFonts w:hint="eastAsia" w:ascii="宋体" w:hAnsi="宋体" w:cs="宋体"/>
                          <w:kern w:val="0"/>
                          <w:szCs w:val="21"/>
                        </w:rPr>
                        <w:t>项目编号：</w:t>
                      </w:r>
                      <w:r>
                        <w:rPr>
                          <w:rFonts w:hint="eastAsia" w:ascii="宋体" w:hAnsi="宋体"/>
                          <w:szCs w:val="21"/>
                        </w:rPr>
                        <w:t xml:space="preserve"> </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zCs w:val="21"/>
                        </w:rPr>
                        <w:t>投标人名称</w:t>
                      </w:r>
                      <w:r>
                        <w:rPr>
                          <w:rFonts w:hint="eastAsia" w:ascii="宋体" w:hAnsi="宋体"/>
                          <w:spacing w:val="4"/>
                          <w:szCs w:val="21"/>
                        </w:rPr>
                        <w:t>：</w:t>
                      </w:r>
                      <w:r>
                        <w:rPr>
                          <w:rFonts w:hint="eastAsia" w:ascii="宋体" w:hAnsi="宋体"/>
                          <w:spacing w:val="4"/>
                          <w:szCs w:val="21"/>
                          <w:u w:val="single"/>
                        </w:rPr>
                        <w:t xml:space="preserve">   （投标人全称）    </w:t>
                      </w:r>
                      <w:r>
                        <w:rPr>
                          <w:rFonts w:hint="eastAsia" w:ascii="宋体" w:hAnsi="宋体"/>
                          <w:spacing w:val="4"/>
                          <w:szCs w:val="21"/>
                        </w:rPr>
                        <w:t>（盖章）</w:t>
                      </w:r>
                    </w:p>
                    <w:p>
                      <w:pPr>
                        <w:pStyle w:val="14"/>
                        <w:rPr>
                          <w:rFonts w:ascii="宋体" w:hAnsi="宋体"/>
                          <w:spacing w:val="4"/>
                          <w:szCs w:val="21"/>
                        </w:rPr>
                      </w:pPr>
                      <w:r>
                        <w:rPr>
                          <w:rFonts w:hint="eastAsia" w:ascii="宋体" w:hAnsi="宋体"/>
                          <w:spacing w:val="4"/>
                          <w:szCs w:val="21"/>
                        </w:rPr>
                        <w:t xml:space="preserve">       地  址：</w:t>
                      </w:r>
                    </w:p>
                    <w:p>
                      <w:pPr>
                        <w:rPr>
                          <w:rFonts w:ascii="宋体" w:hAnsi="宋体"/>
                          <w:spacing w:val="4"/>
                          <w:szCs w:val="21"/>
                        </w:rPr>
                      </w:pPr>
                      <w:r>
                        <w:rPr>
                          <w:rFonts w:hint="eastAsia" w:ascii="宋体" w:hAnsi="宋体"/>
                          <w:spacing w:val="4"/>
                          <w:szCs w:val="21"/>
                        </w:rPr>
                        <w:t xml:space="preserve">       联 系 人：</w:t>
                      </w:r>
                    </w:p>
                    <w:p>
                      <w:pPr>
                        <w:pStyle w:val="14"/>
                      </w:pPr>
                      <w:r>
                        <w:rPr>
                          <w:rFonts w:hint="eastAsia" w:ascii="宋体" w:hAnsi="宋体"/>
                          <w:spacing w:val="4"/>
                          <w:szCs w:val="21"/>
                        </w:rPr>
                        <w:t xml:space="preserve">       联系电话：</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pacing w:val="4"/>
                          <w:szCs w:val="21"/>
                        </w:rPr>
                        <w:t>在</w:t>
                      </w:r>
                      <w:r>
                        <w:rPr>
                          <w:rFonts w:hint="eastAsia" w:ascii="宋体" w:hAnsi="宋体" w:cs="仿宋"/>
                          <w:szCs w:val="21"/>
                        </w:rPr>
                        <w:t>2022年 月 日 时00分00秒</w:t>
                      </w:r>
                      <w:r>
                        <w:rPr>
                          <w:rFonts w:hint="eastAsia" w:ascii="宋体" w:hAnsi="宋体"/>
                          <w:spacing w:val="4"/>
                          <w:szCs w:val="21"/>
                        </w:rPr>
                        <w:t>之前不得开启</w:t>
                      </w:r>
                    </w:p>
                  </w:txbxContent>
                </v:textbox>
              </v:shape>
            </w:pict>
          </mc:Fallback>
        </mc:AlternateContent>
      </w:r>
      <w:r>
        <w:rPr>
          <w:rFonts w:hint="eastAsia" w:ascii="宋体" w:hAnsi="宋体"/>
          <w:b/>
          <w:spacing w:val="4"/>
          <w:szCs w:val="21"/>
        </w:rPr>
        <w:t>样式：</w:t>
      </w:r>
    </w:p>
    <w:p>
      <w:pPr>
        <w:pStyle w:val="14"/>
        <w:rPr>
          <w:rFonts w:ascii="宋体" w:hAnsi="宋体"/>
          <w:b/>
          <w:spacing w:val="4"/>
          <w:szCs w:val="21"/>
        </w:rPr>
      </w:pPr>
    </w:p>
    <w:p>
      <w:pPr>
        <w:rPr>
          <w:rFonts w:ascii="宋体" w:hAnsi="宋体"/>
          <w:b/>
          <w:spacing w:val="4"/>
          <w:szCs w:val="21"/>
        </w:rPr>
      </w:pPr>
    </w:p>
    <w:p>
      <w:pPr>
        <w:pStyle w:val="14"/>
      </w:pPr>
    </w:p>
    <w:p/>
    <w:p/>
    <w:p>
      <w:pPr>
        <w:pStyle w:val="4"/>
      </w:pPr>
    </w:p>
    <w:p>
      <w:pPr>
        <w:adjustRightInd w:val="0"/>
        <w:snapToGrid w:val="0"/>
        <w:spacing w:before="159" w:beforeLines="50" w:line="480" w:lineRule="exact"/>
        <w:ind w:left="1145"/>
        <w:jc w:val="left"/>
        <w:rPr>
          <w:rFonts w:ascii="宋体" w:hAnsi="宋体"/>
          <w:spacing w:val="4"/>
          <w:szCs w:val="21"/>
        </w:rPr>
      </w:pPr>
    </w:p>
    <w:p>
      <w:pPr>
        <w:adjustRightInd w:val="0"/>
        <w:snapToGrid w:val="0"/>
        <w:spacing w:before="159" w:beforeLines="50" w:line="480" w:lineRule="exact"/>
        <w:ind w:left="1145"/>
        <w:jc w:val="left"/>
        <w:rPr>
          <w:rFonts w:ascii="宋体" w:hAnsi="宋体"/>
          <w:spacing w:val="4"/>
          <w:szCs w:val="21"/>
        </w:rPr>
      </w:pPr>
    </w:p>
    <w:p>
      <w:pPr>
        <w:numPr>
          <w:ilvl w:val="1"/>
          <w:numId w:val="3"/>
        </w:numPr>
        <w:spacing w:line="480" w:lineRule="exact"/>
        <w:rPr>
          <w:rFonts w:hAnsi="宋体"/>
          <w:b/>
          <w:szCs w:val="21"/>
        </w:rPr>
      </w:pPr>
      <w:r>
        <w:rPr>
          <w:rFonts w:hint="eastAsia" w:hAnsi="宋体"/>
          <w:b/>
          <w:szCs w:val="21"/>
        </w:rPr>
        <w:t>投标人应详细阅读上述投标文件的密封要求，未按本要求18.1、18.2条要求密封、标记或未在投标截止时间前提交的投标文件招标人将按照《政府采购货物和服务招标投标管理办法》第三十三条规定，不予接收或受理，并视为无效投标。</w:t>
      </w:r>
    </w:p>
    <w:p>
      <w:pPr>
        <w:numPr>
          <w:ilvl w:val="0"/>
          <w:numId w:val="3"/>
        </w:numPr>
        <w:spacing w:line="480" w:lineRule="exact"/>
        <w:rPr>
          <w:rFonts w:ascii="宋体" w:hAnsi="宋体" w:cs="宋体"/>
          <w:b/>
          <w:szCs w:val="21"/>
        </w:rPr>
      </w:pPr>
      <w:r>
        <w:rPr>
          <w:rFonts w:hint="eastAsia" w:ascii="宋体" w:hAnsi="宋体" w:cs="宋体"/>
          <w:b/>
          <w:szCs w:val="21"/>
        </w:rPr>
        <w:t>投标文件的递交</w:t>
      </w:r>
    </w:p>
    <w:p>
      <w:pPr>
        <w:numPr>
          <w:ilvl w:val="1"/>
          <w:numId w:val="3"/>
        </w:numPr>
        <w:tabs>
          <w:tab w:val="left" w:pos="425"/>
          <w:tab w:val="clear" w:pos="567"/>
        </w:tabs>
        <w:spacing w:line="480" w:lineRule="exact"/>
        <w:rPr>
          <w:szCs w:val="21"/>
        </w:rPr>
      </w:pPr>
      <w:r>
        <w:rPr>
          <w:rFonts w:hAnsi="宋体" w:cs="Tahoma"/>
          <w:szCs w:val="21"/>
        </w:rPr>
        <w:t>投标文件由</w:t>
      </w:r>
      <w:r>
        <w:rPr>
          <w:rFonts w:hint="eastAsia" w:hAnsi="宋体" w:cs="Tahoma"/>
          <w:szCs w:val="21"/>
        </w:rPr>
        <w:t>投标人法定代表人或其</w:t>
      </w:r>
      <w:r>
        <w:rPr>
          <w:rFonts w:hAnsi="宋体" w:cs="Tahoma"/>
          <w:szCs w:val="21"/>
        </w:rPr>
        <w:t>授权</w:t>
      </w:r>
      <w:r>
        <w:rPr>
          <w:rFonts w:hint="eastAsia" w:hAnsi="宋体" w:cs="Tahoma"/>
          <w:szCs w:val="21"/>
        </w:rPr>
        <w:t>委托人</w:t>
      </w:r>
      <w:r>
        <w:rPr>
          <w:rFonts w:hAnsi="宋体" w:cs="Tahoma"/>
          <w:szCs w:val="21"/>
        </w:rPr>
        <w:t>递交并按招标代理机构要求签字确认，投标人应将投标文件按</w:t>
      </w:r>
      <w:r>
        <w:rPr>
          <w:rFonts w:hint="eastAsia" w:hAnsi="宋体" w:cs="Tahoma"/>
          <w:szCs w:val="21"/>
        </w:rPr>
        <w:t>“投标文件的密封”</w:t>
      </w:r>
      <w:r>
        <w:rPr>
          <w:rFonts w:hAnsi="宋体" w:cs="Tahoma"/>
          <w:szCs w:val="21"/>
        </w:rPr>
        <w:t>中的规定进行密封和标记后，按</w:t>
      </w:r>
      <w:r>
        <w:rPr>
          <w:rFonts w:hint="eastAsia" w:hAnsi="宋体" w:cs="Tahoma"/>
          <w:szCs w:val="21"/>
        </w:rPr>
        <w:t>投标</w:t>
      </w:r>
      <w:r>
        <w:rPr>
          <w:rFonts w:hAnsi="宋体" w:cs="Tahoma"/>
          <w:szCs w:val="21"/>
        </w:rPr>
        <w:t>须知前附表中注明的投标文件递交地点和投标截止时间前送达。</w:t>
      </w:r>
      <w:r>
        <w:rPr>
          <w:rFonts w:hint="eastAsia" w:hAnsi="宋体"/>
          <w:szCs w:val="21"/>
        </w:rPr>
        <w:t>投标人在递交投标文件时应遵照工作人员的安排有秩序地进行。</w:t>
      </w:r>
    </w:p>
    <w:p>
      <w:pPr>
        <w:numPr>
          <w:ilvl w:val="1"/>
          <w:numId w:val="3"/>
        </w:numPr>
        <w:spacing w:line="480" w:lineRule="exact"/>
        <w:rPr>
          <w:rFonts w:hAnsi="宋体" w:cs="Tahoma"/>
          <w:szCs w:val="21"/>
        </w:rPr>
      </w:pPr>
      <w:r>
        <w:rPr>
          <w:rFonts w:hint="eastAsia" w:hAnsi="宋体" w:cs="Tahoma"/>
          <w:b/>
          <w:szCs w:val="21"/>
        </w:rPr>
        <w:t>超过“投标须知前附表”规定的“投标文件递交截止时间”的投标文件将不予接收。</w:t>
      </w:r>
    </w:p>
    <w:p>
      <w:pPr>
        <w:pStyle w:val="4"/>
        <w:spacing w:line="480" w:lineRule="exact"/>
        <w:rPr>
          <w:sz w:val="21"/>
          <w:szCs w:val="21"/>
        </w:rPr>
      </w:pPr>
      <w:bookmarkStart w:id="89" w:name="_Toc388260478"/>
      <w:bookmarkStart w:id="90" w:name="_Toc26356"/>
      <w:bookmarkStart w:id="91" w:name="_Toc17204483"/>
      <w:r>
        <w:rPr>
          <w:rFonts w:hint="eastAsia"/>
          <w:sz w:val="21"/>
          <w:szCs w:val="21"/>
        </w:rPr>
        <w:t>五、开标、</w:t>
      </w:r>
      <w:bookmarkEnd w:id="89"/>
      <w:r>
        <w:rPr>
          <w:rFonts w:hint="eastAsia"/>
          <w:sz w:val="21"/>
          <w:szCs w:val="21"/>
        </w:rPr>
        <w:t>评标、定标</w:t>
      </w:r>
      <w:bookmarkEnd w:id="90"/>
      <w:bookmarkEnd w:id="91"/>
    </w:p>
    <w:p>
      <w:pPr>
        <w:numPr>
          <w:ilvl w:val="0"/>
          <w:numId w:val="3"/>
        </w:numPr>
        <w:spacing w:line="480" w:lineRule="exact"/>
        <w:rPr>
          <w:rFonts w:ascii="宋体" w:hAnsi="宋体" w:cs="宋体"/>
          <w:b/>
          <w:szCs w:val="21"/>
        </w:rPr>
      </w:pPr>
      <w:r>
        <w:rPr>
          <w:rFonts w:hint="eastAsia" w:ascii="宋体" w:hAnsi="宋体" w:cs="宋体"/>
          <w:b/>
          <w:szCs w:val="21"/>
        </w:rPr>
        <w:t>开标</w:t>
      </w:r>
    </w:p>
    <w:p>
      <w:pPr>
        <w:spacing w:line="480" w:lineRule="exact"/>
        <w:ind w:left="425"/>
        <w:rPr>
          <w:rFonts w:ascii="宋体" w:hAnsi="宋体"/>
          <w:szCs w:val="21"/>
        </w:rPr>
      </w:pPr>
      <w:r>
        <w:rPr>
          <w:rFonts w:hint="eastAsia" w:ascii="宋体" w:hAnsi="宋体"/>
          <w:szCs w:val="21"/>
        </w:rPr>
        <w:t>（1）代理机构按招标文件规定的时间、地点组织公开开标；开标大会由代理机构主持，招标人参会人员、投标人代表及有关工作人员参加，并检查其授权委托书或法人身份证明，以证明其出席；</w:t>
      </w:r>
    </w:p>
    <w:p>
      <w:pPr>
        <w:spacing w:line="480" w:lineRule="exact"/>
        <w:ind w:left="425"/>
        <w:rPr>
          <w:rFonts w:ascii="宋体" w:hAnsi="宋体"/>
          <w:szCs w:val="21"/>
        </w:rPr>
      </w:pPr>
      <w:r>
        <w:rPr>
          <w:rFonts w:hint="eastAsia" w:ascii="宋体" w:hAnsi="宋体"/>
          <w:szCs w:val="21"/>
        </w:rPr>
        <w:t>（2）开标后，由</w:t>
      </w:r>
      <w:r>
        <w:rPr>
          <w:rFonts w:hint="eastAsia" w:ascii="宋体" w:hAnsi="宋体" w:cs="宋体"/>
        </w:rPr>
        <w:t>采购代理机构委托的公证机构</w:t>
      </w:r>
      <w:r>
        <w:rPr>
          <w:rFonts w:hint="eastAsia" w:ascii="宋体" w:hAnsi="宋体"/>
          <w:szCs w:val="21"/>
        </w:rPr>
        <w:t>检查投标文件的密封情况，经投标人确认无误后，由代理机构工作人员当众拆封，以公开唱价的形式进行公布，宣布投标人名称、投标价格和招标文件中规定的需要宣布的其他内容，代理机构指定专人负责记录，由参加开标的各投标人代表和相关工作人员签字确认后并存档备案。</w:t>
      </w:r>
    </w:p>
    <w:p>
      <w:pPr>
        <w:spacing w:line="480" w:lineRule="exact"/>
        <w:ind w:left="425"/>
        <w:rPr>
          <w:rFonts w:ascii="宋体" w:hAnsi="宋体"/>
          <w:szCs w:val="21"/>
        </w:rPr>
      </w:pPr>
      <w:r>
        <w:rPr>
          <w:rFonts w:hint="eastAsia" w:ascii="宋体" w:hAnsi="宋体"/>
          <w:szCs w:val="21"/>
        </w:rPr>
        <w:t>（3）开标时，投标文件中出现下列情况，修正原则为：</w:t>
      </w:r>
    </w:p>
    <w:p>
      <w:pPr>
        <w:spacing w:line="480" w:lineRule="exact"/>
        <w:ind w:left="425"/>
        <w:rPr>
          <w:rFonts w:ascii="宋体" w:hAnsi="宋体"/>
          <w:szCs w:val="21"/>
        </w:rPr>
      </w:pPr>
      <w:r>
        <w:rPr>
          <w:rFonts w:hint="eastAsia" w:ascii="宋体" w:hAnsi="宋体"/>
          <w:szCs w:val="21"/>
        </w:rPr>
        <w:t>A、大写金额和小写金额不一致的，以大写金额为准；</w:t>
      </w:r>
    </w:p>
    <w:p>
      <w:pPr>
        <w:spacing w:line="480" w:lineRule="exact"/>
        <w:ind w:left="425"/>
        <w:rPr>
          <w:rFonts w:ascii="宋体" w:hAnsi="宋体"/>
          <w:szCs w:val="21"/>
        </w:rPr>
      </w:pPr>
      <w:r>
        <w:rPr>
          <w:rFonts w:hint="eastAsia" w:ascii="宋体" w:hAnsi="宋体"/>
          <w:szCs w:val="21"/>
        </w:rPr>
        <w:t>B、单价金额小数点或者百分比有明显错位的，以投标报价一览表的总价为准，并修改单价；</w:t>
      </w:r>
    </w:p>
    <w:p>
      <w:pPr>
        <w:spacing w:line="480" w:lineRule="exact"/>
        <w:ind w:left="425"/>
        <w:rPr>
          <w:rFonts w:ascii="宋体" w:hAnsi="宋体"/>
          <w:szCs w:val="21"/>
        </w:rPr>
      </w:pPr>
      <w:r>
        <w:rPr>
          <w:rFonts w:hint="eastAsia" w:ascii="宋体" w:hAnsi="宋体"/>
          <w:szCs w:val="21"/>
        </w:rPr>
        <w:t>C、总价金额与按单价汇总金额不一致的，以单价金额计算结果为准；</w:t>
      </w:r>
    </w:p>
    <w:p>
      <w:pPr>
        <w:spacing w:line="480" w:lineRule="exact"/>
        <w:ind w:left="425"/>
        <w:rPr>
          <w:rFonts w:ascii="宋体" w:hAnsi="宋体"/>
          <w:szCs w:val="21"/>
        </w:rPr>
      </w:pPr>
      <w:r>
        <w:rPr>
          <w:rFonts w:hint="eastAsia" w:ascii="宋体" w:hAnsi="宋体"/>
          <w:szCs w:val="21"/>
        </w:rPr>
        <w:t>D、投标文件正本与副本不一致的，以正本为准；</w:t>
      </w:r>
    </w:p>
    <w:p>
      <w:pPr>
        <w:spacing w:line="480" w:lineRule="exact"/>
        <w:ind w:left="425"/>
        <w:rPr>
          <w:rFonts w:ascii="宋体" w:hAnsi="宋体"/>
          <w:szCs w:val="21"/>
        </w:rPr>
      </w:pPr>
      <w:r>
        <w:rPr>
          <w:rFonts w:hint="eastAsia" w:ascii="宋体" w:hAnsi="宋体"/>
          <w:szCs w:val="21"/>
        </w:rPr>
        <w:t>E、多处内容交叉不符的，以评标委员会评审结果为准；</w:t>
      </w:r>
    </w:p>
    <w:p>
      <w:pPr>
        <w:spacing w:line="480" w:lineRule="exact"/>
        <w:ind w:left="425"/>
        <w:rPr>
          <w:rFonts w:ascii="宋体" w:hAnsi="宋体"/>
          <w:szCs w:val="21"/>
        </w:rPr>
      </w:pPr>
      <w:r>
        <w:rPr>
          <w:rFonts w:hint="eastAsia" w:ascii="宋体" w:hAnsi="宋体"/>
          <w:szCs w:val="21"/>
        </w:rPr>
        <w:t>F、文字与图表不符的，以文字为准。</w:t>
      </w:r>
    </w:p>
    <w:p>
      <w:pPr>
        <w:spacing w:line="480" w:lineRule="exact"/>
        <w:ind w:left="425" w:firstLine="420" w:firstLineChars="200"/>
        <w:rPr>
          <w:rFonts w:ascii="宋体" w:hAnsi="宋体"/>
          <w:szCs w:val="21"/>
        </w:rPr>
      </w:pPr>
      <w:r>
        <w:rPr>
          <w:rFonts w:hint="eastAsia" w:ascii="宋体" w:hAnsi="宋体"/>
          <w:szCs w:val="21"/>
        </w:rPr>
        <w:t>同时出现两种以上不一致的，按照前款规定的顺序修正。按上述修正错误的原则及方法调整或修正投标文件的报价和内容，投标人同意后，调整后的报价和内容对投标人起约束作用。如果投标人不接受修正后的报价和内容，则其投标无效。</w:t>
      </w:r>
    </w:p>
    <w:p>
      <w:pPr>
        <w:spacing w:line="480" w:lineRule="exact"/>
        <w:ind w:left="425"/>
        <w:rPr>
          <w:rFonts w:ascii="宋体" w:hAnsi="宋体" w:cs="宋体"/>
          <w:b/>
          <w:szCs w:val="21"/>
        </w:rPr>
      </w:pPr>
      <w:r>
        <w:rPr>
          <w:rFonts w:hint="eastAsia" w:ascii="宋体" w:hAnsi="宋体"/>
          <w:szCs w:val="21"/>
        </w:rPr>
        <w:t>（5）公开开标后，直到向中标的投标人授予合同为止，凡审查、澄清、评价和比较投标的有关资料及被授标意见等内容，评标委员会成员均不得向投标人及与评标无关的其他人透露。</w:t>
      </w:r>
    </w:p>
    <w:p>
      <w:pPr>
        <w:numPr>
          <w:ilvl w:val="0"/>
          <w:numId w:val="3"/>
        </w:numPr>
        <w:spacing w:line="480" w:lineRule="exact"/>
        <w:rPr>
          <w:rFonts w:ascii="宋体" w:hAnsi="宋体" w:cs="宋体"/>
          <w:b/>
          <w:szCs w:val="21"/>
        </w:rPr>
      </w:pPr>
      <w:r>
        <w:rPr>
          <w:rFonts w:hint="eastAsia" w:ascii="宋体" w:hAnsi="宋体" w:cs="宋体"/>
          <w:b/>
          <w:szCs w:val="21"/>
        </w:rPr>
        <w:t>评标委员会</w:t>
      </w:r>
    </w:p>
    <w:p>
      <w:pPr>
        <w:spacing w:line="480" w:lineRule="exact"/>
        <w:ind w:left="425" w:firstLine="420" w:firstLineChars="200"/>
        <w:rPr>
          <w:rFonts w:ascii="宋体" w:hAnsi="宋体"/>
          <w:szCs w:val="21"/>
        </w:rPr>
      </w:pPr>
      <w:r>
        <w:rPr>
          <w:rFonts w:hint="eastAsia" w:ascii="宋体" w:hAnsi="宋体"/>
          <w:szCs w:val="21"/>
        </w:rPr>
        <w:t>为确保评标工作公开、公平、公正，依法成立评标委员会。评标委员会由5人以上单数评审专家组成，专家名单由公证机构从政府采购评审专家库中随机抽取，评标委员会成员应当遵守并履行下列责任和义务：</w:t>
      </w:r>
    </w:p>
    <w:p>
      <w:pPr>
        <w:spacing w:line="480" w:lineRule="exact"/>
        <w:ind w:left="425"/>
        <w:rPr>
          <w:rFonts w:ascii="宋体" w:hAnsi="宋体"/>
          <w:szCs w:val="21"/>
        </w:rPr>
      </w:pPr>
      <w:r>
        <w:rPr>
          <w:rFonts w:hint="eastAsia" w:ascii="宋体" w:hAnsi="宋体"/>
          <w:szCs w:val="21"/>
        </w:rPr>
        <w:t>A、要严格遵守政府采购相关法律制度，依法履行各自职责，公正、客观、审慎地组织和参与评审工作；</w:t>
      </w:r>
    </w:p>
    <w:p>
      <w:pPr>
        <w:spacing w:line="480" w:lineRule="exact"/>
        <w:ind w:left="425"/>
        <w:rPr>
          <w:rFonts w:ascii="宋体" w:hAnsi="宋体"/>
          <w:szCs w:val="21"/>
        </w:rPr>
      </w:pPr>
      <w:r>
        <w:rPr>
          <w:rFonts w:hint="eastAsia" w:ascii="宋体" w:hAnsi="宋体"/>
          <w:szCs w:val="21"/>
        </w:rPr>
        <w:t>B、审查、评价投标文件是否符合招标文件的商务、技术等实质性要求；</w:t>
      </w:r>
    </w:p>
    <w:p>
      <w:pPr>
        <w:spacing w:line="480" w:lineRule="exact"/>
        <w:ind w:left="425"/>
        <w:rPr>
          <w:rFonts w:ascii="宋体" w:hAnsi="宋体"/>
          <w:szCs w:val="21"/>
        </w:rPr>
      </w:pPr>
      <w:r>
        <w:rPr>
          <w:rFonts w:hint="eastAsia" w:ascii="宋体" w:hAnsi="宋体"/>
          <w:szCs w:val="21"/>
        </w:rPr>
        <w:t>C、要求投标人对投标文件有关事项作出澄清或说明；</w:t>
      </w:r>
    </w:p>
    <w:p>
      <w:pPr>
        <w:spacing w:line="480" w:lineRule="exact"/>
        <w:ind w:left="425"/>
        <w:rPr>
          <w:rFonts w:ascii="宋体" w:hAnsi="宋体"/>
          <w:szCs w:val="21"/>
        </w:rPr>
      </w:pPr>
      <w:r>
        <w:rPr>
          <w:rFonts w:hint="eastAsia" w:ascii="宋体" w:hAnsi="宋体"/>
          <w:szCs w:val="21"/>
        </w:rPr>
        <w:t>D、按招标文件规定的评审方法和标准，对投标文件进行比较和评价；对投标人的客观评分项的评分应当一致；</w:t>
      </w:r>
    </w:p>
    <w:p>
      <w:pPr>
        <w:spacing w:line="480" w:lineRule="exact"/>
        <w:ind w:left="425"/>
        <w:rPr>
          <w:rFonts w:ascii="宋体" w:hAnsi="宋体"/>
          <w:szCs w:val="21"/>
        </w:rPr>
      </w:pPr>
      <w:r>
        <w:rPr>
          <w:rFonts w:hint="eastAsia" w:ascii="宋体" w:hAnsi="宋体"/>
          <w:szCs w:val="21"/>
        </w:rPr>
        <w:t>E、要依法独立评审，按照招标文件的要求和评标标准进行评标，推荐中标候选人名单，对评审意见承担个人责任；</w:t>
      </w:r>
    </w:p>
    <w:p>
      <w:pPr>
        <w:spacing w:line="480" w:lineRule="exact"/>
        <w:ind w:left="425"/>
        <w:rPr>
          <w:rFonts w:ascii="宋体" w:hAnsi="宋体"/>
          <w:szCs w:val="21"/>
        </w:rPr>
      </w:pPr>
      <w:r>
        <w:rPr>
          <w:rFonts w:hint="eastAsia" w:ascii="宋体" w:hAnsi="宋体"/>
          <w:szCs w:val="21"/>
        </w:rPr>
        <w:t>F、对需要共同认定的事项存在争议的，按照少数服从多数的原则做出结论。持不同意见的评审委员会成员应当在评审报告上签署不同意见并说明理由，否则视为同意；</w:t>
      </w:r>
      <w:r>
        <w:rPr>
          <w:rFonts w:ascii="宋体" w:hAnsi="宋体"/>
          <w:szCs w:val="21"/>
        </w:rPr>
        <w:t xml:space="preserve"> </w:t>
      </w:r>
    </w:p>
    <w:p>
      <w:pPr>
        <w:spacing w:line="480" w:lineRule="exact"/>
        <w:ind w:left="425"/>
        <w:rPr>
          <w:rFonts w:ascii="宋体" w:hAnsi="宋体"/>
          <w:szCs w:val="21"/>
        </w:rPr>
      </w:pPr>
      <w:r>
        <w:rPr>
          <w:rFonts w:hint="eastAsia" w:ascii="宋体" w:hAnsi="宋体"/>
          <w:szCs w:val="21"/>
        </w:rPr>
        <w:t>G、对评审情况以及在评审过程中获悉的国家秘密、商业秘密负有保密责任；</w:t>
      </w:r>
    </w:p>
    <w:p>
      <w:pPr>
        <w:spacing w:line="480" w:lineRule="exact"/>
        <w:ind w:left="425"/>
        <w:rPr>
          <w:rFonts w:ascii="宋体" w:hAnsi="宋体"/>
          <w:szCs w:val="21"/>
        </w:rPr>
      </w:pPr>
      <w:r>
        <w:rPr>
          <w:rFonts w:hint="eastAsia" w:ascii="宋体" w:hAnsi="宋体"/>
          <w:szCs w:val="21"/>
        </w:rPr>
        <w:t>H、向招标人、代理机构或者有关部门报告评标中发现的违法行为；</w:t>
      </w:r>
    </w:p>
    <w:p>
      <w:pPr>
        <w:spacing w:line="480" w:lineRule="exact"/>
        <w:ind w:left="425"/>
        <w:rPr>
          <w:rFonts w:ascii="宋体" w:hAnsi="宋体"/>
          <w:szCs w:val="21"/>
        </w:rPr>
      </w:pPr>
      <w:r>
        <w:rPr>
          <w:rFonts w:hint="eastAsia" w:ascii="宋体" w:hAnsi="宋体"/>
          <w:szCs w:val="21"/>
        </w:rPr>
        <w:t>I、配合招标人、代理机构答复投标人提出的质疑；</w:t>
      </w:r>
    </w:p>
    <w:p>
      <w:pPr>
        <w:spacing w:line="480" w:lineRule="exact"/>
        <w:ind w:left="425"/>
        <w:rPr>
          <w:rFonts w:ascii="宋体" w:hAnsi="宋体"/>
          <w:szCs w:val="21"/>
        </w:rPr>
      </w:pPr>
      <w:r>
        <w:rPr>
          <w:rFonts w:hint="eastAsia" w:ascii="宋体" w:hAnsi="宋体"/>
          <w:szCs w:val="21"/>
        </w:rPr>
        <w:t>J、配合处理投诉工作；</w:t>
      </w:r>
    </w:p>
    <w:p>
      <w:pPr>
        <w:spacing w:line="480" w:lineRule="exact"/>
        <w:ind w:left="425"/>
        <w:rPr>
          <w:rFonts w:ascii="宋体" w:hAnsi="宋体"/>
          <w:szCs w:val="21"/>
        </w:rPr>
      </w:pPr>
      <w:r>
        <w:rPr>
          <w:rFonts w:hint="eastAsia" w:ascii="宋体" w:hAnsi="宋体"/>
          <w:szCs w:val="21"/>
        </w:rPr>
        <w:t>招标文件及法律法律规定的其他评标委员会须履行的义务。</w:t>
      </w:r>
    </w:p>
    <w:p>
      <w:pPr>
        <w:numPr>
          <w:ilvl w:val="0"/>
          <w:numId w:val="3"/>
        </w:numPr>
        <w:spacing w:line="480" w:lineRule="exact"/>
        <w:rPr>
          <w:rFonts w:ascii="宋体" w:hAnsi="宋体" w:cs="宋体"/>
          <w:b/>
          <w:szCs w:val="21"/>
        </w:rPr>
      </w:pPr>
      <w:r>
        <w:rPr>
          <w:rFonts w:hint="eastAsia" w:ascii="宋体" w:hAnsi="宋体" w:cs="宋体"/>
          <w:b/>
          <w:szCs w:val="21"/>
        </w:rPr>
        <w:t>评审</w:t>
      </w:r>
    </w:p>
    <w:p>
      <w:pPr>
        <w:numPr>
          <w:ilvl w:val="1"/>
          <w:numId w:val="3"/>
        </w:numPr>
        <w:spacing w:line="480" w:lineRule="exact"/>
        <w:rPr>
          <w:rFonts w:hAnsi="宋体"/>
          <w:b/>
          <w:bCs/>
          <w:szCs w:val="21"/>
        </w:rPr>
      </w:pPr>
      <w:r>
        <w:rPr>
          <w:rFonts w:hint="eastAsia" w:hAnsi="宋体"/>
          <w:szCs w:val="21"/>
        </w:rPr>
        <w:t>评标委员会按照</w:t>
      </w:r>
      <w:r>
        <w:rPr>
          <w:rFonts w:hint="eastAsia" w:hAnsi="宋体"/>
          <w:bCs/>
          <w:szCs w:val="21"/>
        </w:rPr>
        <w:t xml:space="preserve"> “评标办法”</w:t>
      </w:r>
      <w:r>
        <w:rPr>
          <w:rFonts w:hint="eastAsia" w:hAnsi="宋体"/>
          <w:szCs w:val="21"/>
        </w:rPr>
        <w:t>规定的评审标准对投标文件进行评审。</w:t>
      </w:r>
    </w:p>
    <w:p>
      <w:pPr>
        <w:numPr>
          <w:ilvl w:val="0"/>
          <w:numId w:val="3"/>
        </w:numPr>
        <w:spacing w:line="480" w:lineRule="exact"/>
        <w:rPr>
          <w:b/>
          <w:szCs w:val="21"/>
        </w:rPr>
      </w:pPr>
      <w:r>
        <w:rPr>
          <w:rFonts w:hint="eastAsia"/>
          <w:b/>
          <w:szCs w:val="21"/>
        </w:rPr>
        <w:t>无效投标的情形</w:t>
      </w:r>
    </w:p>
    <w:p>
      <w:pPr>
        <w:numPr>
          <w:ilvl w:val="1"/>
          <w:numId w:val="3"/>
        </w:numPr>
        <w:spacing w:line="480" w:lineRule="exact"/>
        <w:rPr>
          <w:szCs w:val="21"/>
        </w:rPr>
      </w:pPr>
      <w:r>
        <w:rPr>
          <w:rFonts w:hint="eastAsia" w:ascii="宋体" w:hAnsi="宋体"/>
          <w:szCs w:val="21"/>
        </w:rPr>
        <w:t>投标人法定代表人（或其他组织负责人，或自然人）或授权代理人未参加开标会议的；</w:t>
      </w:r>
    </w:p>
    <w:p>
      <w:pPr>
        <w:numPr>
          <w:ilvl w:val="1"/>
          <w:numId w:val="3"/>
        </w:numPr>
        <w:spacing w:line="480" w:lineRule="exact"/>
        <w:rPr>
          <w:szCs w:val="21"/>
        </w:rPr>
      </w:pPr>
      <w:r>
        <w:rPr>
          <w:rFonts w:hint="eastAsia" w:ascii="宋体" w:hAnsi="宋体"/>
          <w:szCs w:val="21"/>
        </w:rPr>
        <w:t>投标人未按招标文件要求提供法人（（或其他组织负责人，或自然人））身份证复印件，被授权人身份证复印件和法人授权委托书等证明文件和资料的，或提供的证件不齐或无效；</w:t>
      </w:r>
    </w:p>
    <w:p>
      <w:pPr>
        <w:numPr>
          <w:ilvl w:val="1"/>
          <w:numId w:val="3"/>
        </w:numPr>
        <w:spacing w:line="480" w:lineRule="exact"/>
        <w:rPr>
          <w:szCs w:val="21"/>
        </w:rPr>
      </w:pPr>
      <w:r>
        <w:rPr>
          <w:rFonts w:hint="eastAsia"/>
          <w:kern w:val="0"/>
          <w:szCs w:val="21"/>
        </w:rPr>
        <w:t>《投标文件》</w:t>
      </w:r>
      <w:r>
        <w:rPr>
          <w:rFonts w:hint="eastAsia"/>
          <w:szCs w:val="21"/>
        </w:rPr>
        <w:t>未按照《招标文件》规定要求签署、盖章或提交的</w:t>
      </w:r>
      <w:r>
        <w:rPr>
          <w:rFonts w:hint="eastAsia"/>
          <w:kern w:val="0"/>
          <w:szCs w:val="21"/>
        </w:rPr>
        <w:t>投标文件份数不全的</w:t>
      </w:r>
      <w:r>
        <w:rPr>
          <w:rFonts w:hint="eastAsia"/>
          <w:szCs w:val="21"/>
        </w:rPr>
        <w:t>；</w:t>
      </w:r>
    </w:p>
    <w:p>
      <w:pPr>
        <w:numPr>
          <w:ilvl w:val="1"/>
          <w:numId w:val="3"/>
        </w:numPr>
        <w:spacing w:line="480" w:lineRule="exact"/>
        <w:rPr>
          <w:szCs w:val="21"/>
        </w:rPr>
      </w:pPr>
      <w:r>
        <w:rPr>
          <w:rFonts w:hint="eastAsia" w:ascii="宋体" w:hAnsi="宋体"/>
          <w:szCs w:val="21"/>
        </w:rPr>
        <w:t>投标文件未按照招标文件规定的格式填写，或者填写的内容不全，或者辨认不清产生歧义，或者涂改处未加盖投标人公章及法人或法人授权委托人的印章或签字的；</w:t>
      </w:r>
    </w:p>
    <w:p>
      <w:pPr>
        <w:numPr>
          <w:ilvl w:val="1"/>
          <w:numId w:val="3"/>
        </w:numPr>
        <w:spacing w:line="480" w:lineRule="exact"/>
        <w:rPr>
          <w:b/>
          <w:szCs w:val="21"/>
        </w:rPr>
      </w:pPr>
      <w:r>
        <w:rPr>
          <w:rFonts w:hint="eastAsia"/>
          <w:kern w:val="0"/>
          <w:szCs w:val="21"/>
        </w:rPr>
        <w:t>《投标文件》不符合</w:t>
      </w:r>
      <w:r>
        <w:rPr>
          <w:rFonts w:hint="eastAsia"/>
          <w:szCs w:val="21"/>
        </w:rPr>
        <w:t>《招标文件》</w:t>
      </w:r>
      <w:r>
        <w:rPr>
          <w:rFonts w:hint="eastAsia"/>
          <w:kern w:val="0"/>
          <w:szCs w:val="21"/>
        </w:rPr>
        <w:t>规定格式的；</w:t>
      </w:r>
    </w:p>
    <w:p>
      <w:pPr>
        <w:numPr>
          <w:ilvl w:val="1"/>
          <w:numId w:val="3"/>
        </w:numPr>
        <w:spacing w:line="480" w:lineRule="exact"/>
        <w:rPr>
          <w:szCs w:val="21"/>
        </w:rPr>
      </w:pPr>
      <w:r>
        <w:rPr>
          <w:rFonts w:hint="eastAsia"/>
          <w:szCs w:val="21"/>
        </w:rPr>
        <w:t>投标总报价超出项目采购预算的。</w:t>
      </w:r>
    </w:p>
    <w:p>
      <w:pPr>
        <w:numPr>
          <w:ilvl w:val="1"/>
          <w:numId w:val="3"/>
        </w:numPr>
        <w:spacing w:line="480" w:lineRule="exact"/>
        <w:rPr>
          <w:szCs w:val="21"/>
        </w:rPr>
      </w:pPr>
      <w:r>
        <w:rPr>
          <w:rFonts w:hint="eastAsia"/>
          <w:szCs w:val="21"/>
        </w:rPr>
        <w:t>应交未交投标保证金或不能提供有效缴纳凭证的；</w:t>
      </w:r>
    </w:p>
    <w:p>
      <w:pPr>
        <w:numPr>
          <w:ilvl w:val="1"/>
          <w:numId w:val="3"/>
        </w:numPr>
        <w:spacing w:line="480" w:lineRule="exact"/>
        <w:rPr>
          <w:szCs w:val="21"/>
        </w:rPr>
      </w:pPr>
      <w:r>
        <w:rPr>
          <w:rFonts w:hint="eastAsia"/>
          <w:szCs w:val="21"/>
        </w:rPr>
        <w:t>不具备招标文件中规定资格要求或</w:t>
      </w:r>
      <w:r>
        <w:rPr>
          <w:rFonts w:hint="eastAsia"/>
          <w:kern w:val="0"/>
          <w:szCs w:val="21"/>
        </w:rPr>
        <w:t>资格证明文件不全或是虚假的</w:t>
      </w:r>
      <w:r>
        <w:rPr>
          <w:rFonts w:hint="eastAsia"/>
          <w:szCs w:val="21"/>
        </w:rPr>
        <w:t>；</w:t>
      </w:r>
    </w:p>
    <w:p>
      <w:pPr>
        <w:numPr>
          <w:ilvl w:val="1"/>
          <w:numId w:val="3"/>
        </w:numPr>
        <w:spacing w:line="480" w:lineRule="exact"/>
        <w:rPr>
          <w:b/>
          <w:szCs w:val="21"/>
        </w:rPr>
      </w:pPr>
      <w:r>
        <w:rPr>
          <w:rFonts w:hint="eastAsia"/>
          <w:kern w:val="0"/>
          <w:szCs w:val="21"/>
        </w:rPr>
        <w:t>投标有效期不符合</w:t>
      </w:r>
      <w:r>
        <w:rPr>
          <w:rFonts w:hint="eastAsia"/>
          <w:szCs w:val="21"/>
        </w:rPr>
        <w:t>《招标文件》</w:t>
      </w:r>
      <w:r>
        <w:rPr>
          <w:rFonts w:hint="eastAsia"/>
          <w:kern w:val="0"/>
          <w:szCs w:val="21"/>
        </w:rPr>
        <w:t>要求的；</w:t>
      </w:r>
    </w:p>
    <w:p>
      <w:pPr>
        <w:numPr>
          <w:ilvl w:val="1"/>
          <w:numId w:val="3"/>
        </w:numPr>
        <w:spacing w:line="480" w:lineRule="exact"/>
        <w:rPr>
          <w:b/>
          <w:szCs w:val="21"/>
        </w:rPr>
      </w:pPr>
      <w:r>
        <w:rPr>
          <w:rFonts w:hint="eastAsia"/>
          <w:kern w:val="0"/>
          <w:szCs w:val="21"/>
        </w:rPr>
        <w:t>不能按评标委员会要求提供相应证件原件或提供的原件与投标文件复印件不一致，且存在伪造行为的；</w:t>
      </w:r>
    </w:p>
    <w:p>
      <w:pPr>
        <w:numPr>
          <w:ilvl w:val="1"/>
          <w:numId w:val="3"/>
        </w:numPr>
        <w:spacing w:line="480" w:lineRule="exact"/>
        <w:rPr>
          <w:b/>
          <w:szCs w:val="21"/>
        </w:rPr>
      </w:pPr>
      <w:r>
        <w:rPr>
          <w:rFonts w:hint="eastAsia" w:hAnsi="宋体"/>
          <w:szCs w:val="21"/>
        </w:rPr>
        <w:t>投标人的投标报价是可变动价格的，或包含了价格调整要求的，或投标报价中提供</w:t>
      </w:r>
      <w:r>
        <w:rPr>
          <w:rFonts w:hAnsi="宋体"/>
          <w:szCs w:val="21"/>
        </w:rPr>
        <w:t>两个</w:t>
      </w:r>
      <w:r>
        <w:rPr>
          <w:rFonts w:hint="eastAsia" w:hAnsi="宋体"/>
          <w:szCs w:val="21"/>
        </w:rPr>
        <w:t>（含两个）以上的</w:t>
      </w:r>
      <w:r>
        <w:rPr>
          <w:rFonts w:hAnsi="宋体"/>
          <w:szCs w:val="21"/>
        </w:rPr>
        <w:t>报价且未声明哪个</w:t>
      </w:r>
      <w:r>
        <w:rPr>
          <w:rFonts w:hint="eastAsia" w:hAnsi="宋体"/>
          <w:szCs w:val="21"/>
        </w:rPr>
        <w:t>有效</w:t>
      </w:r>
      <w:r>
        <w:rPr>
          <w:rFonts w:hAnsi="宋体"/>
          <w:szCs w:val="21"/>
        </w:rPr>
        <w:t>的</w:t>
      </w:r>
      <w:r>
        <w:rPr>
          <w:rFonts w:hint="eastAsia" w:hAnsi="宋体"/>
          <w:szCs w:val="21"/>
        </w:rPr>
        <w:t>（</w:t>
      </w:r>
      <w:r>
        <w:rPr>
          <w:rFonts w:hAnsi="宋体"/>
          <w:szCs w:val="21"/>
        </w:rPr>
        <w:t>招标文件规定提交备选投标方案的除外</w:t>
      </w:r>
      <w:r>
        <w:rPr>
          <w:rFonts w:hint="eastAsia" w:hAnsi="宋体"/>
          <w:szCs w:val="21"/>
        </w:rPr>
        <w:t>）</w:t>
      </w:r>
      <w:r>
        <w:rPr>
          <w:rFonts w:hint="eastAsia"/>
          <w:kern w:val="0"/>
          <w:szCs w:val="21"/>
        </w:rPr>
        <w:t>；</w:t>
      </w:r>
    </w:p>
    <w:p>
      <w:pPr>
        <w:numPr>
          <w:ilvl w:val="1"/>
          <w:numId w:val="3"/>
        </w:numPr>
        <w:spacing w:line="480" w:lineRule="exact"/>
        <w:rPr>
          <w:b/>
          <w:szCs w:val="21"/>
        </w:rPr>
      </w:pPr>
      <w:r>
        <w:rPr>
          <w:rFonts w:hAnsi="宋体"/>
          <w:szCs w:val="21"/>
        </w:rPr>
        <w:t>评审专家中有2/3认定投标</w:t>
      </w:r>
      <w:r>
        <w:rPr>
          <w:rFonts w:hint="eastAsia" w:hAnsi="宋体"/>
          <w:szCs w:val="21"/>
        </w:rPr>
        <w:t>人</w:t>
      </w:r>
      <w:r>
        <w:rPr>
          <w:rFonts w:hAnsi="宋体"/>
          <w:szCs w:val="21"/>
        </w:rPr>
        <w:t>投标价格有恶意报价行为的</w:t>
      </w:r>
      <w:r>
        <w:rPr>
          <w:rFonts w:hint="eastAsia"/>
          <w:kern w:val="0"/>
          <w:szCs w:val="21"/>
        </w:rPr>
        <w:t>；</w:t>
      </w:r>
    </w:p>
    <w:p>
      <w:pPr>
        <w:numPr>
          <w:ilvl w:val="1"/>
          <w:numId w:val="3"/>
        </w:numPr>
        <w:spacing w:line="480" w:lineRule="exact"/>
        <w:rPr>
          <w:b/>
          <w:szCs w:val="21"/>
        </w:rPr>
      </w:pPr>
      <w:r>
        <w:rPr>
          <w:rFonts w:hint="eastAsia"/>
          <w:kern w:val="0"/>
          <w:szCs w:val="21"/>
        </w:rPr>
        <w:t>《投标文件》含有招标人不能接受的条件或声明的；</w:t>
      </w:r>
    </w:p>
    <w:p>
      <w:pPr>
        <w:numPr>
          <w:ilvl w:val="1"/>
          <w:numId w:val="3"/>
        </w:numPr>
        <w:spacing w:line="480" w:lineRule="exact"/>
        <w:rPr>
          <w:b/>
          <w:szCs w:val="21"/>
        </w:rPr>
      </w:pPr>
      <w:r>
        <w:rPr>
          <w:rFonts w:hint="eastAsia" w:ascii="宋体" w:hAnsi="宋体"/>
          <w:szCs w:val="21"/>
        </w:rPr>
        <w:t>在评标过程中，如果投标人试图在投标审查、澄清、比较及授予合同方面向招标人施加任何影响的；</w:t>
      </w:r>
    </w:p>
    <w:p>
      <w:pPr>
        <w:numPr>
          <w:ilvl w:val="1"/>
          <w:numId w:val="3"/>
        </w:numPr>
        <w:spacing w:line="480" w:lineRule="exact"/>
        <w:rPr>
          <w:b/>
          <w:szCs w:val="21"/>
        </w:rPr>
      </w:pPr>
      <w:r>
        <w:rPr>
          <w:rFonts w:hint="eastAsia" w:ascii="宋体" w:hAnsi="宋体"/>
          <w:szCs w:val="21"/>
        </w:rPr>
        <w:t>投标人以他人名义投标、串通投标、以行贿手段谋取中标或者以弄虚作假等方式投标的；</w:t>
      </w:r>
    </w:p>
    <w:p>
      <w:pPr>
        <w:numPr>
          <w:ilvl w:val="1"/>
          <w:numId w:val="3"/>
        </w:numPr>
        <w:spacing w:line="480" w:lineRule="exact"/>
        <w:rPr>
          <w:b/>
          <w:szCs w:val="21"/>
        </w:rPr>
      </w:pPr>
      <w:r>
        <w:rPr>
          <w:rFonts w:hint="eastAsia" w:ascii="宋体" w:hAnsi="宋体"/>
          <w:szCs w:val="21"/>
        </w:rPr>
        <w:t>经核实两个或两个以上投标人的投标文件有雷同或有抄袭行为的；</w:t>
      </w:r>
    </w:p>
    <w:p>
      <w:pPr>
        <w:numPr>
          <w:ilvl w:val="1"/>
          <w:numId w:val="3"/>
        </w:numPr>
        <w:spacing w:line="480" w:lineRule="exact"/>
        <w:rPr>
          <w:b/>
          <w:szCs w:val="21"/>
        </w:rPr>
      </w:pPr>
      <w:r>
        <w:rPr>
          <w:rFonts w:hint="eastAsia" w:ascii="宋体" w:hAnsi="宋体"/>
          <w:szCs w:val="21"/>
        </w:rPr>
        <w:t>违反《中华人民共和国政府采购法》的投标；</w:t>
      </w:r>
    </w:p>
    <w:p>
      <w:pPr>
        <w:numPr>
          <w:ilvl w:val="1"/>
          <w:numId w:val="3"/>
        </w:numPr>
        <w:spacing w:line="480" w:lineRule="exact"/>
        <w:rPr>
          <w:b/>
          <w:szCs w:val="21"/>
        </w:rPr>
      </w:pPr>
      <w:r>
        <w:rPr>
          <w:rFonts w:hint="eastAsia"/>
          <w:kern w:val="0"/>
          <w:szCs w:val="21"/>
        </w:rPr>
        <w:t>招标文件中已明确无效投标的其他条款。</w:t>
      </w:r>
    </w:p>
    <w:p>
      <w:pPr>
        <w:numPr>
          <w:ilvl w:val="0"/>
          <w:numId w:val="3"/>
        </w:numPr>
        <w:spacing w:line="480" w:lineRule="exact"/>
        <w:rPr>
          <w:rFonts w:ascii="宋体" w:hAnsi="宋体" w:cs="宋体"/>
          <w:b/>
          <w:szCs w:val="21"/>
        </w:rPr>
      </w:pPr>
      <w:r>
        <w:rPr>
          <w:rFonts w:hint="eastAsia" w:ascii="宋体" w:hAnsi="宋体" w:cs="宋体"/>
          <w:b/>
          <w:szCs w:val="21"/>
        </w:rPr>
        <w:t>定标</w:t>
      </w:r>
    </w:p>
    <w:p>
      <w:pPr>
        <w:spacing w:line="480" w:lineRule="exact"/>
        <w:ind w:firstLine="422" w:firstLineChars="200"/>
        <w:rPr>
          <w:rFonts w:hint="eastAsia"/>
          <w:b/>
          <w:szCs w:val="21"/>
        </w:rPr>
      </w:pPr>
      <w:r>
        <w:rPr>
          <w:rFonts w:hint="eastAsia"/>
          <w:b/>
          <w:szCs w:val="21"/>
        </w:rPr>
        <w:t>定标及确定中标人的原则：投标文件满足招标文件全部实质性要求，且按照评审因素的量化指标评审得分最高的投标人为排名第一的中标候选人即中标人。得分相同的，选择最高报价的投标人为排名第一的中标候选人即中标人。</w:t>
      </w:r>
    </w:p>
    <w:p>
      <w:pPr>
        <w:pStyle w:val="4"/>
        <w:spacing w:line="480" w:lineRule="exact"/>
        <w:rPr>
          <w:sz w:val="21"/>
          <w:szCs w:val="21"/>
        </w:rPr>
      </w:pPr>
      <w:bookmarkStart w:id="92" w:name="_Toc388260479"/>
      <w:bookmarkStart w:id="93" w:name="_Toc17204484"/>
      <w:bookmarkStart w:id="94" w:name="_Toc22530"/>
      <w:r>
        <w:rPr>
          <w:rFonts w:hint="eastAsia"/>
          <w:sz w:val="21"/>
          <w:szCs w:val="21"/>
        </w:rPr>
        <w:t>六、质疑</w:t>
      </w:r>
      <w:bookmarkEnd w:id="92"/>
      <w:bookmarkEnd w:id="93"/>
      <w:bookmarkEnd w:id="94"/>
    </w:p>
    <w:p>
      <w:pPr>
        <w:numPr>
          <w:ilvl w:val="0"/>
          <w:numId w:val="3"/>
        </w:numPr>
        <w:adjustRightInd w:val="0"/>
        <w:snapToGrid w:val="0"/>
        <w:spacing w:before="159" w:beforeLines="50" w:line="480" w:lineRule="exact"/>
        <w:jc w:val="left"/>
        <w:rPr>
          <w:rFonts w:ascii="宋体" w:hAnsi="宋体"/>
          <w:b/>
          <w:bCs/>
          <w:szCs w:val="21"/>
        </w:rPr>
      </w:pPr>
      <w:r>
        <w:rPr>
          <w:rFonts w:hint="eastAsia" w:ascii="宋体" w:hAnsi="宋体"/>
          <w:b/>
          <w:szCs w:val="21"/>
        </w:rPr>
        <w:t>投标人</w:t>
      </w:r>
      <w:r>
        <w:rPr>
          <w:rFonts w:hint="eastAsia" w:ascii="宋体" w:hAnsi="宋体"/>
          <w:b/>
          <w:bCs/>
          <w:szCs w:val="21"/>
        </w:rPr>
        <w:t>质疑</w:t>
      </w:r>
    </w:p>
    <w:p>
      <w:pPr>
        <w:numPr>
          <w:ilvl w:val="1"/>
          <w:numId w:val="3"/>
        </w:numPr>
        <w:spacing w:line="480" w:lineRule="exact"/>
        <w:rPr>
          <w:rFonts w:ascii="宋体" w:hAnsi="宋体"/>
          <w:szCs w:val="21"/>
        </w:rPr>
      </w:pPr>
      <w:bookmarkStart w:id="95" w:name="_Toc388260480"/>
      <w:r>
        <w:rPr>
          <w:rFonts w:hint="eastAsia" w:ascii="宋体" w:hAnsi="宋体"/>
          <w:szCs w:val="21"/>
        </w:rPr>
        <w:t>投标人对政府采购活动事项有疑问的，可以向招标人或招标代理机构提出询问。招标人或招标代理机构收到质疑函后7个工作日内作出答复。本次招标投标人如对招标文件或招投标过程进行质疑，投标人须一次性提出针对同一采购程序环节的所有质疑内容，多次质疑将不予受理。</w:t>
      </w:r>
    </w:p>
    <w:p>
      <w:pPr>
        <w:numPr>
          <w:ilvl w:val="1"/>
          <w:numId w:val="3"/>
        </w:numPr>
        <w:spacing w:line="480" w:lineRule="exact"/>
        <w:rPr>
          <w:rFonts w:ascii="宋体" w:hAnsi="宋体"/>
          <w:szCs w:val="21"/>
        </w:rPr>
      </w:pPr>
      <w:r>
        <w:rPr>
          <w:rFonts w:hint="eastAsia" w:ascii="宋体" w:hAnsi="宋体"/>
          <w:szCs w:val="21"/>
        </w:rPr>
        <w:t>投标人若认为招标文件、采购过程和中标结果使自己的权益受到损害，应当在下列时间内以书面形式向招标人或招标代理机构提出：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（1）关于招标文件的质疑，应在在获取采购文件之日起7个工作日内提出。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（2）关于招标过程的质疑，应在招标程序环节结束之日起七个工作日内提出。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（3）关于中标结果的质疑，应在中标结果信息发布后七个工作日内提出。</w:t>
      </w:r>
    </w:p>
    <w:p>
      <w:pPr>
        <w:numPr>
          <w:ilvl w:val="1"/>
          <w:numId w:val="3"/>
        </w:numPr>
        <w:spacing w:line="480" w:lineRule="exact"/>
        <w:rPr>
          <w:rFonts w:hAnsi="宋体"/>
          <w:szCs w:val="21"/>
        </w:rPr>
      </w:pPr>
      <w:r>
        <w:rPr>
          <w:rFonts w:hint="eastAsia" w:hAnsi="宋体"/>
          <w:szCs w:val="21"/>
        </w:rPr>
        <w:t>投标人提出质疑的，应提供质疑书原件。招标人或招标代理机构应当向质疑投标人签收回执。</w:t>
      </w:r>
    </w:p>
    <w:p>
      <w:pPr>
        <w:numPr>
          <w:ilvl w:val="1"/>
          <w:numId w:val="3"/>
        </w:numPr>
        <w:spacing w:line="480" w:lineRule="exact"/>
        <w:rPr>
          <w:rFonts w:hAnsi="宋体"/>
          <w:szCs w:val="21"/>
        </w:rPr>
      </w:pPr>
      <w:r>
        <w:rPr>
          <w:rFonts w:hint="eastAsia" w:hAnsi="宋体"/>
          <w:szCs w:val="21"/>
        </w:rPr>
        <w:t>质疑书应当包括下列内容：</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（1）供应商的姓名或者名称、地址、邮编、联系人及联系电话；</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（2）质疑项目的名称、编号；</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（3）具体、明确的质疑事项和与质疑事项相关的请求；</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（4）事实依据；</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（5）必要的法律依据；</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（6）提出质疑的日期。</w:t>
      </w:r>
    </w:p>
    <w:p>
      <w:pPr>
        <w:numPr>
          <w:ilvl w:val="1"/>
          <w:numId w:val="3"/>
        </w:numPr>
        <w:spacing w:line="480" w:lineRule="exact"/>
        <w:rPr>
          <w:rFonts w:hAnsi="宋体"/>
          <w:szCs w:val="21"/>
        </w:rPr>
      </w:pPr>
      <w:r>
        <w:rPr>
          <w:rFonts w:hint="eastAsia" w:ascii="宋体" w:hAnsi="宋体" w:cs="宋体"/>
          <w:szCs w:val="21"/>
        </w:rPr>
        <w:t>质疑书应当由</w:t>
      </w:r>
      <w:r>
        <w:rPr>
          <w:rFonts w:hint="eastAsia" w:hAnsi="宋体"/>
          <w:szCs w:val="21"/>
        </w:rPr>
        <w:t>投标人法定代表人</w:t>
      </w:r>
      <w:r>
        <w:rPr>
          <w:rFonts w:hint="eastAsia" w:ascii="宋体" w:hAnsi="宋体"/>
          <w:szCs w:val="21"/>
        </w:rPr>
        <w:t>（或其他组织负责人，或自然人）</w:t>
      </w:r>
      <w:r>
        <w:rPr>
          <w:rFonts w:hint="eastAsia" w:hAnsi="宋体"/>
          <w:szCs w:val="21"/>
        </w:rPr>
        <w:t>或其授权委托人签字并加盖投标人单位章，质疑书由授权委托人签字的应附投标人授权委托书（自然人除外）。</w:t>
      </w:r>
    </w:p>
    <w:p>
      <w:pPr>
        <w:numPr>
          <w:ilvl w:val="1"/>
          <w:numId w:val="3"/>
        </w:numPr>
        <w:spacing w:line="480" w:lineRule="exact"/>
        <w:rPr>
          <w:rFonts w:hAnsi="宋体"/>
          <w:szCs w:val="21"/>
        </w:rPr>
      </w:pPr>
      <w:r>
        <w:rPr>
          <w:rFonts w:hint="eastAsia" w:ascii="宋体" w:hAnsi="宋体"/>
          <w:szCs w:val="21"/>
        </w:rPr>
        <w:t>招标人或招标代理机构将在签收回执之日起七个工作日内作出书面答复，并以书面形式通知质疑投标人和其他有关的投标人。</w:t>
      </w:r>
    </w:p>
    <w:p>
      <w:pPr>
        <w:numPr>
          <w:ilvl w:val="1"/>
          <w:numId w:val="3"/>
        </w:numPr>
        <w:spacing w:line="480" w:lineRule="exact"/>
        <w:rPr>
          <w:rFonts w:hAnsi="宋体"/>
          <w:szCs w:val="21"/>
        </w:rPr>
      </w:pPr>
      <w:r>
        <w:rPr>
          <w:rFonts w:hint="eastAsia" w:ascii="宋体" w:hAnsi="宋体"/>
          <w:szCs w:val="21"/>
        </w:rPr>
        <w:t>投标人对招标人或招标代理机构的答复不满意，或招标人或招标代理机构未在规定的期限作出答复的，可在答复期满后十五个工作日内，按政府采购相关法律法规规章的规定及程序，向同级财政部门提出投诉。</w:t>
      </w:r>
    </w:p>
    <w:p>
      <w:pPr>
        <w:pStyle w:val="4"/>
        <w:spacing w:line="480" w:lineRule="exact"/>
        <w:rPr>
          <w:sz w:val="21"/>
          <w:szCs w:val="21"/>
        </w:rPr>
      </w:pPr>
      <w:bookmarkStart w:id="96" w:name="_Toc17204485"/>
      <w:bookmarkStart w:id="97" w:name="_Toc10583"/>
      <w:r>
        <w:rPr>
          <w:rFonts w:hint="eastAsia"/>
          <w:sz w:val="21"/>
          <w:szCs w:val="21"/>
        </w:rPr>
        <w:t>七、签订合同</w:t>
      </w:r>
      <w:bookmarkEnd w:id="95"/>
      <w:bookmarkEnd w:id="96"/>
      <w:bookmarkEnd w:id="97"/>
    </w:p>
    <w:p>
      <w:pPr>
        <w:numPr>
          <w:ilvl w:val="0"/>
          <w:numId w:val="3"/>
        </w:numPr>
        <w:spacing w:line="480" w:lineRule="exact"/>
        <w:rPr>
          <w:rFonts w:ascii="宋体" w:hAnsi="宋体" w:cs="宋体"/>
          <w:b/>
          <w:szCs w:val="21"/>
        </w:rPr>
      </w:pPr>
      <w:r>
        <w:rPr>
          <w:rFonts w:hint="eastAsia" w:ascii="宋体" w:hAnsi="宋体" w:cs="宋体"/>
          <w:b/>
          <w:szCs w:val="21"/>
        </w:rPr>
        <w:t>招标代理服务费</w:t>
      </w:r>
    </w:p>
    <w:p>
      <w:pPr>
        <w:numPr>
          <w:ilvl w:val="1"/>
          <w:numId w:val="3"/>
        </w:numPr>
        <w:spacing w:line="480" w:lineRule="exact"/>
        <w:ind w:left="425" w:hanging="425"/>
        <w:rPr>
          <w:rFonts w:ascii="宋体" w:hAnsi="宋体"/>
          <w:szCs w:val="21"/>
        </w:rPr>
      </w:pPr>
      <w:r>
        <w:rPr>
          <w:rFonts w:hint="eastAsia" w:ascii="宋体" w:hAnsi="宋体"/>
          <w:b/>
          <w:szCs w:val="21"/>
          <w:u w:val="single"/>
        </w:rPr>
        <w:t>招标代理服务费收取标准：投标须知前附表</w:t>
      </w:r>
      <w:r>
        <w:rPr>
          <w:rFonts w:hint="eastAsia" w:ascii="宋体" w:hAnsi="宋体"/>
          <w:szCs w:val="21"/>
          <w:u w:val="single"/>
        </w:rPr>
        <w:t>；</w:t>
      </w:r>
    </w:p>
    <w:p>
      <w:pPr>
        <w:numPr>
          <w:ilvl w:val="1"/>
          <w:numId w:val="3"/>
        </w:numPr>
        <w:spacing w:line="480" w:lineRule="exact"/>
        <w:rPr>
          <w:rFonts w:ascii="宋体" w:hAnsi="宋体"/>
          <w:szCs w:val="21"/>
        </w:rPr>
      </w:pPr>
      <w:r>
        <w:rPr>
          <w:rFonts w:hint="eastAsia" w:ascii="宋体" w:hAnsi="宋体"/>
          <w:szCs w:val="21"/>
        </w:rPr>
        <w:t>费用缴纳可采用电汇、转支（公户）的方式支付，在领取《中标通知书》前一次性支付给招标代理机构。</w:t>
      </w:r>
    </w:p>
    <w:p>
      <w:pPr>
        <w:numPr>
          <w:ilvl w:val="1"/>
          <w:numId w:val="3"/>
        </w:numPr>
        <w:spacing w:line="480" w:lineRule="exact"/>
        <w:rPr>
          <w:rFonts w:ascii="宋体" w:hAnsi="宋体"/>
          <w:b/>
          <w:szCs w:val="21"/>
          <w:u w:val="thick"/>
        </w:rPr>
      </w:pPr>
      <w:r>
        <w:rPr>
          <w:rFonts w:hint="eastAsia" w:ascii="宋体" w:hAnsi="宋体"/>
          <w:b/>
          <w:szCs w:val="21"/>
          <w:u w:val="thick"/>
        </w:rPr>
        <w:t>不支付招标代理服务费的中标人，招标代理机构不予发放《中标通知书》，造成其未按《中华人民共和国政府采购法》第四十六条规定期限签订采购合同的，将不予退还其投标保证金</w:t>
      </w:r>
      <w:r>
        <w:rPr>
          <w:rFonts w:hint="eastAsia" w:ascii="宋体" w:hAnsi="宋体"/>
          <w:b/>
          <w:szCs w:val="21"/>
        </w:rPr>
        <w:t>。</w:t>
      </w:r>
    </w:p>
    <w:p>
      <w:pPr>
        <w:numPr>
          <w:ilvl w:val="0"/>
          <w:numId w:val="3"/>
        </w:numPr>
        <w:spacing w:line="480" w:lineRule="exact"/>
        <w:rPr>
          <w:rFonts w:ascii="宋体" w:hAnsi="宋体" w:cs="宋体"/>
          <w:b/>
          <w:szCs w:val="21"/>
        </w:rPr>
      </w:pPr>
      <w:r>
        <w:rPr>
          <w:rFonts w:hint="eastAsia" w:ascii="宋体" w:hAnsi="宋体" w:cs="宋体"/>
          <w:b/>
          <w:szCs w:val="21"/>
        </w:rPr>
        <w:t>中标通知书</w:t>
      </w:r>
    </w:p>
    <w:p>
      <w:pPr>
        <w:numPr>
          <w:ilvl w:val="1"/>
          <w:numId w:val="3"/>
        </w:numPr>
        <w:spacing w:line="480" w:lineRule="exact"/>
        <w:rPr>
          <w:rFonts w:ascii="宋体" w:hAnsi="宋体"/>
          <w:szCs w:val="21"/>
        </w:rPr>
      </w:pPr>
      <w:r>
        <w:rPr>
          <w:rFonts w:hint="eastAsia" w:ascii="宋体" w:hAnsi="宋体"/>
          <w:szCs w:val="21"/>
        </w:rPr>
        <w:t>招标代理机构将电话通知中标人缴纳招标代理服务费</w:t>
      </w:r>
      <w:r>
        <w:rPr>
          <w:rFonts w:ascii="宋体" w:hAnsi="宋体"/>
          <w:szCs w:val="21"/>
        </w:rPr>
        <w:t>。</w:t>
      </w:r>
    </w:p>
    <w:p>
      <w:pPr>
        <w:numPr>
          <w:ilvl w:val="1"/>
          <w:numId w:val="3"/>
        </w:numPr>
        <w:spacing w:line="480" w:lineRule="exact"/>
        <w:rPr>
          <w:rFonts w:ascii="宋体" w:hAnsi="宋体"/>
          <w:szCs w:val="21"/>
        </w:rPr>
      </w:pPr>
      <w:r>
        <w:rPr>
          <w:rFonts w:hint="eastAsia" w:ascii="宋体" w:hAnsi="宋体"/>
          <w:szCs w:val="21"/>
        </w:rPr>
        <w:t>未按规定缴纳招标代理服务费的中标人，则视为自动放弃成交资格。</w:t>
      </w:r>
    </w:p>
    <w:p>
      <w:pPr>
        <w:numPr>
          <w:ilvl w:val="1"/>
          <w:numId w:val="3"/>
        </w:numPr>
        <w:spacing w:line="480" w:lineRule="exact"/>
        <w:rPr>
          <w:rFonts w:ascii="宋体" w:hAnsi="宋体"/>
          <w:szCs w:val="21"/>
        </w:rPr>
      </w:pPr>
      <w:r>
        <w:rPr>
          <w:rFonts w:hint="eastAsia" w:ascii="宋体" w:hAnsi="宋体"/>
          <w:szCs w:val="21"/>
        </w:rPr>
        <w:t>在规定的投标有效期内，招标代理机构将以书面形式向中标人发出《中标通知书》。</w:t>
      </w:r>
    </w:p>
    <w:p>
      <w:pPr>
        <w:numPr>
          <w:ilvl w:val="1"/>
          <w:numId w:val="3"/>
        </w:numPr>
        <w:spacing w:line="480" w:lineRule="exact"/>
        <w:rPr>
          <w:rFonts w:ascii="宋体" w:hAnsi="宋体"/>
          <w:szCs w:val="21"/>
        </w:rPr>
      </w:pPr>
      <w:r>
        <w:rPr>
          <w:rFonts w:hint="eastAsia" w:ascii="宋体" w:hAnsi="宋体"/>
          <w:szCs w:val="21"/>
        </w:rPr>
        <w:t>中标通知书对招标人和中标人具有同等法律效力。</w:t>
      </w:r>
    </w:p>
    <w:p>
      <w:pPr>
        <w:numPr>
          <w:ilvl w:val="1"/>
          <w:numId w:val="3"/>
        </w:numPr>
        <w:spacing w:line="480" w:lineRule="exact"/>
        <w:rPr>
          <w:rFonts w:ascii="宋体" w:hAnsi="宋体"/>
          <w:szCs w:val="21"/>
        </w:rPr>
      </w:pPr>
      <w:r>
        <w:rPr>
          <w:rFonts w:hint="eastAsia"/>
          <w:szCs w:val="21"/>
        </w:rPr>
        <w:t>中标通知书是中标人签订合同的依据，是合同必不可少的一个组成部分。</w:t>
      </w:r>
    </w:p>
    <w:p>
      <w:pPr>
        <w:numPr>
          <w:ilvl w:val="1"/>
          <w:numId w:val="3"/>
        </w:numPr>
        <w:spacing w:line="480" w:lineRule="exact"/>
        <w:rPr>
          <w:b/>
          <w:szCs w:val="21"/>
        </w:rPr>
      </w:pPr>
      <w:r>
        <w:rPr>
          <w:rFonts w:hint="eastAsia"/>
          <w:b/>
          <w:szCs w:val="21"/>
        </w:rPr>
        <w:t>中标人未按照招标文件要求与招标人签订采购采购合同或放弃中标资格的，按照《</w:t>
      </w:r>
      <w:r>
        <w:rPr>
          <w:b/>
          <w:szCs w:val="21"/>
        </w:rPr>
        <w:t>中华人民共和国政府采购法实施条例</w:t>
      </w:r>
      <w:r>
        <w:rPr>
          <w:rFonts w:hint="eastAsia"/>
          <w:b/>
          <w:szCs w:val="21"/>
        </w:rPr>
        <w:t>》第四十九条规定执行。</w:t>
      </w:r>
    </w:p>
    <w:p>
      <w:pPr>
        <w:numPr>
          <w:ilvl w:val="0"/>
          <w:numId w:val="3"/>
        </w:numPr>
        <w:spacing w:line="480" w:lineRule="exact"/>
        <w:rPr>
          <w:rFonts w:ascii="宋体" w:hAnsi="宋体" w:cs="宋体"/>
          <w:b/>
          <w:szCs w:val="21"/>
        </w:rPr>
      </w:pPr>
      <w:r>
        <w:rPr>
          <w:rFonts w:hint="eastAsia" w:ascii="宋体" w:hAnsi="宋体" w:cs="宋体"/>
          <w:b/>
          <w:szCs w:val="21"/>
        </w:rPr>
        <w:t>签订合同</w:t>
      </w:r>
    </w:p>
    <w:p>
      <w:pPr>
        <w:numPr>
          <w:ilvl w:val="1"/>
          <w:numId w:val="3"/>
        </w:numPr>
        <w:spacing w:line="480" w:lineRule="exact"/>
        <w:rPr>
          <w:rFonts w:ascii="宋体" w:hAnsi="宋体" w:cs="Tahoma"/>
          <w:szCs w:val="21"/>
        </w:rPr>
      </w:pPr>
      <w:r>
        <w:rPr>
          <w:rFonts w:hint="eastAsia" w:ascii="宋体" w:hAnsi="宋体" w:cs="宋体"/>
          <w:kern w:val="0"/>
          <w:szCs w:val="21"/>
        </w:rPr>
        <w:t>招标人与中标人应当在中标通知书发出之日起30日内，按照招标文件确定的合同文本以及采购标的、规格型号、采购金额、采购数量、技术和服务要求等事项签订政府采购合同。</w:t>
      </w:r>
    </w:p>
    <w:p>
      <w:pPr>
        <w:numPr>
          <w:ilvl w:val="1"/>
          <w:numId w:val="3"/>
        </w:numPr>
        <w:spacing w:line="480" w:lineRule="exact"/>
        <w:rPr>
          <w:rFonts w:ascii="宋体" w:hAnsi="宋体" w:cs="Tahoma"/>
          <w:szCs w:val="21"/>
        </w:rPr>
      </w:pPr>
      <w:r>
        <w:rPr>
          <w:rFonts w:hint="eastAsia" w:ascii="宋体" w:hAnsi="宋体" w:cs="宋体"/>
          <w:kern w:val="0"/>
          <w:szCs w:val="21"/>
        </w:rPr>
        <w:t>招标人不得向中标人提出超出招标文件以外的任何要求作为签订合同的条件，不得与中标人订立背离招标文件确定的合同文本以及采购标的、规格型号、采购金额、采购数量、技术和服务要求等实质性内容的协议。</w:t>
      </w:r>
    </w:p>
    <w:p>
      <w:pPr>
        <w:numPr>
          <w:ilvl w:val="1"/>
          <w:numId w:val="3"/>
        </w:numPr>
        <w:spacing w:line="480" w:lineRule="exact"/>
        <w:rPr>
          <w:rFonts w:ascii="宋体" w:hAnsi="宋体"/>
          <w:szCs w:val="21"/>
        </w:rPr>
      </w:pPr>
      <w:r>
        <w:rPr>
          <w:rFonts w:hint="eastAsia" w:ascii="宋体" w:hAnsi="宋体" w:cs="宋体"/>
          <w:kern w:val="0"/>
          <w:szCs w:val="21"/>
        </w:rPr>
        <w:t>除不可抗力等因素外，中标通知书发出后，招标人改变成交结果，或者中标人拒绝签订政府采购合同的，应当承担相应的法律责任。</w:t>
      </w:r>
    </w:p>
    <w:p>
      <w:pPr>
        <w:numPr>
          <w:ilvl w:val="1"/>
          <w:numId w:val="3"/>
        </w:numPr>
        <w:spacing w:line="480" w:lineRule="exact"/>
        <w:rPr>
          <w:rFonts w:ascii="宋体" w:hAnsi="宋体"/>
          <w:szCs w:val="21"/>
        </w:rPr>
      </w:pPr>
      <w:r>
        <w:rPr>
          <w:rFonts w:hint="eastAsia" w:ascii="宋体" w:hAnsi="宋体" w:cs="宋体"/>
          <w:kern w:val="0"/>
          <w:szCs w:val="21"/>
        </w:rPr>
        <w:t>中标人拒绝签订政府采购合同的，招标人可以按照</w:t>
      </w:r>
      <w:r>
        <w:rPr>
          <w:rFonts w:hint="eastAsia"/>
          <w:szCs w:val="21"/>
          <w:lang w:val="en-GB"/>
        </w:rPr>
        <w:t>《政府采购非招标招标人式管理办法》</w:t>
      </w:r>
      <w:r>
        <w:rPr>
          <w:rFonts w:hint="eastAsia" w:ascii="宋体" w:hAnsi="宋体" w:cs="宋体"/>
          <w:kern w:val="0"/>
          <w:szCs w:val="21"/>
        </w:rPr>
        <w:t>第三十六条第二款、第四十九条第二款规定的原则确定其他投标人作为中标人并签订政府采购合同，也可以重新开展采购活动。拒绝签订政府采购合同的中标人不得参加对该项目重新开展的采购活动。</w:t>
      </w:r>
    </w:p>
    <w:p>
      <w:pPr>
        <w:numPr>
          <w:ilvl w:val="1"/>
          <w:numId w:val="3"/>
        </w:numPr>
        <w:spacing w:line="480" w:lineRule="exact"/>
        <w:rPr>
          <w:rFonts w:ascii="宋体" w:hAnsi="宋体" w:cs="Tahoma"/>
          <w:szCs w:val="21"/>
        </w:rPr>
      </w:pPr>
      <w:r>
        <w:rPr>
          <w:rFonts w:ascii="宋体" w:hAnsi="宋体" w:cs="Tahoma"/>
          <w:szCs w:val="21"/>
        </w:rPr>
        <w:t>招标人或者招标代理机构应当自采购合同签订之日起七个工作日内，按照有关规定将采购合同副本报同级人民政府财政部门备案。</w:t>
      </w:r>
    </w:p>
    <w:p>
      <w:pPr>
        <w:numPr>
          <w:ilvl w:val="0"/>
          <w:numId w:val="3"/>
        </w:numPr>
        <w:spacing w:line="480" w:lineRule="exact"/>
        <w:rPr>
          <w:rFonts w:ascii="宋体" w:hAnsi="宋体" w:cs="宋体"/>
          <w:b/>
          <w:szCs w:val="21"/>
        </w:rPr>
      </w:pPr>
      <w:r>
        <w:rPr>
          <w:rFonts w:hint="eastAsia" w:ascii="宋体" w:hAnsi="宋体" w:cs="宋体"/>
          <w:b/>
          <w:szCs w:val="21"/>
        </w:rPr>
        <w:t>分包履行合同</w:t>
      </w:r>
    </w:p>
    <w:p>
      <w:pPr>
        <w:numPr>
          <w:ilvl w:val="1"/>
          <w:numId w:val="3"/>
        </w:numPr>
        <w:spacing w:line="480" w:lineRule="exact"/>
        <w:rPr>
          <w:rFonts w:ascii="宋体" w:hAnsi="宋体" w:cs="宋体"/>
          <w:b/>
          <w:szCs w:val="21"/>
        </w:rPr>
      </w:pPr>
      <w:r>
        <w:rPr>
          <w:rFonts w:hint="eastAsia" w:ascii="ˎ̥" w:hAnsi="ˎ̥"/>
          <w:szCs w:val="21"/>
        </w:rPr>
        <w:t>如招标文件同意分包，</w:t>
      </w:r>
      <w:r>
        <w:rPr>
          <w:rFonts w:ascii="ˎ̥" w:hAnsi="ˎ̥"/>
          <w:szCs w:val="21"/>
        </w:rPr>
        <w:t>经招标人同意，</w:t>
      </w:r>
      <w:r>
        <w:rPr>
          <w:rFonts w:hint="eastAsia" w:ascii="ˎ̥" w:hAnsi="ˎ̥"/>
          <w:szCs w:val="21"/>
        </w:rPr>
        <w:t>中标人</w:t>
      </w:r>
      <w:r>
        <w:rPr>
          <w:rFonts w:ascii="ˎ̥" w:hAnsi="ˎ̥"/>
          <w:szCs w:val="21"/>
        </w:rPr>
        <w:t>可以依法采取分包方式履行合同。</w:t>
      </w:r>
    </w:p>
    <w:p>
      <w:pPr>
        <w:numPr>
          <w:ilvl w:val="1"/>
          <w:numId w:val="3"/>
        </w:numPr>
        <w:spacing w:line="480" w:lineRule="exact"/>
        <w:rPr>
          <w:rFonts w:ascii="宋体" w:hAnsi="宋体" w:cs="宋体"/>
          <w:b/>
          <w:szCs w:val="21"/>
        </w:rPr>
      </w:pPr>
      <w:r>
        <w:rPr>
          <w:rFonts w:ascii="ˎ̥" w:hAnsi="ˎ̥"/>
          <w:szCs w:val="21"/>
        </w:rPr>
        <w:t>政府采购合同分包履行的，中标人就采购项目和分包项目向招标人负责，分包投标人就分包项目承担责任</w:t>
      </w:r>
      <w:r>
        <w:rPr>
          <w:rFonts w:hint="eastAsia" w:ascii="ˎ̥" w:hAnsi="ˎ̥"/>
          <w:szCs w:val="21"/>
        </w:rPr>
        <w:t>。</w:t>
      </w:r>
    </w:p>
    <w:p>
      <w:pPr>
        <w:numPr>
          <w:ilvl w:val="0"/>
          <w:numId w:val="3"/>
        </w:numPr>
        <w:spacing w:line="480" w:lineRule="exact"/>
        <w:rPr>
          <w:rFonts w:ascii="宋体" w:hAnsi="宋体" w:cs="宋体"/>
          <w:b/>
          <w:szCs w:val="21"/>
        </w:rPr>
      </w:pPr>
      <w:r>
        <w:rPr>
          <w:rFonts w:hint="eastAsia" w:ascii="宋体" w:hAnsi="宋体" w:cs="宋体"/>
          <w:b/>
          <w:szCs w:val="21"/>
        </w:rPr>
        <w:t>政府采购合同履行中合同标的的追加</w:t>
      </w:r>
    </w:p>
    <w:p>
      <w:pPr>
        <w:numPr>
          <w:ilvl w:val="1"/>
          <w:numId w:val="3"/>
        </w:numPr>
        <w:spacing w:line="480" w:lineRule="exact"/>
        <w:rPr>
          <w:rFonts w:ascii="宋体" w:hAnsi="宋体" w:cs="宋体"/>
          <w:b/>
          <w:szCs w:val="21"/>
        </w:rPr>
      </w:pPr>
      <w:r>
        <w:rPr>
          <w:rFonts w:ascii="ˎ̥" w:hAnsi="ˎ̥"/>
          <w:szCs w:val="21"/>
        </w:rPr>
        <w:t>政府采购合同履行中，招标人需追加与合同标的相同的货物、工程或者服务的，在不改变合同其他条款的前提下，可以与</w:t>
      </w:r>
      <w:r>
        <w:rPr>
          <w:rFonts w:hint="eastAsia" w:ascii="ˎ̥" w:hAnsi="ˎ̥"/>
          <w:szCs w:val="21"/>
        </w:rPr>
        <w:t>中标人</w:t>
      </w:r>
      <w:r>
        <w:rPr>
          <w:rFonts w:ascii="ˎ̥" w:hAnsi="ˎ̥"/>
          <w:szCs w:val="21"/>
        </w:rPr>
        <w:t>协商签订补充合同，但所有补充合同的采购金额不得超过原合同采购金额的百分之十。</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废标条款</w:t>
      </w:r>
    </w:p>
    <w:p>
      <w:pPr>
        <w:numPr>
          <w:ilvl w:val="1"/>
          <w:numId w:val="3"/>
        </w:numPr>
        <w:spacing w:line="480" w:lineRule="exact"/>
        <w:rPr>
          <w:rFonts w:ascii="宋体" w:hAnsi="宋体" w:cs="宋体"/>
          <w:kern w:val="0"/>
          <w:szCs w:val="21"/>
        </w:rPr>
      </w:pPr>
      <w:r>
        <w:rPr>
          <w:rFonts w:hint="eastAsia" w:ascii="宋体" w:hAnsi="宋体" w:cs="宋体"/>
          <w:kern w:val="0"/>
          <w:szCs w:val="21"/>
        </w:rPr>
        <w:t>出现下列情形之一的，招标人或者招标代理机构应当终止采购活动，发布项目终止公告并说明原因，重新开展采购活动：</w:t>
      </w:r>
    </w:p>
    <w:p>
      <w:pPr>
        <w:widowControl/>
        <w:spacing w:line="480" w:lineRule="exact"/>
        <w:ind w:left="425"/>
        <w:jc w:val="left"/>
        <w:rPr>
          <w:rFonts w:ascii="宋体" w:hAnsi="宋体" w:cs="宋体"/>
          <w:kern w:val="0"/>
          <w:szCs w:val="21"/>
        </w:rPr>
      </w:pPr>
      <w:r>
        <w:rPr>
          <w:rFonts w:hint="eastAsia" w:ascii="宋体" w:hAnsi="宋体" w:cs="宋体"/>
          <w:kern w:val="0"/>
          <w:szCs w:val="21"/>
        </w:rPr>
        <w:t>（1）因情况变化，不再符合规定的公开招标采购方式适用情形的；</w:t>
      </w:r>
    </w:p>
    <w:p>
      <w:pPr>
        <w:widowControl/>
        <w:spacing w:line="480" w:lineRule="exact"/>
        <w:ind w:left="425"/>
        <w:jc w:val="left"/>
        <w:rPr>
          <w:rFonts w:ascii="宋体" w:hAnsi="宋体" w:cs="宋体"/>
          <w:kern w:val="0"/>
          <w:szCs w:val="21"/>
        </w:rPr>
      </w:pPr>
      <w:r>
        <w:rPr>
          <w:rFonts w:hint="eastAsia" w:ascii="宋体" w:hAnsi="宋体" w:cs="宋体"/>
          <w:kern w:val="0"/>
          <w:szCs w:val="21"/>
        </w:rPr>
        <w:t>（2）出现影响采购公正的违法、违规行为的；</w:t>
      </w:r>
    </w:p>
    <w:p>
      <w:pPr>
        <w:widowControl/>
        <w:spacing w:line="480" w:lineRule="exact"/>
        <w:ind w:left="878" w:leftChars="168" w:hanging="525" w:hangingChars="250"/>
        <w:jc w:val="left"/>
        <w:rPr>
          <w:rFonts w:ascii="宋体" w:hAnsi="宋体" w:cs="宋体"/>
          <w:kern w:val="0"/>
          <w:szCs w:val="21"/>
        </w:rPr>
      </w:pPr>
      <w:r>
        <w:rPr>
          <w:rFonts w:hint="eastAsia" w:ascii="宋体" w:hAnsi="宋体" w:cs="宋体"/>
          <w:kern w:val="0"/>
          <w:szCs w:val="21"/>
        </w:rPr>
        <w:t>（3）在采购过程中符合竞争要求的投标人或者报价未超过采购预算的投标人不足3家的。</w:t>
      </w:r>
    </w:p>
    <w:p>
      <w:pPr>
        <w:widowControl/>
        <w:spacing w:line="480" w:lineRule="exact"/>
        <w:ind w:left="493" w:leftChars="235"/>
        <w:rPr>
          <w:rFonts w:ascii="宋体" w:hAnsi="宋体" w:cs="宋体"/>
          <w:kern w:val="0"/>
          <w:szCs w:val="21"/>
        </w:rPr>
      </w:pPr>
      <w:r>
        <w:rPr>
          <w:rFonts w:hint="eastAsia" w:ascii="宋体" w:hAnsi="宋体" w:cs="宋体"/>
          <w:kern w:val="0"/>
          <w:szCs w:val="21"/>
        </w:rPr>
        <w:t>有效投标人不足三家的，除采购任务取消外，可废标后重新组织采购；也可比照财政部《货物和服务招标投标管理办法》第43条规定，经政府采购管理部门同意，所有评委（监委）签字认可，书面通知投标人当场改作竞争性谈判或单一来源方式采购。</w:t>
      </w:r>
    </w:p>
    <w:p>
      <w:pPr>
        <w:pStyle w:val="19"/>
        <w:numPr>
          <w:ilvl w:val="0"/>
          <w:numId w:val="3"/>
        </w:numPr>
        <w:adjustRightInd w:val="0"/>
        <w:snapToGrid w:val="0"/>
        <w:spacing w:before="159" w:beforeLines="50" w:line="480" w:lineRule="exact"/>
        <w:jc w:val="left"/>
        <w:rPr>
          <w:rFonts w:hAnsi="宋体"/>
          <w:b/>
          <w:bCs/>
          <w:szCs w:val="21"/>
        </w:rPr>
      </w:pPr>
      <w:bookmarkStart w:id="98" w:name="_Toc446605021"/>
      <w:bookmarkStart w:id="99" w:name="_Toc267645535"/>
      <w:bookmarkStart w:id="100" w:name="_Toc429734627"/>
      <w:r>
        <w:rPr>
          <w:rFonts w:hint="eastAsia" w:hAnsi="宋体"/>
          <w:b/>
          <w:bCs/>
          <w:szCs w:val="21"/>
        </w:rPr>
        <w:t>履约保证金</w:t>
      </w:r>
      <w:bookmarkEnd w:id="98"/>
      <w:bookmarkEnd w:id="99"/>
      <w:bookmarkEnd w:id="100"/>
    </w:p>
    <w:p>
      <w:pPr>
        <w:numPr>
          <w:ilvl w:val="1"/>
          <w:numId w:val="3"/>
        </w:numPr>
        <w:spacing w:line="480" w:lineRule="exact"/>
        <w:rPr>
          <w:rFonts w:ascii="宋体" w:hAnsi="宋体"/>
          <w:b/>
          <w:bCs/>
          <w:szCs w:val="21"/>
        </w:rPr>
      </w:pPr>
      <w:r>
        <w:rPr>
          <w:rFonts w:hint="eastAsia" w:hAnsi="宋体"/>
          <w:szCs w:val="21"/>
        </w:rPr>
        <w:t>在接到中标通知书30个日历天内，中标的投标人应按合同规定向招标人提交履约保证金。</w:t>
      </w:r>
    </w:p>
    <w:p>
      <w:pPr>
        <w:numPr>
          <w:ilvl w:val="1"/>
          <w:numId w:val="3"/>
        </w:numPr>
        <w:spacing w:line="480" w:lineRule="exact"/>
        <w:rPr>
          <w:rFonts w:ascii="宋体" w:hAnsi="宋体"/>
          <w:b/>
          <w:bCs/>
          <w:szCs w:val="21"/>
        </w:rPr>
      </w:pPr>
      <w:r>
        <w:rPr>
          <w:rFonts w:hint="eastAsia" w:hAnsi="宋体"/>
          <w:szCs w:val="21"/>
        </w:rPr>
        <w:t>如果中标人的履约保证金是以银行保函的形式提供，则该银行保函应由在中国注册的银行开具。</w:t>
      </w:r>
    </w:p>
    <w:p>
      <w:pPr>
        <w:numPr>
          <w:ilvl w:val="1"/>
          <w:numId w:val="3"/>
        </w:numPr>
        <w:spacing w:line="480" w:lineRule="exact"/>
        <w:rPr>
          <w:rFonts w:ascii="宋体" w:hAnsi="宋体"/>
          <w:b/>
          <w:bCs/>
          <w:szCs w:val="21"/>
        </w:rPr>
      </w:pPr>
      <w:r>
        <w:rPr>
          <w:rFonts w:hint="eastAsia" w:hAnsi="宋体"/>
          <w:szCs w:val="21"/>
        </w:rPr>
        <w:t>如果中标人不与招标人签订合同并提交履约保证金，或者在签订合同时向招标人提出附加条件或者更改合同实质性内容的，招标人则有权没收该投标人的投标保证金，并视为其放弃中标资格；给招标人的损失超过投标保证金数额的，中标人应对超过部分予以赔偿。</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采购任务取消</w:t>
      </w:r>
    </w:p>
    <w:p>
      <w:pPr>
        <w:numPr>
          <w:ilvl w:val="1"/>
          <w:numId w:val="3"/>
        </w:numPr>
        <w:spacing w:line="480" w:lineRule="exact"/>
        <w:rPr>
          <w:rFonts w:ascii="宋体" w:hAnsi="宋体"/>
          <w:b/>
          <w:bCs/>
          <w:szCs w:val="21"/>
        </w:rPr>
      </w:pPr>
      <w:r>
        <w:rPr>
          <w:rFonts w:hint="eastAsia" w:ascii="宋体" w:hAnsi="宋体" w:cs="宋体"/>
          <w:kern w:val="0"/>
          <w:szCs w:val="21"/>
        </w:rPr>
        <w:t>在采购活动中因重大变故，采购任务取消的，招标人或者招标代理机构应当终止采购活动，通知所有参加采购活动的投标人，并将项目实施情况和采购任务取消原因报送本级财政部门。</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其他</w:t>
      </w:r>
    </w:p>
    <w:p>
      <w:pPr>
        <w:numPr>
          <w:ilvl w:val="1"/>
          <w:numId w:val="5"/>
        </w:numPr>
        <w:tabs>
          <w:tab w:val="left" w:pos="567"/>
        </w:tabs>
        <w:spacing w:line="480" w:lineRule="exact"/>
        <w:rPr>
          <w:rFonts w:ascii="宋体" w:hAnsi="宋体"/>
          <w:bCs/>
          <w:szCs w:val="21"/>
        </w:rPr>
      </w:pPr>
      <w:r>
        <w:rPr>
          <w:rFonts w:hint="eastAsia" w:ascii="宋体" w:hAnsi="宋体"/>
          <w:bCs/>
          <w:szCs w:val="21"/>
        </w:rPr>
        <w:t>本招标文件如与网上发布的招标公告、更正公告等有差异的部分，以网上发布的为准。</w:t>
      </w:r>
    </w:p>
    <w:p>
      <w:pPr>
        <w:numPr>
          <w:ilvl w:val="1"/>
          <w:numId w:val="5"/>
        </w:numPr>
        <w:tabs>
          <w:tab w:val="left" w:pos="567"/>
        </w:tabs>
        <w:spacing w:line="480" w:lineRule="exact"/>
        <w:rPr>
          <w:rFonts w:ascii="宋体" w:hAnsi="宋体"/>
          <w:bCs/>
          <w:szCs w:val="21"/>
        </w:rPr>
      </w:pPr>
      <w:r>
        <w:rPr>
          <w:rFonts w:hint="eastAsia" w:ascii="宋体" w:hAnsi="宋体"/>
          <w:bCs/>
          <w:szCs w:val="21"/>
        </w:rPr>
        <w:t>投标人成功投标并不意味着其满足投标人资格，具体评判标准以本文件和评标委员会评审为依据。</w:t>
      </w:r>
    </w:p>
    <w:p>
      <w:pPr>
        <w:widowControl/>
        <w:spacing w:line="560" w:lineRule="exact"/>
        <w:jc w:val="center"/>
        <w:outlineLvl w:val="0"/>
        <w:rPr>
          <w:b/>
          <w:bCs/>
          <w:sz w:val="32"/>
          <w:szCs w:val="32"/>
        </w:rPr>
      </w:pPr>
      <w:r>
        <w:rPr>
          <w:rFonts w:hint="eastAsia"/>
          <w:b/>
          <w:bCs/>
          <w:sz w:val="32"/>
          <w:szCs w:val="32"/>
        </w:rPr>
        <w:br w:type="page"/>
      </w:r>
      <w:bookmarkStart w:id="101" w:name="_Toc3660"/>
      <w:r>
        <w:rPr>
          <w:rFonts w:hint="eastAsia"/>
          <w:b/>
          <w:bCs/>
          <w:sz w:val="32"/>
          <w:szCs w:val="32"/>
        </w:rPr>
        <w:t>第三章  评标办法</w:t>
      </w:r>
      <w:bookmarkEnd w:id="101"/>
    </w:p>
    <w:p>
      <w:pPr>
        <w:rPr>
          <w:rFonts w:ascii="宋体" w:hAnsi="宋体" w:cs="宋体"/>
          <w:b/>
          <w:bCs/>
          <w:sz w:val="24"/>
        </w:rPr>
      </w:pPr>
      <w:r>
        <w:rPr>
          <w:rFonts w:hint="eastAsia" w:ascii="宋体" w:hAnsi="宋体" w:cs="宋体"/>
          <w:b/>
          <w:bCs/>
          <w:sz w:val="24"/>
        </w:rPr>
        <w:t>评标办法（综合评分法）正文部分</w:t>
      </w:r>
    </w:p>
    <w:p>
      <w:pPr>
        <w:spacing w:line="360" w:lineRule="auto"/>
        <w:jc w:val="left"/>
        <w:rPr>
          <w:rFonts w:ascii="宋体" w:hAnsi="宋体" w:cs="宋体"/>
          <w:b/>
          <w:bCs/>
          <w:sz w:val="24"/>
        </w:rPr>
      </w:pPr>
      <w:r>
        <w:rPr>
          <w:rFonts w:hint="eastAsia" w:ascii="宋体" w:hAnsi="宋体" w:cs="宋体"/>
          <w:b/>
          <w:bCs/>
          <w:sz w:val="24"/>
        </w:rPr>
        <w:t>（一）评标方式</w:t>
      </w:r>
    </w:p>
    <w:p>
      <w:pPr>
        <w:spacing w:line="360" w:lineRule="auto"/>
        <w:ind w:firstLine="540" w:firstLineChars="225"/>
        <w:rPr>
          <w:rFonts w:ascii="宋体" w:hAnsi="宋体" w:cs="宋体"/>
          <w:sz w:val="24"/>
        </w:rPr>
      </w:pPr>
      <w:r>
        <w:rPr>
          <w:rFonts w:hint="eastAsia" w:ascii="宋体" w:hAnsi="宋体" w:cs="宋体"/>
          <w:sz w:val="24"/>
        </w:rPr>
        <w:t>1、通过初步审查的投标人为合格的投标人。</w:t>
      </w:r>
    </w:p>
    <w:p>
      <w:pPr>
        <w:spacing w:line="360" w:lineRule="auto"/>
        <w:ind w:firstLine="540" w:firstLineChars="225"/>
        <w:rPr>
          <w:rFonts w:ascii="宋体" w:hAnsi="宋体" w:cs="宋体"/>
          <w:sz w:val="24"/>
        </w:rPr>
      </w:pPr>
      <w:r>
        <w:rPr>
          <w:rFonts w:hint="eastAsia" w:ascii="宋体" w:hAnsi="宋体" w:cs="宋体"/>
          <w:sz w:val="24"/>
        </w:rPr>
        <w:t>2、本次评标采用综合评分法。根据《中华人民共和国招投标法》、《中华人民共和国政府采购法》、《评标委员会和评标方法暂行规定》所规定的标准和补充规定等法律法规和有关实施办法。评标委员会将对各投标单位的投标文件，能否最大限度的满足招标文件中规定的各项要求和评价标准进行评审和比较。</w:t>
      </w:r>
    </w:p>
    <w:p>
      <w:pPr>
        <w:spacing w:line="360" w:lineRule="auto"/>
        <w:ind w:firstLine="540" w:firstLineChars="225"/>
        <w:rPr>
          <w:rFonts w:ascii="宋体" w:hAnsi="宋体" w:cs="宋体"/>
          <w:sz w:val="24"/>
        </w:rPr>
      </w:pPr>
      <w:r>
        <w:rPr>
          <w:rFonts w:hint="eastAsia" w:ascii="宋体" w:hAnsi="宋体" w:cs="宋体"/>
          <w:sz w:val="24"/>
        </w:rPr>
        <w:t>3、综合评分法采取百分制的量化评审；由评标委员会成员依据评审标准独立打分。</w:t>
      </w:r>
    </w:p>
    <w:p>
      <w:pPr>
        <w:spacing w:line="360" w:lineRule="auto"/>
        <w:rPr>
          <w:rFonts w:ascii="宋体" w:hAnsi="宋体" w:cs="宋体"/>
          <w:sz w:val="24"/>
        </w:rPr>
      </w:pPr>
      <w:r>
        <w:rPr>
          <w:rFonts w:hint="eastAsia" w:ascii="宋体" w:hAnsi="宋体" w:cs="宋体"/>
          <w:b/>
          <w:bCs/>
          <w:sz w:val="24"/>
        </w:rPr>
        <w:t>（二）评标计算规则</w:t>
      </w:r>
      <w:r>
        <w:rPr>
          <w:rFonts w:hint="eastAsia" w:ascii="宋体" w:hAnsi="宋体" w:cs="宋体"/>
          <w:sz w:val="24"/>
        </w:rPr>
        <w:tab/>
      </w:r>
    </w:p>
    <w:p>
      <w:pPr>
        <w:spacing w:line="360" w:lineRule="auto"/>
        <w:ind w:firstLine="480"/>
        <w:rPr>
          <w:rFonts w:ascii="宋体" w:hAnsi="宋体" w:cs="宋体"/>
          <w:sz w:val="24"/>
        </w:rPr>
      </w:pPr>
      <w:r>
        <w:rPr>
          <w:rFonts w:hint="eastAsia" w:ascii="宋体" w:hAnsi="宋体" w:cs="宋体"/>
          <w:sz w:val="24"/>
        </w:rPr>
        <w:t>投标报价得分=（评标基准价/投标报价）</w:t>
      </w:r>
      <w:r>
        <w:rPr>
          <w:rFonts w:hint="eastAsia" w:ascii="宋体" w:hAnsi="宋体" w:cs="宋体"/>
          <w:sz w:val="24"/>
          <w:lang w:eastAsia="zh-CN"/>
        </w:rPr>
        <w:t>★</w:t>
      </w:r>
      <w:r>
        <w:rPr>
          <w:rFonts w:hint="eastAsia" w:ascii="宋体" w:hAnsi="宋体" w:cs="宋体"/>
          <w:sz w:val="24"/>
        </w:rPr>
        <w:t>价格权重</w:t>
      </w:r>
      <w:r>
        <w:rPr>
          <w:rFonts w:hint="eastAsia" w:ascii="宋体" w:hAnsi="宋体" w:cs="宋体"/>
          <w:sz w:val="24"/>
          <w:lang w:eastAsia="zh-CN"/>
        </w:rPr>
        <w:t>★</w:t>
      </w:r>
      <w:r>
        <w:rPr>
          <w:rFonts w:hint="eastAsia" w:ascii="宋体" w:hAnsi="宋体" w:cs="宋体"/>
          <w:sz w:val="24"/>
        </w:rPr>
        <w:t>100</w:t>
      </w:r>
    </w:p>
    <w:p>
      <w:pPr>
        <w:spacing w:line="360" w:lineRule="auto"/>
        <w:ind w:firstLine="480"/>
        <w:rPr>
          <w:rFonts w:ascii="宋体" w:hAnsi="宋体" w:cs="宋体"/>
          <w:sz w:val="24"/>
        </w:rPr>
      </w:pPr>
      <w:r>
        <w:rPr>
          <w:rFonts w:hint="eastAsia" w:ascii="宋体" w:hAnsi="宋体" w:cs="宋体"/>
          <w:sz w:val="24"/>
        </w:rPr>
        <w:t>基准价=响应招标文件的最低投标报价</w:t>
      </w:r>
    </w:p>
    <w:p>
      <w:pPr>
        <w:pStyle w:val="74"/>
        <w:snapToGrid w:val="0"/>
        <w:spacing w:line="440" w:lineRule="exact"/>
        <w:ind w:firstLine="480" w:firstLineChars="200"/>
        <w:rPr>
          <w:b/>
          <w:bCs/>
          <w:color w:val="auto"/>
          <w:sz w:val="32"/>
          <w:szCs w:val="32"/>
        </w:rPr>
      </w:pPr>
      <w:r>
        <w:rPr>
          <w:rFonts w:hint="eastAsia" w:ascii="宋体" w:hAnsi="宋体" w:cs="宋体"/>
          <w:color w:val="auto"/>
          <w:kern w:val="2"/>
        </w:rPr>
        <w:t>评标时，评标委员会各成员应当独立对每个投标人的投标文件进行评价，并汇总每个投标人的得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b/>
          <w:bCs/>
          <w:color w:val="auto"/>
          <w:sz w:val="32"/>
          <w:szCs w:val="32"/>
        </w:rPr>
        <w:br w:type="page"/>
      </w:r>
    </w:p>
    <w:p>
      <w:pPr>
        <w:tabs>
          <w:tab w:val="left" w:pos="900"/>
        </w:tabs>
        <w:rPr>
          <w:rFonts w:ascii="宋体" w:hAnsi="宋体"/>
          <w:szCs w:val="21"/>
        </w:rPr>
      </w:pPr>
      <w:r>
        <w:rPr>
          <w:rFonts w:hint="eastAsia" w:ascii="宋体" w:hAnsi="宋体"/>
          <w:szCs w:val="21"/>
        </w:rPr>
        <w:t>附表一</w:t>
      </w:r>
    </w:p>
    <w:p>
      <w:pPr>
        <w:jc w:val="center"/>
        <w:outlineLvl w:val="1"/>
        <w:rPr>
          <w:rFonts w:hint="eastAsia" w:ascii="宋体" w:hAnsi="宋体" w:eastAsia="宋体" w:cs="宋体"/>
          <w:b/>
          <w:sz w:val="28"/>
          <w:szCs w:val="28"/>
          <w:lang w:eastAsia="zh-CN"/>
        </w:rPr>
      </w:pPr>
      <w:bookmarkStart w:id="102" w:name="_Toc27399"/>
      <w:bookmarkStart w:id="103" w:name="_Toc31507"/>
      <w:bookmarkStart w:id="104" w:name="_Toc16707"/>
      <w:bookmarkStart w:id="105" w:name="_Toc13054"/>
      <w:bookmarkStart w:id="106" w:name="_Toc7989"/>
      <w:bookmarkStart w:id="107" w:name="_Toc12120"/>
      <w:r>
        <w:rPr>
          <w:rFonts w:hint="eastAsia" w:ascii="宋体" w:hAnsi="宋体" w:cs="宋体"/>
          <w:b/>
          <w:sz w:val="28"/>
          <w:szCs w:val="28"/>
        </w:rPr>
        <w:t>初步评审标准</w:t>
      </w:r>
      <w:bookmarkEnd w:id="102"/>
      <w:bookmarkEnd w:id="103"/>
      <w:bookmarkEnd w:id="104"/>
      <w:bookmarkEnd w:id="105"/>
      <w:bookmarkEnd w:id="106"/>
      <w:bookmarkEnd w:id="107"/>
      <w:r>
        <w:rPr>
          <w:rFonts w:hint="eastAsia" w:ascii="宋体" w:hAnsi="宋体" w:cs="宋体"/>
          <w:b/>
          <w:sz w:val="28"/>
          <w:szCs w:val="28"/>
          <w:lang w:eastAsia="zh-CN"/>
        </w:rPr>
        <w:t>（一包）</w:t>
      </w:r>
    </w:p>
    <w:tbl>
      <w:tblPr>
        <w:tblStyle w:val="39"/>
        <w:tblW w:w="9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737"/>
        <w:gridCol w:w="6697"/>
        <w:gridCol w:w="740"/>
        <w:gridCol w:w="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34" w:type="dxa"/>
            <w:vMerge w:val="restart"/>
            <w:vAlign w:val="center"/>
          </w:tcPr>
          <w:p>
            <w:pPr>
              <w:jc w:val="center"/>
              <w:rPr>
                <w:rFonts w:ascii="宋体" w:hAnsi="宋体" w:cs="宋体"/>
                <w:b/>
                <w:szCs w:val="21"/>
              </w:rPr>
            </w:pPr>
            <w:r>
              <w:rPr>
                <w:rFonts w:hint="eastAsia" w:ascii="宋体" w:hAnsi="宋体" w:cs="宋体"/>
                <w:b/>
                <w:szCs w:val="21"/>
              </w:rPr>
              <w:t>项目</w:t>
            </w:r>
          </w:p>
        </w:tc>
        <w:tc>
          <w:tcPr>
            <w:tcW w:w="7434" w:type="dxa"/>
            <w:gridSpan w:val="2"/>
            <w:vMerge w:val="restart"/>
            <w:vAlign w:val="center"/>
          </w:tcPr>
          <w:p>
            <w:pPr>
              <w:jc w:val="center"/>
              <w:rPr>
                <w:rFonts w:ascii="宋体" w:hAnsi="宋体" w:cs="宋体"/>
                <w:b/>
                <w:szCs w:val="21"/>
              </w:rPr>
            </w:pPr>
            <w:r>
              <w:rPr>
                <w:rFonts w:hint="eastAsia" w:ascii="宋体" w:hAnsi="宋体" w:cs="宋体"/>
                <w:b/>
                <w:szCs w:val="21"/>
              </w:rPr>
              <w:t>评审内容</w:t>
            </w:r>
          </w:p>
        </w:tc>
        <w:tc>
          <w:tcPr>
            <w:tcW w:w="1492" w:type="dxa"/>
            <w:gridSpan w:val="2"/>
            <w:vAlign w:val="center"/>
          </w:tcPr>
          <w:p>
            <w:pPr>
              <w:jc w:val="center"/>
              <w:rPr>
                <w:rFonts w:ascii="宋体" w:hAnsi="宋体" w:cs="宋体"/>
                <w:b/>
                <w:szCs w:val="21"/>
              </w:rPr>
            </w:pPr>
            <w:r>
              <w:rPr>
                <w:rFonts w:hint="eastAsia" w:ascii="宋体" w:hAnsi="宋体" w:cs="宋体"/>
                <w:b/>
                <w:szCs w:val="21"/>
              </w:rPr>
              <w:t>评审</w:t>
            </w:r>
          </w:p>
          <w:p>
            <w:pPr>
              <w:jc w:val="center"/>
              <w:rPr>
                <w:rFonts w:ascii="宋体" w:hAnsi="宋体" w:cs="宋体"/>
                <w:b/>
                <w:szCs w:val="21"/>
              </w:rPr>
            </w:pPr>
            <w:r>
              <w:rPr>
                <w:rFonts w:hint="eastAsia" w:ascii="宋体" w:hAnsi="宋体" w:cs="宋体"/>
                <w:b/>
                <w:szCs w:val="21"/>
              </w:rPr>
              <w:t>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34" w:type="dxa"/>
            <w:vMerge w:val="continue"/>
            <w:vAlign w:val="center"/>
          </w:tcPr>
          <w:p>
            <w:pPr>
              <w:jc w:val="center"/>
              <w:rPr>
                <w:rFonts w:ascii="宋体" w:hAnsi="宋体" w:cs="宋体"/>
                <w:b/>
                <w:szCs w:val="21"/>
              </w:rPr>
            </w:pPr>
          </w:p>
        </w:tc>
        <w:tc>
          <w:tcPr>
            <w:tcW w:w="7434" w:type="dxa"/>
            <w:gridSpan w:val="2"/>
            <w:vMerge w:val="continue"/>
          </w:tcPr>
          <w:p>
            <w:pPr>
              <w:rPr>
                <w:rFonts w:ascii="宋体" w:hAnsi="宋体" w:cs="宋体"/>
                <w:b/>
                <w:szCs w:val="21"/>
              </w:rPr>
            </w:pPr>
          </w:p>
        </w:tc>
        <w:tc>
          <w:tcPr>
            <w:tcW w:w="740" w:type="dxa"/>
            <w:vAlign w:val="center"/>
          </w:tcPr>
          <w:p>
            <w:pPr>
              <w:jc w:val="center"/>
              <w:rPr>
                <w:rFonts w:ascii="宋体" w:hAnsi="宋体" w:cs="宋体"/>
                <w:b/>
                <w:szCs w:val="21"/>
              </w:rPr>
            </w:pPr>
            <w:r>
              <w:rPr>
                <w:rFonts w:hint="eastAsia" w:ascii="宋体" w:hAnsi="宋体" w:cs="宋体"/>
                <w:b/>
                <w:szCs w:val="21"/>
              </w:rPr>
              <w:t>是</w:t>
            </w:r>
          </w:p>
        </w:tc>
        <w:tc>
          <w:tcPr>
            <w:tcW w:w="752" w:type="dxa"/>
            <w:vAlign w:val="center"/>
          </w:tcPr>
          <w:p>
            <w:pPr>
              <w:jc w:val="center"/>
              <w:rPr>
                <w:rFonts w:ascii="宋体" w:hAnsi="宋体" w:cs="宋体"/>
                <w:b/>
                <w:szCs w:val="21"/>
              </w:rPr>
            </w:pPr>
            <w:r>
              <w:rPr>
                <w:rFonts w:hint="eastAsia" w:ascii="宋体" w:hAnsi="宋体" w:cs="宋体"/>
                <w:b/>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834" w:type="dxa"/>
            <w:vMerge w:val="restart"/>
            <w:tcBorders>
              <w:top w:val="single" w:color="auto" w:sz="4" w:space="0"/>
            </w:tcBorders>
            <w:textDirection w:val="tbRlV"/>
            <w:vAlign w:val="center"/>
          </w:tcPr>
          <w:p>
            <w:pPr>
              <w:jc w:val="center"/>
              <w:rPr>
                <w:rFonts w:ascii="宋体" w:hAnsi="宋体" w:cs="宋体"/>
                <w:szCs w:val="21"/>
              </w:rPr>
            </w:pPr>
            <w:r>
              <w:rPr>
                <w:rFonts w:hint="eastAsia" w:ascii="宋体" w:hAnsi="宋体" w:cs="宋体"/>
                <w:szCs w:val="21"/>
              </w:rPr>
              <w:t>形式评审</w:t>
            </w:r>
          </w:p>
        </w:tc>
        <w:tc>
          <w:tcPr>
            <w:tcW w:w="737" w:type="dxa"/>
            <w:tcBorders>
              <w:top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投标文件没有投标单位法定代表人或其授权代表签字（章）和加盖投标单位公章的；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hAnsi="宋体" w:cs="宋体"/>
                <w:szCs w:val="21"/>
              </w:rPr>
              <w:t>《投标文件》是否符合《招标文件》规定的格式；</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hAnsi="宋体" w:cs="宋体"/>
                <w:szCs w:val="21"/>
              </w:rPr>
            </w:pPr>
            <w:r>
              <w:rPr>
                <w:rFonts w:hint="eastAsia" w:ascii="宋体" w:hAnsi="宋体" w:cs="宋体"/>
                <w:szCs w:val="21"/>
              </w:rPr>
              <w:t>投标文件附有招标人不能接受条件的；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rPr>
                <w:rFonts w:ascii="宋体" w:hAnsi="宋体" w:cs="宋体"/>
                <w:szCs w:val="21"/>
              </w:rPr>
            </w:pPr>
            <w:r>
              <w:rPr>
                <w:rFonts w:hint="eastAsia" w:ascii="宋体" w:hAnsi="宋体" w:cs="宋体"/>
                <w:szCs w:val="21"/>
              </w:rPr>
              <w:t>不满足招标文件实质性要求的其他情形；</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资</w:t>
            </w:r>
          </w:p>
          <w:p>
            <w:pPr>
              <w:jc w:val="center"/>
              <w:rPr>
                <w:rFonts w:ascii="宋体" w:hAnsi="宋体" w:cs="宋体"/>
                <w:szCs w:val="21"/>
              </w:rPr>
            </w:pPr>
            <w:r>
              <w:rPr>
                <w:rFonts w:hint="eastAsia" w:ascii="宋体" w:hAnsi="宋体" w:cs="宋体"/>
                <w:szCs w:val="21"/>
              </w:rPr>
              <w:t>格</w:t>
            </w:r>
          </w:p>
          <w:p>
            <w:pPr>
              <w:jc w:val="center"/>
              <w:rPr>
                <w:rFonts w:ascii="宋体" w:hAnsi="宋体" w:cs="宋体"/>
                <w:szCs w:val="21"/>
              </w:rPr>
            </w:pPr>
            <w:r>
              <w:rPr>
                <w:rFonts w:hint="eastAsia" w:ascii="宋体" w:hAnsi="宋体" w:cs="宋体"/>
                <w:szCs w:val="21"/>
              </w:rPr>
              <w:t>评</w:t>
            </w:r>
          </w:p>
          <w:p>
            <w:pPr>
              <w:jc w:val="center"/>
              <w:rPr>
                <w:rFonts w:ascii="宋体" w:hAnsi="宋体" w:cs="宋体"/>
                <w:szCs w:val="21"/>
              </w:rPr>
            </w:pPr>
            <w:r>
              <w:rPr>
                <w:rFonts w:hint="eastAsia" w:ascii="宋体" w:hAnsi="宋体" w:cs="宋体"/>
                <w:szCs w:val="21"/>
              </w:rPr>
              <w:t>审</w:t>
            </w:r>
          </w:p>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是否具有有效经年检的三证合一的营业执照；</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cs="宋体"/>
                <w:kern w:val="0"/>
                <w:szCs w:val="21"/>
              </w:rPr>
              <w:t>是否具有近一年（2020年）的财务审计报告或成立不满足一年的提供财务报表</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6697" w:type="dxa"/>
            <w:vAlign w:val="center"/>
          </w:tcPr>
          <w:p>
            <w:pPr>
              <w:autoSpaceDE w:val="0"/>
              <w:autoSpaceDN w:val="0"/>
              <w:rPr>
                <w:rFonts w:ascii="宋体" w:hAnsi="宋体" w:cs="宋体"/>
                <w:szCs w:val="21"/>
              </w:rPr>
            </w:pPr>
            <w:r>
              <w:rPr>
                <w:rFonts w:hint="eastAsia" w:ascii="宋体" w:hAnsi="宋体" w:cs="宋体"/>
                <w:szCs w:val="21"/>
              </w:rPr>
              <w:t>是否提供近六个月完税证明和盖有社保局公章的社保缴纳证明（社保缴纳证明中含法人及委托人的社保明细）</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6697" w:type="dxa"/>
            <w:vAlign w:val="center"/>
          </w:tcPr>
          <w:p>
            <w:pPr>
              <w:autoSpaceDE w:val="0"/>
              <w:autoSpaceDN w:val="0"/>
              <w:rPr>
                <w:rFonts w:ascii="宋体" w:hAnsi="宋体" w:cs="宋体"/>
                <w:szCs w:val="21"/>
              </w:rPr>
            </w:pPr>
            <w:r>
              <w:rPr>
                <w:rFonts w:hint="eastAsia" w:ascii="宋体" w:cs="宋体"/>
                <w:kern w:val="0"/>
                <w:szCs w:val="21"/>
              </w:rPr>
              <w:t>是否提供法定代表人身份证明或法定代表人授权委托书及受托人身份证原件；</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6697" w:type="dxa"/>
            <w:vAlign w:val="center"/>
          </w:tcPr>
          <w:p>
            <w:pPr>
              <w:autoSpaceDE w:val="0"/>
              <w:autoSpaceDN w:val="0"/>
              <w:rPr>
                <w:rFonts w:ascii="宋体" w:cs="宋体"/>
                <w:kern w:val="0"/>
                <w:szCs w:val="21"/>
              </w:rPr>
            </w:pPr>
            <w:r>
              <w:rPr>
                <w:rFonts w:hint="eastAsia" w:ascii="宋体" w:cs="宋体"/>
                <w:kern w:val="0"/>
                <w:szCs w:val="21"/>
              </w:rPr>
              <w:t>是否提供“信用中国”网站和中国政府采购网的查询结果；</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响应性评审</w:t>
            </w: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autoSpaceDE w:val="0"/>
              <w:autoSpaceDN w:val="0"/>
              <w:rPr>
                <w:rFonts w:ascii="宋体" w:cs="宋体"/>
                <w:kern w:val="0"/>
                <w:szCs w:val="21"/>
              </w:rPr>
            </w:pPr>
            <w:r>
              <w:rPr>
                <w:rFonts w:hint="eastAsia" w:ascii="宋体" w:cs="宋体"/>
                <w:kern w:val="0"/>
                <w:szCs w:val="21"/>
              </w:rPr>
              <w:t>投标范围符合招标文件规定；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autoSpaceDE w:val="0"/>
              <w:autoSpaceDN w:val="0"/>
              <w:rPr>
                <w:rFonts w:ascii="宋体" w:cs="宋体"/>
                <w:kern w:val="0"/>
                <w:szCs w:val="21"/>
              </w:rPr>
            </w:pPr>
            <w:r>
              <w:rPr>
                <w:rFonts w:hint="eastAsia" w:ascii="宋体" w:cs="宋体"/>
                <w:kern w:val="0"/>
                <w:szCs w:val="21"/>
              </w:rPr>
              <w:t>供货期符合招标文件规定；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autoSpaceDE w:val="0"/>
              <w:autoSpaceDN w:val="0"/>
              <w:rPr>
                <w:rFonts w:ascii="宋体" w:cs="宋体"/>
                <w:kern w:val="0"/>
                <w:szCs w:val="21"/>
              </w:rPr>
            </w:pPr>
            <w:r>
              <w:rPr>
                <w:rFonts w:hint="eastAsia" w:ascii="宋体" w:cs="宋体"/>
                <w:kern w:val="0"/>
                <w:szCs w:val="21"/>
              </w:rPr>
              <w:t>投标总价超出招标文件规定的最高限价；</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cs="宋体"/>
                <w:kern w:val="0"/>
                <w:szCs w:val="21"/>
              </w:rPr>
            </w:pPr>
            <w:r>
              <w:rPr>
                <w:rFonts w:hint="eastAsia" w:ascii="宋体" w:cs="宋体"/>
                <w:kern w:val="0"/>
                <w:szCs w:val="21"/>
              </w:rPr>
              <w:t>投标保证金缴纳符合招标文件规定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cs="宋体"/>
                <w:kern w:val="0"/>
                <w:szCs w:val="21"/>
              </w:rPr>
            </w:pPr>
            <w:r>
              <w:rPr>
                <w:rFonts w:hint="eastAsia" w:ascii="宋体" w:cs="宋体"/>
                <w:kern w:val="0"/>
                <w:szCs w:val="21"/>
              </w:rPr>
              <w:t>投标有效期符合招标文件规定；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kern w:val="0"/>
                <w:szCs w:val="21"/>
              </w:rPr>
            </w:pPr>
            <w:r>
              <w:rPr>
                <w:rFonts w:hint="eastAsia" w:ascii="宋体" w:cs="宋体"/>
                <w:kern w:val="0"/>
                <w:szCs w:val="21"/>
              </w:rPr>
              <w:t>《投标文件》技术参数不满足招标文件要求或严重负偏离的；</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834" w:type="dxa"/>
            <w:vAlign w:val="center"/>
          </w:tcPr>
          <w:p>
            <w:pPr>
              <w:jc w:val="center"/>
              <w:rPr>
                <w:rFonts w:ascii="宋体" w:hAnsi="宋体" w:cs="宋体"/>
                <w:szCs w:val="21"/>
              </w:rPr>
            </w:pPr>
          </w:p>
        </w:tc>
        <w:tc>
          <w:tcPr>
            <w:tcW w:w="8926" w:type="dxa"/>
            <w:gridSpan w:val="4"/>
            <w:vAlign w:val="center"/>
          </w:tcPr>
          <w:p>
            <w:pPr>
              <w:rPr>
                <w:rFonts w:ascii="宋体" w:hAnsi="宋体" w:cs="宋体"/>
                <w:szCs w:val="21"/>
              </w:rPr>
            </w:pPr>
            <w:r>
              <w:rPr>
                <w:rFonts w:hint="eastAsia" w:ascii="宋体" w:hAnsi="宋体" w:cs="宋体"/>
                <w:szCs w:val="21"/>
              </w:rPr>
              <w:t>结论：是否通过评审</w:t>
            </w:r>
          </w:p>
        </w:tc>
      </w:tr>
    </w:tbl>
    <w:p>
      <w:pPr>
        <w:tabs>
          <w:tab w:val="left" w:pos="900"/>
        </w:tabs>
        <w:rPr>
          <w:rFonts w:ascii="宋体" w:hAnsi="宋体"/>
          <w:szCs w:val="21"/>
        </w:rPr>
      </w:pPr>
    </w:p>
    <w:p>
      <w:pPr>
        <w:tabs>
          <w:tab w:val="left" w:pos="900"/>
        </w:tabs>
        <w:rPr>
          <w:rFonts w:ascii="宋体" w:hAnsi="宋体"/>
          <w:szCs w:val="21"/>
        </w:rPr>
      </w:pPr>
    </w:p>
    <w:p>
      <w:pPr>
        <w:pStyle w:val="10"/>
        <w:rPr>
          <w:rFonts w:ascii="宋体" w:hAnsi="宋体"/>
          <w:szCs w:val="21"/>
        </w:rPr>
      </w:pPr>
    </w:p>
    <w:p>
      <w:pPr>
        <w:pStyle w:val="10"/>
        <w:rPr>
          <w:rFonts w:ascii="宋体" w:hAnsi="宋体"/>
          <w:szCs w:val="21"/>
        </w:rPr>
      </w:pPr>
    </w:p>
    <w:p>
      <w:pPr>
        <w:jc w:val="center"/>
        <w:outlineLvl w:val="1"/>
        <w:rPr>
          <w:rFonts w:hint="eastAsia" w:ascii="宋体" w:hAnsi="宋体" w:cs="宋体"/>
          <w:b/>
          <w:sz w:val="28"/>
          <w:szCs w:val="28"/>
        </w:rPr>
      </w:pPr>
    </w:p>
    <w:p>
      <w:pPr>
        <w:jc w:val="center"/>
        <w:outlineLvl w:val="1"/>
        <w:rPr>
          <w:rFonts w:hint="eastAsia" w:ascii="宋体" w:hAnsi="宋体" w:eastAsia="宋体" w:cs="宋体"/>
          <w:b/>
          <w:sz w:val="28"/>
          <w:szCs w:val="28"/>
          <w:lang w:eastAsia="zh-CN"/>
        </w:rPr>
      </w:pPr>
      <w:r>
        <w:rPr>
          <w:rFonts w:hint="eastAsia" w:ascii="宋体" w:hAnsi="宋体" w:cs="宋体"/>
          <w:b/>
          <w:sz w:val="28"/>
          <w:szCs w:val="28"/>
        </w:rPr>
        <w:t>初步评审标准</w:t>
      </w:r>
      <w:r>
        <w:rPr>
          <w:rFonts w:hint="eastAsia" w:ascii="宋体" w:hAnsi="宋体" w:cs="宋体"/>
          <w:b/>
          <w:sz w:val="28"/>
          <w:szCs w:val="28"/>
          <w:lang w:eastAsia="zh-CN"/>
        </w:rPr>
        <w:t>（二包）</w:t>
      </w:r>
    </w:p>
    <w:tbl>
      <w:tblPr>
        <w:tblStyle w:val="39"/>
        <w:tblW w:w="9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737"/>
        <w:gridCol w:w="6697"/>
        <w:gridCol w:w="740"/>
        <w:gridCol w:w="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34" w:type="dxa"/>
            <w:vMerge w:val="restart"/>
            <w:vAlign w:val="center"/>
          </w:tcPr>
          <w:p>
            <w:pPr>
              <w:jc w:val="center"/>
              <w:rPr>
                <w:rFonts w:ascii="宋体" w:hAnsi="宋体" w:cs="宋体"/>
                <w:b/>
                <w:szCs w:val="21"/>
              </w:rPr>
            </w:pPr>
            <w:r>
              <w:rPr>
                <w:rFonts w:hint="eastAsia" w:ascii="宋体" w:hAnsi="宋体" w:cs="宋体"/>
                <w:b/>
                <w:szCs w:val="21"/>
              </w:rPr>
              <w:t>项目</w:t>
            </w:r>
          </w:p>
        </w:tc>
        <w:tc>
          <w:tcPr>
            <w:tcW w:w="7434" w:type="dxa"/>
            <w:gridSpan w:val="2"/>
            <w:vMerge w:val="restart"/>
            <w:vAlign w:val="center"/>
          </w:tcPr>
          <w:p>
            <w:pPr>
              <w:jc w:val="center"/>
              <w:rPr>
                <w:rFonts w:ascii="宋体" w:hAnsi="宋体" w:cs="宋体"/>
                <w:b/>
                <w:szCs w:val="21"/>
              </w:rPr>
            </w:pPr>
            <w:r>
              <w:rPr>
                <w:rFonts w:hint="eastAsia" w:ascii="宋体" w:hAnsi="宋体" w:cs="宋体"/>
                <w:b/>
                <w:szCs w:val="21"/>
              </w:rPr>
              <w:t>评审内容</w:t>
            </w:r>
          </w:p>
        </w:tc>
        <w:tc>
          <w:tcPr>
            <w:tcW w:w="1492" w:type="dxa"/>
            <w:gridSpan w:val="2"/>
            <w:vAlign w:val="center"/>
          </w:tcPr>
          <w:p>
            <w:pPr>
              <w:jc w:val="center"/>
              <w:rPr>
                <w:rFonts w:ascii="宋体" w:hAnsi="宋体" w:cs="宋体"/>
                <w:b/>
                <w:szCs w:val="21"/>
              </w:rPr>
            </w:pPr>
            <w:r>
              <w:rPr>
                <w:rFonts w:hint="eastAsia" w:ascii="宋体" w:hAnsi="宋体" w:cs="宋体"/>
                <w:b/>
                <w:szCs w:val="21"/>
              </w:rPr>
              <w:t>评审</w:t>
            </w:r>
          </w:p>
          <w:p>
            <w:pPr>
              <w:jc w:val="center"/>
              <w:rPr>
                <w:rFonts w:ascii="宋体" w:hAnsi="宋体" w:cs="宋体"/>
                <w:b/>
                <w:szCs w:val="21"/>
              </w:rPr>
            </w:pPr>
            <w:r>
              <w:rPr>
                <w:rFonts w:hint="eastAsia" w:ascii="宋体" w:hAnsi="宋体" w:cs="宋体"/>
                <w:b/>
                <w:szCs w:val="21"/>
              </w:rPr>
              <w:t>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34" w:type="dxa"/>
            <w:vMerge w:val="continue"/>
            <w:vAlign w:val="center"/>
          </w:tcPr>
          <w:p>
            <w:pPr>
              <w:jc w:val="center"/>
              <w:rPr>
                <w:rFonts w:ascii="宋体" w:hAnsi="宋体" w:cs="宋体"/>
                <w:b/>
                <w:szCs w:val="21"/>
              </w:rPr>
            </w:pPr>
          </w:p>
        </w:tc>
        <w:tc>
          <w:tcPr>
            <w:tcW w:w="7434" w:type="dxa"/>
            <w:gridSpan w:val="2"/>
            <w:vMerge w:val="continue"/>
          </w:tcPr>
          <w:p>
            <w:pPr>
              <w:rPr>
                <w:rFonts w:ascii="宋体" w:hAnsi="宋体" w:cs="宋体"/>
                <w:b/>
                <w:szCs w:val="21"/>
              </w:rPr>
            </w:pPr>
          </w:p>
        </w:tc>
        <w:tc>
          <w:tcPr>
            <w:tcW w:w="740" w:type="dxa"/>
            <w:vAlign w:val="center"/>
          </w:tcPr>
          <w:p>
            <w:pPr>
              <w:jc w:val="center"/>
              <w:rPr>
                <w:rFonts w:ascii="宋体" w:hAnsi="宋体" w:cs="宋体"/>
                <w:b/>
                <w:szCs w:val="21"/>
              </w:rPr>
            </w:pPr>
            <w:r>
              <w:rPr>
                <w:rFonts w:hint="eastAsia" w:ascii="宋体" w:hAnsi="宋体" w:cs="宋体"/>
                <w:b/>
                <w:szCs w:val="21"/>
              </w:rPr>
              <w:t>是</w:t>
            </w:r>
          </w:p>
        </w:tc>
        <w:tc>
          <w:tcPr>
            <w:tcW w:w="752" w:type="dxa"/>
            <w:vAlign w:val="center"/>
          </w:tcPr>
          <w:p>
            <w:pPr>
              <w:jc w:val="center"/>
              <w:rPr>
                <w:rFonts w:ascii="宋体" w:hAnsi="宋体" w:cs="宋体"/>
                <w:b/>
                <w:szCs w:val="21"/>
              </w:rPr>
            </w:pPr>
            <w:r>
              <w:rPr>
                <w:rFonts w:hint="eastAsia" w:ascii="宋体" w:hAnsi="宋体" w:cs="宋体"/>
                <w:b/>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834" w:type="dxa"/>
            <w:vMerge w:val="restart"/>
            <w:tcBorders>
              <w:top w:val="single" w:color="auto" w:sz="4" w:space="0"/>
            </w:tcBorders>
            <w:textDirection w:val="tbRlV"/>
            <w:vAlign w:val="center"/>
          </w:tcPr>
          <w:p>
            <w:pPr>
              <w:jc w:val="center"/>
              <w:rPr>
                <w:rFonts w:ascii="宋体" w:hAnsi="宋体" w:cs="宋体"/>
                <w:szCs w:val="21"/>
              </w:rPr>
            </w:pPr>
            <w:r>
              <w:rPr>
                <w:rFonts w:hint="eastAsia" w:ascii="宋体" w:hAnsi="宋体" w:cs="宋体"/>
                <w:szCs w:val="21"/>
              </w:rPr>
              <w:t>形式评审</w:t>
            </w:r>
          </w:p>
        </w:tc>
        <w:tc>
          <w:tcPr>
            <w:tcW w:w="737" w:type="dxa"/>
            <w:tcBorders>
              <w:top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投标文件没有投标单位法定代表人或其授权代表签字（章）和加盖投标单位公章的；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hAnsi="宋体" w:cs="宋体"/>
                <w:szCs w:val="21"/>
              </w:rPr>
              <w:t>《投标文件》是否符合《招标文件》规定的格式；</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hAnsi="宋体" w:cs="宋体"/>
                <w:szCs w:val="21"/>
              </w:rPr>
            </w:pPr>
            <w:r>
              <w:rPr>
                <w:rFonts w:hint="eastAsia" w:ascii="宋体" w:hAnsi="宋体" w:cs="宋体"/>
                <w:szCs w:val="21"/>
              </w:rPr>
              <w:t>投标文件附有招标人不能接受条件的；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rPr>
                <w:rFonts w:ascii="宋体" w:hAnsi="宋体" w:cs="宋体"/>
                <w:szCs w:val="21"/>
              </w:rPr>
            </w:pPr>
            <w:r>
              <w:rPr>
                <w:rFonts w:hint="eastAsia" w:ascii="宋体" w:hAnsi="宋体" w:cs="宋体"/>
                <w:szCs w:val="21"/>
              </w:rPr>
              <w:t>不满足招标文件实质性要求的其他情形；</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资</w:t>
            </w:r>
          </w:p>
          <w:p>
            <w:pPr>
              <w:jc w:val="center"/>
              <w:rPr>
                <w:rFonts w:ascii="宋体" w:hAnsi="宋体" w:cs="宋体"/>
                <w:szCs w:val="21"/>
              </w:rPr>
            </w:pPr>
            <w:r>
              <w:rPr>
                <w:rFonts w:hint="eastAsia" w:ascii="宋体" w:hAnsi="宋体" w:cs="宋体"/>
                <w:szCs w:val="21"/>
              </w:rPr>
              <w:t>格</w:t>
            </w:r>
          </w:p>
          <w:p>
            <w:pPr>
              <w:jc w:val="center"/>
              <w:rPr>
                <w:rFonts w:ascii="宋体" w:hAnsi="宋体" w:cs="宋体"/>
                <w:szCs w:val="21"/>
              </w:rPr>
            </w:pPr>
            <w:r>
              <w:rPr>
                <w:rFonts w:hint="eastAsia" w:ascii="宋体" w:hAnsi="宋体" w:cs="宋体"/>
                <w:szCs w:val="21"/>
              </w:rPr>
              <w:t>评</w:t>
            </w:r>
          </w:p>
          <w:p>
            <w:pPr>
              <w:jc w:val="center"/>
              <w:rPr>
                <w:rFonts w:ascii="宋体" w:hAnsi="宋体" w:cs="宋体"/>
                <w:szCs w:val="21"/>
              </w:rPr>
            </w:pPr>
            <w:r>
              <w:rPr>
                <w:rFonts w:hint="eastAsia" w:ascii="宋体" w:hAnsi="宋体" w:cs="宋体"/>
                <w:szCs w:val="21"/>
              </w:rPr>
              <w:t>审</w:t>
            </w:r>
          </w:p>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是否具有有效经年检的三证合一的营业执照；</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cs="宋体"/>
                <w:kern w:val="0"/>
                <w:szCs w:val="21"/>
              </w:rPr>
              <w:t>是否具有近一年（2020年）的财务审计报告或成立不满足一年的提供财务报表</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cs="宋体"/>
                <w:kern w:val="0"/>
                <w:szCs w:val="21"/>
              </w:rPr>
            </w:pPr>
            <w:r>
              <w:rPr>
                <w:rFonts w:hint="eastAsia" w:ascii="宋体" w:cs="宋体"/>
                <w:kern w:val="0"/>
                <w:szCs w:val="21"/>
              </w:rPr>
              <w:t>是否具有有效的《医疗器械经营许可证》或《医疗器械生产许可证》，具有有效的二类医疗器械经营备案证；</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hAnsi="宋体" w:cs="宋体"/>
                <w:szCs w:val="21"/>
              </w:rPr>
            </w:pPr>
            <w:r>
              <w:rPr>
                <w:rFonts w:hint="eastAsia" w:ascii="宋体" w:hAnsi="宋体" w:cs="宋体"/>
                <w:szCs w:val="21"/>
              </w:rPr>
              <w:t>是否提供近六个月完税证明和盖有社保局公章的社保缴纳证明（社保缴纳证明中含法人及委托人的社保明细）</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hAnsi="宋体" w:cs="宋体"/>
                <w:szCs w:val="21"/>
              </w:rPr>
            </w:pPr>
            <w:r>
              <w:rPr>
                <w:rFonts w:hint="eastAsia" w:ascii="宋体" w:cs="宋体"/>
                <w:kern w:val="0"/>
                <w:szCs w:val="21"/>
              </w:rPr>
              <w:t>是否提供法定代表人身份证明或法定代表人授权委托书及受托人身份证原件；</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kern w:val="0"/>
                <w:szCs w:val="21"/>
              </w:rPr>
            </w:pPr>
            <w:r>
              <w:rPr>
                <w:rFonts w:hint="eastAsia" w:ascii="宋体" w:cs="宋体"/>
                <w:kern w:val="0"/>
                <w:szCs w:val="21"/>
              </w:rPr>
              <w:t>是否提供“信用中国”网站和中国政府采购网的查询结果；</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响应性评审</w:t>
            </w: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autoSpaceDE w:val="0"/>
              <w:autoSpaceDN w:val="0"/>
              <w:rPr>
                <w:rFonts w:ascii="宋体" w:cs="宋体"/>
                <w:kern w:val="0"/>
                <w:szCs w:val="21"/>
              </w:rPr>
            </w:pPr>
            <w:r>
              <w:rPr>
                <w:rFonts w:hint="eastAsia" w:ascii="宋体" w:cs="宋体"/>
                <w:kern w:val="0"/>
                <w:szCs w:val="21"/>
              </w:rPr>
              <w:t>投标范围符合招标文件规定；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autoSpaceDE w:val="0"/>
              <w:autoSpaceDN w:val="0"/>
              <w:rPr>
                <w:rFonts w:ascii="宋体" w:cs="宋体"/>
                <w:kern w:val="0"/>
                <w:szCs w:val="21"/>
              </w:rPr>
            </w:pPr>
            <w:r>
              <w:rPr>
                <w:rFonts w:hint="eastAsia" w:ascii="宋体" w:cs="宋体"/>
                <w:kern w:val="0"/>
                <w:szCs w:val="21"/>
              </w:rPr>
              <w:t>供货期符合招标文件规定；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autoSpaceDE w:val="0"/>
              <w:autoSpaceDN w:val="0"/>
              <w:rPr>
                <w:rFonts w:ascii="宋体" w:cs="宋体"/>
                <w:kern w:val="0"/>
                <w:szCs w:val="21"/>
              </w:rPr>
            </w:pPr>
            <w:r>
              <w:rPr>
                <w:rFonts w:hint="eastAsia" w:ascii="宋体" w:cs="宋体"/>
                <w:kern w:val="0"/>
                <w:szCs w:val="21"/>
              </w:rPr>
              <w:t>投标总价超出招标文件规定的最高限价；</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cs="宋体"/>
                <w:kern w:val="0"/>
                <w:szCs w:val="21"/>
              </w:rPr>
            </w:pPr>
            <w:r>
              <w:rPr>
                <w:rFonts w:hint="eastAsia" w:ascii="宋体" w:cs="宋体"/>
                <w:kern w:val="0"/>
                <w:szCs w:val="21"/>
              </w:rPr>
              <w:t>投标保证金缴纳符合招标文件规定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cs="宋体"/>
                <w:kern w:val="0"/>
                <w:szCs w:val="21"/>
              </w:rPr>
            </w:pPr>
            <w:r>
              <w:rPr>
                <w:rFonts w:hint="eastAsia" w:ascii="宋体" w:cs="宋体"/>
                <w:kern w:val="0"/>
                <w:szCs w:val="21"/>
              </w:rPr>
              <w:t>投标有效期符合招标文件规定；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kern w:val="0"/>
                <w:szCs w:val="21"/>
              </w:rPr>
            </w:pPr>
            <w:r>
              <w:rPr>
                <w:rFonts w:hint="eastAsia" w:ascii="宋体" w:cs="宋体"/>
                <w:kern w:val="0"/>
                <w:szCs w:val="21"/>
              </w:rPr>
              <w:t>《投标文件》技术参数不满足招标文件要求或严重负偏离的；</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834" w:type="dxa"/>
            <w:vAlign w:val="center"/>
          </w:tcPr>
          <w:p>
            <w:pPr>
              <w:jc w:val="center"/>
              <w:rPr>
                <w:rFonts w:ascii="宋体" w:hAnsi="宋体" w:cs="宋体"/>
                <w:szCs w:val="21"/>
              </w:rPr>
            </w:pPr>
          </w:p>
        </w:tc>
        <w:tc>
          <w:tcPr>
            <w:tcW w:w="8926" w:type="dxa"/>
            <w:gridSpan w:val="4"/>
            <w:vAlign w:val="center"/>
          </w:tcPr>
          <w:p>
            <w:pPr>
              <w:rPr>
                <w:rFonts w:ascii="宋体" w:hAnsi="宋体" w:cs="宋体"/>
                <w:szCs w:val="21"/>
              </w:rPr>
            </w:pPr>
            <w:r>
              <w:rPr>
                <w:rFonts w:hint="eastAsia" w:ascii="宋体" w:hAnsi="宋体" w:cs="宋体"/>
                <w:szCs w:val="21"/>
              </w:rPr>
              <w:t>结论：是否通过评审</w:t>
            </w:r>
          </w:p>
        </w:tc>
      </w:tr>
    </w:tbl>
    <w:p>
      <w:pPr>
        <w:tabs>
          <w:tab w:val="left" w:pos="900"/>
        </w:tabs>
        <w:rPr>
          <w:rFonts w:ascii="宋体" w:hAnsi="宋体"/>
          <w:szCs w:val="21"/>
        </w:rPr>
      </w:pPr>
    </w:p>
    <w:p>
      <w:pPr>
        <w:pStyle w:val="10"/>
        <w:rPr>
          <w:rFonts w:ascii="宋体" w:hAnsi="宋体"/>
          <w:szCs w:val="21"/>
        </w:rPr>
      </w:pPr>
    </w:p>
    <w:p>
      <w:pPr>
        <w:pStyle w:val="10"/>
        <w:rPr>
          <w:rFonts w:ascii="宋体" w:hAnsi="宋体"/>
          <w:szCs w:val="21"/>
        </w:rPr>
      </w:pPr>
    </w:p>
    <w:p>
      <w:pPr>
        <w:pStyle w:val="10"/>
        <w:rPr>
          <w:rFonts w:ascii="宋体" w:hAnsi="宋体"/>
          <w:szCs w:val="21"/>
        </w:rPr>
      </w:pPr>
    </w:p>
    <w:p>
      <w:pPr>
        <w:pStyle w:val="10"/>
        <w:rPr>
          <w:rFonts w:ascii="宋体" w:hAnsi="宋体"/>
          <w:szCs w:val="21"/>
        </w:rPr>
      </w:pPr>
    </w:p>
    <w:p>
      <w:pPr>
        <w:tabs>
          <w:tab w:val="left" w:pos="900"/>
        </w:tabs>
        <w:rPr>
          <w:rFonts w:ascii="宋体" w:hAnsi="宋体"/>
          <w:szCs w:val="21"/>
        </w:rPr>
      </w:pPr>
      <w:r>
        <w:rPr>
          <w:rFonts w:hint="eastAsia" w:ascii="宋体" w:hAnsi="宋体"/>
          <w:szCs w:val="21"/>
        </w:rPr>
        <w:t>附表二</w:t>
      </w:r>
      <w:bookmarkStart w:id="108" w:name="_Toc10870"/>
      <w:r>
        <w:rPr>
          <w:rFonts w:hint="eastAsia" w:ascii="宋体" w:hAnsi="宋体"/>
          <w:szCs w:val="21"/>
        </w:rPr>
        <w:t xml:space="preserve">     </w:t>
      </w:r>
    </w:p>
    <w:p>
      <w:pPr>
        <w:tabs>
          <w:tab w:val="left" w:pos="900"/>
        </w:tabs>
        <w:jc w:val="center"/>
        <w:rPr>
          <w:rFonts w:hint="eastAsia" w:ascii="宋体" w:hAnsi="宋体" w:eastAsia="宋体"/>
          <w:b/>
          <w:sz w:val="24"/>
          <w:szCs w:val="24"/>
          <w:lang w:eastAsia="zh-CN"/>
        </w:rPr>
      </w:pPr>
      <w:r>
        <w:rPr>
          <w:rFonts w:hint="eastAsia" w:ascii="宋体" w:hAnsi="宋体"/>
          <w:b/>
          <w:sz w:val="24"/>
          <w:szCs w:val="24"/>
        </w:rPr>
        <w:t>详细评分标准表</w:t>
      </w:r>
      <w:r>
        <w:rPr>
          <w:rFonts w:hint="eastAsia" w:ascii="宋体" w:hAnsi="宋体"/>
          <w:b/>
          <w:sz w:val="24"/>
          <w:szCs w:val="24"/>
          <w:lang w:eastAsia="zh-CN"/>
        </w:rPr>
        <w:t>（</w:t>
      </w:r>
      <w:r>
        <w:rPr>
          <w:rFonts w:hint="eastAsia" w:ascii="宋体" w:hAnsi="宋体"/>
          <w:b/>
          <w:sz w:val="24"/>
          <w:szCs w:val="24"/>
          <w:lang w:val="en-US" w:eastAsia="zh-CN"/>
        </w:rPr>
        <w:t>一包</w:t>
      </w:r>
      <w:r>
        <w:rPr>
          <w:rFonts w:hint="eastAsia" w:ascii="宋体" w:hAnsi="宋体"/>
          <w:b/>
          <w:sz w:val="24"/>
          <w:szCs w:val="24"/>
          <w:lang w:eastAsia="zh-CN"/>
        </w:rPr>
        <w:t>）</w:t>
      </w:r>
    </w:p>
    <w:tbl>
      <w:tblPr>
        <w:tblStyle w:val="3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
        <w:gridCol w:w="1078"/>
        <w:gridCol w:w="1595"/>
        <w:gridCol w:w="6063"/>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327" w:type="dxa"/>
            <w:vAlign w:val="center"/>
          </w:tcPr>
          <w:p>
            <w:pPr>
              <w:jc w:val="center"/>
              <w:rPr>
                <w:rFonts w:ascii="宋体" w:hAnsi="宋体"/>
                <w:b/>
                <w:sz w:val="24"/>
              </w:rPr>
            </w:pPr>
            <w:r>
              <w:rPr>
                <w:rFonts w:hint="eastAsia" w:ascii="宋体" w:hAnsi="宋体"/>
                <w:b/>
                <w:sz w:val="24"/>
              </w:rPr>
              <w:t>序号</w:t>
            </w:r>
          </w:p>
        </w:tc>
        <w:tc>
          <w:tcPr>
            <w:tcW w:w="1078"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类别</w:t>
            </w:r>
          </w:p>
        </w:tc>
        <w:tc>
          <w:tcPr>
            <w:tcW w:w="1595"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评审因素</w:t>
            </w:r>
          </w:p>
        </w:tc>
        <w:tc>
          <w:tcPr>
            <w:tcW w:w="6063"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评分细则</w:t>
            </w:r>
          </w:p>
        </w:tc>
        <w:tc>
          <w:tcPr>
            <w:tcW w:w="791" w:type="dxa"/>
            <w:vAlign w:val="center"/>
          </w:tcPr>
          <w:p>
            <w:pPr>
              <w:jc w:val="center"/>
              <w:rPr>
                <w:rFonts w:ascii="宋体" w:hAnsi="宋体"/>
                <w:b/>
                <w:sz w:val="24"/>
              </w:rPr>
            </w:pPr>
            <w:r>
              <w:rPr>
                <w:rFonts w:hint="eastAsia" w:ascii="宋体" w:hAnsi="宋体"/>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27" w:type="dxa"/>
            <w:vAlign w:val="center"/>
          </w:tcPr>
          <w:p>
            <w:pPr>
              <w:adjustRightInd w:val="0"/>
              <w:snapToGrid w:val="0"/>
              <w:jc w:val="center"/>
              <w:rPr>
                <w:rFonts w:ascii="宋体" w:hAnsi="宋体"/>
                <w:sz w:val="24"/>
              </w:rPr>
            </w:pPr>
            <w:r>
              <w:rPr>
                <w:rFonts w:hint="eastAsia" w:ascii="宋体" w:hAnsi="宋体"/>
                <w:sz w:val="24"/>
              </w:rPr>
              <w:t>1</w:t>
            </w:r>
          </w:p>
        </w:tc>
        <w:tc>
          <w:tcPr>
            <w:tcW w:w="1078" w:type="dxa"/>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szCs w:val="21"/>
              </w:rPr>
            </w:pPr>
            <w:r>
              <w:rPr>
                <w:rFonts w:hint="eastAsia"/>
                <w:szCs w:val="21"/>
              </w:rPr>
              <w:t>价格</w:t>
            </w:r>
          </w:p>
          <w:p>
            <w:pPr>
              <w:tabs>
                <w:tab w:val="left" w:pos="540"/>
              </w:tabs>
              <w:autoSpaceDE w:val="0"/>
              <w:autoSpaceDN w:val="0"/>
              <w:adjustRightInd w:val="0"/>
              <w:snapToGrid w:val="0"/>
              <w:spacing w:line="240" w:lineRule="exact"/>
              <w:jc w:val="center"/>
              <w:rPr>
                <w:szCs w:val="21"/>
              </w:rPr>
            </w:pPr>
            <w:r>
              <w:rPr>
                <w:rFonts w:hint="eastAsia"/>
                <w:szCs w:val="21"/>
              </w:rPr>
              <w:t>30分</w:t>
            </w:r>
          </w:p>
        </w:tc>
        <w:tc>
          <w:tcPr>
            <w:tcW w:w="1595" w:type="dxa"/>
            <w:tcMar>
              <w:top w:w="15" w:type="dxa"/>
              <w:left w:w="15" w:type="dxa"/>
              <w:bottom w:w="0" w:type="dxa"/>
              <w:right w:w="15" w:type="dxa"/>
            </w:tcMar>
            <w:vAlign w:val="center"/>
          </w:tcPr>
          <w:p>
            <w:pPr>
              <w:autoSpaceDE w:val="0"/>
              <w:autoSpaceDN w:val="0"/>
              <w:adjustRightInd w:val="0"/>
              <w:snapToGrid w:val="0"/>
              <w:spacing w:line="240" w:lineRule="exact"/>
              <w:jc w:val="center"/>
              <w:rPr>
                <w:rFonts w:ascii="宋体" w:hAnsi="宋体"/>
                <w:szCs w:val="21"/>
              </w:rPr>
            </w:pPr>
            <w:r>
              <w:rPr>
                <w:rFonts w:hint="eastAsia"/>
                <w:szCs w:val="21"/>
              </w:rPr>
              <w:t>报价</w:t>
            </w:r>
            <w:r>
              <w:rPr>
                <w:rFonts w:hint="eastAsia" w:ascii="宋体" w:hAnsi="宋体"/>
                <w:szCs w:val="21"/>
              </w:rPr>
              <w:t>的合理性</w:t>
            </w:r>
          </w:p>
        </w:tc>
        <w:tc>
          <w:tcPr>
            <w:tcW w:w="6063" w:type="dxa"/>
            <w:tcMar>
              <w:top w:w="15" w:type="dxa"/>
              <w:left w:w="15" w:type="dxa"/>
              <w:bottom w:w="0" w:type="dxa"/>
              <w:right w:w="15" w:type="dxa"/>
            </w:tcMar>
            <w:vAlign w:val="center"/>
          </w:tcPr>
          <w:p>
            <w:pPr>
              <w:snapToGrid w:val="0"/>
              <w:spacing w:line="240" w:lineRule="exact"/>
              <w:rPr>
                <w:rFonts w:ascii="宋体" w:hAnsi="宋体"/>
                <w:szCs w:val="21"/>
              </w:rPr>
            </w:pPr>
            <w:r>
              <w:rPr>
                <w:rFonts w:ascii="宋体" w:hAnsi="宋体"/>
                <w:szCs w:val="21"/>
              </w:rPr>
              <w:t>投标报价得分=（评标基准价/投标报价）</w:t>
            </w:r>
            <w:r>
              <w:rPr>
                <w:rFonts w:hint="eastAsia" w:ascii="宋体" w:hAnsi="宋体"/>
                <w:szCs w:val="21"/>
                <w:lang w:eastAsia="zh-CN"/>
              </w:rPr>
              <w:t>★</w:t>
            </w:r>
            <w:r>
              <w:rPr>
                <w:rFonts w:ascii="宋体" w:hAnsi="宋体"/>
                <w:szCs w:val="21"/>
              </w:rPr>
              <w:t>价格权重</w:t>
            </w:r>
            <w:r>
              <w:rPr>
                <w:rFonts w:hint="eastAsia" w:ascii="宋体" w:hAnsi="宋体"/>
                <w:szCs w:val="21"/>
                <w:lang w:eastAsia="zh-CN"/>
              </w:rPr>
              <w:t>★</w:t>
            </w:r>
            <w:r>
              <w:rPr>
                <w:rFonts w:ascii="宋体" w:hAnsi="宋体"/>
                <w:szCs w:val="21"/>
              </w:rPr>
              <w:t>100</w:t>
            </w:r>
          </w:p>
          <w:p>
            <w:pPr>
              <w:autoSpaceDE w:val="0"/>
              <w:autoSpaceDN w:val="0"/>
              <w:adjustRightInd w:val="0"/>
              <w:snapToGrid w:val="0"/>
              <w:spacing w:line="360" w:lineRule="exact"/>
              <w:rPr>
                <w:rFonts w:ascii="宋体" w:hAnsi="宋体"/>
                <w:szCs w:val="21"/>
              </w:rPr>
            </w:pPr>
            <w:r>
              <w:rPr>
                <w:rFonts w:ascii="宋体" w:hAnsi="宋体"/>
                <w:szCs w:val="21"/>
              </w:rPr>
              <w:t>注：基准价=响应招标文件的最</w:t>
            </w:r>
            <w:r>
              <w:rPr>
                <w:rFonts w:hint="eastAsia" w:ascii="宋体" w:hAnsi="宋体"/>
                <w:szCs w:val="21"/>
              </w:rPr>
              <w:t>低</w:t>
            </w:r>
            <w:r>
              <w:rPr>
                <w:rFonts w:ascii="宋体" w:hAnsi="宋体"/>
                <w:szCs w:val="21"/>
              </w:rPr>
              <w:t xml:space="preserve">投标报价 </w:t>
            </w:r>
          </w:p>
        </w:tc>
        <w:tc>
          <w:tcPr>
            <w:tcW w:w="791" w:type="dxa"/>
            <w:vAlign w:val="center"/>
          </w:tcPr>
          <w:p>
            <w:pPr>
              <w:spacing w:line="240" w:lineRule="exac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jc w:val="center"/>
        </w:trPr>
        <w:tc>
          <w:tcPr>
            <w:tcW w:w="327" w:type="dxa"/>
            <w:vMerge w:val="restart"/>
            <w:vAlign w:val="center"/>
          </w:tcPr>
          <w:p>
            <w:pPr>
              <w:adjustRightInd w:val="0"/>
              <w:snapToGrid w:val="0"/>
              <w:jc w:val="center"/>
              <w:rPr>
                <w:rFonts w:hint="eastAsia" w:ascii="宋体" w:hAnsi="宋体" w:cs="宋体"/>
                <w:b/>
                <w:color w:val="000000"/>
                <w:szCs w:val="21"/>
              </w:rPr>
            </w:pPr>
            <w:r>
              <w:rPr>
                <w:rFonts w:hint="eastAsia" w:ascii="宋体" w:hAnsi="宋体" w:cs="宋体"/>
                <w:b/>
                <w:color w:val="000000"/>
                <w:szCs w:val="21"/>
              </w:rPr>
              <w:t>2</w:t>
            </w:r>
          </w:p>
          <w:p>
            <w:pPr>
              <w:adjustRightInd w:val="0"/>
              <w:snapToGrid w:val="0"/>
              <w:jc w:val="center"/>
              <w:rPr>
                <w:rFonts w:ascii="宋体" w:hAnsi="宋体" w:cs="宋体"/>
                <w:b/>
                <w:color w:val="000000"/>
                <w:szCs w:val="21"/>
              </w:rPr>
            </w:pPr>
          </w:p>
        </w:tc>
        <w:tc>
          <w:tcPr>
            <w:tcW w:w="1078" w:type="dxa"/>
            <w:vMerge w:val="restart"/>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szCs w:val="21"/>
              </w:rPr>
            </w:pPr>
            <w:r>
              <w:rPr>
                <w:rFonts w:hint="eastAsia"/>
                <w:szCs w:val="21"/>
              </w:rPr>
              <w:t>商务</w:t>
            </w:r>
          </w:p>
          <w:p>
            <w:pPr>
              <w:spacing w:line="240" w:lineRule="exact"/>
              <w:jc w:val="center"/>
              <w:rPr>
                <w:rFonts w:ascii="宋体" w:hAnsi="宋体" w:cs="宋体"/>
              </w:rPr>
            </w:pPr>
            <w:r>
              <w:rPr>
                <w:rFonts w:hint="eastAsia"/>
                <w:szCs w:val="21"/>
                <w:lang w:val="en-US" w:eastAsia="zh-CN"/>
              </w:rPr>
              <w:t>20</w:t>
            </w:r>
            <w:r>
              <w:rPr>
                <w:rFonts w:hint="eastAsia"/>
                <w:szCs w:val="21"/>
              </w:rPr>
              <w:t>分</w:t>
            </w:r>
          </w:p>
        </w:tc>
        <w:tc>
          <w:tcPr>
            <w:tcW w:w="1595" w:type="dxa"/>
            <w:vMerge w:val="restart"/>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szCs w:val="21"/>
                <w:lang w:val="en-US" w:eastAsia="zh-CN"/>
              </w:rPr>
              <w:t>企业实力</w:t>
            </w:r>
          </w:p>
        </w:tc>
        <w:tc>
          <w:tcPr>
            <w:tcW w:w="6063" w:type="dxa"/>
            <w:tcMar>
              <w:top w:w="15" w:type="dxa"/>
              <w:left w:w="15" w:type="dxa"/>
              <w:bottom w:w="0" w:type="dxa"/>
              <w:right w:w="15" w:type="dxa"/>
            </w:tcMar>
            <w:vAlign w:val="top"/>
          </w:tcPr>
          <w:p>
            <w:pPr>
              <w:pStyle w:val="14"/>
              <w:rPr>
                <w:rFonts w:ascii="宋体" w:hAnsi="宋体"/>
                <w:b/>
                <w:szCs w:val="21"/>
              </w:rPr>
            </w:pPr>
            <w:r>
              <w:rPr>
                <w:rFonts w:hint="eastAsia"/>
              </w:rPr>
              <w:t>1.投标人提供：</w:t>
            </w:r>
            <w:r>
              <w:rPr>
                <w:rFonts w:hint="eastAsia" w:hAnsi="宋体" w:cs="宋体"/>
                <w:bCs/>
                <w:color w:val="auto"/>
                <w:kern w:val="0"/>
                <w:sz w:val="21"/>
                <w:szCs w:val="21"/>
              </w:rPr>
              <w:t>1）质量管理体系认证证书；</w:t>
            </w:r>
            <w:r>
              <w:rPr>
                <w:rFonts w:hAnsi="宋体" w:cs="宋体"/>
                <w:bCs/>
                <w:color w:val="auto"/>
                <w:kern w:val="0"/>
                <w:sz w:val="21"/>
                <w:szCs w:val="21"/>
              </w:rPr>
              <w:t>2</w:t>
            </w:r>
            <w:r>
              <w:rPr>
                <w:rFonts w:hint="eastAsia" w:hAnsi="宋体" w:cs="宋体"/>
                <w:bCs/>
                <w:color w:val="auto"/>
                <w:kern w:val="0"/>
                <w:sz w:val="21"/>
                <w:szCs w:val="21"/>
              </w:rPr>
              <w:t>）信息安全管理体系认证证书；3）信息技术服务管理体系认证证书；</w:t>
            </w:r>
            <w:r>
              <w:rPr>
                <w:rFonts w:hAnsi="宋体" w:cs="宋体"/>
                <w:bCs/>
                <w:color w:val="auto"/>
                <w:kern w:val="0"/>
                <w:sz w:val="21"/>
                <w:szCs w:val="21"/>
              </w:rPr>
              <w:t>4</w:t>
            </w:r>
            <w:r>
              <w:rPr>
                <w:rFonts w:hint="eastAsia" w:hAnsi="宋体" w:cs="宋体"/>
                <w:bCs/>
                <w:color w:val="auto"/>
                <w:kern w:val="0"/>
                <w:sz w:val="21"/>
                <w:szCs w:val="21"/>
              </w:rPr>
              <w:t>）职业健康安全管理体系认证证书；</w:t>
            </w:r>
            <w:r>
              <w:rPr>
                <w:rFonts w:hAnsi="宋体" w:cs="宋体"/>
                <w:bCs/>
                <w:color w:val="auto"/>
                <w:kern w:val="0"/>
                <w:sz w:val="21"/>
                <w:szCs w:val="21"/>
              </w:rPr>
              <w:t>5</w:t>
            </w:r>
            <w:r>
              <w:rPr>
                <w:rFonts w:hint="eastAsia" w:hAnsi="宋体" w:cs="宋体"/>
                <w:bCs/>
                <w:color w:val="auto"/>
                <w:kern w:val="0"/>
                <w:sz w:val="21"/>
                <w:szCs w:val="21"/>
              </w:rPr>
              <w:t>）</w:t>
            </w:r>
            <w:r>
              <w:rPr>
                <w:rFonts w:hAnsi="宋体" w:cs="宋体"/>
                <w:bCs/>
                <w:color w:val="auto"/>
                <w:kern w:val="0"/>
                <w:sz w:val="21"/>
                <w:szCs w:val="21"/>
              </w:rPr>
              <w:t>环境管理体系认证证书</w:t>
            </w:r>
            <w:r>
              <w:rPr>
                <w:rFonts w:hint="eastAsia" w:hAnsi="宋体" w:cs="宋体"/>
                <w:bCs/>
                <w:color w:val="auto"/>
                <w:kern w:val="0"/>
                <w:sz w:val="21"/>
                <w:szCs w:val="21"/>
              </w:rPr>
              <w:t>；</w:t>
            </w:r>
            <w:r>
              <w:rPr>
                <w:rFonts w:hAnsi="宋体" w:cs="宋体"/>
                <w:bCs/>
                <w:color w:val="auto"/>
                <w:kern w:val="0"/>
                <w:sz w:val="21"/>
                <w:szCs w:val="21"/>
              </w:rPr>
              <w:t xml:space="preserve"> </w:t>
            </w:r>
            <w:r>
              <w:rPr>
                <w:rFonts w:hint="eastAsia"/>
              </w:rPr>
              <w:t>每提供一项得1分，最高得</w:t>
            </w:r>
            <w:r>
              <w:rPr>
                <w:rFonts w:hint="eastAsia"/>
                <w:lang w:val="en-US" w:eastAsia="zh-CN"/>
              </w:rPr>
              <w:t>5</w:t>
            </w:r>
            <w:r>
              <w:rPr>
                <w:rFonts w:hint="eastAsia"/>
              </w:rPr>
              <w:t>分。以上证书必须在有效期且年检合格，证书须在全国认证认可信息公共服务平台官网（http://www.cnca.gov.cn)查询到的证书信息，</w:t>
            </w:r>
            <w:r>
              <w:rPr>
                <w:rFonts w:hint="eastAsia"/>
                <w:lang w:val="en-US" w:eastAsia="zh-CN"/>
              </w:rPr>
              <w:t>提供官网查询截图，</w:t>
            </w:r>
            <w:r>
              <w:rPr>
                <w:rFonts w:hint="eastAsia"/>
              </w:rPr>
              <w:t>否则不得分。</w:t>
            </w:r>
          </w:p>
        </w:tc>
        <w:tc>
          <w:tcPr>
            <w:tcW w:w="791" w:type="dxa"/>
            <w:vAlign w:val="center"/>
          </w:tcPr>
          <w:p>
            <w:pPr>
              <w:spacing w:line="240" w:lineRule="exact"/>
              <w:jc w:val="center"/>
              <w:rPr>
                <w:rFonts w:ascii="宋体" w:hAnsi="宋体"/>
                <w:sz w:val="24"/>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327" w:type="dxa"/>
            <w:vMerge w:val="continue"/>
            <w:vAlign w:val="center"/>
          </w:tcPr>
          <w:p>
            <w:pPr>
              <w:adjustRightInd w:val="0"/>
              <w:snapToGrid w:val="0"/>
              <w:jc w:val="center"/>
              <w:rPr>
                <w:rFonts w:ascii="宋体" w:hAnsi="宋体" w:cs="宋体"/>
                <w:b/>
                <w:color w:val="00000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6063" w:type="dxa"/>
            <w:tcMar>
              <w:top w:w="15" w:type="dxa"/>
              <w:left w:w="15" w:type="dxa"/>
              <w:bottom w:w="0" w:type="dxa"/>
              <w:right w:w="15" w:type="dxa"/>
            </w:tcMar>
            <w:vAlign w:val="top"/>
          </w:tcPr>
          <w:p>
            <w:pPr>
              <w:pStyle w:val="14"/>
              <w:rPr>
                <w:rFonts w:hAnsi="宋体" w:cs="宋体"/>
                <w:kern w:val="0"/>
                <w:szCs w:val="21"/>
              </w:rPr>
            </w:pPr>
            <w:r>
              <w:rPr>
                <w:rFonts w:hint="eastAsia"/>
              </w:rPr>
              <w:t>2.投标人具有有效的CMMI软件成熟度认证证书、ITSS信息技术服务运行维护标准符合性证书，每提供一个得</w:t>
            </w:r>
            <w:r>
              <w:rPr>
                <w:rFonts w:hint="eastAsia"/>
                <w:lang w:val="en-US" w:eastAsia="zh-CN"/>
              </w:rPr>
              <w:t>1</w:t>
            </w:r>
            <w:r>
              <w:rPr>
                <w:rFonts w:hint="eastAsia"/>
              </w:rPr>
              <w:t>分，满分得</w:t>
            </w:r>
            <w:r>
              <w:rPr>
                <w:rFonts w:hint="eastAsia"/>
                <w:lang w:val="en-US" w:eastAsia="zh-CN"/>
              </w:rPr>
              <w:t>2</w:t>
            </w:r>
            <w:r>
              <w:rPr>
                <w:rFonts w:hint="eastAsia"/>
              </w:rPr>
              <w:t>分。（提供上述证书复印件加盖公章，未提供不得分）。</w:t>
            </w:r>
          </w:p>
        </w:tc>
        <w:tc>
          <w:tcPr>
            <w:tcW w:w="791" w:type="dxa"/>
            <w:vAlign w:val="center"/>
          </w:tcPr>
          <w:p>
            <w:pPr>
              <w:spacing w:line="240" w:lineRule="exact"/>
              <w:jc w:val="center"/>
              <w:rPr>
                <w:rFonts w:hint="eastAsia" w:ascii="宋体" w:hAnsi="宋体" w:eastAsia="宋体"/>
                <w:szCs w:val="21"/>
                <w:lang w:eastAsia="zh-CN"/>
              </w:rPr>
            </w:pP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7" w:type="dxa"/>
            <w:vMerge w:val="continue"/>
            <w:vAlign w:val="center"/>
          </w:tcPr>
          <w:p>
            <w:pPr>
              <w:adjustRightInd w:val="0"/>
              <w:snapToGrid w:val="0"/>
              <w:jc w:val="center"/>
              <w:rPr>
                <w:rFonts w:ascii="宋体" w:hAnsi="宋体" w:cs="宋体"/>
                <w:b/>
                <w:color w:val="00000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6063" w:type="dxa"/>
            <w:tcMar>
              <w:top w:w="15" w:type="dxa"/>
              <w:left w:w="15" w:type="dxa"/>
              <w:bottom w:w="0" w:type="dxa"/>
              <w:right w:w="15" w:type="dxa"/>
            </w:tcMar>
            <w:vAlign w:val="top"/>
          </w:tcPr>
          <w:p>
            <w:pPr>
              <w:pStyle w:val="14"/>
              <w:rPr>
                <w:rFonts w:hAnsi="宋体" w:cs="宋体"/>
                <w:kern w:val="0"/>
                <w:szCs w:val="21"/>
              </w:rPr>
            </w:pPr>
            <w:r>
              <w:rPr>
                <w:rFonts w:hint="eastAsia"/>
                <w:lang w:val="en-US" w:eastAsia="zh-CN"/>
              </w:rPr>
              <w:t>3.投标人</w:t>
            </w:r>
            <w:r>
              <w:rPr>
                <w:rFonts w:hint="eastAsia"/>
              </w:rPr>
              <w:t xml:space="preserve">具有信息安全应急处理服务资质、信息安全信息系统安全运维服务资质、信息安全软件安全开发服务资质，每提供一项得 1 分，最高得 </w:t>
            </w:r>
            <w:r>
              <w:rPr>
                <w:rFonts w:hint="eastAsia"/>
                <w:lang w:val="en-US" w:eastAsia="zh-CN"/>
              </w:rPr>
              <w:t>3</w:t>
            </w:r>
            <w:r>
              <w:rPr>
                <w:rFonts w:hint="eastAsia"/>
              </w:rPr>
              <w:t>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7" w:type="dxa"/>
            <w:vMerge w:val="continue"/>
            <w:vAlign w:val="center"/>
          </w:tcPr>
          <w:p>
            <w:pPr>
              <w:adjustRightInd w:val="0"/>
              <w:snapToGrid w:val="0"/>
              <w:jc w:val="center"/>
              <w:rPr>
                <w:rFonts w:hint="eastAsia" w:ascii="宋体" w:hAnsi="宋体" w:eastAsia="宋体" w:cs="宋体"/>
                <w:b/>
                <w:color w:val="000000"/>
                <w:szCs w:val="21"/>
                <w:lang w:val="en-US" w:eastAsia="zh-CN"/>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vMerge w:val="continue"/>
            <w:tcMar>
              <w:top w:w="15" w:type="dxa"/>
              <w:left w:w="15" w:type="dxa"/>
              <w:bottom w:w="0" w:type="dxa"/>
              <w:right w:w="15" w:type="dxa"/>
            </w:tcMar>
            <w:vAlign w:val="center"/>
          </w:tcPr>
          <w:p>
            <w:pPr>
              <w:spacing w:line="240" w:lineRule="exact"/>
              <w:jc w:val="center"/>
              <w:rPr>
                <w:rFonts w:hint="eastAsia" w:ascii="宋体" w:hAnsi="宋体" w:eastAsia="宋体" w:cs="宋体"/>
                <w:lang w:val="en-US" w:eastAsia="zh-CN"/>
              </w:rPr>
            </w:pPr>
          </w:p>
        </w:tc>
        <w:tc>
          <w:tcPr>
            <w:tcW w:w="6063" w:type="dxa"/>
            <w:tcMar>
              <w:top w:w="15" w:type="dxa"/>
              <w:left w:w="15" w:type="dxa"/>
              <w:bottom w:w="0" w:type="dxa"/>
              <w:right w:w="15" w:type="dxa"/>
            </w:tcMar>
            <w:vAlign w:val="top"/>
          </w:tcPr>
          <w:p>
            <w:pPr>
              <w:pStyle w:val="14"/>
              <w:rPr>
                <w:rFonts w:hint="eastAsia"/>
              </w:rPr>
            </w:pPr>
            <w:r>
              <w:rPr>
                <w:rFonts w:hint="eastAsia" w:eastAsia="宋体"/>
                <w:lang w:val="en-US" w:eastAsia="zh-CN"/>
              </w:rPr>
              <w:t>4.投标人具有：1）实验室信息管理系统类软件著作权；2）客户资源管理系统类软件著作权；3）实验室检验项目库类软件著作权；4）报表编辑系统类软件著作权；5）实验室电子原始记录类软件著作权。投标人原始取得全部权利，每提供一个证书得1分，最高得5分，须提供复印件并加盖公章，否则不得分：</w:t>
            </w:r>
          </w:p>
        </w:tc>
        <w:tc>
          <w:tcPr>
            <w:tcW w:w="791" w:type="dxa"/>
            <w:vAlign w:val="center"/>
          </w:tcPr>
          <w:p>
            <w:pPr>
              <w:spacing w:line="240" w:lineRule="exact"/>
              <w:jc w:val="center"/>
              <w:rPr>
                <w:rFonts w:hint="eastAsia" w:ascii="宋体" w:hAnsi="宋体" w:eastAsia="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3</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cs="宋体"/>
                <w:lang w:val="en-US" w:eastAsia="zh-CN"/>
              </w:rPr>
              <w:t>业绩</w:t>
            </w:r>
          </w:p>
        </w:tc>
        <w:tc>
          <w:tcPr>
            <w:tcW w:w="6063" w:type="dxa"/>
            <w:tcMar>
              <w:top w:w="15" w:type="dxa"/>
              <w:left w:w="15" w:type="dxa"/>
              <w:bottom w:w="0" w:type="dxa"/>
              <w:right w:w="15" w:type="dxa"/>
            </w:tcMar>
            <w:vAlign w:val="top"/>
          </w:tcPr>
          <w:p>
            <w:pPr>
              <w:pStyle w:val="14"/>
            </w:pPr>
            <w:r>
              <w:rPr>
                <w:rFonts w:hint="eastAsia" w:ascii="宋体" w:hAnsi="宋体"/>
                <w:bCs/>
                <w:sz w:val="21"/>
                <w:szCs w:val="21"/>
              </w:rPr>
              <w:t>投</w:t>
            </w:r>
            <w:r>
              <w:rPr>
                <w:rFonts w:hint="eastAsia"/>
              </w:rPr>
              <w:t>标人所投产品品牌近三年以来，具有类似业绩，提供一</w:t>
            </w:r>
            <w:r>
              <w:rPr>
                <w:rFonts w:hint="eastAsia"/>
                <w:lang w:val="en-US" w:eastAsia="zh-CN"/>
              </w:rPr>
              <w:t>项服务</w:t>
            </w:r>
            <w:r>
              <w:rPr>
                <w:rFonts w:hint="eastAsia"/>
              </w:rPr>
              <w:t>合同得</w:t>
            </w:r>
            <w:r>
              <w:rPr>
                <w:rFonts w:hint="eastAsia"/>
                <w:lang w:val="en-US" w:eastAsia="zh-CN"/>
              </w:rPr>
              <w:t>1</w:t>
            </w:r>
            <w:r>
              <w:rPr>
                <w:rFonts w:hint="eastAsia"/>
              </w:rPr>
              <w:t>分，最</w:t>
            </w:r>
            <w:r>
              <w:rPr>
                <w:rFonts w:hint="eastAsia"/>
                <w:lang w:val="en-US" w:eastAsia="zh-CN"/>
              </w:rPr>
              <w:t>高</w:t>
            </w:r>
            <w:r>
              <w:rPr>
                <w:rFonts w:hint="eastAsia"/>
              </w:rPr>
              <w:t>得</w:t>
            </w:r>
            <w:r>
              <w:rPr>
                <w:rFonts w:hint="eastAsia"/>
                <w:lang w:val="en-US" w:eastAsia="zh-CN"/>
              </w:rPr>
              <w:t>2</w:t>
            </w:r>
            <w:r>
              <w:rPr>
                <w:rFonts w:hint="eastAsia"/>
              </w:rPr>
              <w:t>分；没有不得分（</w:t>
            </w:r>
            <w:r>
              <w:rPr>
                <w:rFonts w:hint="eastAsia"/>
                <w:lang w:val="en-US" w:eastAsia="zh-CN"/>
              </w:rPr>
              <w:t>投标文件中须提供合同的扫描件应能辨识买卖双方公章、签订时间、金额、并加盖投标人公章，否则，不得分。</w:t>
            </w:r>
            <w:r>
              <w:rPr>
                <w:rFonts w:hint="eastAsia"/>
              </w:rPr>
              <w:t>）</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4</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投标文件制作</w:t>
            </w:r>
          </w:p>
        </w:tc>
        <w:tc>
          <w:tcPr>
            <w:tcW w:w="6063" w:type="dxa"/>
            <w:tcMar>
              <w:top w:w="15" w:type="dxa"/>
              <w:left w:w="15" w:type="dxa"/>
              <w:bottom w:w="0" w:type="dxa"/>
              <w:right w:w="15" w:type="dxa"/>
            </w:tcMar>
            <w:vAlign w:val="top"/>
          </w:tcPr>
          <w:p>
            <w:pPr>
              <w:pStyle w:val="14"/>
              <w:rPr>
                <w:rFonts w:ascii="宋体" w:hAnsi="宋体"/>
                <w:bCs/>
                <w:szCs w:val="21"/>
              </w:rPr>
            </w:pPr>
            <w:r>
              <w:rPr>
                <w:rFonts w:hint="eastAsia" w:ascii="宋体" w:hAnsi="宋体"/>
                <w:szCs w:val="21"/>
              </w:rPr>
              <w:t>投标文件制作规范，投标附件资料齐全、详实、充分，文件按要求有页码装胶；目录对应页码正确、编码清晰，排版整齐 居中、资料复印胶装整齐及索引直观准确字迹清晰、优秀得3分；良好得2分；一般得1分。（最高3分）。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6</w:t>
            </w:r>
          </w:p>
        </w:tc>
        <w:tc>
          <w:tcPr>
            <w:tcW w:w="1078" w:type="dxa"/>
            <w:vMerge w:val="restart"/>
            <w:tcMar>
              <w:top w:w="15" w:type="dxa"/>
              <w:left w:w="15" w:type="dxa"/>
              <w:bottom w:w="0" w:type="dxa"/>
              <w:right w:w="15" w:type="dxa"/>
            </w:tcMar>
            <w:vAlign w:val="center"/>
          </w:tcPr>
          <w:p>
            <w:pPr>
              <w:autoSpaceDE w:val="0"/>
              <w:autoSpaceDN w:val="0"/>
              <w:adjustRightInd w:val="0"/>
              <w:snapToGrid w:val="0"/>
              <w:spacing w:line="240" w:lineRule="exact"/>
              <w:rPr>
                <w:rFonts w:ascii="宋体" w:hAnsi="宋体"/>
                <w:szCs w:val="21"/>
              </w:rPr>
            </w:pPr>
            <w:r>
              <w:rPr>
                <w:rFonts w:hint="eastAsia"/>
              </w:rPr>
              <w:t>技术</w:t>
            </w:r>
            <w:r>
              <w:rPr>
                <w:rFonts w:hint="eastAsia"/>
                <w:lang w:val="en-US" w:eastAsia="zh-CN"/>
              </w:rPr>
              <w:t>50</w:t>
            </w:r>
            <w:r>
              <w:rPr>
                <w:rFonts w:hint="eastAsia" w:ascii="宋体" w:hAnsi="宋体"/>
                <w:szCs w:val="21"/>
              </w:rPr>
              <w:t>分</w:t>
            </w: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cs="宋体"/>
              </w:rPr>
              <w:t>技术参数</w:t>
            </w:r>
          </w:p>
        </w:tc>
        <w:tc>
          <w:tcPr>
            <w:tcW w:w="6063" w:type="dxa"/>
            <w:tcMar>
              <w:top w:w="15" w:type="dxa"/>
              <w:left w:w="15" w:type="dxa"/>
              <w:bottom w:w="0" w:type="dxa"/>
              <w:right w:w="15" w:type="dxa"/>
            </w:tcMar>
            <w:vAlign w:val="top"/>
          </w:tcPr>
          <w:p>
            <w:pPr>
              <w:jc w:val="left"/>
              <w:rPr>
                <w:rFonts w:ascii="宋体" w:hAnsi="宋体"/>
                <w:b/>
                <w:szCs w:val="21"/>
              </w:rPr>
            </w:pPr>
            <w:r>
              <w:t>投标人对招标文件中参数要求、</w:t>
            </w:r>
            <w:r>
              <w:rPr>
                <w:rFonts w:hint="eastAsia"/>
              </w:rPr>
              <w:t>技术</w:t>
            </w:r>
            <w:r>
              <w:t>指标的响应程度，即投标文件包括并满足了招标文件所要求的各项技术指标得满分</w:t>
            </w:r>
            <w:r>
              <w:rPr>
                <w:rFonts w:hint="eastAsia"/>
              </w:rPr>
              <w:t>30分</w:t>
            </w:r>
            <w:r>
              <w:t>，</w:t>
            </w:r>
            <w:r>
              <w:rPr>
                <w:rFonts w:hint="eastAsia"/>
              </w:rPr>
              <w:t>其中</w:t>
            </w:r>
            <w:r>
              <w:t>带“</w:t>
            </w:r>
            <w:r>
              <w:rPr>
                <w:rFonts w:hint="eastAsia" w:ascii="宋体" w:hAnsi="宋体" w:cs="宋体"/>
                <w:sz w:val="18"/>
                <w:szCs w:val="18"/>
              </w:rPr>
              <w:t>★</w:t>
            </w:r>
            <w:r>
              <w:t>”的关键技术参数每有一项负偏离的扣</w:t>
            </w:r>
            <w:r>
              <w:rPr>
                <w:rFonts w:hint="eastAsia"/>
              </w:rPr>
              <w:t>2</w:t>
            </w:r>
            <w:r>
              <w:t>分</w:t>
            </w:r>
            <w:r>
              <w:rPr>
                <w:rFonts w:hint="eastAsia"/>
              </w:rPr>
              <w:t>，一般参数每有一项负偏离的扣0.5分，直至扣完。</w:t>
            </w:r>
            <w:r>
              <w:t>（</w:t>
            </w:r>
            <w:r>
              <w:rPr>
                <w:rFonts w:hint="eastAsia"/>
              </w:rPr>
              <w:t>需提供</w:t>
            </w:r>
            <w:r>
              <w:t>产品说明书、检验报告</w:t>
            </w:r>
            <w:r>
              <w:rPr>
                <w:rFonts w:hint="eastAsia"/>
              </w:rPr>
              <w:t>等</w:t>
            </w:r>
            <w:r>
              <w:t>相关的支持资料或证明文件）</w:t>
            </w:r>
          </w:p>
        </w:tc>
        <w:tc>
          <w:tcPr>
            <w:tcW w:w="791" w:type="dxa"/>
            <w:vAlign w:val="center"/>
          </w:tcPr>
          <w:p>
            <w:pPr>
              <w:spacing w:line="240" w:lineRule="exac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7</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技术组织实施方案</w:t>
            </w:r>
          </w:p>
        </w:tc>
        <w:tc>
          <w:tcPr>
            <w:tcW w:w="6063" w:type="dxa"/>
            <w:tcMar>
              <w:top w:w="15" w:type="dxa"/>
              <w:left w:w="15" w:type="dxa"/>
              <w:bottom w:w="0" w:type="dxa"/>
              <w:right w:w="15" w:type="dxa"/>
            </w:tcMar>
            <w:vAlign w:val="top"/>
          </w:tcPr>
          <w:p>
            <w:pPr>
              <w:jc w:val="left"/>
            </w:pPr>
            <w:r>
              <w:rPr>
                <w:rFonts w:hint="eastAsia"/>
              </w:rPr>
              <w:t>根据投标人</w:t>
            </w:r>
            <w:r>
              <w:rPr>
                <w:rFonts w:hint="eastAsia"/>
                <w:lang w:eastAsia="zh-CN"/>
              </w:rPr>
              <w:t>技术组织实施方案（包括保证交付期的工作计划组织措施、检测验收措施</w:t>
            </w:r>
            <w:r>
              <w:rPr>
                <w:rFonts w:hint="eastAsia"/>
                <w:lang w:val="en-US" w:eastAsia="zh-CN"/>
              </w:rPr>
              <w:t>等</w:t>
            </w:r>
            <w:r>
              <w:rPr>
                <w:rFonts w:hint="eastAsia"/>
                <w:lang w:eastAsia="zh-CN"/>
              </w:rPr>
              <w:t>）</w:t>
            </w:r>
            <w:r>
              <w:rPr>
                <w:rFonts w:hint="eastAsia"/>
              </w:rPr>
              <w:t>进行对比评价分三档，从方案完整性、可操作性、时效性方面综合考量。（满分</w:t>
            </w:r>
            <w:r>
              <w:rPr>
                <w:rFonts w:hint="eastAsia"/>
                <w:lang w:val="en-US" w:eastAsia="zh-CN"/>
              </w:rPr>
              <w:t>5</w:t>
            </w:r>
            <w:r>
              <w:rPr>
                <w:rFonts w:hint="eastAsia"/>
              </w:rPr>
              <w:t>分）一档：方案优（方案完整性好、可操作性强、时效性佳）得</w:t>
            </w:r>
            <w:r>
              <w:rPr>
                <w:rFonts w:hint="eastAsia"/>
                <w:lang w:val="en-US" w:eastAsia="zh-CN"/>
              </w:rPr>
              <w:t>5</w:t>
            </w:r>
            <w:r>
              <w:rPr>
                <w:rFonts w:hint="eastAsia"/>
              </w:rPr>
              <w:t>分；二档：方案良好（无缺项，但从完整性、可操作性、时效性方面考量尚有不足者为良好方案）得</w:t>
            </w:r>
            <w:r>
              <w:rPr>
                <w:rFonts w:hint="eastAsia"/>
                <w:lang w:val="en-US" w:eastAsia="zh-CN"/>
              </w:rPr>
              <w:t>3</w:t>
            </w:r>
            <w:r>
              <w:rPr>
                <w:rFonts w:hint="eastAsia"/>
              </w:rPr>
              <w:t>分：；三档：方案一般（有缺项者为一般方案）得1分。</w:t>
            </w:r>
          </w:p>
        </w:tc>
        <w:tc>
          <w:tcPr>
            <w:tcW w:w="791" w:type="dxa"/>
            <w:vAlign w:val="center"/>
          </w:tcPr>
          <w:p>
            <w:pPr>
              <w:spacing w:line="240" w:lineRule="exact"/>
              <w:jc w:val="center"/>
              <w:rPr>
                <w:rFonts w:hint="eastAsia" w:ascii="宋体" w:hAnsi="宋体" w:eastAsia="宋体"/>
                <w:sz w:val="24"/>
                <w:lang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eastAsia="zh-CN"/>
              </w:rPr>
            </w:pPr>
            <w:r>
              <w:rPr>
                <w:rFonts w:hint="eastAsia" w:ascii="宋体" w:hAnsi="宋体" w:cs="宋体"/>
                <w:b/>
                <w:color w:val="000000"/>
                <w:kern w:val="0"/>
                <w:szCs w:val="21"/>
                <w:lang w:val="en-US" w:eastAsia="zh-CN"/>
              </w:rPr>
              <w:t>8</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人员配备</w:t>
            </w:r>
          </w:p>
        </w:tc>
        <w:tc>
          <w:tcPr>
            <w:tcW w:w="6063" w:type="dxa"/>
            <w:tcMar>
              <w:top w:w="15" w:type="dxa"/>
              <w:left w:w="15" w:type="dxa"/>
              <w:bottom w:w="0" w:type="dxa"/>
              <w:right w:w="15" w:type="dxa"/>
            </w:tcMar>
            <w:vAlign w:val="top"/>
          </w:tcPr>
          <w:p>
            <w:pPr>
              <w:numPr>
                <w:ilvl w:val="0"/>
                <w:numId w:val="6"/>
              </w:numPr>
              <w:jc w:val="left"/>
              <w:rPr>
                <w:rFonts w:hint="eastAsia"/>
              </w:rPr>
            </w:pPr>
            <w:r>
              <w:rPr>
                <w:rFonts w:hint="eastAsia"/>
              </w:rPr>
              <w:t>投标人项目经理</w:t>
            </w:r>
            <w:r>
              <w:rPr>
                <w:rFonts w:hint="eastAsia"/>
                <w:lang w:val="en-US" w:eastAsia="zh-CN"/>
              </w:rPr>
              <w:t>具有</w:t>
            </w:r>
            <w:r>
              <w:rPr>
                <w:rFonts w:hint="eastAsia"/>
              </w:rPr>
              <w:t>信息系统项目管理师证书得2分；</w:t>
            </w:r>
          </w:p>
          <w:p>
            <w:pPr>
              <w:numPr>
                <w:ilvl w:val="0"/>
                <w:numId w:val="6"/>
              </w:numPr>
              <w:jc w:val="left"/>
              <w:rPr>
                <w:rFonts w:hint="eastAsia"/>
              </w:rPr>
            </w:pPr>
            <w:r>
              <w:rPr>
                <w:rFonts w:hint="eastAsia"/>
              </w:rPr>
              <w:t>项目成员</w:t>
            </w:r>
            <w:r>
              <w:rPr>
                <w:rFonts w:hint="eastAsia"/>
                <w:lang w:val="en-US" w:eastAsia="zh-CN"/>
              </w:rPr>
              <w:t>具有</w:t>
            </w:r>
            <w:r>
              <w:rPr>
                <w:rFonts w:hint="eastAsia"/>
              </w:rPr>
              <w:t>软件设计师证书</w:t>
            </w:r>
            <w:r>
              <w:rPr>
                <w:rFonts w:hint="eastAsia"/>
                <w:lang w:eastAsia="zh-CN"/>
              </w:rPr>
              <w:t>、</w:t>
            </w:r>
            <w:r>
              <w:rPr>
                <w:rFonts w:hint="eastAsia"/>
              </w:rPr>
              <w:t>数据库认证(OCP或DBA)工程师证书，网络通信安全管理员证书，提供1个得1分，最高</w:t>
            </w:r>
            <w:r>
              <w:rPr>
                <w:rFonts w:hint="eastAsia"/>
                <w:lang w:val="en-US" w:eastAsia="zh-CN"/>
              </w:rPr>
              <w:t>3</w:t>
            </w:r>
            <w:r>
              <w:rPr>
                <w:rFonts w:hint="eastAsia"/>
              </w:rPr>
              <w:t>分。</w:t>
            </w:r>
          </w:p>
          <w:p>
            <w:pPr>
              <w:jc w:val="left"/>
            </w:pPr>
            <w:r>
              <w:rPr>
                <w:rFonts w:hint="eastAsia"/>
              </w:rPr>
              <w:t>以上需提供证书复印件并加盖</w:t>
            </w:r>
            <w:r>
              <w:rPr>
                <w:rFonts w:hint="eastAsia"/>
                <w:lang w:val="en-US" w:eastAsia="zh-CN"/>
              </w:rPr>
              <w:t>投标人单位</w:t>
            </w:r>
            <w:r>
              <w:rPr>
                <w:rFonts w:hint="eastAsia"/>
              </w:rPr>
              <w:t>公章，并提供社保证明，无证明材料不得分。</w:t>
            </w:r>
          </w:p>
        </w:tc>
        <w:tc>
          <w:tcPr>
            <w:tcW w:w="791" w:type="dxa"/>
            <w:vAlign w:val="center"/>
          </w:tcPr>
          <w:p>
            <w:pPr>
              <w:spacing w:line="240" w:lineRule="exact"/>
              <w:jc w:val="center"/>
              <w:rPr>
                <w:rFonts w:ascii="宋体" w:hAnsi="宋体"/>
                <w:sz w:val="24"/>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eastAsia="zh-CN"/>
              </w:rPr>
            </w:pPr>
            <w:r>
              <w:rPr>
                <w:rFonts w:hint="eastAsia" w:ascii="宋体" w:hAnsi="宋体" w:cs="宋体"/>
                <w:b/>
                <w:color w:val="000000"/>
                <w:kern w:val="0"/>
                <w:szCs w:val="21"/>
                <w:lang w:val="en-US" w:eastAsia="zh-CN"/>
              </w:rPr>
              <w:t>9</w:t>
            </w:r>
          </w:p>
        </w:tc>
        <w:tc>
          <w:tcPr>
            <w:tcW w:w="1078" w:type="dxa"/>
            <w:vMerge w:val="continue"/>
            <w:tcMar>
              <w:top w:w="15" w:type="dxa"/>
              <w:left w:w="15" w:type="dxa"/>
              <w:bottom w:w="0" w:type="dxa"/>
              <w:right w:w="15" w:type="dxa"/>
            </w:tcMar>
            <w:vAlign w:val="center"/>
          </w:tcPr>
          <w:p>
            <w:pPr>
              <w:spacing w:line="240" w:lineRule="exact"/>
              <w:jc w:val="cente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培训方案</w:t>
            </w:r>
          </w:p>
        </w:tc>
        <w:tc>
          <w:tcPr>
            <w:tcW w:w="6063" w:type="dxa"/>
            <w:tcMar>
              <w:top w:w="15" w:type="dxa"/>
              <w:left w:w="15" w:type="dxa"/>
              <w:bottom w:w="0" w:type="dxa"/>
              <w:right w:w="15" w:type="dxa"/>
            </w:tcMar>
            <w:vAlign w:val="top"/>
          </w:tcPr>
          <w:p>
            <w:pPr>
              <w:jc w:val="left"/>
            </w:pPr>
            <w:r>
              <w:rPr>
                <w:rFonts w:hint="eastAsia"/>
              </w:rPr>
              <w:t>投标人</w:t>
            </w:r>
            <w:r>
              <w:t>提供详细的培训方案，且培训方案完整，培训计划合理</w:t>
            </w:r>
            <w:r>
              <w:rPr>
                <w:rFonts w:hint="eastAsia"/>
              </w:rPr>
              <w:t>、</w:t>
            </w:r>
            <w:r>
              <w:t>内容充实，保证使用单位工作人员能熟练操作、正常维护的，得 5 分；培训方案基本完整、可实施性和专业性稍差但尚能满足项目需求的，得 3 分；培训方案不完整 、或内容不够充实、专业性和科学性较差不能满足项目需求的得 1 分。（满分 5 分）</w:t>
            </w:r>
          </w:p>
        </w:tc>
        <w:tc>
          <w:tcPr>
            <w:tcW w:w="791" w:type="dxa"/>
            <w:vAlign w:val="center"/>
          </w:tcPr>
          <w:p>
            <w:pPr>
              <w:spacing w:line="240" w:lineRule="exact"/>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5" w:hRule="atLeast"/>
          <w:jc w:val="center"/>
        </w:trPr>
        <w:tc>
          <w:tcPr>
            <w:tcW w:w="327" w:type="dxa"/>
            <w:vMerge w:val="restart"/>
            <w:vAlign w:val="center"/>
          </w:tcPr>
          <w:p>
            <w:pPr>
              <w:adjustRightInd w:val="0"/>
              <w:snapToGrid w:val="0"/>
              <w:jc w:val="center"/>
              <w:rPr>
                <w:rFonts w:hint="default" w:ascii="宋体" w:hAnsi="宋体" w:eastAsia="宋体" w:cs="宋体"/>
                <w:b/>
                <w:color w:val="000000"/>
                <w:kern w:val="0"/>
                <w:szCs w:val="21"/>
                <w:lang w:val="en-US" w:eastAsia="zh-CN"/>
              </w:rPr>
            </w:pPr>
            <w:r>
              <w:rPr>
                <w:rFonts w:hint="eastAsia" w:ascii="宋体" w:hAnsi="宋体" w:cs="宋体"/>
                <w:b/>
                <w:color w:val="000000"/>
                <w:kern w:val="0"/>
                <w:szCs w:val="21"/>
                <w:lang w:val="en-US" w:eastAsia="zh-CN"/>
              </w:rPr>
              <w:t>10</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restart"/>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售后服务</w:t>
            </w:r>
          </w:p>
        </w:tc>
        <w:tc>
          <w:tcPr>
            <w:tcW w:w="6063" w:type="dxa"/>
            <w:tcMar>
              <w:top w:w="15" w:type="dxa"/>
              <w:left w:w="15" w:type="dxa"/>
              <w:bottom w:w="0" w:type="dxa"/>
              <w:right w:w="15" w:type="dxa"/>
            </w:tcMar>
            <w:vAlign w:val="top"/>
          </w:tcPr>
          <w:p>
            <w:pPr>
              <w:jc w:val="left"/>
            </w:pPr>
            <w:r>
              <w:rPr>
                <w:rFonts w:hint="eastAsia" w:ascii="宋体" w:hAnsi="宋体"/>
                <w:bCs/>
                <w:szCs w:val="21"/>
              </w:rPr>
              <w:t>1.投标人有明确售后服务体系，在本地设有技术支持机构并提供相关证明材料的得2分，在疆内设有技术服务机构并提供相关证明材料的得1分。（需提供房产租赁合同或房产证等证明材料，无此项得0分）。</w:t>
            </w:r>
          </w:p>
        </w:tc>
        <w:tc>
          <w:tcPr>
            <w:tcW w:w="791" w:type="dxa"/>
            <w:vAlign w:val="center"/>
          </w:tcPr>
          <w:p>
            <w:pPr>
              <w:spacing w:line="240" w:lineRule="exact"/>
              <w:jc w:val="center"/>
              <w:rPr>
                <w:rFonts w:ascii="宋体" w:hAnsi="宋体"/>
                <w:sz w:val="24"/>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327" w:type="dxa"/>
            <w:vMerge w:val="continue"/>
            <w:vAlign w:val="center"/>
          </w:tcPr>
          <w:p>
            <w:pPr>
              <w:adjustRightInd w:val="0"/>
              <w:snapToGrid w:val="0"/>
              <w:jc w:val="center"/>
              <w:rPr>
                <w:rFonts w:ascii="宋体" w:hAnsi="宋体" w:cs="宋体"/>
                <w:b/>
                <w:color w:val="000000"/>
                <w:kern w:val="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6063" w:type="dxa"/>
            <w:tcMar>
              <w:top w:w="15" w:type="dxa"/>
              <w:left w:w="15" w:type="dxa"/>
              <w:bottom w:w="0" w:type="dxa"/>
              <w:right w:w="15" w:type="dxa"/>
            </w:tcMar>
            <w:vAlign w:val="top"/>
          </w:tcPr>
          <w:p>
            <w:pPr>
              <w:jc w:val="left"/>
              <w:rPr>
                <w:rFonts w:ascii="宋体" w:hAnsi="宋体"/>
                <w:bCs/>
                <w:szCs w:val="21"/>
              </w:rPr>
            </w:pPr>
            <w:r>
              <w:rPr>
                <w:rFonts w:hint="eastAsia" w:ascii="宋体" w:hAnsi="宋体"/>
                <w:bCs/>
                <w:szCs w:val="21"/>
              </w:rPr>
              <w:t>2.售后服务的内容、响应时间、服务范围、应急处理方案等因素打分，</w:t>
            </w:r>
            <w:r>
              <w:rPr>
                <w:rFonts w:hint="eastAsia" w:ascii="宋体" w:hAnsi="宋体"/>
                <w:szCs w:val="21"/>
              </w:rPr>
              <w:t>优</w:t>
            </w:r>
            <w:r>
              <w:rPr>
                <w:rFonts w:hint="eastAsia" w:ascii="宋体" w:hAnsi="宋体"/>
                <w:szCs w:val="21"/>
                <w:lang w:val="en-US" w:eastAsia="zh-CN"/>
              </w:rPr>
              <w:t>3</w:t>
            </w:r>
            <w:r>
              <w:rPr>
                <w:rFonts w:hint="eastAsia" w:ascii="宋体" w:hAnsi="宋体"/>
                <w:szCs w:val="21"/>
              </w:rPr>
              <w:t>分；良好</w:t>
            </w:r>
            <w:r>
              <w:rPr>
                <w:rFonts w:hint="eastAsia" w:ascii="宋体" w:hAnsi="宋体"/>
                <w:szCs w:val="21"/>
                <w:lang w:val="en-US" w:eastAsia="zh-CN"/>
              </w:rPr>
              <w:t>2</w:t>
            </w:r>
            <w:r>
              <w:rPr>
                <w:rFonts w:hint="eastAsia" w:ascii="宋体" w:hAnsi="宋体"/>
                <w:szCs w:val="21"/>
              </w:rPr>
              <w:t>分；一般1分。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3</w:t>
            </w:r>
          </w:p>
        </w:tc>
      </w:tr>
    </w:tbl>
    <w:p>
      <w:pPr>
        <w:pStyle w:val="14"/>
      </w:pPr>
    </w:p>
    <w:bookmarkEnd w:id="108"/>
    <w:p>
      <w:pPr>
        <w:tabs>
          <w:tab w:val="left" w:pos="900"/>
        </w:tabs>
        <w:jc w:val="center"/>
        <w:rPr>
          <w:rFonts w:hint="eastAsia" w:ascii="宋体" w:hAnsi="宋体" w:eastAsia="宋体"/>
          <w:b/>
          <w:sz w:val="28"/>
          <w:szCs w:val="28"/>
          <w:lang w:eastAsia="zh-CN"/>
        </w:rPr>
      </w:pPr>
      <w:r>
        <w:rPr>
          <w:rFonts w:hint="eastAsia" w:ascii="宋体" w:hAnsi="宋体"/>
          <w:b/>
          <w:sz w:val="28"/>
          <w:szCs w:val="28"/>
        </w:rPr>
        <w:t>详细评分标准表</w:t>
      </w:r>
      <w:r>
        <w:rPr>
          <w:rFonts w:hint="eastAsia" w:ascii="宋体" w:hAnsi="宋体"/>
          <w:b/>
          <w:sz w:val="28"/>
          <w:szCs w:val="28"/>
          <w:lang w:eastAsia="zh-CN"/>
        </w:rPr>
        <w:t>（</w:t>
      </w:r>
      <w:r>
        <w:rPr>
          <w:rFonts w:hint="eastAsia" w:ascii="宋体" w:hAnsi="宋体"/>
          <w:b/>
          <w:sz w:val="28"/>
          <w:szCs w:val="28"/>
          <w:lang w:val="en-US" w:eastAsia="zh-CN"/>
        </w:rPr>
        <w:t>二包</w:t>
      </w:r>
      <w:r>
        <w:rPr>
          <w:rFonts w:hint="eastAsia" w:ascii="宋体" w:hAnsi="宋体"/>
          <w:b/>
          <w:sz w:val="28"/>
          <w:szCs w:val="28"/>
          <w:lang w:eastAsia="zh-CN"/>
        </w:rPr>
        <w:t>）</w:t>
      </w:r>
    </w:p>
    <w:tbl>
      <w:tblPr>
        <w:tblStyle w:val="3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
        <w:gridCol w:w="1078"/>
        <w:gridCol w:w="1595"/>
        <w:gridCol w:w="6063"/>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327" w:type="dxa"/>
            <w:vAlign w:val="center"/>
          </w:tcPr>
          <w:p>
            <w:pPr>
              <w:jc w:val="center"/>
              <w:rPr>
                <w:rFonts w:ascii="宋体" w:hAnsi="宋体"/>
                <w:b/>
                <w:sz w:val="24"/>
              </w:rPr>
            </w:pPr>
            <w:r>
              <w:rPr>
                <w:rFonts w:hint="eastAsia" w:ascii="宋体" w:hAnsi="宋体"/>
                <w:b/>
                <w:sz w:val="24"/>
              </w:rPr>
              <w:t>序号</w:t>
            </w:r>
          </w:p>
        </w:tc>
        <w:tc>
          <w:tcPr>
            <w:tcW w:w="1078"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类别</w:t>
            </w:r>
          </w:p>
        </w:tc>
        <w:tc>
          <w:tcPr>
            <w:tcW w:w="1595"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评审因素</w:t>
            </w:r>
          </w:p>
        </w:tc>
        <w:tc>
          <w:tcPr>
            <w:tcW w:w="6063"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评分细则</w:t>
            </w:r>
          </w:p>
        </w:tc>
        <w:tc>
          <w:tcPr>
            <w:tcW w:w="791" w:type="dxa"/>
            <w:vAlign w:val="center"/>
          </w:tcPr>
          <w:p>
            <w:pPr>
              <w:jc w:val="center"/>
              <w:rPr>
                <w:rFonts w:ascii="宋体" w:hAnsi="宋体"/>
                <w:b/>
                <w:sz w:val="24"/>
              </w:rPr>
            </w:pPr>
            <w:r>
              <w:rPr>
                <w:rFonts w:hint="eastAsia" w:ascii="宋体" w:hAnsi="宋体"/>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27" w:type="dxa"/>
            <w:vAlign w:val="center"/>
          </w:tcPr>
          <w:p>
            <w:pPr>
              <w:adjustRightInd w:val="0"/>
              <w:snapToGrid w:val="0"/>
              <w:jc w:val="center"/>
              <w:rPr>
                <w:rFonts w:ascii="宋体" w:hAnsi="宋体"/>
                <w:sz w:val="24"/>
              </w:rPr>
            </w:pPr>
            <w:r>
              <w:rPr>
                <w:rFonts w:hint="eastAsia" w:ascii="宋体" w:hAnsi="宋体"/>
                <w:sz w:val="24"/>
              </w:rPr>
              <w:t>1</w:t>
            </w:r>
          </w:p>
        </w:tc>
        <w:tc>
          <w:tcPr>
            <w:tcW w:w="1078" w:type="dxa"/>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szCs w:val="21"/>
              </w:rPr>
            </w:pPr>
            <w:r>
              <w:rPr>
                <w:rFonts w:hint="eastAsia"/>
                <w:szCs w:val="21"/>
              </w:rPr>
              <w:t>价格</w:t>
            </w:r>
          </w:p>
          <w:p>
            <w:pPr>
              <w:tabs>
                <w:tab w:val="left" w:pos="540"/>
              </w:tabs>
              <w:autoSpaceDE w:val="0"/>
              <w:autoSpaceDN w:val="0"/>
              <w:adjustRightInd w:val="0"/>
              <w:snapToGrid w:val="0"/>
              <w:spacing w:line="240" w:lineRule="exact"/>
              <w:jc w:val="center"/>
              <w:rPr>
                <w:szCs w:val="21"/>
              </w:rPr>
            </w:pPr>
            <w:r>
              <w:rPr>
                <w:rFonts w:hint="eastAsia"/>
                <w:szCs w:val="21"/>
              </w:rPr>
              <w:t>30分</w:t>
            </w:r>
          </w:p>
        </w:tc>
        <w:tc>
          <w:tcPr>
            <w:tcW w:w="1595" w:type="dxa"/>
            <w:tcMar>
              <w:top w:w="15" w:type="dxa"/>
              <w:left w:w="15" w:type="dxa"/>
              <w:bottom w:w="0" w:type="dxa"/>
              <w:right w:w="15" w:type="dxa"/>
            </w:tcMar>
            <w:vAlign w:val="center"/>
          </w:tcPr>
          <w:p>
            <w:pPr>
              <w:autoSpaceDE w:val="0"/>
              <w:autoSpaceDN w:val="0"/>
              <w:adjustRightInd w:val="0"/>
              <w:snapToGrid w:val="0"/>
              <w:spacing w:line="240" w:lineRule="exact"/>
              <w:jc w:val="center"/>
              <w:rPr>
                <w:rFonts w:ascii="宋体" w:hAnsi="宋体"/>
                <w:szCs w:val="21"/>
              </w:rPr>
            </w:pPr>
            <w:r>
              <w:rPr>
                <w:rFonts w:hint="eastAsia"/>
                <w:szCs w:val="21"/>
              </w:rPr>
              <w:t>报价</w:t>
            </w:r>
            <w:r>
              <w:rPr>
                <w:rFonts w:hint="eastAsia" w:ascii="宋体" w:hAnsi="宋体"/>
                <w:szCs w:val="21"/>
              </w:rPr>
              <w:t>的合理性</w:t>
            </w:r>
          </w:p>
        </w:tc>
        <w:tc>
          <w:tcPr>
            <w:tcW w:w="6063" w:type="dxa"/>
            <w:tcMar>
              <w:top w:w="15" w:type="dxa"/>
              <w:left w:w="15" w:type="dxa"/>
              <w:bottom w:w="0" w:type="dxa"/>
              <w:right w:w="15" w:type="dxa"/>
            </w:tcMar>
            <w:vAlign w:val="center"/>
          </w:tcPr>
          <w:p>
            <w:pPr>
              <w:snapToGrid w:val="0"/>
              <w:spacing w:line="240" w:lineRule="exact"/>
              <w:rPr>
                <w:rFonts w:ascii="宋体" w:hAnsi="宋体"/>
                <w:szCs w:val="21"/>
              </w:rPr>
            </w:pPr>
            <w:r>
              <w:rPr>
                <w:rFonts w:ascii="宋体" w:hAnsi="宋体"/>
                <w:szCs w:val="21"/>
              </w:rPr>
              <w:t>投标报价得分=（评标基准价/投标报价）*价格权重*100</w:t>
            </w:r>
          </w:p>
          <w:p>
            <w:pPr>
              <w:autoSpaceDE w:val="0"/>
              <w:autoSpaceDN w:val="0"/>
              <w:adjustRightInd w:val="0"/>
              <w:snapToGrid w:val="0"/>
              <w:spacing w:line="360" w:lineRule="exact"/>
              <w:rPr>
                <w:rFonts w:ascii="宋体" w:hAnsi="宋体"/>
                <w:szCs w:val="21"/>
              </w:rPr>
            </w:pPr>
            <w:r>
              <w:rPr>
                <w:rFonts w:ascii="宋体" w:hAnsi="宋体"/>
                <w:szCs w:val="21"/>
              </w:rPr>
              <w:t>注：基准价=响应招标文件的最</w:t>
            </w:r>
            <w:r>
              <w:rPr>
                <w:rFonts w:hint="eastAsia" w:ascii="宋体" w:hAnsi="宋体"/>
                <w:szCs w:val="21"/>
              </w:rPr>
              <w:t>低</w:t>
            </w:r>
            <w:r>
              <w:rPr>
                <w:rFonts w:ascii="宋体" w:hAnsi="宋体"/>
                <w:szCs w:val="21"/>
              </w:rPr>
              <w:t xml:space="preserve">投标报价 </w:t>
            </w:r>
          </w:p>
        </w:tc>
        <w:tc>
          <w:tcPr>
            <w:tcW w:w="791" w:type="dxa"/>
            <w:vAlign w:val="center"/>
          </w:tcPr>
          <w:p>
            <w:pPr>
              <w:spacing w:line="240" w:lineRule="exac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jc w:val="center"/>
        </w:trPr>
        <w:tc>
          <w:tcPr>
            <w:tcW w:w="327" w:type="dxa"/>
            <w:vMerge w:val="restart"/>
            <w:vAlign w:val="center"/>
          </w:tcPr>
          <w:p>
            <w:pPr>
              <w:adjustRightInd w:val="0"/>
              <w:snapToGrid w:val="0"/>
              <w:jc w:val="center"/>
              <w:rPr>
                <w:rFonts w:ascii="宋体" w:hAnsi="宋体" w:cs="宋体"/>
                <w:b/>
                <w:color w:val="000000"/>
                <w:szCs w:val="21"/>
              </w:rPr>
            </w:pPr>
            <w:r>
              <w:rPr>
                <w:rFonts w:hint="eastAsia" w:ascii="宋体" w:hAnsi="宋体" w:cs="宋体"/>
                <w:b/>
                <w:color w:val="000000"/>
                <w:szCs w:val="21"/>
              </w:rPr>
              <w:t>2</w:t>
            </w:r>
          </w:p>
        </w:tc>
        <w:tc>
          <w:tcPr>
            <w:tcW w:w="1078" w:type="dxa"/>
            <w:vMerge w:val="restart"/>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szCs w:val="21"/>
              </w:rPr>
            </w:pPr>
            <w:r>
              <w:rPr>
                <w:rFonts w:hint="eastAsia"/>
                <w:szCs w:val="21"/>
              </w:rPr>
              <w:t>商务</w:t>
            </w:r>
          </w:p>
          <w:p>
            <w:pPr>
              <w:spacing w:line="240" w:lineRule="exact"/>
              <w:jc w:val="center"/>
              <w:rPr>
                <w:rFonts w:ascii="宋体" w:hAnsi="宋体" w:cs="宋体"/>
              </w:rPr>
            </w:pPr>
            <w:r>
              <w:rPr>
                <w:rFonts w:hint="eastAsia"/>
                <w:szCs w:val="21"/>
                <w:lang w:val="en-US" w:eastAsia="zh-CN"/>
              </w:rPr>
              <w:t>20</w:t>
            </w:r>
            <w:r>
              <w:rPr>
                <w:rFonts w:hint="eastAsia"/>
                <w:szCs w:val="21"/>
              </w:rPr>
              <w:t>分</w:t>
            </w:r>
          </w:p>
        </w:tc>
        <w:tc>
          <w:tcPr>
            <w:tcW w:w="1595" w:type="dxa"/>
            <w:vMerge w:val="restart"/>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szCs w:val="21"/>
              </w:rPr>
              <w:t>质量保证</w:t>
            </w:r>
          </w:p>
        </w:tc>
        <w:tc>
          <w:tcPr>
            <w:tcW w:w="6063" w:type="dxa"/>
            <w:tcMar>
              <w:top w:w="15" w:type="dxa"/>
              <w:left w:w="15" w:type="dxa"/>
              <w:bottom w:w="0" w:type="dxa"/>
              <w:right w:w="15" w:type="dxa"/>
            </w:tcMar>
          </w:tcPr>
          <w:p>
            <w:pPr>
              <w:pStyle w:val="14"/>
              <w:rPr>
                <w:rFonts w:ascii="宋体" w:hAnsi="宋体"/>
                <w:b/>
                <w:szCs w:val="21"/>
              </w:rPr>
            </w:pPr>
            <w:r>
              <w:rPr>
                <w:rFonts w:hint="eastAsia"/>
              </w:rPr>
              <w:t>1.投标人提供：质量管理体系认证证书；职业健康安全管理体系认证证书；环境管理体系认证证书；每提供一项得1分，最高得3分。以上证书必须在有效期且年检合格，证书须在全国认证认可信息公共服务平台官网（http://www.cnca.gov.cn)查询到的证书信息，</w:t>
            </w:r>
            <w:r>
              <w:rPr>
                <w:rFonts w:hint="eastAsia"/>
                <w:lang w:val="en-US" w:eastAsia="zh-CN"/>
              </w:rPr>
              <w:t>提供官网查询截图，</w:t>
            </w:r>
            <w:r>
              <w:rPr>
                <w:rFonts w:hint="eastAsia"/>
              </w:rPr>
              <w:t>否则不得分。</w:t>
            </w:r>
          </w:p>
        </w:tc>
        <w:tc>
          <w:tcPr>
            <w:tcW w:w="791" w:type="dxa"/>
            <w:vAlign w:val="center"/>
          </w:tcPr>
          <w:p>
            <w:pPr>
              <w:spacing w:line="240" w:lineRule="exact"/>
              <w:jc w:val="center"/>
              <w:rPr>
                <w:rFonts w:ascii="宋体" w:hAnsi="宋体"/>
                <w:sz w:val="24"/>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327" w:type="dxa"/>
            <w:vMerge w:val="continue"/>
            <w:vAlign w:val="center"/>
          </w:tcPr>
          <w:p>
            <w:pPr>
              <w:adjustRightInd w:val="0"/>
              <w:snapToGrid w:val="0"/>
              <w:jc w:val="center"/>
              <w:rPr>
                <w:rFonts w:ascii="宋体" w:hAnsi="宋体" w:cs="宋体"/>
                <w:b/>
                <w:color w:val="00000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6063" w:type="dxa"/>
            <w:tcMar>
              <w:top w:w="15" w:type="dxa"/>
              <w:left w:w="15" w:type="dxa"/>
              <w:bottom w:w="0" w:type="dxa"/>
              <w:right w:w="15" w:type="dxa"/>
            </w:tcMar>
          </w:tcPr>
          <w:p>
            <w:pPr>
              <w:pStyle w:val="14"/>
              <w:rPr>
                <w:rFonts w:hAnsi="宋体" w:cs="宋体"/>
                <w:kern w:val="0"/>
                <w:szCs w:val="21"/>
              </w:rPr>
            </w:pPr>
            <w:r>
              <w:rPr>
                <w:rFonts w:hint="eastAsia"/>
              </w:rPr>
              <w:t>2.提供所投产品质量可靠，运行安全稳定，提供同类产品安全运行1年及以上的用户使用证明材料（</w:t>
            </w:r>
            <w:r>
              <w:rPr>
                <w:rFonts w:hint="eastAsia"/>
                <w:lang w:val="en-US" w:eastAsia="zh-CN"/>
              </w:rPr>
              <w:t>投标文件中须</w:t>
            </w:r>
            <w:r>
              <w:rPr>
                <w:rFonts w:hint="eastAsia"/>
              </w:rPr>
              <w:t>提供客户满意度调查表</w:t>
            </w:r>
            <w:r>
              <w:rPr>
                <w:rFonts w:hint="eastAsia"/>
                <w:lang w:val="en-US" w:eastAsia="zh-CN"/>
              </w:rPr>
              <w:t>扫描</w:t>
            </w:r>
            <w:r>
              <w:rPr>
                <w:rFonts w:hint="eastAsia"/>
              </w:rPr>
              <w:t>件），提供</w:t>
            </w:r>
            <w:r>
              <w:rPr>
                <w:rFonts w:hint="eastAsia"/>
                <w:lang w:val="en-US" w:eastAsia="zh-CN"/>
              </w:rPr>
              <w:t>一项</w:t>
            </w:r>
            <w:r>
              <w:rPr>
                <w:rFonts w:hint="eastAsia"/>
              </w:rPr>
              <w:t>得</w:t>
            </w:r>
            <w:r>
              <w:rPr>
                <w:rFonts w:hint="eastAsia"/>
                <w:lang w:val="en-US" w:eastAsia="zh-CN"/>
              </w:rPr>
              <w:t>1</w:t>
            </w:r>
            <w:r>
              <w:rPr>
                <w:rFonts w:hint="eastAsia"/>
              </w:rPr>
              <w:t>分，最</w:t>
            </w:r>
            <w:r>
              <w:rPr>
                <w:rFonts w:hint="eastAsia"/>
                <w:lang w:val="en-US" w:eastAsia="zh-CN"/>
              </w:rPr>
              <w:t>高</w:t>
            </w:r>
            <w:r>
              <w:rPr>
                <w:rFonts w:hint="eastAsia"/>
              </w:rPr>
              <w:t>得</w:t>
            </w:r>
            <w:r>
              <w:rPr>
                <w:rFonts w:hint="eastAsia"/>
                <w:lang w:val="en-US" w:eastAsia="zh-CN"/>
              </w:rPr>
              <w:t>3</w:t>
            </w:r>
            <w:r>
              <w:rPr>
                <w:rFonts w:hint="eastAsia"/>
              </w:rPr>
              <w:t>分。</w:t>
            </w:r>
          </w:p>
        </w:tc>
        <w:tc>
          <w:tcPr>
            <w:tcW w:w="791" w:type="dxa"/>
            <w:vAlign w:val="center"/>
          </w:tcPr>
          <w:p>
            <w:pPr>
              <w:spacing w:line="240" w:lineRule="exact"/>
              <w:jc w:val="center"/>
              <w:rPr>
                <w:rFonts w:hint="eastAsia" w:ascii="宋体" w:hAnsi="宋体" w:eastAsia="宋体"/>
                <w:szCs w:val="21"/>
                <w:lang w:eastAsia="zh-CN"/>
              </w:rPr>
            </w:pP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7" w:type="dxa"/>
            <w:vMerge w:val="continue"/>
            <w:vAlign w:val="center"/>
          </w:tcPr>
          <w:p>
            <w:pPr>
              <w:adjustRightInd w:val="0"/>
              <w:snapToGrid w:val="0"/>
              <w:jc w:val="center"/>
              <w:rPr>
                <w:rFonts w:ascii="宋体" w:hAnsi="宋体" w:cs="宋体"/>
                <w:b/>
                <w:color w:val="00000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6063" w:type="dxa"/>
            <w:tcMar>
              <w:top w:w="15" w:type="dxa"/>
              <w:left w:w="15" w:type="dxa"/>
              <w:bottom w:w="0" w:type="dxa"/>
              <w:right w:w="15" w:type="dxa"/>
            </w:tcMar>
          </w:tcPr>
          <w:p>
            <w:pPr>
              <w:pStyle w:val="14"/>
              <w:rPr>
                <w:rFonts w:hAnsi="宋体" w:cs="宋体"/>
                <w:kern w:val="0"/>
                <w:szCs w:val="21"/>
              </w:rPr>
            </w:pPr>
            <w:r>
              <w:rPr>
                <w:rFonts w:hint="eastAsia"/>
              </w:rPr>
              <w:t>3.投标人得产品免费质保期在招标文件规定的基础上，增加一年得1分，（最高3分）。</w:t>
            </w:r>
          </w:p>
        </w:tc>
        <w:tc>
          <w:tcPr>
            <w:tcW w:w="791" w:type="dxa"/>
            <w:vAlign w:val="center"/>
          </w:tcPr>
          <w:p>
            <w:pPr>
              <w:spacing w:line="24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7" w:type="dxa"/>
            <w:vAlign w:val="center"/>
          </w:tcPr>
          <w:p>
            <w:pPr>
              <w:adjustRightInd w:val="0"/>
              <w:snapToGrid w:val="0"/>
              <w:jc w:val="center"/>
              <w:rPr>
                <w:rFonts w:hint="eastAsia" w:ascii="宋体" w:hAnsi="宋体" w:eastAsia="宋体" w:cs="宋体"/>
                <w:b/>
                <w:color w:val="000000"/>
                <w:szCs w:val="21"/>
                <w:lang w:val="en-US" w:eastAsia="zh-CN"/>
              </w:rPr>
            </w:pPr>
            <w:r>
              <w:rPr>
                <w:rFonts w:hint="eastAsia" w:ascii="宋体" w:hAnsi="宋体" w:cs="宋体"/>
                <w:b/>
                <w:color w:val="000000"/>
                <w:szCs w:val="21"/>
                <w:lang w:val="en-US" w:eastAsia="zh-CN"/>
              </w:rPr>
              <w:t>3</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hint="eastAsia" w:ascii="宋体" w:hAnsi="宋体" w:eastAsia="宋体" w:cs="宋体"/>
                <w:lang w:val="en-US" w:eastAsia="zh-CN"/>
              </w:rPr>
            </w:pPr>
            <w:r>
              <w:rPr>
                <w:rFonts w:hint="eastAsia" w:ascii="宋体" w:hAnsi="宋体" w:cs="宋体"/>
                <w:lang w:val="en-US" w:eastAsia="zh-CN"/>
              </w:rPr>
              <w:t>业绩</w:t>
            </w:r>
          </w:p>
        </w:tc>
        <w:tc>
          <w:tcPr>
            <w:tcW w:w="6063" w:type="dxa"/>
            <w:tcMar>
              <w:top w:w="15" w:type="dxa"/>
              <w:left w:w="15" w:type="dxa"/>
              <w:bottom w:w="0" w:type="dxa"/>
              <w:right w:w="15" w:type="dxa"/>
            </w:tcMar>
          </w:tcPr>
          <w:p>
            <w:pPr>
              <w:pStyle w:val="14"/>
              <w:rPr>
                <w:rFonts w:hint="eastAsia"/>
              </w:rPr>
            </w:pPr>
            <w:r>
              <w:rPr>
                <w:rFonts w:hint="eastAsia" w:ascii="宋体" w:hAnsi="宋体"/>
                <w:bCs/>
                <w:sz w:val="21"/>
                <w:szCs w:val="21"/>
              </w:rPr>
              <w:t>投</w:t>
            </w:r>
            <w:r>
              <w:rPr>
                <w:rFonts w:hint="eastAsia"/>
              </w:rPr>
              <w:t>标人所投产品品牌近三年以来，具有类似业绩，提供一</w:t>
            </w:r>
            <w:r>
              <w:rPr>
                <w:rFonts w:hint="eastAsia"/>
                <w:lang w:val="en-US" w:eastAsia="zh-CN"/>
              </w:rPr>
              <w:t>项供货</w:t>
            </w:r>
            <w:r>
              <w:rPr>
                <w:rFonts w:hint="eastAsia"/>
              </w:rPr>
              <w:t>合同得</w:t>
            </w:r>
            <w:r>
              <w:rPr>
                <w:rFonts w:hint="eastAsia"/>
                <w:lang w:val="en-US" w:eastAsia="zh-CN"/>
              </w:rPr>
              <w:t>1</w:t>
            </w:r>
            <w:r>
              <w:rPr>
                <w:rFonts w:hint="eastAsia"/>
              </w:rPr>
              <w:t>分，最</w:t>
            </w:r>
            <w:r>
              <w:rPr>
                <w:rFonts w:hint="eastAsia"/>
                <w:lang w:val="en-US" w:eastAsia="zh-CN"/>
              </w:rPr>
              <w:t>高</w:t>
            </w:r>
            <w:r>
              <w:rPr>
                <w:rFonts w:hint="eastAsia"/>
              </w:rPr>
              <w:t>得5分；没有不得分（</w:t>
            </w:r>
            <w:r>
              <w:rPr>
                <w:rFonts w:hint="eastAsia"/>
                <w:lang w:val="en-US" w:eastAsia="zh-CN"/>
              </w:rPr>
              <w:t>投标文件中须提供合同的扫描件应能辨识买卖双方公章、签订时间、金额、并加盖投标人公章，否则，不得分。</w:t>
            </w:r>
            <w:r>
              <w:rPr>
                <w:rFonts w:hint="eastAsia"/>
              </w:rPr>
              <w:t>）</w:t>
            </w:r>
          </w:p>
        </w:tc>
        <w:tc>
          <w:tcPr>
            <w:tcW w:w="791" w:type="dxa"/>
            <w:vAlign w:val="center"/>
          </w:tcPr>
          <w:p>
            <w:pPr>
              <w:spacing w:line="240" w:lineRule="exact"/>
              <w:jc w:val="center"/>
              <w:rPr>
                <w:rFonts w:hint="eastAsia" w:ascii="宋体" w:hAnsi="宋体" w:eastAsia="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4</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szCs w:val="21"/>
              </w:rPr>
              <w:t>所供货物组部件、备品、备件清单</w:t>
            </w:r>
          </w:p>
        </w:tc>
        <w:tc>
          <w:tcPr>
            <w:tcW w:w="6063" w:type="dxa"/>
            <w:tcMar>
              <w:top w:w="15" w:type="dxa"/>
              <w:left w:w="15" w:type="dxa"/>
              <w:bottom w:w="0" w:type="dxa"/>
              <w:right w:w="15" w:type="dxa"/>
            </w:tcMar>
          </w:tcPr>
          <w:p>
            <w:pPr>
              <w:pStyle w:val="14"/>
            </w:pPr>
            <w:r>
              <w:rPr>
                <w:rFonts w:hint="eastAsia" w:ascii="宋体" w:hAnsi="宋体"/>
                <w:bCs/>
                <w:szCs w:val="21"/>
              </w:rPr>
              <w:t>投标人提供了详细的</w:t>
            </w:r>
            <w:r>
              <w:rPr>
                <w:rFonts w:hint="eastAsia" w:ascii="宋体" w:hAnsi="宋体"/>
                <w:szCs w:val="21"/>
              </w:rPr>
              <w:t>所供货物组部件、备品、备件清单</w:t>
            </w:r>
            <w:r>
              <w:rPr>
                <w:rFonts w:hint="eastAsia" w:ascii="宋体" w:hAnsi="宋体"/>
                <w:bCs/>
                <w:szCs w:val="21"/>
              </w:rPr>
              <w:t>，且内容详细，备件清单明确，得3分；投标人提供的</w:t>
            </w:r>
            <w:r>
              <w:rPr>
                <w:rFonts w:hint="eastAsia" w:ascii="宋体" w:hAnsi="宋体"/>
                <w:szCs w:val="21"/>
              </w:rPr>
              <w:t>货物组部件、备品、备件清单</w:t>
            </w:r>
            <w:r>
              <w:rPr>
                <w:rFonts w:hint="eastAsia" w:ascii="宋体" w:hAnsi="宋体"/>
                <w:bCs/>
                <w:szCs w:val="21"/>
              </w:rPr>
              <w:t>内容不详细，备件清单不明确，得1分；</w:t>
            </w:r>
            <w:r>
              <w:rPr>
                <w:rFonts w:hint="eastAsia"/>
              </w:rPr>
              <w:t>无</w:t>
            </w:r>
            <w:r>
              <w:rPr>
                <w:rFonts w:hint="eastAsia" w:ascii="宋体" w:hAnsi="宋体"/>
                <w:szCs w:val="21"/>
              </w:rPr>
              <w:t>所供货物组部件、备品、备件清单</w:t>
            </w:r>
            <w:r>
              <w:rPr>
                <w:rFonts w:hint="eastAsia" w:ascii="宋体" w:hAnsi="宋体"/>
                <w:bCs/>
                <w:szCs w:val="21"/>
              </w:rPr>
              <w:t>的，得0分</w:t>
            </w:r>
          </w:p>
        </w:tc>
        <w:tc>
          <w:tcPr>
            <w:tcW w:w="791" w:type="dxa"/>
            <w:vAlign w:val="center"/>
          </w:tcPr>
          <w:p>
            <w:pPr>
              <w:spacing w:line="24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5</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投标文件制作</w:t>
            </w:r>
          </w:p>
        </w:tc>
        <w:tc>
          <w:tcPr>
            <w:tcW w:w="6063" w:type="dxa"/>
            <w:tcMar>
              <w:top w:w="15" w:type="dxa"/>
              <w:left w:w="15" w:type="dxa"/>
              <w:bottom w:w="0" w:type="dxa"/>
              <w:right w:w="15" w:type="dxa"/>
            </w:tcMar>
          </w:tcPr>
          <w:p>
            <w:pPr>
              <w:pStyle w:val="14"/>
              <w:rPr>
                <w:rFonts w:ascii="宋体" w:hAnsi="宋体"/>
                <w:bCs/>
                <w:szCs w:val="21"/>
              </w:rPr>
            </w:pPr>
            <w:r>
              <w:rPr>
                <w:rFonts w:hint="eastAsia" w:ascii="宋体" w:hAnsi="宋体"/>
                <w:szCs w:val="21"/>
              </w:rPr>
              <w:t>投标文件制作规范，投标附件资料齐全、详实、充分，文件按要求有页码装胶；目录对应页码正确、编码清晰，排版整齐 居中、资料复印胶装整齐及索引直观准确字迹清晰、优秀得3分；良好得2分；一般得1分。（最高3分）。</w:t>
            </w:r>
          </w:p>
        </w:tc>
        <w:tc>
          <w:tcPr>
            <w:tcW w:w="791" w:type="dxa"/>
            <w:vAlign w:val="center"/>
          </w:tcPr>
          <w:p>
            <w:pPr>
              <w:spacing w:line="24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6</w:t>
            </w:r>
          </w:p>
        </w:tc>
        <w:tc>
          <w:tcPr>
            <w:tcW w:w="1078" w:type="dxa"/>
            <w:vMerge w:val="restart"/>
            <w:tcMar>
              <w:top w:w="15" w:type="dxa"/>
              <w:left w:w="15" w:type="dxa"/>
              <w:bottom w:w="0" w:type="dxa"/>
              <w:right w:w="15" w:type="dxa"/>
            </w:tcMar>
            <w:vAlign w:val="center"/>
          </w:tcPr>
          <w:p>
            <w:pPr>
              <w:autoSpaceDE w:val="0"/>
              <w:autoSpaceDN w:val="0"/>
              <w:adjustRightInd w:val="0"/>
              <w:snapToGrid w:val="0"/>
              <w:spacing w:line="240" w:lineRule="exact"/>
              <w:rPr>
                <w:rFonts w:ascii="宋体" w:hAnsi="宋体"/>
                <w:szCs w:val="21"/>
              </w:rPr>
            </w:pPr>
            <w:r>
              <w:rPr>
                <w:rFonts w:hint="eastAsia"/>
              </w:rPr>
              <w:t>技术</w:t>
            </w:r>
            <w:r>
              <w:rPr>
                <w:rFonts w:hint="eastAsia"/>
                <w:lang w:val="en-US" w:eastAsia="zh-CN"/>
              </w:rPr>
              <w:t>50</w:t>
            </w:r>
            <w:r>
              <w:rPr>
                <w:rFonts w:hint="eastAsia" w:ascii="宋体" w:hAnsi="宋体"/>
                <w:szCs w:val="21"/>
              </w:rPr>
              <w:t>分</w:t>
            </w: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cs="宋体"/>
              </w:rPr>
              <w:t>技术参数</w:t>
            </w:r>
          </w:p>
        </w:tc>
        <w:tc>
          <w:tcPr>
            <w:tcW w:w="6063" w:type="dxa"/>
            <w:tcMar>
              <w:top w:w="15" w:type="dxa"/>
              <w:left w:w="15" w:type="dxa"/>
              <w:bottom w:w="0" w:type="dxa"/>
              <w:right w:w="15" w:type="dxa"/>
            </w:tcMar>
          </w:tcPr>
          <w:p>
            <w:pPr>
              <w:jc w:val="left"/>
              <w:rPr>
                <w:rFonts w:ascii="宋体" w:hAnsi="宋体"/>
                <w:b/>
                <w:szCs w:val="21"/>
              </w:rPr>
            </w:pPr>
            <w:r>
              <w:t>投标人对招标文件中货物参数要求、</w:t>
            </w:r>
            <w:r>
              <w:rPr>
                <w:rFonts w:hint="eastAsia"/>
              </w:rPr>
              <w:t>技术</w:t>
            </w:r>
            <w:r>
              <w:t>指标的响应程度，即投标文件包括并满足了招标文件所要求的各项技术指标得满分</w:t>
            </w:r>
            <w:r>
              <w:rPr>
                <w:rFonts w:hint="eastAsia"/>
              </w:rPr>
              <w:t>30分</w:t>
            </w:r>
            <w:r>
              <w:t>，</w:t>
            </w:r>
            <w:r>
              <w:rPr>
                <w:rFonts w:hint="eastAsia"/>
              </w:rPr>
              <w:t>其中</w:t>
            </w:r>
            <w:r>
              <w:t>带“</w:t>
            </w:r>
            <w:r>
              <w:rPr>
                <w:rFonts w:hint="eastAsia" w:ascii="宋体" w:hAnsi="宋体" w:cs="宋体"/>
                <w:sz w:val="18"/>
                <w:szCs w:val="18"/>
              </w:rPr>
              <w:t>★</w:t>
            </w:r>
            <w:r>
              <w:t>”的关键技术参数每有一项负偏离的扣</w:t>
            </w:r>
            <w:r>
              <w:rPr>
                <w:rFonts w:hint="eastAsia"/>
              </w:rPr>
              <w:t>2</w:t>
            </w:r>
            <w:r>
              <w:t>分</w:t>
            </w:r>
            <w:r>
              <w:rPr>
                <w:rFonts w:hint="eastAsia"/>
              </w:rPr>
              <w:t>，一般参数每有一项负偏离的扣0.5分，直至扣完。</w:t>
            </w:r>
            <w:r>
              <w:t>（</w:t>
            </w:r>
            <w:r>
              <w:rPr>
                <w:rFonts w:hint="eastAsia"/>
              </w:rPr>
              <w:t>需提供</w:t>
            </w:r>
            <w:r>
              <w:t>产品说明书、检验报告</w:t>
            </w:r>
            <w:r>
              <w:rPr>
                <w:rFonts w:hint="eastAsia"/>
              </w:rPr>
              <w:t>等</w:t>
            </w:r>
            <w:r>
              <w:t>相关的支持资料或证明文件）</w:t>
            </w:r>
          </w:p>
        </w:tc>
        <w:tc>
          <w:tcPr>
            <w:tcW w:w="791" w:type="dxa"/>
            <w:vAlign w:val="center"/>
          </w:tcPr>
          <w:p>
            <w:pPr>
              <w:spacing w:line="240" w:lineRule="exac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7</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供货与安装</w:t>
            </w:r>
          </w:p>
        </w:tc>
        <w:tc>
          <w:tcPr>
            <w:tcW w:w="6063" w:type="dxa"/>
            <w:tcMar>
              <w:top w:w="15" w:type="dxa"/>
              <w:left w:w="15" w:type="dxa"/>
              <w:bottom w:w="0" w:type="dxa"/>
              <w:right w:w="15" w:type="dxa"/>
            </w:tcMar>
          </w:tcPr>
          <w:p>
            <w:pPr>
              <w:jc w:val="left"/>
            </w:pPr>
            <w:r>
              <w:rPr>
                <w:rFonts w:hint="eastAsia"/>
              </w:rPr>
              <w:t>根据投标人的供货、安装方案进行对比评价分三档，从方案完整性、可操作性、时效性方面综合考量。（满分</w:t>
            </w:r>
            <w:r>
              <w:rPr>
                <w:rFonts w:hint="eastAsia"/>
                <w:lang w:val="en-US" w:eastAsia="zh-CN"/>
              </w:rPr>
              <w:t>5</w:t>
            </w:r>
            <w:r>
              <w:rPr>
                <w:rFonts w:hint="eastAsia"/>
              </w:rPr>
              <w:t>分）一档：方案优（方案完整性好、可操作性强、时效性佳）得</w:t>
            </w:r>
            <w:r>
              <w:rPr>
                <w:rFonts w:hint="eastAsia"/>
                <w:lang w:val="en-US" w:eastAsia="zh-CN"/>
              </w:rPr>
              <w:t>5</w:t>
            </w:r>
            <w:r>
              <w:rPr>
                <w:rFonts w:hint="eastAsia"/>
              </w:rPr>
              <w:t>分；二档：方案良好（无缺项，但从完整性、可操作性、时效性方面考量尚有不足者为良好方案）得</w:t>
            </w:r>
            <w:r>
              <w:rPr>
                <w:rFonts w:hint="eastAsia"/>
                <w:lang w:val="en-US" w:eastAsia="zh-CN"/>
              </w:rPr>
              <w:t>3</w:t>
            </w:r>
            <w:r>
              <w:rPr>
                <w:rFonts w:hint="eastAsia"/>
              </w:rPr>
              <w:t>分：；三档：方案一般（有缺项者为一般方案）得1分。</w:t>
            </w:r>
          </w:p>
        </w:tc>
        <w:tc>
          <w:tcPr>
            <w:tcW w:w="791" w:type="dxa"/>
            <w:vAlign w:val="center"/>
          </w:tcPr>
          <w:p>
            <w:pPr>
              <w:spacing w:line="240" w:lineRule="exact"/>
              <w:jc w:val="center"/>
              <w:rPr>
                <w:rFonts w:hint="eastAsia" w:ascii="宋体" w:hAnsi="宋体" w:eastAsia="宋体"/>
                <w:sz w:val="24"/>
                <w:lang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eastAsia="zh-CN"/>
              </w:rPr>
            </w:pPr>
            <w:r>
              <w:rPr>
                <w:rFonts w:hint="eastAsia" w:ascii="宋体" w:hAnsi="宋体" w:cs="宋体"/>
                <w:b/>
                <w:color w:val="000000"/>
                <w:kern w:val="0"/>
                <w:szCs w:val="21"/>
                <w:lang w:val="en-US" w:eastAsia="zh-CN"/>
              </w:rPr>
              <w:t>8</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人员配备</w:t>
            </w:r>
          </w:p>
        </w:tc>
        <w:tc>
          <w:tcPr>
            <w:tcW w:w="6063" w:type="dxa"/>
            <w:tcMar>
              <w:top w:w="15" w:type="dxa"/>
              <w:left w:w="15" w:type="dxa"/>
              <w:bottom w:w="0" w:type="dxa"/>
              <w:right w:w="15" w:type="dxa"/>
            </w:tcMar>
          </w:tcPr>
          <w:p>
            <w:pPr>
              <w:jc w:val="left"/>
            </w:pPr>
            <w:r>
              <w:rPr>
                <w:rFonts w:hint="eastAsia"/>
              </w:rPr>
              <w:t>投标人具有专业技术人员负责设备的安装、调试及技术服务，提供技术人员证书，每提供一名得1分，最高得5分。（需提供证明材料，无证明材料不得分。）</w:t>
            </w:r>
          </w:p>
        </w:tc>
        <w:tc>
          <w:tcPr>
            <w:tcW w:w="791" w:type="dxa"/>
            <w:vAlign w:val="center"/>
          </w:tcPr>
          <w:p>
            <w:pPr>
              <w:spacing w:line="240" w:lineRule="exact"/>
              <w:jc w:val="center"/>
              <w:rPr>
                <w:rFonts w:ascii="宋体" w:hAnsi="宋体"/>
                <w:sz w:val="24"/>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eastAsia="zh-CN"/>
              </w:rPr>
            </w:pPr>
            <w:r>
              <w:rPr>
                <w:rFonts w:hint="eastAsia" w:ascii="宋体" w:hAnsi="宋体" w:cs="宋体"/>
                <w:b/>
                <w:color w:val="000000"/>
                <w:kern w:val="0"/>
                <w:szCs w:val="21"/>
                <w:lang w:val="en-US" w:eastAsia="zh-CN"/>
              </w:rPr>
              <w:t>9</w:t>
            </w:r>
          </w:p>
        </w:tc>
        <w:tc>
          <w:tcPr>
            <w:tcW w:w="1078" w:type="dxa"/>
            <w:vMerge w:val="continue"/>
            <w:tcMar>
              <w:top w:w="15" w:type="dxa"/>
              <w:left w:w="15" w:type="dxa"/>
              <w:bottom w:w="0" w:type="dxa"/>
              <w:right w:w="15" w:type="dxa"/>
            </w:tcMar>
            <w:vAlign w:val="center"/>
          </w:tcPr>
          <w:p>
            <w:pPr>
              <w:spacing w:line="240" w:lineRule="exact"/>
              <w:jc w:val="cente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培训方案</w:t>
            </w:r>
          </w:p>
        </w:tc>
        <w:tc>
          <w:tcPr>
            <w:tcW w:w="6063" w:type="dxa"/>
            <w:tcMar>
              <w:top w:w="15" w:type="dxa"/>
              <w:left w:w="15" w:type="dxa"/>
              <w:bottom w:w="0" w:type="dxa"/>
              <w:right w:w="15" w:type="dxa"/>
            </w:tcMar>
          </w:tcPr>
          <w:p>
            <w:pPr>
              <w:jc w:val="left"/>
            </w:pPr>
            <w:r>
              <w:rPr>
                <w:rFonts w:hint="eastAsia"/>
              </w:rPr>
              <w:t>投标人</w:t>
            </w:r>
            <w:r>
              <w:t>提供详细的培训方案，且培训方案完整，培训计划合理</w:t>
            </w:r>
            <w:r>
              <w:rPr>
                <w:rFonts w:hint="eastAsia"/>
              </w:rPr>
              <w:t>、</w:t>
            </w:r>
            <w:r>
              <w:t>内容充实，保证使用单位工作人员能熟练操作、正常维护的，得 5 分；培训方案基本完整、可实施性和专业性稍差但尚能满足项目需求的，得 3 分；培训方案不完整 、或内容不够充实、专业性和科学性较差不能满足项目需求的得 1 分。（满分 5 分）</w:t>
            </w:r>
          </w:p>
        </w:tc>
        <w:tc>
          <w:tcPr>
            <w:tcW w:w="791" w:type="dxa"/>
            <w:vAlign w:val="center"/>
          </w:tcPr>
          <w:p>
            <w:pPr>
              <w:spacing w:line="240" w:lineRule="exact"/>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5" w:hRule="atLeast"/>
          <w:jc w:val="center"/>
        </w:trPr>
        <w:tc>
          <w:tcPr>
            <w:tcW w:w="327" w:type="dxa"/>
            <w:vMerge w:val="restart"/>
            <w:vAlign w:val="center"/>
          </w:tcPr>
          <w:p>
            <w:pPr>
              <w:adjustRightInd w:val="0"/>
              <w:snapToGrid w:val="0"/>
              <w:jc w:val="center"/>
              <w:rPr>
                <w:rFonts w:hint="default" w:ascii="宋体" w:hAnsi="宋体" w:eastAsia="宋体" w:cs="宋体"/>
                <w:b/>
                <w:color w:val="000000"/>
                <w:kern w:val="0"/>
                <w:szCs w:val="21"/>
                <w:lang w:val="en-US" w:eastAsia="zh-CN"/>
              </w:rPr>
            </w:pPr>
            <w:r>
              <w:rPr>
                <w:rFonts w:hint="eastAsia" w:ascii="宋体" w:hAnsi="宋体" w:cs="宋体"/>
                <w:b/>
                <w:color w:val="000000"/>
                <w:kern w:val="0"/>
                <w:szCs w:val="21"/>
                <w:lang w:val="en-US" w:eastAsia="zh-CN"/>
              </w:rPr>
              <w:t>10</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restart"/>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售后服务</w:t>
            </w:r>
          </w:p>
        </w:tc>
        <w:tc>
          <w:tcPr>
            <w:tcW w:w="6063" w:type="dxa"/>
            <w:tcMar>
              <w:top w:w="15" w:type="dxa"/>
              <w:left w:w="15" w:type="dxa"/>
              <w:bottom w:w="0" w:type="dxa"/>
              <w:right w:w="15" w:type="dxa"/>
            </w:tcMar>
          </w:tcPr>
          <w:p>
            <w:pPr>
              <w:jc w:val="left"/>
            </w:pPr>
            <w:r>
              <w:rPr>
                <w:rFonts w:hint="eastAsia" w:ascii="宋体" w:hAnsi="宋体"/>
                <w:bCs/>
                <w:szCs w:val="21"/>
              </w:rPr>
              <w:t>1.投标人有明确售后服务体系，在本地设有技术支持机构并提供相关证明材料的得2分，在疆内设有技术服务机构并提供相关证明材料的得1分。（需提供房产租赁合同或房产证等证明材料，无此项得0分）。</w:t>
            </w:r>
          </w:p>
        </w:tc>
        <w:tc>
          <w:tcPr>
            <w:tcW w:w="791" w:type="dxa"/>
            <w:vAlign w:val="center"/>
          </w:tcPr>
          <w:p>
            <w:pPr>
              <w:spacing w:line="240" w:lineRule="exact"/>
              <w:jc w:val="center"/>
              <w:rPr>
                <w:rFonts w:ascii="宋体" w:hAnsi="宋体"/>
                <w:sz w:val="24"/>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327" w:type="dxa"/>
            <w:vMerge w:val="continue"/>
            <w:vAlign w:val="center"/>
          </w:tcPr>
          <w:p>
            <w:pPr>
              <w:adjustRightInd w:val="0"/>
              <w:snapToGrid w:val="0"/>
              <w:jc w:val="center"/>
              <w:rPr>
                <w:rFonts w:ascii="宋体" w:hAnsi="宋体" w:cs="宋体"/>
                <w:b/>
                <w:color w:val="000000"/>
                <w:kern w:val="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6063" w:type="dxa"/>
            <w:tcMar>
              <w:top w:w="15" w:type="dxa"/>
              <w:left w:w="15" w:type="dxa"/>
              <w:bottom w:w="0" w:type="dxa"/>
              <w:right w:w="15" w:type="dxa"/>
            </w:tcMar>
          </w:tcPr>
          <w:p>
            <w:pPr>
              <w:jc w:val="left"/>
              <w:rPr>
                <w:rFonts w:ascii="宋体" w:hAnsi="宋体"/>
                <w:bCs/>
                <w:szCs w:val="21"/>
              </w:rPr>
            </w:pPr>
            <w:r>
              <w:rPr>
                <w:rFonts w:hint="eastAsia" w:ascii="宋体" w:hAnsi="宋体"/>
                <w:bCs/>
                <w:szCs w:val="21"/>
              </w:rPr>
              <w:t>2.售后服务的内容、响应时间、服务范围、应急处理方案以及质保期根据约束后的维修费用及升级、更换配件的价格及折扣让利等承诺等因素打分，</w:t>
            </w:r>
            <w:r>
              <w:rPr>
                <w:rFonts w:hint="eastAsia" w:ascii="宋体" w:hAnsi="宋体"/>
                <w:szCs w:val="21"/>
              </w:rPr>
              <w:t>优</w:t>
            </w:r>
            <w:r>
              <w:rPr>
                <w:rFonts w:hint="eastAsia" w:ascii="宋体" w:hAnsi="宋体"/>
                <w:szCs w:val="21"/>
                <w:lang w:val="en-US" w:eastAsia="zh-CN"/>
              </w:rPr>
              <w:t>3</w:t>
            </w:r>
            <w:r>
              <w:rPr>
                <w:rFonts w:hint="eastAsia" w:ascii="宋体" w:hAnsi="宋体"/>
                <w:szCs w:val="21"/>
              </w:rPr>
              <w:t>分；良好</w:t>
            </w:r>
            <w:r>
              <w:rPr>
                <w:rFonts w:hint="eastAsia" w:ascii="宋体" w:hAnsi="宋体"/>
                <w:szCs w:val="21"/>
                <w:lang w:val="en-US" w:eastAsia="zh-CN"/>
              </w:rPr>
              <w:t>2</w:t>
            </w:r>
            <w:r>
              <w:rPr>
                <w:rFonts w:hint="eastAsia" w:ascii="宋体" w:hAnsi="宋体"/>
                <w:szCs w:val="21"/>
              </w:rPr>
              <w:t>分；一般1分。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3</w:t>
            </w:r>
          </w:p>
        </w:tc>
      </w:tr>
    </w:tbl>
    <w:p>
      <w:pPr>
        <w:pStyle w:val="74"/>
        <w:snapToGrid w:val="0"/>
        <w:spacing w:line="440" w:lineRule="exact"/>
        <w:jc w:val="center"/>
        <w:outlineLvl w:val="0"/>
        <w:rPr>
          <w:rFonts w:hint="eastAsia" w:ascii="宋体" w:hAnsi="宋体" w:cs="宋体"/>
          <w:b/>
          <w:bCs/>
          <w:color w:val="auto"/>
          <w:sz w:val="32"/>
          <w:szCs w:val="32"/>
        </w:rPr>
      </w:pPr>
    </w:p>
    <w:p>
      <w:pPr>
        <w:pStyle w:val="74"/>
        <w:snapToGrid w:val="0"/>
        <w:spacing w:line="440" w:lineRule="exact"/>
        <w:jc w:val="center"/>
        <w:outlineLvl w:val="0"/>
        <w:rPr>
          <w:rFonts w:hint="eastAsia" w:ascii="宋体" w:hAnsi="宋体" w:cs="宋体"/>
          <w:b/>
          <w:bCs/>
          <w:color w:val="auto"/>
          <w:sz w:val="32"/>
          <w:szCs w:val="32"/>
        </w:rPr>
      </w:pPr>
    </w:p>
    <w:p>
      <w:pPr>
        <w:pStyle w:val="74"/>
        <w:snapToGrid w:val="0"/>
        <w:spacing w:line="440" w:lineRule="exact"/>
        <w:jc w:val="center"/>
        <w:outlineLvl w:val="0"/>
        <w:rPr>
          <w:rFonts w:hint="eastAsia" w:ascii="宋体" w:hAnsi="宋体" w:cs="宋体"/>
          <w:b/>
          <w:bCs/>
          <w:color w:val="auto"/>
          <w:sz w:val="32"/>
          <w:szCs w:val="32"/>
        </w:rPr>
      </w:pPr>
    </w:p>
    <w:p>
      <w:pPr>
        <w:pStyle w:val="74"/>
        <w:snapToGrid w:val="0"/>
        <w:spacing w:line="440" w:lineRule="exact"/>
        <w:jc w:val="center"/>
        <w:outlineLvl w:val="0"/>
        <w:rPr>
          <w:rFonts w:hint="eastAsia" w:ascii="宋体" w:hAnsi="宋体" w:cs="宋体"/>
          <w:b/>
          <w:bCs/>
          <w:color w:val="auto"/>
          <w:sz w:val="32"/>
          <w:szCs w:val="32"/>
        </w:rPr>
      </w:pPr>
    </w:p>
    <w:p>
      <w:pPr>
        <w:pStyle w:val="74"/>
        <w:snapToGrid w:val="0"/>
        <w:spacing w:line="440" w:lineRule="exact"/>
        <w:jc w:val="center"/>
        <w:outlineLvl w:val="0"/>
        <w:rPr>
          <w:rFonts w:ascii="宋体" w:hAnsi="宋体" w:cs="宋体"/>
          <w:b/>
          <w:bCs/>
          <w:color w:val="auto"/>
          <w:sz w:val="32"/>
          <w:szCs w:val="32"/>
        </w:rPr>
      </w:pPr>
      <w:bookmarkStart w:id="109" w:name="_Toc31947"/>
      <w:r>
        <w:rPr>
          <w:rFonts w:hint="eastAsia" w:ascii="宋体" w:hAnsi="宋体" w:cs="宋体"/>
          <w:b/>
          <w:bCs/>
          <w:color w:val="auto"/>
          <w:sz w:val="32"/>
          <w:szCs w:val="32"/>
        </w:rPr>
        <w:t>第四章  合同条款</w:t>
      </w:r>
      <w:bookmarkEnd w:id="48"/>
      <w:bookmarkEnd w:id="109"/>
    </w:p>
    <w:p>
      <w:pPr>
        <w:pStyle w:val="74"/>
        <w:snapToGrid w:val="0"/>
        <w:spacing w:line="440" w:lineRule="exact"/>
        <w:ind w:firstLine="560"/>
        <w:jc w:val="center"/>
        <w:rPr>
          <w:rFonts w:ascii="宋体" w:hAnsi="宋体" w:cs="宋体"/>
          <w:color w:val="auto"/>
          <w:sz w:val="21"/>
          <w:szCs w:val="21"/>
        </w:rPr>
      </w:pPr>
    </w:p>
    <w:p>
      <w:pPr>
        <w:spacing w:line="500" w:lineRule="exact"/>
        <w:ind w:firstLine="420" w:firstLineChars="200"/>
        <w:rPr>
          <w:rFonts w:ascii="宋体" w:hAnsi="宋体" w:cs="宋体"/>
          <w:szCs w:val="21"/>
        </w:rPr>
      </w:pPr>
      <w:bookmarkStart w:id="110" w:name="_Toc422141871"/>
      <w:bookmarkStart w:id="111" w:name="_Toc31739"/>
      <w:bookmarkStart w:id="112" w:name="_Toc271"/>
      <w:r>
        <w:rPr>
          <w:rFonts w:hint="eastAsia" w:ascii="宋体" w:hAnsi="宋体" w:cs="宋体"/>
          <w:szCs w:val="21"/>
        </w:rPr>
        <w:t>1.定义</w:t>
      </w:r>
      <w:bookmarkEnd w:id="110"/>
      <w:bookmarkEnd w:id="111"/>
      <w:bookmarkEnd w:id="112"/>
    </w:p>
    <w:p>
      <w:pPr>
        <w:pStyle w:val="93"/>
        <w:spacing w:line="500" w:lineRule="exact"/>
        <w:ind w:firstLine="420"/>
        <w:rPr>
          <w:rFonts w:ascii="宋体" w:hAnsi="宋体" w:eastAsia="宋体" w:cs="宋体"/>
          <w:color w:val="auto"/>
          <w:sz w:val="21"/>
          <w:szCs w:val="21"/>
        </w:rPr>
      </w:pPr>
      <w:r>
        <w:rPr>
          <w:rFonts w:hint="eastAsia" w:ascii="宋体" w:hAnsi="宋体" w:eastAsia="宋体" w:cs="宋体"/>
          <w:color w:val="auto"/>
          <w:sz w:val="21"/>
          <w:szCs w:val="21"/>
        </w:rPr>
        <w:t>本合同中的下列术语应解释为：</w:t>
      </w:r>
    </w:p>
    <w:p>
      <w:pPr>
        <w:spacing w:line="500" w:lineRule="exact"/>
        <w:ind w:firstLine="420" w:firstLineChars="200"/>
        <w:rPr>
          <w:rFonts w:ascii="宋体" w:hAnsi="宋体" w:cs="宋体"/>
          <w:szCs w:val="21"/>
        </w:rPr>
      </w:pPr>
      <w:bookmarkStart w:id="113" w:name="_Toc239656580"/>
      <w:bookmarkStart w:id="114" w:name="_Toc82324369"/>
      <w:r>
        <w:rPr>
          <w:rFonts w:hint="eastAsia" w:ascii="宋体" w:hAnsi="宋体" w:cs="宋体"/>
          <w:szCs w:val="21"/>
        </w:rPr>
        <w:t>1.1“合同”系指买卖双方签署的、合同格式中载明的买卖双方所达成的协议，包括所有的附件、附录和构成合同的其它文件。</w:t>
      </w:r>
    </w:p>
    <w:p>
      <w:pPr>
        <w:spacing w:line="500" w:lineRule="exact"/>
        <w:ind w:firstLine="420" w:firstLineChars="200"/>
        <w:rPr>
          <w:rFonts w:ascii="宋体" w:hAnsi="宋体" w:cs="宋体"/>
          <w:szCs w:val="21"/>
        </w:rPr>
      </w:pPr>
      <w:r>
        <w:rPr>
          <w:rFonts w:hint="eastAsia" w:ascii="宋体" w:hAnsi="宋体" w:cs="宋体"/>
          <w:szCs w:val="21"/>
        </w:rPr>
        <w:t>1.2“合同款”系指根据合同约定，乙方在完全履行合同义务后招标人应付给乙方的款项。</w:t>
      </w:r>
    </w:p>
    <w:p>
      <w:pPr>
        <w:spacing w:line="500" w:lineRule="exact"/>
        <w:ind w:firstLine="420" w:firstLineChars="200"/>
        <w:rPr>
          <w:rFonts w:ascii="宋体" w:hAnsi="宋体" w:cs="宋体"/>
          <w:szCs w:val="21"/>
        </w:rPr>
      </w:pPr>
      <w:r>
        <w:rPr>
          <w:rFonts w:hint="eastAsia" w:ascii="宋体" w:hAnsi="宋体" w:cs="宋体"/>
          <w:szCs w:val="21"/>
        </w:rPr>
        <w:t>1.3“人员”系指作为雇员由乙方所雇佣并被分配执行服务或其任何部分的人员。</w:t>
      </w:r>
    </w:p>
    <w:p>
      <w:pPr>
        <w:spacing w:line="500" w:lineRule="exact"/>
        <w:ind w:firstLine="420" w:firstLineChars="200"/>
        <w:rPr>
          <w:rFonts w:ascii="宋体" w:hAnsi="宋体" w:cs="宋体"/>
          <w:szCs w:val="21"/>
        </w:rPr>
      </w:pPr>
      <w:r>
        <w:rPr>
          <w:rFonts w:hint="eastAsia" w:ascii="宋体" w:hAnsi="宋体" w:cs="宋体"/>
          <w:szCs w:val="21"/>
        </w:rPr>
        <w:t>1.4“货物”系指由乙方根据合同所实施的工作。</w:t>
      </w:r>
    </w:p>
    <w:p>
      <w:pPr>
        <w:spacing w:line="500" w:lineRule="exact"/>
        <w:ind w:firstLine="420" w:firstLineChars="200"/>
        <w:rPr>
          <w:rFonts w:ascii="宋体" w:hAnsi="宋体" w:cs="宋体"/>
          <w:szCs w:val="21"/>
        </w:rPr>
      </w:pPr>
      <w:r>
        <w:rPr>
          <w:rFonts w:hint="eastAsia" w:ascii="宋体" w:hAnsi="宋体" w:cs="宋体"/>
          <w:szCs w:val="21"/>
        </w:rPr>
        <w:t>1.6“招标人”系指与成交人签署服务合同的单位（含最终用户），即买方。</w:t>
      </w:r>
    </w:p>
    <w:p>
      <w:pPr>
        <w:spacing w:line="500" w:lineRule="exact"/>
        <w:ind w:firstLine="420" w:firstLineChars="200"/>
        <w:rPr>
          <w:rFonts w:ascii="宋体" w:hAnsi="宋体" w:cs="宋体"/>
          <w:szCs w:val="21"/>
        </w:rPr>
      </w:pPr>
      <w:r>
        <w:rPr>
          <w:rFonts w:hint="eastAsia" w:ascii="宋体" w:hAnsi="宋体" w:cs="宋体"/>
          <w:szCs w:val="21"/>
        </w:rPr>
        <w:t>1.7“乙方”系指根据合同约定提供服务的中标人，即卖方。</w:t>
      </w:r>
    </w:p>
    <w:p>
      <w:pPr>
        <w:spacing w:line="500" w:lineRule="exact"/>
        <w:ind w:firstLine="420" w:firstLineChars="200"/>
        <w:rPr>
          <w:rFonts w:ascii="宋体" w:hAnsi="宋体" w:cs="宋体"/>
          <w:szCs w:val="21"/>
        </w:rPr>
      </w:pPr>
      <w:r>
        <w:rPr>
          <w:rFonts w:hint="eastAsia" w:ascii="宋体" w:hAnsi="宋体" w:cs="宋体"/>
          <w:szCs w:val="21"/>
        </w:rPr>
        <w:t>1.8“天”系指日历天数。</w:t>
      </w:r>
    </w:p>
    <w:p>
      <w:pPr>
        <w:spacing w:line="500" w:lineRule="exact"/>
        <w:ind w:firstLine="420" w:firstLineChars="200"/>
        <w:rPr>
          <w:rFonts w:ascii="宋体" w:hAnsi="宋体" w:cs="宋体"/>
          <w:szCs w:val="21"/>
        </w:rPr>
      </w:pPr>
      <w:bookmarkStart w:id="115" w:name="_Toc422141872"/>
      <w:bookmarkStart w:id="116" w:name="_Toc6125"/>
      <w:bookmarkStart w:id="117" w:name="_Toc31521"/>
      <w:r>
        <w:rPr>
          <w:rFonts w:hint="eastAsia" w:ascii="宋体" w:hAnsi="宋体" w:cs="宋体"/>
          <w:szCs w:val="21"/>
        </w:rPr>
        <w:t>2.供货内容</w:t>
      </w:r>
      <w:bookmarkEnd w:id="113"/>
      <w:bookmarkEnd w:id="114"/>
      <w:bookmarkEnd w:id="115"/>
      <w:bookmarkEnd w:id="116"/>
      <w:bookmarkEnd w:id="117"/>
    </w:p>
    <w:p>
      <w:pPr>
        <w:spacing w:line="500" w:lineRule="exact"/>
        <w:ind w:firstLine="420" w:firstLineChars="200"/>
        <w:rPr>
          <w:rFonts w:ascii="宋体" w:hAnsi="宋体" w:cs="宋体"/>
          <w:szCs w:val="21"/>
        </w:rPr>
      </w:pPr>
      <w:r>
        <w:rPr>
          <w:rFonts w:hint="eastAsia" w:ascii="宋体" w:hAnsi="宋体" w:cs="宋体"/>
          <w:szCs w:val="21"/>
        </w:rPr>
        <w:t>2.1乙方所有任务执行在不违反且不低于《招标文件》中要求的前提下，按照投标文件要求，完成招标人的供货任务，满足中标货物指标、数量要求。</w:t>
      </w:r>
    </w:p>
    <w:p>
      <w:pPr>
        <w:spacing w:line="500" w:lineRule="exact"/>
        <w:ind w:firstLine="420" w:firstLineChars="200"/>
        <w:rPr>
          <w:rFonts w:ascii="宋体" w:hAnsi="宋体" w:cs="宋体"/>
          <w:szCs w:val="21"/>
        </w:rPr>
      </w:pPr>
      <w:r>
        <w:rPr>
          <w:rFonts w:hint="eastAsia" w:ascii="宋体" w:hAnsi="宋体" w:cs="宋体"/>
          <w:szCs w:val="21"/>
        </w:rPr>
        <w:t>2.2要求乙方提供本合同所要求完成的任务，并达到相应的水平。</w:t>
      </w:r>
    </w:p>
    <w:p>
      <w:pPr>
        <w:spacing w:line="500" w:lineRule="exact"/>
        <w:ind w:firstLine="420" w:firstLineChars="200"/>
        <w:rPr>
          <w:rFonts w:ascii="宋体" w:hAnsi="宋体" w:cs="宋体"/>
          <w:szCs w:val="21"/>
        </w:rPr>
      </w:pPr>
      <w:r>
        <w:rPr>
          <w:rFonts w:hint="eastAsia" w:ascii="宋体" w:hAnsi="宋体" w:cs="宋体"/>
          <w:szCs w:val="21"/>
        </w:rPr>
        <w:t>2.3乙方按照招标人要求的时间按时完成项目各项内容并提供相应的服务，达到相应水平。</w:t>
      </w:r>
    </w:p>
    <w:p>
      <w:pPr>
        <w:spacing w:line="500" w:lineRule="exact"/>
        <w:ind w:firstLine="420" w:firstLineChars="200"/>
        <w:rPr>
          <w:rFonts w:ascii="宋体" w:hAnsi="宋体" w:cs="宋体"/>
          <w:szCs w:val="21"/>
        </w:rPr>
      </w:pPr>
      <w:bookmarkStart w:id="118" w:name="_Toc422141873"/>
      <w:bookmarkStart w:id="119" w:name="_Toc19614"/>
      <w:bookmarkStart w:id="120" w:name="_Toc4656"/>
      <w:r>
        <w:rPr>
          <w:rFonts w:hint="eastAsia" w:ascii="宋体" w:hAnsi="宋体" w:cs="宋体"/>
          <w:szCs w:val="21"/>
        </w:rPr>
        <w:t>3.供货数量、服务地点、时间及人员</w:t>
      </w:r>
      <w:bookmarkEnd w:id="118"/>
      <w:bookmarkEnd w:id="119"/>
      <w:bookmarkEnd w:id="120"/>
    </w:p>
    <w:p>
      <w:pPr>
        <w:spacing w:line="500" w:lineRule="exact"/>
        <w:ind w:firstLine="420" w:firstLineChars="200"/>
        <w:rPr>
          <w:rFonts w:ascii="宋体" w:hAnsi="宋体" w:cs="宋体"/>
          <w:szCs w:val="21"/>
        </w:rPr>
      </w:pPr>
      <w:r>
        <w:rPr>
          <w:rFonts w:hint="eastAsia" w:ascii="宋体" w:hAnsi="宋体" w:cs="宋体"/>
          <w:szCs w:val="21"/>
        </w:rPr>
        <w:t>3.1供货数量</w:t>
      </w: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211"/>
        <w:gridCol w:w="1284"/>
        <w:gridCol w:w="1212"/>
        <w:gridCol w:w="1212"/>
        <w:gridCol w:w="1212"/>
        <w:gridCol w:w="125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vAlign w:val="center"/>
          </w:tcPr>
          <w:p>
            <w:pPr>
              <w:spacing w:line="500" w:lineRule="exact"/>
              <w:jc w:val="center"/>
              <w:rPr>
                <w:rFonts w:ascii="宋体" w:hAnsi="宋体" w:cs="宋体"/>
                <w:szCs w:val="21"/>
              </w:rPr>
            </w:pPr>
            <w:r>
              <w:rPr>
                <w:rFonts w:hint="eastAsia" w:ascii="宋体" w:hAnsi="宋体" w:cs="宋体"/>
                <w:szCs w:val="21"/>
              </w:rPr>
              <w:t>序号</w:t>
            </w:r>
          </w:p>
        </w:tc>
        <w:tc>
          <w:tcPr>
            <w:tcW w:w="1211" w:type="dxa"/>
            <w:vAlign w:val="center"/>
          </w:tcPr>
          <w:p>
            <w:pPr>
              <w:spacing w:line="500" w:lineRule="exact"/>
              <w:jc w:val="center"/>
              <w:rPr>
                <w:rFonts w:ascii="宋体" w:hAnsi="宋体" w:cs="宋体"/>
                <w:szCs w:val="21"/>
              </w:rPr>
            </w:pPr>
            <w:r>
              <w:rPr>
                <w:rFonts w:hint="eastAsia" w:ascii="宋体" w:hAnsi="宋体" w:cs="宋体"/>
                <w:szCs w:val="21"/>
              </w:rPr>
              <w:t>采购内容及品名</w:t>
            </w:r>
          </w:p>
        </w:tc>
        <w:tc>
          <w:tcPr>
            <w:tcW w:w="1284" w:type="dxa"/>
            <w:vAlign w:val="center"/>
          </w:tcPr>
          <w:p>
            <w:pPr>
              <w:spacing w:line="500" w:lineRule="exact"/>
              <w:jc w:val="center"/>
              <w:rPr>
                <w:rFonts w:ascii="宋体" w:hAnsi="宋体" w:cs="宋体"/>
                <w:szCs w:val="21"/>
              </w:rPr>
            </w:pPr>
            <w:r>
              <w:rPr>
                <w:rFonts w:hint="eastAsia" w:ascii="宋体" w:hAnsi="宋体" w:cs="宋体"/>
                <w:szCs w:val="21"/>
              </w:rPr>
              <w:t>规格、型号</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品牌</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生产厂家</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数量</w:t>
            </w:r>
          </w:p>
        </w:tc>
        <w:tc>
          <w:tcPr>
            <w:tcW w:w="1258" w:type="dxa"/>
            <w:vAlign w:val="center"/>
          </w:tcPr>
          <w:p>
            <w:pPr>
              <w:spacing w:line="500" w:lineRule="exact"/>
              <w:jc w:val="center"/>
              <w:rPr>
                <w:rFonts w:ascii="宋体" w:hAnsi="宋体" w:cs="宋体"/>
                <w:szCs w:val="21"/>
              </w:rPr>
            </w:pPr>
            <w:r>
              <w:rPr>
                <w:rFonts w:hint="eastAsia" w:ascii="宋体" w:hAnsi="宋体" w:cs="宋体"/>
                <w:szCs w:val="21"/>
              </w:rPr>
              <w:t>单价（元）</w:t>
            </w:r>
          </w:p>
        </w:tc>
        <w:tc>
          <w:tcPr>
            <w:tcW w:w="1142" w:type="dxa"/>
            <w:vAlign w:val="center"/>
          </w:tcPr>
          <w:p>
            <w:pPr>
              <w:spacing w:line="500" w:lineRule="exact"/>
              <w:jc w:val="center"/>
              <w:rPr>
                <w:rFonts w:ascii="宋体" w:hAnsi="宋体" w:cs="宋体"/>
                <w:szCs w:val="21"/>
              </w:rPr>
            </w:pPr>
            <w:r>
              <w:rPr>
                <w:rFonts w:hint="eastAsia" w:ascii="宋体" w:hAnsi="宋体" w:cs="宋体"/>
                <w:szCs w:val="21"/>
              </w:rPr>
              <w:t>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bl>
    <w:p>
      <w:pPr>
        <w:spacing w:line="500" w:lineRule="exact"/>
        <w:ind w:firstLine="420" w:firstLineChars="200"/>
        <w:rPr>
          <w:rFonts w:ascii="宋体" w:hAnsi="宋体" w:cs="宋体"/>
          <w:szCs w:val="21"/>
        </w:rPr>
      </w:pPr>
      <w:r>
        <w:rPr>
          <w:rFonts w:hint="eastAsia" w:ascii="宋体" w:hAnsi="宋体" w:cs="宋体"/>
          <w:szCs w:val="21"/>
        </w:rPr>
        <w:t>3.2供货地点和时间</w:t>
      </w:r>
    </w:p>
    <w:p>
      <w:pPr>
        <w:spacing w:line="500" w:lineRule="exact"/>
        <w:ind w:firstLine="420" w:firstLineChars="200"/>
        <w:rPr>
          <w:rFonts w:ascii="宋体" w:hAnsi="宋体" w:cs="宋体"/>
          <w:szCs w:val="21"/>
        </w:rPr>
      </w:pPr>
      <w:r>
        <w:rPr>
          <w:rFonts w:hint="eastAsia" w:ascii="宋体" w:hAnsi="宋体" w:cs="宋体"/>
          <w:szCs w:val="21"/>
        </w:rPr>
        <w:t>3.2.1乙方为招标人提供的供货时间为</w:t>
      </w:r>
      <w:r>
        <w:rPr>
          <w:rFonts w:hint="eastAsia" w:ascii="宋体" w:hAnsi="宋体" w:cs="宋体"/>
          <w:szCs w:val="21"/>
          <w:u w:val="single"/>
        </w:rPr>
        <w:t xml:space="preserve">    年  月  日到    年  月  日</w:t>
      </w:r>
      <w:r>
        <w:rPr>
          <w:rFonts w:hint="eastAsia" w:ascii="宋体" w:hAnsi="宋体" w:cs="宋体"/>
          <w:szCs w:val="21"/>
        </w:rPr>
        <w:t>。</w:t>
      </w:r>
    </w:p>
    <w:p>
      <w:pPr>
        <w:spacing w:before="159" w:beforeLines="50" w:after="159" w:afterLines="50" w:line="500" w:lineRule="exact"/>
        <w:ind w:firstLine="420" w:firstLineChars="200"/>
        <w:rPr>
          <w:rFonts w:ascii="宋体" w:hAnsi="宋体"/>
          <w:b/>
          <w:szCs w:val="21"/>
        </w:rPr>
      </w:pPr>
      <w:r>
        <w:rPr>
          <w:rFonts w:hint="eastAsia" w:ascii="宋体" w:hAnsi="宋体" w:cs="宋体"/>
          <w:szCs w:val="21"/>
        </w:rPr>
        <w:t>供货地点：</w:t>
      </w:r>
      <w:r>
        <w:rPr>
          <w:rFonts w:hint="eastAsia" w:hAnsi="宋体"/>
          <w:szCs w:val="21"/>
        </w:rPr>
        <w:t>招标人指定地点。</w:t>
      </w:r>
    </w:p>
    <w:p>
      <w:pPr>
        <w:spacing w:line="500" w:lineRule="exact"/>
        <w:ind w:firstLine="420" w:firstLineChars="200"/>
        <w:rPr>
          <w:rFonts w:ascii="宋体" w:hAnsi="宋体" w:cs="宋体"/>
          <w:szCs w:val="21"/>
        </w:rPr>
      </w:pPr>
      <w:r>
        <w:rPr>
          <w:rFonts w:hint="eastAsia" w:ascii="宋体" w:hAnsi="宋体" w:cs="宋体"/>
          <w:szCs w:val="21"/>
        </w:rPr>
        <w:t>3.3指派服务人员：</w:t>
      </w:r>
      <w:r>
        <w:rPr>
          <w:rFonts w:hint="eastAsia" w:ascii="宋体" w:hAnsi="宋体" w:cs="宋体"/>
          <w:szCs w:val="21"/>
          <w:u w:val="single"/>
        </w:rPr>
        <w:t xml:space="preserve">                        </w:t>
      </w:r>
      <w:r>
        <w:rPr>
          <w:rFonts w:hint="eastAsia" w:ascii="宋体" w:hAnsi="宋体" w:cs="宋体"/>
          <w:szCs w:val="21"/>
        </w:rPr>
        <w:t>（人员配置要求必须满足项目服务要求）。</w:t>
      </w:r>
    </w:p>
    <w:p>
      <w:pPr>
        <w:spacing w:line="500" w:lineRule="exact"/>
        <w:ind w:firstLine="420" w:firstLineChars="200"/>
        <w:rPr>
          <w:rFonts w:ascii="宋体" w:hAnsi="宋体" w:cs="宋体"/>
          <w:szCs w:val="21"/>
        </w:rPr>
      </w:pPr>
      <w:r>
        <w:rPr>
          <w:rFonts w:hint="eastAsia" w:ascii="宋体" w:hAnsi="宋体" w:cs="宋体"/>
          <w:szCs w:val="21"/>
        </w:rPr>
        <w:t>3.4乙方指定服务人员姓名</w:t>
      </w:r>
      <w:r>
        <w:rPr>
          <w:rFonts w:hint="eastAsia" w:ascii="宋体" w:hAnsi="宋体" w:cs="宋体"/>
          <w:szCs w:val="21"/>
          <w:u w:val="single"/>
        </w:rPr>
        <w:t xml:space="preserve">        </w:t>
      </w:r>
      <w:r>
        <w:rPr>
          <w:rFonts w:hint="eastAsia" w:ascii="宋体" w:hAnsi="宋体" w:cs="宋体"/>
          <w:szCs w:val="21"/>
        </w:rPr>
        <w:t>联系电话：</w:t>
      </w: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121" w:name="_Toc8195"/>
      <w:bookmarkStart w:id="122" w:name="_Toc422141874"/>
      <w:bookmarkStart w:id="123" w:name="_Toc25801"/>
      <w:r>
        <w:rPr>
          <w:rFonts w:hint="eastAsia" w:ascii="宋体" w:hAnsi="宋体" w:cs="宋体"/>
          <w:szCs w:val="21"/>
        </w:rPr>
        <w:t>4.权利和义务</w:t>
      </w:r>
      <w:bookmarkEnd w:id="121"/>
      <w:bookmarkEnd w:id="122"/>
      <w:bookmarkEnd w:id="123"/>
    </w:p>
    <w:p>
      <w:pPr>
        <w:spacing w:line="500" w:lineRule="exact"/>
        <w:ind w:firstLine="422" w:firstLineChars="200"/>
        <w:rPr>
          <w:rFonts w:ascii="宋体" w:hAnsi="宋体" w:cs="宋体"/>
          <w:b/>
          <w:bCs/>
          <w:szCs w:val="21"/>
        </w:rPr>
      </w:pPr>
      <w:r>
        <w:rPr>
          <w:rFonts w:hint="eastAsia" w:ascii="宋体" w:hAnsi="宋体" w:cs="宋体"/>
          <w:b/>
          <w:bCs/>
          <w:szCs w:val="21"/>
        </w:rPr>
        <w:t>4.1招标人的权利和义务</w:t>
      </w:r>
    </w:p>
    <w:p>
      <w:pPr>
        <w:spacing w:line="500" w:lineRule="exact"/>
        <w:ind w:firstLine="420" w:firstLineChars="200"/>
        <w:rPr>
          <w:rFonts w:ascii="宋体" w:hAnsi="宋体" w:cs="宋体"/>
          <w:szCs w:val="21"/>
        </w:rPr>
      </w:pPr>
      <w:r>
        <w:rPr>
          <w:rFonts w:hint="eastAsia" w:ascii="宋体" w:hAnsi="宋体" w:cs="宋体"/>
          <w:szCs w:val="21"/>
        </w:rPr>
        <w:t>4.1.1招标人有权指派专门人员或者单位对乙方的工作进行全程监督管理。</w:t>
      </w:r>
    </w:p>
    <w:p>
      <w:pPr>
        <w:spacing w:line="500" w:lineRule="exact"/>
        <w:ind w:firstLine="420" w:firstLineChars="200"/>
        <w:rPr>
          <w:rFonts w:ascii="宋体" w:hAnsi="宋体" w:cs="宋体"/>
          <w:szCs w:val="21"/>
        </w:rPr>
      </w:pPr>
      <w:r>
        <w:rPr>
          <w:rFonts w:hint="eastAsia" w:ascii="宋体" w:hAnsi="宋体" w:cs="宋体"/>
          <w:szCs w:val="21"/>
        </w:rPr>
        <w:t>4.1.2招标人有权得到符合合同要求的所有货物及配套服务。</w:t>
      </w:r>
    </w:p>
    <w:p>
      <w:pPr>
        <w:spacing w:line="500" w:lineRule="exact"/>
        <w:ind w:firstLine="420" w:firstLineChars="200"/>
        <w:rPr>
          <w:rFonts w:ascii="宋体" w:hAnsi="宋体" w:cs="宋体"/>
          <w:szCs w:val="21"/>
        </w:rPr>
      </w:pPr>
      <w:r>
        <w:rPr>
          <w:rFonts w:hint="eastAsia" w:ascii="宋体" w:hAnsi="宋体" w:cs="宋体"/>
          <w:szCs w:val="21"/>
        </w:rPr>
        <w:t>4.1.3招标人应按合同约定向乙方支付项目合同下款项。如乙方货物或服务未达到合同要求，招标人有权拒付未达要求部分的款项。</w:t>
      </w:r>
    </w:p>
    <w:p>
      <w:pPr>
        <w:spacing w:line="500" w:lineRule="exact"/>
        <w:ind w:firstLine="420" w:firstLineChars="200"/>
        <w:rPr>
          <w:rFonts w:ascii="宋体" w:hAnsi="宋体" w:cs="宋体"/>
          <w:szCs w:val="21"/>
        </w:rPr>
      </w:pPr>
      <w:r>
        <w:rPr>
          <w:rFonts w:hint="eastAsia" w:ascii="宋体" w:hAnsi="宋体" w:cs="宋体"/>
          <w:szCs w:val="21"/>
        </w:rPr>
        <w:t>4.1.4招标人有权要求乙方提供与相关服务内容有关的相关信息</w:t>
      </w:r>
    </w:p>
    <w:p>
      <w:pPr>
        <w:spacing w:line="500" w:lineRule="exact"/>
        <w:ind w:firstLine="420" w:firstLineChars="200"/>
        <w:rPr>
          <w:rFonts w:ascii="宋体" w:hAnsi="宋体" w:cs="宋体"/>
          <w:szCs w:val="21"/>
        </w:rPr>
      </w:pPr>
      <w:r>
        <w:rPr>
          <w:rFonts w:hint="eastAsia" w:ascii="宋体" w:hAnsi="宋体" w:cs="宋体"/>
          <w:szCs w:val="21"/>
        </w:rPr>
        <w:t>4.1.5乙方完成所有协议约定内容后，招标人根据项目实施情况出具的客观公证的书面用户验收意见。</w:t>
      </w:r>
    </w:p>
    <w:p>
      <w:pPr>
        <w:spacing w:line="500" w:lineRule="exact"/>
        <w:ind w:firstLine="422" w:firstLineChars="200"/>
        <w:rPr>
          <w:rFonts w:ascii="宋体" w:hAnsi="宋体" w:cs="宋体"/>
          <w:b/>
          <w:bCs/>
          <w:szCs w:val="21"/>
        </w:rPr>
      </w:pPr>
      <w:r>
        <w:rPr>
          <w:rFonts w:hint="eastAsia" w:ascii="宋体" w:hAnsi="宋体" w:cs="宋体"/>
          <w:b/>
          <w:bCs/>
          <w:szCs w:val="21"/>
        </w:rPr>
        <w:t>4.2乙方的权利和义务</w:t>
      </w:r>
    </w:p>
    <w:p>
      <w:pPr>
        <w:spacing w:line="500" w:lineRule="exact"/>
        <w:ind w:firstLine="420" w:firstLineChars="200"/>
        <w:rPr>
          <w:rFonts w:ascii="宋体" w:hAnsi="宋体" w:cs="宋体"/>
          <w:szCs w:val="21"/>
        </w:rPr>
      </w:pPr>
      <w:r>
        <w:rPr>
          <w:rFonts w:hint="eastAsia" w:ascii="宋体" w:hAnsi="宋体" w:cs="宋体"/>
          <w:szCs w:val="21"/>
        </w:rPr>
        <w:t>4.2.1合作过程中乙方应指派专门的业务负责人负责合作事项的全程沟通及协调工作。</w:t>
      </w:r>
    </w:p>
    <w:p>
      <w:pPr>
        <w:spacing w:line="500" w:lineRule="exact"/>
        <w:ind w:firstLine="420" w:firstLineChars="200"/>
        <w:rPr>
          <w:rFonts w:ascii="宋体" w:hAnsi="宋体" w:cs="宋体"/>
          <w:szCs w:val="21"/>
        </w:rPr>
      </w:pPr>
      <w:r>
        <w:rPr>
          <w:rFonts w:hint="eastAsia" w:ascii="宋体" w:hAnsi="宋体" w:cs="宋体"/>
          <w:szCs w:val="21"/>
        </w:rPr>
        <w:t>4.2.2乙方应遵守招标人关于合作事项的各项管理规定，及时报告工作进度，在规定时间内完成相应的交货任务。</w:t>
      </w:r>
    </w:p>
    <w:p>
      <w:pPr>
        <w:spacing w:line="500" w:lineRule="exact"/>
        <w:ind w:firstLine="420" w:firstLineChars="200"/>
        <w:rPr>
          <w:rFonts w:ascii="宋体" w:hAnsi="宋体" w:cs="宋体"/>
          <w:szCs w:val="21"/>
        </w:rPr>
      </w:pPr>
      <w:r>
        <w:rPr>
          <w:rFonts w:hint="eastAsia" w:ascii="宋体" w:hAnsi="宋体" w:cs="宋体"/>
          <w:szCs w:val="21"/>
        </w:rPr>
        <w:t>4.2.3招标人在工作质量、工作进度、工作内容等方面提出意见及建议，乙方应及时响应并有效改进。</w:t>
      </w:r>
    </w:p>
    <w:p>
      <w:pPr>
        <w:spacing w:line="500" w:lineRule="exact"/>
        <w:ind w:firstLine="420" w:firstLineChars="200"/>
        <w:rPr>
          <w:rFonts w:ascii="宋体" w:hAnsi="宋体" w:cs="宋体"/>
          <w:szCs w:val="21"/>
        </w:rPr>
      </w:pPr>
      <w:r>
        <w:rPr>
          <w:rFonts w:hint="eastAsia" w:ascii="宋体" w:hAnsi="宋体" w:cs="宋体"/>
          <w:szCs w:val="21"/>
        </w:rPr>
        <w:t>4.2.4未经招标人批准，乙方不得将在本合同服务内容的任何部分分配或分包给其他任何人或公司。任何未经招标人批准的转包行为均视为违约。</w:t>
      </w:r>
    </w:p>
    <w:p>
      <w:pPr>
        <w:spacing w:line="500" w:lineRule="exact"/>
        <w:ind w:firstLine="420" w:firstLineChars="200"/>
        <w:rPr>
          <w:rFonts w:ascii="宋体" w:hAnsi="宋体" w:cs="宋体"/>
          <w:szCs w:val="21"/>
        </w:rPr>
      </w:pPr>
      <w:bookmarkStart w:id="124" w:name="_Toc5417"/>
      <w:bookmarkStart w:id="125" w:name="_Toc18963"/>
      <w:bookmarkStart w:id="126" w:name="_Toc422141875"/>
      <w:r>
        <w:rPr>
          <w:rFonts w:hint="eastAsia" w:ascii="宋体" w:hAnsi="宋体" w:cs="宋体"/>
          <w:szCs w:val="21"/>
        </w:rPr>
        <w:t>5.合同总价及支付方式</w:t>
      </w:r>
      <w:bookmarkEnd w:id="124"/>
      <w:bookmarkEnd w:id="125"/>
      <w:bookmarkEnd w:id="126"/>
    </w:p>
    <w:p>
      <w:pPr>
        <w:spacing w:line="500" w:lineRule="exact"/>
        <w:ind w:firstLine="420" w:firstLineChars="200"/>
        <w:rPr>
          <w:rFonts w:ascii="宋体" w:hAnsi="宋体" w:cs="宋体"/>
          <w:szCs w:val="21"/>
        </w:rPr>
      </w:pPr>
      <w:r>
        <w:rPr>
          <w:rFonts w:hint="eastAsia" w:ascii="宋体" w:hAnsi="宋体" w:cs="宋体"/>
          <w:szCs w:val="21"/>
        </w:rPr>
        <w:t>5.1本合同总价为￥</w:t>
      </w:r>
      <w:r>
        <w:rPr>
          <w:rFonts w:hint="eastAsia" w:ascii="宋体" w:hAnsi="宋体" w:cs="宋体"/>
          <w:szCs w:val="21"/>
          <w:u w:val="single"/>
        </w:rPr>
        <w:t>　　　　</w:t>
      </w:r>
      <w:r>
        <w:rPr>
          <w:rFonts w:hint="eastAsia" w:ascii="宋体" w:hAnsi="宋体" w:cs="宋体"/>
          <w:szCs w:val="21"/>
        </w:rPr>
        <w:t>元（大写：人民币</w:t>
      </w:r>
      <w:r>
        <w:rPr>
          <w:rFonts w:hint="eastAsia" w:ascii="宋体" w:hAnsi="宋体" w:cs="宋体"/>
          <w:szCs w:val="21"/>
          <w:u w:val="single"/>
        </w:rPr>
        <w:t>　　　　　　</w:t>
      </w:r>
      <w:r>
        <w:rPr>
          <w:rFonts w:hint="eastAsia" w:ascii="宋体" w:hAnsi="宋体" w:cs="宋体"/>
          <w:szCs w:val="21"/>
        </w:rPr>
        <w:t>）。</w:t>
      </w:r>
    </w:p>
    <w:p>
      <w:pPr>
        <w:spacing w:line="500" w:lineRule="exact"/>
        <w:ind w:firstLine="420" w:firstLineChars="200"/>
        <w:rPr>
          <w:rFonts w:ascii="宋体" w:hAnsi="宋体" w:cs="宋体"/>
          <w:spacing w:val="10"/>
          <w:szCs w:val="21"/>
        </w:rPr>
      </w:pPr>
      <w:r>
        <w:rPr>
          <w:rFonts w:hint="eastAsia" w:ascii="宋体" w:hAnsi="宋体" w:cs="宋体"/>
          <w:szCs w:val="21"/>
        </w:rPr>
        <w:t>5.2</w:t>
      </w:r>
      <w:r>
        <w:rPr>
          <w:rFonts w:hint="eastAsia" w:ascii="宋体" w:hAnsi="宋体" w:cs="宋体"/>
          <w:spacing w:val="10"/>
          <w:szCs w:val="21"/>
        </w:rPr>
        <w:t>具体付款方式如下：甲乙双方商定</w:t>
      </w:r>
    </w:p>
    <w:p>
      <w:pPr>
        <w:spacing w:line="500" w:lineRule="exact"/>
        <w:ind w:firstLine="420" w:firstLineChars="200"/>
        <w:rPr>
          <w:rFonts w:ascii="宋体" w:hAnsi="宋体" w:cs="宋体"/>
          <w:szCs w:val="21"/>
        </w:rPr>
      </w:pPr>
      <w:bookmarkStart w:id="127" w:name="_Toc21953"/>
      <w:bookmarkStart w:id="128" w:name="_Toc23683"/>
      <w:bookmarkStart w:id="129" w:name="_Toc422141876"/>
      <w:bookmarkStart w:id="130" w:name="_Toc487900351"/>
      <w:bookmarkStart w:id="131" w:name="_Toc155238625"/>
      <w:bookmarkStart w:id="132" w:name="_Toc185392194"/>
      <w:bookmarkStart w:id="133" w:name="_Toc168284712"/>
      <w:bookmarkStart w:id="134" w:name="_Toc192415696"/>
      <w:r>
        <w:rPr>
          <w:rFonts w:hint="eastAsia" w:ascii="宋体" w:hAnsi="宋体" w:cs="宋体"/>
          <w:szCs w:val="21"/>
        </w:rPr>
        <w:t>6.违约责任</w:t>
      </w:r>
      <w:bookmarkEnd w:id="127"/>
      <w:bookmarkEnd w:id="128"/>
      <w:bookmarkEnd w:id="129"/>
    </w:p>
    <w:p>
      <w:pPr>
        <w:spacing w:line="500" w:lineRule="exact"/>
        <w:ind w:firstLine="422" w:firstLineChars="200"/>
        <w:rPr>
          <w:rFonts w:ascii="宋体" w:hAnsi="宋体"/>
          <w:b/>
          <w:szCs w:val="21"/>
        </w:rPr>
      </w:pPr>
      <w:r>
        <w:rPr>
          <w:rFonts w:hint="eastAsia" w:ascii="宋体" w:hAnsi="宋体"/>
          <w:b/>
          <w:szCs w:val="21"/>
        </w:rPr>
        <w:t>6.1.1乙方交付的货物不符合《招标文件》、《投标文件》或本合同规定的，招标人有权拒收，并且乙方须按招标人支付合同总价的2%的违约金。</w:t>
      </w:r>
    </w:p>
    <w:p>
      <w:pPr>
        <w:spacing w:line="500" w:lineRule="exact"/>
        <w:ind w:firstLine="422" w:firstLineChars="200"/>
        <w:rPr>
          <w:rFonts w:ascii="宋体" w:hAnsi="宋体"/>
          <w:b/>
          <w:szCs w:val="21"/>
        </w:rPr>
      </w:pPr>
      <w:r>
        <w:rPr>
          <w:rFonts w:hint="eastAsia" w:ascii="宋体" w:hAnsi="宋体"/>
          <w:b/>
          <w:szCs w:val="21"/>
        </w:rPr>
        <w:t>6.1.2乙方未能按本合同规定的交货时间交付货物或提供服务的，从逾期之日起每日按本合同总价2%的数额向招标人支付违约金；逾期半个月以上的，招标人有权终止合同，由此造成的招标人经济损失由乙方承担。</w:t>
      </w:r>
    </w:p>
    <w:p>
      <w:pPr>
        <w:spacing w:line="500" w:lineRule="exact"/>
        <w:ind w:firstLine="422" w:firstLineChars="200"/>
        <w:rPr>
          <w:rFonts w:ascii="宋体" w:hAnsi="宋体"/>
          <w:b/>
          <w:szCs w:val="21"/>
        </w:rPr>
      </w:pPr>
      <w:r>
        <w:rPr>
          <w:rFonts w:hint="eastAsia" w:ascii="宋体" w:hAnsi="宋体"/>
          <w:b/>
          <w:szCs w:val="21"/>
        </w:rPr>
        <w:t>6.1.3招标人无正当理由拒收货物或服务时，到期拒付货物或服务款项的，招标人向乙方赔付本合同总价2%的违约金。招标人如逾期付款，则每日按本合同总价的2%向乙方偿付违约金。</w:t>
      </w:r>
    </w:p>
    <w:p>
      <w:pPr>
        <w:spacing w:line="500" w:lineRule="exact"/>
        <w:ind w:firstLine="420" w:firstLineChars="200"/>
        <w:rPr>
          <w:rFonts w:ascii="宋体" w:hAnsi="宋体" w:cs="宋体"/>
          <w:szCs w:val="21"/>
        </w:rPr>
      </w:pPr>
      <w:r>
        <w:rPr>
          <w:rFonts w:hint="eastAsia" w:ascii="宋体" w:hAnsi="宋体" w:cs="宋体"/>
          <w:szCs w:val="21"/>
        </w:rPr>
        <w:t>6.2因乙方行为违反法律规定产生引起的民事和刑事责任由乙方承担。</w:t>
      </w:r>
    </w:p>
    <w:p>
      <w:pPr>
        <w:spacing w:line="500" w:lineRule="exact"/>
        <w:ind w:firstLine="420" w:firstLineChars="200"/>
        <w:rPr>
          <w:rFonts w:ascii="宋体" w:hAnsi="宋体" w:cs="宋体"/>
          <w:szCs w:val="21"/>
        </w:rPr>
      </w:pPr>
      <w:r>
        <w:rPr>
          <w:rFonts w:hint="eastAsia" w:ascii="宋体" w:hAnsi="宋体" w:cs="宋体"/>
          <w:szCs w:val="21"/>
        </w:rPr>
        <w:t>6.3因乙方行为侵害第三方权益的，责任和相关损失由乙方承担。</w:t>
      </w:r>
    </w:p>
    <w:p>
      <w:pPr>
        <w:spacing w:line="500" w:lineRule="exact"/>
        <w:ind w:firstLine="420" w:firstLineChars="200"/>
        <w:rPr>
          <w:rFonts w:ascii="宋体" w:hAnsi="宋体" w:cs="宋体"/>
          <w:szCs w:val="21"/>
        </w:rPr>
      </w:pPr>
      <w:r>
        <w:rPr>
          <w:rFonts w:hint="eastAsia" w:ascii="宋体" w:hAnsi="宋体" w:cs="宋体"/>
          <w:szCs w:val="21"/>
        </w:rPr>
        <w:t>6.4乙方违反保密规定，全部责任由乙方承担，并需赔偿招标人由此引起的损失。</w:t>
      </w:r>
    </w:p>
    <w:p>
      <w:pPr>
        <w:spacing w:line="500" w:lineRule="exact"/>
        <w:ind w:firstLine="422" w:firstLineChars="200"/>
        <w:rPr>
          <w:rFonts w:ascii="宋体" w:hAnsi="宋体" w:cs="宋体"/>
          <w:szCs w:val="21"/>
        </w:rPr>
      </w:pPr>
      <w:r>
        <w:rPr>
          <w:rFonts w:hint="eastAsia" w:ascii="宋体" w:hAnsi="宋体"/>
          <w:b/>
          <w:szCs w:val="21"/>
        </w:rPr>
        <w:t>其他违约责任按《中华人民共和国合同法》处理。</w:t>
      </w:r>
    </w:p>
    <w:p>
      <w:pPr>
        <w:spacing w:line="500" w:lineRule="exact"/>
        <w:ind w:firstLine="420" w:firstLineChars="200"/>
        <w:rPr>
          <w:rFonts w:ascii="宋体" w:hAnsi="宋体" w:cs="宋体"/>
          <w:szCs w:val="21"/>
        </w:rPr>
      </w:pPr>
      <w:bookmarkStart w:id="135" w:name="_Toc18942"/>
      <w:bookmarkStart w:id="136" w:name="_Toc28999"/>
      <w:bookmarkStart w:id="137" w:name="_Toc422141877"/>
      <w:r>
        <w:rPr>
          <w:rFonts w:hint="eastAsia" w:ascii="宋体" w:hAnsi="宋体" w:cs="宋体"/>
          <w:szCs w:val="21"/>
        </w:rPr>
        <w:t>7.知识产权</w:t>
      </w:r>
      <w:bookmarkEnd w:id="130"/>
      <w:bookmarkEnd w:id="131"/>
      <w:bookmarkEnd w:id="135"/>
      <w:bookmarkEnd w:id="136"/>
      <w:bookmarkEnd w:id="137"/>
    </w:p>
    <w:p>
      <w:pPr>
        <w:spacing w:line="500" w:lineRule="exact"/>
        <w:ind w:firstLine="420" w:firstLineChars="200"/>
        <w:rPr>
          <w:rFonts w:ascii="宋体" w:hAnsi="宋体" w:cs="宋体"/>
          <w:szCs w:val="21"/>
        </w:rPr>
      </w:pPr>
      <w:bookmarkStart w:id="138" w:name="_Toc30567256"/>
      <w:bookmarkStart w:id="139" w:name="_Toc155238630"/>
      <w:bookmarkStart w:id="140" w:name="_Toc73975334"/>
      <w:r>
        <w:rPr>
          <w:rFonts w:hint="eastAsia" w:ascii="宋体" w:hAnsi="宋体" w:cs="宋体"/>
          <w:szCs w:val="21"/>
        </w:rPr>
        <w:t>7.1本合同实施过程中和实施结果产生所有成果的知识产权属于招标人独有，即招标人拥有独有的完全使用权和所有权。</w:t>
      </w:r>
    </w:p>
    <w:p>
      <w:pPr>
        <w:pStyle w:val="94"/>
        <w:spacing w:line="5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7.2乙方应保证在为招标人提供任何产品、服务时，不侵犯任何第三方权益。如果任何第三方提出与乙方提供的任何产品、服务有关的侵权指控，乙方须与第三方交涉并独自承担因此发生的一切法律责任和费用。</w:t>
      </w:r>
    </w:p>
    <w:p>
      <w:pPr>
        <w:spacing w:line="500" w:lineRule="exact"/>
        <w:ind w:firstLine="420" w:firstLineChars="200"/>
        <w:rPr>
          <w:rFonts w:ascii="宋体" w:hAnsi="宋体" w:cs="宋体"/>
          <w:szCs w:val="21"/>
        </w:rPr>
      </w:pPr>
      <w:bookmarkStart w:id="141" w:name="_Toc20261"/>
      <w:bookmarkStart w:id="142" w:name="_Toc20341"/>
      <w:bookmarkStart w:id="143" w:name="_Toc422141878"/>
      <w:r>
        <w:rPr>
          <w:rFonts w:hint="eastAsia" w:ascii="宋体" w:hAnsi="宋体" w:cs="宋体"/>
          <w:szCs w:val="21"/>
        </w:rPr>
        <w:t>8.保密条款</w:t>
      </w:r>
      <w:bookmarkEnd w:id="141"/>
      <w:bookmarkEnd w:id="142"/>
      <w:bookmarkEnd w:id="143"/>
    </w:p>
    <w:p>
      <w:pPr>
        <w:spacing w:line="500" w:lineRule="exact"/>
        <w:ind w:firstLine="420" w:firstLineChars="200"/>
        <w:rPr>
          <w:rFonts w:ascii="宋体" w:hAnsi="宋体" w:cs="宋体"/>
          <w:szCs w:val="21"/>
        </w:rPr>
      </w:pPr>
      <w:r>
        <w:rPr>
          <w:rFonts w:hint="eastAsia" w:ascii="宋体" w:hAnsi="宋体" w:cs="宋体"/>
          <w:szCs w:val="21"/>
        </w:rPr>
        <w:t>8.1自合同签订之日起，乙方有责任对招标人提供的各种文件（服务内容、资料、报告）、工作业务信息、中间过程数据、结果数据进行保密，未经招标人书面批准不得提供给任何第三方。如有违反包括故意泄露、管理不善、过失等原因造成的泄露，均视为乙方未执行好保密措施，乙方应承担相应的法律责任。此保密义务不因合同的终止而免除。</w:t>
      </w:r>
    </w:p>
    <w:p>
      <w:pPr>
        <w:spacing w:line="500" w:lineRule="exact"/>
        <w:ind w:firstLine="420" w:firstLineChars="200"/>
        <w:rPr>
          <w:rFonts w:ascii="宋体" w:hAnsi="宋体" w:cs="宋体"/>
          <w:szCs w:val="21"/>
        </w:rPr>
      </w:pPr>
      <w:r>
        <w:rPr>
          <w:rFonts w:hint="eastAsia" w:ascii="宋体" w:hAnsi="宋体" w:cs="宋体"/>
          <w:szCs w:val="21"/>
        </w:rPr>
        <w:t>8.2乙方应采取有效措施对招标人提供的资料和数据实施合乎规定（该类规定包括但不限于相关的保密法律、法规、规定、通知等）的保密处理措施，并对此负责。</w:t>
      </w:r>
    </w:p>
    <w:p>
      <w:pPr>
        <w:spacing w:line="500" w:lineRule="exact"/>
        <w:ind w:firstLine="420" w:firstLineChars="200"/>
        <w:rPr>
          <w:rFonts w:ascii="宋体" w:hAnsi="宋体" w:cs="宋体"/>
          <w:szCs w:val="21"/>
        </w:rPr>
      </w:pPr>
      <w:r>
        <w:rPr>
          <w:rFonts w:hint="eastAsia" w:ascii="宋体" w:hAnsi="宋体" w:cs="宋体"/>
          <w:szCs w:val="21"/>
        </w:rPr>
        <w:t>8.3乙方有义务遵守和配合执行招标人的保密管理规定与保密措施，并在项目实施完成后，归还招标人提供的全部资料。</w:t>
      </w:r>
    </w:p>
    <w:p>
      <w:pPr>
        <w:spacing w:line="500" w:lineRule="exact"/>
        <w:ind w:firstLine="420" w:firstLineChars="200"/>
        <w:rPr>
          <w:rFonts w:ascii="宋体" w:hAnsi="宋体" w:cs="宋体"/>
          <w:szCs w:val="21"/>
        </w:rPr>
      </w:pPr>
      <w:bookmarkStart w:id="144" w:name="_Toc422141879"/>
      <w:bookmarkStart w:id="145" w:name="_Toc7516"/>
      <w:bookmarkStart w:id="146" w:name="_Toc20060"/>
      <w:r>
        <w:rPr>
          <w:rFonts w:hint="eastAsia" w:ascii="宋体" w:hAnsi="宋体" w:cs="宋体"/>
          <w:szCs w:val="21"/>
        </w:rPr>
        <w:t>9.服务质量考核条款</w:t>
      </w:r>
      <w:bookmarkEnd w:id="144"/>
      <w:bookmarkEnd w:id="145"/>
      <w:bookmarkEnd w:id="146"/>
    </w:p>
    <w:p>
      <w:pPr>
        <w:spacing w:line="500" w:lineRule="exact"/>
        <w:ind w:firstLine="420" w:firstLineChars="200"/>
        <w:rPr>
          <w:rFonts w:ascii="宋体" w:hAnsi="宋体" w:cs="宋体"/>
          <w:szCs w:val="21"/>
        </w:rPr>
      </w:pPr>
      <w:r>
        <w:rPr>
          <w:rFonts w:hint="eastAsia" w:ascii="宋体" w:hAnsi="宋体" w:cs="宋体"/>
          <w:szCs w:val="21"/>
        </w:rPr>
        <w:t>9.1招标人依据《招标文件》、《投标文件》、合同和相关的项目验收要求对乙方提供的货物进行考核验收。如果乙方没有满足项目服务质量承诺的要求，乙方除应采取补救措施外，招标人有权要求乙方给予一定的赔偿。</w:t>
      </w:r>
    </w:p>
    <w:p>
      <w:pPr>
        <w:spacing w:line="500" w:lineRule="exact"/>
        <w:ind w:firstLine="420" w:firstLineChars="200"/>
        <w:rPr>
          <w:rFonts w:ascii="宋体" w:hAnsi="宋体" w:cs="宋体"/>
          <w:szCs w:val="21"/>
        </w:rPr>
      </w:pPr>
      <w:r>
        <w:rPr>
          <w:rFonts w:hint="eastAsia" w:ascii="宋体" w:hAnsi="宋体" w:cs="宋体"/>
          <w:szCs w:val="21"/>
        </w:rPr>
        <w:t>9.2乙方定期向招标人提交书面服务工作总结报告，至少每周一次工作进度简报，直至项目供货及服务完成。</w:t>
      </w:r>
    </w:p>
    <w:p>
      <w:pPr>
        <w:spacing w:line="500" w:lineRule="exact"/>
        <w:ind w:firstLine="420" w:firstLineChars="200"/>
        <w:rPr>
          <w:rFonts w:ascii="宋体" w:hAnsi="宋体"/>
          <w:b/>
          <w:szCs w:val="21"/>
        </w:rPr>
      </w:pPr>
      <w:r>
        <w:rPr>
          <w:rFonts w:hint="eastAsia" w:ascii="宋体" w:hAnsi="宋体" w:cs="宋体"/>
          <w:szCs w:val="21"/>
        </w:rPr>
        <w:t>9.3</w:t>
      </w:r>
      <w:r>
        <w:rPr>
          <w:rFonts w:hint="eastAsia" w:ascii="宋体" w:hAnsi="宋体"/>
          <w:b/>
          <w:szCs w:val="21"/>
        </w:rPr>
        <w:t>本合同的质量保证期（简称质保期）为</w:t>
      </w:r>
      <w:r>
        <w:rPr>
          <w:rFonts w:hint="eastAsia" w:ascii="宋体" w:hAnsi="宋体"/>
          <w:b/>
          <w:szCs w:val="21"/>
          <w:u w:val="single"/>
        </w:rPr>
        <w:t xml:space="preserve">    </w:t>
      </w:r>
      <w:r>
        <w:rPr>
          <w:rFonts w:hint="eastAsia" w:ascii="宋体" w:hAnsi="宋体"/>
          <w:b/>
          <w:szCs w:val="21"/>
        </w:rPr>
        <w:t>（自全部货物安装调试完成且验收合格之日起计算），保质期内因货物质量及安装原因无法正常使用者由乙方负责包修、包换、包退。</w:t>
      </w:r>
    </w:p>
    <w:p>
      <w:pPr>
        <w:spacing w:line="500" w:lineRule="exact"/>
        <w:ind w:firstLine="422" w:firstLineChars="200"/>
        <w:rPr>
          <w:rFonts w:ascii="宋体" w:hAnsi="宋体"/>
          <w:b/>
          <w:szCs w:val="21"/>
        </w:rPr>
      </w:pPr>
      <w:r>
        <w:rPr>
          <w:rFonts w:hint="eastAsia" w:ascii="宋体" w:hAnsi="宋体"/>
          <w:b/>
          <w:szCs w:val="21"/>
        </w:rPr>
        <w:t>质保期内，如因非人为因素发现产品质量问题供货商应无条件退换。质保期相应顺延。如停用时间累积超过5天，则质保期重新计算。</w:t>
      </w:r>
    </w:p>
    <w:p>
      <w:pPr>
        <w:spacing w:line="500" w:lineRule="exact"/>
        <w:ind w:firstLine="422" w:firstLineChars="200"/>
        <w:rPr>
          <w:rFonts w:ascii="宋体" w:hAnsi="宋体"/>
          <w:b/>
          <w:szCs w:val="21"/>
        </w:rPr>
      </w:pPr>
      <w:r>
        <w:rPr>
          <w:rFonts w:hint="eastAsia" w:ascii="宋体" w:hAnsi="宋体"/>
          <w:b/>
          <w:szCs w:val="21"/>
        </w:rPr>
        <w:t>乙方承担货物安装完成后因安装不当造成的一切人员伤害、赔偿责任。</w:t>
      </w:r>
    </w:p>
    <w:p>
      <w:pPr>
        <w:spacing w:line="500" w:lineRule="exact"/>
        <w:ind w:firstLine="420" w:firstLineChars="200"/>
        <w:rPr>
          <w:rFonts w:ascii="宋体" w:hAnsi="宋体" w:cs="宋体"/>
          <w:szCs w:val="21"/>
        </w:rPr>
      </w:pPr>
      <w:r>
        <w:rPr>
          <w:rFonts w:hint="eastAsia" w:ascii="方正小标宋简体" w:eastAsia="方正小标宋简体"/>
          <w:szCs w:val="21"/>
        </w:rPr>
        <w:t>五、项目验收：</w:t>
      </w:r>
    </w:p>
    <w:p>
      <w:pPr>
        <w:spacing w:line="500" w:lineRule="exact"/>
        <w:ind w:firstLine="420" w:firstLineChars="200"/>
        <w:rPr>
          <w:rFonts w:ascii="宋体" w:hAnsi="宋体" w:cs="宋体"/>
          <w:szCs w:val="21"/>
        </w:rPr>
      </w:pPr>
      <w:bookmarkStart w:id="147" w:name="_Toc422141880"/>
      <w:bookmarkStart w:id="148" w:name="_Toc19005"/>
      <w:bookmarkStart w:id="149" w:name="_Toc32358"/>
      <w:r>
        <w:rPr>
          <w:rFonts w:hint="eastAsia" w:ascii="宋体" w:hAnsi="宋体" w:cs="宋体"/>
          <w:szCs w:val="21"/>
        </w:rPr>
        <w:t>10.不可抗力</w:t>
      </w:r>
      <w:bookmarkEnd w:id="138"/>
      <w:bookmarkEnd w:id="139"/>
      <w:bookmarkEnd w:id="140"/>
      <w:bookmarkEnd w:id="147"/>
      <w:bookmarkEnd w:id="148"/>
      <w:bookmarkEnd w:id="149"/>
    </w:p>
    <w:p>
      <w:pPr>
        <w:spacing w:line="500" w:lineRule="exact"/>
        <w:ind w:firstLine="420" w:firstLineChars="200"/>
        <w:rPr>
          <w:rFonts w:ascii="宋体" w:hAnsi="宋体" w:cs="宋体"/>
          <w:szCs w:val="21"/>
        </w:rPr>
      </w:pPr>
      <w:bookmarkStart w:id="150" w:name="_Toc133737829"/>
      <w:bookmarkStart w:id="151" w:name="_Toc133737918"/>
      <w:bookmarkStart w:id="152" w:name="_Toc133916702"/>
      <w:bookmarkStart w:id="153" w:name="_Toc155238632"/>
      <w:r>
        <w:rPr>
          <w:rFonts w:hint="eastAsia" w:ascii="宋体" w:hAnsi="宋体" w:cs="宋体"/>
          <w:szCs w:val="21"/>
        </w:rPr>
        <w:t>10.1如果双方中任何一方遭遇法律规定的不可抗力，致使合同履行受阻时，履行合同的期限应予延长，延长的期限应由双方协商确定后达成书面协议。</w:t>
      </w:r>
    </w:p>
    <w:p>
      <w:pPr>
        <w:spacing w:line="500" w:lineRule="exact"/>
        <w:ind w:firstLine="420" w:firstLineChars="200"/>
        <w:rPr>
          <w:rFonts w:ascii="宋体" w:hAnsi="宋体" w:cs="宋体"/>
          <w:szCs w:val="21"/>
        </w:rPr>
      </w:pPr>
      <w:r>
        <w:rPr>
          <w:rFonts w:hint="eastAsia" w:ascii="宋体" w:hAnsi="宋体" w:cs="宋体"/>
          <w:szCs w:val="21"/>
        </w:rPr>
        <w:t>10.2受事故影响的一方应在不可抗力的事故发生后尽快书面形式通知另一方，并在事故发生后5天内，将有关部门出具的证明文件送达另一方。</w:t>
      </w:r>
    </w:p>
    <w:p>
      <w:pPr>
        <w:spacing w:line="500" w:lineRule="exact"/>
        <w:ind w:firstLine="420" w:firstLineChars="200"/>
        <w:rPr>
          <w:rFonts w:ascii="宋体" w:hAnsi="宋体" w:cs="宋体"/>
          <w:szCs w:val="21"/>
        </w:rPr>
      </w:pPr>
      <w:r>
        <w:rPr>
          <w:rFonts w:hint="eastAsia" w:ascii="宋体" w:hAnsi="宋体" w:cs="宋体"/>
          <w:szCs w:val="21"/>
        </w:rPr>
        <w:t>10.3不可抗力使合同的某些内容需要变更时，双方应通过协商在5天内达成进一步履行合同的协议，因不可抗力致使合同不能继续履行的，合同终止。乙方提交已经完成的成果，并退还未完成部分的合同款项。</w:t>
      </w:r>
    </w:p>
    <w:p>
      <w:pPr>
        <w:spacing w:line="500" w:lineRule="exact"/>
        <w:ind w:firstLine="420" w:firstLineChars="200"/>
        <w:rPr>
          <w:rFonts w:ascii="宋体" w:hAnsi="宋体" w:cs="宋体"/>
          <w:szCs w:val="21"/>
        </w:rPr>
      </w:pPr>
      <w:bookmarkStart w:id="154" w:name="_Toc422141881"/>
      <w:bookmarkStart w:id="155" w:name="_Toc6184"/>
      <w:bookmarkStart w:id="156" w:name="_Toc20488"/>
      <w:r>
        <w:rPr>
          <w:rFonts w:hint="eastAsia" w:ascii="宋体" w:hAnsi="宋体" w:cs="宋体"/>
          <w:szCs w:val="21"/>
        </w:rPr>
        <w:t>11.合同争议的解决</w:t>
      </w:r>
      <w:bookmarkEnd w:id="150"/>
      <w:bookmarkEnd w:id="151"/>
      <w:bookmarkEnd w:id="152"/>
      <w:bookmarkEnd w:id="153"/>
      <w:bookmarkEnd w:id="154"/>
      <w:bookmarkEnd w:id="155"/>
      <w:bookmarkEnd w:id="156"/>
    </w:p>
    <w:p>
      <w:pPr>
        <w:spacing w:line="500" w:lineRule="exact"/>
        <w:ind w:firstLine="420" w:firstLineChars="200"/>
        <w:rPr>
          <w:rFonts w:ascii="宋体" w:hAnsi="宋体" w:cs="宋体"/>
          <w:szCs w:val="21"/>
        </w:rPr>
      </w:pPr>
      <w:r>
        <w:rPr>
          <w:rFonts w:hint="eastAsia" w:ascii="宋体" w:hAnsi="宋体" w:cs="宋体"/>
          <w:szCs w:val="21"/>
        </w:rPr>
        <w:t>11.1因合同履行中发生的争议，合同当事人双方可通过协商解决。协商不成的，提请招标人所在地的仲裁委员会仲裁。</w:t>
      </w:r>
    </w:p>
    <w:p>
      <w:pPr>
        <w:spacing w:line="500" w:lineRule="exact"/>
        <w:ind w:firstLine="420" w:firstLineChars="200"/>
        <w:rPr>
          <w:rFonts w:ascii="宋体" w:hAnsi="宋体" w:cs="宋体"/>
          <w:szCs w:val="21"/>
        </w:rPr>
      </w:pPr>
      <w:r>
        <w:rPr>
          <w:rFonts w:hint="eastAsia" w:ascii="宋体" w:hAnsi="宋体" w:cs="宋体"/>
          <w:szCs w:val="21"/>
        </w:rPr>
        <w:t>11.2仲裁裁决应为最终裁决，当事人一方在规定时间内不履行仲裁机构裁决的，另一方可以申请人民法院强制执行。</w:t>
      </w:r>
    </w:p>
    <w:p>
      <w:pPr>
        <w:spacing w:line="500" w:lineRule="exact"/>
        <w:ind w:firstLine="420" w:firstLineChars="200"/>
        <w:rPr>
          <w:rFonts w:ascii="宋体" w:hAnsi="宋体" w:cs="宋体"/>
          <w:szCs w:val="21"/>
        </w:rPr>
      </w:pPr>
      <w:r>
        <w:rPr>
          <w:rFonts w:hint="eastAsia" w:ascii="宋体" w:hAnsi="宋体" w:cs="宋体"/>
          <w:szCs w:val="21"/>
        </w:rPr>
        <w:t>11.3仲裁费用和诉讼费用除仲裁机构和法院另有裁决外，应由败诉方负担。</w:t>
      </w:r>
    </w:p>
    <w:p>
      <w:pPr>
        <w:spacing w:line="500" w:lineRule="exact"/>
        <w:ind w:firstLine="420" w:firstLineChars="200"/>
        <w:rPr>
          <w:rFonts w:ascii="宋体" w:hAnsi="宋体" w:cs="宋体"/>
          <w:szCs w:val="21"/>
        </w:rPr>
      </w:pPr>
      <w:r>
        <w:rPr>
          <w:rFonts w:hint="eastAsia" w:ascii="宋体" w:hAnsi="宋体" w:cs="宋体"/>
          <w:szCs w:val="21"/>
        </w:rPr>
        <w:t>11.4在仲裁期间，除正在进行仲裁的部分外，本合同其它部分应继续执行。</w:t>
      </w:r>
    </w:p>
    <w:p>
      <w:pPr>
        <w:spacing w:line="500" w:lineRule="exact"/>
        <w:ind w:firstLine="420" w:firstLineChars="200"/>
        <w:rPr>
          <w:rFonts w:ascii="宋体" w:hAnsi="宋体" w:cs="宋体"/>
          <w:szCs w:val="21"/>
        </w:rPr>
      </w:pPr>
      <w:bookmarkStart w:id="157" w:name="_Toc26831"/>
      <w:bookmarkStart w:id="158" w:name="_Toc29810"/>
      <w:bookmarkStart w:id="159" w:name="_Toc422141882"/>
      <w:r>
        <w:rPr>
          <w:rFonts w:hint="eastAsia" w:ascii="宋体" w:hAnsi="宋体" w:cs="宋体"/>
          <w:szCs w:val="21"/>
        </w:rPr>
        <w:t>12.违约解除合同</w:t>
      </w:r>
      <w:bookmarkEnd w:id="157"/>
      <w:bookmarkEnd w:id="158"/>
      <w:bookmarkEnd w:id="159"/>
    </w:p>
    <w:bookmarkEnd w:id="132"/>
    <w:bookmarkEnd w:id="133"/>
    <w:bookmarkEnd w:id="134"/>
    <w:p>
      <w:pPr>
        <w:spacing w:line="500" w:lineRule="exact"/>
        <w:ind w:firstLine="420" w:firstLineChars="200"/>
        <w:rPr>
          <w:rFonts w:ascii="宋体" w:hAnsi="宋体" w:cs="宋体"/>
          <w:szCs w:val="21"/>
        </w:rPr>
      </w:pPr>
      <w:r>
        <w:rPr>
          <w:rFonts w:hint="eastAsia" w:ascii="宋体" w:hAnsi="宋体" w:cs="宋体"/>
          <w:szCs w:val="21"/>
        </w:rPr>
        <w:t>12.1乙方未能在合同规定的期间或招标人同意延长的期间内提供全部或部分服务,或在本合同履行过程中有腐败和欺诈行为的，招标人可向乙方发出书面通知，并部分或全部终止合同。同时保留向乙方追诉的权利。“腐败行为”是指提供/给予/接受或索取任何有价值的东西来影响招标人在合同签订、履行过程中的行为；“欺诈行为”是指为了影响合同签订、履行过程，以谎报事实的方法，损害招标人的利益的行为。</w:t>
      </w:r>
    </w:p>
    <w:p>
      <w:pPr>
        <w:spacing w:line="500" w:lineRule="exact"/>
        <w:ind w:firstLine="420" w:firstLineChars="200"/>
        <w:rPr>
          <w:rFonts w:ascii="宋体" w:hAnsi="宋体" w:cs="宋体"/>
          <w:szCs w:val="21"/>
        </w:rPr>
      </w:pPr>
      <w:r>
        <w:rPr>
          <w:rFonts w:hint="eastAsia" w:ascii="宋体" w:hAnsi="宋体" w:cs="宋体"/>
          <w:szCs w:val="21"/>
        </w:rPr>
        <w:t>12.2在招标人部分或全部解除合同之后，招标人在全部或部分购买与未交付的服务类似的服务时，乙方应承担招标人购买类似服务而产生的额外支出。部分解除合同的，乙方应继续履行合同中未解除的部分。</w:t>
      </w:r>
    </w:p>
    <w:p>
      <w:pPr>
        <w:spacing w:line="500" w:lineRule="exact"/>
        <w:ind w:firstLine="420" w:firstLineChars="200"/>
        <w:rPr>
          <w:rFonts w:ascii="宋体" w:hAnsi="宋体" w:cs="宋体"/>
          <w:szCs w:val="21"/>
        </w:rPr>
      </w:pPr>
      <w:bookmarkStart w:id="160" w:name="_Toc422141883"/>
      <w:bookmarkStart w:id="161" w:name="_Toc11605"/>
      <w:bookmarkStart w:id="162" w:name="_Toc29104"/>
      <w:r>
        <w:rPr>
          <w:rFonts w:hint="eastAsia" w:ascii="宋体" w:hAnsi="宋体" w:cs="宋体"/>
          <w:szCs w:val="21"/>
        </w:rPr>
        <w:t>13.破产终止合同</w:t>
      </w:r>
      <w:bookmarkEnd w:id="160"/>
      <w:bookmarkEnd w:id="161"/>
      <w:bookmarkEnd w:id="162"/>
    </w:p>
    <w:p>
      <w:pPr>
        <w:spacing w:line="500" w:lineRule="exact"/>
        <w:ind w:firstLine="420" w:firstLineChars="200"/>
        <w:rPr>
          <w:rFonts w:ascii="宋体" w:hAnsi="宋体" w:cs="宋体"/>
          <w:szCs w:val="21"/>
        </w:rPr>
      </w:pPr>
      <w:r>
        <w:rPr>
          <w:rFonts w:hint="eastAsia" w:ascii="宋体" w:hAnsi="宋体" w:cs="宋体"/>
          <w:szCs w:val="21"/>
        </w:rPr>
        <w:t>13.1如果乙方破产或无清偿能力，招标人可在任何时候以书面形式通知乙方，提出终止合同而不给乙方补偿。该终止合同将不损害或影响招标人已经采取或将要采取的任何行动或补救措施的权利。</w:t>
      </w:r>
    </w:p>
    <w:p>
      <w:pPr>
        <w:spacing w:line="500" w:lineRule="exact"/>
        <w:ind w:firstLine="420" w:firstLineChars="200"/>
        <w:rPr>
          <w:rFonts w:ascii="宋体" w:hAnsi="宋体" w:cs="宋体"/>
          <w:szCs w:val="21"/>
        </w:rPr>
      </w:pPr>
      <w:bookmarkStart w:id="163" w:name="_Toc10331"/>
      <w:bookmarkStart w:id="164" w:name="_Toc31258"/>
      <w:bookmarkStart w:id="165" w:name="_Toc422141884"/>
      <w:r>
        <w:rPr>
          <w:rFonts w:hint="eastAsia" w:ascii="宋体" w:hAnsi="宋体" w:cs="宋体"/>
          <w:szCs w:val="21"/>
        </w:rPr>
        <w:t>14.合同修改</w:t>
      </w:r>
      <w:bookmarkEnd w:id="163"/>
      <w:bookmarkEnd w:id="164"/>
      <w:bookmarkEnd w:id="165"/>
    </w:p>
    <w:p>
      <w:pPr>
        <w:spacing w:line="500" w:lineRule="exact"/>
        <w:ind w:firstLine="420" w:firstLineChars="200"/>
        <w:rPr>
          <w:rFonts w:ascii="宋体" w:hAnsi="宋体" w:cs="宋体"/>
          <w:szCs w:val="21"/>
        </w:rPr>
      </w:pPr>
      <w:r>
        <w:rPr>
          <w:rFonts w:hint="eastAsia" w:ascii="宋体" w:hAnsi="宋体" w:cs="宋体"/>
          <w:szCs w:val="21"/>
        </w:rPr>
        <w:t>14.1招标人和乙方都不得擅自变更本合同，但合同继续履行将损害国家和社会公共利益的除外。如必须对合同条款进行改动时，当事人双方须共同签署书面文件，作为合同的补充，并报同级政府采购监督管理部门备案。</w:t>
      </w:r>
    </w:p>
    <w:p>
      <w:pPr>
        <w:spacing w:line="500" w:lineRule="exact"/>
        <w:ind w:firstLine="420" w:firstLineChars="200"/>
        <w:rPr>
          <w:rFonts w:ascii="宋体" w:hAnsi="宋体" w:cs="宋体"/>
          <w:szCs w:val="21"/>
        </w:rPr>
      </w:pPr>
      <w:bookmarkStart w:id="166" w:name="_Toc28576"/>
      <w:bookmarkStart w:id="167" w:name="_Toc422141885"/>
      <w:bookmarkStart w:id="168" w:name="_Toc19310"/>
      <w:r>
        <w:rPr>
          <w:rFonts w:hint="eastAsia" w:ascii="宋体" w:hAnsi="宋体" w:cs="宋体"/>
          <w:szCs w:val="21"/>
        </w:rPr>
        <w:t>15.通知联络</w:t>
      </w:r>
      <w:bookmarkEnd w:id="166"/>
      <w:bookmarkEnd w:id="167"/>
      <w:bookmarkEnd w:id="168"/>
    </w:p>
    <w:p>
      <w:pPr>
        <w:spacing w:line="500" w:lineRule="exact"/>
        <w:ind w:firstLine="420" w:firstLineChars="200"/>
        <w:rPr>
          <w:rFonts w:ascii="宋体" w:hAnsi="宋体" w:cs="宋体"/>
          <w:szCs w:val="21"/>
        </w:rPr>
      </w:pPr>
      <w:r>
        <w:rPr>
          <w:rFonts w:hint="eastAsia" w:ascii="宋体" w:hAnsi="宋体" w:cs="宋体"/>
          <w:szCs w:val="21"/>
        </w:rPr>
        <w:t>15.1本合同任何一方给另一方的通知，都应以书面形式发送，而另一方也应以书面形式确认并回复对方。</w:t>
      </w:r>
    </w:p>
    <w:p>
      <w:pPr>
        <w:spacing w:line="500" w:lineRule="exact"/>
        <w:ind w:firstLine="420" w:firstLineChars="200"/>
        <w:rPr>
          <w:rFonts w:ascii="宋体" w:hAnsi="宋体" w:cs="宋体"/>
          <w:szCs w:val="21"/>
        </w:rPr>
      </w:pPr>
      <w:r>
        <w:rPr>
          <w:rFonts w:hint="eastAsia" w:ascii="宋体" w:hAnsi="宋体" w:cs="宋体"/>
          <w:szCs w:val="21"/>
        </w:rPr>
        <w:t>15.2招标人和乙方需各自选派人员作为联络人，负责双方之间的日常联络工作。任何一方如需更换联络人，应以书面形式通知对方。</w:t>
      </w:r>
    </w:p>
    <w:p>
      <w:pPr>
        <w:spacing w:line="500" w:lineRule="exact"/>
        <w:ind w:firstLine="420" w:firstLineChars="200"/>
        <w:rPr>
          <w:rFonts w:ascii="宋体" w:hAnsi="宋体" w:cs="宋体"/>
          <w:szCs w:val="21"/>
        </w:rPr>
      </w:pPr>
      <w:r>
        <w:rPr>
          <w:rFonts w:hint="eastAsia" w:ascii="宋体" w:hAnsi="宋体" w:cs="宋体"/>
          <w:szCs w:val="21"/>
        </w:rPr>
        <w:t>15.3招标人同意由招标人的联络人接受乙方提供的合同项下的产品和服务，乙方同意由乙方的联络人承担本合同所规定的相关义务。</w:t>
      </w:r>
    </w:p>
    <w:p>
      <w:pPr>
        <w:spacing w:line="500" w:lineRule="exact"/>
        <w:ind w:firstLine="420" w:firstLineChars="200"/>
        <w:rPr>
          <w:rFonts w:ascii="宋体" w:hAnsi="宋体" w:cs="宋体"/>
          <w:szCs w:val="21"/>
          <w:u w:val="single"/>
        </w:rPr>
      </w:pPr>
      <w:r>
        <w:rPr>
          <w:rFonts w:hint="eastAsia" w:ascii="宋体" w:hAnsi="宋体" w:cs="宋体"/>
          <w:szCs w:val="21"/>
        </w:rPr>
        <w:t>16.甲乙双方需要约定和明确的其他事项：</w:t>
      </w:r>
      <w:r>
        <w:rPr>
          <w:rFonts w:hint="eastAsia" w:ascii="宋体" w:hAnsi="宋体" w:cs="宋体"/>
          <w:szCs w:val="21"/>
          <w:u w:val="single"/>
        </w:rPr>
        <w:t xml:space="preserve">                                                  </w:t>
      </w:r>
    </w:p>
    <w:p>
      <w:pPr>
        <w:spacing w:line="500" w:lineRule="exact"/>
        <w:ind w:firstLine="420" w:firstLineChars="200"/>
        <w:rPr>
          <w:rFonts w:ascii="宋体" w:hAnsi="宋体" w:cs="宋体"/>
          <w:szCs w:val="21"/>
          <w:u w:val="single"/>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169" w:name="_Toc31344"/>
      <w:bookmarkStart w:id="170" w:name="_Toc422141886"/>
      <w:bookmarkStart w:id="171" w:name="_Toc5814"/>
      <w:r>
        <w:rPr>
          <w:rFonts w:hint="eastAsia" w:ascii="宋体" w:hAnsi="宋体" w:cs="宋体"/>
          <w:szCs w:val="21"/>
        </w:rPr>
        <w:t>17.合同生效及其他</w:t>
      </w:r>
      <w:bookmarkEnd w:id="169"/>
      <w:bookmarkEnd w:id="170"/>
      <w:bookmarkEnd w:id="171"/>
    </w:p>
    <w:p>
      <w:pPr>
        <w:spacing w:line="500" w:lineRule="exact"/>
        <w:ind w:firstLine="420" w:firstLineChars="200"/>
        <w:rPr>
          <w:rFonts w:ascii="宋体" w:hAnsi="宋体" w:cs="宋体"/>
          <w:szCs w:val="21"/>
        </w:rPr>
      </w:pPr>
      <w:bookmarkStart w:id="172" w:name="_Toc133737928"/>
      <w:bookmarkStart w:id="173" w:name="_Toc133737839"/>
      <w:r>
        <w:rPr>
          <w:rFonts w:hint="eastAsia" w:ascii="宋体" w:hAnsi="宋体" w:cs="宋体"/>
          <w:szCs w:val="21"/>
        </w:rPr>
        <w:t>17.1本合同经甲乙双方及代理机构签字盖章后生效。</w:t>
      </w:r>
      <w:bookmarkEnd w:id="172"/>
      <w:bookmarkEnd w:id="173"/>
    </w:p>
    <w:p>
      <w:pPr>
        <w:spacing w:line="500" w:lineRule="exact"/>
        <w:ind w:firstLine="420" w:firstLineChars="200"/>
        <w:rPr>
          <w:rFonts w:ascii="宋体" w:hAnsi="宋体" w:cs="宋体"/>
          <w:szCs w:val="21"/>
        </w:rPr>
      </w:pPr>
      <w:r>
        <w:rPr>
          <w:rFonts w:hint="eastAsia" w:ascii="宋体" w:hAnsi="宋体" w:cs="宋体"/>
          <w:szCs w:val="21"/>
        </w:rPr>
        <w:t>17.2本合同中所带的附件，具备合同本身同样的法律效力。</w:t>
      </w:r>
    </w:p>
    <w:p>
      <w:pPr>
        <w:spacing w:line="500" w:lineRule="exact"/>
        <w:ind w:firstLine="420" w:firstLineChars="200"/>
        <w:rPr>
          <w:rFonts w:ascii="宋体" w:hAnsi="宋体" w:cs="宋体"/>
          <w:szCs w:val="21"/>
        </w:rPr>
      </w:pPr>
      <w:r>
        <w:rPr>
          <w:rFonts w:hint="eastAsia" w:ascii="宋体" w:hAnsi="宋体" w:cs="宋体"/>
          <w:szCs w:val="21"/>
        </w:rPr>
        <w:t>17.3本合同一式六份，其中，招标人叁份，乙方贰份，代理机构壹份。均具有同等法律效力。</w:t>
      </w:r>
    </w:p>
    <w:tbl>
      <w:tblPr>
        <w:tblStyle w:val="39"/>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2"/>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872"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 xml:space="preserve">招标人（公章）： </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 xml:space="preserve">电  话:  </w:t>
            </w:r>
          </w:p>
          <w:p>
            <w:pPr>
              <w:spacing w:line="500" w:lineRule="exact"/>
              <w:rPr>
                <w:rFonts w:ascii="宋体" w:hAnsi="宋体"/>
                <w:szCs w:val="21"/>
              </w:rPr>
            </w:pPr>
            <w:r>
              <w:rPr>
                <w:rFonts w:hint="eastAsia" w:ascii="宋体" w:hAnsi="宋体"/>
                <w:szCs w:val="21"/>
              </w:rPr>
              <w:t>传</w:t>
            </w:r>
            <w:r>
              <w:rPr>
                <w:rFonts w:ascii="宋体" w:hAnsi="宋体"/>
                <w:szCs w:val="21"/>
              </w:rPr>
              <w:t> </w:t>
            </w:r>
            <w:r>
              <w:rPr>
                <w:rFonts w:hint="eastAsia" w:ascii="宋体" w:hAnsi="宋体"/>
                <w:szCs w:val="21"/>
              </w:rPr>
              <w:t>真：</w:t>
            </w:r>
            <w:r>
              <w:rPr>
                <w:rFonts w:hint="eastAsia" w:ascii="宋体" w:hAnsi="宋体"/>
              </w:rPr>
              <w:t xml:space="preserve"> </w:t>
            </w:r>
          </w:p>
          <w:p>
            <w:pPr>
              <w:spacing w:line="500" w:lineRule="exact"/>
              <w:rPr>
                <w:rFonts w:ascii="宋体" w:hAnsi="宋体"/>
                <w:szCs w:val="21"/>
              </w:rPr>
            </w:pPr>
            <w:r>
              <w:rPr>
                <w:rFonts w:hint="eastAsia" w:ascii="宋体" w:hAnsi="宋体"/>
                <w:szCs w:val="21"/>
              </w:rPr>
              <w:t xml:space="preserve">邮  编: </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c>
          <w:tcPr>
            <w:tcW w:w="4668"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乙方（公章）：</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电话:</w:t>
            </w:r>
          </w:p>
          <w:p>
            <w:pPr>
              <w:spacing w:line="500" w:lineRule="exact"/>
              <w:rPr>
                <w:rFonts w:ascii="宋体" w:hAnsi="宋体"/>
                <w:szCs w:val="21"/>
              </w:rPr>
            </w:pPr>
            <w:r>
              <w:rPr>
                <w:rFonts w:hint="eastAsia" w:ascii="宋体" w:hAnsi="宋体"/>
                <w:szCs w:val="21"/>
              </w:rPr>
              <w:t>邮编:</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r>
    </w:tbl>
    <w:p>
      <w:pPr>
        <w:spacing w:line="500" w:lineRule="exact"/>
        <w:ind w:left="425"/>
        <w:rPr>
          <w:rFonts w:ascii="宋体" w:hAnsi="宋体"/>
          <w:b/>
          <w:sz w:val="18"/>
          <w:szCs w:val="18"/>
          <w:u w:val="single"/>
        </w:rPr>
      </w:pPr>
      <w:r>
        <w:rPr>
          <w:rFonts w:hint="eastAsia" w:ascii="宋体" w:hAnsi="宋体"/>
          <w:b/>
          <w:sz w:val="18"/>
          <w:szCs w:val="18"/>
        </w:rPr>
        <w:t>注：本合同格式仅作为参考文本，合同签订双方可根据项目的具体要求进行修订。</w:t>
      </w:r>
    </w:p>
    <w:p>
      <w:pPr>
        <w:pStyle w:val="67"/>
        <w:snapToGrid w:val="0"/>
        <w:spacing w:line="300" w:lineRule="exact"/>
        <w:jc w:val="center"/>
        <w:rPr>
          <w:b/>
          <w:bCs/>
          <w:color w:val="auto"/>
          <w:sz w:val="24"/>
        </w:rPr>
      </w:pPr>
      <w:r>
        <w:rPr>
          <w:rFonts w:hint="eastAsia"/>
          <w:b/>
          <w:bCs/>
          <w:color w:val="auto"/>
          <w:sz w:val="24"/>
        </w:rPr>
        <w:br w:type="page"/>
      </w:r>
    </w:p>
    <w:p>
      <w:pPr>
        <w:pStyle w:val="74"/>
        <w:snapToGrid w:val="0"/>
        <w:spacing w:line="440" w:lineRule="exact"/>
        <w:jc w:val="center"/>
        <w:outlineLvl w:val="0"/>
        <w:rPr>
          <w:rFonts w:ascii="宋体" w:hAnsi="宋体" w:cs="宋体"/>
          <w:b/>
          <w:bCs/>
          <w:color w:val="auto"/>
          <w:sz w:val="32"/>
          <w:szCs w:val="32"/>
        </w:rPr>
      </w:pPr>
      <w:bookmarkStart w:id="174" w:name="_Toc7960"/>
      <w:bookmarkStart w:id="175" w:name="_Toc11710"/>
      <w:r>
        <w:rPr>
          <w:rFonts w:hint="eastAsia" w:ascii="宋体" w:hAnsi="宋体" w:cs="宋体"/>
          <w:b/>
          <w:bCs/>
          <w:color w:val="auto"/>
          <w:sz w:val="32"/>
          <w:szCs w:val="32"/>
        </w:rPr>
        <w:t>第五章 采购需求</w:t>
      </w:r>
      <w:bookmarkStart w:id="176" w:name="_Toc757"/>
      <w:r>
        <w:rPr>
          <w:rFonts w:hint="eastAsia" w:ascii="宋体" w:hAnsi="宋体" w:cs="宋体"/>
          <w:b/>
          <w:bCs/>
          <w:color w:val="auto"/>
          <w:sz w:val="32"/>
          <w:szCs w:val="32"/>
        </w:rPr>
        <w:t>及技术参数</w:t>
      </w:r>
      <w:bookmarkEnd w:id="174"/>
    </w:p>
    <w:bookmarkEnd w:id="176"/>
    <w:p>
      <w:pPr>
        <w:spacing w:line="240" w:lineRule="atLeast"/>
        <w:jc w:val="left"/>
        <w:rPr>
          <w:rFonts w:ascii="宋体" w:hAnsi="宋体" w:cs="宋体"/>
          <w:b/>
          <w:bCs/>
          <w:szCs w:val="21"/>
        </w:rPr>
      </w:pPr>
    </w:p>
    <w:p>
      <w:pPr>
        <w:pStyle w:val="2"/>
        <w:ind w:left="0" w:leftChars="0" w:firstLine="0" w:firstLineChars="0"/>
        <w:jc w:val="center"/>
        <w:rPr>
          <w:rFonts w:hint="default" w:eastAsia="宋体"/>
          <w:sz w:val="28"/>
          <w:szCs w:val="36"/>
          <w:lang w:val="en-US" w:eastAsia="zh-CN"/>
        </w:rPr>
      </w:pPr>
      <w:r>
        <w:rPr>
          <w:rFonts w:hint="eastAsia" w:ascii="宋体" w:hAnsi="宋体" w:cs="宋体"/>
          <w:b/>
          <w:bCs/>
          <w:sz w:val="36"/>
          <w:szCs w:val="36"/>
          <w:lang w:eastAsia="zh-CN"/>
        </w:rPr>
        <w:t>（</w:t>
      </w:r>
      <w:r>
        <w:rPr>
          <w:rFonts w:hint="eastAsia" w:ascii="宋体" w:hAnsi="宋体" w:cs="宋体"/>
          <w:b/>
          <w:bCs/>
          <w:sz w:val="36"/>
          <w:szCs w:val="36"/>
          <w:lang w:val="en-US" w:eastAsia="zh-CN"/>
        </w:rPr>
        <w:t>一包</w:t>
      </w:r>
      <w:r>
        <w:rPr>
          <w:rFonts w:hint="eastAsia" w:ascii="宋体" w:hAnsi="宋体" w:cs="宋体"/>
          <w:b/>
          <w:bCs/>
          <w:sz w:val="36"/>
          <w:szCs w:val="36"/>
          <w:lang w:eastAsia="zh-CN"/>
        </w:rPr>
        <w:t>）：</w:t>
      </w:r>
      <w:r>
        <w:rPr>
          <w:rFonts w:hint="eastAsia" w:ascii="宋体" w:hAnsi="宋体" w:cs="宋体"/>
          <w:b/>
          <w:bCs/>
          <w:sz w:val="36"/>
          <w:szCs w:val="36"/>
          <w:lang w:val="en-US" w:eastAsia="zh-CN"/>
        </w:rPr>
        <w:t>清单</w:t>
      </w:r>
    </w:p>
    <w:tbl>
      <w:tblPr>
        <w:tblStyle w:val="39"/>
        <w:tblW w:w="813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4678"/>
        <w:gridCol w:w="1378"/>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脉冲场凝胶电泳</w:t>
            </w:r>
          </w:p>
        </w:tc>
        <w:tc>
          <w:tcPr>
            <w:tcW w:w="137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套</w:t>
            </w:r>
          </w:p>
        </w:tc>
        <w:tc>
          <w:tcPr>
            <w:tcW w:w="110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生物信息数据管理与分析一体化平台</w:t>
            </w:r>
          </w:p>
        </w:tc>
        <w:tc>
          <w:tcPr>
            <w:tcW w:w="137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0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凝胶成像系统</w:t>
            </w:r>
          </w:p>
        </w:tc>
        <w:tc>
          <w:tcPr>
            <w:tcW w:w="137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0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bl>
    <w:p>
      <w:pPr>
        <w:snapToGrid w:val="0"/>
        <w:spacing w:line="480" w:lineRule="exact"/>
        <w:contextualSpacing/>
        <w:jc w:val="center"/>
        <w:rPr>
          <w:rFonts w:hint="eastAsia" w:ascii="宋体" w:hAnsi="宋体" w:eastAsia="宋体" w:cs="Times New Roman"/>
          <w:sz w:val="30"/>
          <w:szCs w:val="30"/>
          <w:lang w:eastAsia="zh-CN"/>
        </w:rPr>
      </w:pPr>
      <w:r>
        <w:rPr>
          <w:rFonts w:hint="eastAsia" w:ascii="宋体" w:hAnsi="宋体" w:eastAsia="宋体" w:cs="Times New Roman"/>
          <w:b/>
          <w:bCs/>
          <w:sz w:val="28"/>
          <w:szCs w:val="28"/>
        </w:rPr>
        <w:t>全自动脉冲场凝胶电泳成像数据分析一体化平台</w:t>
      </w:r>
      <w:r>
        <w:rPr>
          <w:rFonts w:hint="eastAsia" w:ascii="宋体" w:hAnsi="宋体" w:cs="Times New Roman"/>
          <w:b/>
          <w:bCs/>
          <w:sz w:val="28"/>
          <w:szCs w:val="28"/>
          <w:lang w:eastAsia="zh-CN"/>
        </w:rPr>
        <w:t>（进口仪器）</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b/>
          <w:bCs/>
          <w:sz w:val="24"/>
          <w:szCs w:val="24"/>
          <w:lang w:val="en-US" w:eastAsia="zh-CN"/>
        </w:rPr>
        <w:t>1、</w:t>
      </w:r>
      <w:r>
        <w:rPr>
          <w:rFonts w:hint="eastAsia" w:ascii="宋体" w:hAnsi="宋体" w:eastAsia="宋体" w:cs="Times New Roman"/>
          <w:b/>
          <w:bCs/>
          <w:sz w:val="24"/>
          <w:szCs w:val="24"/>
        </w:rPr>
        <w:t>工作条件</w:t>
      </w:r>
      <w:r>
        <w:rPr>
          <w:rFonts w:hint="eastAsia" w:ascii="宋体" w:hAnsi="宋体" w:eastAsia="宋体" w:cs="Times New Roman"/>
          <w:sz w:val="24"/>
          <w:szCs w:val="24"/>
        </w:rPr>
        <w:t xml:space="preserve">  </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1.1  电源 </w:t>
      </w:r>
      <w:r>
        <w:rPr>
          <w:rFonts w:hint="eastAsia" w:ascii="宋体" w:hAnsi="宋体" w:cs="Times New Roman"/>
          <w:sz w:val="24"/>
          <w:szCs w:val="24"/>
          <w:lang w:eastAsia="zh-CN"/>
        </w:rPr>
        <w:t>：</w:t>
      </w:r>
      <w:r>
        <w:rPr>
          <w:rFonts w:hint="eastAsia" w:ascii="宋体" w:hAnsi="宋体" w:eastAsia="宋体" w:cs="Times New Roman"/>
          <w:sz w:val="24"/>
          <w:szCs w:val="24"/>
        </w:rPr>
        <w:t>220V</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1.2  温度</w:t>
      </w:r>
      <w:r>
        <w:rPr>
          <w:rFonts w:hint="eastAsia" w:ascii="宋体" w:hAnsi="宋体" w:cs="Times New Roman"/>
          <w:sz w:val="24"/>
          <w:szCs w:val="24"/>
          <w:lang w:eastAsia="zh-CN"/>
        </w:rPr>
        <w:t>：</w:t>
      </w:r>
      <w:r>
        <w:rPr>
          <w:rFonts w:hint="eastAsia" w:ascii="宋体" w:hAnsi="宋体" w:eastAsia="宋体" w:cs="Times New Roman"/>
          <w:sz w:val="24"/>
          <w:szCs w:val="24"/>
        </w:rPr>
        <w:t>0-40℃</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1.3  相对湿度</w:t>
      </w:r>
      <w:r>
        <w:rPr>
          <w:rFonts w:hint="eastAsia" w:ascii="宋体" w:hAnsi="宋体" w:cs="Times New Roman"/>
          <w:sz w:val="24"/>
          <w:szCs w:val="24"/>
          <w:lang w:eastAsia="zh-CN"/>
        </w:rPr>
        <w:t>：</w:t>
      </w:r>
      <w:r>
        <w:rPr>
          <w:rFonts w:hint="eastAsia" w:ascii="宋体" w:hAnsi="宋体" w:eastAsia="宋体" w:cs="Times New Roman"/>
          <w:sz w:val="24"/>
          <w:szCs w:val="24"/>
        </w:rPr>
        <w:t>0-95%</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b/>
          <w:bCs/>
          <w:sz w:val="24"/>
          <w:szCs w:val="24"/>
          <w:lang w:val="en-US" w:eastAsia="zh-CN"/>
        </w:rPr>
        <w:t>2、</w:t>
      </w:r>
      <w:r>
        <w:rPr>
          <w:rFonts w:hint="eastAsia" w:ascii="宋体" w:hAnsi="宋体" w:eastAsia="宋体" w:cs="Times New Roman"/>
          <w:b/>
          <w:bCs/>
          <w:sz w:val="24"/>
          <w:szCs w:val="24"/>
        </w:rPr>
        <w:t>用途：用于细菌分子分型和生物学指纹图谱聚类分析</w:t>
      </w:r>
    </w:p>
    <w:p>
      <w:pPr>
        <w:snapToGrid w:val="0"/>
        <w:spacing w:line="480" w:lineRule="exact"/>
        <w:contextualSpacing/>
        <w:rPr>
          <w:rFonts w:hint="eastAsia" w:ascii="宋体" w:hAnsi="宋体" w:eastAsia="宋体" w:cs="Times New Roman"/>
          <w:b/>
          <w:bCs/>
          <w:sz w:val="24"/>
          <w:szCs w:val="24"/>
        </w:rPr>
      </w:pPr>
      <w:r>
        <w:rPr>
          <w:rFonts w:hint="eastAsia" w:ascii="宋体" w:hAnsi="宋体" w:eastAsia="宋体" w:cs="Times New Roman"/>
          <w:b/>
          <w:bCs/>
          <w:sz w:val="24"/>
          <w:szCs w:val="24"/>
        </w:rPr>
        <w:t>3</w:t>
      </w:r>
      <w:r>
        <w:rPr>
          <w:rFonts w:hint="eastAsia" w:ascii="宋体" w:hAnsi="宋体" w:eastAsia="宋体" w:cs="Times New Roman"/>
          <w:b/>
          <w:bCs/>
          <w:sz w:val="24"/>
          <w:szCs w:val="24"/>
          <w:lang w:eastAsia="zh-CN"/>
        </w:rPr>
        <w:t>、</w:t>
      </w:r>
      <w:r>
        <w:rPr>
          <w:rFonts w:hint="eastAsia" w:ascii="宋体" w:hAnsi="宋体" w:eastAsia="宋体" w:cs="Times New Roman"/>
          <w:b/>
          <w:bCs/>
          <w:sz w:val="24"/>
          <w:szCs w:val="24"/>
        </w:rPr>
        <w:t xml:space="preserve"> 主要技术参数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 主控单元</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3.1.1  独特的自动演算功能：结合 11 个主要变量的确定,优化最理想的实验条件；</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3.1.2  支持的脉冲场技术：CHEF, PACE, FIGE，AFIGE；</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3.1.3  分离片段大小：100bp-10Mb；</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3.1.4  非线性转化梯度：扩展分离50kb-700kb线性片段；</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3.1.5   电源输出：最高的电压 350V，电压梯度0和0.6-9V/cm,  0.1 V/cm 增量, 连续可调；</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3.1.6   最大电流：0.5 amperes；</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3.1.7   延迟起动时间：≥72 小时；                 </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3.1.8   电极调节能力：动态调节 (反馈调整) ±0.5%；</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 </w:t>
      </w:r>
      <w:r>
        <w:rPr>
          <w:rFonts w:hint="eastAsia" w:ascii="宋体" w:hAnsi="宋体" w:cs="Times New Roman"/>
          <w:sz w:val="24"/>
          <w:szCs w:val="24"/>
          <w:lang w:eastAsia="zh-CN"/>
        </w:rPr>
        <w:t>★</w:t>
      </w:r>
      <w:r>
        <w:rPr>
          <w:rFonts w:hint="eastAsia" w:ascii="宋体" w:hAnsi="宋体" w:eastAsia="宋体" w:cs="Times New Roman"/>
          <w:sz w:val="24"/>
          <w:szCs w:val="24"/>
        </w:rPr>
        <w:t>3.1.9  程序储存器：储存20个复杂实验程序，每个程序包含8个程序模块或99个简单程序；</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3.1.10  转换范围：50 msec -18 hr；</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3.1.11  转换角度：0-360°，0.5°增量；</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3.1.12  多状态矢量变量 ：≥15 向量/脉冲周期, 可以定义每个角度, 电压, 和持续周期；</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3.1.13  转换坡度：线性的, 凹入的, 或是凸起的应用双曲线函数；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3.1.14  脉冲中断设置：可以通过电压, 频率, 角度, 和持续时间设定；</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3.1.15  最高电泳时间：999小时/每个模块；</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3.2 电泳槽</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3.2.1   材料：聚碳酸酯，电泳槽盖上配有安全锁，防止触电；</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3.2.2  电极：24根铂金电极，0.5 mm 直径，呈六边形排列；</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3.2.3   电极更换：每根电极可单独更换；</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3.2.4   可运行多种规格的凝胶（宽x长）：14 cmx13 cm, 21cm x14cm, 14cm x 21cm；</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3.2.5   温度检测：内置温度探头监测缓冲液温度变化；</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3.3  冷却装置</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3.3.1 输入功率：75W；  </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3.3.2 温度范围: 5℃-25℃； </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3.4 循环泵</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 xml:space="preserve">3.4.1 流速：泵速可调，典型流速 1 L/min。  </w:t>
      </w:r>
    </w:p>
    <w:p>
      <w:pPr>
        <w:snapToGrid w:val="0"/>
        <w:spacing w:line="480" w:lineRule="exact"/>
        <w:contextualSpacing/>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4、成像单元</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4.1</w:t>
      </w:r>
      <w:r>
        <w:rPr>
          <w:rFonts w:hint="eastAsia" w:ascii="宋体" w:hAnsi="宋体" w:eastAsia="宋体" w:cs="Times New Roman"/>
          <w:sz w:val="24"/>
          <w:szCs w:val="24"/>
        </w:rPr>
        <w:t>. 适合样本：胶片、杂交膜； EB、SYBR系列、Radiant Red等染色的核酸凝胶；考染、银染、SYPRO Ruby或Oriole染色的蛋白质凝胶，以及免染胶成像等。</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2. 物理分辨率：6.3M像素；</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4.3</w:t>
      </w:r>
      <w:r>
        <w:rPr>
          <w:rFonts w:hint="eastAsia" w:ascii="宋体" w:hAnsi="宋体" w:eastAsia="宋体" w:cs="Times New Roman"/>
          <w:sz w:val="24"/>
          <w:szCs w:val="24"/>
        </w:rPr>
        <w:t>. 动态范围：&gt;3.5个数量级（非插值）</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4. 触屏操作： 9.7英寸触摸屏，显示分辨率1,024 x 768像素 ；</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5. 暗箱：荧光密封暗箱，抽屉式样品图像采集腔与样品腔分开，避免交叉污染；</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6.滤光片：标配发射滤光片：535～645 nm，平场校准及镜头曲面度校准滤光片；</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7.平场校正：平场校正板、平场校准校准滤光片结合软件校准，保证背景均一，各部位误差&lt;5％。</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8.装机预校正各个聚焦面，实现免调节全自动聚焦，任何缩放设置都有预校准的自动对焦，程序控制，无需调节光圈、焦距、放大缩小等；</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9.灵敏度：0.1ngEB染色的DNA</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10.信噪比：&gt;=56dB；</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11. 曝光：全自动曝光，最短0.001s，0.001s步进，自动调节；显示过饱和像素保证精确定量；</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.最大成像面积大小：不低于21x14cm；</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13．系统自动识别特定应用的样品托盘，并调整成像参数及对应软件设置。</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14. 免染成像功能：蛋白免染胶1分钟自动成像，无需复杂的染色、固定和脱色步骤，需提供软件演示相关证明材料。可提供同品牌免让成像验证试剂盒。</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15.软件应具有以下方面的功能：</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(1)全自动控制包括图像采集、优化；自动泳道、条带识别、自动分子量、定量分析；</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(2)软件可编程，可自由安装于多台电脑，同时分析；</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(3)3D图像观察及输出，12种预设染料颜色标记显示及输出， 多幅图像合并显示及分析功能；</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(4)图像输出格式：.tif、.bmp、.png、.jpg；数据输出方式：剪贴板输出、数据库输出、Excel表格式输出、PDF输出；</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rPr>
        <w:t>(5)配有软件操作指南flash， 中文版、英文版软件自由切换，软件可免费升级；</w:t>
      </w:r>
    </w:p>
    <w:p>
      <w:pPr>
        <w:snapToGrid w:val="0"/>
        <w:spacing w:line="480" w:lineRule="exact"/>
        <w:contextualSpacing/>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5、软件处理系统</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5.1</w:t>
      </w:r>
      <w:r>
        <w:rPr>
          <w:rFonts w:hint="eastAsia" w:ascii="宋体" w:hAnsi="宋体" w:eastAsia="宋体" w:cs="Times New Roman"/>
          <w:sz w:val="24"/>
          <w:szCs w:val="24"/>
        </w:rPr>
        <w:t xml:space="preserve">、Bionumerics（中文版）与国家中央服务软件（国家食品安全风险评估中心TraNetChina）相匹配，是国家、省级和地级食源性疾病监测分析与研究溯源的专用软件。它可以将基层疾控机构采集的致病微生物基因图谱数据进行数据管理、数据分析和数据网络共享可以对接新疆自治区疾病预防控制中心的分子分型溯源网络平台。 </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5.2</w:t>
      </w:r>
      <w:r>
        <w:rPr>
          <w:rFonts w:hint="eastAsia" w:ascii="宋体" w:hAnsi="宋体" w:eastAsia="宋体" w:cs="Times New Roman"/>
          <w:sz w:val="24"/>
          <w:szCs w:val="24"/>
        </w:rPr>
        <w:t>、指纹模块（Fingerprint Types）：处理电泳数据（包括凝胶电泳和毛细管电泳）、色谱数据、光谱数据等。</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w:t>
      </w:r>
      <w:r>
        <w:rPr>
          <w:rFonts w:hint="eastAsia" w:ascii="宋体" w:hAnsi="宋体" w:eastAsia="宋体" w:cs="Times New Roman"/>
          <w:sz w:val="24"/>
          <w:szCs w:val="24"/>
        </w:rPr>
        <w:t>3、特征字符聚类模块（Character Types）：处理特征字符数据包括抗生素敏感性实验数据、脂肪酸数据、微阵列芯片数据、酶活测试（API®, Biolog®, Vitek®）和代谢活性数据等。</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w:t>
      </w:r>
      <w:r>
        <w:rPr>
          <w:rFonts w:hint="eastAsia" w:ascii="宋体" w:hAnsi="宋体" w:eastAsia="宋体" w:cs="Times New Roman"/>
          <w:sz w:val="24"/>
          <w:szCs w:val="24"/>
        </w:rPr>
        <w:t>4、树状分析和网络推理模块（Tree and Network Inference）：能对关系数据库中的多种实验数据进行聚类分析。</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w:t>
      </w:r>
      <w:r>
        <w:rPr>
          <w:rFonts w:hint="eastAsia" w:ascii="宋体" w:hAnsi="宋体" w:eastAsia="宋体" w:cs="Times New Roman"/>
          <w:sz w:val="24"/>
          <w:szCs w:val="24"/>
        </w:rPr>
        <w:t>5、耐药分析插件（Antibiotics susceptibility plugin）：可以收集、上报导入耐药分析结果。</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val="en-US" w:eastAsia="zh-CN"/>
        </w:rPr>
        <w:t>5.</w:t>
      </w:r>
      <w:r>
        <w:rPr>
          <w:rFonts w:hint="eastAsia" w:ascii="宋体" w:hAnsi="宋体" w:eastAsia="宋体" w:cs="Times New Roman"/>
          <w:sz w:val="24"/>
          <w:szCs w:val="24"/>
        </w:rPr>
        <w:t>6、数据库共享工具（Database Sharing Tools）：实现用户、数据库和实验室之间的数据备份交换与共享。</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cs="Times New Roman"/>
          <w:sz w:val="24"/>
          <w:szCs w:val="24"/>
          <w:lang w:val="en-US" w:eastAsia="zh-CN"/>
        </w:rPr>
        <w:t>5.</w:t>
      </w:r>
      <w:r>
        <w:rPr>
          <w:rFonts w:hint="eastAsia" w:ascii="宋体" w:hAnsi="宋体" w:eastAsia="宋体" w:cs="Times New Roman"/>
          <w:sz w:val="24"/>
          <w:szCs w:val="24"/>
        </w:rPr>
        <w:t>7、TraNetChina数据上报和审核插件：接入国家食源性疾病分子溯源网络（TraNetChina），各市级疾控中心或其他技术机构可与新疆自治区疾控中心的网络平台对接进行数据上报和比对分析；新疆自治区疾控中心管理员可以审核和管理全省数据，并可以将全省信息上报国家食品安全风险评估中心。</w:t>
      </w:r>
    </w:p>
    <w:p>
      <w:pPr>
        <w:snapToGrid w:val="0"/>
        <w:spacing w:line="480" w:lineRule="exact"/>
        <w:contextualSpacing/>
        <w:rPr>
          <w:rFonts w:hint="eastAsia" w:ascii="宋体" w:hAnsi="宋体" w:eastAsia="宋体" w:cs="Times New Roman"/>
          <w:sz w:val="24"/>
          <w:szCs w:val="24"/>
        </w:rPr>
      </w:pPr>
      <w:r>
        <w:rPr>
          <w:rFonts w:hint="eastAsia" w:ascii="宋体" w:hAnsi="宋体" w:cs="Times New Roman"/>
          <w:sz w:val="24"/>
          <w:szCs w:val="24"/>
          <w:lang w:eastAsia="zh-CN"/>
        </w:rPr>
        <w:t>★</w:t>
      </w:r>
      <w:r>
        <w:rPr>
          <w:rFonts w:hint="eastAsia" w:ascii="宋体" w:hAnsi="宋体" w:eastAsia="宋体" w:cs="Times New Roman"/>
          <w:sz w:val="24"/>
          <w:szCs w:val="24"/>
        </w:rPr>
        <w:t xml:space="preserve"> </w:t>
      </w:r>
      <w:r>
        <w:rPr>
          <w:rFonts w:hint="eastAsia" w:ascii="宋体" w:hAnsi="宋体" w:cs="Times New Roman"/>
          <w:sz w:val="24"/>
          <w:szCs w:val="24"/>
          <w:lang w:val="en-US" w:eastAsia="zh-CN"/>
        </w:rPr>
        <w:t>5.</w:t>
      </w:r>
      <w:r>
        <w:rPr>
          <w:rFonts w:hint="eastAsia" w:ascii="宋体" w:hAnsi="宋体" w:eastAsia="宋体" w:cs="Times New Roman"/>
          <w:sz w:val="24"/>
          <w:szCs w:val="24"/>
        </w:rPr>
        <w:t>8、TraNetChinaCRS插件：无缝连接国家食源性疾病检测报告系统，获取国家食源性疾病监测报告系统中相关病例及标本信息。</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5.</w:t>
      </w:r>
      <w:r>
        <w:rPr>
          <w:rFonts w:hint="eastAsia" w:ascii="宋体" w:hAnsi="宋体" w:cs="Times New Roman"/>
          <w:sz w:val="24"/>
          <w:szCs w:val="24"/>
          <w:lang w:val="en-US" w:eastAsia="zh-CN"/>
        </w:rPr>
        <w:t>9</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附加要求：</w:t>
      </w:r>
    </w:p>
    <w:p>
      <w:pPr>
        <w:spacing w:line="360" w:lineRule="auto"/>
        <w:rPr>
          <w:rFonts w:hint="eastAsia" w:ascii="宋体" w:hAnsi="宋体"/>
          <w:sz w:val="24"/>
        </w:rPr>
      </w:pPr>
      <w:r>
        <w:rPr>
          <w:rFonts w:hint="eastAsia" w:ascii="宋体" w:hAnsi="宋体"/>
          <w:sz w:val="24"/>
          <w:lang w:val="en-US" w:eastAsia="zh-CN"/>
        </w:rPr>
        <w:t>5.9.</w:t>
      </w:r>
      <w:r>
        <w:rPr>
          <w:rFonts w:hint="eastAsia" w:ascii="宋体" w:hAnsi="宋体"/>
          <w:sz w:val="24"/>
        </w:rPr>
        <w:t>1、安装调试：在用户所在地免费安装、调试 ；</w:t>
      </w:r>
    </w:p>
    <w:p>
      <w:pPr>
        <w:spacing w:line="360" w:lineRule="auto"/>
        <w:rPr>
          <w:rFonts w:hint="eastAsia" w:ascii="宋体" w:hAnsi="宋体"/>
          <w:sz w:val="24"/>
        </w:rPr>
      </w:pPr>
      <w:r>
        <w:rPr>
          <w:rFonts w:hint="eastAsia" w:ascii="宋体" w:hAnsi="宋体"/>
          <w:sz w:val="24"/>
          <w:lang w:val="en-US" w:eastAsia="zh-CN"/>
        </w:rPr>
        <w:t>5.9.2</w:t>
      </w:r>
      <w:r>
        <w:rPr>
          <w:rFonts w:hint="eastAsia" w:ascii="宋体" w:hAnsi="宋体"/>
          <w:sz w:val="24"/>
        </w:rPr>
        <w:t>售后服务：提供</w:t>
      </w:r>
      <w:r>
        <w:rPr>
          <w:rFonts w:ascii="宋体" w:hAnsi="宋体"/>
          <w:sz w:val="24"/>
        </w:rPr>
        <w:t>2</w:t>
      </w:r>
      <w:r>
        <w:rPr>
          <w:rFonts w:hint="eastAsia" w:ascii="宋体" w:hAnsi="宋体"/>
          <w:sz w:val="24"/>
        </w:rPr>
        <w:t xml:space="preserve">年的免费维护，在接到用户通知后24小时内响应 </w:t>
      </w:r>
    </w:p>
    <w:p>
      <w:pPr>
        <w:rPr>
          <w:sz w:val="24"/>
        </w:rPr>
      </w:pPr>
      <w:r>
        <w:rPr>
          <w:rFonts w:hint="eastAsia" w:ascii="宋体" w:hAnsi="宋体" w:cs="Times New Roman"/>
          <w:sz w:val="24"/>
          <w:lang w:val="en-US" w:eastAsia="zh-CN"/>
        </w:rPr>
        <w:t>5.9.3终</w:t>
      </w:r>
      <w:r>
        <w:rPr>
          <w:rFonts w:hint="eastAsia"/>
          <w:sz w:val="24"/>
        </w:rPr>
        <w:t>生升级最新版本，与新疆自治区疾控中心软件版本保持一致。</w:t>
      </w:r>
    </w:p>
    <w:p>
      <w:pPr>
        <w:snapToGrid w:val="0"/>
        <w:spacing w:line="480" w:lineRule="exact"/>
        <w:contextualSpacing/>
        <w:rPr>
          <w:rFonts w:hint="eastAsia" w:ascii="宋体" w:hAnsi="宋体" w:eastAsia="宋体" w:cs="Times New Roman"/>
          <w:b/>
          <w:bCs/>
          <w:sz w:val="24"/>
          <w:szCs w:val="24"/>
        </w:rPr>
      </w:pPr>
      <w:r>
        <w:rPr>
          <w:rFonts w:hint="eastAsia" w:ascii="宋体" w:hAnsi="宋体" w:eastAsia="宋体" w:cs="Times New Roman"/>
          <w:b/>
          <w:bCs/>
          <w:sz w:val="24"/>
          <w:szCs w:val="24"/>
          <w:lang w:val="en-US" w:eastAsia="zh-CN"/>
        </w:rPr>
        <w:t>6、</w:t>
      </w:r>
      <w:r>
        <w:rPr>
          <w:rFonts w:hint="eastAsia" w:ascii="宋体" w:hAnsi="宋体" w:eastAsia="宋体" w:cs="Times New Roman"/>
          <w:b/>
          <w:bCs/>
          <w:sz w:val="24"/>
          <w:szCs w:val="24"/>
        </w:rPr>
        <w:t>配置要求</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w:t>
      </w:r>
      <w:r>
        <w:rPr>
          <w:rFonts w:hint="eastAsia" w:ascii="宋体" w:hAnsi="宋体" w:eastAsia="宋体" w:cs="Times New Roman"/>
          <w:sz w:val="24"/>
          <w:szCs w:val="24"/>
        </w:rPr>
        <w:t>主控单元1台；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6.2</w:t>
      </w:r>
      <w:r>
        <w:rPr>
          <w:rFonts w:hint="eastAsia" w:ascii="宋体" w:hAnsi="宋体" w:eastAsia="宋体" w:cs="Times New Roman"/>
          <w:sz w:val="24"/>
          <w:szCs w:val="24"/>
        </w:rPr>
        <w:t>电泳槽1台；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6.3</w:t>
      </w:r>
      <w:r>
        <w:rPr>
          <w:rFonts w:hint="eastAsia" w:ascii="宋体" w:hAnsi="宋体" w:eastAsia="宋体" w:cs="Times New Roman"/>
          <w:sz w:val="24"/>
          <w:szCs w:val="24"/>
        </w:rPr>
        <w:t>冷却装置1台；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6.4</w:t>
      </w:r>
      <w:r>
        <w:rPr>
          <w:rFonts w:hint="eastAsia" w:ascii="宋体" w:hAnsi="宋体" w:eastAsia="宋体" w:cs="Times New Roman"/>
          <w:sz w:val="24"/>
          <w:szCs w:val="24"/>
        </w:rPr>
        <w:t>循环泵1台；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6.5</w:t>
      </w:r>
      <w:r>
        <w:rPr>
          <w:rFonts w:hint="eastAsia" w:ascii="宋体" w:hAnsi="宋体" w:eastAsia="宋体" w:cs="Times New Roman"/>
          <w:sz w:val="24"/>
          <w:szCs w:val="24"/>
        </w:rPr>
        <w:t>14cmX13cm灌胶架1台；</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6.6</w:t>
      </w:r>
      <w:r>
        <w:rPr>
          <w:rFonts w:hint="eastAsia" w:ascii="宋体" w:hAnsi="宋体" w:eastAsia="宋体" w:cs="Times New Roman"/>
          <w:sz w:val="24"/>
          <w:szCs w:val="24"/>
        </w:rPr>
        <w:t>1.5mm 15孔梳子1把；</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6.7</w:t>
      </w:r>
      <w:r>
        <w:rPr>
          <w:rFonts w:hint="eastAsia" w:ascii="宋体" w:hAnsi="宋体" w:eastAsia="宋体" w:cs="Times New Roman"/>
          <w:sz w:val="24"/>
          <w:szCs w:val="24"/>
        </w:rPr>
        <w:t>一次性样品块模具1包；</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6.8</w:t>
      </w:r>
      <w:r>
        <w:rPr>
          <w:rFonts w:hint="eastAsia" w:ascii="宋体" w:hAnsi="宋体" w:eastAsia="宋体" w:cs="Times New Roman"/>
          <w:sz w:val="24"/>
          <w:szCs w:val="24"/>
        </w:rPr>
        <w:t>脉冲场级琼脂糖5g;</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6.9</w:t>
      </w:r>
      <w:r>
        <w:rPr>
          <w:rFonts w:hint="eastAsia" w:ascii="宋体" w:hAnsi="宋体" w:eastAsia="宋体" w:cs="Times New Roman"/>
          <w:sz w:val="24"/>
          <w:szCs w:val="24"/>
        </w:rPr>
        <w:t>染色体级琼脂5g；</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6.10</w:t>
      </w:r>
      <w:r>
        <w:rPr>
          <w:rFonts w:hint="eastAsia" w:ascii="宋体" w:hAnsi="宋体" w:eastAsia="宋体" w:cs="Times New Roman"/>
          <w:sz w:val="24"/>
          <w:szCs w:val="24"/>
        </w:rPr>
        <w:t>10孔可重复使用样品制备模块5个；</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6.11</w:t>
      </w:r>
      <w:r>
        <w:rPr>
          <w:rFonts w:hint="eastAsia" w:ascii="宋体" w:hAnsi="宋体" w:eastAsia="宋体" w:cs="Times New Roman"/>
          <w:sz w:val="24"/>
          <w:szCs w:val="24"/>
        </w:rPr>
        <w:t>一次性样品块模具5包;</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6.12</w:t>
      </w:r>
      <w:r>
        <w:rPr>
          <w:rFonts w:hint="eastAsia" w:ascii="宋体" w:hAnsi="宋体" w:eastAsia="宋体" w:cs="Times New Roman"/>
          <w:sz w:val="24"/>
          <w:szCs w:val="24"/>
        </w:rPr>
        <w:t>1.5 mm 15孔梳子1把；</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6.13</w:t>
      </w:r>
      <w:r>
        <w:rPr>
          <w:rFonts w:hint="eastAsia" w:ascii="宋体" w:hAnsi="宋体" w:eastAsia="宋体" w:cs="Times New Roman"/>
          <w:sz w:val="24"/>
          <w:szCs w:val="24"/>
        </w:rPr>
        <w:t>1.5mm 10孔梳子1把；</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6.14</w:t>
      </w:r>
      <w:r>
        <w:rPr>
          <w:rFonts w:hint="eastAsia" w:ascii="宋体" w:hAnsi="宋体" w:eastAsia="宋体" w:cs="Times New Roman"/>
          <w:sz w:val="24"/>
          <w:szCs w:val="24"/>
        </w:rPr>
        <w:t>梳架1个；</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6.15</w:t>
      </w:r>
      <w:r>
        <w:rPr>
          <w:rFonts w:hint="eastAsia" w:ascii="宋体" w:hAnsi="宋体" w:eastAsia="宋体" w:cs="Times New Roman"/>
          <w:sz w:val="24"/>
          <w:szCs w:val="24"/>
        </w:rPr>
        <w:t>21cmx14 cm大型组合式灌胶架 1个；</w:t>
      </w:r>
    </w:p>
    <w:p>
      <w:pPr>
        <w:snapToGrid w:val="0"/>
        <w:spacing w:line="480" w:lineRule="exact"/>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6.16</w:t>
      </w:r>
      <w:r>
        <w:rPr>
          <w:rFonts w:hint="eastAsia" w:ascii="宋体" w:hAnsi="宋体" w:eastAsia="宋体" w:cs="Times New Roman"/>
          <w:sz w:val="24"/>
          <w:szCs w:val="24"/>
        </w:rPr>
        <w:t>滤帽10个</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6.17凝胶成像系统1套</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6.18生物信息数据管理与分析一体软件（包含</w:t>
      </w:r>
      <w:r>
        <w:rPr>
          <w:rFonts w:hint="eastAsia" w:ascii="宋体" w:hAnsi="宋体" w:cs="Times New Roman"/>
          <w:sz w:val="24"/>
          <w:szCs w:val="24"/>
          <w:lang w:val="en-US" w:eastAsia="zh-CN"/>
        </w:rPr>
        <w:t>加密狗一个、说明书贰套</w:t>
      </w:r>
      <w:r>
        <w:rPr>
          <w:rFonts w:hint="eastAsia" w:ascii="宋体" w:hAnsi="宋体" w:eastAsia="宋体" w:cs="Times New Roman"/>
          <w:sz w:val="24"/>
          <w:szCs w:val="24"/>
          <w:lang w:val="en-US" w:eastAsia="zh-CN"/>
        </w:rPr>
        <w:t>）</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7</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7</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snapToGrid w:val="0"/>
        <w:spacing w:line="480" w:lineRule="exact"/>
        <w:contextualSpacing/>
        <w:rPr>
          <w:rFonts w:hint="eastAsia" w:ascii="宋体" w:hAnsi="宋体"/>
          <w:b/>
          <w:bCs/>
          <w:sz w:val="24"/>
          <w:szCs w:val="24"/>
        </w:rPr>
      </w:pPr>
      <w:r>
        <w:rPr>
          <w:rFonts w:hint="eastAsia" w:ascii="宋体" w:hAnsi="宋体"/>
          <w:b/>
          <w:bCs/>
          <w:sz w:val="24"/>
          <w:szCs w:val="24"/>
        </w:rPr>
        <w:t>（备注：带</w:t>
      </w:r>
      <w:r>
        <w:rPr>
          <w:rFonts w:hint="eastAsia" w:ascii="宋体" w:hAnsi="宋体"/>
          <w:b/>
          <w:bCs/>
          <w:sz w:val="24"/>
          <w:szCs w:val="24"/>
          <w:lang w:eastAsia="zh-CN"/>
        </w:rPr>
        <w:t>★</w:t>
      </w:r>
      <w:r>
        <w:rPr>
          <w:rFonts w:hint="eastAsia" w:ascii="宋体" w:hAnsi="宋体"/>
          <w:b/>
          <w:bCs/>
          <w:sz w:val="24"/>
          <w:szCs w:val="24"/>
        </w:rPr>
        <w:t>项为重要要求。投标人在投标时应答的指标，在仪器验收时如不符合验收标准，将视为违约，招标人有权退货，并按合同条款进行处罚。为了保证产品和售后服务质量，该设备必须提供制造商家针对本项目的销售授权和售后服务承诺书复印件，原件备查）</w:t>
      </w:r>
    </w:p>
    <w:p>
      <w:pPr>
        <w:pStyle w:val="2"/>
        <w:ind w:left="0" w:leftChars="0" w:firstLine="0" w:firstLineChars="0"/>
        <w:jc w:val="center"/>
        <w:rPr>
          <w:rFonts w:hint="eastAsia" w:ascii="宋体" w:hAnsi="宋体" w:cs="宋体"/>
          <w:b/>
          <w:bCs w:val="0"/>
          <w:color w:val="000000"/>
          <w:sz w:val="40"/>
          <w:szCs w:val="32"/>
          <w:lang w:eastAsia="zh-CN"/>
        </w:rPr>
      </w:pPr>
    </w:p>
    <w:p>
      <w:pPr>
        <w:pStyle w:val="2"/>
        <w:ind w:left="0" w:leftChars="0" w:firstLine="0" w:firstLineChars="0"/>
        <w:jc w:val="center"/>
        <w:rPr>
          <w:rFonts w:hint="eastAsia" w:ascii="宋体" w:hAnsi="宋体" w:cs="宋体"/>
          <w:b/>
          <w:bCs w:val="0"/>
          <w:color w:val="000000"/>
          <w:sz w:val="40"/>
          <w:szCs w:val="32"/>
          <w:lang w:eastAsia="zh-CN"/>
        </w:rPr>
      </w:pPr>
    </w:p>
    <w:p>
      <w:pPr>
        <w:pStyle w:val="2"/>
        <w:ind w:left="0" w:leftChars="0" w:firstLine="0" w:firstLineChars="0"/>
        <w:jc w:val="center"/>
        <w:rPr>
          <w:rFonts w:hint="eastAsia" w:ascii="宋体" w:hAnsi="宋体" w:cs="宋体"/>
          <w:b/>
          <w:bCs w:val="0"/>
          <w:color w:val="000000"/>
          <w:sz w:val="40"/>
          <w:szCs w:val="32"/>
          <w:lang w:eastAsia="zh-CN"/>
        </w:rPr>
      </w:pPr>
    </w:p>
    <w:p>
      <w:pPr>
        <w:pStyle w:val="2"/>
        <w:ind w:left="0" w:leftChars="0" w:firstLine="0" w:firstLineChars="0"/>
        <w:jc w:val="center"/>
        <w:rPr>
          <w:rFonts w:hint="eastAsia" w:ascii="宋体" w:hAnsi="宋体" w:cs="宋体"/>
          <w:b/>
          <w:bCs w:val="0"/>
          <w:color w:val="000000"/>
          <w:sz w:val="40"/>
          <w:szCs w:val="32"/>
          <w:lang w:eastAsia="zh-CN"/>
        </w:rPr>
      </w:pPr>
    </w:p>
    <w:p>
      <w:pPr>
        <w:pStyle w:val="2"/>
        <w:ind w:left="0" w:leftChars="0" w:firstLine="0" w:firstLineChars="0"/>
        <w:jc w:val="center"/>
        <w:rPr>
          <w:rFonts w:hint="eastAsia" w:ascii="宋体" w:hAnsi="宋体" w:cs="宋体"/>
          <w:b/>
          <w:bCs w:val="0"/>
          <w:color w:val="000000"/>
          <w:sz w:val="40"/>
          <w:szCs w:val="32"/>
          <w:lang w:eastAsia="zh-CN"/>
        </w:rPr>
      </w:pPr>
    </w:p>
    <w:p>
      <w:pPr>
        <w:pStyle w:val="2"/>
        <w:ind w:left="0" w:leftChars="0" w:firstLine="0" w:firstLineChars="0"/>
        <w:jc w:val="center"/>
        <w:rPr>
          <w:rFonts w:hint="default" w:eastAsia="宋体"/>
          <w:b/>
          <w:bCs w:val="0"/>
          <w:sz w:val="40"/>
          <w:szCs w:val="48"/>
          <w:lang w:val="en-US" w:eastAsia="zh-CN"/>
        </w:rPr>
      </w:pPr>
      <w:r>
        <w:rPr>
          <w:rFonts w:hint="eastAsia" w:ascii="宋体" w:hAnsi="宋体" w:cs="宋体"/>
          <w:b/>
          <w:bCs w:val="0"/>
          <w:color w:val="000000"/>
          <w:sz w:val="40"/>
          <w:szCs w:val="32"/>
          <w:lang w:eastAsia="zh-CN"/>
        </w:rPr>
        <w:t>（</w:t>
      </w:r>
      <w:r>
        <w:rPr>
          <w:rFonts w:hint="eastAsia" w:ascii="宋体" w:hAnsi="宋体" w:cs="宋体"/>
          <w:b/>
          <w:bCs w:val="0"/>
          <w:color w:val="000000"/>
          <w:sz w:val="40"/>
          <w:szCs w:val="32"/>
          <w:lang w:val="en-US" w:eastAsia="zh-CN"/>
        </w:rPr>
        <w:t>二包</w:t>
      </w:r>
      <w:r>
        <w:rPr>
          <w:rFonts w:hint="eastAsia" w:ascii="宋体" w:hAnsi="宋体" w:cs="宋体"/>
          <w:b/>
          <w:bCs w:val="0"/>
          <w:color w:val="000000"/>
          <w:sz w:val="40"/>
          <w:szCs w:val="32"/>
          <w:lang w:eastAsia="zh-CN"/>
        </w:rPr>
        <w:t>）：</w:t>
      </w:r>
      <w:r>
        <w:rPr>
          <w:rFonts w:hint="eastAsia" w:ascii="宋体" w:hAnsi="宋体" w:cs="宋体"/>
          <w:b/>
          <w:bCs w:val="0"/>
          <w:color w:val="000000"/>
          <w:sz w:val="40"/>
          <w:szCs w:val="32"/>
          <w:lang w:val="en-US" w:eastAsia="zh-CN"/>
        </w:rPr>
        <w:t>清单</w:t>
      </w:r>
    </w:p>
    <w:tbl>
      <w:tblPr>
        <w:tblStyle w:val="39"/>
        <w:tblW w:w="813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4678"/>
        <w:gridCol w:w="1378"/>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高通量基因测序仪（量子拉伸缩仪）</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生物信息学数字处理终端</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全自动微孔板药敏分析系统</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4</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顶空自动进样器</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冷冻型高通量组织研磨器</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全自动菌落计数器</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水平电泳系统</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生物安全柜台</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干雾过氧化氢空间消毒器</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染色机</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小型旋盖仪</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紫外可见分光光度计</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4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全自动化学发光免疫分析仪</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r>
    </w:tbl>
    <w:p>
      <w:pPr>
        <w:snapToGrid w:val="0"/>
        <w:spacing w:line="480" w:lineRule="exact"/>
        <w:contextualSpacing/>
        <w:jc w:val="center"/>
        <w:rPr>
          <w:rFonts w:hint="eastAsia" w:ascii="宋体" w:hAnsi="宋体" w:eastAsiaTheme="minorEastAsia" w:cstheme="minorBidi"/>
          <w:b/>
          <w:bCs/>
          <w:sz w:val="32"/>
          <w:szCs w:val="32"/>
          <w:lang w:val="en-US" w:eastAsia="zh-CN"/>
        </w:rPr>
      </w:pPr>
      <w:r>
        <w:rPr>
          <w:rFonts w:hint="eastAsia" w:ascii="宋体" w:hAnsi="宋体" w:eastAsiaTheme="minorEastAsia" w:cstheme="minorBidi"/>
          <w:b/>
          <w:bCs/>
          <w:sz w:val="32"/>
          <w:szCs w:val="32"/>
        </w:rPr>
        <w:t>高通量基因测序仪</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val="en-US" w:eastAsia="zh-CN"/>
        </w:rPr>
        <w:t>1、</w:t>
      </w:r>
      <w:r>
        <w:rPr>
          <w:rFonts w:hint="eastAsia" w:ascii="宋体" w:hAnsi="宋体" w:eastAsiaTheme="minorEastAsia" w:cstheme="minorBidi"/>
          <w:b/>
          <w:bCs/>
          <w:sz w:val="24"/>
          <w:szCs w:val="24"/>
        </w:rPr>
        <w:t>设备用途：</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1.1该系统将用于未知物种全基因组测序、已知物种再测序、全基因组小RNA分析、微生物宏基因组分析、染色质免疫互沉淀（ChIP）研究、甲基化研究、转录组分析等；</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 xml:space="preserve">1.2 可用于不明原因感染、不明原因疫情的快速应对； </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1.3 可用于卫生应急、食物中毒、突发和新发疫情的快速应对，快速检测致病源；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1.4 可用于流感疫情的检测、鉴定和分型；</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1.5 可用于对病原微生物的进化变异研究、毒力基因研究、耐药基因研究；</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rPr>
        <w:t>2</w:t>
      </w:r>
      <w:r>
        <w:rPr>
          <w:rFonts w:hint="eastAsia" w:ascii="宋体" w:hAnsi="宋体" w:eastAsiaTheme="minorEastAsia" w:cstheme="minorBidi"/>
          <w:b/>
          <w:bCs/>
          <w:sz w:val="24"/>
          <w:szCs w:val="24"/>
          <w:lang w:eastAsia="zh-CN"/>
        </w:rPr>
        <w:t>、</w:t>
      </w:r>
      <w:r>
        <w:rPr>
          <w:rFonts w:hint="eastAsia" w:ascii="宋体" w:hAnsi="宋体" w:eastAsiaTheme="minorEastAsia" w:cstheme="minorBidi"/>
          <w:b/>
          <w:bCs/>
          <w:sz w:val="24"/>
          <w:szCs w:val="24"/>
        </w:rPr>
        <w:t>技术规格</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2.1高数据通量：每次反应可生成75亿(7.5G)碱基数据；</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2.2每次运行至少可生成可读2500万个片段标签序列；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rPr>
        <w:t>2.3可以在6小时内完成样品制备、测序和数据分析，用于快速鉴定；</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2.4数据读长：自读长≥2</w:t>
      </w:r>
      <w:r>
        <w:rPr>
          <w:rFonts w:hint="eastAsia" w:ascii="宋体" w:hAnsi="宋体" w:cs="Times New Roman"/>
          <w:sz w:val="24"/>
          <w:szCs w:val="24"/>
          <w:lang w:val="en-US" w:eastAsia="zh-CN"/>
        </w:rPr>
        <w:t>×</w:t>
      </w:r>
      <w:r>
        <w:rPr>
          <w:rFonts w:hint="eastAsia" w:ascii="宋体" w:hAnsi="宋体" w:eastAsiaTheme="minorEastAsia" w:cstheme="minorBidi"/>
          <w:sz w:val="24"/>
          <w:szCs w:val="24"/>
        </w:rPr>
        <w:t>150（300）个碱基；</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rPr>
        <w:t>2.5数据读取模式：自动化双端读取及自动化单端读取序列两种读取模式</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2.6样品用量：DNA样本低至1ng；</w:t>
      </w:r>
    </w:p>
    <w:p>
      <w:pPr>
        <w:snapToGrid w:val="0"/>
        <w:spacing w:line="480" w:lineRule="exact"/>
        <w:contextualSpacing/>
        <w:rPr>
          <w:rFonts w:hint="eastAsia" w:ascii="宋体" w:hAnsi="宋体" w:eastAsiaTheme="minorEastAsia" w:cstheme="minorBidi"/>
          <w:sz w:val="24"/>
          <w:szCs w:val="24"/>
        </w:rPr>
      </w:pPr>
      <w:bookmarkStart w:id="177" w:name="OLE_LINK1"/>
      <w:bookmarkStart w:id="178" w:name="OLE_LINK2"/>
      <w:r>
        <w:rPr>
          <w:rFonts w:hint="eastAsia" w:ascii="宋体" w:hAnsi="宋体" w:eastAsiaTheme="minorEastAsia" w:cstheme="minorBidi"/>
          <w:sz w:val="24"/>
          <w:szCs w:val="24"/>
        </w:rPr>
        <w:t>2.7样品制备可在2小时内完成</w:t>
      </w:r>
      <w:bookmarkEnd w:id="177"/>
      <w:bookmarkEnd w:id="178"/>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2.8可精确读取≥12个的连续单个重复碱基（如AAAAAAAAAAAAAAA）</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rPr>
        <w:t>2.9不同样品并行性：提供稳定成熟的380 个样品的index （条码）混合接头；2.10可同时进行96个样品的1536重PCR产物的测序</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2.11 测序结果给出严格的Q30的数据</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2.12扩增可以自动化进行；无需手工操作</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2.13扩增、测序和数据分析服务器在同一台仪器上完成；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2.14提供简单优化的自动生物信息学支持软件：如新物种拼接，小RNA分析，扩增子分析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2.15 数据准确率高：Q30为 80%</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2.16 检测突变频率0.1%；</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2.17 测序自动化：具备最高的自动化，无需配备扩增设备、无需模板制备设备、无需加载设备、无需任何装载设备，在测序主机中可直接开展样本文库克隆扩增和测序，样本文库克隆扩增不需要繁琐的</w:t>
      </w:r>
      <w:bookmarkStart w:id="179" w:name="OLE_LINK7"/>
      <w:bookmarkStart w:id="180" w:name="OLE_LINK8"/>
      <w:bookmarkStart w:id="181" w:name="OLE_LINK9"/>
      <w:bookmarkStart w:id="182" w:name="OLE_LINK11"/>
      <w:r>
        <w:rPr>
          <w:rFonts w:hint="eastAsia" w:ascii="宋体" w:hAnsi="宋体" w:eastAsiaTheme="minorEastAsia" w:cstheme="minorBidi"/>
          <w:sz w:val="24"/>
          <w:szCs w:val="24"/>
        </w:rPr>
        <w:t>emulsion PCR</w:t>
      </w:r>
      <w:bookmarkEnd w:id="179"/>
      <w:bookmarkEnd w:id="180"/>
      <w:r>
        <w:rPr>
          <w:rFonts w:hint="eastAsia" w:ascii="宋体" w:hAnsi="宋体" w:eastAsiaTheme="minorEastAsia" w:cstheme="minorBidi"/>
          <w:sz w:val="24"/>
          <w:szCs w:val="24"/>
        </w:rPr>
        <w:t>（即油包水PCR法）</w:t>
      </w:r>
      <w:bookmarkEnd w:id="181"/>
      <w:bookmarkEnd w:id="182"/>
      <w:r>
        <w:rPr>
          <w:rFonts w:hint="eastAsia" w:ascii="宋体" w:hAnsi="宋体" w:eastAsiaTheme="minorEastAsia" w:cstheme="minorBidi"/>
          <w:sz w:val="24"/>
          <w:szCs w:val="24"/>
        </w:rPr>
        <w:t>，避免了额外的系统外操作步骤造成的实验错误；</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2.18测序仪内置电脑数据处理系统：硬盘容量900Gb，内存16G；</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2.19新冠全基因组序列检测性能：采用一步法 PCR技术，扩增子数目小于150个；</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2.20新冠建库测序技术原理：采用多重PCR技术获得新冠病毒的基因组全长，获得产物直接用于二代和三代基因组测序，分析新冠病毒全长；</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2.21新冠全基因组扩增速度：新冠全基因组全长片段PCR扩增需在4小时内完成；</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val="en-US" w:eastAsia="zh-CN"/>
        </w:rPr>
        <w:t>3、</w:t>
      </w:r>
      <w:r>
        <w:rPr>
          <w:rFonts w:hint="eastAsia" w:ascii="宋体" w:hAnsi="宋体" w:eastAsiaTheme="minorEastAsia" w:cstheme="minorBidi"/>
          <w:b/>
          <w:bCs/>
          <w:sz w:val="24"/>
          <w:szCs w:val="24"/>
        </w:rPr>
        <w:t>仪器控制、数据采集、处理和应用</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.1数据采集模式：边合成边采集每一个碱基反应信号；</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.2操作软件：实现对测序仪器的自动工作流程进行操作设置，可自动控制仪器完成簇生成扩增和边合成边测序的化学反应;</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.3 分析软件：提供同品牌整合在测序仪内的App版本优化的生物信息学解读软件；</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 新冠病毒全基因组分析软件模块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.4.1 可对主流的二代测序平台和三代测序平台产生的测序结果进行数据分析。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.4.2 新冠病毒全基因组序列分析，突变位点鉴定等功能（如D614G突变）；</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.4.3图形化操作界面，无需命令行输入，从下机数据到结果报告仅需一键式操作，无需专业生物信息学知识；</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.4.4下机数据自动生成病毒基因组溯源进化树；</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.4.5 用户可以自主添加序列信息，从而生成新的进化树；</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.4.6 自动完成新冠病毒全基因组序列拼接。</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.4.7 数据结果自动生成新冠病毒中国地区特异性亚型注释，无需进行二次分析；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4.8</w:t>
      </w:r>
      <w:r>
        <w:rPr>
          <w:rFonts w:hint="eastAsia" w:ascii="宋体" w:hAnsi="宋体" w:eastAsiaTheme="minorEastAsia" w:cstheme="minorBidi"/>
          <w:sz w:val="24"/>
          <w:szCs w:val="24"/>
        </w:rPr>
        <w:t>具有国家版权局颁发的计算机软件著作权登记证书；</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4.9</w:t>
      </w:r>
      <w:r>
        <w:rPr>
          <w:rFonts w:hint="eastAsia" w:ascii="宋体" w:hAnsi="宋体" w:eastAsiaTheme="minorEastAsia" w:cstheme="minorBidi"/>
          <w:sz w:val="24"/>
          <w:szCs w:val="24"/>
        </w:rPr>
        <w:t>软件制造企业必须通过ISO9001认证，带CNAS标识，在国家认证认可委员会可查询；</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 流感病毒基因组分析模块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.5.1图形化操作界面，无需命令行输入；</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.5.2从下机数据到结果报告仅需一键式操作，无需专业生物信息学知识；</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.5.3自主知识产权的变异扩增防错技术；</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.5.4可视化的报告输出；</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.5.5软件内嵌服务器，软硬件完美搭配，计算能力高效；</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.5.6实现96个样本的批量处理，完美对接新一代测序平台；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.5.7直接识别关键位点的变异；</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.5.8动态展示reads比对和覆盖情况；</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.5.9结合从头组装和比对参考序列两种算法，结果更可靠；</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 未知病原体高通量测序分析软件模块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.6.1可兼容二代测序和三代测序的下机数据；</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.6.2从下机数据到结果报告仅需一键式操作，无需专业生物信息学知识；</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.6.3自主知识产权的变异扩增防错技术；</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.6.4可自动计算覆盖度和深度，有效去除假阳性；</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.6.5 分析2GB大小的测序数据≤1h内完成分析；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.6.6可同时检测≥8000种病毒，≥9000种支原体和细菌，≥1000种真菌和寄生虫；</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.6.7提供结果数据的reads数目做图统计功能，相对reads做图统计功能，物种树分析功能</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.6.8软件内嵌服务器，软硬件完美搭配，计算能力高效；</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.6.9内含≥300种常见病原注释信息，并且用户可自定义加入病原，有利于常见病原的识别</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.6.10提供结果报告图片和病原拼接序列结果的导出功能，用于未知病原体鉴定；</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6.8</w:t>
      </w:r>
      <w:r>
        <w:rPr>
          <w:rFonts w:hint="eastAsia" w:ascii="宋体" w:hAnsi="宋体" w:eastAsiaTheme="minorEastAsia" w:cstheme="minorBidi"/>
          <w:sz w:val="24"/>
          <w:szCs w:val="24"/>
        </w:rPr>
        <w:t>具有国家版权局颁发的计算机软件著作权登记证书；</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6.9</w:t>
      </w:r>
      <w:r>
        <w:rPr>
          <w:rFonts w:hint="eastAsia" w:ascii="宋体" w:hAnsi="宋体" w:eastAsiaTheme="minorEastAsia" w:cstheme="minorBidi"/>
          <w:sz w:val="24"/>
          <w:szCs w:val="24"/>
        </w:rPr>
        <w:t>软件制造企业必须通过ISO9001认证，带CNAS标识，在国家认证认可委员会可查询；</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 细菌全基因组病原鉴定、抗性基因和毒力基因分析软件模块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.7.1可兼容二代测序和三代测序的下机数据；</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.7.2从下机数据到结果报告仅需一键式操作，无需专业生物信息学知识；</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.7.3自主知识产权的变异扩增防错技术；</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.7.4可自动计算覆盖度和深度，有效去除假阳性；</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.7.5分析2GB大小的测序数据≤2h内完成分析；</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.7.6提供成熟的毒力基因和耐药基因建库试剂盒，投标文件中许提供产品说明或者彩页等证明文件；</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.7.7提供系统资源占用统计功能，结果数据的reads数目做图统计功能，相对reads做图</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.7.8统计功能，拼接结果统计功能，样本物种谱鉴定功能，抗性基因分布统计功能，抗性基因差异及多态性统计功能，毒力基因分布统计功能等等；</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.7.9软件内嵌服务器，软硬件完美搭配，计算能力高效；</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.7.10提供结果报告图片和病原拼接结果的导出功能；</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7.8</w:t>
      </w:r>
      <w:r>
        <w:rPr>
          <w:rFonts w:hint="eastAsia" w:ascii="宋体" w:hAnsi="宋体" w:eastAsiaTheme="minorEastAsia" w:cstheme="minorBidi"/>
          <w:sz w:val="24"/>
          <w:szCs w:val="24"/>
        </w:rPr>
        <w:t>具有国家版权局颁发的计算机软件著作权登记证书；</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3</w:t>
      </w:r>
      <w:r>
        <w:rPr>
          <w:rFonts w:hint="eastAsia" w:ascii="宋体" w:hAnsi="宋体" w:eastAsiaTheme="minorEastAsia" w:cstheme="minorBidi"/>
          <w:sz w:val="24"/>
          <w:szCs w:val="24"/>
        </w:rPr>
        <w:t>.</w:t>
      </w:r>
      <w:r>
        <w:rPr>
          <w:rFonts w:hint="default" w:ascii="宋体" w:hAnsi="宋体" w:eastAsiaTheme="minorEastAsia" w:cstheme="minorBidi"/>
          <w:sz w:val="24"/>
          <w:szCs w:val="24"/>
        </w:rPr>
        <w:t>7.9</w:t>
      </w:r>
      <w:r>
        <w:rPr>
          <w:rFonts w:hint="eastAsia" w:ascii="宋体" w:hAnsi="宋体" w:eastAsiaTheme="minorEastAsia" w:cstheme="minorBidi"/>
          <w:sz w:val="24"/>
          <w:szCs w:val="24"/>
        </w:rPr>
        <w:t>软件制造企业必须通过ISO9001认证，带CNAS标识，在国家认证认可委员会可查询；</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3</w:t>
      </w:r>
      <w:r>
        <w:rPr>
          <w:rFonts w:hint="default" w:ascii="宋体" w:hAnsi="宋体" w:eastAsiaTheme="minorEastAsia" w:cstheme="minorBidi"/>
          <w:sz w:val="24"/>
          <w:szCs w:val="24"/>
          <w:lang w:eastAsia="zh-Hans"/>
        </w:rPr>
        <w:t>.8</w:t>
      </w:r>
      <w:r>
        <w:rPr>
          <w:rFonts w:hint="eastAsia" w:ascii="宋体" w:hAnsi="宋体" w:eastAsiaTheme="minorEastAsia" w:cstheme="minorBidi"/>
          <w:sz w:val="24"/>
          <w:szCs w:val="24"/>
          <w:lang w:val="en-US" w:eastAsia="zh-Hans"/>
        </w:rPr>
        <w:t>测序下机数据基因型及</w:t>
      </w:r>
      <w:r>
        <w:rPr>
          <w:rFonts w:hint="default" w:ascii="宋体" w:hAnsi="宋体" w:eastAsiaTheme="minorEastAsia" w:cstheme="minorBidi"/>
          <w:sz w:val="24"/>
          <w:szCs w:val="24"/>
          <w:lang w:eastAsia="zh-Hans"/>
        </w:rPr>
        <w:t>SNP</w:t>
      </w:r>
      <w:r>
        <w:rPr>
          <w:rFonts w:hint="eastAsia" w:ascii="宋体" w:hAnsi="宋体" w:eastAsiaTheme="minorEastAsia" w:cstheme="minorBidi"/>
          <w:sz w:val="24"/>
          <w:szCs w:val="24"/>
          <w:lang w:val="en-US" w:eastAsia="zh-Hans"/>
        </w:rPr>
        <w:t>分析模块：</w:t>
      </w:r>
      <w:r>
        <w:rPr>
          <w:rFonts w:hint="eastAsia" w:ascii="宋体" w:hAnsi="宋体" w:eastAsiaTheme="minorEastAsia" w:cstheme="minorBidi"/>
          <w:sz w:val="24"/>
          <w:szCs w:val="24"/>
        </w:rPr>
        <w:t>能够同时接受原始测序二代和三代测序数据、完整（complete级）或不完整（contig级）沙门氏菌基因组作为输入：其中二代测序数据包含常见二代测序仪下机数据（如illumina和bgi-seq），三代测序数据包含常见三代测序仪下机数据（如nanopore和pacbio）</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b/>
          <w:bCs/>
          <w:sz w:val="24"/>
          <w:szCs w:val="24"/>
          <w:lang w:val="en-US" w:eastAsia="zh-CN"/>
        </w:rPr>
        <w:t>4</w:t>
      </w:r>
      <w:r>
        <w:rPr>
          <w:rFonts w:hint="eastAsia" w:ascii="宋体" w:hAnsi="宋体" w:eastAsiaTheme="minorEastAsia" w:cstheme="minorBidi"/>
          <w:b/>
          <w:bCs/>
          <w:sz w:val="24"/>
          <w:szCs w:val="24"/>
        </w:rPr>
        <w:t>.数据分析服务器：</w:t>
      </w:r>
      <w:r>
        <w:rPr>
          <w:rFonts w:hint="eastAsia" w:ascii="宋体" w:hAnsi="宋体" w:eastAsiaTheme="minorEastAsia" w:cstheme="minorBidi"/>
          <w:sz w:val="24"/>
          <w:szCs w:val="24"/>
        </w:rPr>
        <w:t>处理器≥Intel E5-2690 V4 1.7 GHZ；内存≥64GB,2400MTs；硬盘≥12TB  7.2K RPM SATA 6Gb/S；配置有线鼠和键盘，16X DVD-ROM SATA光驱；显示器≥27英寸；</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val="en-US" w:eastAsia="zh-CN"/>
        </w:rPr>
        <w:t>5</w:t>
      </w:r>
      <w:r>
        <w:rPr>
          <w:rFonts w:hint="eastAsia" w:ascii="宋体" w:hAnsi="宋体" w:eastAsiaTheme="minorEastAsia" w:cstheme="minorBidi"/>
          <w:b/>
          <w:bCs/>
          <w:sz w:val="24"/>
          <w:szCs w:val="24"/>
        </w:rPr>
        <w:t>.仪器配置要求</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.1满足招标参数的基因测序仪主机：1台；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.2满足招标参数的测序仪内置软件：1台；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.3满足招标参数的新冠病毒序列分析模块：1套；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.4满足招标参数的流感病毒生物信息分析模块：1套；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.5满足招标参数的未知病原分析模块： 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.6  满足招标参数的细菌全基因组病原鉴定、抗性基因和毒力基因分析软件模块：1套；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default" w:ascii="宋体" w:hAnsi="宋体" w:eastAsiaTheme="minorEastAsia" w:cstheme="minorBidi"/>
          <w:sz w:val="24"/>
          <w:szCs w:val="24"/>
        </w:rPr>
        <w:t xml:space="preserve">.7  </w:t>
      </w:r>
      <w:r>
        <w:rPr>
          <w:rFonts w:hint="eastAsia" w:ascii="宋体" w:hAnsi="宋体" w:eastAsiaTheme="minorEastAsia" w:cstheme="minorBidi"/>
          <w:sz w:val="24"/>
          <w:szCs w:val="24"/>
        </w:rPr>
        <w:t>单独配备本地化HIV耐药基因软件；1套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default" w:ascii="宋体" w:hAnsi="宋体" w:eastAsiaTheme="minorEastAsia" w:cstheme="minorBidi"/>
          <w:sz w:val="24"/>
          <w:szCs w:val="24"/>
        </w:rPr>
        <w:t xml:space="preserve">.8  </w:t>
      </w:r>
      <w:r>
        <w:rPr>
          <w:rFonts w:hint="eastAsia" w:ascii="宋体" w:hAnsi="宋体" w:eastAsiaTheme="minorEastAsia" w:cstheme="minorBidi"/>
          <w:sz w:val="24"/>
          <w:szCs w:val="24"/>
          <w:lang w:val="en-US" w:eastAsia="zh-Hans"/>
        </w:rPr>
        <w:t>单独配备测序下机数据基因型及</w:t>
      </w:r>
      <w:r>
        <w:rPr>
          <w:rFonts w:hint="default" w:ascii="宋体" w:hAnsi="宋体" w:eastAsiaTheme="minorEastAsia" w:cstheme="minorBidi"/>
          <w:sz w:val="24"/>
          <w:szCs w:val="24"/>
          <w:lang w:eastAsia="zh-Hans"/>
        </w:rPr>
        <w:t>SNP</w:t>
      </w:r>
      <w:r>
        <w:rPr>
          <w:rFonts w:hint="eastAsia" w:ascii="宋体" w:hAnsi="宋体" w:eastAsiaTheme="minorEastAsia" w:cstheme="minorBidi"/>
          <w:sz w:val="24"/>
          <w:szCs w:val="24"/>
          <w:lang w:val="en-US" w:eastAsia="zh-Hans"/>
        </w:rPr>
        <w:t>分析模块；</w:t>
      </w:r>
      <w:r>
        <w:rPr>
          <w:rFonts w:hint="default" w:ascii="宋体" w:hAnsi="宋体" w:eastAsiaTheme="minorEastAsia" w:cstheme="minorBidi"/>
          <w:sz w:val="24"/>
          <w:szCs w:val="24"/>
          <w:lang w:eastAsia="zh-Hans"/>
        </w:rPr>
        <w:t>1</w:t>
      </w:r>
      <w:r>
        <w:rPr>
          <w:rFonts w:hint="eastAsia" w:ascii="宋体" w:hAnsi="宋体" w:eastAsiaTheme="minorEastAsia" w:cstheme="minorBidi"/>
          <w:sz w:val="24"/>
          <w:szCs w:val="24"/>
          <w:lang w:val="en-US" w:eastAsia="zh-Hans"/>
        </w:rPr>
        <w:t>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.9  满足招标参数的数据分析服务器：1套；</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.10  核酸定量分析仪（含定量试剂1套）：1台；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 xml:space="preserve">.11  </w:t>
      </w:r>
      <w:bookmarkStart w:id="183" w:name="_Hlk61375033"/>
      <w:r>
        <w:rPr>
          <w:rFonts w:hint="eastAsia" w:ascii="宋体" w:hAnsi="宋体" w:eastAsiaTheme="minorEastAsia" w:cstheme="minorBidi"/>
          <w:sz w:val="24"/>
          <w:szCs w:val="24"/>
        </w:rPr>
        <w:t>96孔板振荡器：1台；</w:t>
      </w:r>
      <w:bookmarkEnd w:id="183"/>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default" w:ascii="宋体" w:hAnsi="宋体" w:eastAsiaTheme="minorEastAsia" w:cstheme="minorBidi"/>
          <w:sz w:val="24"/>
          <w:szCs w:val="24"/>
        </w:rPr>
        <w:t xml:space="preserve">.12  </w:t>
      </w:r>
      <w:r>
        <w:rPr>
          <w:rFonts w:hint="eastAsia" w:ascii="宋体" w:hAnsi="宋体" w:eastAsiaTheme="minorEastAsia" w:cstheme="minorBidi"/>
          <w:sz w:val="24"/>
          <w:szCs w:val="24"/>
          <w:lang w:val="en-US" w:eastAsia="zh-Hans"/>
        </w:rPr>
        <w:t>金属浴：</w:t>
      </w:r>
      <w:r>
        <w:rPr>
          <w:rFonts w:hint="default" w:ascii="宋体" w:hAnsi="宋体" w:eastAsiaTheme="minorEastAsia" w:cstheme="minorBidi"/>
          <w:sz w:val="24"/>
          <w:szCs w:val="24"/>
          <w:lang w:eastAsia="zh-Hans"/>
        </w:rPr>
        <w:t>1</w:t>
      </w:r>
      <w:r>
        <w:rPr>
          <w:rFonts w:hint="eastAsia" w:ascii="宋体" w:hAnsi="宋体" w:eastAsiaTheme="minorEastAsia" w:cstheme="minorBidi"/>
          <w:sz w:val="24"/>
          <w:szCs w:val="24"/>
          <w:lang w:val="en-US" w:eastAsia="zh-Hans"/>
        </w:rPr>
        <w:t>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.13  16孔板磁力架：1台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.14  96孔板离心机：1台；</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.15  新冠病毒样本测序试剂：50样本；（含逆转录、建库、测序全套试剂）</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.16  流感病毒样本测序试剂：50样本；（含逆转录、建库、测序全套试剂）</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5</w:t>
      </w:r>
      <w:r>
        <w:rPr>
          <w:rFonts w:hint="eastAsia" w:ascii="宋体" w:hAnsi="宋体" w:eastAsiaTheme="minorEastAsia" w:cstheme="minorBidi"/>
          <w:sz w:val="24"/>
          <w:szCs w:val="24"/>
        </w:rPr>
        <w:t>.17 文库构建用纯化磁珠：</w:t>
      </w:r>
      <w:r>
        <w:rPr>
          <w:rFonts w:hint="default" w:ascii="宋体" w:hAnsi="宋体" w:eastAsiaTheme="minorEastAsia" w:cstheme="minorBidi"/>
          <w:sz w:val="24"/>
          <w:szCs w:val="24"/>
        </w:rPr>
        <w:t>5ml</w:t>
      </w:r>
      <w:r>
        <w:rPr>
          <w:rFonts w:hint="eastAsia" w:ascii="宋体" w:hAnsi="宋体" w:cs="Times New Roman"/>
          <w:sz w:val="24"/>
          <w:szCs w:val="24"/>
          <w:lang w:val="en-US" w:eastAsia="zh-CN"/>
        </w:rPr>
        <w:t>×</w:t>
      </w:r>
      <w:r>
        <w:rPr>
          <w:rFonts w:hint="default" w:ascii="宋体" w:hAnsi="宋体" w:eastAsiaTheme="minorEastAsia" w:cstheme="minorBidi"/>
          <w:sz w:val="24"/>
          <w:szCs w:val="24"/>
        </w:rPr>
        <w:t>5</w:t>
      </w:r>
      <w:r>
        <w:rPr>
          <w:rFonts w:hint="eastAsia" w:ascii="宋体" w:hAnsi="宋体" w:eastAsiaTheme="minorEastAsia" w:cstheme="minorBidi"/>
          <w:sz w:val="24"/>
          <w:szCs w:val="24"/>
        </w:rPr>
        <w:t>套；</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val="en-US" w:eastAsia="zh-CN"/>
        </w:rPr>
        <w:t>6</w:t>
      </w:r>
      <w:r>
        <w:rPr>
          <w:rFonts w:hint="eastAsia" w:ascii="宋体" w:hAnsi="宋体" w:eastAsiaTheme="minorEastAsia" w:cstheme="minorBidi"/>
          <w:b/>
          <w:bCs/>
          <w:sz w:val="24"/>
          <w:szCs w:val="24"/>
        </w:rPr>
        <w:t>．技术服务</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6</w:t>
      </w:r>
      <w:r>
        <w:rPr>
          <w:rFonts w:hint="eastAsia" w:ascii="宋体" w:hAnsi="宋体" w:eastAsiaTheme="minorEastAsia" w:cstheme="minorBidi"/>
          <w:sz w:val="24"/>
          <w:szCs w:val="24"/>
        </w:rPr>
        <w:t>.1投标人应提供全套、完整的技术资料，包括仪器说明书、操作手册、维护保养说明等；</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6</w:t>
      </w:r>
      <w:r>
        <w:rPr>
          <w:rFonts w:hint="eastAsia" w:ascii="宋体" w:hAnsi="宋体" w:eastAsiaTheme="minorEastAsia" w:cstheme="minorBidi"/>
          <w:sz w:val="24"/>
          <w:szCs w:val="24"/>
        </w:rPr>
        <w:t>.2 仪器安装、调试和验收：仪器到达最终用户现场并且实验室条件合格后，在接到用户通知后需安排有经验的工程技术人员到用户现场安装、调试仪器，设备安装调试需在5日内完成。安装前，提供安装条件、用水、用电条件说明；</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lang w:val="en-US" w:eastAsia="zh-CN"/>
        </w:rPr>
        <w:t>6</w:t>
      </w:r>
      <w:r>
        <w:rPr>
          <w:rFonts w:hint="eastAsia" w:ascii="宋体" w:hAnsi="宋体" w:eastAsiaTheme="minorEastAsia" w:cstheme="minorBidi"/>
          <w:sz w:val="24"/>
          <w:szCs w:val="24"/>
        </w:rPr>
        <w:t>.3 培训要求：安装验收后，厂家在用户所在地对用户进行仪器操作和日常维护的现场培训。包括仪器原理、使用方法和维护方法等，需要提供培训证书；</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b/>
          <w:bCs/>
          <w:sz w:val="24"/>
          <w:szCs w:val="24"/>
          <w:lang w:val="en-US" w:eastAsia="zh-CN"/>
        </w:rPr>
        <w:t>7</w:t>
      </w:r>
      <w:r>
        <w:rPr>
          <w:rFonts w:hint="eastAsia" w:ascii="宋体" w:hAnsi="宋体" w:eastAsiaTheme="minorEastAsia" w:cstheme="minorBidi"/>
          <w:b/>
          <w:bCs/>
          <w:sz w:val="24"/>
          <w:szCs w:val="24"/>
        </w:rPr>
        <w:t>质量保证</w:t>
      </w:r>
      <w:r>
        <w:rPr>
          <w:rFonts w:hint="eastAsia" w:ascii="宋体" w:hAnsi="宋体" w:eastAsiaTheme="minorEastAsia" w:cstheme="minorBidi"/>
          <w:b/>
          <w:bCs/>
          <w:sz w:val="24"/>
          <w:szCs w:val="24"/>
          <w:lang w:val="en-US" w:eastAsia="zh-CN"/>
        </w:rPr>
        <w:t xml:space="preserve"> </w:t>
      </w:r>
      <w:r>
        <w:rPr>
          <w:rFonts w:hint="eastAsia" w:ascii="宋体" w:hAnsi="宋体" w:eastAsiaTheme="minorEastAsia" w:cstheme="minorBidi"/>
          <w:sz w:val="24"/>
          <w:szCs w:val="24"/>
        </w:rPr>
        <w:t>保修期：主机及相关配套设备保修期</w:t>
      </w:r>
      <w:r>
        <w:rPr>
          <w:rFonts w:hint="eastAsia" w:ascii="宋体" w:hAnsi="宋体" w:eastAsiaTheme="minorEastAsia" w:cstheme="minorBidi"/>
          <w:sz w:val="24"/>
          <w:szCs w:val="24"/>
          <w:lang w:val="en-US" w:eastAsia="zh-CN"/>
        </w:rPr>
        <w:t>2</w:t>
      </w:r>
      <w:r>
        <w:rPr>
          <w:rFonts w:hint="eastAsia" w:ascii="宋体" w:hAnsi="宋体" w:eastAsiaTheme="minorEastAsia" w:cstheme="minorBidi"/>
          <w:sz w:val="24"/>
          <w:szCs w:val="24"/>
        </w:rPr>
        <w:t>年，自设备验收合格之日起计算。保修期内提供免费保修。</w:t>
      </w:r>
    </w:p>
    <w:p>
      <w:pPr>
        <w:widowControl w:val="0"/>
        <w:snapToGrid w:val="0"/>
        <w:spacing w:after="0" w:line="480" w:lineRule="exact"/>
        <w:contextualSpacing/>
        <w:jc w:val="center"/>
        <w:rPr>
          <w:rFonts w:hint="eastAsia" w:ascii="宋体" w:hAnsi="宋体" w:cstheme="minorBidi"/>
          <w:b/>
          <w:bCs/>
          <w:color w:val="auto"/>
          <w:kern w:val="2"/>
          <w:sz w:val="32"/>
          <w:szCs w:val="32"/>
          <w:lang w:eastAsia="zh-CN"/>
        </w:rPr>
      </w:pPr>
      <w:r>
        <w:rPr>
          <w:rFonts w:hint="eastAsia" w:ascii="宋体" w:hAnsi="宋体" w:cstheme="minorBidi"/>
          <w:b/>
          <w:bCs/>
          <w:color w:val="auto"/>
          <w:kern w:val="2"/>
          <w:sz w:val="32"/>
          <w:szCs w:val="32"/>
          <w:lang w:eastAsia="zh-CN"/>
        </w:rPr>
        <w:t>生物信息学数字处理终端</w:t>
      </w:r>
    </w:p>
    <w:p>
      <w:pPr>
        <w:snapToGrid w:val="0"/>
        <w:spacing w:line="480" w:lineRule="exact"/>
        <w:contextualSpacing/>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1、主要用途：</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 生物信息学数字处理终端是一款生物信息学综合分析工具，其界面友好直观，操作简便，无需命令行编程经验，易于掌握。</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 可实现传统分子生物学分析工具的功能，如从头组装、引物设计、序列比对、SNP分型、系统发育树分析、聚类分析等。</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1.3 可对主流的二代测序平台及三代测序平台产生的测序结果进行数据分析，如重测序分析、转录组学分析、表观基因组学分析、微生物16S/宏基因组和从头拼接等。</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1.4 可拓展或自定义标准化的工作流程（Workflow）。</w:t>
      </w:r>
    </w:p>
    <w:p>
      <w:pPr>
        <w:snapToGrid w:val="0"/>
        <w:spacing w:line="480" w:lineRule="exact"/>
        <w:contextualSpacing/>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2、技术指标：</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2.1 操作系统：支持windows、Mac或linux 三种操作系统之一。</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2.2可视化操作窗口，无需命令行编程经验，不需要编写linux命令。</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2.3 数据识别：支持不同测序平台的数据的导入和分析，包括一代测序数据Sanger平台；几乎所有二代测序平台数据，如 SOLID、Life Ion Torrent、Complete Genomics、Roche454、Illumina Genome Analyzer；三代测序数据，如PacBio平台。</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 提供下载Hg19或Hg38及其他生物的参考序列及注释信息的接口。</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2.5可以进行DNA-seq、RNA-seq、Chip-Seq、Bisulfite、miRNA、Microarray、16S/宏基因组序列拼接组装、SNP检测、多样本分析、数字基因表达、小RNA分析、标签表达谱、表观基因组学分析、EST文库构建、系统发育分析、聚类分析等数据分析以及服务器整合和定制化服务。</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2.6 可实现传统分子生物学分析工具的功能，如从头组装、引物设计、序列比对、SNP分型、系统发育树分析、聚类分析等。</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2.7 可以创建Genome Browser Track，可视化查看分析结果。</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2.8 可以监控、暂停和终止分析过程、记录分析日志。</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2.9 可兼容微生物Microbial Genomics Module插件，实现宏基因组、微生物组靶标序列和全基因组的多样性、功能及分型研究。</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2.10 软件及插件可实现每季度进行更新。</w:t>
      </w:r>
    </w:p>
    <w:p>
      <w:pPr>
        <w:snapToGrid w:val="0"/>
        <w:spacing w:line="480" w:lineRule="exact"/>
        <w:contextualSpacing/>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3、运行环境：</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3.1 软件系统：Mac OS X 10.10, 10.11 或者更高版本、Windows7, Windows 8, Windows 10, Windows Server 2012/2016、Linux: RedHat6.7或更高版本，SuSE11或更高版本。</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3.2 处理器：建议Intel 或AMD的中央处理器，64位计算机或操作系统。</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3.2 其他硬件：建议内存不低于2GB（小的数据集要求2-4GB；大的数据集要求16-32GB）；推荐1024×768分辨率 、显卡能够支持OpenGL 2.0。</w:t>
      </w:r>
    </w:p>
    <w:p>
      <w:pPr>
        <w:snapToGrid w:val="0"/>
        <w:spacing w:line="480" w:lineRule="exact"/>
        <w:contextualSpacing/>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4、基本配置：</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 生物信息学数字处理终端年费5年</w:t>
      </w:r>
    </w:p>
    <w:p>
      <w:pPr>
        <w:snapToGrid w:val="0"/>
        <w:spacing w:line="480" w:lineRule="exact"/>
        <w:contextualSpacing/>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5、技术服务和培训</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5.1 提供基础技术资料，如User Manual，培训资料。</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5.2 提供技术支持服务，免费技术指导，操作培训。</w:t>
      </w:r>
    </w:p>
    <w:p>
      <w:pPr>
        <w:snapToGrid w:val="0"/>
        <w:spacing w:line="480" w:lineRule="exact"/>
        <w:contextualSpacing/>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5.3 软件及选配插件每季度更新（需购买年费版，1年起）。</w:t>
      </w:r>
    </w:p>
    <w:p>
      <w:pPr>
        <w:snapToGrid w:val="0"/>
        <w:spacing w:line="480" w:lineRule="exact"/>
        <w:contextualSpacing/>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、售后服务与培训</w:t>
      </w:r>
    </w:p>
    <w:p>
      <w:pPr>
        <w:snapToGrid w:val="0"/>
        <w:spacing w:line="480" w:lineRule="exact"/>
        <w:contextualSpacing/>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eastAsia="宋体" w:cs="宋体"/>
          <w:b w:val="0"/>
          <w:bCs w:val="0"/>
          <w:color w:val="auto"/>
          <w:sz w:val="24"/>
          <w:szCs w:val="24"/>
        </w:rPr>
      </w:pP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w:t>
      </w:r>
    </w:p>
    <w:p>
      <w:pPr>
        <w:snapToGrid w:val="0"/>
        <w:spacing w:line="480" w:lineRule="exact"/>
        <w:contextualSpacing/>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.3提供</w:t>
      </w:r>
      <w:r>
        <w:rPr>
          <w:rFonts w:hint="eastAsia" w:ascii="宋体" w:hAnsi="宋体" w:cs="宋体"/>
          <w:b w:val="0"/>
          <w:bCs w:val="0"/>
          <w:color w:val="auto"/>
          <w:sz w:val="24"/>
          <w:szCs w:val="24"/>
          <w:lang w:eastAsia="zh-CN"/>
        </w:rPr>
        <w:t>两</w:t>
      </w:r>
      <w:r>
        <w:rPr>
          <w:rFonts w:hint="eastAsia" w:ascii="宋体" w:hAnsi="宋体" w:eastAsia="宋体" w:cs="宋体"/>
          <w:b w:val="0"/>
          <w:bCs w:val="0"/>
          <w:color w:val="auto"/>
          <w:sz w:val="24"/>
          <w:szCs w:val="24"/>
        </w:rPr>
        <w:t>年免费质保服务。</w:t>
      </w:r>
    </w:p>
    <w:p>
      <w:pPr>
        <w:snapToGrid w:val="0"/>
        <w:spacing w:line="480" w:lineRule="exact"/>
        <w:contextualSpacing/>
        <w:rPr>
          <w:rFonts w:hint="eastAsia" w:ascii="宋体" w:hAnsi="宋体" w:eastAsia="宋体" w:cs="宋体"/>
          <w:b w:val="0"/>
          <w:bCs w:val="0"/>
          <w:color w:val="auto"/>
          <w:kern w:val="2"/>
          <w:sz w:val="24"/>
          <w:szCs w:val="24"/>
          <w:lang w:val="en-US" w:eastAsia="zh-CN"/>
        </w:rPr>
      </w:pPr>
      <w:r>
        <w:rPr>
          <w:rFonts w:hint="eastAsia" w:ascii="宋体" w:hAnsi="宋体" w:eastAsia="宋体" w:cs="宋体"/>
          <w:b w:val="0"/>
          <w:bCs w:val="0"/>
          <w:color w:val="auto"/>
          <w:sz w:val="24"/>
          <w:szCs w:val="24"/>
        </w:rPr>
        <w:t>（备注：带</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项为重要要求。投标人在投标时应答的指标，在仪器验收时如不符合验收标准，将视为违约，招标人有权退货，并按合同条款进行处罚。为了保证产品和售后服务质量，该设备必须提供制造商家针对本项目的销售授权和售后服务承诺书复印件，原件备查）</w:t>
      </w:r>
    </w:p>
    <w:p>
      <w:pPr>
        <w:snapToGrid w:val="0"/>
        <w:spacing w:line="480" w:lineRule="exact"/>
        <w:contextualSpacing/>
        <w:jc w:val="center"/>
        <w:rPr>
          <w:rFonts w:hint="default" w:ascii="宋体" w:hAnsi="宋体" w:eastAsiaTheme="minorEastAsia"/>
          <w:b/>
          <w:bCs/>
          <w:sz w:val="32"/>
          <w:szCs w:val="32"/>
          <w:lang w:val="en-US" w:eastAsia="zh-CN"/>
        </w:rPr>
      </w:pPr>
      <w:r>
        <w:rPr>
          <w:rFonts w:hint="eastAsia" w:ascii="宋体" w:hAnsi="宋体"/>
          <w:b/>
          <w:bCs/>
          <w:sz w:val="32"/>
          <w:szCs w:val="32"/>
        </w:rPr>
        <w:t>全自动微孔板药敏分析系统</w:t>
      </w:r>
      <w:r>
        <w:rPr>
          <w:rFonts w:hint="eastAsia" w:ascii="宋体" w:hAnsi="宋体"/>
          <w:b/>
          <w:bCs/>
          <w:sz w:val="32"/>
          <w:szCs w:val="32"/>
          <w:lang w:val="en-US" w:eastAsia="zh-CN"/>
        </w:rPr>
        <w:t xml:space="preserve"> </w:t>
      </w:r>
    </w:p>
    <w:p>
      <w:pPr>
        <w:snapToGrid w:val="0"/>
        <w:spacing w:line="480" w:lineRule="exact"/>
        <w:contextualSpacing/>
        <w:rPr>
          <w:rFonts w:hint="eastAsia" w:ascii="宋体" w:hAnsi="宋体" w:eastAsiaTheme="minorEastAsia"/>
          <w:b/>
          <w:bCs/>
          <w:sz w:val="24"/>
          <w:szCs w:val="24"/>
          <w:lang w:eastAsia="zh-CN"/>
        </w:rPr>
      </w:pPr>
      <w:r>
        <w:rPr>
          <w:rFonts w:hint="eastAsia" w:ascii="宋体" w:hAnsi="宋体"/>
          <w:b/>
          <w:bCs/>
          <w:sz w:val="24"/>
          <w:szCs w:val="24"/>
          <w:lang w:val="en-US" w:eastAsia="zh-CN"/>
        </w:rPr>
        <w:t>一、技术参数</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、仪器可实现96孔板药敏实验结果的图像采集，自动判读药敏实验结果并在图像上对临界值和判读状态进行标记，无需人工记录药敏结果，输入标本信息可自动生成实验报告，并可根据样本信息对报告进行查阅；</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、计算机端人机交互，具有人工复核功能；具有开机自检复位功能。</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、自动采集彩色图像，可保存原图及带判读状态标记图片；</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、具有数据存储、查询功能；能自动生成、打印检验报告单。</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、完成1个96孔板判读时间≤2min；</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、对质控菌株药物定性测定的准确率≥90%；</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、对质控菌株药物定性测定的重复性≥90%；</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、采用12联空气泵高精度加样，实现100μl的加样精度±3 %，重复性CV≤2%。</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、能快速对96孔板加样，1个96孔加样时间≤90s，2个48孔加样时间≤120s。</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10</w:t>
      </w:r>
      <w:r>
        <w:rPr>
          <w:rFonts w:hint="eastAsia" w:ascii="宋体" w:hAnsi="宋体"/>
          <w:sz w:val="24"/>
          <w:szCs w:val="24"/>
        </w:rPr>
        <w:t>、加样范围比较广，在20μl-200μl任意选择。</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11</w:t>
      </w:r>
      <w:r>
        <w:rPr>
          <w:rFonts w:hint="eastAsia" w:ascii="宋体" w:hAnsi="宋体"/>
          <w:sz w:val="24"/>
          <w:szCs w:val="24"/>
        </w:rPr>
        <w:t>、加样过程有进度和倒计时显示，可以提前确定加样整个过程所需时间。</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12</w:t>
      </w:r>
      <w:r>
        <w:rPr>
          <w:rFonts w:hint="eastAsia" w:ascii="宋体" w:hAnsi="宋体"/>
          <w:sz w:val="24"/>
          <w:szCs w:val="24"/>
        </w:rPr>
        <w:t>、整体体积小，重量轻，方便携带，界面操作简单方便，可放置安全柜内运行操作，整体设计符合人机界面。</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13</w:t>
      </w:r>
      <w:r>
        <w:rPr>
          <w:rFonts w:hint="eastAsia" w:ascii="宋体" w:hAnsi="宋体"/>
          <w:sz w:val="24"/>
          <w:szCs w:val="24"/>
        </w:rPr>
        <w:t xml:space="preserve">、开机后有自检复位检测功能，具有Tip头缺失提醒功能。 </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、传动过程出现故障自动报警和停止运行，并在界面上提示相应的错误，避免误操作将样本损坏。</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15</w:t>
      </w:r>
      <w:r>
        <w:rPr>
          <w:rFonts w:hint="eastAsia" w:ascii="宋体" w:hAnsi="宋体"/>
          <w:sz w:val="24"/>
          <w:szCs w:val="24"/>
        </w:rPr>
        <w:t>、设备自带防止滴液功能，防止加样过程的污染和提高加样精度的保证。</w:t>
      </w:r>
    </w:p>
    <w:p>
      <w:pPr>
        <w:snapToGrid w:val="0"/>
        <w:spacing w:line="480" w:lineRule="exact"/>
        <w:contextualSpacing/>
        <w:rPr>
          <w:rFonts w:hint="eastAsia" w:ascii="宋体" w:hAnsi="宋体"/>
          <w:b/>
          <w:bCs/>
          <w:sz w:val="24"/>
          <w:szCs w:val="24"/>
          <w:lang w:val="en-US" w:eastAsia="zh-CN"/>
        </w:rPr>
      </w:pPr>
      <w:r>
        <w:rPr>
          <w:rFonts w:hint="eastAsia" w:ascii="宋体" w:hAnsi="宋体"/>
          <w:b/>
          <w:bCs/>
          <w:sz w:val="24"/>
          <w:szCs w:val="24"/>
          <w:lang w:val="en-US" w:eastAsia="zh-CN"/>
        </w:rPr>
        <w:t>二、配置</w:t>
      </w:r>
    </w:p>
    <w:p>
      <w:pPr>
        <w:snapToGrid w:val="0"/>
        <w:spacing w:line="480" w:lineRule="exact"/>
        <w:contextualSpacing/>
        <w:rPr>
          <w:rFonts w:hint="eastAsia" w:ascii="宋体" w:hAnsi="宋体"/>
          <w:sz w:val="24"/>
          <w:szCs w:val="24"/>
          <w:lang w:val="en-US" w:eastAsia="zh-CN"/>
        </w:rPr>
      </w:pPr>
      <w:r>
        <w:rPr>
          <w:rFonts w:hint="eastAsia" w:ascii="宋体" w:hAnsi="宋体"/>
          <w:sz w:val="24"/>
          <w:szCs w:val="24"/>
          <w:lang w:val="en-US" w:eastAsia="zh-CN"/>
        </w:rPr>
        <w:t>1、判读仪1台</w:t>
      </w:r>
    </w:p>
    <w:p>
      <w:pPr>
        <w:snapToGrid w:val="0"/>
        <w:spacing w:line="480" w:lineRule="exact"/>
        <w:contextualSpacing/>
        <w:rPr>
          <w:rFonts w:hint="eastAsia" w:ascii="宋体" w:hAnsi="宋体"/>
          <w:sz w:val="24"/>
          <w:szCs w:val="24"/>
          <w:lang w:val="en-US" w:eastAsia="zh-CN"/>
        </w:rPr>
      </w:pPr>
      <w:r>
        <w:rPr>
          <w:rFonts w:hint="eastAsia" w:ascii="宋体" w:hAnsi="宋体"/>
          <w:sz w:val="24"/>
          <w:szCs w:val="24"/>
          <w:lang w:val="en-US" w:eastAsia="zh-CN"/>
        </w:rPr>
        <w:t>2、加样仪1台</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3、道磨菌仪2台</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三、</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snapToGrid w:val="0"/>
        <w:spacing w:line="480" w:lineRule="exact"/>
        <w:contextualSpacing/>
        <w:rPr>
          <w:rFonts w:hint="eastAsia" w:ascii="宋体" w:hAnsi="宋体"/>
          <w:sz w:val="24"/>
          <w:szCs w:val="24"/>
        </w:rPr>
      </w:pPr>
      <w:r>
        <w:rPr>
          <w:rFonts w:hint="eastAsia" w:ascii="宋体" w:hAnsi="宋体"/>
          <w:sz w:val="24"/>
          <w:szCs w:val="24"/>
        </w:rPr>
        <w:t>（备注：带</w:t>
      </w:r>
      <w:r>
        <w:rPr>
          <w:rFonts w:hint="eastAsia" w:ascii="宋体" w:hAnsi="宋体"/>
          <w:sz w:val="24"/>
          <w:szCs w:val="24"/>
          <w:lang w:eastAsia="zh-CN"/>
        </w:rPr>
        <w:t>★</w:t>
      </w:r>
      <w:r>
        <w:rPr>
          <w:rFonts w:hint="eastAsia" w:ascii="宋体" w:hAnsi="宋体"/>
          <w:sz w:val="24"/>
          <w:szCs w:val="24"/>
        </w:rPr>
        <w:t>项为重要要求。投标人在投标时应答的指标，在仪器验收时如不符合验收标准，将视为违约，招标人有权退货，并按合同条款进行处罚。为了保证产品和售后服务质量，该设备必须提供制造商家针对本项目的销售授权和售后服务承诺书复印件，原件备查）</w:t>
      </w:r>
    </w:p>
    <w:p>
      <w:pPr>
        <w:widowControl w:val="0"/>
        <w:snapToGrid w:val="0"/>
        <w:spacing w:line="480" w:lineRule="exact"/>
        <w:contextualSpacing/>
        <w:jc w:val="center"/>
        <w:rPr>
          <w:rFonts w:hint="default" w:ascii="宋体" w:hAnsi="宋体" w:eastAsiaTheme="minorEastAsia" w:cstheme="minorBidi"/>
          <w:b/>
          <w:bCs/>
          <w:kern w:val="2"/>
          <w:sz w:val="32"/>
          <w:szCs w:val="32"/>
          <w:lang w:val="en-US" w:eastAsia="zh-CN"/>
        </w:rPr>
      </w:pPr>
      <w:r>
        <w:rPr>
          <w:rFonts w:hint="eastAsia" w:ascii="宋体" w:hAnsi="宋体" w:eastAsiaTheme="minorEastAsia" w:cstheme="minorBidi"/>
          <w:b/>
          <w:bCs/>
          <w:kern w:val="2"/>
          <w:sz w:val="32"/>
          <w:szCs w:val="32"/>
          <w:lang w:eastAsia="zh-CN"/>
        </w:rPr>
        <w:t>顶空自动进样器</w:t>
      </w:r>
    </w:p>
    <w:p>
      <w:pPr>
        <w:snapToGrid w:val="0"/>
        <w:spacing w:line="480" w:lineRule="exact"/>
        <w:contextualSpacing/>
        <w:rPr>
          <w:rFonts w:hint="eastAsia" w:ascii="宋体" w:hAnsi="宋体" w:cs="Times New Roman"/>
          <w:b/>
          <w:bCs/>
          <w:sz w:val="24"/>
          <w:szCs w:val="24"/>
          <w:lang w:eastAsia="zh-CN"/>
        </w:rPr>
      </w:pPr>
      <w:r>
        <w:rPr>
          <w:rFonts w:hint="eastAsia" w:ascii="宋体" w:hAnsi="宋体" w:cs="Times New Roman"/>
          <w:b/>
          <w:bCs/>
          <w:sz w:val="24"/>
          <w:szCs w:val="24"/>
          <w:lang w:val="en-US" w:eastAsia="zh-CN"/>
        </w:rPr>
        <w:t>1、</w:t>
      </w:r>
      <w:r>
        <w:rPr>
          <w:rFonts w:hint="eastAsia" w:ascii="宋体" w:hAnsi="宋体" w:cs="Times New Roman"/>
          <w:b/>
          <w:bCs/>
          <w:sz w:val="24"/>
          <w:szCs w:val="24"/>
          <w:lang w:eastAsia="zh-CN"/>
        </w:rPr>
        <w:t>仪器工作环境</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val="en-US" w:eastAsia="zh-CN"/>
        </w:rPr>
        <w:t>1.1</w:t>
      </w:r>
      <w:r>
        <w:rPr>
          <w:rFonts w:hint="eastAsia" w:ascii="宋体" w:hAnsi="宋体" w:cs="Times New Roman"/>
          <w:sz w:val="24"/>
          <w:szCs w:val="24"/>
          <w:lang w:eastAsia="zh-CN"/>
        </w:rPr>
        <w:t>电源电压要求：100-240V，50Hz～60HZ</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val="en-US" w:eastAsia="zh-CN"/>
        </w:rPr>
        <w:t>1.2</w:t>
      </w:r>
      <w:r>
        <w:rPr>
          <w:rFonts w:hint="eastAsia" w:ascii="宋体" w:hAnsi="宋体" w:cs="Times New Roman"/>
          <w:sz w:val="24"/>
          <w:szCs w:val="24"/>
          <w:lang w:eastAsia="zh-CN"/>
        </w:rPr>
        <w:t>温度：15-35 ºC</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val="en-US" w:eastAsia="zh-CN"/>
        </w:rPr>
        <w:t>1.3</w:t>
      </w:r>
      <w:r>
        <w:rPr>
          <w:rFonts w:hint="eastAsia" w:ascii="宋体" w:hAnsi="宋体" w:cs="Times New Roman"/>
          <w:sz w:val="24"/>
          <w:szCs w:val="24"/>
          <w:lang w:eastAsia="zh-CN"/>
        </w:rPr>
        <w:t>工作适度：相对湿度最大80%</w:t>
      </w:r>
    </w:p>
    <w:p>
      <w:pPr>
        <w:snapToGrid w:val="0"/>
        <w:spacing w:line="480" w:lineRule="exact"/>
        <w:contextualSpacing/>
        <w:rPr>
          <w:rFonts w:hint="eastAsia" w:ascii="宋体" w:hAnsi="宋体" w:cs="Times New Roman"/>
          <w:b/>
          <w:bCs/>
          <w:sz w:val="24"/>
          <w:szCs w:val="24"/>
          <w:lang w:eastAsia="zh-CN"/>
        </w:rPr>
      </w:pPr>
      <w:r>
        <w:rPr>
          <w:rFonts w:hint="eastAsia" w:ascii="宋体" w:hAnsi="宋体" w:cs="Times New Roman"/>
          <w:b/>
          <w:bCs/>
          <w:sz w:val="24"/>
          <w:szCs w:val="24"/>
          <w:lang w:eastAsia="zh-CN"/>
        </w:rPr>
        <w:t>2、系统性能指标</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2.1峰面积重复性：&lt;0.8%RSD</w:t>
      </w:r>
    </w:p>
    <w:p>
      <w:pPr>
        <w:snapToGrid w:val="0"/>
        <w:spacing w:line="480" w:lineRule="exact"/>
        <w:contextualSpacing/>
        <w:rPr>
          <w:rFonts w:hint="eastAsia" w:ascii="宋体" w:hAnsi="宋体" w:cs="Times New Roman"/>
          <w:b/>
          <w:bCs/>
          <w:sz w:val="24"/>
          <w:szCs w:val="24"/>
          <w:lang w:eastAsia="zh-CN"/>
        </w:rPr>
      </w:pPr>
      <w:r>
        <w:rPr>
          <w:rFonts w:hint="eastAsia" w:ascii="宋体" w:hAnsi="宋体" w:cs="Times New Roman"/>
          <w:b/>
          <w:bCs/>
          <w:sz w:val="24"/>
          <w:szCs w:val="24"/>
          <w:lang w:eastAsia="zh-CN"/>
        </w:rPr>
        <w:t>3、样品瓶容量</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3.1 样品瓶位数：240位，序列运行时可取下样品托盘，方便加载额外样品</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3.2 孵化箱位数：12位</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3.3 自动重叠位数：12位，支持不连续的样品瓶位</w:t>
      </w:r>
    </w:p>
    <w:p>
      <w:pPr>
        <w:snapToGrid w:val="0"/>
        <w:spacing w:line="480" w:lineRule="exact"/>
        <w:contextualSpacing/>
        <w:rPr>
          <w:rFonts w:hint="eastAsia" w:ascii="宋体" w:hAnsi="宋体" w:cs="Times New Roman"/>
          <w:b/>
          <w:bCs/>
          <w:sz w:val="24"/>
          <w:szCs w:val="24"/>
          <w:lang w:eastAsia="zh-CN"/>
        </w:rPr>
      </w:pPr>
      <w:r>
        <w:rPr>
          <w:rFonts w:hint="eastAsia" w:ascii="宋体" w:hAnsi="宋体" w:cs="Times New Roman"/>
          <w:b/>
          <w:bCs/>
          <w:sz w:val="24"/>
          <w:szCs w:val="24"/>
          <w:lang w:eastAsia="zh-CN"/>
        </w:rPr>
        <w:t>4、样品流路</w:t>
      </w:r>
    </w:p>
    <w:p>
      <w:pPr>
        <w:snapToGrid w:val="0"/>
        <w:spacing w:line="480" w:lineRule="exact"/>
        <w:contextualSpacing/>
        <w:rPr>
          <w:rFonts w:hint="eastAsia" w:ascii="宋体" w:hAnsi="宋体" w:cs="Times New Roman"/>
          <w:sz w:val="24"/>
          <w:szCs w:val="24"/>
        </w:rPr>
      </w:pPr>
      <w:r>
        <w:rPr>
          <w:rFonts w:hint="eastAsia" w:ascii="宋体" w:hAnsi="宋体" w:cs="Times New Roman"/>
          <w:sz w:val="24"/>
          <w:szCs w:val="24"/>
          <w:lang w:eastAsia="zh-CN"/>
        </w:rPr>
        <w:t>阀-定量环技术</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4.2 无传输线，样品出口直接与毛细管色谱柱连接</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4.3定量环可选规格：25 μL、50 μL、100 μL、500 μL、1mL 和3 mL</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4.4 样品流路材料：不锈钢，采用高化学惰性材料和 SulfiNert™ 涂层</w:t>
      </w:r>
    </w:p>
    <w:p>
      <w:pPr>
        <w:snapToGrid w:val="0"/>
        <w:spacing w:line="480" w:lineRule="exact"/>
        <w:contextualSpacing/>
        <w:rPr>
          <w:rFonts w:hint="eastAsia" w:ascii="宋体" w:hAnsi="宋体" w:cs="Times New Roman"/>
          <w:b/>
          <w:bCs/>
          <w:sz w:val="24"/>
          <w:szCs w:val="24"/>
          <w:lang w:eastAsia="zh-CN"/>
        </w:rPr>
      </w:pPr>
      <w:r>
        <w:rPr>
          <w:rFonts w:hint="eastAsia" w:ascii="宋体" w:hAnsi="宋体" w:cs="Times New Roman"/>
          <w:b/>
          <w:bCs/>
          <w:sz w:val="24"/>
          <w:szCs w:val="24"/>
          <w:lang w:eastAsia="zh-CN"/>
        </w:rPr>
        <w:t xml:space="preserve"> 5、综合性能指标</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5.1孵化箱温度：关闭或室温 +5 至 300 ℃，增量设置为 1 ℃，读取精度为0.1 ℃</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5.2  定量环/样品流路温度：关闭或室温 +5 至 225 ℃，或 150 至 300 ℃（可选配 HT 阀），增量设置为 1 ℃，读取精度为0.1 ℃</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5.3 样品瓶振摇：内置快速旋转振摇（QSS）功能：关闭、慢速、中速、快速</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5.4 压力平衡时间：0.00 至 5.00 min</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5.5 定量环平衡时间：0.00 至 5.00 min</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5.6 进样时间：0.00 至 999.99 min</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 xml:space="preserve"> 5.7 重叠进样：无需在顶空仪器方法中设置GC循环时间/Cycle Time，顶空进样器能直接读取GC运行时间</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5.8 样品瓶加压模式：恒定压力，加压时间，升压</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5.9 吹扫模式：每次进样后及待机模式下，五种吹扫水平可选（时间可选）</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5.10 独立的Web服务器界面，可进行检漏，校准，仪器配置，实时日志记录，样品实时运行状态显示。</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5.11 可通过GC面板交互界面直接控制顶空进样器，实时设置顶空参数，实时显示运行状态。</w:t>
      </w:r>
    </w:p>
    <w:p>
      <w:pPr>
        <w:snapToGrid w:val="0"/>
        <w:spacing w:line="480" w:lineRule="exact"/>
        <w:contextualSpacing/>
        <w:rPr>
          <w:rFonts w:hint="eastAsia" w:ascii="宋体" w:hAnsi="宋体" w:cs="Times New Roman"/>
          <w:sz w:val="24"/>
          <w:szCs w:val="24"/>
          <w:lang w:eastAsia="zh-CN"/>
        </w:rPr>
      </w:pPr>
      <w:r>
        <w:rPr>
          <w:rFonts w:hint="eastAsia" w:ascii="宋体" w:hAnsi="宋体" w:cs="宋体"/>
          <w:b w:val="0"/>
          <w:bCs w:val="0"/>
          <w:color w:val="auto"/>
          <w:sz w:val="24"/>
          <w:szCs w:val="24"/>
          <w:lang w:eastAsia="zh-CN"/>
        </w:rPr>
        <w:t>★</w:t>
      </w:r>
      <w:r>
        <w:rPr>
          <w:rFonts w:hint="eastAsia" w:ascii="宋体" w:hAnsi="宋体" w:cs="Times New Roman"/>
          <w:sz w:val="24"/>
          <w:szCs w:val="24"/>
          <w:lang w:eastAsia="zh-CN"/>
        </w:rPr>
        <w:t>5.12 自动保护功能：样品分析完毕后自动冷却不少于5分钟后才放回样品托盘。</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5.13 可升级条形码读取器，兼容1D和2D条形码，包括UPC-A、UPC-E、EAN-8、EAN-13、Code-128、EAN-128/GS10128、39 码、交错式2of5码、ISBT 128、二维码</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5.14 可升级加热/冷却托盘：4 至 70 ℃，在顶空方法中可直接设置托盘温度</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5.15 进样模式：标准模式，</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多次顶空萃取（MHE），每个样品瓶高达100次萃取</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多次顶空进样（MHI），每个样品瓶高达100次萃取</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5.16 载气：兼容氢气、氦气、氮气、氩气</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5.17 辅助气：兼容氦气、氮气、氩气</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5.18 压力范围：最大进样口压力：550kPa，最大样品瓶压力：500kPa</w:t>
      </w:r>
    </w:p>
    <w:p>
      <w:pPr>
        <w:snapToGrid w:val="0"/>
        <w:spacing w:line="480" w:lineRule="exact"/>
        <w:contextualSpacing/>
        <w:rPr>
          <w:rFonts w:hint="eastAsia" w:ascii="宋体" w:hAnsi="宋体" w:cs="Times New Roman"/>
          <w:sz w:val="24"/>
          <w:szCs w:val="24"/>
          <w:lang w:eastAsia="zh-CN"/>
        </w:rPr>
      </w:pPr>
      <w:r>
        <w:rPr>
          <w:rFonts w:hint="eastAsia" w:ascii="宋体" w:hAnsi="宋体" w:cs="Times New Roman"/>
          <w:sz w:val="24"/>
          <w:szCs w:val="24"/>
          <w:lang w:eastAsia="zh-CN"/>
        </w:rPr>
        <w:t>5.19 压力设置单位：bar, psi, kPa</w:t>
      </w:r>
    </w:p>
    <w:p>
      <w:pPr>
        <w:snapToGrid w:val="0"/>
        <w:spacing w:line="480" w:lineRule="exact"/>
        <w:contextualSpacing/>
        <w:rPr>
          <w:rFonts w:hint="eastAsia" w:ascii="宋体" w:hAnsi="宋体" w:cs="Times New Roman"/>
          <w:sz w:val="24"/>
          <w:szCs w:val="24"/>
        </w:rPr>
      </w:pPr>
      <w:r>
        <w:rPr>
          <w:rFonts w:hint="eastAsia" w:ascii="宋体" w:hAnsi="宋体" w:cs="Times New Roman"/>
          <w:sz w:val="24"/>
          <w:szCs w:val="24"/>
        </w:rPr>
        <w:t>5.20 载气节省模式：可通过调节样品瓶之间和序列之间的进样针吹扫水平，减少气体消耗</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6</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6</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snapToGrid w:val="0"/>
        <w:spacing w:line="480" w:lineRule="exact"/>
        <w:contextualSpacing/>
        <w:rPr>
          <w:rFonts w:hint="eastAsia" w:ascii="宋体" w:hAnsi="宋体"/>
          <w:sz w:val="24"/>
          <w:szCs w:val="24"/>
        </w:rPr>
      </w:pPr>
      <w:r>
        <w:rPr>
          <w:rFonts w:hint="eastAsia" w:ascii="宋体" w:hAnsi="宋体"/>
          <w:sz w:val="24"/>
          <w:szCs w:val="24"/>
        </w:rPr>
        <w:t>（备注：带</w:t>
      </w:r>
      <w:r>
        <w:rPr>
          <w:rFonts w:hint="eastAsia" w:ascii="宋体" w:hAnsi="宋体"/>
          <w:sz w:val="24"/>
          <w:szCs w:val="24"/>
          <w:lang w:eastAsia="zh-CN"/>
        </w:rPr>
        <w:t>★</w:t>
      </w:r>
      <w:r>
        <w:rPr>
          <w:rFonts w:hint="eastAsia" w:ascii="宋体" w:hAnsi="宋体"/>
          <w:sz w:val="24"/>
          <w:szCs w:val="24"/>
        </w:rPr>
        <w:t>项为重要要求。投标人在投标时应答的指标，在仪器验收时如不符合验收标准，将视为违约，招标人有权退货，并按合同条款进行处罚。为了保证产品和售后服务质量，该设备必须提供制造商家针对本项目的销售授权和售后服务承诺书复印件，原件备查）</w:t>
      </w:r>
    </w:p>
    <w:p>
      <w:pPr>
        <w:snapToGrid w:val="0"/>
        <w:spacing w:line="480" w:lineRule="exact"/>
        <w:contextualSpacing/>
        <w:rPr>
          <w:rFonts w:hint="eastAsia" w:ascii="宋体" w:hAnsi="宋体" w:eastAsiaTheme="minorEastAsia" w:cstheme="minorBidi"/>
          <w:sz w:val="24"/>
          <w:szCs w:val="24"/>
        </w:rPr>
      </w:pPr>
    </w:p>
    <w:p>
      <w:pPr>
        <w:pStyle w:val="10"/>
        <w:spacing w:line="460" w:lineRule="exact"/>
        <w:rPr>
          <w:rFonts w:ascii="华文中宋" w:hAnsi="华文中宋" w:eastAsia="华文中宋"/>
          <w:b/>
          <w:bCs/>
          <w:sz w:val="10"/>
        </w:rPr>
      </w:pPr>
    </w:p>
    <w:p>
      <w:pPr>
        <w:snapToGrid w:val="0"/>
        <w:spacing w:line="480" w:lineRule="exact"/>
        <w:contextualSpacing/>
        <w:jc w:val="center"/>
        <w:rPr>
          <w:rFonts w:hint="eastAsia" w:ascii="宋体" w:hAnsi="宋体" w:eastAsia="宋体" w:cs="Times New Roman"/>
          <w:b/>
          <w:bCs/>
          <w:sz w:val="32"/>
          <w:szCs w:val="32"/>
          <w:lang w:val="en-US" w:eastAsia="zh-CN"/>
        </w:rPr>
      </w:pPr>
      <w:r>
        <w:rPr>
          <w:rFonts w:hint="eastAsia" w:ascii="宋体" w:hAnsi="宋体" w:eastAsia="宋体" w:cs="Times New Roman"/>
          <w:b/>
          <w:bCs/>
          <w:sz w:val="32"/>
          <w:szCs w:val="32"/>
          <w:lang w:val="en-US" w:eastAsia="zh-CN"/>
        </w:rPr>
        <w:t>冷冻型高通量组织研磨器</w:t>
      </w:r>
    </w:p>
    <w:p>
      <w:pPr>
        <w:snapToGrid w:val="0"/>
        <w:spacing w:line="480" w:lineRule="exact"/>
        <w:ind w:firstLine="480" w:firstLineChars="200"/>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冷冻型高通量组织研磨器可以干磨、湿磨、混合以及均质化处理。对于提取大通量样品中的核酸，能大大提高研磨效率和质量。高通量组织研磨器在研磨过程中，采用的是封闭式一次性离心管，有效的避免了样品交叉污染。对同一组织样品设定相同的研磨程序，则可获得相同的研磨效率，提高了样品间的重复性。由于采用研磨球进行研磨，使得样品的研磨相较于传统研磨方式更为均匀、充分。采用高通量组织研磨器，还可以作为匀浆器，利用不锈钢球或者高密度玻璃珠或者氧化锆珠子迅速分散样品，研磨、匀浆过程中样本温度不会上升，而且速度可调节。</w:t>
      </w:r>
    </w:p>
    <w:p>
      <w:pPr>
        <w:snapToGrid w:val="0"/>
        <w:spacing w:line="480" w:lineRule="exact"/>
        <w:contextualSpacing/>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招标技术参数：</w:t>
      </w:r>
    </w:p>
    <w:p>
      <w:pPr>
        <w:snapToGrid w:val="0"/>
        <w:spacing w:line="480" w:lineRule="exact"/>
        <w:contextualSpacing/>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一、产品用途及特点：</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1.适用于各种植物组织包括根、茎、叶、花、果、种子等样品的研磨破碎；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2.适用于各种动物组织包括大脑、心脏、肺、胃、肝脏、胸腺、肾脏、肠、淋巴结、肌  肉、骨骼等样品的研磨破碎；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3.适用于真菌、细菌等样品的研磨破碎；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4.适用于食品、药品成分分析检测的研磨破碎；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5.适用于易挥发样品包括煤炭、油页岩、蜡制品等样品的研磨破碎；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6.适用于塑料、聚合物包括PE、PS、纺织品、树脂等样品的研磨破碎。</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7、编控一体屏，设计人性，状态实时监控；采用高分子材料电子门锁，可靠、耐用；</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8、进口传动机构，运行稳定、经久耐用。</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b/>
          <w:bCs/>
          <w:sz w:val="24"/>
          <w:szCs w:val="24"/>
          <w:lang w:val="en-US" w:eastAsia="zh-CN"/>
        </w:rPr>
        <w:t>二、招标主要技术参数：</w:t>
      </w:r>
      <w:r>
        <w:rPr>
          <w:rFonts w:hint="eastAsia" w:ascii="宋体" w:hAnsi="宋体" w:eastAsia="宋体" w:cs="Times New Roman"/>
          <w:sz w:val="24"/>
          <w:szCs w:val="24"/>
          <w:lang w:val="en-US" w:eastAsia="zh-CN"/>
        </w:rPr>
        <w:t xml:space="preserve"> </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1.时间设定：1(秒)-9999(秒)</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 xml:space="preserve">2.频率设定：10—70Hz，即振荡300—2100次/min  </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3. 额定功率：375W</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4.夹具行程：34mm(垂直)</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5 温度设置 : -50℃-0℃</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6.电磁锁控制开门</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样品容量： 随机标配：铝合金适配器 5ml 12孔，2ml 48孔。可选配：铝合金适配器2ml 24孔</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电源需求：220V单相交流，&lt;2.5A</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9. 主机标配：主机一台，5ml 12孔，2ml 24孔适配器各1个，3mm与6mm不锈钢球各500颗，电源线1根。</w:t>
      </w:r>
    </w:p>
    <w:p>
      <w:pPr>
        <w:snapToGrid w:val="0"/>
        <w:spacing w:line="480" w:lineRule="exact"/>
        <w:contextualSpacing/>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三、招标提供的技术资料</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1.仪器制造商需要提供ISO9001认证证书、同系列产品第三方检测报告，国家高新技术企业资格证书。</w:t>
      </w:r>
    </w:p>
    <w:p>
      <w:pPr>
        <w:snapToGrid w:val="0"/>
        <w:spacing w:line="480" w:lineRule="exact"/>
        <w:contextualSpacing/>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2.需提供技术人员联系方式，如有质量问题，24小时之内上门服务。</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四、</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4"/>
        <w:rPr>
          <w:rFonts w:hint="eastAsia"/>
        </w:rPr>
      </w:pPr>
    </w:p>
    <w:p>
      <w:pPr>
        <w:snapToGrid w:val="0"/>
        <w:spacing w:line="480" w:lineRule="exact"/>
        <w:contextualSpacing/>
        <w:jc w:val="center"/>
        <w:rPr>
          <w:rFonts w:hint="eastAsia" w:ascii="宋体" w:hAnsi="宋体" w:eastAsia="宋体" w:cs="Times New Roman"/>
          <w:b/>
          <w:bCs/>
          <w:sz w:val="32"/>
          <w:szCs w:val="32"/>
          <w:lang w:eastAsia="zh-CN"/>
        </w:rPr>
      </w:pPr>
      <w:r>
        <w:rPr>
          <w:rFonts w:hint="eastAsia" w:ascii="宋体" w:hAnsi="宋体" w:eastAsia="宋体" w:cs="Times New Roman"/>
          <w:b/>
          <w:bCs/>
          <w:sz w:val="32"/>
          <w:szCs w:val="32"/>
          <w:lang w:eastAsia="zh-CN"/>
        </w:rPr>
        <w:t>全自动菌落计数器</w:t>
      </w:r>
    </w:p>
    <w:p>
      <w:pPr>
        <w:snapToGrid w:val="0"/>
        <w:spacing w:line="480" w:lineRule="exact"/>
        <w:contextualSpacing/>
        <w:jc w:val="both"/>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一、</w:t>
      </w:r>
      <w:r>
        <w:rPr>
          <w:rFonts w:hint="eastAsia" w:ascii="宋体" w:hAnsi="宋体" w:eastAsia="宋体" w:cs="Times New Roman"/>
          <w:b/>
          <w:bCs/>
          <w:sz w:val="24"/>
          <w:szCs w:val="24"/>
          <w:lang w:eastAsia="zh-CN"/>
        </w:rPr>
        <w:t>原理及应用领域</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自动菌落计数仪广泛应用于食品饮料、乳制品行业、医院、化妆品、制药工业中的微生物实验室检测，适用于对微生物的菌落计数和结果保存记录和溯源，能够完成所有的菌落读数类型，用户操作界面简洁、易用，是现代微生物检测实验室先进和高效的菌落计数器。</w:t>
      </w:r>
    </w:p>
    <w:p>
      <w:pPr>
        <w:snapToGrid w:val="0"/>
        <w:spacing w:line="480" w:lineRule="exact"/>
        <w:contextualSpacing/>
        <w:jc w:val="both"/>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二、</w:t>
      </w:r>
      <w:r>
        <w:rPr>
          <w:rFonts w:hint="eastAsia" w:ascii="宋体" w:hAnsi="宋体" w:eastAsia="宋体" w:cs="Times New Roman"/>
          <w:b/>
          <w:bCs/>
          <w:sz w:val="24"/>
          <w:szCs w:val="24"/>
          <w:lang w:eastAsia="zh-CN"/>
        </w:rPr>
        <w:t>产品特点：</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4K真彩色高分辨率摄像装置及超低畸变光学镜头，在硬件上保证了实验数据结果的准确可靠。</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开放式平台，抗外界光线干扰设计，直接放平皿计数、操作更方便、快捷。</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上下360°LED双光源设计, 无级调光和无级补光功能，随时调整光的颜色和明暗，以适应不同颜色培养基， 达到更好的计数效果。</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参数高度集成，只需拖拉鼠标或滚动滚轮即可调整参数，可以在图像窗口实时查看当前参数对最终识别效果，简洁、易用，实验人员可以快速上手、掌握实验菌落计数操作。</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无需安装驱动、无需软件安装，软件直接拷贝使用，兼容性强，适应不同版本的windows操作系统，无需担心不同系统的软件兼容性问题。</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可读取平板计数、螺旋接种、涂布法、倾注法、网格滤膜等菌落数。</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三级权限管理，根据登陆的权限开放对应的功能，充分、有效保障软件的管理和应用安全(选配)。</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审计追踪功能，设计日志模块和历史记录模块，可以随时了解仪器使用及更改情况，掌握仪器使用的动态情况。</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数据溯源功能，可按需求保存检测统计结果，保存的统计数据将自动处理并储存对应的培养皿菌落图像，为监督检测提供有效的法律依据。</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抗笔迹干扰功能，不需要额外操作不统计区域，有效避免了笔迹对识别造成的影响。</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粘连菌落自动分割：菌落智能识别技术能够自动分割粘连的菌落。</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格栅膜菌落计数：可识别网格滤膜上的菌落。</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可通过设置颜色适应、菌落比、菌落直径设置，提高计数精确度。</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具有区分8种不同样色菌落，最大限度提高准确性； </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人工修正：可人工添加、删除菌落，对设备的统计结果进行修正。</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可直接划出去除区域，方便划定平皿的删除区域。</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菌落智能识别技术，只需拖拉鼠标或滚动滚轮即可调整参数，1秒内完成常规平皿计数（≤300CFU）</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培养皿直径：≤150mm</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像素：829 万</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检测方式：全自动或手动</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菌落分辨率：0.1mm</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数据接口：USB</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语言：中文/英语</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材质：ABS工程塑料</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电源：220V,50Hz</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重量：3 kg</w:t>
      </w:r>
    </w:p>
    <w:p>
      <w:pPr>
        <w:snapToGrid w:val="0"/>
        <w:spacing w:line="480" w:lineRule="exact"/>
        <w:contextualSpacing/>
        <w:jc w:val="both"/>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三、</w:t>
      </w:r>
      <w:r>
        <w:rPr>
          <w:rFonts w:hint="eastAsia" w:ascii="宋体" w:hAnsi="宋体" w:eastAsia="宋体" w:cs="Times New Roman"/>
          <w:b/>
          <w:bCs/>
          <w:sz w:val="24"/>
          <w:szCs w:val="24"/>
          <w:lang w:eastAsia="zh-CN"/>
        </w:rPr>
        <w:t>配置清单：</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主机1台</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电源及数据线各1条</w:t>
      </w:r>
    </w:p>
    <w:p>
      <w:pPr>
        <w:snapToGrid w:val="0"/>
        <w:spacing w:line="480" w:lineRule="exact"/>
        <w:contextualSpacing/>
        <w:jc w:val="both"/>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光盘、说明书、保修卡各1份</w:t>
      </w:r>
    </w:p>
    <w:p>
      <w:pPr>
        <w:snapToGrid w:val="0"/>
        <w:spacing w:line="480" w:lineRule="exact"/>
        <w:contextualSpacing/>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电脑打印机1套</w:t>
      </w:r>
    </w:p>
    <w:p>
      <w:pPr>
        <w:snapToGrid w:val="0"/>
        <w:spacing w:line="480" w:lineRule="exact"/>
        <w:contextualSpacing/>
        <w:rPr>
          <w:rFonts w:hint="eastAsia" w:ascii="宋体" w:hAnsi="宋体"/>
          <w:b/>
          <w:bCs/>
          <w:sz w:val="24"/>
          <w:szCs w:val="24"/>
        </w:rPr>
      </w:pPr>
      <w:r>
        <w:rPr>
          <w:rFonts w:hint="eastAsia" w:ascii="宋体" w:hAnsi="宋体" w:eastAsia="宋体"/>
          <w:b/>
          <w:bCs/>
          <w:sz w:val="24"/>
          <w:szCs w:val="24"/>
          <w:lang w:val="en-US" w:eastAsia="zh-CN"/>
        </w:rPr>
        <w:t>四</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0"/>
        <w:spacing w:line="460" w:lineRule="exact"/>
        <w:rPr>
          <w:rFonts w:ascii="华文中宋" w:hAnsi="华文中宋" w:eastAsia="华文中宋"/>
          <w:b/>
          <w:bCs/>
          <w:sz w:val="10"/>
        </w:rPr>
      </w:pPr>
    </w:p>
    <w:p>
      <w:pPr>
        <w:snapToGrid w:val="0"/>
        <w:spacing w:line="480" w:lineRule="exact"/>
        <w:contextualSpacing/>
        <w:jc w:val="center"/>
        <w:rPr>
          <w:rFonts w:hint="default" w:ascii="宋体" w:hAnsi="宋体" w:eastAsia="宋体" w:cs="Times New Roman"/>
          <w:b/>
          <w:bCs/>
          <w:sz w:val="32"/>
          <w:szCs w:val="32"/>
          <w:lang w:val="en-US" w:eastAsia="zh-CN"/>
        </w:rPr>
      </w:pPr>
      <w:r>
        <w:rPr>
          <w:rFonts w:hint="eastAsia" w:ascii="宋体" w:hAnsi="宋体" w:eastAsia="宋体" w:cs="Times New Roman"/>
          <w:b/>
          <w:bCs/>
          <w:sz w:val="32"/>
          <w:szCs w:val="32"/>
          <w:lang w:val="en-US" w:eastAsia="zh-CN"/>
        </w:rPr>
        <w:t>电泳系统</w:t>
      </w:r>
    </w:p>
    <w:p>
      <w:pPr>
        <w:snapToGrid w:val="0"/>
        <w:spacing w:line="480" w:lineRule="exact"/>
        <w:contextualSpacing/>
        <w:rPr>
          <w:rFonts w:hint="default" w:ascii="宋体" w:hAnsi="宋体" w:cs="Times New Roman"/>
          <w:b/>
          <w:bCs/>
          <w:sz w:val="24"/>
          <w:szCs w:val="24"/>
          <w:lang w:val="en-US" w:eastAsia="zh-CN"/>
        </w:rPr>
      </w:pPr>
      <w:r>
        <w:rPr>
          <w:rFonts w:hint="eastAsia" w:ascii="宋体" w:hAnsi="宋体" w:cs="Times New Roman"/>
          <w:b/>
          <w:bCs/>
          <w:sz w:val="24"/>
          <w:szCs w:val="24"/>
          <w:lang w:val="en-US" w:eastAsia="zh-CN"/>
        </w:rPr>
        <w:t>一、技术参数：</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并联输出：4组</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★输出范围（显示分辨率）：6-600V(1V)  4-600mA (1mA)    1-300W(1W)</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微电脑智能控制，操作界面更加方便、快捷</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工作状态中，可以实时微调</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★大屏幕LCD，同时显示电压、电流、功率和定时时间</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★具有存储记忆功能（10组3步程序）</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参数可以连续设定</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可单步或分步工作</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 xml:space="preserve">★具有来电恢复功能 </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精致轻巧的外观和造型</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具有安全保护及报警功能</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★具有小电流维持功能</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★制胶器模具成型，可以制作四种尺寸不同的胶</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透明上盖开孔式设计，便于散热，方便观察</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凝胶托盘带有荧光标尺，便于观察</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高柔韧性导线，开盖断电，确保安全</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聚碳酸酯注塑成型，无渗漏</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桥式设计，节省缓冲液</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耐高温，不变形</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限位功能，操作准确</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可拆卸电极架及电极头，方便彻底清洗和维修</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凝胶板规格（L×W）：大胶 120×120mm； 宽胶60 × 120mm； 长胶 120×60mm；小胶 60 × 60mm</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★试样格：2/3 齿（2.0mm 厚），6/13 齿， 8/18 齿（1.5mm 厚），11/25 齿（1.0mm 厚）可用排枪加样</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重量1kg</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缓冲液总容量：650ml</w:t>
      </w:r>
    </w:p>
    <w:p>
      <w:pPr>
        <w:snapToGrid w:val="0"/>
        <w:spacing w:line="480" w:lineRule="exact"/>
        <w:contextualSpacing/>
        <w:rPr>
          <w:rFonts w:hint="eastAsia" w:ascii="宋体" w:hAnsi="宋体" w:cs="Times New Roman"/>
          <w:b/>
          <w:bCs/>
          <w:sz w:val="24"/>
          <w:szCs w:val="24"/>
          <w:lang w:val="en-US" w:eastAsia="zh-CN"/>
        </w:rPr>
      </w:pPr>
      <w:r>
        <w:rPr>
          <w:rFonts w:hint="eastAsia" w:ascii="宋体" w:hAnsi="宋体" w:cs="Times New Roman"/>
          <w:b/>
          <w:bCs/>
          <w:sz w:val="24"/>
          <w:szCs w:val="24"/>
          <w:lang w:val="en-US" w:eastAsia="zh-CN"/>
        </w:rPr>
        <w:t>二、配置：</w:t>
      </w:r>
    </w:p>
    <w:p>
      <w:pPr>
        <w:snapToGrid w:val="0"/>
        <w:spacing w:line="480" w:lineRule="exact"/>
        <w:contextualSpacing/>
        <w:rPr>
          <w:rFonts w:hint="eastAsia" w:ascii="宋体" w:hAnsi="宋体" w:cs="Times New Roman"/>
          <w:sz w:val="24"/>
          <w:szCs w:val="24"/>
          <w:lang w:val="en-US" w:eastAsia="zh-CN"/>
        </w:rPr>
      </w:pPr>
      <w:r>
        <w:rPr>
          <w:rFonts w:hint="eastAsia" w:ascii="宋体" w:hAnsi="宋体" w:cs="Times New Roman"/>
          <w:sz w:val="24"/>
          <w:szCs w:val="24"/>
          <w:lang w:val="en-US" w:eastAsia="zh-CN"/>
        </w:rPr>
        <w:t>电泳仪电源1套</w:t>
      </w:r>
    </w:p>
    <w:p>
      <w:pPr>
        <w:snapToGrid w:val="0"/>
        <w:spacing w:line="480" w:lineRule="exact"/>
        <w:contextualSpacing/>
        <w:rPr>
          <w:rFonts w:hint="default" w:ascii="宋体" w:hAnsi="宋体" w:cs="Times New Roman"/>
          <w:sz w:val="24"/>
          <w:szCs w:val="24"/>
          <w:lang w:val="en-US" w:eastAsia="zh-CN"/>
        </w:rPr>
      </w:pPr>
      <w:r>
        <w:rPr>
          <w:rFonts w:hint="eastAsia" w:ascii="宋体" w:hAnsi="宋体" w:cs="Times New Roman"/>
          <w:sz w:val="24"/>
          <w:szCs w:val="24"/>
          <w:lang w:val="en-US" w:eastAsia="zh-CN"/>
        </w:rPr>
        <w:t>电泳仪1套</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三</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0"/>
        <w:spacing w:line="460" w:lineRule="exact"/>
        <w:rPr>
          <w:rFonts w:ascii="华文中宋" w:hAnsi="华文中宋" w:eastAsia="华文中宋"/>
          <w:b/>
          <w:bCs/>
          <w:sz w:val="10"/>
        </w:rPr>
      </w:pPr>
    </w:p>
    <w:p>
      <w:pPr>
        <w:suppressAutoHyphens/>
        <w:snapToGrid w:val="0"/>
        <w:spacing w:line="480" w:lineRule="exact"/>
        <w:contextualSpacing/>
        <w:jc w:val="center"/>
        <w:rPr>
          <w:rFonts w:hint="eastAsia" w:ascii="宋体" w:hAnsi="宋体" w:eastAsia="宋体" w:cs="Times New Roman"/>
          <w:b/>
          <w:bCs/>
          <w:kern w:val="2"/>
          <w:sz w:val="32"/>
          <w:szCs w:val="32"/>
          <w:lang w:val="en-US" w:eastAsia="zh-CN"/>
        </w:rPr>
      </w:pPr>
      <w:r>
        <w:rPr>
          <w:rFonts w:hint="eastAsia" w:ascii="宋体" w:hAnsi="宋体" w:eastAsia="宋体" w:cs="Times New Roman"/>
          <w:b/>
          <w:bCs/>
          <w:kern w:val="2"/>
          <w:sz w:val="32"/>
          <w:szCs w:val="32"/>
          <w:lang w:val="en-US" w:eastAsia="zh-CN"/>
        </w:rPr>
        <w:t>生物安全柜</w:t>
      </w:r>
    </w:p>
    <w:p>
      <w:pPr>
        <w:suppressAutoHyphens/>
        <w:snapToGrid w:val="0"/>
        <w:spacing w:line="480" w:lineRule="exact"/>
        <w:contextualSpacing/>
        <w:jc w:val="both"/>
        <w:rPr>
          <w:rFonts w:hint="default"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一、技术参数</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产品认证：CFDA III类医疗器</w:t>
      </w:r>
      <w:r>
        <w:rPr>
          <w:rFonts w:hint="eastAsia" w:ascii="宋体" w:hAnsi="宋体" w:eastAsia="宋体" w:cs="宋体"/>
          <w:sz w:val="24"/>
          <w:szCs w:val="24"/>
          <w:lang w:eastAsia="zh-CN"/>
        </w:rPr>
        <w:t>械注册证；EN12469</w:t>
      </w:r>
      <w:r>
        <w:rPr>
          <w:rFonts w:hint="eastAsia" w:ascii="宋体" w:hAnsi="宋体" w:eastAsia="宋体" w:cs="Times New Roman"/>
          <w:kern w:val="2"/>
          <w:sz w:val="24"/>
          <w:szCs w:val="24"/>
          <w:lang w:eastAsia="zh-CN"/>
        </w:rPr>
        <w:t>认证；</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2外形尺寸：长、宽、高＜1</w:t>
      </w:r>
      <w:r>
        <w:rPr>
          <w:rFonts w:hint="eastAsia" w:ascii="宋体" w:hAnsi="宋体" w:eastAsia="宋体" w:cs="Times New Roman"/>
          <w:kern w:val="2"/>
          <w:sz w:val="24"/>
          <w:szCs w:val="24"/>
          <w:lang w:val="en-US" w:eastAsia="zh-CN"/>
        </w:rPr>
        <w:t>9</w:t>
      </w:r>
      <w:r>
        <w:rPr>
          <w:rFonts w:hint="eastAsia" w:ascii="宋体" w:hAnsi="宋体" w:eastAsia="宋体" w:cs="Times New Roman"/>
          <w:kern w:val="2"/>
          <w:sz w:val="24"/>
          <w:szCs w:val="24"/>
          <w:lang w:eastAsia="zh-CN"/>
        </w:rPr>
        <w:t>50mm×8</w:t>
      </w:r>
      <w:r>
        <w:rPr>
          <w:rFonts w:hint="eastAsia" w:ascii="宋体" w:hAnsi="宋体" w:eastAsia="宋体" w:cs="Times New Roman"/>
          <w:kern w:val="2"/>
          <w:sz w:val="24"/>
          <w:szCs w:val="24"/>
          <w:lang w:val="en-US" w:eastAsia="zh-CN"/>
        </w:rPr>
        <w:t>1</w:t>
      </w:r>
      <w:r>
        <w:rPr>
          <w:rFonts w:hint="eastAsia" w:ascii="宋体" w:hAnsi="宋体" w:eastAsia="宋体" w:cs="Times New Roman"/>
          <w:kern w:val="2"/>
          <w:sz w:val="24"/>
          <w:szCs w:val="24"/>
          <w:lang w:eastAsia="zh-CN"/>
        </w:rPr>
        <w:t>0mm×1400mm</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3工作区尺寸：长、宽、高＞1</w:t>
      </w:r>
      <w:r>
        <w:rPr>
          <w:rFonts w:hint="eastAsia" w:ascii="宋体" w:hAnsi="宋体" w:eastAsia="宋体" w:cs="Times New Roman"/>
          <w:kern w:val="2"/>
          <w:sz w:val="24"/>
          <w:szCs w:val="24"/>
          <w:lang w:val="en-US" w:eastAsia="zh-CN"/>
        </w:rPr>
        <w:t>8</w:t>
      </w:r>
      <w:r>
        <w:rPr>
          <w:rFonts w:hint="eastAsia" w:ascii="宋体" w:hAnsi="宋体" w:eastAsia="宋体" w:cs="Times New Roman"/>
          <w:kern w:val="2"/>
          <w:sz w:val="24"/>
          <w:szCs w:val="24"/>
          <w:lang w:eastAsia="zh-CN"/>
        </w:rPr>
        <w:t>00mm×5</w:t>
      </w:r>
      <w:r>
        <w:rPr>
          <w:rFonts w:hint="eastAsia" w:ascii="宋体" w:hAnsi="宋体" w:eastAsia="宋体" w:cs="Times New Roman"/>
          <w:kern w:val="2"/>
          <w:sz w:val="24"/>
          <w:szCs w:val="24"/>
          <w:lang w:val="en-US" w:eastAsia="zh-CN"/>
        </w:rPr>
        <w:t>7</w:t>
      </w:r>
      <w:r>
        <w:rPr>
          <w:rFonts w:hint="eastAsia" w:ascii="宋体" w:hAnsi="宋体" w:eastAsia="宋体" w:cs="Times New Roman"/>
          <w:kern w:val="2"/>
          <w:sz w:val="24"/>
          <w:szCs w:val="24"/>
          <w:lang w:eastAsia="zh-CN"/>
        </w:rPr>
        <w:t>0mm×650mm</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4气流模式：达到30%外排，70%循环要求</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5下降、流入气流速：下降气流平均流速&gt;0.35m/s；进气流平均流速&gt;0.50m/s</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6</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风速实时显示：使用温度补偿型风速传感器，实时数字式监控和显示下降气流和流入气流速度</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7</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过滤效果：世界知名超高效微皱褶无间隔过滤器，针对0.12μm颗粒系过滤效率大于99.999%</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8</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洁净等级：ISO14644.1标准Class 3</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9</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风机系统：ECM风机系统，具有阻力感应补偿功能，过滤器堵塞压力增加300%情况下仍提供安全风速</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10</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 xml:space="preserve">控制器系统：实时显示安全柜运行参数：安全柜的进气流，沉降气流在液晶显示屏上实时显示；可显示滤器寿命，温度，紫外灯寿命，前窗高度状态提示；有一般用户，管理员和工程师三种使用权限；当气流有波动时提供声光报警。 </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11柜体：5度角倾斜式人体工程学设计</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12操作台面：一体成型不锈钢浅盘式设计，无焊接或螺丝，不会累积污染物；移动式操作台面可以提升或取出，方便清洁及消毒操作。</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13操作室：工作腔两侧与后壁一次冲压成形，大圆弧角设计，便于清洁</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14操作前窗：无边框滑动式前窗，防爆、抗紫外线、双层覆膜，不会引起操作者的视觉疲劳</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15</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柜体涂层：柜体外部Isocid</w:t>
      </w:r>
      <w:r>
        <w:rPr>
          <w:rFonts w:hint="eastAsia" w:ascii="宋体" w:hAnsi="宋体" w:eastAsia="宋体" w:cs="Times New Roman"/>
          <w:kern w:val="2"/>
          <w:sz w:val="24"/>
          <w:szCs w:val="24"/>
          <w:lang w:val="en-US" w:eastAsia="zh-CN"/>
        </w:rPr>
        <w:t>e</w:t>
      </w:r>
      <w:r>
        <w:rPr>
          <w:rFonts w:hint="eastAsia" w:ascii="宋体" w:hAnsi="宋体" w:eastAsia="宋体" w:cs="Times New Roman"/>
          <w:kern w:val="2"/>
          <w:sz w:val="24"/>
          <w:szCs w:val="24"/>
          <w:lang w:eastAsia="zh-CN"/>
        </w:rPr>
        <w:t>TM含银离子抗菌涂层，抑制细菌、微生物在柜体表面滋生</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16照度：&gt;1</w:t>
      </w:r>
      <w:r>
        <w:rPr>
          <w:rFonts w:hint="eastAsia" w:ascii="宋体" w:hAnsi="宋体" w:eastAsia="宋体" w:cs="Times New Roman"/>
          <w:kern w:val="2"/>
          <w:sz w:val="24"/>
          <w:szCs w:val="24"/>
          <w:lang w:val="en-US" w:eastAsia="zh-CN"/>
        </w:rPr>
        <w:t>1</w:t>
      </w:r>
      <w:r>
        <w:rPr>
          <w:rFonts w:hint="eastAsia" w:ascii="宋体" w:hAnsi="宋体" w:eastAsia="宋体" w:cs="Times New Roman"/>
          <w:kern w:val="2"/>
          <w:sz w:val="24"/>
          <w:szCs w:val="24"/>
          <w:lang w:eastAsia="zh-CN"/>
        </w:rPr>
        <w:t>00Lux，荧光灯位于非污染区域</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17噪音：噪音小于65dBA</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18</w:t>
      </w:r>
      <w:r>
        <w:rPr>
          <w:rFonts w:hint="eastAsia" w:ascii="宋体" w:hAnsi="宋体" w:cs="Times New Roman"/>
          <w:kern w:val="2"/>
          <w:sz w:val="24"/>
          <w:szCs w:val="24"/>
          <w:lang w:eastAsia="zh-CN"/>
        </w:rPr>
        <w:t>★</w:t>
      </w:r>
      <w:r>
        <w:rPr>
          <w:rFonts w:hint="eastAsia" w:ascii="宋体" w:hAnsi="宋体" w:eastAsia="宋体" w:cs="Times New Roman"/>
          <w:kern w:val="2"/>
          <w:sz w:val="24"/>
          <w:szCs w:val="24"/>
          <w:lang w:eastAsia="zh-CN"/>
        </w:rPr>
        <w:t>搁手架：整块抛光不锈钢材质，高于工作台面，不会阻挡前进气孔，易于拆卸</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19、电源插座及水气接口：两个电源插座预留孔分别位于操作室两侧，四个水气接口预留位分别交错位于操作室两侧；</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20、支架：配置可水平调节的带万向脚轮固定高度支架，方便移动。也可选配高度可调的支架以使工作台处于不同操作高度</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21、必备配件、附件和专用工具；</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22、技术文件：供货方提供操作使用、安装、维护维修手册；</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23、技术服务和培训：供货方免费现场仪器安装、调试和培训。</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24、人员防护：采用YY0569的方法去检测，碘化钾法测试，前窗操作口的保护因子≥1</w:t>
      </w:r>
      <w:r>
        <w:rPr>
          <w:rFonts w:hint="eastAsia" w:ascii="宋体" w:hAnsi="宋体" w:cs="Times New Roman"/>
          <w:sz w:val="24"/>
          <w:szCs w:val="24"/>
          <w:lang w:val="en-US" w:eastAsia="zh-CN"/>
        </w:rPr>
        <w:t>×</w:t>
      </w:r>
      <w:r>
        <w:rPr>
          <w:rFonts w:hint="eastAsia" w:ascii="宋体" w:hAnsi="宋体" w:eastAsia="宋体" w:cs="Times New Roman"/>
          <w:kern w:val="2"/>
          <w:sz w:val="24"/>
          <w:szCs w:val="24"/>
          <w:lang w:eastAsia="zh-CN"/>
        </w:rPr>
        <w:t>105</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25. 产品保护：用YY0569的方法去检测，在琼脂培养皿上的枯草芽孢杆菌芽孢≤5CFU</w:t>
      </w:r>
    </w:p>
    <w:p>
      <w:pPr>
        <w:suppressAutoHyphens/>
        <w:snapToGrid w:val="0"/>
        <w:spacing w:line="480" w:lineRule="exact"/>
        <w:contextualSpacing/>
        <w:jc w:val="both"/>
        <w:rPr>
          <w:rFonts w:hint="eastAsia" w:ascii="宋体" w:hAnsi="宋体" w:eastAsia="宋体" w:cs="Times New Roman"/>
          <w:kern w:val="2"/>
          <w:sz w:val="24"/>
          <w:szCs w:val="24"/>
          <w:lang w:eastAsia="zh-CN"/>
        </w:rPr>
      </w:pPr>
      <w:r>
        <w:rPr>
          <w:rFonts w:hint="eastAsia" w:ascii="宋体" w:hAnsi="宋体" w:eastAsia="宋体" w:cs="Times New Roman"/>
          <w:kern w:val="2"/>
          <w:sz w:val="24"/>
          <w:szCs w:val="24"/>
          <w:lang w:eastAsia="zh-CN"/>
        </w:rPr>
        <w:t>26. 交叉污染保护：用YY0569的方法去检测，在琼脂培养皿上的枯草芽孢杆菌芽孢≤2CFU</w:t>
      </w:r>
    </w:p>
    <w:p>
      <w:pPr>
        <w:snapToGrid w:val="0"/>
        <w:spacing w:line="480" w:lineRule="exact"/>
        <w:contextualSpacing/>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售后服务与培训</w:t>
      </w:r>
    </w:p>
    <w:p>
      <w:pPr>
        <w:snapToGrid w:val="0"/>
        <w:spacing w:line="480" w:lineRule="exact"/>
        <w:contextualSpacing/>
        <w:rPr>
          <w:rFonts w:hint="eastAsia" w:ascii="宋体" w:hAnsi="宋体" w:eastAsia="宋体" w:cs="宋体"/>
          <w:sz w:val="24"/>
          <w:szCs w:val="24"/>
        </w:rPr>
      </w:pPr>
      <w:r>
        <w:rPr>
          <w:rFonts w:hint="eastAsia" w:ascii="宋体" w:hAnsi="宋体" w:eastAsia="宋体" w:cs="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eastAsia="宋体" w:cs="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需提供证明文件</w:t>
      </w:r>
      <w:r>
        <w:rPr>
          <w:rFonts w:hint="eastAsia" w:ascii="宋体" w:hAnsi="宋体" w:eastAsia="宋体" w:cs="宋体"/>
          <w:sz w:val="24"/>
          <w:szCs w:val="24"/>
          <w:lang w:eastAsia="zh-CN"/>
        </w:rPr>
        <w:t>）</w:t>
      </w:r>
      <w:r>
        <w:rPr>
          <w:rFonts w:hint="eastAsia" w:ascii="宋体" w:hAnsi="宋体" w:eastAsia="宋体" w:cs="宋体"/>
          <w:sz w:val="24"/>
          <w:szCs w:val="24"/>
        </w:rPr>
        <w:t>。</w:t>
      </w:r>
    </w:p>
    <w:p>
      <w:pPr>
        <w:snapToGrid w:val="0"/>
        <w:spacing w:line="480" w:lineRule="exact"/>
        <w:contextualSpacing/>
        <w:rPr>
          <w:rFonts w:hint="eastAsia" w:ascii="宋体" w:hAnsi="宋体" w:eastAsia="宋体" w:cs="宋体"/>
          <w:sz w:val="24"/>
          <w:szCs w:val="24"/>
        </w:rPr>
      </w:pPr>
      <w:r>
        <w:rPr>
          <w:rFonts w:hint="eastAsia" w:ascii="宋体" w:hAnsi="宋体" w:eastAsia="宋体" w:cs="宋体"/>
          <w:sz w:val="24"/>
          <w:szCs w:val="24"/>
        </w:rPr>
        <w:t>3提供</w:t>
      </w:r>
      <w:r>
        <w:rPr>
          <w:rFonts w:hint="eastAsia" w:ascii="宋体" w:hAnsi="宋体"/>
          <w:sz w:val="24"/>
          <w:szCs w:val="24"/>
          <w:lang w:eastAsia="zh-CN"/>
        </w:rPr>
        <w:t>两</w:t>
      </w:r>
      <w:r>
        <w:rPr>
          <w:rFonts w:hint="eastAsia" w:ascii="宋体" w:hAnsi="宋体" w:eastAsia="宋体" w:cs="宋体"/>
          <w:sz w:val="24"/>
          <w:szCs w:val="24"/>
        </w:rPr>
        <w:t>年免费质保服务。</w:t>
      </w:r>
    </w:p>
    <w:p>
      <w:pPr>
        <w:pStyle w:val="10"/>
        <w:spacing w:line="460" w:lineRule="exact"/>
        <w:rPr>
          <w:rFonts w:ascii="华文中宋" w:hAnsi="华文中宋" w:eastAsia="华文中宋"/>
          <w:b/>
          <w:bCs/>
          <w:sz w:val="10"/>
        </w:rPr>
      </w:pPr>
    </w:p>
    <w:p>
      <w:pPr>
        <w:pStyle w:val="10"/>
        <w:spacing w:line="460" w:lineRule="exact"/>
        <w:rPr>
          <w:rFonts w:ascii="华文中宋" w:hAnsi="华文中宋" w:eastAsia="华文中宋"/>
          <w:b/>
          <w:bCs/>
          <w:sz w:val="10"/>
        </w:rPr>
      </w:pPr>
    </w:p>
    <w:p>
      <w:pPr>
        <w:widowControl w:val="0"/>
        <w:snapToGrid w:val="0"/>
        <w:spacing w:line="480" w:lineRule="exact"/>
        <w:contextualSpacing/>
        <w:jc w:val="center"/>
        <w:rPr>
          <w:rFonts w:hint="eastAsia" w:ascii="宋体" w:hAnsi="宋体" w:eastAsia="宋体" w:cs="Times New Roman"/>
          <w:b/>
          <w:bCs/>
          <w:kern w:val="2"/>
          <w:sz w:val="32"/>
          <w:szCs w:val="32"/>
          <w:lang w:val="en-US" w:eastAsia="zh-CN"/>
        </w:rPr>
      </w:pPr>
      <w:r>
        <w:rPr>
          <w:rFonts w:hint="eastAsia" w:ascii="宋体" w:hAnsi="宋体" w:eastAsia="宋体" w:cs="Times New Roman"/>
          <w:b/>
          <w:bCs/>
          <w:kern w:val="2"/>
          <w:sz w:val="32"/>
          <w:szCs w:val="32"/>
          <w:lang w:val="en-US" w:eastAsia="zh-CN"/>
        </w:rPr>
        <w:t>过氧化氢消毒器技术参数</w:t>
      </w:r>
    </w:p>
    <w:p>
      <w:pPr>
        <w:widowControl w:val="0"/>
        <w:snapToGrid w:val="0"/>
        <w:spacing w:line="480" w:lineRule="exact"/>
        <w:contextualSpacing/>
        <w:jc w:val="both"/>
        <w:rPr>
          <w:rFonts w:hint="default"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一、名称：过氧化氢消毒器</w:t>
      </w:r>
    </w:p>
    <w:p>
      <w:pPr>
        <w:widowControl w:val="0"/>
        <w:snapToGrid w:val="0"/>
        <w:spacing w:line="480" w:lineRule="exact"/>
        <w:contextualSpacing/>
        <w:jc w:val="both"/>
        <w:rPr>
          <w:rFonts w:hint="eastAsia"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二、工作条件:</w:t>
      </w:r>
      <w:r>
        <w:rPr>
          <w:rFonts w:hint="eastAsia" w:ascii="宋体" w:hAnsi="宋体" w:eastAsia="宋体" w:cs="Times New Roman"/>
          <w:b/>
          <w:bCs/>
          <w:kern w:val="2"/>
          <w:sz w:val="24"/>
          <w:szCs w:val="24"/>
          <w:lang w:val="en-US" w:eastAsia="zh-CN"/>
        </w:rPr>
        <w:tab/>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2.1 工作环境温度：10-40℃，湿度：20-80％</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2.2单相交流电源220V±10％、50Hz±1, 最大电流&lt;10A。</w:t>
      </w:r>
    </w:p>
    <w:p>
      <w:pPr>
        <w:widowControl w:val="0"/>
        <w:snapToGrid w:val="0"/>
        <w:spacing w:line="480" w:lineRule="exact"/>
        <w:contextualSpacing/>
        <w:jc w:val="both"/>
        <w:rPr>
          <w:rFonts w:hint="eastAsia"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三、基本要求：</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3.1气体涡流雾化技术，无需压缩机和压力管路。</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3.2可使用消毒剂浓度≤10%，对枯草杆菌芽孢(ATCC9372)的杀灭对数值&gt;5,提供CMA认证第三方机构的检测报告。</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3.3 消毒剂喷雾速率5-35mL/min任意可调，可适应不同温湿度条件下的应用场景。</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3.4配套消毒剂不含银离子等添加物，能够完全降解，无残留。</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3.5消毒剂有效期不少于2年，对人和动物无毒害，分别提供省级或以上疾控中心对经口毒性和吸入毒性的测试报告。</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3.6设备和配套消毒剂的备案信息均在全国消毒产品网上备案信息服务平台可查询，提供查询截图证明。</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3.7设备可用于硬质物体表面消毒，以全国消毒产品网上备案信息服务平台查询信息为准。</w:t>
      </w:r>
    </w:p>
    <w:p>
      <w:pPr>
        <w:widowControl w:val="0"/>
        <w:snapToGrid w:val="0"/>
        <w:spacing w:line="480" w:lineRule="exact"/>
        <w:contextualSpacing/>
        <w:jc w:val="both"/>
        <w:rPr>
          <w:rFonts w:hint="eastAsia"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四、 软硬件参数：</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4.1 采用彩色触摸屏操作和参数设定，触摸屏不小于7英寸，全中文操作界面。</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4.2 软件具有三级权限管理，有效区分各级别人员的操作，保证灭菌过程的可追溯性。</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4.3 自动记录每次消毒的参数，记录数据包括但不限于时间、操作者、房间容积、消毒剂量等，可随时查询。</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cs="Times New Roman"/>
          <w:kern w:val="2"/>
          <w:sz w:val="24"/>
          <w:szCs w:val="24"/>
          <w:lang w:val="en-US" w:eastAsia="zh-CN"/>
        </w:rPr>
        <w:t>★</w:t>
      </w:r>
      <w:r>
        <w:rPr>
          <w:rFonts w:hint="eastAsia" w:ascii="宋体" w:hAnsi="宋体" w:eastAsia="宋体" w:cs="Times New Roman"/>
          <w:kern w:val="2"/>
          <w:sz w:val="24"/>
          <w:szCs w:val="24"/>
          <w:lang w:val="en-US" w:eastAsia="zh-CN"/>
        </w:rPr>
        <w:t>4.4 可存储不少于10个房间的消毒参数，一键启动,无需每次设定。</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 xml:space="preserve"> 4.5 可无线遥控，遥控距离不小于10米。</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4.6 可以延时启动，延迟时间任意可调，保障使用安全。</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4.7 软件可根据设定房间大小和消毒剂使用量自动计算喷雾时间，并在主屏显示。</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4.8喷嘴具有6风道，出口风速大于80m/s，有利于大空间扩散。</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4.9 外置式消毒液罐，容量≥1升。</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4.10 体积小，重量轻，便携性好。</w:t>
      </w:r>
    </w:p>
    <w:p>
      <w:pPr>
        <w:widowControl w:val="0"/>
        <w:snapToGrid w:val="0"/>
        <w:spacing w:line="480" w:lineRule="exact"/>
        <w:contextualSpacing/>
        <w:jc w:val="both"/>
        <w:rPr>
          <w:rFonts w:hint="eastAsia" w:ascii="宋体" w:hAnsi="宋体" w:eastAsia="宋体" w:cs="Times New Roman"/>
          <w:b/>
          <w:bCs/>
          <w:kern w:val="2"/>
          <w:sz w:val="24"/>
          <w:szCs w:val="24"/>
          <w:lang w:val="en-US" w:eastAsia="zh-CN"/>
        </w:rPr>
      </w:pPr>
      <w:r>
        <w:rPr>
          <w:rFonts w:hint="eastAsia" w:ascii="宋体" w:hAnsi="宋体" w:eastAsia="宋体" w:cs="Times New Roman"/>
          <w:b/>
          <w:bCs/>
          <w:kern w:val="2"/>
          <w:sz w:val="24"/>
          <w:szCs w:val="24"/>
          <w:lang w:val="en-US" w:eastAsia="zh-CN"/>
        </w:rPr>
        <w:t>五、 配置</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消毒器主机1台</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电源线1根</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遥控器1个</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装箱文件1套</w:t>
      </w:r>
    </w:p>
    <w:p>
      <w:pPr>
        <w:widowControl w:val="0"/>
        <w:snapToGrid w:val="0"/>
        <w:spacing w:line="480" w:lineRule="exact"/>
        <w:contextualSpacing/>
        <w:jc w:val="both"/>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消毒液6升</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六</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6</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0"/>
        <w:spacing w:line="460" w:lineRule="exact"/>
        <w:rPr>
          <w:rFonts w:ascii="华文中宋" w:hAnsi="华文中宋" w:eastAsia="华文中宋"/>
          <w:b/>
          <w:bCs/>
          <w:sz w:val="10"/>
        </w:rPr>
      </w:pPr>
    </w:p>
    <w:p>
      <w:pPr>
        <w:snapToGrid w:val="0"/>
        <w:spacing w:line="480" w:lineRule="exact"/>
        <w:contextualSpacing/>
        <w:jc w:val="center"/>
        <w:rPr>
          <w:rFonts w:hint="eastAsia" w:ascii="宋体" w:hAnsi="宋体" w:eastAsiaTheme="minorEastAsia"/>
          <w:b/>
          <w:bCs/>
          <w:sz w:val="32"/>
          <w:szCs w:val="32"/>
        </w:rPr>
      </w:pPr>
    </w:p>
    <w:p>
      <w:pPr>
        <w:snapToGrid w:val="0"/>
        <w:spacing w:line="480" w:lineRule="exact"/>
        <w:contextualSpacing/>
        <w:jc w:val="center"/>
        <w:rPr>
          <w:rFonts w:hint="eastAsia" w:ascii="宋体" w:hAnsi="宋体" w:eastAsiaTheme="minorEastAsia"/>
          <w:b/>
          <w:bCs/>
          <w:sz w:val="32"/>
          <w:szCs w:val="32"/>
        </w:rPr>
      </w:pPr>
      <w:r>
        <w:rPr>
          <w:rFonts w:hint="eastAsia" w:ascii="宋体" w:hAnsi="宋体" w:eastAsiaTheme="minorEastAsia"/>
          <w:b/>
          <w:bCs/>
          <w:sz w:val="32"/>
          <w:szCs w:val="32"/>
        </w:rPr>
        <w:t>染色机技术参数</w:t>
      </w:r>
    </w:p>
    <w:p>
      <w:pPr>
        <w:snapToGrid w:val="0"/>
        <w:spacing w:line="480" w:lineRule="exact"/>
        <w:contextualSpacing/>
        <w:rPr>
          <w:rFonts w:hint="eastAsia" w:ascii="宋体" w:hAnsi="宋体" w:eastAsia="宋体" w:cs="宋体"/>
          <w:sz w:val="24"/>
          <w:szCs w:val="24"/>
          <w:lang w:val="en-US" w:eastAsia="zh-CN"/>
        </w:rPr>
      </w:pPr>
      <w:r>
        <w:rPr>
          <w:rFonts w:hint="eastAsia" w:ascii="宋体" w:hAnsi="宋体" w:eastAsia="宋体"/>
          <w:sz w:val="24"/>
          <w:szCs w:val="24"/>
        </w:rPr>
        <w:t xml:space="preserve"> </w:t>
      </w:r>
      <w:r>
        <w:rPr>
          <w:rFonts w:hint="eastAsia" w:ascii="宋体" w:hAnsi="宋体" w:eastAsia="宋体" w:cs="宋体"/>
          <w:sz w:val="24"/>
          <w:szCs w:val="24"/>
          <w:lang w:val="en-US" w:eastAsia="zh-CN"/>
        </w:rPr>
        <w:t xml:space="preserve"> 1、染色模式：采用注液离心浸染方式，染液喷嘴口径大，不堵孔，染色效果媲美手工法</w:t>
      </w:r>
    </w:p>
    <w:p>
      <w:pPr>
        <w:snapToGrid w:val="0"/>
        <w:spacing w:line="480" w:lineRule="exact"/>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染色功能：适用于抗酸染色（萋尼氏法/冷染法/荧光法）和革兰氏染色，双通道染液管路，只需切换染色程序无需更换染液即可满足不同方法的染色需求</w:t>
      </w:r>
    </w:p>
    <w:p>
      <w:pPr>
        <w:snapToGrid w:val="0"/>
        <w:spacing w:line="480" w:lineRule="exact"/>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操作界面：触摸屏操作界面简洁易用，染色进度条实时显示，染片量分为三种模式可选：全选、数量及位置，根据制作标本厚度不同分为三种染色模式:薄片、标准片和厚片</w:t>
      </w:r>
    </w:p>
    <w:p>
      <w:pPr>
        <w:snapToGrid w:val="0"/>
        <w:spacing w:line="480" w:lineRule="exact"/>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4、</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染色舱：玻片架分为上下两层，采用铁氟龙镀层，确保了玻片架不被染液侵蚀而且不粘染液易于清洗。特殊的喷嘴位置分布，保证了染色标本与标本之间无染色时间差异；每种试剂有单独输送管路，泵和喷嘴，避免交叉污染；染色完成时，染片已经过离心干燥，可直接用于镜检</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5、参数调节：通过调节染液注入时间，染色等待时间调节染色程序</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6、染液用量:每片仅用1-2mL染液，有效节约染色用量，产生更少的废液</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7、染色速度：抗酸染色（萋尼氏法/荧光法）约90片/小时，抗酸染色（冷染法）约60片/小时，革兰氏染色约200片/小时</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日常维护：染色机带有自动清洗功能，无需人工清洗，清洗液为95%酒精，具有清洗管路和杀菌作用，客户可根据个人需要选择开启或者关闭</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9、安全性能：只有盖子闭合时才能进行操作，仪器运行时自动开启电子锁，保证操作人员的安全</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报警系统：液量报警系统和故障报警系统巧妙地结合在一起，根据故障报警提示使用单位及时与代理商或厂家联系，更快捷地解决问题，方便客户的后续使用</w:t>
      </w:r>
    </w:p>
    <w:p>
      <w:pPr>
        <w:snapToGrid w:val="0"/>
        <w:spacing w:line="480" w:lineRule="exact"/>
        <w:ind w:firstLine="240" w:firstLineChars="1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11、电源要求：220±22V，50Hz±1Hz</w:t>
      </w:r>
    </w:p>
    <w:p>
      <w:pPr>
        <w:snapToGrid w:val="0"/>
        <w:spacing w:line="480" w:lineRule="exact"/>
        <w:ind w:firstLine="240" w:firstLineChars="100"/>
        <w:contextualSpacing/>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售后服务与培训</w:t>
      </w:r>
    </w:p>
    <w:p>
      <w:pPr>
        <w:snapToGrid w:val="0"/>
        <w:spacing w:line="480" w:lineRule="exact"/>
        <w:ind w:firstLine="240" w:firstLineChars="100"/>
        <w:contextualSpacing/>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ind w:firstLine="240" w:firstLineChars="100"/>
        <w:contextualSpacing/>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需提供证明文件</w:t>
      </w:r>
      <w:r>
        <w:rPr>
          <w:rFonts w:hint="eastAsia" w:ascii="宋体" w:hAnsi="宋体" w:eastAsia="宋体" w:cs="宋体"/>
          <w:sz w:val="24"/>
          <w:szCs w:val="24"/>
          <w:lang w:eastAsia="zh-CN"/>
        </w:rPr>
        <w:t>）</w:t>
      </w:r>
      <w:r>
        <w:rPr>
          <w:rFonts w:hint="eastAsia" w:ascii="宋体" w:hAnsi="宋体" w:eastAsia="宋体" w:cs="宋体"/>
          <w:sz w:val="24"/>
          <w:szCs w:val="24"/>
        </w:rPr>
        <w:t>。</w:t>
      </w:r>
    </w:p>
    <w:p>
      <w:pPr>
        <w:snapToGrid w:val="0"/>
        <w:spacing w:line="480" w:lineRule="exact"/>
        <w:ind w:firstLine="240" w:firstLineChars="100"/>
        <w:contextualSpacing/>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.3提供</w:t>
      </w:r>
      <w:r>
        <w:rPr>
          <w:rFonts w:hint="eastAsia" w:ascii="宋体" w:hAnsi="宋体"/>
          <w:sz w:val="24"/>
          <w:szCs w:val="24"/>
          <w:lang w:eastAsia="zh-CN"/>
        </w:rPr>
        <w:t>两</w:t>
      </w:r>
      <w:r>
        <w:rPr>
          <w:rFonts w:hint="eastAsia" w:ascii="宋体" w:hAnsi="宋体" w:eastAsia="宋体" w:cs="宋体"/>
          <w:sz w:val="24"/>
          <w:szCs w:val="24"/>
        </w:rPr>
        <w:t>年免费质保服务。</w:t>
      </w:r>
    </w:p>
    <w:p>
      <w:pPr>
        <w:pStyle w:val="10"/>
        <w:spacing w:line="460" w:lineRule="exact"/>
        <w:rPr>
          <w:rFonts w:ascii="华文中宋" w:hAnsi="华文中宋" w:eastAsia="华文中宋"/>
          <w:b/>
          <w:bCs/>
          <w:sz w:val="10"/>
        </w:rPr>
      </w:pPr>
    </w:p>
    <w:p>
      <w:pPr>
        <w:snapToGrid w:val="0"/>
        <w:spacing w:line="480" w:lineRule="exact"/>
        <w:contextualSpacing/>
        <w:jc w:val="center"/>
        <w:rPr>
          <w:rFonts w:hint="eastAsia" w:ascii="宋体" w:hAnsi="宋体" w:eastAsiaTheme="minorEastAsia" w:cstheme="minorBidi"/>
          <w:b/>
          <w:bCs/>
          <w:sz w:val="32"/>
          <w:szCs w:val="32"/>
        </w:rPr>
      </w:pPr>
      <w:r>
        <w:rPr>
          <w:rFonts w:hint="eastAsia" w:ascii="宋体" w:hAnsi="宋体" w:eastAsiaTheme="minorEastAsia" w:cstheme="minorBidi"/>
          <w:b/>
          <w:bCs/>
          <w:sz w:val="32"/>
          <w:szCs w:val="32"/>
        </w:rPr>
        <w:t>小型旋盖</w:t>
      </w:r>
      <w:r>
        <w:rPr>
          <w:rFonts w:hint="eastAsia" w:ascii="宋体" w:hAnsi="宋体" w:eastAsiaTheme="minorEastAsia" w:cstheme="minorBidi"/>
          <w:b/>
          <w:bCs/>
          <w:sz w:val="32"/>
          <w:szCs w:val="32"/>
          <w:lang w:val="en-US" w:eastAsia="zh-Hans"/>
        </w:rPr>
        <w:t>仪</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功能：</w:t>
      </w:r>
      <w:r>
        <w:rPr>
          <w:rFonts w:hint="eastAsia" w:ascii="宋体" w:hAnsi="宋体" w:eastAsiaTheme="minorEastAsia" w:cstheme="minorBidi"/>
          <w:sz w:val="24"/>
          <w:szCs w:val="24"/>
          <w:lang w:val="en-US" w:eastAsia="zh-CN"/>
        </w:rPr>
        <w:t>小型旋盖仪可用于新冠病毒检测中拭子采样管的开关盖操作，适配市面上</w:t>
      </w:r>
      <w:r>
        <w:rPr>
          <w:rFonts w:hint="eastAsia" w:ascii="宋体" w:hAnsi="宋体" w:eastAsiaTheme="minorEastAsia" w:cstheme="minorBidi"/>
          <w:sz w:val="24"/>
          <w:szCs w:val="24"/>
          <w:lang w:val="en-US" w:eastAsia="zh-Hans"/>
        </w:rPr>
        <w:t>大部分规格的</w:t>
      </w:r>
      <w:r>
        <w:rPr>
          <w:rFonts w:hint="eastAsia" w:ascii="宋体" w:hAnsi="宋体" w:eastAsiaTheme="minorEastAsia" w:cstheme="minorBidi"/>
          <w:sz w:val="24"/>
          <w:szCs w:val="24"/>
          <w:lang w:val="en-US" w:eastAsia="zh-CN"/>
        </w:rPr>
        <w:t>拭子采样管</w:t>
      </w:r>
      <w:r>
        <w:rPr>
          <w:rFonts w:hint="eastAsia" w:ascii="宋体" w:hAnsi="宋体" w:eastAsiaTheme="minorEastAsia" w:cstheme="minorBidi"/>
          <w:sz w:val="24"/>
          <w:szCs w:val="24"/>
        </w:rPr>
        <w:t>。</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eastAsia="zh-CN"/>
        </w:rPr>
        <w:t>一、</w:t>
      </w:r>
      <w:r>
        <w:rPr>
          <w:rFonts w:hint="eastAsia" w:ascii="宋体" w:hAnsi="宋体" w:eastAsiaTheme="minorEastAsia" w:cstheme="minorBidi"/>
          <w:b/>
          <w:bCs/>
          <w:sz w:val="24"/>
          <w:szCs w:val="24"/>
        </w:rPr>
        <w:t>工作条件</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1.1电源要求：220V±10%，50Hz；</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1.2环境要求：室内温度10～30℃，相对湿度10～80%；</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b/>
          <w:bCs/>
          <w:sz w:val="24"/>
          <w:szCs w:val="24"/>
          <w:lang w:eastAsia="zh-CN"/>
        </w:rPr>
        <w:t>二、</w:t>
      </w:r>
      <w:r>
        <w:rPr>
          <w:rFonts w:hint="eastAsia" w:ascii="宋体" w:hAnsi="宋体" w:eastAsiaTheme="minorEastAsia" w:cstheme="minorBidi"/>
          <w:b/>
          <w:bCs/>
          <w:sz w:val="24"/>
          <w:szCs w:val="24"/>
        </w:rPr>
        <w:t>详细技术参数：</w:t>
      </w:r>
      <w:r>
        <w:rPr>
          <w:rFonts w:hint="eastAsia" w:ascii="宋体" w:hAnsi="宋体" w:eastAsiaTheme="minorEastAsia" w:cstheme="minorBidi"/>
          <w:sz w:val="24"/>
          <w:szCs w:val="24"/>
        </w:rPr>
        <w:tab/>
      </w:r>
    </w:p>
    <w:p>
      <w:pPr>
        <w:snapToGrid w:val="0"/>
        <w:spacing w:line="480" w:lineRule="exact"/>
        <w:contextualSpacing/>
        <w:rPr>
          <w:rFonts w:hint="default" w:ascii="宋体" w:hAnsi="宋体" w:eastAsiaTheme="minorEastAsia" w:cstheme="minorBidi"/>
          <w:sz w:val="24"/>
          <w:szCs w:val="24"/>
          <w:lang w:eastAsia="zh-CN"/>
        </w:rPr>
      </w:pP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1</w:t>
      </w:r>
      <w:r>
        <w:rPr>
          <w:rFonts w:hint="default" w:ascii="宋体" w:hAnsi="宋体" w:eastAsiaTheme="minorEastAsia" w:cstheme="minorBidi"/>
          <w:sz w:val="24"/>
          <w:szCs w:val="24"/>
          <w:lang w:eastAsia="zh-CN"/>
        </w:rPr>
        <w:t>可用于新冠病毒检测中拭子采样管的开关盖操作，适配市面上</w:t>
      </w:r>
      <w:r>
        <w:rPr>
          <w:rFonts w:hint="eastAsia" w:ascii="宋体" w:hAnsi="宋体" w:eastAsiaTheme="minorEastAsia" w:cstheme="minorBidi"/>
          <w:sz w:val="24"/>
          <w:szCs w:val="24"/>
          <w:lang w:val="en-US" w:eastAsia="zh-Hans"/>
        </w:rPr>
        <w:t>大部分</w:t>
      </w:r>
      <w:r>
        <w:rPr>
          <w:rFonts w:hint="default" w:ascii="宋体" w:hAnsi="宋体" w:eastAsiaTheme="minorEastAsia" w:cstheme="minorBidi"/>
          <w:sz w:val="24"/>
          <w:szCs w:val="24"/>
          <w:lang w:eastAsia="zh-CN"/>
        </w:rPr>
        <w:t>规格拭子采样管；</w:t>
      </w:r>
    </w:p>
    <w:p>
      <w:pPr>
        <w:snapToGrid w:val="0"/>
        <w:spacing w:line="480" w:lineRule="exact"/>
        <w:contextualSpacing/>
        <w:rPr>
          <w:rFonts w:hint="default" w:ascii="宋体" w:hAnsi="宋体" w:eastAsiaTheme="minorEastAsia" w:cstheme="minorBidi"/>
          <w:sz w:val="24"/>
          <w:szCs w:val="24"/>
          <w:lang w:eastAsia="zh-CN"/>
        </w:rPr>
      </w:pP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2</w:t>
      </w:r>
      <w:r>
        <w:rPr>
          <w:rFonts w:hint="default" w:ascii="宋体" w:hAnsi="宋体" w:eastAsiaTheme="minorEastAsia" w:cstheme="minorBidi"/>
          <w:sz w:val="24"/>
          <w:szCs w:val="24"/>
          <w:lang w:eastAsia="zh-CN"/>
        </w:rPr>
        <w:t>人体工学倾角设计，实验人员单手持管，</w:t>
      </w:r>
      <w:r>
        <w:rPr>
          <w:rFonts w:hint="eastAsia" w:ascii="宋体" w:hAnsi="宋体" w:eastAsiaTheme="minorEastAsia" w:cstheme="minorBidi"/>
          <w:sz w:val="24"/>
          <w:szCs w:val="24"/>
          <w:lang w:val="en-US" w:eastAsia="zh-Hans"/>
        </w:rPr>
        <w:t>单手操作</w:t>
      </w:r>
      <w:r>
        <w:rPr>
          <w:rFonts w:hint="default" w:ascii="宋体" w:hAnsi="宋体" w:eastAsiaTheme="minorEastAsia" w:cstheme="minorBidi"/>
          <w:sz w:val="24"/>
          <w:szCs w:val="24"/>
          <w:lang w:eastAsia="zh-CN"/>
        </w:rPr>
        <w:t>即可快速定位完成开关盖；</w:t>
      </w:r>
    </w:p>
    <w:p>
      <w:pPr>
        <w:snapToGrid w:val="0"/>
        <w:spacing w:line="480" w:lineRule="exact"/>
        <w:contextualSpacing/>
        <w:rPr>
          <w:rFonts w:hint="eastAsia" w:ascii="宋体" w:hAnsi="宋体" w:eastAsiaTheme="minorEastAsia" w:cstheme="minorBidi"/>
          <w:sz w:val="24"/>
          <w:szCs w:val="24"/>
          <w:lang w:val="en-US" w:eastAsia="zh-CN"/>
        </w:rPr>
      </w:pPr>
      <w:r>
        <w:rPr>
          <w:rFonts w:hint="eastAsia" w:ascii="宋体" w:hAnsi="宋体" w:eastAsiaTheme="minorEastAsia" w:cstheme="minorBidi"/>
          <w:sz w:val="24"/>
          <w:szCs w:val="24"/>
          <w:lang w:eastAsia="zh-CN"/>
        </w:rPr>
        <w:t>★</w:t>
      </w: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3</w:t>
      </w:r>
      <w:r>
        <w:rPr>
          <w:rFonts w:hint="eastAsia" w:ascii="宋体" w:hAnsi="宋体" w:eastAsiaTheme="minorEastAsia" w:cstheme="minorBidi"/>
          <w:sz w:val="24"/>
          <w:szCs w:val="24"/>
          <w:lang w:val="en-US" w:eastAsia="zh-CN"/>
        </w:rPr>
        <w:t>高效性</w:t>
      </w:r>
      <w:r>
        <w:rPr>
          <w:rFonts w:hint="default" w:ascii="宋体" w:hAnsi="宋体" w:eastAsiaTheme="minorEastAsia" w:cstheme="minorBidi"/>
          <w:sz w:val="24"/>
          <w:szCs w:val="24"/>
          <w:lang w:eastAsia="zh-CN"/>
        </w:rPr>
        <w:t>：开关盖指令由传感器</w:t>
      </w:r>
      <w:r>
        <w:rPr>
          <w:rFonts w:hint="eastAsia" w:ascii="宋体" w:hAnsi="宋体" w:eastAsiaTheme="minorEastAsia" w:cstheme="minorBidi"/>
          <w:sz w:val="24"/>
          <w:szCs w:val="24"/>
          <w:lang w:val="en-US" w:eastAsia="zh-Hans"/>
        </w:rPr>
        <w:t>全</w:t>
      </w:r>
      <w:r>
        <w:rPr>
          <w:rFonts w:hint="default" w:ascii="宋体" w:hAnsi="宋体" w:eastAsiaTheme="minorEastAsia" w:cstheme="minorBidi"/>
          <w:sz w:val="24"/>
          <w:szCs w:val="24"/>
          <w:lang w:eastAsia="zh-CN"/>
        </w:rPr>
        <w:t>自动触发启动，</w:t>
      </w:r>
      <w:r>
        <w:rPr>
          <w:rFonts w:hint="eastAsia" w:ascii="宋体" w:hAnsi="宋体" w:eastAsiaTheme="minorEastAsia" w:cstheme="minorBidi"/>
          <w:sz w:val="24"/>
          <w:szCs w:val="24"/>
          <w:lang w:val="en-US" w:eastAsia="zh-CN"/>
        </w:rPr>
        <w:t>可单手操作开关盖，</w:t>
      </w:r>
      <w:r>
        <w:rPr>
          <w:rFonts w:hint="eastAsia" w:ascii="宋体" w:hAnsi="宋体" w:eastAsiaTheme="minorEastAsia" w:cstheme="minorBidi"/>
          <w:sz w:val="24"/>
          <w:szCs w:val="24"/>
          <w:lang w:val="en-US" w:eastAsia="zh-Hans"/>
        </w:rPr>
        <w:t>开或关盖过程</w:t>
      </w:r>
      <w:r>
        <w:rPr>
          <w:rFonts w:hint="eastAsia" w:ascii="宋体" w:hAnsi="宋体" w:eastAsiaTheme="minorEastAsia" w:cstheme="minorBidi"/>
          <w:sz w:val="24"/>
          <w:szCs w:val="24"/>
          <w:lang w:val="en-US" w:eastAsia="zh-CN"/>
        </w:rPr>
        <w:t>平均</w:t>
      </w: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CN"/>
        </w:rPr>
        <w:t>秒/样本</w:t>
      </w:r>
      <w:r>
        <w:rPr>
          <w:rFonts w:hint="default" w:ascii="宋体" w:hAnsi="宋体" w:eastAsiaTheme="minorEastAsia" w:cstheme="minorBidi"/>
          <w:sz w:val="24"/>
          <w:szCs w:val="24"/>
          <w:lang w:eastAsia="zh-CN"/>
        </w:rPr>
        <w:t>，96个样本</w:t>
      </w:r>
      <w:r>
        <w:rPr>
          <w:rFonts w:hint="eastAsia" w:ascii="宋体" w:hAnsi="宋体" w:eastAsiaTheme="minorEastAsia" w:cstheme="minorBidi"/>
          <w:sz w:val="24"/>
          <w:szCs w:val="24"/>
          <w:lang w:val="en-US" w:eastAsia="zh-Hans"/>
        </w:rPr>
        <w:t>开关盖取样</w:t>
      </w:r>
      <w:r>
        <w:rPr>
          <w:rFonts w:hint="default" w:ascii="宋体" w:hAnsi="宋体" w:eastAsiaTheme="minorEastAsia" w:cstheme="minorBidi"/>
          <w:sz w:val="24"/>
          <w:szCs w:val="24"/>
          <w:lang w:eastAsia="zh-CN"/>
        </w:rPr>
        <w:t>全程仅需12分钟</w:t>
      </w:r>
      <w:r>
        <w:rPr>
          <w:rFonts w:hint="eastAsia" w:ascii="宋体" w:hAnsi="宋体" w:eastAsiaTheme="minorEastAsia" w:cstheme="minorBidi"/>
          <w:sz w:val="24"/>
          <w:szCs w:val="24"/>
          <w:lang w:val="en-US" w:eastAsia="zh-CN"/>
        </w:rPr>
        <w:t>；</w:t>
      </w:r>
    </w:p>
    <w:p>
      <w:pPr>
        <w:snapToGrid w:val="0"/>
        <w:spacing w:line="480" w:lineRule="exact"/>
        <w:contextualSpacing/>
        <w:rPr>
          <w:rFonts w:hint="eastAsia" w:ascii="宋体" w:hAnsi="宋体" w:eastAsiaTheme="minorEastAsia" w:cstheme="minorBidi"/>
          <w:sz w:val="24"/>
          <w:szCs w:val="24"/>
          <w:lang w:val="en-US" w:eastAsia="zh-CN"/>
        </w:rPr>
      </w:pPr>
      <w:r>
        <w:rPr>
          <w:rFonts w:hint="eastAsia" w:ascii="宋体" w:hAnsi="宋体" w:eastAsiaTheme="minorEastAsia" w:cstheme="minorBidi"/>
          <w:sz w:val="24"/>
          <w:szCs w:val="24"/>
          <w:lang w:eastAsia="zh-CN"/>
        </w:rPr>
        <w:t>★</w:t>
      </w: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4</w:t>
      </w:r>
      <w:r>
        <w:rPr>
          <w:rFonts w:hint="eastAsia" w:ascii="宋体" w:hAnsi="宋体" w:eastAsiaTheme="minorEastAsia" w:cstheme="minorBidi"/>
          <w:sz w:val="24"/>
          <w:szCs w:val="24"/>
          <w:lang w:val="en-US" w:eastAsia="zh-CN"/>
        </w:rPr>
        <w:t>智能化</w:t>
      </w:r>
      <w:r>
        <w:rPr>
          <w:rFonts w:hint="default"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红外传感器实时判断采样管位置；</w:t>
      </w:r>
    </w:p>
    <w:p>
      <w:pPr>
        <w:snapToGrid w:val="0"/>
        <w:spacing w:line="480" w:lineRule="exact"/>
        <w:contextualSpacing/>
        <w:rPr>
          <w:rFonts w:hint="eastAsia" w:ascii="宋体" w:hAnsi="宋体" w:eastAsiaTheme="minorEastAsia" w:cstheme="minorBidi"/>
          <w:sz w:val="24"/>
          <w:szCs w:val="24"/>
          <w:lang w:val="en-US" w:eastAsia="zh-CN"/>
        </w:rPr>
      </w:pP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5</w:t>
      </w:r>
      <w:r>
        <w:rPr>
          <w:rFonts w:hint="eastAsia" w:ascii="宋体" w:hAnsi="宋体" w:eastAsiaTheme="minorEastAsia" w:cstheme="minorBidi"/>
          <w:sz w:val="24"/>
          <w:szCs w:val="24"/>
          <w:lang w:val="en-US" w:eastAsia="zh-CN"/>
        </w:rPr>
        <w:t>兼容</w:t>
      </w:r>
      <w:r>
        <w:rPr>
          <w:rFonts w:hint="default"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夹紧装置</w:t>
      </w:r>
      <w:r>
        <w:rPr>
          <w:rFonts w:hint="eastAsia" w:ascii="宋体" w:hAnsi="宋体" w:eastAsiaTheme="minorEastAsia" w:cstheme="minorBidi"/>
          <w:sz w:val="24"/>
          <w:szCs w:val="24"/>
          <w:lang w:val="en-US" w:eastAsia="zh-Hans"/>
        </w:rPr>
        <w:t>可选</w:t>
      </w:r>
      <w:r>
        <w:rPr>
          <w:rFonts w:hint="eastAsia" w:ascii="宋体" w:hAnsi="宋体" w:eastAsiaTheme="minorEastAsia" w:cstheme="minorBidi"/>
          <w:sz w:val="24"/>
          <w:szCs w:val="24"/>
          <w:lang w:val="en-US" w:eastAsia="zh-CN"/>
        </w:rPr>
        <w:t>，除适配新冠病毒保存管外还可</w:t>
      </w:r>
      <w:r>
        <w:rPr>
          <w:rFonts w:hint="eastAsia" w:ascii="宋体" w:hAnsi="宋体" w:eastAsiaTheme="minorEastAsia" w:cstheme="minorBidi"/>
          <w:sz w:val="24"/>
          <w:szCs w:val="24"/>
          <w:lang w:val="en-US" w:eastAsia="zh-Hans"/>
        </w:rPr>
        <w:t>适配</w:t>
      </w:r>
      <w:r>
        <w:rPr>
          <w:rFonts w:hint="eastAsia" w:ascii="宋体" w:hAnsi="宋体" w:eastAsiaTheme="minorEastAsia" w:cstheme="minorBidi"/>
          <w:sz w:val="24"/>
          <w:szCs w:val="24"/>
          <w:lang w:val="en-US" w:eastAsia="zh-CN"/>
        </w:rPr>
        <w:t>15mL、50mL离心管开</w:t>
      </w:r>
      <w:r>
        <w:rPr>
          <w:rFonts w:hint="eastAsia" w:ascii="宋体" w:hAnsi="宋体" w:eastAsiaTheme="minorEastAsia" w:cstheme="minorBidi"/>
          <w:sz w:val="24"/>
          <w:szCs w:val="24"/>
          <w:lang w:val="en-US" w:eastAsia="zh-Hans"/>
        </w:rPr>
        <w:t>关</w:t>
      </w:r>
      <w:r>
        <w:rPr>
          <w:rFonts w:hint="eastAsia" w:ascii="宋体" w:hAnsi="宋体" w:eastAsiaTheme="minorEastAsia" w:cstheme="minorBidi"/>
          <w:sz w:val="24"/>
          <w:szCs w:val="24"/>
          <w:lang w:val="en-US" w:eastAsia="zh-CN"/>
        </w:rPr>
        <w:t>盖;</w:t>
      </w:r>
    </w:p>
    <w:p>
      <w:pPr>
        <w:snapToGrid w:val="0"/>
        <w:spacing w:line="480" w:lineRule="exact"/>
        <w:contextualSpacing/>
        <w:rPr>
          <w:rFonts w:hint="eastAsia" w:ascii="宋体" w:hAnsi="宋体" w:eastAsiaTheme="minorEastAsia" w:cstheme="minorBidi"/>
          <w:sz w:val="24"/>
          <w:szCs w:val="24"/>
          <w:lang w:val="en-US" w:eastAsia="zh-CN"/>
        </w:rPr>
      </w:pPr>
      <w:r>
        <w:rPr>
          <w:rFonts w:hint="eastAsia" w:ascii="宋体" w:hAnsi="宋体" w:eastAsiaTheme="minorEastAsia" w:cstheme="minorBidi"/>
          <w:sz w:val="24"/>
          <w:szCs w:val="24"/>
          <w:lang w:eastAsia="zh-CN"/>
        </w:rPr>
        <w:t>★</w:t>
      </w: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6</w:t>
      </w:r>
      <w:r>
        <w:rPr>
          <w:rFonts w:hint="eastAsia" w:ascii="宋体" w:hAnsi="宋体" w:eastAsiaTheme="minorEastAsia" w:cstheme="minorBidi"/>
          <w:sz w:val="24"/>
          <w:szCs w:val="24"/>
          <w:lang w:val="en-US" w:eastAsia="zh-CN"/>
        </w:rPr>
        <w:t>简便性</w:t>
      </w:r>
      <w:r>
        <w:rPr>
          <w:rFonts w:hint="default"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CN"/>
        </w:rPr>
        <w:t>具有计数显示功能、计数清零按钮、模块复位按钮，让操作更加方便快捷；</w:t>
      </w:r>
    </w:p>
    <w:p>
      <w:pPr>
        <w:snapToGrid w:val="0"/>
        <w:spacing w:line="480" w:lineRule="exact"/>
        <w:contextualSpacing/>
        <w:rPr>
          <w:rFonts w:hint="eastAsia" w:ascii="宋体" w:hAnsi="宋体" w:eastAsiaTheme="minorEastAsia" w:cstheme="minorBidi"/>
          <w:sz w:val="24"/>
          <w:szCs w:val="24"/>
          <w:lang w:val="en-US" w:eastAsia="zh-CN"/>
        </w:rPr>
      </w:pPr>
      <w:r>
        <w:rPr>
          <w:rFonts w:hint="eastAsia" w:ascii="宋体" w:hAnsi="宋体" w:eastAsiaTheme="minorEastAsia" w:cstheme="minorBidi"/>
          <w:sz w:val="24"/>
          <w:szCs w:val="24"/>
          <w:lang w:eastAsia="zh-CN"/>
        </w:rPr>
        <w:t>★</w:t>
      </w: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7</w:t>
      </w:r>
      <w:r>
        <w:rPr>
          <w:rFonts w:hint="eastAsia" w:ascii="宋体" w:hAnsi="宋体" w:eastAsiaTheme="minorEastAsia" w:cstheme="minorBidi"/>
          <w:sz w:val="24"/>
          <w:szCs w:val="24"/>
          <w:lang w:val="en-US" w:eastAsia="zh-CN"/>
        </w:rPr>
        <w:t>便携性</w:t>
      </w:r>
      <w:r>
        <w:rPr>
          <w:rFonts w:hint="default"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Hans"/>
        </w:rPr>
        <w:t>体积规格为长</w:t>
      </w:r>
      <w:r>
        <w:rPr>
          <w:rFonts w:hint="default" w:ascii="宋体" w:hAnsi="宋体" w:eastAsiaTheme="minorEastAsia" w:cstheme="minorBidi"/>
          <w:sz w:val="24"/>
          <w:szCs w:val="24"/>
          <w:lang w:eastAsia="zh-Hans"/>
        </w:rPr>
        <w:t>154</w:t>
      </w:r>
      <w:r>
        <w:rPr>
          <w:rFonts w:hint="eastAsia" w:ascii="宋体" w:hAnsi="宋体" w:eastAsiaTheme="minorEastAsia" w:cstheme="minorBidi"/>
          <w:sz w:val="24"/>
          <w:szCs w:val="24"/>
          <w:lang w:val="en-US" w:eastAsia="zh-Hans"/>
        </w:rPr>
        <w:t>mm</w:t>
      </w:r>
      <w:r>
        <w:rPr>
          <w:rFonts w:hint="default" w:ascii="宋体" w:hAnsi="宋体" w:eastAsiaTheme="minorEastAsia" w:cstheme="minorBidi"/>
          <w:sz w:val="24"/>
          <w:szCs w:val="24"/>
          <w:lang w:val="en-US" w:eastAsia="zh-Hans"/>
        </w:rPr>
        <w:t>×</w:t>
      </w:r>
      <w:r>
        <w:rPr>
          <w:rFonts w:hint="eastAsia" w:ascii="宋体" w:hAnsi="宋体" w:eastAsiaTheme="minorEastAsia" w:cstheme="minorBidi"/>
          <w:sz w:val="24"/>
          <w:szCs w:val="24"/>
          <w:lang w:val="en-US" w:eastAsia="zh-Hans"/>
        </w:rPr>
        <w:t>宽</w:t>
      </w:r>
      <w:r>
        <w:rPr>
          <w:rFonts w:hint="default" w:ascii="宋体" w:hAnsi="宋体" w:eastAsiaTheme="minorEastAsia" w:cstheme="minorBidi"/>
          <w:sz w:val="24"/>
          <w:szCs w:val="24"/>
          <w:lang w:eastAsia="zh-Hans"/>
        </w:rPr>
        <w:t>204</w:t>
      </w:r>
      <w:r>
        <w:rPr>
          <w:rFonts w:hint="eastAsia" w:ascii="宋体" w:hAnsi="宋体" w:eastAsiaTheme="minorEastAsia" w:cstheme="minorBidi"/>
          <w:sz w:val="24"/>
          <w:szCs w:val="24"/>
          <w:lang w:val="en-US" w:eastAsia="zh-Hans"/>
        </w:rPr>
        <w:t>mm</w:t>
      </w:r>
      <w:r>
        <w:rPr>
          <w:rFonts w:hint="default" w:ascii="宋体" w:hAnsi="宋体" w:eastAsiaTheme="minorEastAsia" w:cstheme="minorBidi"/>
          <w:sz w:val="24"/>
          <w:szCs w:val="24"/>
          <w:lang w:val="en-US" w:eastAsia="zh-Hans"/>
        </w:rPr>
        <w:t>×</w:t>
      </w:r>
      <w:r>
        <w:rPr>
          <w:rFonts w:hint="eastAsia" w:ascii="宋体" w:hAnsi="宋体" w:eastAsiaTheme="minorEastAsia" w:cstheme="minorBidi"/>
          <w:sz w:val="24"/>
          <w:szCs w:val="24"/>
          <w:lang w:val="en-US" w:eastAsia="zh-Hans"/>
        </w:rPr>
        <w:t>高</w:t>
      </w:r>
      <w:r>
        <w:rPr>
          <w:rFonts w:hint="default" w:ascii="宋体" w:hAnsi="宋体" w:eastAsiaTheme="minorEastAsia" w:cstheme="minorBidi"/>
          <w:sz w:val="24"/>
          <w:szCs w:val="24"/>
          <w:lang w:eastAsia="zh-Hans"/>
        </w:rPr>
        <w:t>400</w:t>
      </w:r>
      <w:r>
        <w:rPr>
          <w:rFonts w:hint="eastAsia" w:ascii="宋体" w:hAnsi="宋体" w:eastAsiaTheme="minorEastAsia" w:cstheme="minorBidi"/>
          <w:sz w:val="24"/>
          <w:szCs w:val="24"/>
          <w:lang w:val="en-US" w:eastAsia="zh-Hans"/>
        </w:rPr>
        <w:t>mm</w:t>
      </w:r>
      <w:r>
        <w:rPr>
          <w:rFonts w:hint="default" w:ascii="宋体" w:hAnsi="宋体" w:eastAsiaTheme="minorEastAsia" w:cstheme="minorBidi"/>
          <w:sz w:val="24"/>
          <w:szCs w:val="24"/>
          <w:lang w:eastAsia="zh-Hans"/>
        </w:rPr>
        <w:t>，</w:t>
      </w:r>
      <w:r>
        <w:rPr>
          <w:rFonts w:hint="eastAsia" w:ascii="宋体" w:hAnsi="宋体" w:eastAsiaTheme="minorEastAsia" w:cstheme="minorBidi"/>
          <w:sz w:val="24"/>
          <w:szCs w:val="24"/>
          <w:lang w:val="en-US" w:eastAsia="zh-CN"/>
        </w:rPr>
        <w:t>体积小巧，可任意挪动，不占实验室空间；</w:t>
      </w:r>
    </w:p>
    <w:p>
      <w:pPr>
        <w:snapToGrid w:val="0"/>
        <w:spacing w:line="480" w:lineRule="exact"/>
        <w:contextualSpacing/>
        <w:rPr>
          <w:rFonts w:hint="default" w:ascii="宋体" w:hAnsi="宋体" w:eastAsiaTheme="minorEastAsia" w:cstheme="minorBidi"/>
          <w:sz w:val="24"/>
          <w:szCs w:val="24"/>
          <w:lang w:eastAsia="zh-CN"/>
        </w:rPr>
      </w:pPr>
      <w:r>
        <w:rPr>
          <w:rFonts w:hint="default" w:ascii="宋体" w:hAnsi="宋体" w:eastAsiaTheme="minorEastAsia" w:cstheme="minorBidi"/>
          <w:sz w:val="24"/>
          <w:szCs w:val="24"/>
          <w:lang w:eastAsia="zh-CN"/>
        </w:rPr>
        <w:t>2</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8</w:t>
      </w:r>
      <w:r>
        <w:rPr>
          <w:rFonts w:hint="eastAsia" w:ascii="宋体" w:hAnsi="宋体" w:eastAsiaTheme="minorEastAsia" w:cstheme="minorBidi"/>
          <w:sz w:val="24"/>
          <w:szCs w:val="24"/>
          <w:lang w:val="en-US" w:eastAsia="zh-CN"/>
        </w:rPr>
        <w:t>安全性</w:t>
      </w:r>
      <w:r>
        <w:rPr>
          <w:rFonts w:hint="default" w:ascii="宋体" w:hAnsi="宋体" w:eastAsiaTheme="minorEastAsia" w:cstheme="minorBidi"/>
          <w:sz w:val="24"/>
          <w:szCs w:val="24"/>
          <w:lang w:eastAsia="zh-CN"/>
        </w:rPr>
        <w:t>：</w:t>
      </w:r>
      <w:r>
        <w:rPr>
          <w:rFonts w:hint="eastAsia" w:ascii="宋体" w:hAnsi="宋体" w:eastAsiaTheme="minorEastAsia" w:cstheme="minorBidi"/>
          <w:sz w:val="24"/>
          <w:szCs w:val="24"/>
          <w:lang w:val="en-US" w:eastAsia="zh-Hans"/>
        </w:rPr>
        <w:t>可</w:t>
      </w:r>
      <w:r>
        <w:rPr>
          <w:rFonts w:hint="eastAsia" w:ascii="宋体" w:hAnsi="宋体" w:eastAsiaTheme="minorEastAsia" w:cstheme="minorBidi"/>
          <w:sz w:val="24"/>
          <w:szCs w:val="24"/>
          <w:lang w:val="en-US" w:eastAsia="zh-CN"/>
        </w:rPr>
        <w:t>放置在生物安全柜内运行，有效防控污染</w:t>
      </w:r>
      <w:r>
        <w:rPr>
          <w:rFonts w:hint="default" w:ascii="宋体" w:hAnsi="宋体" w:eastAsiaTheme="minorEastAsia" w:cstheme="minorBidi"/>
          <w:sz w:val="24"/>
          <w:szCs w:val="24"/>
          <w:lang w:eastAsia="zh-CN"/>
        </w:rPr>
        <w:t>。</w:t>
      </w:r>
    </w:p>
    <w:p>
      <w:pPr>
        <w:snapToGrid w:val="0"/>
        <w:spacing w:line="480" w:lineRule="exact"/>
        <w:contextualSpacing/>
        <w:rPr>
          <w:rFonts w:hint="eastAsia" w:ascii="宋体" w:hAnsi="宋体" w:eastAsiaTheme="minorEastAsia" w:cstheme="minorBidi"/>
          <w:b/>
          <w:bCs/>
          <w:sz w:val="24"/>
          <w:szCs w:val="24"/>
        </w:rPr>
      </w:pPr>
      <w:r>
        <w:rPr>
          <w:rFonts w:hint="eastAsia" w:ascii="宋体" w:hAnsi="宋体" w:eastAsiaTheme="minorEastAsia" w:cstheme="minorBidi"/>
          <w:b/>
          <w:bCs/>
          <w:sz w:val="24"/>
          <w:szCs w:val="24"/>
          <w:lang w:eastAsia="zh-CN"/>
        </w:rPr>
        <w:t>三、</w:t>
      </w:r>
      <w:r>
        <w:rPr>
          <w:rFonts w:hint="eastAsia" w:ascii="宋体" w:hAnsi="宋体" w:eastAsiaTheme="minorEastAsia" w:cstheme="minorBidi"/>
          <w:b/>
          <w:bCs/>
          <w:sz w:val="24"/>
          <w:szCs w:val="24"/>
        </w:rPr>
        <w:t>详细配置</w:t>
      </w:r>
    </w:p>
    <w:p>
      <w:pPr>
        <w:snapToGrid w:val="0"/>
        <w:spacing w:line="480" w:lineRule="exact"/>
        <w:contextualSpacing/>
        <w:rPr>
          <w:rFonts w:hint="eastAsia" w:ascii="宋体" w:hAnsi="宋体" w:eastAsiaTheme="minorEastAsia" w:cstheme="minorBidi"/>
          <w:sz w:val="24"/>
          <w:szCs w:val="24"/>
        </w:rPr>
      </w:pPr>
      <w:r>
        <w:rPr>
          <w:rFonts w:hint="eastAsia" w:ascii="宋体" w:hAnsi="宋体" w:eastAsiaTheme="minorEastAsia" w:cstheme="minorBidi"/>
          <w:sz w:val="24"/>
          <w:szCs w:val="24"/>
        </w:rPr>
        <w:t>3.</w:t>
      </w:r>
      <w:r>
        <w:rPr>
          <w:rFonts w:hint="eastAsia" w:ascii="宋体" w:hAnsi="宋体" w:eastAsiaTheme="minorEastAsia" w:cstheme="minorBidi"/>
          <w:sz w:val="24"/>
          <w:szCs w:val="24"/>
          <w:lang w:val="en-US" w:eastAsia="zh-CN"/>
        </w:rPr>
        <w:t>1</w:t>
      </w:r>
      <w:r>
        <w:rPr>
          <w:rFonts w:hint="eastAsia" w:ascii="宋体" w:hAnsi="宋体" w:eastAsiaTheme="minorEastAsia" w:cstheme="minorBidi"/>
          <w:sz w:val="24"/>
          <w:szCs w:val="24"/>
        </w:rPr>
        <w:t>、主机1台</w:t>
      </w:r>
    </w:p>
    <w:p>
      <w:pPr>
        <w:snapToGrid w:val="0"/>
        <w:spacing w:line="480" w:lineRule="exact"/>
        <w:contextualSpacing/>
        <w:rPr>
          <w:rFonts w:hint="eastAsia" w:ascii="宋体" w:hAnsi="宋体" w:eastAsiaTheme="minorEastAsia" w:cstheme="minorBidi"/>
          <w:sz w:val="24"/>
          <w:szCs w:val="24"/>
        </w:rPr>
      </w:pPr>
      <w:r>
        <w:rPr>
          <w:rFonts w:hint="default" w:ascii="宋体" w:hAnsi="宋体" w:eastAsiaTheme="minorEastAsia" w:cstheme="minorBidi"/>
          <w:sz w:val="24"/>
          <w:szCs w:val="24"/>
        </w:rPr>
        <w:t>3</w:t>
      </w:r>
      <w:r>
        <w:rPr>
          <w:rFonts w:hint="eastAsia" w:ascii="宋体" w:hAnsi="宋体" w:eastAsiaTheme="minorEastAsia" w:cstheme="minorBidi"/>
          <w:sz w:val="24"/>
          <w:szCs w:val="24"/>
          <w:lang w:val="en-US" w:eastAsia="zh-Hans"/>
        </w:rPr>
        <w:t>.</w:t>
      </w:r>
      <w:r>
        <w:rPr>
          <w:rFonts w:hint="default" w:ascii="宋体" w:hAnsi="宋体" w:eastAsiaTheme="minorEastAsia" w:cstheme="minorBidi"/>
          <w:sz w:val="24"/>
          <w:szCs w:val="24"/>
          <w:lang w:eastAsia="zh-Hans"/>
        </w:rPr>
        <w:t>2、</w:t>
      </w:r>
      <w:r>
        <w:rPr>
          <w:rFonts w:hint="eastAsia" w:ascii="宋体" w:hAnsi="宋体" w:eastAsiaTheme="minorEastAsia" w:cstheme="minorBidi"/>
          <w:sz w:val="24"/>
          <w:szCs w:val="24"/>
          <w:lang w:val="en-US" w:eastAsia="zh-Hans"/>
        </w:rPr>
        <w:t>使用</w:t>
      </w:r>
      <w:r>
        <w:rPr>
          <w:rFonts w:hint="eastAsia" w:ascii="宋体" w:hAnsi="宋体" w:eastAsiaTheme="minorEastAsia" w:cstheme="minorBidi"/>
          <w:sz w:val="24"/>
          <w:szCs w:val="24"/>
        </w:rPr>
        <w:t>说明书1套</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四、</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0"/>
        <w:spacing w:line="460" w:lineRule="exact"/>
        <w:rPr>
          <w:rFonts w:ascii="华文中宋" w:hAnsi="华文中宋" w:eastAsia="华文中宋"/>
          <w:b/>
          <w:bCs/>
          <w:sz w:val="10"/>
        </w:rPr>
      </w:pPr>
    </w:p>
    <w:p>
      <w:pPr>
        <w:snapToGrid w:val="0"/>
        <w:spacing w:line="480" w:lineRule="exact"/>
        <w:contextualSpacing/>
        <w:jc w:val="center"/>
        <w:rPr>
          <w:rFonts w:hint="eastAsia" w:ascii="宋体" w:hAnsi="宋体"/>
          <w:b/>
          <w:bCs/>
          <w:sz w:val="32"/>
          <w:szCs w:val="32"/>
        </w:rPr>
      </w:pPr>
      <w:r>
        <w:rPr>
          <w:rFonts w:hint="eastAsia" w:ascii="宋体" w:hAnsi="宋体"/>
          <w:b/>
          <w:bCs/>
          <w:sz w:val="32"/>
          <w:szCs w:val="32"/>
          <w:lang w:val="en-US" w:eastAsia="zh-CN"/>
        </w:rPr>
        <w:t>紫外可见分光光度计</w:t>
      </w:r>
    </w:p>
    <w:p>
      <w:pPr>
        <w:snapToGrid w:val="0"/>
        <w:spacing w:line="480" w:lineRule="exact"/>
        <w:contextualSpacing/>
        <w:rPr>
          <w:rFonts w:hint="eastAsia" w:ascii="宋体" w:hAnsi="宋体"/>
          <w:b/>
          <w:bCs/>
          <w:sz w:val="24"/>
          <w:szCs w:val="24"/>
          <w:lang w:val="en-US" w:eastAsia="zh-CN"/>
        </w:rPr>
      </w:pPr>
      <w:r>
        <w:rPr>
          <w:rFonts w:hint="eastAsia" w:ascii="宋体" w:hAnsi="宋体"/>
          <w:b/>
          <w:bCs/>
          <w:sz w:val="24"/>
          <w:szCs w:val="24"/>
          <w:lang w:val="en-US" w:eastAsia="zh-CN"/>
        </w:rPr>
        <w:t>一、技术参数：</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显示屏</w:t>
      </w:r>
      <w:r>
        <w:rPr>
          <w:rFonts w:hint="default" w:ascii="宋体" w:hAnsi="宋体"/>
          <w:sz w:val="24"/>
          <w:szCs w:val="24"/>
          <w:lang w:eastAsia="zh-CN"/>
        </w:rPr>
        <w:t>：</w:t>
      </w:r>
      <w:r>
        <w:rPr>
          <w:rFonts w:hint="eastAsia" w:ascii="宋体" w:hAnsi="宋体"/>
          <w:sz w:val="24"/>
          <w:szCs w:val="24"/>
          <w:lang w:val="en-US" w:eastAsia="zh-CN"/>
        </w:rPr>
        <w:t>7英寸高分辨率1024</w:t>
      </w:r>
      <w:r>
        <w:rPr>
          <w:rFonts w:hint="eastAsia" w:ascii="宋体" w:hAnsi="宋体" w:cs="Times New Roman"/>
          <w:sz w:val="24"/>
          <w:szCs w:val="24"/>
          <w:lang w:val="en-US" w:eastAsia="zh-CN"/>
        </w:rPr>
        <w:t>×</w:t>
      </w:r>
      <w:r>
        <w:rPr>
          <w:rFonts w:hint="eastAsia" w:ascii="宋体" w:hAnsi="宋体"/>
          <w:sz w:val="24"/>
          <w:szCs w:val="24"/>
          <w:lang w:val="en-US" w:eastAsia="zh-CN"/>
        </w:rPr>
        <w:t>768触摸屏</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单色器</w:t>
      </w:r>
      <w:r>
        <w:rPr>
          <w:rFonts w:hint="default" w:ascii="宋体" w:hAnsi="宋体"/>
          <w:sz w:val="24"/>
          <w:szCs w:val="24"/>
          <w:lang w:eastAsia="zh-CN"/>
        </w:rPr>
        <w:t>：</w:t>
      </w:r>
      <w:r>
        <w:rPr>
          <w:rFonts w:hint="eastAsia" w:ascii="宋体" w:hAnsi="宋体"/>
          <w:sz w:val="24"/>
          <w:szCs w:val="24"/>
          <w:lang w:val="en-US" w:eastAsia="zh-CN"/>
        </w:rPr>
        <w:t>全息闪耀光栅C-T单色器，比例双光束</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光栅</w:t>
      </w:r>
      <w:r>
        <w:rPr>
          <w:rFonts w:hint="default" w:ascii="宋体" w:hAnsi="宋体"/>
          <w:sz w:val="24"/>
          <w:szCs w:val="24"/>
          <w:lang w:eastAsia="zh-CN"/>
        </w:rPr>
        <w:t>：</w:t>
      </w:r>
      <w:r>
        <w:rPr>
          <w:rFonts w:hint="eastAsia" w:ascii="宋体" w:hAnsi="宋体"/>
          <w:sz w:val="24"/>
          <w:szCs w:val="24"/>
          <w:lang w:val="en-US" w:eastAsia="zh-CN"/>
        </w:rPr>
        <w:t>1200线/mm</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光电池</w:t>
      </w:r>
      <w:r>
        <w:rPr>
          <w:rFonts w:hint="default" w:ascii="宋体" w:hAnsi="宋体"/>
          <w:sz w:val="24"/>
          <w:szCs w:val="24"/>
          <w:lang w:eastAsia="zh-CN"/>
        </w:rPr>
        <w:t>：</w:t>
      </w:r>
      <w:r>
        <w:rPr>
          <w:rFonts w:hint="eastAsia" w:ascii="宋体" w:hAnsi="宋体"/>
          <w:sz w:val="24"/>
          <w:szCs w:val="24"/>
          <w:lang w:val="en-US" w:eastAsia="zh-CN"/>
        </w:rPr>
        <w:t>进口硅光二极管</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接口</w:t>
      </w:r>
      <w:r>
        <w:rPr>
          <w:rFonts w:hint="default" w:ascii="宋体" w:hAnsi="宋体"/>
          <w:sz w:val="24"/>
          <w:szCs w:val="24"/>
          <w:lang w:eastAsia="zh-CN"/>
        </w:rPr>
        <w:t>：</w:t>
      </w:r>
      <w:r>
        <w:rPr>
          <w:rFonts w:hint="eastAsia" w:ascii="宋体" w:hAnsi="宋体"/>
          <w:sz w:val="24"/>
          <w:szCs w:val="24"/>
          <w:lang w:val="en-US" w:eastAsia="zh-CN"/>
        </w:rPr>
        <w:t>USB&amp;蓝牙</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WIFI模块</w:t>
      </w:r>
      <w:r>
        <w:rPr>
          <w:rFonts w:hint="default" w:ascii="宋体" w:hAnsi="宋体"/>
          <w:sz w:val="24"/>
          <w:szCs w:val="24"/>
          <w:lang w:eastAsia="zh-CN"/>
        </w:rPr>
        <w:t>：</w:t>
      </w:r>
      <w:r>
        <w:rPr>
          <w:rFonts w:hint="eastAsia" w:ascii="宋体" w:hAnsi="宋体"/>
          <w:sz w:val="24"/>
          <w:szCs w:val="24"/>
          <w:lang w:val="en-US" w:eastAsia="zh-CN"/>
        </w:rPr>
        <w:t>支持,标配</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无线打印</w:t>
      </w:r>
      <w:r>
        <w:rPr>
          <w:rFonts w:hint="default" w:ascii="宋体" w:hAnsi="宋体"/>
          <w:sz w:val="24"/>
          <w:szCs w:val="24"/>
          <w:lang w:eastAsia="zh-CN"/>
        </w:rPr>
        <w:t>：</w:t>
      </w:r>
      <w:r>
        <w:rPr>
          <w:rFonts w:hint="eastAsia" w:ascii="宋体" w:hAnsi="宋体"/>
          <w:sz w:val="24"/>
          <w:szCs w:val="24"/>
          <w:lang w:val="en-US" w:eastAsia="zh-CN"/>
        </w:rPr>
        <w:t>支持，无线蓝牙打印机选配</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联PC软件</w:t>
      </w:r>
      <w:r>
        <w:rPr>
          <w:rFonts w:hint="default" w:ascii="宋体" w:hAnsi="宋体"/>
          <w:sz w:val="24"/>
          <w:szCs w:val="24"/>
          <w:lang w:eastAsia="zh-CN"/>
        </w:rPr>
        <w:t>：</w:t>
      </w:r>
      <w:r>
        <w:rPr>
          <w:rFonts w:hint="eastAsia" w:ascii="宋体" w:hAnsi="宋体"/>
          <w:sz w:val="24"/>
          <w:szCs w:val="24"/>
          <w:lang w:val="en-US" w:eastAsia="zh-CN"/>
        </w:rPr>
        <w:t>支持，选配</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物联模块软件</w:t>
      </w:r>
      <w:r>
        <w:rPr>
          <w:rFonts w:hint="default" w:ascii="宋体" w:hAnsi="宋体"/>
          <w:sz w:val="24"/>
          <w:szCs w:val="24"/>
          <w:lang w:eastAsia="zh-CN"/>
        </w:rPr>
        <w:t>：</w:t>
      </w:r>
      <w:r>
        <w:rPr>
          <w:rFonts w:hint="eastAsia" w:ascii="宋体" w:hAnsi="宋体"/>
          <w:sz w:val="24"/>
          <w:szCs w:val="24"/>
          <w:lang w:val="en-US" w:eastAsia="zh-CN"/>
        </w:rPr>
        <w:t>标配，支持</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比色皿架</w:t>
      </w:r>
      <w:r>
        <w:rPr>
          <w:rFonts w:hint="default" w:ascii="宋体" w:hAnsi="宋体"/>
          <w:sz w:val="24"/>
          <w:szCs w:val="24"/>
          <w:lang w:eastAsia="zh-CN"/>
        </w:rPr>
        <w:t>：</w:t>
      </w:r>
      <w:r>
        <w:rPr>
          <w:rFonts w:hint="eastAsia" w:ascii="宋体" w:hAnsi="宋体"/>
          <w:sz w:val="24"/>
          <w:szCs w:val="24"/>
          <w:lang w:val="en-US" w:eastAsia="zh-CN"/>
        </w:rPr>
        <w:t>标配手动1cm</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光度范围</w:t>
      </w:r>
      <w:r>
        <w:rPr>
          <w:rFonts w:hint="default" w:ascii="宋体" w:hAnsi="宋体"/>
          <w:sz w:val="24"/>
          <w:szCs w:val="24"/>
          <w:lang w:eastAsia="zh-CN"/>
        </w:rPr>
        <w:t>：</w:t>
      </w:r>
      <w:r>
        <w:rPr>
          <w:rFonts w:hint="default" w:ascii="宋体" w:hAnsi="宋体"/>
          <w:sz w:val="24"/>
          <w:szCs w:val="24"/>
          <w:lang w:eastAsia="zh-CN"/>
        </w:rPr>
        <w:tab/>
      </w:r>
      <w:r>
        <w:rPr>
          <w:rFonts w:hint="eastAsia" w:ascii="宋体" w:hAnsi="宋体"/>
          <w:sz w:val="24"/>
          <w:szCs w:val="24"/>
          <w:lang w:val="en-US" w:eastAsia="zh-CN"/>
        </w:rPr>
        <w:t>0--200%T,-0.3-3A</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波长模式</w:t>
      </w:r>
      <w:r>
        <w:rPr>
          <w:rFonts w:hint="default" w:ascii="宋体" w:hAnsi="宋体"/>
          <w:sz w:val="24"/>
          <w:szCs w:val="24"/>
          <w:lang w:eastAsia="zh-CN"/>
        </w:rPr>
        <w:t>：</w:t>
      </w:r>
      <w:r>
        <w:rPr>
          <w:rFonts w:hint="eastAsia" w:ascii="宋体" w:hAnsi="宋体"/>
          <w:sz w:val="24"/>
          <w:szCs w:val="24"/>
          <w:lang w:val="en-US" w:eastAsia="zh-CN"/>
        </w:rPr>
        <w:t>自动</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波长精度</w:t>
      </w:r>
      <w:r>
        <w:rPr>
          <w:rFonts w:hint="default" w:ascii="宋体" w:hAnsi="宋体"/>
          <w:sz w:val="24"/>
          <w:szCs w:val="24"/>
          <w:lang w:eastAsia="zh-CN"/>
        </w:rPr>
        <w:t>：</w:t>
      </w:r>
      <w:r>
        <w:rPr>
          <w:rFonts w:hint="eastAsia" w:ascii="宋体" w:hAnsi="宋体"/>
          <w:sz w:val="24"/>
          <w:szCs w:val="24"/>
        </w:rPr>
        <w:t>±</w:t>
      </w:r>
      <w:r>
        <w:rPr>
          <w:rFonts w:hint="eastAsia" w:ascii="宋体" w:hAnsi="宋体"/>
          <w:sz w:val="24"/>
          <w:szCs w:val="24"/>
          <w:lang w:val="en-US" w:eastAsia="zh-CN"/>
        </w:rPr>
        <w:t>0.3</w:t>
      </w:r>
      <w:r>
        <w:rPr>
          <w:rFonts w:hint="eastAsia" w:ascii="宋体" w:hAnsi="宋体"/>
          <w:sz w:val="24"/>
          <w:szCs w:val="24"/>
        </w:rPr>
        <w:t>nm</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波长重复性</w:t>
      </w:r>
      <w:r>
        <w:rPr>
          <w:rFonts w:hint="default" w:ascii="宋体" w:hAnsi="宋体"/>
          <w:sz w:val="24"/>
          <w:szCs w:val="24"/>
          <w:lang w:eastAsia="zh-CN"/>
        </w:rPr>
        <w:t>：</w:t>
      </w:r>
      <w:r>
        <w:rPr>
          <w:rFonts w:hint="eastAsia" w:ascii="宋体" w:hAnsi="宋体"/>
          <w:sz w:val="24"/>
          <w:szCs w:val="24"/>
        </w:rPr>
        <w:t>±</w:t>
      </w:r>
      <w:r>
        <w:rPr>
          <w:rFonts w:hint="eastAsia" w:ascii="宋体" w:hAnsi="宋体"/>
          <w:sz w:val="24"/>
          <w:szCs w:val="24"/>
          <w:lang w:val="en-US" w:eastAsia="zh-CN"/>
        </w:rPr>
        <w:t>0.1</w:t>
      </w:r>
      <w:r>
        <w:rPr>
          <w:rFonts w:hint="eastAsia" w:ascii="宋体" w:hAnsi="宋体"/>
          <w:sz w:val="24"/>
          <w:szCs w:val="24"/>
        </w:rPr>
        <w:t>nm</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光谱带宽</w:t>
      </w:r>
      <w:r>
        <w:rPr>
          <w:rFonts w:hint="default" w:ascii="宋体" w:hAnsi="宋体"/>
          <w:sz w:val="24"/>
          <w:szCs w:val="24"/>
          <w:lang w:eastAsia="zh-CN"/>
        </w:rPr>
        <w:t>：</w:t>
      </w:r>
      <w:r>
        <w:rPr>
          <w:rFonts w:hint="eastAsia" w:ascii="宋体" w:hAnsi="宋体"/>
          <w:sz w:val="24"/>
          <w:szCs w:val="24"/>
          <w:lang w:val="en-US" w:eastAsia="zh-CN"/>
        </w:rPr>
        <w:t>2nm</w:t>
      </w:r>
    </w:p>
    <w:p>
      <w:pPr>
        <w:snapToGrid w:val="0"/>
        <w:spacing w:line="480" w:lineRule="exact"/>
        <w:contextualSpacing/>
        <w:rPr>
          <w:rFonts w:hint="eastAsia" w:ascii="宋体" w:hAnsi="宋体"/>
          <w:sz w:val="24"/>
          <w:szCs w:val="24"/>
          <w:lang w:val="en-US" w:eastAsia="zh-CN"/>
        </w:rPr>
      </w:pPr>
      <w:r>
        <w:rPr>
          <w:rFonts w:hint="eastAsia" w:ascii="宋体" w:hAnsi="宋体"/>
          <w:sz w:val="24"/>
          <w:szCs w:val="24"/>
          <w:lang w:val="en-US" w:eastAsia="zh-CN"/>
        </w:rPr>
        <w:t>波长范围</w:t>
      </w:r>
      <w:r>
        <w:rPr>
          <w:rFonts w:hint="default" w:ascii="宋体" w:hAnsi="宋体"/>
          <w:sz w:val="24"/>
          <w:szCs w:val="24"/>
          <w:lang w:eastAsia="zh-CN"/>
        </w:rPr>
        <w:t>：</w:t>
      </w:r>
      <w:r>
        <w:rPr>
          <w:rFonts w:hint="eastAsia" w:ascii="宋体" w:hAnsi="宋体"/>
          <w:sz w:val="24"/>
          <w:szCs w:val="24"/>
          <w:lang w:val="en-US" w:eastAsia="zh-CN"/>
        </w:rPr>
        <w:t>190-1100</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杂散光</w:t>
      </w:r>
      <w:r>
        <w:rPr>
          <w:rFonts w:hint="default" w:ascii="宋体" w:hAnsi="宋体"/>
          <w:sz w:val="24"/>
          <w:szCs w:val="24"/>
          <w:lang w:eastAsia="zh-CN"/>
        </w:rPr>
        <w:t>：</w:t>
      </w:r>
      <w:r>
        <w:rPr>
          <w:rFonts w:hint="eastAsia" w:ascii="宋体" w:hAnsi="宋体"/>
          <w:sz w:val="24"/>
          <w:szCs w:val="24"/>
          <w:lang w:val="en-US" w:eastAsia="zh-CN"/>
        </w:rPr>
        <w:t>0.05T%</w:t>
      </w:r>
    </w:p>
    <w:p>
      <w:pPr>
        <w:snapToGrid w:val="0"/>
        <w:spacing w:line="480" w:lineRule="exact"/>
        <w:contextualSpacing/>
        <w:rPr>
          <w:rFonts w:hint="eastAsia" w:ascii="宋体" w:hAnsi="宋体"/>
          <w:sz w:val="24"/>
          <w:szCs w:val="24"/>
          <w:lang w:val="en-US" w:eastAsia="zh-CN"/>
        </w:rPr>
      </w:pPr>
      <w:r>
        <w:rPr>
          <w:rFonts w:hint="eastAsia" w:ascii="宋体" w:hAnsi="宋体"/>
          <w:sz w:val="24"/>
          <w:szCs w:val="24"/>
          <w:lang w:val="en-US" w:eastAsia="zh-CN"/>
        </w:rPr>
        <w:t>光度准确度</w:t>
      </w:r>
      <w:r>
        <w:rPr>
          <w:rFonts w:hint="default" w:ascii="宋体" w:hAnsi="宋体"/>
          <w:sz w:val="24"/>
          <w:szCs w:val="24"/>
          <w:lang w:eastAsia="zh-CN"/>
        </w:rPr>
        <w:t>：</w:t>
      </w:r>
      <w:r>
        <w:rPr>
          <w:rFonts w:hint="eastAsia" w:ascii="宋体" w:hAnsi="宋体"/>
          <w:sz w:val="24"/>
          <w:szCs w:val="24"/>
        </w:rPr>
        <w:t>±0.5%T</w:t>
      </w:r>
      <w:r>
        <w:rPr>
          <w:rFonts w:hint="eastAsia" w:ascii="宋体" w:hAnsi="宋体"/>
          <w:sz w:val="24"/>
          <w:szCs w:val="24"/>
          <w:lang w:val="en-US" w:eastAsia="zh-CN"/>
        </w:rPr>
        <w:t>,</w:t>
      </w:r>
      <w:r>
        <w:rPr>
          <w:rFonts w:hint="eastAsia" w:ascii="宋体" w:hAnsi="宋体"/>
          <w:sz w:val="24"/>
          <w:szCs w:val="24"/>
        </w:rPr>
        <w:t>±0.004Abs（0 ~ 0.5A）</w:t>
      </w:r>
      <w:r>
        <w:rPr>
          <w:rFonts w:hint="eastAsia" w:ascii="宋体" w:hAnsi="宋体"/>
          <w:sz w:val="24"/>
          <w:szCs w:val="24"/>
          <w:lang w:val="en-US" w:eastAsia="zh-CN"/>
        </w:rPr>
        <w:t>;</w:t>
      </w:r>
      <w:r>
        <w:rPr>
          <w:rFonts w:hint="eastAsia" w:ascii="宋体" w:hAnsi="宋体"/>
          <w:sz w:val="24"/>
          <w:szCs w:val="24"/>
        </w:rPr>
        <w:t>±0.008Abs（0.5 ~ 1A）</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光度重复性</w:t>
      </w:r>
      <w:r>
        <w:rPr>
          <w:rFonts w:hint="default" w:ascii="宋体" w:hAnsi="宋体"/>
          <w:sz w:val="24"/>
          <w:szCs w:val="24"/>
          <w:lang w:eastAsia="zh-CN"/>
        </w:rPr>
        <w:t>：</w:t>
      </w:r>
      <w:r>
        <w:rPr>
          <w:rFonts w:hint="eastAsia" w:ascii="宋体" w:hAnsi="宋体"/>
          <w:sz w:val="24"/>
          <w:szCs w:val="24"/>
        </w:rPr>
        <w:t>±0.5%T</w:t>
      </w:r>
      <w:r>
        <w:rPr>
          <w:rFonts w:hint="eastAsia" w:ascii="宋体" w:hAnsi="宋体"/>
          <w:sz w:val="24"/>
          <w:szCs w:val="24"/>
          <w:lang w:val="en-US" w:eastAsia="zh-CN"/>
        </w:rPr>
        <w:t>,</w:t>
      </w:r>
      <w:r>
        <w:rPr>
          <w:rFonts w:hint="eastAsia" w:ascii="宋体" w:hAnsi="宋体"/>
          <w:sz w:val="24"/>
          <w:szCs w:val="24"/>
        </w:rPr>
        <w:t>±0.004Abs（0 ~ 0.5A）</w:t>
      </w:r>
      <w:r>
        <w:rPr>
          <w:rFonts w:hint="eastAsia" w:ascii="宋体" w:hAnsi="宋体"/>
          <w:sz w:val="24"/>
          <w:szCs w:val="24"/>
          <w:lang w:val="en-US" w:eastAsia="zh-CN"/>
        </w:rPr>
        <w:t>;</w:t>
      </w:r>
      <w:r>
        <w:rPr>
          <w:rFonts w:hint="eastAsia" w:ascii="宋体" w:hAnsi="宋体"/>
          <w:sz w:val="24"/>
          <w:szCs w:val="24"/>
        </w:rPr>
        <w:t>±0.008Abs（0.5 ~ 1A）</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光度稳定性</w:t>
      </w:r>
      <w:r>
        <w:rPr>
          <w:rFonts w:hint="default" w:ascii="宋体" w:hAnsi="宋体"/>
          <w:sz w:val="24"/>
          <w:szCs w:val="24"/>
          <w:lang w:eastAsia="zh-CN"/>
        </w:rPr>
        <w:t>：</w:t>
      </w:r>
      <w:r>
        <w:rPr>
          <w:rFonts w:hint="eastAsia" w:ascii="宋体" w:hAnsi="宋体"/>
          <w:sz w:val="24"/>
          <w:szCs w:val="24"/>
        </w:rPr>
        <w:t>±0.</w:t>
      </w:r>
      <w:r>
        <w:rPr>
          <w:rFonts w:hint="eastAsia" w:ascii="宋体" w:hAnsi="宋体"/>
          <w:sz w:val="24"/>
          <w:szCs w:val="24"/>
          <w:lang w:val="en-US" w:eastAsia="zh-CN"/>
        </w:rPr>
        <w:t>15</w:t>
      </w:r>
      <w:r>
        <w:rPr>
          <w:rFonts w:hint="eastAsia" w:ascii="宋体" w:hAnsi="宋体"/>
          <w:sz w:val="24"/>
          <w:szCs w:val="24"/>
        </w:rPr>
        <w:t>%T</w:t>
      </w:r>
      <w:r>
        <w:rPr>
          <w:rFonts w:hint="eastAsia" w:ascii="宋体" w:hAnsi="宋体"/>
          <w:sz w:val="24"/>
          <w:szCs w:val="24"/>
          <w:lang w:val="en-US" w:eastAsia="zh-CN"/>
        </w:rPr>
        <w:t>,</w:t>
      </w:r>
      <w:r>
        <w:rPr>
          <w:rFonts w:hint="eastAsia" w:ascii="宋体" w:hAnsi="宋体"/>
          <w:sz w:val="24"/>
          <w:szCs w:val="24"/>
        </w:rPr>
        <w:t>±0.00</w:t>
      </w:r>
      <w:r>
        <w:rPr>
          <w:rFonts w:hint="eastAsia" w:ascii="宋体" w:hAnsi="宋体"/>
          <w:sz w:val="24"/>
          <w:szCs w:val="24"/>
          <w:lang w:val="en-US" w:eastAsia="zh-CN"/>
        </w:rPr>
        <w:t>2</w:t>
      </w:r>
      <w:r>
        <w:rPr>
          <w:rFonts w:hint="eastAsia" w:ascii="宋体" w:hAnsi="宋体"/>
          <w:sz w:val="24"/>
          <w:szCs w:val="24"/>
        </w:rPr>
        <w:t>Abs（0 ~ 0.5A）</w:t>
      </w:r>
      <w:r>
        <w:rPr>
          <w:rFonts w:hint="eastAsia" w:ascii="宋体" w:hAnsi="宋体"/>
          <w:sz w:val="24"/>
          <w:szCs w:val="24"/>
          <w:lang w:val="en-US" w:eastAsia="zh-CN"/>
        </w:rPr>
        <w:t>;</w:t>
      </w:r>
      <w:r>
        <w:rPr>
          <w:rFonts w:hint="eastAsia" w:ascii="宋体" w:hAnsi="宋体"/>
          <w:sz w:val="24"/>
          <w:szCs w:val="24"/>
        </w:rPr>
        <w:t>±0.00</w:t>
      </w:r>
      <w:r>
        <w:rPr>
          <w:rFonts w:hint="eastAsia" w:ascii="宋体" w:hAnsi="宋体"/>
          <w:sz w:val="24"/>
          <w:szCs w:val="24"/>
          <w:lang w:val="en-US" w:eastAsia="zh-CN"/>
        </w:rPr>
        <w:t>4</w:t>
      </w:r>
      <w:r>
        <w:rPr>
          <w:rFonts w:hint="eastAsia" w:ascii="宋体" w:hAnsi="宋体"/>
          <w:sz w:val="24"/>
          <w:szCs w:val="24"/>
        </w:rPr>
        <w:t>Abs（0.5 ~ 1A）</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灯切换方式</w:t>
      </w:r>
      <w:r>
        <w:rPr>
          <w:rFonts w:hint="default" w:ascii="宋体" w:hAnsi="宋体"/>
          <w:sz w:val="24"/>
          <w:szCs w:val="24"/>
          <w:lang w:eastAsia="zh-CN"/>
        </w:rPr>
        <w:t>：</w:t>
      </w:r>
      <w:r>
        <w:rPr>
          <w:rFonts w:hint="eastAsia" w:ascii="宋体" w:hAnsi="宋体"/>
          <w:sz w:val="24"/>
          <w:szCs w:val="24"/>
          <w:lang w:val="en-US" w:eastAsia="zh-CN"/>
        </w:rPr>
        <w:t>自动，340nm（可随意设置）</w:t>
      </w:r>
    </w:p>
    <w:p>
      <w:pPr>
        <w:snapToGrid w:val="0"/>
        <w:spacing w:line="480" w:lineRule="exact"/>
        <w:contextualSpacing/>
        <w:rPr>
          <w:rFonts w:hint="default" w:ascii="宋体" w:hAnsi="宋体"/>
          <w:sz w:val="24"/>
          <w:szCs w:val="24"/>
          <w:lang w:val="en-US" w:eastAsia="zh-CN"/>
        </w:rPr>
      </w:pPr>
      <w:r>
        <w:rPr>
          <w:rFonts w:hint="eastAsia" w:ascii="宋体" w:hAnsi="宋体"/>
          <w:sz w:val="24"/>
          <w:szCs w:val="24"/>
          <w:lang w:val="en-US" w:eastAsia="zh-CN"/>
        </w:rPr>
        <w:t>稳定性</w:t>
      </w:r>
      <w:r>
        <w:rPr>
          <w:rFonts w:hint="default" w:ascii="宋体" w:hAnsi="宋体"/>
          <w:sz w:val="24"/>
          <w:szCs w:val="24"/>
          <w:lang w:eastAsia="zh-CN"/>
        </w:rPr>
        <w:t>：</w:t>
      </w:r>
      <w:r>
        <w:rPr>
          <w:rFonts w:hint="eastAsia" w:ascii="宋体" w:hAnsi="宋体"/>
          <w:sz w:val="24"/>
          <w:szCs w:val="24"/>
          <w:lang w:val="en-US" w:eastAsia="zh-CN"/>
        </w:rPr>
        <w:t>0.001A(500nm，3min）</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噪音</w:t>
      </w:r>
      <w:r>
        <w:rPr>
          <w:rFonts w:hint="default" w:ascii="宋体" w:hAnsi="宋体"/>
          <w:sz w:val="24"/>
          <w:szCs w:val="24"/>
          <w:lang w:eastAsia="zh-CN"/>
        </w:rPr>
        <w:t>：</w:t>
      </w:r>
      <w:r>
        <w:rPr>
          <w:rFonts w:hint="eastAsia" w:ascii="宋体" w:hAnsi="宋体"/>
          <w:sz w:val="24"/>
          <w:szCs w:val="24"/>
          <w:lang w:val="en-US" w:eastAsia="zh-CN"/>
        </w:rPr>
        <w:t>0.15T%</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二、</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pStyle w:val="10"/>
        <w:spacing w:line="460" w:lineRule="exact"/>
        <w:rPr>
          <w:rFonts w:hint="eastAsia" w:ascii="华文中宋" w:hAnsi="华文中宋" w:eastAsia="华文中宋"/>
          <w:b/>
          <w:bCs/>
          <w:sz w:val="10"/>
          <w:lang w:val="en-US" w:eastAsia="zh-CN"/>
        </w:rPr>
      </w:pPr>
      <w:r>
        <w:rPr>
          <w:rFonts w:hint="eastAsia" w:ascii="华文中宋" w:hAnsi="华文中宋" w:eastAsia="华文中宋"/>
          <w:b/>
          <w:bCs/>
          <w:sz w:val="10"/>
          <w:lang w:val="en-US" w:eastAsia="zh-CN"/>
        </w:rPr>
        <w:t xml:space="preserve"> </w:t>
      </w:r>
    </w:p>
    <w:p>
      <w:pPr>
        <w:snapToGrid w:val="0"/>
        <w:spacing w:line="480" w:lineRule="exact"/>
        <w:contextualSpacing/>
        <w:jc w:val="center"/>
        <w:rPr>
          <w:rFonts w:hint="eastAsia" w:ascii="宋体" w:hAnsi="宋体"/>
          <w:b/>
          <w:bCs/>
          <w:sz w:val="32"/>
          <w:szCs w:val="32"/>
        </w:rPr>
      </w:pPr>
      <w:r>
        <w:rPr>
          <w:rFonts w:hint="eastAsia" w:ascii="宋体" w:hAnsi="宋体"/>
          <w:b/>
          <w:bCs/>
          <w:sz w:val="32"/>
          <w:szCs w:val="32"/>
        </w:rPr>
        <w:t>全自动化学发光免疫分析仪</w:t>
      </w:r>
    </w:p>
    <w:p>
      <w:pPr>
        <w:snapToGrid w:val="0"/>
        <w:spacing w:line="480" w:lineRule="exact"/>
        <w:contextualSpacing/>
        <w:rPr>
          <w:rFonts w:hint="default" w:ascii="宋体" w:hAnsi="宋体"/>
          <w:b/>
          <w:bCs/>
          <w:sz w:val="24"/>
          <w:szCs w:val="24"/>
          <w:lang w:val="en-US" w:eastAsia="zh-CN"/>
        </w:rPr>
      </w:pPr>
      <w:r>
        <w:rPr>
          <w:rFonts w:hint="eastAsia" w:ascii="宋体" w:hAnsi="宋体"/>
          <w:b/>
          <w:bCs/>
          <w:sz w:val="24"/>
          <w:szCs w:val="24"/>
          <w:lang w:val="en-US" w:eastAsia="zh-CN"/>
        </w:rPr>
        <w:t>一、技术参数</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ab/>
      </w:r>
      <w:r>
        <w:rPr>
          <w:rFonts w:hint="eastAsia" w:ascii="宋体" w:hAnsi="宋体"/>
          <w:sz w:val="24"/>
          <w:szCs w:val="24"/>
        </w:rPr>
        <w:t>检测速度</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240T/h</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ab/>
      </w:r>
      <w:r>
        <w:rPr>
          <w:rFonts w:hint="eastAsia" w:ascii="宋体" w:hAnsi="宋体"/>
          <w:sz w:val="24"/>
          <w:szCs w:val="24"/>
        </w:rPr>
        <w:t>样本传输</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转盘式（无限制添加）</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流水线拓展</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可拓展第四代柔性轨道流水线，最多支持拓展20台仪器</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自动配液系统</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可连接自动配制洗液系统，配液速度≥60L/H</w:t>
      </w:r>
    </w:p>
    <w:p>
      <w:pPr>
        <w:snapToGrid w:val="0"/>
        <w:spacing w:line="480" w:lineRule="exact"/>
        <w:contextualSpacing/>
        <w:rPr>
          <w:rFonts w:hint="eastAsia" w:ascii="宋体" w:hAnsi="宋体"/>
          <w:sz w:val="24"/>
          <w:szCs w:val="24"/>
        </w:rPr>
      </w:pPr>
      <w:r>
        <w:rPr>
          <w:rFonts w:hint="eastAsia" w:ascii="宋体" w:hAnsi="宋体"/>
          <w:sz w:val="24"/>
          <w:szCs w:val="24"/>
        </w:rPr>
        <w:t>支持1-6台全自动化学发光免疫分析仪同时连接</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智能医疗信息管理系统</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可连接智能医疗信息管理系统：</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支持数据管理：数据海量管理、精准分析，数据异常提示，可视化管理，提升效率；</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支持仪器管理：仪器实时监控，信息远程同步，异常智能报警，图形多元显示；</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配置方式</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支持台式/柜式配置</w:t>
      </w:r>
    </w:p>
    <w:p>
      <w:pPr>
        <w:snapToGrid w:val="0"/>
        <w:spacing w:line="480" w:lineRule="exact"/>
        <w:contextualSpacing/>
        <w:rPr>
          <w:rFonts w:hint="eastAsia" w:ascii="宋体" w:hAnsi="宋体"/>
          <w:sz w:val="24"/>
          <w:szCs w:val="24"/>
        </w:rPr>
      </w:pPr>
      <w:r>
        <w:rPr>
          <w:rFonts w:hint="eastAsia" w:ascii="宋体" w:hAnsi="宋体"/>
          <w:sz w:val="24"/>
          <w:szCs w:val="24"/>
        </w:rPr>
        <w:t>9</w:t>
      </w:r>
      <w:r>
        <w:rPr>
          <w:rFonts w:hint="eastAsia" w:ascii="宋体" w:hAnsi="宋体"/>
          <w:sz w:val="24"/>
          <w:szCs w:val="24"/>
        </w:rPr>
        <w:tab/>
      </w:r>
      <w:r>
        <w:rPr>
          <w:rFonts w:hint="eastAsia" w:ascii="宋体" w:hAnsi="宋体"/>
          <w:sz w:val="24"/>
          <w:szCs w:val="24"/>
        </w:rPr>
        <w:t>加样针及交叉污染</w:t>
      </w:r>
      <w:r>
        <w:rPr>
          <w:rFonts w:hint="eastAsia" w:ascii="宋体" w:hAnsi="宋体"/>
          <w:sz w:val="24"/>
          <w:szCs w:val="24"/>
        </w:rPr>
        <w:tab/>
      </w:r>
      <w:r>
        <w:rPr>
          <w:rFonts w:hint="eastAsia" w:ascii="宋体" w:hAnsi="宋体"/>
          <w:sz w:val="24"/>
          <w:szCs w:val="24"/>
        </w:rPr>
        <w:t>钢针加样，具备凝块和液面探测功能，交叉污染 ≦10-6</w:t>
      </w:r>
    </w:p>
    <w:p>
      <w:pPr>
        <w:snapToGrid w:val="0"/>
        <w:spacing w:line="480" w:lineRule="exact"/>
        <w:contextualSpacing/>
        <w:rPr>
          <w:rFonts w:hint="eastAsia" w:ascii="宋体" w:hAnsi="宋体"/>
          <w:sz w:val="24"/>
          <w:szCs w:val="24"/>
        </w:rPr>
      </w:pPr>
      <w:r>
        <w:rPr>
          <w:rFonts w:hint="eastAsia" w:ascii="宋体" w:hAnsi="宋体"/>
          <w:sz w:val="24"/>
          <w:szCs w:val="24"/>
        </w:rPr>
        <w:t>10</w:t>
      </w:r>
      <w:r>
        <w:rPr>
          <w:rFonts w:hint="eastAsia" w:ascii="宋体" w:hAnsi="宋体"/>
          <w:sz w:val="24"/>
          <w:szCs w:val="24"/>
        </w:rPr>
        <w:tab/>
      </w:r>
      <w:r>
        <w:rPr>
          <w:rFonts w:hint="eastAsia" w:ascii="宋体" w:hAnsi="宋体"/>
          <w:sz w:val="24"/>
          <w:szCs w:val="24"/>
        </w:rPr>
        <w:t>防撞功能</w:t>
      </w:r>
      <w:r>
        <w:rPr>
          <w:rFonts w:hint="eastAsia" w:ascii="宋体" w:hAnsi="宋体"/>
          <w:sz w:val="24"/>
          <w:szCs w:val="24"/>
        </w:rPr>
        <w:tab/>
      </w:r>
      <w:r>
        <w:rPr>
          <w:rFonts w:hint="eastAsia" w:ascii="宋体" w:hAnsi="宋体"/>
          <w:sz w:val="24"/>
          <w:szCs w:val="24"/>
        </w:rPr>
        <w:t>试剂和样本针具备立体防撞功能</w:t>
      </w:r>
    </w:p>
    <w:p>
      <w:pPr>
        <w:snapToGrid w:val="0"/>
        <w:spacing w:line="480" w:lineRule="exact"/>
        <w:contextualSpacing/>
        <w:rPr>
          <w:rFonts w:hint="eastAsia" w:ascii="宋体" w:hAnsi="宋体"/>
          <w:sz w:val="24"/>
          <w:szCs w:val="24"/>
        </w:rPr>
      </w:pPr>
      <w:r>
        <w:rPr>
          <w:rFonts w:hint="eastAsia" w:ascii="宋体" w:hAnsi="宋体"/>
          <w:sz w:val="24"/>
          <w:szCs w:val="24"/>
        </w:rPr>
        <w:t>11</w:t>
      </w:r>
      <w:r>
        <w:rPr>
          <w:rFonts w:hint="eastAsia" w:ascii="宋体" w:hAnsi="宋体"/>
          <w:sz w:val="24"/>
          <w:szCs w:val="24"/>
        </w:rPr>
        <w:tab/>
      </w:r>
      <w:r>
        <w:rPr>
          <w:rFonts w:hint="eastAsia" w:ascii="宋体" w:hAnsi="宋体"/>
          <w:sz w:val="24"/>
          <w:szCs w:val="24"/>
        </w:rPr>
        <w:t>清洗模块</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清洗针堵针报警，主动排废液</w:t>
      </w:r>
    </w:p>
    <w:p>
      <w:pPr>
        <w:snapToGrid w:val="0"/>
        <w:spacing w:line="480" w:lineRule="exact"/>
        <w:contextualSpacing/>
        <w:rPr>
          <w:rFonts w:hint="eastAsia" w:ascii="宋体" w:hAnsi="宋体"/>
          <w:sz w:val="24"/>
          <w:szCs w:val="24"/>
        </w:rPr>
      </w:pPr>
      <w:r>
        <w:rPr>
          <w:rFonts w:hint="eastAsia" w:ascii="宋体" w:hAnsi="宋体"/>
          <w:sz w:val="24"/>
          <w:szCs w:val="24"/>
        </w:rPr>
        <w:t>12</w:t>
      </w:r>
      <w:r>
        <w:rPr>
          <w:rFonts w:hint="eastAsia" w:ascii="宋体" w:hAnsi="宋体"/>
          <w:sz w:val="24"/>
          <w:szCs w:val="24"/>
        </w:rPr>
        <w:tab/>
      </w:r>
      <w:r>
        <w:rPr>
          <w:rFonts w:hint="eastAsia" w:ascii="宋体" w:hAnsi="宋体"/>
          <w:sz w:val="24"/>
          <w:szCs w:val="24"/>
        </w:rPr>
        <w:t>样本位</w:t>
      </w:r>
      <w:r>
        <w:rPr>
          <w:rFonts w:hint="eastAsia" w:ascii="宋体" w:hAnsi="宋体"/>
          <w:sz w:val="24"/>
          <w:szCs w:val="24"/>
        </w:rPr>
        <w:tab/>
      </w:r>
      <w:r>
        <w:rPr>
          <w:rFonts w:hint="eastAsia" w:ascii="宋体" w:hAnsi="宋体"/>
          <w:sz w:val="24"/>
          <w:szCs w:val="24"/>
        </w:rPr>
        <w:t>60，可随时添加。具备随机、急诊、批处理模式</w:t>
      </w:r>
    </w:p>
    <w:p>
      <w:pPr>
        <w:snapToGrid w:val="0"/>
        <w:spacing w:line="480" w:lineRule="exact"/>
        <w:contextualSpacing/>
        <w:rPr>
          <w:rFonts w:hint="eastAsia" w:ascii="宋体" w:hAnsi="宋体"/>
          <w:sz w:val="24"/>
          <w:szCs w:val="24"/>
        </w:rPr>
      </w:pPr>
      <w:r>
        <w:rPr>
          <w:rFonts w:hint="eastAsia" w:ascii="宋体" w:hAnsi="宋体"/>
          <w:sz w:val="24"/>
          <w:szCs w:val="24"/>
        </w:rPr>
        <w:t>13</w:t>
      </w:r>
      <w:r>
        <w:rPr>
          <w:rFonts w:hint="eastAsia" w:ascii="宋体" w:hAnsi="宋体"/>
          <w:sz w:val="24"/>
          <w:szCs w:val="24"/>
        </w:rPr>
        <w:tab/>
      </w:r>
      <w:r>
        <w:rPr>
          <w:rFonts w:hint="eastAsia" w:ascii="宋体" w:hAnsi="宋体"/>
          <w:sz w:val="24"/>
          <w:szCs w:val="24"/>
        </w:rPr>
        <w:t>试剂位</w:t>
      </w:r>
      <w:r>
        <w:rPr>
          <w:rFonts w:hint="eastAsia" w:ascii="宋体" w:hAnsi="宋体"/>
          <w:sz w:val="24"/>
          <w:szCs w:val="24"/>
        </w:rPr>
        <w:tab/>
      </w:r>
      <w:r>
        <w:rPr>
          <w:rFonts w:hint="eastAsia" w:ascii="宋体" w:hAnsi="宋体"/>
          <w:sz w:val="24"/>
          <w:szCs w:val="24"/>
        </w:rPr>
        <w:t>18组，具备冷藏功能</w:t>
      </w:r>
    </w:p>
    <w:p>
      <w:pPr>
        <w:snapToGrid w:val="0"/>
        <w:spacing w:line="480" w:lineRule="exact"/>
        <w:contextualSpacing/>
        <w:rPr>
          <w:rFonts w:hint="eastAsia" w:ascii="宋体" w:hAnsi="宋体"/>
          <w:sz w:val="24"/>
          <w:szCs w:val="24"/>
        </w:rPr>
      </w:pPr>
      <w:r>
        <w:rPr>
          <w:rFonts w:hint="eastAsia" w:ascii="宋体" w:hAnsi="宋体"/>
          <w:sz w:val="24"/>
          <w:szCs w:val="24"/>
        </w:rPr>
        <w:t>14</w:t>
      </w:r>
      <w:r>
        <w:rPr>
          <w:rFonts w:hint="eastAsia" w:ascii="宋体" w:hAnsi="宋体"/>
          <w:sz w:val="24"/>
          <w:szCs w:val="24"/>
        </w:rPr>
        <w:tab/>
      </w:r>
      <w:r>
        <w:rPr>
          <w:rFonts w:hint="eastAsia" w:ascii="宋体" w:hAnsi="宋体"/>
          <w:sz w:val="24"/>
          <w:szCs w:val="24"/>
        </w:rPr>
        <w:t>反应杯孵育位</w:t>
      </w:r>
      <w:r>
        <w:rPr>
          <w:rFonts w:hint="eastAsia" w:ascii="宋体" w:hAnsi="宋体"/>
          <w:sz w:val="24"/>
          <w:szCs w:val="24"/>
        </w:rPr>
        <w:tab/>
      </w:r>
      <w:r>
        <w:rPr>
          <w:rFonts w:hint="eastAsia" w:ascii="宋体" w:hAnsi="宋体"/>
          <w:sz w:val="24"/>
          <w:szCs w:val="24"/>
        </w:rPr>
        <w:t>90个</w:t>
      </w:r>
    </w:p>
    <w:p>
      <w:pPr>
        <w:snapToGrid w:val="0"/>
        <w:spacing w:line="480" w:lineRule="exact"/>
        <w:contextualSpacing/>
        <w:rPr>
          <w:rFonts w:hint="eastAsia" w:ascii="宋体" w:hAnsi="宋体"/>
          <w:sz w:val="24"/>
          <w:szCs w:val="24"/>
        </w:rPr>
      </w:pPr>
      <w:r>
        <w:rPr>
          <w:rFonts w:hint="eastAsia" w:ascii="宋体" w:hAnsi="宋体"/>
          <w:sz w:val="24"/>
          <w:szCs w:val="24"/>
        </w:rPr>
        <w:t>15</w:t>
      </w:r>
      <w:r>
        <w:rPr>
          <w:rFonts w:hint="eastAsia" w:ascii="宋体" w:hAnsi="宋体"/>
          <w:sz w:val="24"/>
          <w:szCs w:val="24"/>
        </w:rPr>
        <w:tab/>
      </w:r>
      <w:r>
        <w:rPr>
          <w:rFonts w:hint="eastAsia" w:ascii="宋体" w:hAnsi="宋体"/>
          <w:sz w:val="24"/>
          <w:szCs w:val="24"/>
        </w:rPr>
        <w:t>孵育温控精度</w:t>
      </w:r>
      <w:r>
        <w:rPr>
          <w:rFonts w:hint="eastAsia" w:ascii="宋体" w:hAnsi="宋体"/>
          <w:sz w:val="24"/>
          <w:szCs w:val="24"/>
        </w:rPr>
        <w:tab/>
      </w:r>
      <w:r>
        <w:rPr>
          <w:rFonts w:hint="eastAsia" w:ascii="宋体" w:hAnsi="宋体"/>
          <w:sz w:val="24"/>
          <w:szCs w:val="24"/>
        </w:rPr>
        <w:t>37℃±0.5℃</w:t>
      </w:r>
    </w:p>
    <w:p>
      <w:pPr>
        <w:snapToGrid w:val="0"/>
        <w:spacing w:line="480" w:lineRule="exact"/>
        <w:contextualSpacing/>
        <w:rPr>
          <w:rFonts w:hint="eastAsia" w:ascii="宋体" w:hAnsi="宋体"/>
          <w:sz w:val="24"/>
          <w:szCs w:val="24"/>
        </w:rPr>
      </w:pPr>
      <w:r>
        <w:rPr>
          <w:rFonts w:hint="eastAsia" w:ascii="宋体" w:hAnsi="宋体"/>
          <w:sz w:val="24"/>
          <w:szCs w:val="24"/>
        </w:rPr>
        <w:t>16</w:t>
      </w:r>
      <w:r>
        <w:rPr>
          <w:rFonts w:hint="eastAsia" w:ascii="宋体" w:hAnsi="宋体"/>
          <w:sz w:val="24"/>
          <w:szCs w:val="24"/>
        </w:rPr>
        <w:tab/>
      </w:r>
      <w:r>
        <w:rPr>
          <w:rFonts w:hint="eastAsia" w:ascii="宋体" w:hAnsi="宋体"/>
          <w:sz w:val="24"/>
          <w:szCs w:val="24"/>
        </w:rPr>
        <w:t>首报告时间</w:t>
      </w:r>
      <w:r>
        <w:rPr>
          <w:rFonts w:hint="eastAsia" w:ascii="宋体" w:hAnsi="宋体"/>
          <w:sz w:val="24"/>
          <w:szCs w:val="24"/>
        </w:rPr>
        <w:tab/>
      </w:r>
      <w:r>
        <w:rPr>
          <w:rFonts w:hint="eastAsia" w:ascii="宋体" w:hAnsi="宋体"/>
          <w:sz w:val="24"/>
          <w:szCs w:val="24"/>
        </w:rPr>
        <w:t>10分钟</w:t>
      </w:r>
    </w:p>
    <w:p>
      <w:pPr>
        <w:snapToGrid w:val="0"/>
        <w:spacing w:line="480" w:lineRule="exact"/>
        <w:contextualSpacing/>
        <w:rPr>
          <w:rFonts w:hint="eastAsia" w:ascii="宋体" w:hAnsi="宋体"/>
          <w:sz w:val="24"/>
          <w:szCs w:val="24"/>
        </w:rPr>
      </w:pPr>
      <w:r>
        <w:rPr>
          <w:rFonts w:hint="eastAsia" w:ascii="宋体" w:hAnsi="宋体"/>
          <w:sz w:val="24"/>
          <w:szCs w:val="24"/>
        </w:rPr>
        <w:t>17</w:t>
      </w:r>
      <w:r>
        <w:rPr>
          <w:rFonts w:hint="eastAsia" w:ascii="宋体" w:hAnsi="宋体"/>
          <w:sz w:val="24"/>
          <w:szCs w:val="24"/>
        </w:rPr>
        <w:tab/>
      </w:r>
      <w:r>
        <w:rPr>
          <w:rFonts w:hint="eastAsia" w:ascii="宋体" w:hAnsi="宋体"/>
          <w:sz w:val="24"/>
          <w:szCs w:val="24"/>
        </w:rPr>
        <w:t>样本量</w:t>
      </w:r>
      <w:r>
        <w:rPr>
          <w:rFonts w:hint="eastAsia" w:ascii="宋体" w:hAnsi="宋体"/>
          <w:sz w:val="24"/>
          <w:szCs w:val="24"/>
        </w:rPr>
        <w:tab/>
      </w:r>
      <w:r>
        <w:rPr>
          <w:rFonts w:hint="eastAsia" w:ascii="宋体" w:hAnsi="宋体"/>
          <w:sz w:val="24"/>
          <w:szCs w:val="24"/>
        </w:rPr>
        <w:t>10-100 μl</w:t>
      </w:r>
    </w:p>
    <w:p>
      <w:pPr>
        <w:snapToGrid w:val="0"/>
        <w:spacing w:line="480" w:lineRule="exact"/>
        <w:contextualSpacing/>
        <w:rPr>
          <w:rFonts w:hint="eastAsia" w:ascii="宋体" w:hAnsi="宋体"/>
          <w:sz w:val="24"/>
          <w:szCs w:val="24"/>
        </w:rPr>
      </w:pPr>
      <w:r>
        <w:rPr>
          <w:rFonts w:hint="eastAsia" w:ascii="宋体" w:hAnsi="宋体"/>
          <w:sz w:val="24"/>
          <w:szCs w:val="24"/>
        </w:rPr>
        <w:t>18</w:t>
      </w:r>
      <w:r>
        <w:rPr>
          <w:rFonts w:hint="eastAsia" w:ascii="宋体" w:hAnsi="宋体"/>
          <w:sz w:val="24"/>
          <w:szCs w:val="24"/>
        </w:rPr>
        <w:tab/>
      </w:r>
      <w:r>
        <w:rPr>
          <w:rFonts w:hint="eastAsia" w:ascii="宋体" w:hAnsi="宋体"/>
          <w:sz w:val="24"/>
          <w:szCs w:val="24"/>
        </w:rPr>
        <w:t>标本类型</w:t>
      </w:r>
      <w:r>
        <w:rPr>
          <w:rFonts w:hint="eastAsia" w:ascii="宋体" w:hAnsi="宋体"/>
          <w:sz w:val="24"/>
          <w:szCs w:val="24"/>
        </w:rPr>
        <w:tab/>
      </w:r>
      <w:r>
        <w:rPr>
          <w:rFonts w:hint="eastAsia" w:ascii="宋体" w:hAnsi="宋体"/>
          <w:sz w:val="24"/>
          <w:szCs w:val="24"/>
        </w:rPr>
        <w:t>血清、血浆</w:t>
      </w:r>
    </w:p>
    <w:p>
      <w:pPr>
        <w:snapToGrid w:val="0"/>
        <w:spacing w:line="480" w:lineRule="exact"/>
        <w:contextualSpacing/>
        <w:rPr>
          <w:rFonts w:hint="eastAsia" w:ascii="宋体" w:hAnsi="宋体"/>
          <w:sz w:val="24"/>
          <w:szCs w:val="24"/>
        </w:rPr>
      </w:pPr>
      <w:r>
        <w:rPr>
          <w:rFonts w:hint="eastAsia" w:ascii="宋体" w:hAnsi="宋体"/>
          <w:sz w:val="24"/>
          <w:szCs w:val="24"/>
        </w:rPr>
        <w:t>19</w:t>
      </w:r>
      <w:r>
        <w:rPr>
          <w:rFonts w:hint="eastAsia" w:ascii="宋体" w:hAnsi="宋体"/>
          <w:sz w:val="24"/>
          <w:szCs w:val="24"/>
        </w:rPr>
        <w:tab/>
      </w:r>
      <w:r>
        <w:rPr>
          <w:rFonts w:hint="eastAsia" w:ascii="宋体" w:hAnsi="宋体"/>
          <w:sz w:val="24"/>
          <w:szCs w:val="24"/>
        </w:rPr>
        <w:t>整体携带污染率</w:t>
      </w:r>
      <w:r>
        <w:rPr>
          <w:rFonts w:hint="eastAsia" w:ascii="宋体" w:hAnsi="宋体"/>
          <w:sz w:val="24"/>
          <w:szCs w:val="24"/>
        </w:rPr>
        <w:tab/>
      </w:r>
      <w:r>
        <w:rPr>
          <w:rFonts w:hint="eastAsia" w:ascii="宋体" w:hAnsi="宋体"/>
          <w:sz w:val="24"/>
          <w:szCs w:val="24"/>
        </w:rPr>
        <w:t>污染≦10-6</w:t>
      </w:r>
      <w:r>
        <w:rPr>
          <w:rFonts w:hint="eastAsia" w:ascii="宋体" w:hAnsi="宋体"/>
          <w:sz w:val="24"/>
          <w:szCs w:val="24"/>
        </w:rPr>
        <w:tab/>
      </w:r>
    </w:p>
    <w:p>
      <w:pPr>
        <w:snapToGrid w:val="0"/>
        <w:spacing w:line="480" w:lineRule="exact"/>
        <w:contextualSpacing/>
        <w:rPr>
          <w:rFonts w:hint="eastAsia" w:ascii="宋体" w:hAnsi="宋体"/>
          <w:sz w:val="24"/>
          <w:szCs w:val="24"/>
        </w:rPr>
      </w:pPr>
      <w:r>
        <w:rPr>
          <w:rFonts w:hint="eastAsia" w:ascii="宋体" w:hAnsi="宋体"/>
          <w:sz w:val="24"/>
          <w:szCs w:val="24"/>
        </w:rPr>
        <w:t>20</w:t>
      </w:r>
      <w:r>
        <w:rPr>
          <w:rFonts w:hint="eastAsia" w:ascii="宋体" w:hAnsi="宋体"/>
          <w:sz w:val="24"/>
          <w:szCs w:val="24"/>
        </w:rPr>
        <w:tab/>
      </w:r>
      <w:r>
        <w:rPr>
          <w:rFonts w:hint="eastAsia" w:ascii="宋体" w:hAnsi="宋体"/>
          <w:sz w:val="24"/>
          <w:szCs w:val="24"/>
        </w:rPr>
        <w:t>试剂在机有效期</w:t>
      </w:r>
      <w:r>
        <w:rPr>
          <w:rFonts w:hint="eastAsia" w:ascii="宋体" w:hAnsi="宋体"/>
          <w:sz w:val="24"/>
          <w:szCs w:val="24"/>
        </w:rPr>
        <w:tab/>
      </w:r>
      <w:r>
        <w:rPr>
          <w:rFonts w:hint="eastAsia" w:ascii="宋体" w:hAnsi="宋体"/>
          <w:sz w:val="24"/>
          <w:szCs w:val="24"/>
        </w:rPr>
        <w:t>30天</w:t>
      </w:r>
    </w:p>
    <w:p>
      <w:pPr>
        <w:snapToGrid w:val="0"/>
        <w:spacing w:line="480" w:lineRule="exact"/>
        <w:contextualSpacing/>
        <w:rPr>
          <w:rFonts w:hint="eastAsia" w:ascii="宋体" w:hAnsi="宋体"/>
          <w:sz w:val="24"/>
          <w:szCs w:val="24"/>
        </w:rPr>
      </w:pPr>
      <w:r>
        <w:rPr>
          <w:rFonts w:hint="eastAsia" w:ascii="宋体" w:hAnsi="宋体"/>
          <w:sz w:val="24"/>
          <w:szCs w:val="24"/>
        </w:rPr>
        <w:t>21</w:t>
      </w:r>
      <w:r>
        <w:rPr>
          <w:rFonts w:hint="eastAsia" w:ascii="宋体" w:hAnsi="宋体"/>
          <w:sz w:val="24"/>
          <w:szCs w:val="24"/>
        </w:rPr>
        <w:tab/>
      </w:r>
      <w:r>
        <w:rPr>
          <w:rFonts w:hint="eastAsia" w:ascii="宋体" w:hAnsi="宋体"/>
          <w:sz w:val="24"/>
          <w:szCs w:val="24"/>
        </w:rPr>
        <w:t>外观尺寸重量</w:t>
      </w:r>
      <w:r>
        <w:rPr>
          <w:rFonts w:hint="eastAsia" w:ascii="宋体" w:hAnsi="宋体"/>
          <w:sz w:val="24"/>
          <w:szCs w:val="24"/>
        </w:rPr>
        <w:tab/>
      </w:r>
      <w:r>
        <w:rPr>
          <w:rFonts w:hint="eastAsia" w:ascii="宋体" w:hAnsi="宋体"/>
          <w:sz w:val="24"/>
          <w:szCs w:val="24"/>
        </w:rPr>
        <w:t>1208 mm×684 mm×708 mm（长×宽×高），150kg</w:t>
      </w:r>
    </w:p>
    <w:p>
      <w:pPr>
        <w:snapToGrid w:val="0"/>
        <w:spacing w:line="480" w:lineRule="exact"/>
        <w:contextualSpacing/>
        <w:rPr>
          <w:rFonts w:hint="eastAsia" w:ascii="宋体" w:hAnsi="宋体"/>
          <w:sz w:val="24"/>
          <w:szCs w:val="24"/>
        </w:rPr>
      </w:pPr>
      <w:r>
        <w:rPr>
          <w:rFonts w:hint="eastAsia" w:ascii="宋体" w:hAnsi="宋体"/>
          <w:sz w:val="24"/>
          <w:szCs w:val="24"/>
        </w:rPr>
        <w:t>22</w:t>
      </w:r>
      <w:r>
        <w:rPr>
          <w:rFonts w:hint="eastAsia" w:ascii="宋体" w:hAnsi="宋体"/>
          <w:sz w:val="24"/>
          <w:szCs w:val="24"/>
        </w:rPr>
        <w:tab/>
      </w:r>
      <w:r>
        <w:rPr>
          <w:rFonts w:hint="eastAsia" w:ascii="宋体" w:hAnsi="宋体"/>
          <w:sz w:val="24"/>
          <w:szCs w:val="24"/>
        </w:rPr>
        <w:t>新冠病毒(2019-nCoV)</w:t>
      </w:r>
    </w:p>
    <w:p>
      <w:pPr>
        <w:snapToGrid w:val="0"/>
        <w:spacing w:line="480" w:lineRule="exact"/>
        <w:contextualSpacing/>
        <w:rPr>
          <w:rFonts w:hint="eastAsia" w:ascii="宋体" w:hAnsi="宋体"/>
          <w:sz w:val="24"/>
          <w:szCs w:val="24"/>
          <w:lang w:eastAsia="zh-CN"/>
        </w:rPr>
      </w:pPr>
      <w:r>
        <w:rPr>
          <w:rFonts w:hint="eastAsia" w:ascii="宋体" w:hAnsi="宋体"/>
          <w:sz w:val="24"/>
          <w:szCs w:val="24"/>
        </w:rPr>
        <w:t>室间质评</w:t>
      </w:r>
      <w:r>
        <w:rPr>
          <w:rFonts w:hint="eastAsia" w:ascii="宋体" w:hAnsi="宋体"/>
          <w:sz w:val="24"/>
          <w:szCs w:val="24"/>
          <w:lang w:eastAsia="zh-CN"/>
        </w:rPr>
        <w:t>★</w:t>
      </w:r>
      <w:r>
        <w:rPr>
          <w:rFonts w:hint="eastAsia" w:ascii="宋体" w:hAnsi="宋体"/>
          <w:sz w:val="24"/>
          <w:szCs w:val="24"/>
        </w:rPr>
        <w:t>：新冠病毒（2019-nCoV) IgG抗体检测试剂获得2020年度国家临检中心室间质评合格证书</w:t>
      </w:r>
      <w:r>
        <w:rPr>
          <w:rFonts w:hint="eastAsia" w:ascii="宋体" w:hAnsi="宋体"/>
          <w:sz w:val="24"/>
          <w:szCs w:val="24"/>
          <w:lang w:eastAsia="zh-CN"/>
        </w:rPr>
        <w:t>：</w:t>
      </w:r>
    </w:p>
    <w:p>
      <w:pPr>
        <w:snapToGrid w:val="0"/>
        <w:spacing w:line="480" w:lineRule="exact"/>
        <w:contextualSpacing/>
        <w:rPr>
          <w:rFonts w:hint="eastAsia" w:ascii="宋体" w:hAnsi="宋体" w:eastAsia="宋体"/>
          <w:sz w:val="24"/>
          <w:szCs w:val="24"/>
          <w:lang w:eastAsia="zh-CN"/>
        </w:rPr>
      </w:pPr>
      <w:r>
        <w:rPr>
          <w:rFonts w:hint="eastAsia" w:ascii="宋体" w:hAnsi="宋体"/>
          <w:sz w:val="24"/>
          <w:szCs w:val="24"/>
        </w:rPr>
        <w:t>磁微粒化学发光法</w:t>
      </w:r>
      <w:r>
        <w:rPr>
          <w:rFonts w:hint="eastAsia" w:ascii="宋体" w:hAnsi="宋体"/>
          <w:sz w:val="24"/>
          <w:szCs w:val="24"/>
          <w:lang w:eastAsia="zh-CN"/>
        </w:rPr>
        <w:t>★</w:t>
      </w:r>
    </w:p>
    <w:p>
      <w:pPr>
        <w:snapToGrid w:val="0"/>
        <w:spacing w:line="480" w:lineRule="exact"/>
        <w:contextualSpacing/>
        <w:rPr>
          <w:rFonts w:hint="eastAsia" w:ascii="宋体" w:hAnsi="宋体"/>
          <w:sz w:val="24"/>
          <w:szCs w:val="24"/>
        </w:rPr>
      </w:pPr>
      <w:r>
        <w:rPr>
          <w:rFonts w:hint="eastAsia" w:ascii="宋体" w:hAnsi="宋体"/>
          <w:sz w:val="24"/>
          <w:szCs w:val="24"/>
        </w:rPr>
        <w:t>反应原理：间接法</w:t>
      </w:r>
    </w:p>
    <w:p>
      <w:pPr>
        <w:snapToGrid w:val="0"/>
        <w:spacing w:line="480" w:lineRule="exact"/>
        <w:contextualSpacing/>
        <w:rPr>
          <w:rFonts w:hint="eastAsia" w:ascii="宋体" w:hAnsi="宋体"/>
          <w:sz w:val="24"/>
          <w:szCs w:val="24"/>
        </w:rPr>
      </w:pPr>
      <w:r>
        <w:rPr>
          <w:rFonts w:hint="eastAsia" w:ascii="宋体" w:hAnsi="宋体"/>
          <w:sz w:val="24"/>
          <w:szCs w:val="24"/>
        </w:rPr>
        <w:t>1、灵敏度高、稳定性高、重复性好、易于操作、全自动化程度高；</w:t>
      </w:r>
    </w:p>
    <w:p>
      <w:pPr>
        <w:snapToGrid w:val="0"/>
        <w:spacing w:line="480" w:lineRule="exact"/>
        <w:contextualSpacing/>
        <w:rPr>
          <w:rFonts w:hint="eastAsia" w:ascii="宋体" w:hAnsi="宋体"/>
          <w:sz w:val="24"/>
          <w:szCs w:val="24"/>
        </w:rPr>
      </w:pPr>
      <w:r>
        <w:rPr>
          <w:rFonts w:hint="eastAsia" w:ascii="宋体" w:hAnsi="宋体"/>
          <w:sz w:val="24"/>
          <w:szCs w:val="24"/>
        </w:rPr>
        <w:t>2、取样简单，样本为静脉血液样本，简便、快速、安全；</w:t>
      </w:r>
    </w:p>
    <w:p>
      <w:pPr>
        <w:snapToGrid w:val="0"/>
        <w:spacing w:line="480" w:lineRule="exact"/>
        <w:contextualSpacing/>
        <w:rPr>
          <w:rFonts w:hint="eastAsia" w:ascii="宋体" w:hAnsi="宋体"/>
          <w:sz w:val="24"/>
          <w:szCs w:val="24"/>
        </w:rPr>
      </w:pPr>
      <w:r>
        <w:rPr>
          <w:rFonts w:hint="eastAsia" w:ascii="宋体" w:hAnsi="宋体"/>
          <w:sz w:val="24"/>
          <w:szCs w:val="24"/>
        </w:rPr>
        <w:t>3、无实验室限制，可实现高通量大范围筛查；</w:t>
      </w:r>
    </w:p>
    <w:p>
      <w:pPr>
        <w:snapToGrid w:val="0"/>
        <w:spacing w:line="480" w:lineRule="exact"/>
        <w:contextualSpacing/>
        <w:rPr>
          <w:rFonts w:hint="eastAsia" w:ascii="宋体" w:hAnsi="宋体"/>
          <w:sz w:val="24"/>
          <w:szCs w:val="24"/>
        </w:rPr>
      </w:pPr>
      <w:r>
        <w:rPr>
          <w:rFonts w:hint="eastAsia" w:ascii="宋体" w:hAnsi="宋体"/>
          <w:sz w:val="24"/>
          <w:szCs w:val="24"/>
        </w:rPr>
        <w:t>精密性：批内CV≤8%，批间CV≤10%</w:t>
      </w:r>
    </w:p>
    <w:p>
      <w:pPr>
        <w:snapToGrid w:val="0"/>
        <w:spacing w:line="480" w:lineRule="exact"/>
        <w:contextualSpacing/>
        <w:rPr>
          <w:rFonts w:hint="eastAsia" w:ascii="宋体" w:hAnsi="宋体"/>
          <w:sz w:val="24"/>
          <w:szCs w:val="24"/>
        </w:rPr>
      </w:pPr>
      <w:r>
        <w:rPr>
          <w:rFonts w:hint="eastAsia" w:ascii="宋体" w:hAnsi="宋体"/>
          <w:sz w:val="24"/>
          <w:szCs w:val="24"/>
        </w:rPr>
        <w:t>最低检出限：</w:t>
      </w:r>
    </w:p>
    <w:p>
      <w:pPr>
        <w:snapToGrid w:val="0"/>
        <w:spacing w:line="480" w:lineRule="exact"/>
        <w:contextualSpacing/>
        <w:rPr>
          <w:rFonts w:hint="eastAsia" w:ascii="宋体" w:hAnsi="宋体"/>
          <w:sz w:val="24"/>
          <w:szCs w:val="24"/>
        </w:rPr>
      </w:pPr>
      <w:r>
        <w:rPr>
          <w:rFonts w:hint="eastAsia" w:ascii="宋体" w:hAnsi="宋体"/>
          <w:sz w:val="24"/>
          <w:szCs w:val="24"/>
        </w:rPr>
        <w:t>新冠病毒（2019-nCoV) IgM抗体检测试剂盒L1-L5检为阳性，L6-L10检为阴性；</w:t>
      </w:r>
    </w:p>
    <w:p>
      <w:pPr>
        <w:snapToGrid w:val="0"/>
        <w:spacing w:line="480" w:lineRule="exact"/>
        <w:contextualSpacing/>
        <w:rPr>
          <w:rFonts w:hint="eastAsia" w:ascii="宋体" w:hAnsi="宋体"/>
          <w:sz w:val="24"/>
          <w:szCs w:val="24"/>
        </w:rPr>
      </w:pPr>
      <w:r>
        <w:rPr>
          <w:rFonts w:hint="eastAsia" w:ascii="宋体" w:hAnsi="宋体"/>
          <w:sz w:val="24"/>
          <w:szCs w:val="24"/>
        </w:rPr>
        <w:t>新冠病毒（2019-nCoV) IgG抗体检测试剂盒L1-L6检出阳性，L7-L10检出阴性；</w:t>
      </w:r>
    </w:p>
    <w:p>
      <w:pPr>
        <w:snapToGrid w:val="0"/>
        <w:spacing w:line="480" w:lineRule="exact"/>
        <w:contextualSpacing/>
        <w:rPr>
          <w:rFonts w:hint="eastAsia" w:ascii="宋体" w:hAnsi="宋体"/>
          <w:sz w:val="24"/>
          <w:szCs w:val="24"/>
        </w:rPr>
      </w:pPr>
      <w:r>
        <w:rPr>
          <w:rFonts w:hint="eastAsia" w:ascii="宋体" w:hAnsi="宋体"/>
          <w:sz w:val="24"/>
          <w:szCs w:val="24"/>
        </w:rPr>
        <w:t>定标品：试剂盒配套定标品或阴性、阳性对照品，无需单独购买</w:t>
      </w:r>
    </w:p>
    <w:p>
      <w:pPr>
        <w:snapToGrid w:val="0"/>
        <w:spacing w:line="480" w:lineRule="exact"/>
        <w:contextualSpacing/>
        <w:rPr>
          <w:rFonts w:hint="eastAsia" w:ascii="宋体" w:hAnsi="宋体"/>
          <w:sz w:val="24"/>
          <w:szCs w:val="24"/>
        </w:rPr>
      </w:pPr>
      <w:r>
        <w:rPr>
          <w:rFonts w:hint="eastAsia" w:ascii="宋体" w:hAnsi="宋体"/>
          <w:sz w:val="24"/>
          <w:szCs w:val="24"/>
        </w:rPr>
        <w:t>预期用途：用于体外定性检测人血清样本中新型冠状病毒（2019-nCoV）IgM抗体，新型冠状病毒肺炎确诊依据之一保存条件及效期：2-8℃，有效期6个月以上（含6个月）</w:t>
      </w:r>
    </w:p>
    <w:p>
      <w:pPr>
        <w:snapToGrid w:val="0"/>
        <w:spacing w:line="480" w:lineRule="exact"/>
        <w:contextualSpacing/>
        <w:rPr>
          <w:rFonts w:hint="eastAsia" w:ascii="宋体" w:hAnsi="宋体"/>
          <w:sz w:val="24"/>
          <w:szCs w:val="24"/>
        </w:rPr>
      </w:pPr>
      <w:r>
        <w:rPr>
          <w:rFonts w:hint="eastAsia" w:ascii="宋体" w:hAnsi="宋体"/>
          <w:sz w:val="24"/>
          <w:szCs w:val="24"/>
        </w:rPr>
        <w:t>23</w:t>
      </w:r>
      <w:r>
        <w:rPr>
          <w:rFonts w:hint="eastAsia" w:ascii="宋体" w:hAnsi="宋体"/>
          <w:sz w:val="24"/>
          <w:szCs w:val="24"/>
        </w:rPr>
        <w:tab/>
      </w:r>
      <w:r>
        <w:rPr>
          <w:rFonts w:hint="eastAsia" w:ascii="宋体" w:hAnsi="宋体"/>
          <w:sz w:val="24"/>
          <w:szCs w:val="24"/>
        </w:rPr>
        <w:t>传染病系列12项</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乙肝五项全定量（溯源至WHO一级参考品）、Pre-S1、第三代抗-HCV（双抗原夹心法，同时检查IgG和IgM 抗体）、甲肝、戊肝、第四代HIV-Ag/Ab（同时检测P24抗原、I型、II型及O族抗体，缩短窗口期至两周）、梅毒</w:t>
      </w:r>
    </w:p>
    <w:p>
      <w:pPr>
        <w:snapToGrid w:val="0"/>
        <w:spacing w:line="480" w:lineRule="exact"/>
        <w:contextualSpacing/>
        <w:rPr>
          <w:rFonts w:hint="eastAsia" w:ascii="宋体" w:hAnsi="宋体"/>
          <w:sz w:val="24"/>
          <w:szCs w:val="24"/>
        </w:rPr>
      </w:pPr>
      <w:r>
        <w:rPr>
          <w:rFonts w:hint="eastAsia" w:ascii="宋体" w:hAnsi="宋体"/>
          <w:sz w:val="24"/>
          <w:szCs w:val="24"/>
        </w:rPr>
        <w:t>24</w:t>
      </w:r>
      <w:r>
        <w:rPr>
          <w:rFonts w:hint="eastAsia" w:ascii="宋体" w:hAnsi="宋体"/>
          <w:sz w:val="24"/>
          <w:szCs w:val="24"/>
        </w:rPr>
        <w:tab/>
      </w:r>
      <w:r>
        <w:rPr>
          <w:rFonts w:hint="eastAsia" w:ascii="宋体" w:hAnsi="宋体"/>
          <w:sz w:val="24"/>
          <w:szCs w:val="24"/>
        </w:rPr>
        <w:t>肿瘤标志物检测</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18个检测项目，项目齐全，可进行多项肿瘤联检。具备CA72-4，CYFRA21-1，SCC，CA242，CA50，PGⅠ，PGⅡ等特色项目，可开展HE4/CA125联检，根据ROMA指数评价卵巢癌风险。</w:t>
      </w:r>
    </w:p>
    <w:p>
      <w:pPr>
        <w:snapToGrid w:val="0"/>
        <w:spacing w:line="480" w:lineRule="exact"/>
        <w:contextualSpacing/>
        <w:rPr>
          <w:rFonts w:hint="eastAsia" w:ascii="宋体" w:hAnsi="宋体"/>
          <w:sz w:val="24"/>
          <w:szCs w:val="24"/>
        </w:rPr>
      </w:pPr>
      <w:r>
        <w:rPr>
          <w:rFonts w:hint="eastAsia" w:ascii="宋体" w:hAnsi="宋体"/>
          <w:sz w:val="24"/>
          <w:szCs w:val="24"/>
        </w:rPr>
        <w:t>25</w:t>
      </w:r>
      <w:r>
        <w:rPr>
          <w:rFonts w:hint="eastAsia" w:ascii="宋体" w:hAnsi="宋体"/>
          <w:sz w:val="24"/>
          <w:szCs w:val="24"/>
        </w:rPr>
        <w:tab/>
      </w:r>
      <w:r>
        <w:rPr>
          <w:rFonts w:hint="eastAsia" w:ascii="宋体" w:hAnsi="宋体"/>
          <w:sz w:val="24"/>
          <w:szCs w:val="24"/>
        </w:rPr>
        <w:t>检测项目</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传染病、肿瘤标志物、肝纤维化、心肌标志物、甲状腺功能、性激素、糖尿病、感染等八大系列项目。</w:t>
      </w:r>
    </w:p>
    <w:p>
      <w:pPr>
        <w:snapToGrid w:val="0"/>
        <w:spacing w:line="480" w:lineRule="exact"/>
        <w:contextualSpacing/>
        <w:rPr>
          <w:rFonts w:hint="eastAsia" w:ascii="宋体" w:hAnsi="宋体"/>
          <w:sz w:val="24"/>
          <w:szCs w:val="24"/>
        </w:rPr>
      </w:pPr>
      <w:r>
        <w:rPr>
          <w:rFonts w:hint="eastAsia" w:ascii="宋体" w:hAnsi="宋体"/>
          <w:sz w:val="24"/>
          <w:szCs w:val="24"/>
          <w:lang w:val="en-US" w:eastAsia="zh-CN"/>
        </w:rPr>
        <w:t>26</w:t>
      </w:r>
      <w:r>
        <w:rPr>
          <w:rFonts w:hint="eastAsia" w:ascii="宋体" w:hAnsi="宋体"/>
          <w:sz w:val="24"/>
          <w:szCs w:val="24"/>
        </w:rPr>
        <w:tab/>
      </w:r>
      <w:r>
        <w:rPr>
          <w:rFonts w:hint="eastAsia" w:ascii="宋体" w:hAnsi="宋体"/>
          <w:sz w:val="24"/>
          <w:szCs w:val="24"/>
        </w:rPr>
        <w:t>质量体系认证</w:t>
      </w:r>
      <w:r>
        <w:rPr>
          <w:rFonts w:hint="eastAsia" w:ascii="宋体" w:hAnsi="宋体"/>
          <w:sz w:val="24"/>
          <w:szCs w:val="24"/>
          <w:lang w:eastAsia="zh-CN"/>
        </w:rPr>
        <w:t>★</w:t>
      </w:r>
      <w:r>
        <w:rPr>
          <w:rFonts w:hint="eastAsia" w:ascii="宋体" w:hAnsi="宋体"/>
          <w:sz w:val="24"/>
          <w:szCs w:val="24"/>
        </w:rPr>
        <w:tab/>
      </w:r>
      <w:r>
        <w:rPr>
          <w:rFonts w:hint="eastAsia" w:ascii="宋体" w:hAnsi="宋体"/>
          <w:sz w:val="24"/>
          <w:szCs w:val="24"/>
        </w:rPr>
        <w:t>通过ISO 13485认证。</w:t>
      </w:r>
    </w:p>
    <w:p>
      <w:pPr>
        <w:snapToGrid w:val="0"/>
        <w:spacing w:line="480" w:lineRule="exact"/>
        <w:contextualSpacing/>
        <w:rPr>
          <w:rFonts w:hint="eastAsia" w:ascii="宋体" w:hAnsi="宋体"/>
          <w:b/>
          <w:bCs/>
          <w:sz w:val="24"/>
          <w:szCs w:val="24"/>
        </w:rPr>
      </w:pPr>
      <w:r>
        <w:rPr>
          <w:rFonts w:hint="eastAsia" w:ascii="宋体" w:hAnsi="宋体"/>
          <w:b/>
          <w:bCs/>
          <w:sz w:val="24"/>
          <w:szCs w:val="24"/>
          <w:lang w:val="en-US" w:eastAsia="zh-CN"/>
        </w:rPr>
        <w:t>二、</w:t>
      </w:r>
      <w:r>
        <w:rPr>
          <w:rFonts w:hint="eastAsia" w:ascii="宋体" w:hAnsi="宋体"/>
          <w:b/>
          <w:bCs/>
          <w:sz w:val="24"/>
          <w:szCs w:val="24"/>
        </w:rPr>
        <w:t>售后服务与培训</w:t>
      </w:r>
    </w:p>
    <w:p>
      <w:pPr>
        <w:snapToGrid w:val="0"/>
        <w:spacing w:line="480" w:lineRule="exact"/>
        <w:contextualSpacing/>
        <w:rPr>
          <w:rFonts w:hint="eastAsia" w:ascii="宋体" w:hAnsi="宋体"/>
          <w:sz w:val="24"/>
          <w:szCs w:val="24"/>
        </w:rPr>
      </w:pPr>
      <w:r>
        <w:rPr>
          <w:rFonts w:hint="eastAsia" w:ascii="宋体" w:hAnsi="宋体"/>
          <w:sz w:val="24"/>
          <w:szCs w:val="24"/>
        </w:rPr>
        <w:t>1供应商应在合同规定时间内完成仪器的安装调试，并达到标书和技术文件（仪器说明书等）要求的性能，如果现场安装测试指标未通过，购买方有权要求退货并要求赔偿损失。</w:t>
      </w:r>
    </w:p>
    <w:p>
      <w:pPr>
        <w:snapToGrid w:val="0"/>
        <w:spacing w:line="480" w:lineRule="exact"/>
        <w:contextualSpacing/>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rPr>
        <w:t>2供应商免费提供用户现场安装、调试及培训。安装工程师在用户现场安装调试完毕后，进行现场讲解培训，人员不限。免费提供仪器使用手册、培训教材、应用文章等。保证用户掌握基本操作，可以正确操作使用仪器。制造厂家在新疆有工程师</w:t>
      </w:r>
      <w:r>
        <w:rPr>
          <w:rFonts w:hint="eastAsia" w:ascii="宋体" w:hAnsi="宋体"/>
          <w:sz w:val="24"/>
          <w:szCs w:val="24"/>
          <w:lang w:eastAsia="zh-CN"/>
        </w:rPr>
        <w:t>（</w:t>
      </w:r>
      <w:r>
        <w:rPr>
          <w:rFonts w:hint="eastAsia" w:ascii="宋体" w:hAnsi="宋体"/>
          <w:sz w:val="24"/>
          <w:szCs w:val="24"/>
          <w:lang w:val="en-US" w:eastAsia="zh-CN"/>
        </w:rPr>
        <w:t>需提供证明文件</w:t>
      </w:r>
      <w:r>
        <w:rPr>
          <w:rFonts w:hint="eastAsia" w:ascii="宋体" w:hAnsi="宋体"/>
          <w:sz w:val="24"/>
          <w:szCs w:val="24"/>
          <w:lang w:eastAsia="zh-CN"/>
        </w:rPr>
        <w:t>）</w:t>
      </w:r>
      <w:r>
        <w:rPr>
          <w:rFonts w:hint="eastAsia" w:ascii="宋体" w:hAnsi="宋体"/>
          <w:sz w:val="24"/>
          <w:szCs w:val="24"/>
        </w:rPr>
        <w:t>。</w:t>
      </w:r>
    </w:p>
    <w:p>
      <w:pPr>
        <w:snapToGrid w:val="0"/>
        <w:spacing w:line="480" w:lineRule="exact"/>
        <w:contextualSpacing/>
        <w:rPr>
          <w:rFonts w:hint="eastAsia" w:ascii="宋体" w:hAnsi="宋体"/>
          <w:sz w:val="24"/>
          <w:szCs w:val="24"/>
        </w:rPr>
      </w:pPr>
      <w:r>
        <w:rPr>
          <w:rFonts w:hint="eastAsia" w:ascii="宋体" w:hAnsi="宋体"/>
          <w:sz w:val="24"/>
          <w:szCs w:val="24"/>
        </w:rPr>
        <w:t>3提供</w:t>
      </w:r>
      <w:r>
        <w:rPr>
          <w:rFonts w:hint="eastAsia" w:ascii="宋体" w:hAnsi="宋体"/>
          <w:sz w:val="24"/>
          <w:szCs w:val="24"/>
          <w:lang w:eastAsia="zh-CN"/>
        </w:rPr>
        <w:t>两</w:t>
      </w:r>
      <w:r>
        <w:rPr>
          <w:rFonts w:hint="eastAsia" w:ascii="宋体" w:hAnsi="宋体"/>
          <w:sz w:val="24"/>
          <w:szCs w:val="24"/>
        </w:rPr>
        <w:t>年免费质保服务。</w:t>
      </w:r>
    </w:p>
    <w:p>
      <w:pPr>
        <w:snapToGrid w:val="0"/>
        <w:spacing w:line="480" w:lineRule="exact"/>
        <w:contextualSpacing/>
        <w:rPr>
          <w:rFonts w:hint="eastAsia" w:ascii="宋体" w:hAnsi="宋体"/>
          <w:b/>
          <w:bCs/>
          <w:sz w:val="24"/>
          <w:szCs w:val="24"/>
        </w:rPr>
      </w:pPr>
      <w:r>
        <w:rPr>
          <w:rFonts w:hint="eastAsia" w:ascii="宋体" w:hAnsi="宋体"/>
          <w:b/>
          <w:bCs/>
          <w:sz w:val="24"/>
          <w:szCs w:val="24"/>
        </w:rPr>
        <w:t>（备注：带</w:t>
      </w:r>
      <w:r>
        <w:rPr>
          <w:rFonts w:hint="eastAsia" w:ascii="宋体" w:hAnsi="宋体"/>
          <w:b/>
          <w:bCs/>
          <w:sz w:val="24"/>
          <w:szCs w:val="24"/>
          <w:lang w:eastAsia="zh-CN"/>
        </w:rPr>
        <w:t>★</w:t>
      </w:r>
      <w:r>
        <w:rPr>
          <w:rFonts w:hint="eastAsia" w:ascii="宋体" w:hAnsi="宋体"/>
          <w:b/>
          <w:bCs/>
          <w:sz w:val="24"/>
          <w:szCs w:val="24"/>
        </w:rPr>
        <w:t>项为重要要求。投标人在投标时应答的指标，在仪器验收时如不符合验收标准，将视为违约，招标人有权退货，并按合同条款进行处罚。为了保证产品和售后服务质量，该设备必须提供制造商家针对本项目的销售授权和售后服务承诺书复印件，原件备查）</w:t>
      </w:r>
    </w:p>
    <w:p>
      <w:pPr>
        <w:pStyle w:val="2"/>
        <w:rPr>
          <w:rFonts w:ascii="宋体" w:hAnsi="宋体" w:cs="宋体"/>
          <w:b/>
          <w:color w:val="000000"/>
          <w:szCs w:val="18"/>
        </w:rPr>
      </w:pPr>
    </w:p>
    <w:p>
      <w:pPr>
        <w:pStyle w:val="10"/>
        <w:spacing w:line="460" w:lineRule="exact"/>
        <w:rPr>
          <w:rFonts w:ascii="华文中宋" w:hAnsi="华文中宋" w:eastAsia="华文中宋"/>
          <w:b/>
          <w:bCs/>
          <w:sz w:val="10"/>
        </w:rPr>
      </w:pPr>
    </w:p>
    <w:p>
      <w:pPr>
        <w:pStyle w:val="74"/>
        <w:snapToGrid w:val="0"/>
        <w:spacing w:line="440" w:lineRule="exact"/>
        <w:jc w:val="center"/>
        <w:outlineLvl w:val="0"/>
        <w:rPr>
          <w:rFonts w:hint="eastAsia" w:ascii="宋体" w:hAnsi="宋体" w:cs="宋体"/>
          <w:b/>
          <w:bCs/>
          <w:color w:val="auto"/>
          <w:sz w:val="32"/>
          <w:szCs w:val="32"/>
        </w:rPr>
      </w:pPr>
      <w:bookmarkStart w:id="184" w:name="_Toc756"/>
    </w:p>
    <w:p>
      <w:pPr>
        <w:pStyle w:val="74"/>
        <w:snapToGrid w:val="0"/>
        <w:spacing w:line="440" w:lineRule="exact"/>
        <w:jc w:val="center"/>
        <w:outlineLvl w:val="0"/>
        <w:rPr>
          <w:rFonts w:ascii="宋体" w:hAnsi="宋体" w:cs="宋体"/>
          <w:b/>
          <w:bCs/>
          <w:color w:val="auto"/>
          <w:sz w:val="32"/>
          <w:szCs w:val="32"/>
        </w:rPr>
      </w:pPr>
      <w:r>
        <w:rPr>
          <w:rFonts w:hint="eastAsia" w:ascii="宋体" w:hAnsi="宋体" w:cs="宋体"/>
          <w:b/>
          <w:bCs/>
          <w:color w:val="auto"/>
          <w:sz w:val="32"/>
          <w:szCs w:val="32"/>
        </w:rPr>
        <w:t>第六章 投标文件格式</w:t>
      </w:r>
      <w:bookmarkEnd w:id="175"/>
      <w:bookmarkEnd w:id="184"/>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sz w:val="28"/>
          <w:szCs w:val="28"/>
          <w:u w:val="singl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widowControl/>
        <w:spacing w:line="440" w:lineRule="exact"/>
        <w:jc w:val="center"/>
        <w:rPr>
          <w:rFonts w:ascii="宋体" w:hAnsi="宋体" w:cs="宋体"/>
          <w:b/>
          <w:kern w:val="0"/>
          <w:sz w:val="32"/>
          <w:szCs w:val="32"/>
        </w:rPr>
      </w:pPr>
      <w:r>
        <w:rPr>
          <w:rFonts w:hint="eastAsia" w:ascii="宋体"/>
          <w:sz w:val="28"/>
          <w:szCs w:val="28"/>
          <w:u w:val="single"/>
        </w:rPr>
        <w:t xml:space="preserve">         （项目名称）             </w:t>
      </w:r>
      <w:r>
        <w:rPr>
          <w:rFonts w:hint="eastAsia" w:ascii="宋体" w:hAnsi="宋体" w:cs="宋体"/>
          <w:b/>
          <w:kern w:val="0"/>
          <w:sz w:val="32"/>
          <w:szCs w:val="32"/>
        </w:rPr>
        <w:t>项目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b/>
          <w:bCs/>
          <w:sz w:val="44"/>
          <w:szCs w:val="44"/>
        </w:rPr>
      </w:pPr>
      <w:bookmarkStart w:id="185" w:name="_Toc17512"/>
      <w:bookmarkStart w:id="186" w:name="_Toc18600"/>
      <w:bookmarkStart w:id="187" w:name="_Toc4985"/>
      <w:bookmarkStart w:id="188" w:name="_Toc17105"/>
      <w:bookmarkStart w:id="189" w:name="_Toc23233"/>
      <w:r>
        <w:rPr>
          <w:rFonts w:hint="eastAsia" w:ascii="宋体"/>
          <w:b/>
          <w:bCs/>
          <w:sz w:val="44"/>
          <w:szCs w:val="44"/>
        </w:rPr>
        <w:t>投  标  文  件</w:t>
      </w:r>
      <w:bookmarkEnd w:id="185"/>
      <w:bookmarkEnd w:id="186"/>
      <w:bookmarkEnd w:id="187"/>
      <w:bookmarkEnd w:id="188"/>
      <w:bookmarkEnd w:id="189"/>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b/>
          <w:bCs/>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宋体"/>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sz w:val="28"/>
          <w:szCs w:val="28"/>
          <w:u w:val="single"/>
        </w:rPr>
      </w:pPr>
      <w:bookmarkStart w:id="190" w:name="_Toc24106"/>
      <w:bookmarkStart w:id="191" w:name="_Toc30788"/>
      <w:bookmarkStart w:id="192" w:name="_Toc27851"/>
      <w:bookmarkStart w:id="193" w:name="_Toc30292"/>
      <w:bookmarkStart w:id="194" w:name="_Toc12817"/>
      <w:r>
        <w:rPr>
          <w:rFonts w:hint="eastAsia" w:ascii="宋体"/>
          <w:sz w:val="28"/>
          <w:szCs w:val="28"/>
        </w:rPr>
        <w:t>投标人：</w:t>
      </w:r>
      <w:r>
        <w:rPr>
          <w:rFonts w:hint="eastAsia" w:ascii="宋体"/>
          <w:sz w:val="28"/>
          <w:szCs w:val="28"/>
          <w:u w:val="single"/>
        </w:rPr>
        <w:t xml:space="preserve">                              </w:t>
      </w:r>
      <w:r>
        <w:rPr>
          <w:rFonts w:hint="eastAsia" w:ascii="宋体"/>
          <w:sz w:val="28"/>
          <w:szCs w:val="28"/>
        </w:rPr>
        <w:t>（盖单位章）</w:t>
      </w:r>
      <w:bookmarkEnd w:id="190"/>
      <w:bookmarkEnd w:id="191"/>
      <w:bookmarkEnd w:id="192"/>
      <w:bookmarkEnd w:id="193"/>
      <w:bookmarkEnd w:id="194"/>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sz w:val="28"/>
          <w:szCs w:val="28"/>
        </w:rPr>
      </w:pPr>
      <w:bookmarkStart w:id="195" w:name="_Toc1096"/>
      <w:bookmarkStart w:id="196" w:name="_Toc32511"/>
      <w:bookmarkStart w:id="197" w:name="_Toc13042"/>
      <w:bookmarkStart w:id="198" w:name="_Toc5338"/>
      <w:bookmarkStart w:id="199" w:name="_Toc13491"/>
      <w:r>
        <w:rPr>
          <w:rFonts w:hint="eastAsia" w:ascii="宋体"/>
          <w:sz w:val="28"/>
          <w:szCs w:val="28"/>
        </w:rPr>
        <w:t>法定代表人或其委托代理人：</w:t>
      </w:r>
      <w:r>
        <w:rPr>
          <w:rFonts w:hint="eastAsia" w:ascii="宋体"/>
          <w:sz w:val="28"/>
          <w:szCs w:val="28"/>
          <w:u w:val="single"/>
        </w:rPr>
        <w:t xml:space="preserve">                </w:t>
      </w:r>
      <w:r>
        <w:rPr>
          <w:rFonts w:hint="eastAsia" w:ascii="宋体"/>
          <w:sz w:val="28"/>
          <w:szCs w:val="28"/>
        </w:rPr>
        <w:t>（签字）</w:t>
      </w:r>
      <w:bookmarkEnd w:id="195"/>
      <w:bookmarkEnd w:id="196"/>
      <w:bookmarkEnd w:id="197"/>
      <w:bookmarkEnd w:id="198"/>
      <w:bookmarkEnd w:id="199"/>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szCs w:val="21"/>
        </w:rPr>
      </w:pPr>
      <w:r>
        <w:rPr>
          <w:rFonts w:hint="eastAsia"/>
          <w:sz w:val="28"/>
          <w:szCs w:val="28"/>
        </w:rPr>
        <w:t xml:space="preserve">       </w:t>
      </w:r>
      <w:bookmarkStart w:id="200" w:name="_Toc19260"/>
      <w:bookmarkStart w:id="201" w:name="_Toc1600"/>
      <w:bookmarkStart w:id="202" w:name="_Toc28537"/>
      <w:bookmarkStart w:id="203" w:name="_Toc3571"/>
      <w:bookmarkStart w:id="204" w:name="_Toc19518"/>
      <w:r>
        <w:rPr>
          <w:rFonts w:hint="eastAsia"/>
          <w:sz w:val="28"/>
          <w:szCs w:val="28"/>
        </w:rPr>
        <w:t>年        月        日</w:t>
      </w:r>
      <w:bookmarkEnd w:id="200"/>
      <w:bookmarkEnd w:id="201"/>
      <w:bookmarkEnd w:id="202"/>
      <w:bookmarkEnd w:id="203"/>
      <w:bookmarkEnd w:id="204"/>
    </w:p>
    <w:p>
      <w:pPr>
        <w:pStyle w:val="67"/>
        <w:snapToGrid w:val="0"/>
        <w:spacing w:line="400" w:lineRule="exact"/>
        <w:jc w:val="center"/>
        <w:outlineLvl w:val="1"/>
        <w:rPr>
          <w:b/>
          <w:bCs/>
          <w:color w:val="auto"/>
          <w:sz w:val="21"/>
          <w:szCs w:val="21"/>
        </w:rPr>
      </w:pPr>
      <w:bookmarkStart w:id="205" w:name="_Toc9965"/>
      <w:bookmarkStart w:id="206" w:name="_Toc14922"/>
      <w:bookmarkStart w:id="207" w:name="_Toc1716"/>
      <w:bookmarkStart w:id="208" w:name="_Toc22763"/>
    </w:p>
    <w:p>
      <w:pPr>
        <w:pStyle w:val="67"/>
        <w:snapToGrid w:val="0"/>
        <w:spacing w:line="400" w:lineRule="exact"/>
        <w:jc w:val="center"/>
        <w:outlineLvl w:val="1"/>
        <w:rPr>
          <w:b/>
          <w:bCs/>
          <w:color w:val="auto"/>
          <w:sz w:val="21"/>
          <w:szCs w:val="21"/>
        </w:rPr>
      </w:pPr>
    </w:p>
    <w:p>
      <w:pPr>
        <w:pStyle w:val="67"/>
        <w:snapToGrid w:val="0"/>
        <w:spacing w:line="400" w:lineRule="exact"/>
        <w:jc w:val="center"/>
        <w:outlineLvl w:val="1"/>
        <w:rPr>
          <w:b/>
          <w:bCs/>
          <w:color w:val="auto"/>
          <w:sz w:val="21"/>
          <w:szCs w:val="21"/>
        </w:rPr>
      </w:pPr>
      <w:bookmarkStart w:id="209" w:name="_Toc17383"/>
      <w:r>
        <w:rPr>
          <w:rFonts w:hint="eastAsia"/>
          <w:b/>
          <w:bCs/>
          <w:color w:val="auto"/>
          <w:sz w:val="21"/>
          <w:szCs w:val="21"/>
        </w:rPr>
        <w:t>目录</w:t>
      </w:r>
      <w:bookmarkEnd w:id="205"/>
      <w:bookmarkEnd w:id="206"/>
      <w:bookmarkEnd w:id="207"/>
      <w:bookmarkEnd w:id="208"/>
      <w:bookmarkEnd w:id="209"/>
    </w:p>
    <w:p>
      <w:pPr>
        <w:pStyle w:val="67"/>
        <w:snapToGrid w:val="0"/>
        <w:spacing w:line="360" w:lineRule="auto"/>
        <w:ind w:firstLine="420" w:firstLineChars="200"/>
        <w:jc w:val="both"/>
        <w:rPr>
          <w:rFonts w:ascii="宋体" w:hAnsi="宋体"/>
          <w:bCs/>
          <w:color w:val="auto"/>
          <w:sz w:val="21"/>
          <w:szCs w:val="21"/>
        </w:rPr>
      </w:pPr>
    </w:p>
    <w:p>
      <w:pPr>
        <w:pStyle w:val="67"/>
        <w:snapToGrid w:val="0"/>
        <w:spacing w:line="400" w:lineRule="exact"/>
        <w:ind w:firstLine="422" w:firstLineChars="200"/>
        <w:jc w:val="both"/>
        <w:outlineLvl w:val="0"/>
        <w:rPr>
          <w:rFonts w:ascii="宋体" w:hAnsi="宋体"/>
          <w:b/>
          <w:color w:val="auto"/>
          <w:sz w:val="21"/>
          <w:szCs w:val="21"/>
        </w:rPr>
      </w:pPr>
      <w:bookmarkStart w:id="210" w:name="_Toc28016"/>
      <w:bookmarkStart w:id="211" w:name="_Toc3609"/>
      <w:bookmarkStart w:id="212" w:name="_Toc25011"/>
      <w:bookmarkStart w:id="213" w:name="_Toc17665"/>
      <w:bookmarkStart w:id="214" w:name="_Toc20819"/>
      <w:r>
        <w:rPr>
          <w:rFonts w:hint="eastAsia" w:ascii="宋体" w:hAnsi="宋体"/>
          <w:b/>
          <w:color w:val="auto"/>
          <w:sz w:val="21"/>
          <w:szCs w:val="21"/>
        </w:rPr>
        <w:t>1.投标函</w:t>
      </w:r>
      <w:bookmarkEnd w:id="210"/>
      <w:bookmarkEnd w:id="211"/>
      <w:bookmarkEnd w:id="212"/>
      <w:bookmarkEnd w:id="213"/>
      <w:bookmarkEnd w:id="214"/>
    </w:p>
    <w:p>
      <w:pPr>
        <w:pStyle w:val="67"/>
        <w:snapToGrid w:val="0"/>
        <w:spacing w:line="400" w:lineRule="exact"/>
        <w:ind w:firstLine="422" w:firstLineChars="200"/>
        <w:jc w:val="both"/>
        <w:outlineLvl w:val="0"/>
        <w:rPr>
          <w:rFonts w:ascii="宋体" w:hAnsi="宋体"/>
          <w:b/>
          <w:color w:val="auto"/>
          <w:sz w:val="21"/>
          <w:szCs w:val="21"/>
        </w:rPr>
      </w:pPr>
      <w:bookmarkStart w:id="215" w:name="_Toc6482"/>
      <w:bookmarkStart w:id="216" w:name="_Toc24722"/>
      <w:bookmarkStart w:id="217" w:name="_Toc10191"/>
      <w:bookmarkStart w:id="218" w:name="_Toc12014"/>
      <w:bookmarkStart w:id="219" w:name="_Toc25230"/>
      <w:r>
        <w:rPr>
          <w:rFonts w:hint="eastAsia" w:ascii="宋体" w:hAnsi="宋体"/>
          <w:b/>
          <w:color w:val="auto"/>
          <w:sz w:val="21"/>
          <w:szCs w:val="21"/>
        </w:rPr>
        <w:t>2.投标报价一览表</w:t>
      </w:r>
      <w:bookmarkEnd w:id="215"/>
      <w:bookmarkEnd w:id="216"/>
      <w:bookmarkEnd w:id="217"/>
      <w:bookmarkEnd w:id="218"/>
      <w:bookmarkEnd w:id="219"/>
    </w:p>
    <w:p>
      <w:pPr>
        <w:pStyle w:val="67"/>
        <w:snapToGrid w:val="0"/>
        <w:spacing w:line="400" w:lineRule="exact"/>
        <w:ind w:firstLine="422" w:firstLineChars="200"/>
        <w:jc w:val="both"/>
        <w:outlineLvl w:val="0"/>
        <w:rPr>
          <w:rFonts w:ascii="宋体" w:hAnsi="宋体"/>
          <w:b/>
          <w:color w:val="auto"/>
          <w:sz w:val="21"/>
          <w:szCs w:val="21"/>
        </w:rPr>
      </w:pPr>
      <w:bookmarkStart w:id="220" w:name="_Toc3921"/>
      <w:bookmarkStart w:id="221" w:name="_Toc20652"/>
      <w:bookmarkStart w:id="222" w:name="_Toc30913"/>
      <w:bookmarkStart w:id="223" w:name="_Toc12482"/>
      <w:bookmarkStart w:id="224" w:name="_Toc14435"/>
      <w:r>
        <w:rPr>
          <w:rFonts w:hint="eastAsia" w:ascii="宋体" w:hAnsi="宋体"/>
          <w:b/>
          <w:color w:val="auto"/>
          <w:sz w:val="21"/>
          <w:szCs w:val="21"/>
        </w:rPr>
        <w:t>3.报价明细表</w:t>
      </w:r>
      <w:bookmarkEnd w:id="220"/>
      <w:bookmarkEnd w:id="221"/>
    </w:p>
    <w:p>
      <w:pPr>
        <w:pStyle w:val="67"/>
        <w:snapToGrid w:val="0"/>
        <w:spacing w:line="400" w:lineRule="exact"/>
        <w:ind w:firstLine="422" w:firstLineChars="200"/>
        <w:jc w:val="both"/>
        <w:outlineLvl w:val="0"/>
        <w:rPr>
          <w:rFonts w:ascii="宋体" w:hAnsi="宋体"/>
          <w:b/>
          <w:color w:val="auto"/>
          <w:sz w:val="21"/>
          <w:szCs w:val="21"/>
        </w:rPr>
      </w:pPr>
      <w:bookmarkStart w:id="225" w:name="_Toc7814"/>
      <w:bookmarkStart w:id="226" w:name="_Toc6570"/>
      <w:r>
        <w:rPr>
          <w:rFonts w:hint="eastAsia" w:ascii="宋体" w:hAnsi="宋体"/>
          <w:b/>
          <w:color w:val="auto"/>
          <w:sz w:val="21"/>
          <w:szCs w:val="21"/>
        </w:rPr>
        <w:t>4.法定代表人身份证明</w:t>
      </w:r>
      <w:bookmarkEnd w:id="222"/>
      <w:bookmarkEnd w:id="223"/>
      <w:bookmarkEnd w:id="224"/>
      <w:bookmarkEnd w:id="225"/>
      <w:bookmarkEnd w:id="226"/>
    </w:p>
    <w:p>
      <w:pPr>
        <w:pStyle w:val="67"/>
        <w:snapToGrid w:val="0"/>
        <w:spacing w:line="400" w:lineRule="exact"/>
        <w:ind w:firstLine="422" w:firstLineChars="200"/>
        <w:jc w:val="both"/>
        <w:outlineLvl w:val="0"/>
        <w:rPr>
          <w:rFonts w:ascii="宋体" w:hAnsi="宋体"/>
          <w:b/>
          <w:color w:val="auto"/>
          <w:sz w:val="21"/>
          <w:szCs w:val="21"/>
        </w:rPr>
      </w:pPr>
      <w:bookmarkStart w:id="227" w:name="_Toc3523"/>
      <w:bookmarkStart w:id="228" w:name="_Toc18748"/>
      <w:bookmarkStart w:id="229" w:name="_Toc16358"/>
      <w:bookmarkStart w:id="230" w:name="_Toc17147"/>
      <w:bookmarkStart w:id="231" w:name="_Toc4068"/>
      <w:r>
        <w:rPr>
          <w:rFonts w:hint="eastAsia" w:ascii="宋体" w:hAnsi="宋体"/>
          <w:b/>
          <w:color w:val="auto"/>
          <w:sz w:val="21"/>
          <w:szCs w:val="21"/>
        </w:rPr>
        <w:t>5.法定代表人授权委托书</w:t>
      </w:r>
      <w:bookmarkEnd w:id="227"/>
      <w:bookmarkEnd w:id="228"/>
      <w:bookmarkEnd w:id="229"/>
      <w:bookmarkEnd w:id="230"/>
      <w:bookmarkEnd w:id="231"/>
    </w:p>
    <w:p>
      <w:pPr>
        <w:pStyle w:val="67"/>
        <w:snapToGrid w:val="0"/>
        <w:spacing w:line="400" w:lineRule="exact"/>
        <w:ind w:firstLine="422" w:firstLineChars="200"/>
        <w:jc w:val="both"/>
        <w:outlineLvl w:val="0"/>
        <w:rPr>
          <w:rFonts w:ascii="宋体" w:hAnsi="宋体"/>
          <w:b/>
          <w:color w:val="auto"/>
          <w:sz w:val="21"/>
          <w:szCs w:val="21"/>
        </w:rPr>
      </w:pPr>
      <w:bookmarkStart w:id="232" w:name="_Toc31066"/>
      <w:bookmarkStart w:id="233" w:name="_Toc13169"/>
      <w:bookmarkStart w:id="234" w:name="_Toc17856"/>
      <w:bookmarkStart w:id="235" w:name="_Toc8208"/>
      <w:bookmarkStart w:id="236" w:name="_Toc24200"/>
      <w:r>
        <w:rPr>
          <w:rFonts w:hint="eastAsia" w:ascii="宋体" w:hAnsi="宋体"/>
          <w:b/>
          <w:color w:val="auto"/>
          <w:sz w:val="21"/>
          <w:szCs w:val="21"/>
        </w:rPr>
        <w:t>6.投标人基本情况</w:t>
      </w:r>
      <w:bookmarkEnd w:id="232"/>
      <w:bookmarkEnd w:id="233"/>
      <w:bookmarkEnd w:id="234"/>
      <w:bookmarkEnd w:id="235"/>
      <w:bookmarkEnd w:id="236"/>
    </w:p>
    <w:p>
      <w:pPr>
        <w:pStyle w:val="67"/>
        <w:snapToGrid w:val="0"/>
        <w:spacing w:line="400" w:lineRule="exact"/>
        <w:ind w:firstLine="402" w:firstLineChars="200"/>
        <w:jc w:val="both"/>
        <w:outlineLvl w:val="0"/>
        <w:rPr>
          <w:rFonts w:ascii="宋体" w:hAnsi="宋体"/>
          <w:b/>
          <w:color w:val="auto"/>
          <w:sz w:val="21"/>
          <w:szCs w:val="21"/>
        </w:rPr>
      </w:pPr>
      <w:bookmarkStart w:id="237" w:name="_Toc25746"/>
      <w:bookmarkStart w:id="238" w:name="_Toc12008"/>
      <w:bookmarkStart w:id="239" w:name="_Toc7046"/>
      <w:bookmarkStart w:id="240" w:name="_Toc5789"/>
      <w:bookmarkStart w:id="241" w:name="_Toc32002"/>
      <w:r>
        <w:rPr>
          <w:rFonts w:hint="eastAsia" w:ascii="宋体" w:hAnsi="宋体" w:cs="宋体"/>
          <w:b/>
          <w:bCs/>
          <w:color w:val="auto"/>
          <w:szCs w:val="21"/>
        </w:rPr>
        <w:t>7.近三年已完成或在执行类似项目一览表</w:t>
      </w:r>
      <w:bookmarkEnd w:id="237"/>
      <w:bookmarkEnd w:id="238"/>
    </w:p>
    <w:p>
      <w:pPr>
        <w:pStyle w:val="67"/>
        <w:snapToGrid w:val="0"/>
        <w:spacing w:line="400" w:lineRule="exact"/>
        <w:ind w:firstLine="422" w:firstLineChars="200"/>
        <w:jc w:val="both"/>
        <w:outlineLvl w:val="0"/>
        <w:rPr>
          <w:rFonts w:ascii="宋体" w:hAnsi="宋体"/>
          <w:b/>
          <w:color w:val="auto"/>
          <w:sz w:val="21"/>
          <w:szCs w:val="21"/>
        </w:rPr>
      </w:pPr>
      <w:bookmarkStart w:id="242" w:name="_Toc9121"/>
      <w:bookmarkStart w:id="243" w:name="_Toc24492"/>
      <w:r>
        <w:rPr>
          <w:rFonts w:hint="eastAsia" w:ascii="宋体" w:hAnsi="宋体"/>
          <w:b/>
          <w:color w:val="auto"/>
          <w:sz w:val="21"/>
          <w:szCs w:val="21"/>
        </w:rPr>
        <w:t>8.商务条款偏离表</w:t>
      </w:r>
      <w:bookmarkEnd w:id="242"/>
      <w:bookmarkEnd w:id="243"/>
    </w:p>
    <w:bookmarkEnd w:id="239"/>
    <w:bookmarkEnd w:id="240"/>
    <w:bookmarkEnd w:id="241"/>
    <w:p>
      <w:pPr>
        <w:pStyle w:val="67"/>
        <w:snapToGrid w:val="0"/>
        <w:spacing w:line="400" w:lineRule="exact"/>
        <w:ind w:firstLine="422" w:firstLineChars="200"/>
        <w:jc w:val="both"/>
        <w:outlineLvl w:val="0"/>
        <w:rPr>
          <w:rFonts w:ascii="宋体" w:hAnsi="宋体"/>
          <w:b/>
          <w:color w:val="auto"/>
          <w:sz w:val="21"/>
          <w:szCs w:val="21"/>
        </w:rPr>
      </w:pPr>
      <w:bookmarkStart w:id="244" w:name="_Toc32189"/>
      <w:bookmarkStart w:id="245" w:name="_Toc27094"/>
      <w:bookmarkStart w:id="246" w:name="_Toc9165"/>
      <w:bookmarkStart w:id="247" w:name="_Toc30753"/>
      <w:bookmarkStart w:id="248" w:name="_Toc20526"/>
      <w:r>
        <w:rPr>
          <w:rFonts w:hint="eastAsia" w:ascii="宋体" w:hAnsi="宋体" w:cs="宋体"/>
          <w:b/>
          <w:bCs/>
          <w:color w:val="auto"/>
          <w:sz w:val="21"/>
          <w:szCs w:val="21"/>
        </w:rPr>
        <w:t>9.技术参数、规格偏离表</w:t>
      </w:r>
      <w:bookmarkEnd w:id="244"/>
      <w:bookmarkEnd w:id="245"/>
    </w:p>
    <w:p>
      <w:pPr>
        <w:pStyle w:val="67"/>
        <w:snapToGrid w:val="0"/>
        <w:spacing w:line="400" w:lineRule="exact"/>
        <w:ind w:firstLine="402" w:firstLineChars="200"/>
        <w:jc w:val="both"/>
        <w:outlineLvl w:val="0"/>
        <w:rPr>
          <w:rFonts w:ascii="宋体" w:hAnsi="宋体"/>
          <w:b/>
          <w:color w:val="auto"/>
          <w:sz w:val="21"/>
          <w:szCs w:val="21"/>
        </w:rPr>
      </w:pPr>
      <w:bookmarkStart w:id="249" w:name="_Toc7485"/>
      <w:bookmarkStart w:id="250" w:name="_Toc9256"/>
      <w:r>
        <w:rPr>
          <w:rFonts w:hint="eastAsia" w:ascii="宋体" w:hAnsi="宋体" w:cs="宋体"/>
          <w:b/>
          <w:bCs/>
          <w:color w:val="auto"/>
          <w:szCs w:val="21"/>
        </w:rPr>
        <w:t>10.供货组织情况及实施方案</w:t>
      </w:r>
      <w:bookmarkEnd w:id="249"/>
      <w:bookmarkEnd w:id="250"/>
    </w:p>
    <w:p>
      <w:pPr>
        <w:pStyle w:val="67"/>
        <w:snapToGrid w:val="0"/>
        <w:spacing w:line="400" w:lineRule="exact"/>
        <w:ind w:firstLine="422" w:firstLineChars="200"/>
        <w:jc w:val="both"/>
        <w:outlineLvl w:val="0"/>
        <w:rPr>
          <w:rFonts w:ascii="宋体" w:hAnsi="宋体"/>
          <w:b/>
          <w:color w:val="auto"/>
          <w:sz w:val="21"/>
          <w:szCs w:val="21"/>
        </w:rPr>
      </w:pPr>
      <w:bookmarkStart w:id="251" w:name="_Toc6703"/>
      <w:bookmarkStart w:id="252" w:name="_Toc8244"/>
      <w:r>
        <w:rPr>
          <w:rFonts w:hint="eastAsia" w:ascii="宋体" w:hAnsi="宋体"/>
          <w:b/>
          <w:color w:val="auto"/>
          <w:sz w:val="21"/>
          <w:szCs w:val="21"/>
        </w:rPr>
        <w:t>11.</w:t>
      </w:r>
      <w:bookmarkEnd w:id="251"/>
      <w:r>
        <w:rPr>
          <w:rFonts w:hint="eastAsia" w:ascii="宋体" w:hAnsi="宋体" w:cs="宋体"/>
          <w:b/>
          <w:bCs/>
          <w:color w:val="auto"/>
          <w:szCs w:val="21"/>
        </w:rPr>
        <w:t>售后服务方案及承诺书</w:t>
      </w:r>
      <w:bookmarkEnd w:id="252"/>
    </w:p>
    <w:p>
      <w:pPr>
        <w:pStyle w:val="67"/>
        <w:snapToGrid w:val="0"/>
        <w:spacing w:line="400" w:lineRule="exact"/>
        <w:ind w:firstLine="402" w:firstLineChars="200"/>
        <w:jc w:val="both"/>
        <w:outlineLvl w:val="0"/>
        <w:rPr>
          <w:rFonts w:ascii="宋体" w:hAnsi="宋体"/>
          <w:b/>
          <w:color w:val="auto"/>
          <w:sz w:val="21"/>
          <w:szCs w:val="21"/>
        </w:rPr>
      </w:pPr>
      <w:bookmarkStart w:id="253" w:name="_Toc19124"/>
      <w:bookmarkStart w:id="254" w:name="_Toc8754"/>
      <w:r>
        <w:rPr>
          <w:rFonts w:hint="eastAsia" w:ascii="宋体" w:hAnsi="宋体" w:cs="宋体"/>
          <w:b/>
          <w:bCs/>
          <w:color w:val="auto"/>
          <w:szCs w:val="21"/>
        </w:rPr>
        <w:t>12.其它证明材料</w:t>
      </w:r>
      <w:bookmarkEnd w:id="246"/>
      <w:bookmarkEnd w:id="247"/>
      <w:bookmarkEnd w:id="248"/>
      <w:bookmarkEnd w:id="253"/>
      <w:bookmarkEnd w:id="254"/>
    </w:p>
    <w:p>
      <w:pPr>
        <w:pStyle w:val="67"/>
        <w:snapToGrid w:val="0"/>
        <w:spacing w:line="400" w:lineRule="exact"/>
        <w:ind w:firstLine="422" w:firstLineChars="200"/>
        <w:jc w:val="both"/>
        <w:outlineLvl w:val="0"/>
        <w:rPr>
          <w:rFonts w:ascii="宋体" w:hAnsi="宋体"/>
          <w:b/>
          <w:color w:val="auto"/>
          <w:sz w:val="21"/>
          <w:szCs w:val="21"/>
        </w:rPr>
      </w:pPr>
      <w:bookmarkStart w:id="255" w:name="_Toc29222"/>
      <w:bookmarkStart w:id="256" w:name="_Toc20539"/>
      <w:bookmarkStart w:id="257" w:name="_Toc7081"/>
      <w:bookmarkStart w:id="258" w:name="_Toc6672"/>
      <w:bookmarkStart w:id="259" w:name="_Toc982"/>
      <w:r>
        <w:rPr>
          <w:rFonts w:hint="eastAsia" w:ascii="宋体" w:hAnsi="宋体"/>
          <w:b/>
          <w:color w:val="auto"/>
          <w:sz w:val="21"/>
          <w:szCs w:val="21"/>
        </w:rPr>
        <w:t>13.声明函</w:t>
      </w:r>
      <w:bookmarkEnd w:id="255"/>
      <w:bookmarkEnd w:id="256"/>
      <w:bookmarkEnd w:id="257"/>
      <w:bookmarkEnd w:id="258"/>
      <w:bookmarkEnd w:id="259"/>
    </w:p>
    <w:p>
      <w:pPr>
        <w:pStyle w:val="67"/>
        <w:snapToGrid w:val="0"/>
        <w:spacing w:line="440" w:lineRule="exact"/>
        <w:jc w:val="center"/>
        <w:outlineLvl w:val="0"/>
        <w:rPr>
          <w:b/>
          <w:bCs/>
          <w:color w:val="auto"/>
          <w:sz w:val="21"/>
          <w:szCs w:val="21"/>
        </w:rPr>
      </w:pPr>
      <w:r>
        <w:rPr>
          <w:rFonts w:hint="eastAsia"/>
          <w:b/>
          <w:bCs/>
          <w:color w:val="auto"/>
          <w:sz w:val="21"/>
          <w:szCs w:val="21"/>
        </w:rPr>
        <w:br w:type="page"/>
      </w:r>
      <w:bookmarkStart w:id="260" w:name="_Toc32224"/>
      <w:bookmarkStart w:id="261" w:name="_Toc7538"/>
    </w:p>
    <w:p>
      <w:pPr>
        <w:pStyle w:val="67"/>
        <w:snapToGrid w:val="0"/>
        <w:spacing w:line="440" w:lineRule="exact"/>
        <w:jc w:val="center"/>
        <w:outlineLvl w:val="0"/>
        <w:rPr>
          <w:b/>
          <w:bCs/>
          <w:color w:val="auto"/>
          <w:sz w:val="32"/>
          <w:szCs w:val="32"/>
        </w:rPr>
      </w:pPr>
      <w:bookmarkStart w:id="262" w:name="_Toc19909"/>
      <w:r>
        <w:rPr>
          <w:rFonts w:hint="eastAsia"/>
          <w:b/>
          <w:bCs/>
          <w:color w:val="auto"/>
          <w:sz w:val="32"/>
          <w:szCs w:val="32"/>
        </w:rPr>
        <w:t>（报价文件）</w:t>
      </w:r>
      <w:bookmarkEnd w:id="262"/>
    </w:p>
    <w:p>
      <w:pPr>
        <w:pStyle w:val="67"/>
        <w:snapToGrid w:val="0"/>
        <w:spacing w:line="440" w:lineRule="exact"/>
        <w:jc w:val="center"/>
        <w:outlineLvl w:val="0"/>
        <w:rPr>
          <w:b/>
          <w:color w:val="auto"/>
          <w:sz w:val="21"/>
          <w:szCs w:val="21"/>
        </w:rPr>
      </w:pPr>
      <w:bookmarkStart w:id="263" w:name="_Toc4919"/>
      <w:r>
        <w:rPr>
          <w:rFonts w:hint="eastAsia"/>
          <w:b/>
          <w:bCs/>
          <w:color w:val="auto"/>
          <w:sz w:val="21"/>
          <w:szCs w:val="21"/>
        </w:rPr>
        <w:t>1. 投标</w:t>
      </w:r>
      <w:bookmarkEnd w:id="260"/>
      <w:r>
        <w:rPr>
          <w:rFonts w:hint="eastAsia"/>
          <w:b/>
          <w:bCs/>
          <w:color w:val="auto"/>
          <w:sz w:val="21"/>
          <w:szCs w:val="21"/>
        </w:rPr>
        <w:t>函</w:t>
      </w:r>
      <w:bookmarkEnd w:id="261"/>
      <w:bookmarkEnd w:id="263"/>
    </w:p>
    <w:p>
      <w:pPr>
        <w:adjustRightInd w:val="0"/>
        <w:snapToGrid w:val="0"/>
        <w:spacing w:before="159" w:beforeLines="50" w:line="336"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(招标人)：</w:t>
      </w:r>
    </w:p>
    <w:p>
      <w:pPr>
        <w:adjustRightInd w:val="0"/>
        <w:snapToGrid w:val="0"/>
        <w:spacing w:before="159" w:beforeLines="50" w:line="336" w:lineRule="auto"/>
        <w:ind w:firstLine="435"/>
        <w:rPr>
          <w:rFonts w:ascii="宋体" w:hAnsi="宋体"/>
          <w:szCs w:val="21"/>
        </w:rPr>
      </w:pPr>
      <w:r>
        <w:rPr>
          <w:rFonts w:hint="eastAsia" w:ascii="宋体" w:hAnsi="宋体"/>
          <w:szCs w:val="21"/>
        </w:rPr>
        <w:t>根据贵方为</w:t>
      </w:r>
      <w:r>
        <w:rPr>
          <w:rFonts w:hint="eastAsia" w:ascii="宋体" w:hAnsi="宋体"/>
          <w:szCs w:val="21"/>
          <w:u w:val="single"/>
        </w:rPr>
        <w:t xml:space="preserve">          </w:t>
      </w:r>
      <w:r>
        <w:rPr>
          <w:rFonts w:hint="eastAsia" w:ascii="宋体" w:hAnsi="宋体"/>
          <w:szCs w:val="21"/>
        </w:rPr>
        <w:t xml:space="preserve">（项目名称、项目编号）的要求，签字代表 </w:t>
      </w:r>
      <w:r>
        <w:rPr>
          <w:rFonts w:hint="eastAsia" w:ascii="宋体" w:hAnsi="宋体"/>
          <w:szCs w:val="21"/>
          <w:u w:val="single"/>
        </w:rPr>
        <w:t xml:space="preserve">        </w:t>
      </w:r>
      <w:r>
        <w:rPr>
          <w:rFonts w:hint="eastAsia" w:ascii="宋体" w:hAnsi="宋体"/>
          <w:szCs w:val="21"/>
        </w:rPr>
        <w:t>（姓名、职务）经正式授权并代表投标人</w:t>
      </w:r>
      <w:r>
        <w:rPr>
          <w:rFonts w:hint="eastAsia" w:ascii="宋体" w:hAnsi="宋体"/>
          <w:szCs w:val="21"/>
          <w:u w:val="single"/>
        </w:rPr>
        <w:t xml:space="preserve">       </w:t>
      </w:r>
      <w:r>
        <w:rPr>
          <w:rFonts w:hint="eastAsia" w:ascii="宋体" w:hAnsi="宋体"/>
          <w:szCs w:val="21"/>
        </w:rPr>
        <w:t>（投标人名称、地址）提交下述文件正本</w:t>
      </w:r>
      <w:r>
        <w:rPr>
          <w:rFonts w:hint="eastAsia" w:ascii="宋体" w:hAnsi="宋体"/>
          <w:szCs w:val="21"/>
          <w:u w:val="single"/>
        </w:rPr>
        <w:t xml:space="preserve">      </w:t>
      </w:r>
      <w:r>
        <w:rPr>
          <w:rFonts w:hint="eastAsia" w:ascii="宋体" w:hAnsi="宋体"/>
          <w:szCs w:val="21"/>
        </w:rPr>
        <w:t>份、副本</w:t>
      </w:r>
      <w:r>
        <w:rPr>
          <w:rFonts w:hint="eastAsia" w:ascii="宋体" w:hAnsi="宋体"/>
          <w:szCs w:val="21"/>
          <w:u w:val="single"/>
        </w:rPr>
        <w:t xml:space="preserve">    </w:t>
      </w:r>
      <w:r>
        <w:rPr>
          <w:rFonts w:hint="eastAsia" w:ascii="宋体" w:hAnsi="宋体"/>
          <w:szCs w:val="21"/>
        </w:rPr>
        <w:t>份（电子版投标文件光盘</w:t>
      </w:r>
      <w:r>
        <w:rPr>
          <w:rFonts w:hint="eastAsia" w:ascii="宋体" w:hAnsi="宋体"/>
          <w:szCs w:val="21"/>
          <w:u w:val="single"/>
        </w:rPr>
        <w:t xml:space="preserve">   </w:t>
      </w:r>
      <w:r>
        <w:rPr>
          <w:rFonts w:hint="eastAsia" w:ascii="宋体" w:hAnsi="宋体"/>
          <w:szCs w:val="21"/>
        </w:rPr>
        <w:t>份，U盘</w:t>
      </w:r>
      <w:r>
        <w:rPr>
          <w:rFonts w:hint="eastAsia" w:ascii="宋体" w:hAnsi="宋体"/>
          <w:szCs w:val="21"/>
          <w:u w:val="single"/>
        </w:rPr>
        <w:t xml:space="preserve">   份</w:t>
      </w:r>
      <w:r>
        <w:rPr>
          <w:rFonts w:hint="eastAsia" w:ascii="宋体" w:hAnsi="宋体"/>
          <w:szCs w:val="21"/>
        </w:rPr>
        <w:t>）并在此声明，所递交的投标文件内容完整、真实。</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在此，签字代表承诺如下：</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1、我方在详细阅读招标文件各项要求，根据对应采购内容及采购要求规定愿以投标总价：￥</w:t>
      </w:r>
      <w:r>
        <w:rPr>
          <w:rFonts w:hint="eastAsia" w:ascii="宋体" w:hAnsi="宋体"/>
          <w:szCs w:val="21"/>
          <w:u w:val="single"/>
        </w:rPr>
        <w:t xml:space="preserve">           </w:t>
      </w: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)完成本项目全部货物、运输、安装、培训及相关服务。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2、我方将按招标文件的规定履行合同责任和义务。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3、我方已详细审查全部招标文件，我们完全理解并同意放弃对这方面有不明及误解的权力。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4、本投标有效期为自招标文件规定的提交投标文件截止之日起</w:t>
      </w:r>
      <w:r>
        <w:rPr>
          <w:rFonts w:hint="eastAsia" w:ascii="宋体" w:hAnsi="宋体"/>
          <w:szCs w:val="21"/>
          <w:u w:val="single"/>
        </w:rPr>
        <w:t xml:space="preserve">    </w:t>
      </w:r>
      <w:r>
        <w:rPr>
          <w:rFonts w:hint="eastAsia" w:ascii="宋体" w:hAnsi="宋体"/>
          <w:szCs w:val="21"/>
        </w:rPr>
        <w:t>个日历天。在投标有效期内我方同意遵守本投标文件中的承诺且在此期限期满之前投标文件对我方具有法律约束力。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5、若我方取得中标资格，愿以本项目招标文件规定，向招标代理机构缴纳招标代理服务费</w:t>
      </w:r>
      <w:r>
        <w:rPr>
          <w:rFonts w:ascii="宋体" w:hAnsi="宋体"/>
          <w:szCs w:val="21"/>
        </w:rPr>
        <w:t>。</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6、我方同意提供贵方可能要求的与其投标有关的一切数据或资料。</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7、与本投标有关的一切正式往来信函请寄：</w:t>
      </w:r>
    </w:p>
    <w:p>
      <w:pPr>
        <w:adjustRightInd w:val="0"/>
        <w:snapToGrid w:val="0"/>
        <w:spacing w:before="159" w:beforeLines="50" w:line="336" w:lineRule="auto"/>
        <w:rPr>
          <w:rFonts w:ascii="宋体" w:hAnsi="宋体"/>
          <w:szCs w:val="21"/>
        </w:rPr>
      </w:pPr>
      <w:r>
        <w:rPr>
          <w:rFonts w:hint="eastAsia" w:ascii="宋体" w:hAnsi="宋体"/>
          <w:szCs w:val="21"/>
        </w:rPr>
        <w:t xml:space="preserve">       地址：</w:t>
      </w:r>
      <w:r>
        <w:rPr>
          <w:rFonts w:hint="eastAsia" w:ascii="宋体" w:hAnsi="宋体"/>
          <w:szCs w:val="21"/>
          <w:u w:val="single"/>
        </w:rPr>
        <w:t xml:space="preserve">             </w:t>
      </w:r>
      <w:r>
        <w:rPr>
          <w:rFonts w:hint="eastAsia" w:ascii="宋体" w:hAnsi="宋体"/>
          <w:szCs w:val="21"/>
        </w:rPr>
        <w:t xml:space="preserve"> 邮编：</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r>
        <w:rPr>
          <w:rFonts w:hint="eastAsia" w:ascii="宋体" w:hAnsi="宋体"/>
          <w:szCs w:val="21"/>
        </w:rPr>
        <w:t xml:space="preserve"> </w:t>
      </w:r>
    </w:p>
    <w:p>
      <w:pPr>
        <w:pStyle w:val="19"/>
        <w:adjustRightInd w:val="0"/>
        <w:snapToGrid w:val="0"/>
        <w:spacing w:before="159" w:beforeLines="50" w:line="336" w:lineRule="auto"/>
        <w:ind w:left="2108" w:leftChars="1004"/>
        <w:rPr>
          <w:rFonts w:hAnsi="宋体"/>
          <w:szCs w:val="21"/>
        </w:rPr>
      </w:pPr>
    </w:p>
    <w:p>
      <w:pPr>
        <w:pStyle w:val="19"/>
        <w:adjustRightInd w:val="0"/>
        <w:snapToGrid w:val="0"/>
        <w:spacing w:before="159" w:beforeLines="50" w:line="336" w:lineRule="auto"/>
        <w:ind w:left="2108" w:leftChars="1004"/>
        <w:rPr>
          <w:rFonts w:hAnsi="宋体"/>
          <w:szCs w:val="21"/>
          <w:u w:val="single"/>
        </w:rPr>
      </w:pPr>
      <w:r>
        <w:rPr>
          <w:rFonts w:hint="eastAsia" w:hAnsi="宋体"/>
          <w:szCs w:val="21"/>
        </w:rPr>
        <w:t>投标人名称(盖公章)：</w:t>
      </w:r>
      <w:r>
        <w:rPr>
          <w:rFonts w:hint="eastAsia" w:hAnsi="宋体"/>
          <w:szCs w:val="21"/>
          <w:u w:val="single"/>
        </w:rPr>
        <w:t xml:space="preserve">                            </w:t>
      </w:r>
    </w:p>
    <w:p>
      <w:pPr>
        <w:adjustRightInd w:val="0"/>
        <w:snapToGrid w:val="0"/>
        <w:spacing w:before="159" w:beforeLines="50" w:line="336" w:lineRule="auto"/>
        <w:ind w:left="2108" w:leftChars="1004"/>
        <w:rPr>
          <w:rFonts w:ascii="宋体" w:hAnsi="宋体"/>
          <w:szCs w:val="21"/>
          <w:u w:val="single"/>
        </w:rPr>
      </w:pPr>
      <w:r>
        <w:rPr>
          <w:rFonts w:hint="eastAsia" w:ascii="宋体" w:hAnsi="宋体"/>
          <w:szCs w:val="21"/>
        </w:rPr>
        <w:t>法定代表人或其授权的代理人(签字)：</w:t>
      </w:r>
      <w:r>
        <w:rPr>
          <w:rFonts w:hint="eastAsia" w:ascii="宋体" w:hAnsi="宋体"/>
          <w:szCs w:val="21"/>
          <w:u w:val="single"/>
        </w:rPr>
        <w:t xml:space="preserve">               </w:t>
      </w:r>
    </w:p>
    <w:p>
      <w:pPr>
        <w:adjustRightInd w:val="0"/>
        <w:snapToGrid w:val="0"/>
        <w:spacing w:before="159" w:beforeLines="50" w:line="336" w:lineRule="auto"/>
        <w:ind w:left="2108" w:leftChars="1004"/>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67"/>
        <w:snapToGrid w:val="0"/>
        <w:spacing w:line="440" w:lineRule="exact"/>
        <w:ind w:firstLine="420" w:firstLineChars="200"/>
        <w:jc w:val="center"/>
        <w:rPr>
          <w:color w:val="auto"/>
          <w:sz w:val="21"/>
          <w:szCs w:val="21"/>
        </w:rPr>
      </w:pPr>
    </w:p>
    <w:p>
      <w:pPr>
        <w:pStyle w:val="67"/>
        <w:snapToGrid w:val="0"/>
        <w:spacing w:line="360" w:lineRule="auto"/>
        <w:ind w:firstLine="630"/>
        <w:jc w:val="both"/>
        <w:rPr>
          <w:rFonts w:ascii="宋体" w:hAnsi="宋体"/>
          <w:color w:val="auto"/>
          <w:sz w:val="21"/>
          <w:szCs w:val="21"/>
        </w:rPr>
      </w:pPr>
    </w:p>
    <w:p>
      <w:pPr>
        <w:pStyle w:val="67"/>
        <w:snapToGrid w:val="0"/>
        <w:spacing w:line="360" w:lineRule="auto"/>
        <w:ind w:firstLine="630"/>
        <w:jc w:val="both"/>
        <w:rPr>
          <w:rFonts w:ascii="宋体" w:hAnsi="宋体"/>
          <w:color w:val="auto"/>
          <w:sz w:val="21"/>
          <w:szCs w:val="21"/>
        </w:rPr>
      </w:pPr>
    </w:p>
    <w:p>
      <w:pPr>
        <w:pStyle w:val="4"/>
        <w:spacing w:before="0" w:after="40"/>
        <w:jc w:val="center"/>
        <w:rPr>
          <w:rFonts w:ascii="Times New Roman" w:hAnsi="Times New Roman" w:eastAsia="宋体"/>
          <w:kern w:val="0"/>
          <w:sz w:val="21"/>
          <w:szCs w:val="21"/>
        </w:rPr>
      </w:pPr>
      <w:r>
        <w:rPr>
          <w:rFonts w:ascii="宋体" w:hAnsi="宋体"/>
          <w:szCs w:val="21"/>
        </w:rPr>
        <w:br w:type="page"/>
      </w:r>
      <w:bookmarkStart w:id="264" w:name="_Toc515570483"/>
      <w:bookmarkStart w:id="265" w:name="_Toc3932"/>
      <w:bookmarkStart w:id="266" w:name="_Toc16970"/>
      <w:bookmarkStart w:id="267" w:name="_Toc515525231"/>
      <w:bookmarkStart w:id="268" w:name="_Toc17204498"/>
      <w:bookmarkStart w:id="269" w:name="_Toc23220"/>
      <w:r>
        <w:rPr>
          <w:rFonts w:hint="eastAsia" w:ascii="Times New Roman" w:hAnsi="Times New Roman" w:eastAsia="宋体"/>
          <w:kern w:val="0"/>
          <w:sz w:val="21"/>
          <w:szCs w:val="21"/>
        </w:rPr>
        <w:t>2.投标报价一览表</w:t>
      </w:r>
      <w:bookmarkEnd w:id="264"/>
      <w:bookmarkEnd w:id="265"/>
      <w:bookmarkEnd w:id="266"/>
      <w:bookmarkEnd w:id="267"/>
      <w:bookmarkEnd w:id="268"/>
    </w:p>
    <w:p>
      <w:pPr>
        <w:adjustRightInd w:val="0"/>
        <w:snapToGrid w:val="0"/>
        <w:ind w:left="-88" w:leftChars="-42" w:firstLine="420" w:firstLineChars="200"/>
        <w:jc w:val="center"/>
        <w:rPr>
          <w:rFonts w:ascii="宋体" w:hAnsi="宋体"/>
          <w:szCs w:val="21"/>
        </w:rPr>
      </w:pPr>
      <w:r>
        <w:rPr>
          <w:rFonts w:hint="eastAsia" w:ascii="宋体" w:hAnsi="宋体"/>
          <w:szCs w:val="21"/>
          <w:lang w:eastAsia="zh-CN"/>
        </w:rPr>
        <w:t>（</w:t>
      </w:r>
      <w:r>
        <w:rPr>
          <w:rFonts w:hint="eastAsia" w:ascii="宋体" w:hAnsi="宋体"/>
          <w:szCs w:val="21"/>
          <w:lang w:val="en-US" w:eastAsia="zh-CN"/>
        </w:rPr>
        <w:t>一包按照此表填写</w:t>
      </w:r>
      <w:r>
        <w:rPr>
          <w:rFonts w:hint="eastAsia" w:ascii="宋体" w:hAnsi="宋体"/>
          <w:szCs w:val="21"/>
          <w:lang w:eastAsia="zh-CN"/>
        </w:rPr>
        <w:t>）</w:t>
      </w:r>
      <w:r>
        <w:rPr>
          <w:rFonts w:hint="eastAsia" w:ascii="宋体" w:hAnsi="宋体"/>
          <w:szCs w:val="21"/>
        </w:rPr>
        <w:t xml:space="preserve">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74"/>
        <w:gridCol w:w="1985"/>
        <w:gridCol w:w="241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jc w:val="center"/>
        </w:trPr>
        <w:tc>
          <w:tcPr>
            <w:tcW w:w="3074" w:type="dxa"/>
            <w:vAlign w:val="center"/>
          </w:tcPr>
          <w:p>
            <w:pPr>
              <w:spacing w:line="360" w:lineRule="auto"/>
              <w:jc w:val="center"/>
              <w:rPr>
                <w:rFonts w:ascii="宋体" w:hAnsi="宋体" w:cs="宋体"/>
                <w:sz w:val="24"/>
              </w:rPr>
            </w:pPr>
            <w:r>
              <w:rPr>
                <w:rFonts w:hint="eastAsia" w:ascii="宋体" w:hAnsi="宋体" w:cs="宋体"/>
                <w:sz w:val="24"/>
              </w:rPr>
              <w:t>项目名称</w:t>
            </w:r>
          </w:p>
        </w:tc>
        <w:tc>
          <w:tcPr>
            <w:tcW w:w="1985" w:type="dxa"/>
            <w:vAlign w:val="center"/>
          </w:tcPr>
          <w:p>
            <w:pPr>
              <w:spacing w:line="360" w:lineRule="auto"/>
              <w:jc w:val="center"/>
              <w:rPr>
                <w:rFonts w:ascii="宋体" w:hAnsi="宋体" w:cs="宋体"/>
                <w:sz w:val="24"/>
              </w:rPr>
            </w:pPr>
            <w:r>
              <w:rPr>
                <w:rFonts w:hint="eastAsia" w:ascii="宋体" w:hAnsi="宋体" w:cs="宋体"/>
                <w:sz w:val="24"/>
              </w:rPr>
              <w:t>投标报价（元）</w:t>
            </w:r>
          </w:p>
        </w:tc>
        <w:tc>
          <w:tcPr>
            <w:tcW w:w="2417" w:type="dxa"/>
            <w:vAlign w:val="center"/>
          </w:tcPr>
          <w:p>
            <w:pPr>
              <w:spacing w:line="360" w:lineRule="auto"/>
              <w:jc w:val="center"/>
              <w:rPr>
                <w:rFonts w:ascii="宋体" w:hAnsi="宋体" w:cs="宋体"/>
                <w:sz w:val="24"/>
              </w:rPr>
            </w:pPr>
            <w:r>
              <w:rPr>
                <w:rFonts w:hint="eastAsia" w:ascii="宋体" w:hAnsi="宋体" w:cs="宋体"/>
                <w:sz w:val="24"/>
                <w:lang w:val="en-US" w:eastAsia="zh-CN"/>
              </w:rPr>
              <w:t>服务</w:t>
            </w:r>
            <w:r>
              <w:rPr>
                <w:rFonts w:hint="eastAsia" w:ascii="宋体" w:hAnsi="宋体" w:cs="宋体"/>
                <w:sz w:val="24"/>
              </w:rPr>
              <w:t>期(日历天)</w:t>
            </w:r>
          </w:p>
        </w:tc>
        <w:tc>
          <w:tcPr>
            <w:tcW w:w="1764" w:type="dxa"/>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4" w:hRule="atLeast"/>
          <w:jc w:val="center"/>
        </w:trPr>
        <w:tc>
          <w:tcPr>
            <w:tcW w:w="3074" w:type="dxa"/>
            <w:vAlign w:val="center"/>
          </w:tcPr>
          <w:p>
            <w:pPr>
              <w:spacing w:line="360" w:lineRule="auto"/>
              <w:jc w:val="center"/>
              <w:rPr>
                <w:rFonts w:ascii="宋体" w:hAnsi="宋体" w:cs="宋体"/>
                <w:sz w:val="24"/>
              </w:rPr>
            </w:pPr>
          </w:p>
        </w:tc>
        <w:tc>
          <w:tcPr>
            <w:tcW w:w="1985" w:type="dxa"/>
            <w:vAlign w:val="center"/>
          </w:tcPr>
          <w:p>
            <w:pPr>
              <w:spacing w:line="360" w:lineRule="auto"/>
              <w:jc w:val="center"/>
              <w:rPr>
                <w:rFonts w:ascii="宋体" w:hAnsi="宋体" w:cs="宋体"/>
                <w:sz w:val="24"/>
              </w:rPr>
            </w:pPr>
            <w:r>
              <w:rPr>
                <w:rFonts w:hint="eastAsia" w:ascii="宋体" w:hAnsi="宋体" w:cs="宋体"/>
                <w:sz w:val="24"/>
              </w:rPr>
              <w:t>小写：</w:t>
            </w:r>
          </w:p>
          <w:p>
            <w:pPr>
              <w:spacing w:line="360" w:lineRule="auto"/>
              <w:jc w:val="center"/>
              <w:rPr>
                <w:rFonts w:ascii="宋体" w:hAnsi="宋体" w:cs="宋体"/>
                <w:sz w:val="24"/>
              </w:rPr>
            </w:pPr>
            <w:r>
              <w:rPr>
                <w:rFonts w:hint="eastAsia" w:ascii="宋体" w:hAnsi="宋体" w:cs="宋体"/>
                <w:sz w:val="24"/>
              </w:rPr>
              <w:t>大写：</w:t>
            </w:r>
          </w:p>
        </w:tc>
        <w:tc>
          <w:tcPr>
            <w:tcW w:w="2417" w:type="dxa"/>
            <w:vAlign w:val="center"/>
          </w:tcPr>
          <w:p>
            <w:pPr>
              <w:spacing w:line="360" w:lineRule="auto"/>
              <w:jc w:val="center"/>
              <w:rPr>
                <w:rFonts w:ascii="宋体" w:hAnsi="宋体" w:cs="宋体"/>
                <w:sz w:val="24"/>
              </w:rPr>
            </w:pPr>
          </w:p>
        </w:tc>
        <w:tc>
          <w:tcPr>
            <w:tcW w:w="1764" w:type="dxa"/>
            <w:vAlign w:val="center"/>
          </w:tcPr>
          <w:p>
            <w:pPr>
              <w:spacing w:line="360" w:lineRule="auto"/>
              <w:jc w:val="center"/>
              <w:rPr>
                <w:rFonts w:ascii="宋体" w:hAnsi="宋体" w:cs="宋体"/>
                <w:sz w:val="24"/>
              </w:rPr>
            </w:pPr>
          </w:p>
        </w:tc>
      </w:tr>
    </w:tbl>
    <w:p>
      <w:pPr>
        <w:adjustRightInd w:val="0"/>
        <w:snapToGrid w:val="0"/>
        <w:ind w:left="2480" w:leftChars="1181"/>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288" w:lineRule="auto"/>
        <w:ind w:left="425"/>
        <w:jc w:val="left"/>
        <w:rPr>
          <w:rFonts w:ascii="宋体" w:hAnsi="宋体"/>
          <w:b/>
          <w:sz w:val="18"/>
          <w:szCs w:val="18"/>
        </w:rPr>
      </w:pPr>
      <w:r>
        <w:rPr>
          <w:rFonts w:hint="eastAsia" w:ascii="宋体" w:hAnsi="宋体"/>
          <w:b/>
          <w:sz w:val="18"/>
          <w:szCs w:val="18"/>
        </w:rPr>
        <w:t>说明：</w:t>
      </w:r>
    </w:p>
    <w:p>
      <w:pPr>
        <w:adjustRightInd w:val="0"/>
        <w:snapToGrid w:val="0"/>
        <w:spacing w:line="288" w:lineRule="auto"/>
        <w:ind w:left="425"/>
        <w:jc w:val="left"/>
        <w:rPr>
          <w:b/>
          <w:sz w:val="18"/>
          <w:szCs w:val="18"/>
        </w:rPr>
      </w:pPr>
      <w:r>
        <w:rPr>
          <w:rFonts w:hint="eastAsia"/>
          <w:b/>
          <w:sz w:val="18"/>
          <w:szCs w:val="18"/>
        </w:rPr>
        <w:t>1、请严格按此“投标报价一览表”格式填写，投标人报价时应详细阅读招标文件报价要求并自行考虑市场风险以及价格合理性。</w:t>
      </w:r>
    </w:p>
    <w:p>
      <w:pPr>
        <w:adjustRightInd w:val="0"/>
        <w:snapToGrid w:val="0"/>
        <w:spacing w:line="288" w:lineRule="auto"/>
        <w:ind w:left="425"/>
        <w:jc w:val="left"/>
        <w:rPr>
          <w:b/>
          <w:sz w:val="18"/>
          <w:szCs w:val="18"/>
        </w:rPr>
      </w:pPr>
      <w:r>
        <w:rPr>
          <w:rFonts w:hint="eastAsia"/>
          <w:b/>
          <w:sz w:val="18"/>
          <w:szCs w:val="18"/>
        </w:rPr>
        <w:t>2、合价之和即为投标总报价，合价依据为分项价格表计算得出。</w:t>
      </w:r>
    </w:p>
    <w:p>
      <w:pPr>
        <w:adjustRightInd w:val="0"/>
        <w:snapToGrid w:val="0"/>
        <w:spacing w:line="288" w:lineRule="auto"/>
        <w:ind w:left="425"/>
        <w:jc w:val="left"/>
        <w:rPr>
          <w:b/>
          <w:sz w:val="18"/>
          <w:szCs w:val="18"/>
        </w:rPr>
      </w:pPr>
      <w:r>
        <w:rPr>
          <w:rFonts w:hint="eastAsia"/>
          <w:b/>
          <w:sz w:val="18"/>
          <w:szCs w:val="18"/>
        </w:rPr>
        <w:t>3、投标报价一览表中投标总报价应与投标函一致。</w:t>
      </w:r>
    </w:p>
    <w:p>
      <w:pPr>
        <w:spacing w:line="400" w:lineRule="exact"/>
        <w:jc w:val="center"/>
        <w:rPr>
          <w:rFonts w:ascii="宋体" w:hAnsi="宋体"/>
          <w:b/>
          <w:bCs/>
          <w:szCs w:val="21"/>
        </w:rPr>
      </w:pPr>
    </w:p>
    <w:p>
      <w:pPr>
        <w:spacing w:line="400" w:lineRule="exact"/>
        <w:jc w:val="center"/>
        <w:rPr>
          <w:rFonts w:ascii="宋体" w:hAnsi="宋体"/>
          <w:b/>
          <w:bCs/>
          <w:szCs w:val="21"/>
        </w:rPr>
      </w:pPr>
    </w:p>
    <w:p>
      <w:pPr>
        <w:pStyle w:val="4"/>
        <w:spacing w:before="0" w:after="40"/>
        <w:jc w:val="center"/>
        <w:rPr>
          <w:rFonts w:ascii="Times New Roman" w:hAnsi="Times New Roman" w:eastAsia="宋体"/>
          <w:kern w:val="0"/>
          <w:sz w:val="21"/>
          <w:szCs w:val="21"/>
        </w:rPr>
      </w:pPr>
      <w:bookmarkStart w:id="270" w:name="_Toc24944"/>
      <w:r>
        <w:rPr>
          <w:rFonts w:hint="eastAsia" w:ascii="Times New Roman" w:hAnsi="Times New Roman" w:eastAsia="宋体"/>
          <w:kern w:val="0"/>
          <w:sz w:val="21"/>
          <w:szCs w:val="21"/>
        </w:rPr>
        <w:t>2.投标报价一览表</w:t>
      </w:r>
      <w:bookmarkEnd w:id="270"/>
    </w:p>
    <w:p>
      <w:pPr>
        <w:adjustRightInd w:val="0"/>
        <w:snapToGrid w:val="0"/>
        <w:ind w:left="-88" w:leftChars="-42" w:firstLine="420" w:firstLineChars="200"/>
        <w:jc w:val="center"/>
        <w:rPr>
          <w:rFonts w:ascii="宋体" w:hAnsi="宋体"/>
          <w:szCs w:val="21"/>
        </w:rPr>
      </w:pPr>
      <w:r>
        <w:rPr>
          <w:rFonts w:hint="eastAsia" w:ascii="宋体" w:hAnsi="宋体"/>
          <w:szCs w:val="21"/>
          <w:lang w:eastAsia="zh-CN"/>
        </w:rPr>
        <w:t>（</w:t>
      </w:r>
      <w:r>
        <w:rPr>
          <w:rFonts w:hint="eastAsia" w:ascii="宋体" w:hAnsi="宋体"/>
          <w:szCs w:val="21"/>
          <w:lang w:val="en-US" w:eastAsia="zh-CN"/>
        </w:rPr>
        <w:t>二包按照此表填写</w:t>
      </w:r>
      <w:r>
        <w:rPr>
          <w:rFonts w:hint="eastAsia" w:ascii="宋体" w:hAnsi="宋体"/>
          <w:szCs w:val="21"/>
          <w:lang w:eastAsia="zh-CN"/>
        </w:rPr>
        <w:t>）</w:t>
      </w:r>
      <w:r>
        <w:rPr>
          <w:rFonts w:hint="eastAsia" w:ascii="宋体" w:hAnsi="宋体"/>
          <w:szCs w:val="21"/>
        </w:rPr>
        <w:t xml:space="preserve"> </w:t>
      </w:r>
    </w:p>
    <w:p>
      <w:pPr>
        <w:adjustRightInd w:val="0"/>
        <w:snapToGrid w:val="0"/>
        <w:ind w:left="-88" w:leftChars="-42" w:firstLine="420" w:firstLineChars="200"/>
        <w:jc w:val="right"/>
        <w:rPr>
          <w:rFonts w:ascii="宋体" w:hAnsi="宋体"/>
          <w:szCs w:val="21"/>
        </w:rPr>
      </w:pPr>
      <w:r>
        <w:rPr>
          <w:rFonts w:hint="eastAsia" w:ascii="宋体" w:hAnsi="宋体"/>
          <w:szCs w:val="21"/>
        </w:rPr>
        <w:t xml:space="preserve">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74"/>
        <w:gridCol w:w="1985"/>
        <w:gridCol w:w="241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jc w:val="center"/>
        </w:trPr>
        <w:tc>
          <w:tcPr>
            <w:tcW w:w="3074" w:type="dxa"/>
            <w:vAlign w:val="center"/>
          </w:tcPr>
          <w:p>
            <w:pPr>
              <w:spacing w:line="360" w:lineRule="auto"/>
              <w:jc w:val="center"/>
              <w:rPr>
                <w:rFonts w:ascii="宋体" w:hAnsi="宋体" w:cs="宋体"/>
                <w:sz w:val="24"/>
              </w:rPr>
            </w:pPr>
            <w:r>
              <w:rPr>
                <w:rFonts w:hint="eastAsia" w:ascii="宋体" w:hAnsi="宋体" w:cs="宋体"/>
                <w:sz w:val="24"/>
              </w:rPr>
              <w:t>项目名称</w:t>
            </w:r>
          </w:p>
        </w:tc>
        <w:tc>
          <w:tcPr>
            <w:tcW w:w="1985" w:type="dxa"/>
            <w:vAlign w:val="center"/>
          </w:tcPr>
          <w:p>
            <w:pPr>
              <w:spacing w:line="360" w:lineRule="auto"/>
              <w:jc w:val="center"/>
              <w:rPr>
                <w:rFonts w:ascii="宋体" w:hAnsi="宋体" w:cs="宋体"/>
                <w:sz w:val="24"/>
              </w:rPr>
            </w:pPr>
            <w:r>
              <w:rPr>
                <w:rFonts w:hint="eastAsia" w:ascii="宋体" w:hAnsi="宋体" w:cs="宋体"/>
                <w:sz w:val="24"/>
              </w:rPr>
              <w:t>投标报价（元）</w:t>
            </w:r>
          </w:p>
        </w:tc>
        <w:tc>
          <w:tcPr>
            <w:tcW w:w="2417" w:type="dxa"/>
            <w:vAlign w:val="center"/>
          </w:tcPr>
          <w:p>
            <w:pPr>
              <w:spacing w:line="360" w:lineRule="auto"/>
              <w:jc w:val="center"/>
              <w:rPr>
                <w:rFonts w:ascii="宋体" w:hAnsi="宋体" w:cs="宋体"/>
                <w:sz w:val="24"/>
              </w:rPr>
            </w:pPr>
            <w:r>
              <w:rPr>
                <w:rFonts w:hint="eastAsia" w:ascii="宋体" w:hAnsi="宋体" w:cs="宋体"/>
                <w:sz w:val="24"/>
              </w:rPr>
              <w:t>供货期(日历天)</w:t>
            </w:r>
          </w:p>
        </w:tc>
        <w:tc>
          <w:tcPr>
            <w:tcW w:w="1764" w:type="dxa"/>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4" w:hRule="atLeast"/>
          <w:jc w:val="center"/>
        </w:trPr>
        <w:tc>
          <w:tcPr>
            <w:tcW w:w="3074" w:type="dxa"/>
            <w:vAlign w:val="center"/>
          </w:tcPr>
          <w:p>
            <w:pPr>
              <w:spacing w:line="360" w:lineRule="auto"/>
              <w:jc w:val="center"/>
              <w:rPr>
                <w:rFonts w:ascii="宋体" w:hAnsi="宋体" w:cs="宋体"/>
                <w:sz w:val="24"/>
              </w:rPr>
            </w:pPr>
          </w:p>
        </w:tc>
        <w:tc>
          <w:tcPr>
            <w:tcW w:w="1985" w:type="dxa"/>
            <w:vAlign w:val="center"/>
          </w:tcPr>
          <w:p>
            <w:pPr>
              <w:spacing w:line="360" w:lineRule="auto"/>
              <w:jc w:val="center"/>
              <w:rPr>
                <w:rFonts w:ascii="宋体" w:hAnsi="宋体" w:cs="宋体"/>
                <w:sz w:val="24"/>
              </w:rPr>
            </w:pPr>
            <w:r>
              <w:rPr>
                <w:rFonts w:hint="eastAsia" w:ascii="宋体" w:hAnsi="宋体" w:cs="宋体"/>
                <w:sz w:val="24"/>
              </w:rPr>
              <w:t>小写：</w:t>
            </w:r>
          </w:p>
          <w:p>
            <w:pPr>
              <w:spacing w:line="360" w:lineRule="auto"/>
              <w:jc w:val="center"/>
              <w:rPr>
                <w:rFonts w:ascii="宋体" w:hAnsi="宋体" w:cs="宋体"/>
                <w:sz w:val="24"/>
              </w:rPr>
            </w:pPr>
            <w:r>
              <w:rPr>
                <w:rFonts w:hint="eastAsia" w:ascii="宋体" w:hAnsi="宋体" w:cs="宋体"/>
                <w:sz w:val="24"/>
              </w:rPr>
              <w:t>大写：</w:t>
            </w:r>
          </w:p>
        </w:tc>
        <w:tc>
          <w:tcPr>
            <w:tcW w:w="2417" w:type="dxa"/>
            <w:vAlign w:val="center"/>
          </w:tcPr>
          <w:p>
            <w:pPr>
              <w:spacing w:line="360" w:lineRule="auto"/>
              <w:jc w:val="center"/>
              <w:rPr>
                <w:rFonts w:ascii="宋体" w:hAnsi="宋体" w:cs="宋体"/>
                <w:sz w:val="24"/>
              </w:rPr>
            </w:pPr>
          </w:p>
        </w:tc>
        <w:tc>
          <w:tcPr>
            <w:tcW w:w="1764" w:type="dxa"/>
            <w:vAlign w:val="center"/>
          </w:tcPr>
          <w:p>
            <w:pPr>
              <w:spacing w:line="360" w:lineRule="auto"/>
              <w:jc w:val="center"/>
              <w:rPr>
                <w:rFonts w:ascii="宋体" w:hAnsi="宋体" w:cs="宋体"/>
                <w:sz w:val="24"/>
              </w:rPr>
            </w:pPr>
          </w:p>
        </w:tc>
      </w:tr>
    </w:tbl>
    <w:p>
      <w:pPr>
        <w:adjustRightInd w:val="0"/>
        <w:snapToGrid w:val="0"/>
        <w:ind w:left="2480" w:leftChars="1181"/>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288" w:lineRule="auto"/>
        <w:ind w:left="425"/>
        <w:jc w:val="left"/>
        <w:rPr>
          <w:rFonts w:ascii="宋体" w:hAnsi="宋体"/>
          <w:b/>
          <w:sz w:val="18"/>
          <w:szCs w:val="18"/>
        </w:rPr>
      </w:pPr>
      <w:r>
        <w:rPr>
          <w:rFonts w:hint="eastAsia" w:ascii="宋体" w:hAnsi="宋体"/>
          <w:b/>
          <w:sz w:val="18"/>
          <w:szCs w:val="18"/>
        </w:rPr>
        <w:t>说明：</w:t>
      </w:r>
    </w:p>
    <w:p>
      <w:pPr>
        <w:adjustRightInd w:val="0"/>
        <w:snapToGrid w:val="0"/>
        <w:spacing w:line="288" w:lineRule="auto"/>
        <w:ind w:left="425"/>
        <w:jc w:val="left"/>
        <w:rPr>
          <w:b/>
          <w:sz w:val="18"/>
          <w:szCs w:val="18"/>
        </w:rPr>
      </w:pPr>
      <w:r>
        <w:rPr>
          <w:rFonts w:hint="eastAsia"/>
          <w:b/>
          <w:sz w:val="18"/>
          <w:szCs w:val="18"/>
        </w:rPr>
        <w:t>1、请严格按此“投标报价一览表”格式填写，投标人报价时应详细阅读招标文件报价要求并自行考虑市场风险以及价格合理性。</w:t>
      </w:r>
    </w:p>
    <w:p>
      <w:pPr>
        <w:adjustRightInd w:val="0"/>
        <w:snapToGrid w:val="0"/>
        <w:spacing w:line="288" w:lineRule="auto"/>
        <w:ind w:left="425"/>
        <w:jc w:val="left"/>
        <w:rPr>
          <w:b/>
          <w:sz w:val="18"/>
          <w:szCs w:val="18"/>
        </w:rPr>
      </w:pPr>
      <w:r>
        <w:rPr>
          <w:rFonts w:hint="eastAsia"/>
          <w:b/>
          <w:sz w:val="18"/>
          <w:szCs w:val="18"/>
        </w:rPr>
        <w:t>2、合价之和即为投标总报价，合价依据为分项价格表计算得出。</w:t>
      </w:r>
    </w:p>
    <w:p>
      <w:pPr>
        <w:adjustRightInd w:val="0"/>
        <w:snapToGrid w:val="0"/>
        <w:spacing w:line="288" w:lineRule="auto"/>
        <w:ind w:left="425"/>
        <w:jc w:val="left"/>
        <w:rPr>
          <w:b/>
          <w:sz w:val="18"/>
          <w:szCs w:val="18"/>
        </w:rPr>
      </w:pPr>
      <w:r>
        <w:rPr>
          <w:rFonts w:hint="eastAsia"/>
          <w:b/>
          <w:sz w:val="18"/>
          <w:szCs w:val="18"/>
        </w:rPr>
        <w:t>3、投标报价一览表中投标总报价应与投标函一致。</w:t>
      </w:r>
    </w:p>
    <w:p>
      <w:pPr>
        <w:pStyle w:val="4"/>
      </w:pPr>
    </w:p>
    <w:p/>
    <w:p>
      <w:pPr>
        <w:pStyle w:val="4"/>
        <w:spacing w:before="0" w:after="40"/>
        <w:jc w:val="center"/>
        <w:rPr>
          <w:rFonts w:ascii="Times New Roman" w:hAnsi="Times New Roman" w:eastAsia="宋体"/>
          <w:kern w:val="0"/>
          <w:sz w:val="21"/>
          <w:szCs w:val="21"/>
        </w:rPr>
      </w:pPr>
      <w:bookmarkStart w:id="271" w:name="_Toc12961"/>
      <w:bookmarkStart w:id="272" w:name="_Toc14072"/>
      <w:bookmarkStart w:id="273" w:name="_Toc21470"/>
      <w:bookmarkStart w:id="274" w:name="_Toc515525232"/>
      <w:bookmarkStart w:id="275" w:name="_Toc17204499"/>
      <w:bookmarkStart w:id="276" w:name="_Toc515570484"/>
      <w:bookmarkStart w:id="277" w:name="_Toc385671125"/>
      <w:r>
        <w:rPr>
          <w:rFonts w:hint="eastAsia" w:ascii="Times New Roman" w:hAnsi="Times New Roman" w:eastAsia="宋体"/>
          <w:kern w:val="0"/>
          <w:sz w:val="21"/>
          <w:szCs w:val="21"/>
        </w:rPr>
        <w:t>3.报价明细表</w:t>
      </w:r>
      <w:bookmarkEnd w:id="271"/>
      <w:bookmarkEnd w:id="272"/>
      <w:bookmarkEnd w:id="273"/>
    </w:p>
    <w:p>
      <w:pPr>
        <w:adjustRightInd w:val="0"/>
        <w:snapToGrid w:val="0"/>
        <w:ind w:left="-88" w:leftChars="-42" w:firstLine="420" w:firstLineChars="200"/>
        <w:jc w:val="left"/>
        <w:rPr>
          <w:rFonts w:hint="eastAsia" w:ascii="宋体" w:hAnsi="宋体"/>
          <w:szCs w:val="21"/>
        </w:rPr>
      </w:pPr>
      <w:r>
        <w:rPr>
          <w:rFonts w:hint="eastAsia" w:ascii="宋体" w:hAnsi="宋体" w:cs="宋体"/>
        </w:rPr>
        <w:t xml:space="preserve">                       </w:t>
      </w:r>
      <w:r>
        <w:rPr>
          <w:rFonts w:hint="eastAsia" w:ascii="宋体" w:hAnsi="宋体"/>
          <w:szCs w:val="21"/>
          <w:lang w:eastAsia="zh-CN"/>
        </w:rPr>
        <w:t>（</w:t>
      </w:r>
      <w:r>
        <w:rPr>
          <w:rFonts w:hint="eastAsia" w:ascii="宋体" w:hAnsi="宋体"/>
          <w:szCs w:val="21"/>
          <w:lang w:val="en-US" w:eastAsia="zh-CN"/>
        </w:rPr>
        <w:t>一包按照此表填写</w:t>
      </w:r>
      <w:r>
        <w:rPr>
          <w:rFonts w:hint="eastAsia" w:ascii="宋体" w:hAnsi="宋体"/>
          <w:szCs w:val="21"/>
          <w:lang w:eastAsia="zh-CN"/>
        </w:rPr>
        <w:t>）</w:t>
      </w:r>
    </w:p>
    <w:tbl>
      <w:tblPr>
        <w:tblStyle w:val="39"/>
        <w:tblW w:w="7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5"/>
        <w:gridCol w:w="1624"/>
        <w:gridCol w:w="1330"/>
        <w:gridCol w:w="1330"/>
        <w:gridCol w:w="1330"/>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jc w:val="center"/>
        </w:trPr>
        <w:tc>
          <w:tcPr>
            <w:tcW w:w="1035" w:type="dxa"/>
            <w:vAlign w:val="center"/>
          </w:tcPr>
          <w:p>
            <w:pPr>
              <w:tabs>
                <w:tab w:val="left" w:pos="0"/>
              </w:tabs>
              <w:spacing w:line="360" w:lineRule="auto"/>
              <w:jc w:val="center"/>
              <w:rPr>
                <w:rFonts w:ascii="宋体" w:hAnsi="宋体" w:cs="宋体"/>
              </w:rPr>
            </w:pPr>
            <w:r>
              <w:rPr>
                <w:rFonts w:hint="eastAsia" w:ascii="宋体" w:hAnsi="宋体" w:cs="宋体"/>
              </w:rPr>
              <w:t>序号</w:t>
            </w:r>
          </w:p>
        </w:tc>
        <w:tc>
          <w:tcPr>
            <w:tcW w:w="1624" w:type="dxa"/>
            <w:vAlign w:val="center"/>
          </w:tcPr>
          <w:p>
            <w:pPr>
              <w:tabs>
                <w:tab w:val="left" w:pos="0"/>
              </w:tabs>
              <w:spacing w:line="360" w:lineRule="auto"/>
              <w:jc w:val="center"/>
              <w:rPr>
                <w:rFonts w:ascii="宋体" w:hAnsi="宋体" w:cs="宋体"/>
              </w:rPr>
            </w:pPr>
            <w:r>
              <w:rPr>
                <w:rFonts w:hint="eastAsia" w:ascii="宋体" w:hAnsi="宋体" w:cs="宋体"/>
              </w:rPr>
              <w:t>产品名称</w:t>
            </w:r>
          </w:p>
        </w:tc>
        <w:tc>
          <w:tcPr>
            <w:tcW w:w="1330" w:type="dxa"/>
            <w:vAlign w:val="center"/>
          </w:tcPr>
          <w:p>
            <w:pPr>
              <w:tabs>
                <w:tab w:val="left" w:pos="0"/>
              </w:tabs>
              <w:spacing w:line="360" w:lineRule="auto"/>
              <w:jc w:val="center"/>
              <w:rPr>
                <w:rFonts w:ascii="宋体" w:hAnsi="宋体" w:eastAsia="宋体" w:cs="宋体"/>
                <w:kern w:val="2"/>
                <w:sz w:val="21"/>
                <w:szCs w:val="24"/>
                <w:lang w:val="en-US" w:eastAsia="zh-CN" w:bidi="ar-SA"/>
              </w:rPr>
            </w:pPr>
            <w:r>
              <w:rPr>
                <w:rFonts w:hint="eastAsia" w:ascii="宋体" w:hAnsi="宋体" w:cs="宋体"/>
              </w:rPr>
              <w:t>单价（元）</w:t>
            </w:r>
          </w:p>
        </w:tc>
        <w:tc>
          <w:tcPr>
            <w:tcW w:w="1330" w:type="dxa"/>
            <w:vAlign w:val="center"/>
          </w:tcPr>
          <w:p>
            <w:pPr>
              <w:tabs>
                <w:tab w:val="left" w:pos="0"/>
              </w:tabs>
              <w:spacing w:line="360" w:lineRule="auto"/>
              <w:jc w:val="center"/>
              <w:rPr>
                <w:rFonts w:ascii="宋体" w:hAnsi="宋体" w:eastAsia="宋体" w:cs="宋体"/>
                <w:kern w:val="2"/>
                <w:sz w:val="21"/>
                <w:szCs w:val="24"/>
                <w:lang w:val="en-US" w:eastAsia="zh-CN" w:bidi="ar-SA"/>
              </w:rPr>
            </w:pPr>
            <w:r>
              <w:rPr>
                <w:rFonts w:hint="eastAsia" w:ascii="宋体" w:hAnsi="宋体" w:cs="宋体"/>
              </w:rPr>
              <w:t>数量</w:t>
            </w:r>
          </w:p>
        </w:tc>
        <w:tc>
          <w:tcPr>
            <w:tcW w:w="1330" w:type="dxa"/>
            <w:vAlign w:val="center"/>
          </w:tcPr>
          <w:p>
            <w:pPr>
              <w:tabs>
                <w:tab w:val="left" w:pos="0"/>
              </w:tabs>
              <w:spacing w:line="360" w:lineRule="auto"/>
              <w:jc w:val="center"/>
              <w:rPr>
                <w:rFonts w:ascii="宋体" w:hAnsi="宋体" w:eastAsia="宋体" w:cs="宋体"/>
                <w:kern w:val="2"/>
                <w:sz w:val="21"/>
                <w:szCs w:val="24"/>
                <w:lang w:val="en-US" w:eastAsia="zh-CN" w:bidi="ar-SA"/>
              </w:rPr>
            </w:pPr>
            <w:r>
              <w:rPr>
                <w:rFonts w:hint="eastAsia" w:ascii="宋体" w:hAnsi="宋体" w:cs="宋体"/>
              </w:rPr>
              <w:t>总价（元）</w:t>
            </w:r>
          </w:p>
        </w:tc>
        <w:tc>
          <w:tcPr>
            <w:tcW w:w="1330" w:type="dxa"/>
            <w:vAlign w:val="center"/>
          </w:tcPr>
          <w:p>
            <w:pPr>
              <w:tabs>
                <w:tab w:val="left" w:pos="0"/>
              </w:tabs>
              <w:spacing w:line="360" w:lineRule="auto"/>
              <w:jc w:val="center"/>
              <w:rPr>
                <w:rFonts w:ascii="宋体" w:hAnsi="宋体" w:eastAsia="宋体" w:cs="宋体"/>
                <w:kern w:val="2"/>
                <w:sz w:val="21"/>
                <w:szCs w:val="24"/>
                <w:lang w:val="en-US" w:eastAsia="zh-CN" w:bidi="ar-SA"/>
              </w:rPr>
            </w:pPr>
            <w:r>
              <w:rPr>
                <w:rFonts w:hint="eastAsia" w:ascii="宋体" w:hAnsi="宋体" w:cs="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1035" w:type="dxa"/>
          </w:tcPr>
          <w:p>
            <w:pPr>
              <w:spacing w:line="360" w:lineRule="auto"/>
              <w:rPr>
                <w:rFonts w:ascii="宋体" w:hAnsi="宋体" w:cs="宋体"/>
              </w:rPr>
            </w:pPr>
          </w:p>
        </w:tc>
        <w:tc>
          <w:tcPr>
            <w:tcW w:w="1624"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c>
          <w:tcPr>
            <w:tcW w:w="1330"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1035" w:type="dxa"/>
            <w:vAlign w:val="center"/>
          </w:tcPr>
          <w:p>
            <w:pPr>
              <w:tabs>
                <w:tab w:val="left" w:pos="0"/>
              </w:tabs>
              <w:spacing w:line="360" w:lineRule="auto"/>
              <w:jc w:val="center"/>
              <w:rPr>
                <w:rFonts w:ascii="宋体" w:hAnsi="宋体" w:cs="宋体"/>
              </w:rPr>
            </w:pPr>
            <w:r>
              <w:rPr>
                <w:rFonts w:hint="eastAsia" w:ascii="宋体" w:hAnsi="宋体" w:cs="宋体"/>
              </w:rPr>
              <w:t xml:space="preserve">总计 </w:t>
            </w:r>
          </w:p>
        </w:tc>
        <w:tc>
          <w:tcPr>
            <w:tcW w:w="6944" w:type="dxa"/>
            <w:gridSpan w:val="5"/>
            <w:vAlign w:val="center"/>
          </w:tcPr>
          <w:p>
            <w:pPr>
              <w:tabs>
                <w:tab w:val="left" w:pos="0"/>
              </w:tabs>
              <w:spacing w:line="360" w:lineRule="auto"/>
              <w:jc w:val="center"/>
              <w:rPr>
                <w:rFonts w:ascii="宋体" w:hAnsi="宋体" w:cs="宋体"/>
              </w:rPr>
            </w:pPr>
          </w:p>
        </w:tc>
      </w:tr>
    </w:tbl>
    <w:p>
      <w:pPr>
        <w:adjustRightInd w:val="0"/>
        <w:snapToGrid w:val="0"/>
        <w:ind w:left="-88" w:leftChars="-42" w:firstLine="420" w:firstLineChars="200"/>
        <w:jc w:val="left"/>
        <w:rPr>
          <w:rFonts w:ascii="宋体" w:hAnsi="宋体" w:cs="宋体"/>
        </w:rPr>
      </w:pPr>
      <w:r>
        <w:rPr>
          <w:rFonts w:hint="eastAsia" w:ascii="宋体" w:hAnsi="宋体"/>
          <w:szCs w:val="21"/>
        </w:rPr>
        <w:t xml:space="preserve"> </w:t>
      </w:r>
    </w:p>
    <w:p>
      <w:pPr>
        <w:spacing w:line="360" w:lineRule="auto"/>
        <w:ind w:firstLine="420" w:firstLineChars="200"/>
        <w:rPr>
          <w:rFonts w:ascii="宋体" w:hAnsi="宋体" w:cs="宋体"/>
        </w:rPr>
      </w:pPr>
      <w:r>
        <w:rPr>
          <w:rFonts w:hint="eastAsia" w:ascii="宋体" w:hAnsi="宋体" w:cs="宋体"/>
        </w:rPr>
        <w:t>（此表可延长）</w:t>
      </w:r>
    </w:p>
    <w:p>
      <w:pPr>
        <w:spacing w:line="360" w:lineRule="auto"/>
        <w:ind w:firstLine="422" w:firstLineChars="200"/>
        <w:rPr>
          <w:rFonts w:ascii="宋体" w:hAnsi="宋体" w:cs="宋体"/>
          <w:b/>
        </w:rPr>
      </w:pPr>
      <w:r>
        <w:rPr>
          <w:rFonts w:hint="eastAsia" w:ascii="宋体" w:hAnsi="宋体" w:cs="宋体"/>
          <w:b/>
        </w:rPr>
        <w:t>注：1.</w:t>
      </w:r>
      <w:r>
        <w:rPr>
          <w:rFonts w:hint="eastAsia" w:ascii="宋体" w:hAnsi="宋体" w:cs="宋体"/>
        </w:rPr>
        <w:t>如果按单价计算的结果与总价不一致，以单价为准修正总价</w:t>
      </w:r>
      <w:r>
        <w:rPr>
          <w:rFonts w:hint="eastAsia" w:ascii="宋体" w:hAnsi="宋体" w:cs="宋体"/>
          <w:b/>
        </w:rPr>
        <w:t>。</w:t>
      </w:r>
    </w:p>
    <w:p>
      <w:pPr>
        <w:spacing w:line="360" w:lineRule="auto"/>
        <w:ind w:firstLine="840" w:firstLineChars="400"/>
        <w:rPr>
          <w:rFonts w:ascii="宋体" w:hAnsi="宋体" w:cs="宋体"/>
        </w:rPr>
      </w:pPr>
      <w:bookmarkStart w:id="278" w:name="_Toc1471"/>
      <w:bookmarkStart w:id="279" w:name="_Toc26375"/>
      <w:bookmarkStart w:id="280" w:name="_Toc29277"/>
      <w:bookmarkStart w:id="281" w:name="_Toc2210"/>
      <w:bookmarkStart w:id="282" w:name="_Toc22316"/>
      <w:bookmarkStart w:id="283" w:name="_Toc1455"/>
      <w:bookmarkStart w:id="284" w:name="_Toc11449"/>
      <w:bookmarkStart w:id="285" w:name="_Toc7871"/>
      <w:r>
        <w:rPr>
          <w:rFonts w:hint="eastAsia" w:ascii="宋体" w:hAnsi="宋体" w:cs="宋体"/>
        </w:rPr>
        <w:t>2.投标人据实填写投标货物的品牌、规格、型号等，否则视为不响应。</w:t>
      </w:r>
      <w:bookmarkEnd w:id="278"/>
      <w:bookmarkEnd w:id="279"/>
      <w:bookmarkEnd w:id="280"/>
      <w:bookmarkEnd w:id="281"/>
      <w:bookmarkEnd w:id="282"/>
      <w:bookmarkEnd w:id="283"/>
      <w:bookmarkEnd w:id="284"/>
      <w:bookmarkEnd w:id="285"/>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00" w:lineRule="exact"/>
        <w:jc w:val="center"/>
        <w:rPr>
          <w:rFonts w:ascii="方正大标宋_GBK" w:hAnsi="方正大标宋_GBK" w:eastAsia="方正大标宋_GBK" w:cs="方正大标宋_GBK"/>
          <w:b/>
          <w:kern w:val="0"/>
          <w:sz w:val="32"/>
          <w:szCs w:val="32"/>
          <w:lang w:bidi="ar"/>
        </w:rPr>
        <w:sectPr>
          <w:footerReference r:id="rId6" w:type="first"/>
          <w:footerReference r:id="rId5" w:type="default"/>
          <w:pgSz w:w="11906" w:h="16838"/>
          <w:pgMar w:top="1440" w:right="1803" w:bottom="1440" w:left="1803" w:header="851" w:footer="992" w:gutter="0"/>
          <w:pgNumType w:fmt="decimal" w:start="1"/>
          <w:cols w:space="720" w:num="1"/>
          <w:titlePg/>
          <w:docGrid w:type="lines" w:linePitch="319" w:charSpace="0"/>
        </w:sectPr>
      </w:pPr>
      <w:r>
        <w:rPr>
          <w:sz w:val="24"/>
        </w:rPr>
        <w:t xml:space="preserve"> </w:t>
      </w:r>
    </w:p>
    <w:p>
      <w:pPr>
        <w:pStyle w:val="4"/>
        <w:spacing w:before="0" w:after="40"/>
        <w:jc w:val="center"/>
        <w:rPr>
          <w:rFonts w:ascii="Times New Roman" w:hAnsi="Times New Roman" w:eastAsia="宋体"/>
          <w:kern w:val="0"/>
          <w:sz w:val="21"/>
          <w:szCs w:val="21"/>
        </w:rPr>
      </w:pPr>
      <w:bookmarkStart w:id="286" w:name="_Toc19967"/>
      <w:r>
        <w:rPr>
          <w:rFonts w:hint="eastAsia" w:ascii="Times New Roman" w:hAnsi="Times New Roman" w:eastAsia="宋体"/>
          <w:kern w:val="0"/>
          <w:sz w:val="21"/>
          <w:szCs w:val="21"/>
        </w:rPr>
        <w:t>3.报价明细表</w:t>
      </w:r>
      <w:bookmarkEnd w:id="286"/>
    </w:p>
    <w:p>
      <w:pPr>
        <w:adjustRightInd w:val="0"/>
        <w:snapToGrid w:val="0"/>
        <w:ind w:left="-88" w:leftChars="-42" w:firstLine="420" w:firstLineChars="200"/>
        <w:jc w:val="left"/>
        <w:rPr>
          <w:rFonts w:ascii="宋体" w:hAnsi="宋体" w:cs="宋体"/>
        </w:rPr>
      </w:pP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szCs w:val="21"/>
          <w:lang w:eastAsia="zh-CN"/>
        </w:rPr>
        <w:t>（</w:t>
      </w:r>
      <w:r>
        <w:rPr>
          <w:rFonts w:hint="eastAsia" w:ascii="宋体" w:hAnsi="宋体"/>
          <w:szCs w:val="21"/>
          <w:lang w:val="en-US" w:eastAsia="zh-CN"/>
        </w:rPr>
        <w:t>二包按照此表填写</w:t>
      </w:r>
      <w:r>
        <w:rPr>
          <w:rFonts w:hint="eastAsia" w:ascii="宋体" w:hAnsi="宋体"/>
          <w:szCs w:val="21"/>
          <w:lang w:eastAsia="zh-CN"/>
        </w:rPr>
        <w:t>）</w:t>
      </w:r>
      <w:r>
        <w:rPr>
          <w:rFonts w:hint="eastAsia" w:ascii="宋体" w:hAnsi="宋体"/>
          <w:szCs w:val="21"/>
        </w:rPr>
        <w:t xml:space="preserve"> </w:t>
      </w:r>
    </w:p>
    <w:tbl>
      <w:tblPr>
        <w:tblStyle w:val="39"/>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1442"/>
        <w:gridCol w:w="1181"/>
        <w:gridCol w:w="1181"/>
        <w:gridCol w:w="1181"/>
        <w:gridCol w:w="1181"/>
        <w:gridCol w:w="1182"/>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rPr>
            </w:pPr>
            <w:r>
              <w:rPr>
                <w:rFonts w:hint="eastAsia" w:ascii="宋体" w:hAnsi="宋体" w:cs="宋体"/>
              </w:rPr>
              <w:t>序号</w:t>
            </w:r>
          </w:p>
        </w:tc>
        <w:tc>
          <w:tcPr>
            <w:tcW w:w="1442" w:type="dxa"/>
            <w:vAlign w:val="center"/>
          </w:tcPr>
          <w:p>
            <w:pPr>
              <w:tabs>
                <w:tab w:val="left" w:pos="0"/>
              </w:tabs>
              <w:spacing w:line="360" w:lineRule="auto"/>
              <w:jc w:val="center"/>
              <w:rPr>
                <w:rFonts w:ascii="宋体" w:hAnsi="宋体" w:cs="宋体"/>
              </w:rPr>
            </w:pPr>
            <w:r>
              <w:rPr>
                <w:rFonts w:hint="eastAsia" w:ascii="宋体" w:hAnsi="宋体" w:cs="宋体"/>
              </w:rPr>
              <w:t>产品名称</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品牌、规格型号</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单价（元）</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数量</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总价（元）</w:t>
            </w:r>
          </w:p>
        </w:tc>
        <w:tc>
          <w:tcPr>
            <w:tcW w:w="1182" w:type="dxa"/>
            <w:vAlign w:val="center"/>
          </w:tcPr>
          <w:p>
            <w:pPr>
              <w:tabs>
                <w:tab w:val="left" w:pos="0"/>
              </w:tabs>
              <w:spacing w:line="360" w:lineRule="auto"/>
              <w:jc w:val="center"/>
              <w:rPr>
                <w:rFonts w:ascii="宋体" w:hAnsi="宋体" w:cs="宋体"/>
              </w:rPr>
            </w:pPr>
            <w:r>
              <w:rPr>
                <w:rFonts w:hint="eastAsia" w:ascii="宋体" w:hAnsi="宋体" w:cs="宋体"/>
              </w:rPr>
              <w:t>备注</w:t>
            </w:r>
          </w:p>
          <w:p>
            <w:pPr>
              <w:tabs>
                <w:tab w:val="left" w:pos="0"/>
              </w:tabs>
              <w:spacing w:line="360" w:lineRule="auto"/>
              <w:jc w:val="center"/>
              <w:rPr>
                <w:rFonts w:ascii="宋体" w:hAnsi="宋体" w:cs="宋体"/>
              </w:rPr>
            </w:pPr>
            <w:r>
              <w:rPr>
                <w:rFonts w:hint="eastAsia" w:ascii="宋体" w:hAnsi="宋体" w:cs="宋体"/>
              </w:rPr>
              <w:t>（产地）</w:t>
            </w:r>
          </w:p>
        </w:tc>
        <w:tc>
          <w:tcPr>
            <w:tcW w:w="879" w:type="dxa"/>
            <w:vAlign w:val="center"/>
          </w:tcPr>
          <w:p>
            <w:pPr>
              <w:tabs>
                <w:tab w:val="left" w:pos="0"/>
              </w:tabs>
              <w:spacing w:line="360" w:lineRule="auto"/>
              <w:jc w:val="center"/>
              <w:rPr>
                <w:rFonts w:ascii="宋体" w:hAnsi="宋体" w:cs="宋体"/>
              </w:rPr>
            </w:pPr>
            <w:r>
              <w:rPr>
                <w:rFonts w:hint="eastAsia" w:ascii="宋体" w:hAnsi="宋体" w:cs="宋体"/>
              </w:rPr>
              <w:t>可附图片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rPr>
            </w:pPr>
            <w:r>
              <w:rPr>
                <w:rFonts w:hint="eastAsia" w:ascii="宋体" w:hAnsi="宋体" w:cs="宋体"/>
              </w:rPr>
              <w:t xml:space="preserve">总计 </w:t>
            </w:r>
          </w:p>
        </w:tc>
        <w:tc>
          <w:tcPr>
            <w:tcW w:w="8227" w:type="dxa"/>
            <w:gridSpan w:val="7"/>
            <w:vAlign w:val="center"/>
          </w:tcPr>
          <w:p>
            <w:pPr>
              <w:tabs>
                <w:tab w:val="left" w:pos="0"/>
              </w:tabs>
              <w:spacing w:line="360" w:lineRule="auto"/>
              <w:jc w:val="center"/>
              <w:rPr>
                <w:rFonts w:ascii="宋体" w:hAnsi="宋体" w:cs="宋体"/>
              </w:rPr>
            </w:pPr>
          </w:p>
        </w:tc>
      </w:tr>
    </w:tbl>
    <w:p>
      <w:pPr>
        <w:adjustRightInd w:val="0"/>
        <w:snapToGrid w:val="0"/>
        <w:ind w:left="-88" w:leftChars="-42" w:firstLine="420" w:firstLineChars="200"/>
        <w:jc w:val="left"/>
        <w:rPr>
          <w:rFonts w:ascii="宋体" w:hAnsi="宋体" w:cs="宋体"/>
        </w:rPr>
      </w:pPr>
    </w:p>
    <w:p>
      <w:pPr>
        <w:spacing w:line="360" w:lineRule="auto"/>
        <w:ind w:firstLine="420" w:firstLineChars="200"/>
        <w:rPr>
          <w:rFonts w:ascii="宋体" w:hAnsi="宋体" w:cs="宋体"/>
        </w:rPr>
      </w:pPr>
      <w:r>
        <w:rPr>
          <w:rFonts w:hint="eastAsia" w:ascii="宋体" w:hAnsi="宋体" w:cs="宋体"/>
        </w:rPr>
        <w:t>（此表可延长）</w:t>
      </w:r>
    </w:p>
    <w:p>
      <w:pPr>
        <w:spacing w:line="360" w:lineRule="auto"/>
        <w:ind w:firstLine="422" w:firstLineChars="200"/>
        <w:rPr>
          <w:rFonts w:ascii="宋体" w:hAnsi="宋体" w:cs="宋体"/>
          <w:b/>
        </w:rPr>
      </w:pPr>
      <w:r>
        <w:rPr>
          <w:rFonts w:hint="eastAsia" w:ascii="宋体" w:hAnsi="宋体" w:cs="宋体"/>
          <w:b/>
        </w:rPr>
        <w:t>注：1.</w:t>
      </w:r>
      <w:r>
        <w:rPr>
          <w:rFonts w:hint="eastAsia" w:ascii="宋体" w:hAnsi="宋体" w:cs="宋体"/>
        </w:rPr>
        <w:t>如果按单价计算的结果与总价不一致，以单价为准修正总价</w:t>
      </w:r>
      <w:r>
        <w:rPr>
          <w:rFonts w:hint="eastAsia" w:ascii="宋体" w:hAnsi="宋体" w:cs="宋体"/>
          <w:b/>
        </w:rPr>
        <w:t>。</w:t>
      </w: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00" w:lineRule="exact"/>
        <w:jc w:val="center"/>
        <w:rPr>
          <w:rFonts w:ascii="方正大标宋_GBK" w:hAnsi="方正大标宋_GBK" w:eastAsia="方正大标宋_GBK" w:cs="方正大标宋_GBK"/>
          <w:b/>
          <w:kern w:val="0"/>
          <w:sz w:val="32"/>
          <w:szCs w:val="32"/>
          <w:lang w:bidi="ar"/>
        </w:rPr>
        <w:sectPr>
          <w:footerReference r:id="rId8" w:type="first"/>
          <w:footerReference r:id="rId7" w:type="default"/>
          <w:pgSz w:w="11906" w:h="16838"/>
          <w:pgMar w:top="1440" w:right="1803" w:bottom="1440" w:left="1803" w:header="851" w:footer="992" w:gutter="0"/>
          <w:pgNumType w:fmt="decimal"/>
          <w:cols w:space="720" w:num="1"/>
          <w:titlePg/>
          <w:docGrid w:type="lines" w:linePitch="319" w:charSpace="0"/>
        </w:sectPr>
      </w:pPr>
      <w:r>
        <w:rPr>
          <w:sz w:val="24"/>
        </w:rPr>
        <w:t xml:space="preserve"> </w:t>
      </w:r>
    </w:p>
    <w:p>
      <w:pPr>
        <w:spacing w:line="400" w:lineRule="exact"/>
        <w:jc w:val="both"/>
        <w:rPr>
          <w:rFonts w:hint="eastAsia"/>
          <w:b/>
          <w:bCs/>
          <w:kern w:val="0"/>
          <w:sz w:val="28"/>
          <w:szCs w:val="28"/>
        </w:rPr>
      </w:pPr>
    </w:p>
    <w:p>
      <w:pPr>
        <w:spacing w:line="400" w:lineRule="exact"/>
        <w:jc w:val="center"/>
        <w:rPr>
          <w:b/>
          <w:bCs/>
          <w:kern w:val="0"/>
          <w:sz w:val="28"/>
          <w:szCs w:val="28"/>
        </w:rPr>
      </w:pPr>
      <w:r>
        <w:rPr>
          <w:rFonts w:hint="eastAsia"/>
          <w:b/>
          <w:bCs/>
          <w:kern w:val="0"/>
          <w:sz w:val="28"/>
          <w:szCs w:val="28"/>
        </w:rPr>
        <w:t>（供应商资格证明文件）</w:t>
      </w:r>
    </w:p>
    <w:p>
      <w:pPr>
        <w:spacing w:line="400" w:lineRule="exact"/>
        <w:jc w:val="center"/>
        <w:rPr>
          <w:rFonts w:ascii="宋体" w:hAnsi="宋体"/>
          <w:b/>
          <w:szCs w:val="21"/>
        </w:rPr>
      </w:pPr>
      <w:r>
        <w:rPr>
          <w:rFonts w:hint="eastAsia"/>
          <w:b/>
          <w:bCs/>
          <w:kern w:val="0"/>
          <w:szCs w:val="21"/>
        </w:rPr>
        <w:t>4.</w:t>
      </w:r>
      <w:bookmarkEnd w:id="274"/>
      <w:bookmarkEnd w:id="275"/>
      <w:bookmarkEnd w:id="276"/>
      <w:bookmarkEnd w:id="277"/>
      <w:r>
        <w:rPr>
          <w:rFonts w:hint="eastAsia" w:ascii="宋体" w:hAnsi="宋体"/>
          <w:b/>
          <w:szCs w:val="21"/>
        </w:rPr>
        <w:t>法定代表人身份证明</w:t>
      </w:r>
      <w:bookmarkEnd w:id="269"/>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spacing w:line="400" w:lineRule="exact"/>
        <w:ind w:firstLine="630" w:firstLineChars="300"/>
        <w:rPr>
          <w:rFonts w:ascii="宋体" w:hAnsi="宋体"/>
          <w:szCs w:val="21"/>
          <w:u w:val="single"/>
        </w:rPr>
      </w:pPr>
      <w:r>
        <w:rPr>
          <w:rFonts w:hint="eastAsia" w:ascii="宋体" w:hAnsi="宋体"/>
          <w:szCs w:val="21"/>
        </w:rPr>
        <w:t>投标人名称：</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投标人类型：</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地    址：</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营业期限：</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成立时间：</w:t>
      </w:r>
      <w:r>
        <w:rPr>
          <w:rFonts w:hint="eastAsia" w:ascii="宋体" w:hAnsi="宋体"/>
          <w:szCs w:val="21"/>
          <w:u w:val="single"/>
        </w:rPr>
        <w:t xml:space="preserve">                                                   </w:t>
      </w:r>
    </w:p>
    <w:p>
      <w:pPr>
        <w:spacing w:line="400" w:lineRule="exact"/>
        <w:ind w:firstLine="630" w:firstLineChars="300"/>
        <w:rPr>
          <w:rFonts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xml:space="preserve">     性别：</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年龄：</w:t>
      </w:r>
      <w:r>
        <w:rPr>
          <w:rFonts w:hint="eastAsia" w:ascii="宋体" w:hAnsi="宋体"/>
          <w:szCs w:val="21"/>
          <w:u w:val="single"/>
        </w:rPr>
        <w:t xml:space="preserve">                   </w:t>
      </w:r>
      <w:r>
        <w:rPr>
          <w:rFonts w:hint="eastAsia" w:ascii="宋体" w:hAnsi="宋体"/>
          <w:szCs w:val="21"/>
        </w:rPr>
        <w:t xml:space="preserve">     职务：</w:t>
      </w:r>
      <w:r>
        <w:rPr>
          <w:rFonts w:hint="eastAsia" w:ascii="宋体" w:hAnsi="宋体"/>
          <w:szCs w:val="21"/>
          <w:u w:val="single"/>
        </w:rPr>
        <w:t xml:space="preserve">                </w:t>
      </w:r>
    </w:p>
    <w:p>
      <w:pPr>
        <w:spacing w:line="400" w:lineRule="exact"/>
        <w:ind w:firstLine="630" w:firstLineChars="300"/>
        <w:rPr>
          <w:rFonts w:ascii="宋体" w:hAnsi="宋体"/>
          <w:bCs/>
          <w:szCs w:val="21"/>
        </w:rPr>
      </w:pPr>
      <w:r>
        <w:rPr>
          <w:rFonts w:hint="eastAsia" w:ascii="宋体" w:hAnsi="宋体"/>
          <w:szCs w:val="21"/>
        </w:rPr>
        <w:t xml:space="preserve">系 </w:t>
      </w:r>
      <w:r>
        <w:rPr>
          <w:rFonts w:hint="eastAsia" w:ascii="宋体" w:hAnsi="宋体"/>
          <w:szCs w:val="21"/>
          <w:u w:val="single"/>
        </w:rPr>
        <w:t xml:space="preserve">           </w:t>
      </w: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的法定代表人</w:t>
      </w:r>
      <w:r>
        <w:rPr>
          <w:rFonts w:hint="eastAsia" w:ascii="宋体" w:hAnsi="宋体"/>
          <w:bCs/>
          <w:szCs w:val="21"/>
        </w:rPr>
        <w:t>。</w:t>
      </w:r>
    </w:p>
    <w:p>
      <w:pPr>
        <w:spacing w:line="400" w:lineRule="exact"/>
        <w:ind w:firstLine="210" w:firstLineChars="100"/>
        <w:rPr>
          <w:rFonts w:ascii="宋体" w:hAnsi="宋体"/>
          <w:szCs w:val="21"/>
        </w:rPr>
      </w:pPr>
    </w:p>
    <w:p>
      <w:pPr>
        <w:spacing w:line="400" w:lineRule="exact"/>
        <w:ind w:firstLine="210" w:firstLineChars="100"/>
        <w:rPr>
          <w:rFonts w:ascii="宋体" w:hAnsi="宋体"/>
          <w:szCs w:val="21"/>
        </w:rPr>
      </w:pPr>
      <w:r>
        <w:rPr>
          <w:rFonts w:hint="eastAsia" w:ascii="宋体" w:hAnsi="宋体"/>
          <w:szCs w:val="21"/>
        </w:rPr>
        <w:t xml:space="preserve">    特此证明。</w:t>
      </w:r>
    </w:p>
    <w:p>
      <w:pPr>
        <w:spacing w:line="400" w:lineRule="exact"/>
        <w:ind w:firstLine="630" w:firstLineChars="300"/>
        <w:rPr>
          <w:rFonts w:ascii="宋体" w:hAnsi="宋体"/>
          <w:bCs/>
          <w:szCs w:val="21"/>
        </w:rPr>
      </w:pPr>
    </w:p>
    <w:p>
      <w:pPr>
        <w:spacing w:line="400" w:lineRule="exact"/>
        <w:ind w:firstLine="630" w:firstLineChars="300"/>
        <w:rPr>
          <w:rFonts w:ascii="宋体" w:hAnsi="宋体"/>
          <w:bCs/>
          <w:szCs w:val="21"/>
        </w:rPr>
      </w:pPr>
    </w:p>
    <w:p>
      <w:pPr>
        <w:spacing w:line="400" w:lineRule="exact"/>
        <w:rPr>
          <w:rFonts w:ascii="宋体" w:hAnsi="宋体"/>
          <w:bCs/>
          <w:szCs w:val="21"/>
        </w:rPr>
      </w:pPr>
      <w:r>
        <mc:AlternateContent>
          <mc:Choice Requires="wps">
            <w:drawing>
              <wp:anchor distT="0" distB="0" distL="114300" distR="114300" simplePos="0" relativeHeight="251662336" behindDoc="0" locked="0" layoutInCell="1" allowOverlap="1">
                <wp:simplePos x="0" y="0"/>
                <wp:positionH relativeFrom="column">
                  <wp:posOffset>302260</wp:posOffset>
                </wp:positionH>
                <wp:positionV relativeFrom="paragraph">
                  <wp:posOffset>189230</wp:posOffset>
                </wp:positionV>
                <wp:extent cx="2618740" cy="1790700"/>
                <wp:effectExtent l="4445" t="4445" r="5715" b="8255"/>
                <wp:wrapNone/>
                <wp:docPr id="1" name="文本框 4"/>
                <wp:cNvGraphicFramePr/>
                <a:graphic xmlns:a="http://schemas.openxmlformats.org/drawingml/2006/main">
                  <a:graphicData uri="http://schemas.microsoft.com/office/word/2010/wordprocessingShape">
                    <wps:wsp>
                      <wps:cNvSpPr txBox="1"/>
                      <wps:spPr>
                        <a:xfrm>
                          <a:off x="0" y="0"/>
                          <a:ext cx="2618740" cy="1790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w:t>
                            </w:r>
                          </w:p>
                          <w:p/>
                          <w:p/>
                          <w:p/>
                          <w:p>
                            <w:r>
                              <w:rPr>
                                <w:rFonts w:hint="eastAsia"/>
                              </w:rPr>
                              <w:t xml:space="preserve">        附法人身份证复印件正面</w:t>
                            </w:r>
                          </w:p>
                        </w:txbxContent>
                      </wps:txbx>
                      <wps:bodyPr upright="1"/>
                    </wps:wsp>
                  </a:graphicData>
                </a:graphic>
              </wp:anchor>
            </w:drawing>
          </mc:Choice>
          <mc:Fallback>
            <w:pict>
              <v:shape id="文本框 4" o:spid="_x0000_s1026" o:spt="202" type="#_x0000_t202" style="position:absolute;left:0pt;margin-left:23.8pt;margin-top:14.9pt;height:141pt;width:206.2pt;z-index:251662336;mso-width-relative:page;mso-height-relative:page;" fillcolor="#FFFFFF" filled="t" stroked="t" coordsize="21600,21600" o:gfxdata="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0mFHZAAAACQEAAA8AAAAAAAAAAQAg&#10;AAAAIgAAAGRycy9kb3ducmV2LnhtbFBLAQIUABQAAAAIAIdO4kBqniX+DQIAADcEAAAOAAAAAAAA&#10;AAEAIAAAACgBAABkcnMvZTJvRG9jLnhtbFBLBQYAAAAABgAGAFkBAACnBQAAAAA=&#10;">
                <v:fill on="t" focussize="0,0"/>
                <v:stroke color="#000000" joinstyle="miter"/>
                <v:imagedata o:title=""/>
                <o:lock v:ext="edit" aspectratio="f"/>
                <v:textbox>
                  <w:txbxContent>
                    <w:p>
                      <w:r>
                        <w:rPr>
                          <w:rFonts w:hint="eastAsia"/>
                        </w:rPr>
                        <w:t xml:space="preserve">                 </w:t>
                      </w:r>
                    </w:p>
                    <w:p/>
                    <w:p/>
                    <w:p/>
                    <w:p>
                      <w:r>
                        <w:rPr>
                          <w:rFonts w:hint="eastAsia"/>
                        </w:rPr>
                        <w:t xml:space="preserve">        附法人身份证复印件正面</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3065145</wp:posOffset>
                </wp:positionH>
                <wp:positionV relativeFrom="paragraph">
                  <wp:posOffset>168910</wp:posOffset>
                </wp:positionV>
                <wp:extent cx="2696210" cy="1781175"/>
                <wp:effectExtent l="4445" t="4445" r="17145" b="5080"/>
                <wp:wrapNone/>
                <wp:docPr id="3" name="文本框 5"/>
                <wp:cNvGraphicFramePr/>
                <a:graphic xmlns:a="http://schemas.openxmlformats.org/drawingml/2006/main">
                  <a:graphicData uri="http://schemas.microsoft.com/office/word/2010/wordprocessingShape">
                    <wps:wsp>
                      <wps:cNvSpPr txBox="1"/>
                      <wps:spPr>
                        <a:xfrm>
                          <a:off x="0" y="0"/>
                          <a:ext cx="2696210" cy="1781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w:t>
                            </w:r>
                          </w:p>
                          <w:p/>
                          <w:p/>
                          <w:p/>
                          <w:p>
                            <w:r>
                              <w:rPr>
                                <w:rFonts w:hint="eastAsia"/>
                              </w:rPr>
                              <w:t xml:space="preserve">         附法人身份证复印件反面</w:t>
                            </w:r>
                          </w:p>
                        </w:txbxContent>
                      </wps:txbx>
                      <wps:bodyPr upright="1"/>
                    </wps:wsp>
                  </a:graphicData>
                </a:graphic>
              </wp:anchor>
            </w:drawing>
          </mc:Choice>
          <mc:Fallback>
            <w:pict>
              <v:shape id="文本框 5" o:spid="_x0000_s1026" o:spt="202" type="#_x0000_t202" style="position:absolute;left:0pt;margin-left:241.35pt;margin-top:13.3pt;height:140.25pt;width:212.3pt;z-index:251664384;mso-width-relative:page;mso-height-relative:page;" fillcolor="#FFFFFF" filled="t" stroked="t" coordsize="21600,21600" o:gfxdata="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XLV29oAAAAKAQAADwAAAAAAAAAB&#10;ACAAAAAiAAAAZHJzL2Rvd25yZXYueG1sUEsBAhQAFAAAAAgAh07iQCRn/N4OAgAANwQAAA4AAAAA&#10;AAAAAQAgAAAAKQEAAGRycy9lMm9Eb2MueG1sUEsFBgAAAAAGAAYAWQEAAKkFAAAAAA==&#10;">
                <v:fill on="t" focussize="0,0"/>
                <v:stroke color="#000000" joinstyle="miter"/>
                <v:imagedata o:title=""/>
                <o:lock v:ext="edit" aspectratio="f"/>
                <v:textbox>
                  <w:txbxContent>
                    <w:p>
                      <w:r>
                        <w:rPr>
                          <w:rFonts w:hint="eastAsia"/>
                        </w:rPr>
                        <w:t xml:space="preserve">                 </w:t>
                      </w:r>
                    </w:p>
                    <w:p/>
                    <w:p/>
                    <w:p/>
                    <w:p>
                      <w:r>
                        <w:rPr>
                          <w:rFonts w:hint="eastAsia"/>
                        </w:rPr>
                        <w:t xml:space="preserve">         附法人身份证复印件反面</w:t>
                      </w:r>
                    </w:p>
                  </w:txbxContent>
                </v:textbox>
              </v:shape>
            </w:pict>
          </mc:Fallback>
        </mc:AlternateContent>
      </w:r>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wordWrap w:val="0"/>
        <w:spacing w:line="400" w:lineRule="exact"/>
        <w:jc w:val="right"/>
        <w:rPr>
          <w:rFonts w:ascii="宋体" w:hAnsi="宋体"/>
          <w:szCs w:val="21"/>
        </w:rPr>
      </w:pPr>
      <w:r>
        <w:rPr>
          <w:rFonts w:hint="eastAsia" w:ascii="宋体" w:hAnsi="宋体"/>
          <w:szCs w:val="21"/>
        </w:rPr>
        <w:t xml:space="preserve">   </w:t>
      </w: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360" w:lineRule="auto"/>
        <w:jc w:val="right"/>
        <w:rPr>
          <w:rFonts w:ascii="宋体" w:hAnsi="宋体"/>
          <w:szCs w:val="21"/>
        </w:rPr>
      </w:pPr>
    </w:p>
    <w:p>
      <w:pPr>
        <w:spacing w:line="360" w:lineRule="auto"/>
        <w:jc w:val="right"/>
        <w:rPr>
          <w:rFonts w:ascii="宋体" w:hAnsi="宋体"/>
          <w:szCs w:val="21"/>
        </w:rPr>
      </w:pPr>
    </w:p>
    <w:p>
      <w:pPr>
        <w:pStyle w:val="67"/>
        <w:snapToGrid w:val="0"/>
        <w:ind w:firstLine="480" w:firstLineChars="200"/>
        <w:jc w:val="center"/>
        <w:rPr>
          <w:rFonts w:ascii="宋体" w:hAnsi="宋体" w:cs="宋体"/>
          <w:color w:val="auto"/>
          <w:sz w:val="21"/>
          <w:szCs w:val="21"/>
        </w:rPr>
      </w:pPr>
      <w:r>
        <w:rPr>
          <w:rFonts w:hint="eastAsia" w:ascii="宋体" w:hAnsi="宋体" w:cs="宋体"/>
          <w:color w:val="auto"/>
          <w:sz w:val="24"/>
        </w:rPr>
        <w:t xml:space="preserve">   </w:t>
      </w:r>
      <w:r>
        <w:rPr>
          <w:rFonts w:hint="eastAsia" w:ascii="宋体" w:hAnsi="宋体" w:cs="宋体"/>
          <w:color w:val="auto"/>
          <w:sz w:val="21"/>
          <w:szCs w:val="21"/>
        </w:rPr>
        <w:t>投标人名称(公章)：</w:t>
      </w:r>
      <w:r>
        <w:rPr>
          <w:rFonts w:hint="eastAsia" w:ascii="宋体" w:hAnsi="宋体" w:cs="宋体"/>
          <w:color w:val="auto"/>
          <w:sz w:val="21"/>
          <w:szCs w:val="21"/>
          <w:u w:val="single"/>
        </w:rPr>
        <w:t xml:space="preserve">                    </w:t>
      </w:r>
    </w:p>
    <w:p>
      <w:pPr>
        <w:pStyle w:val="67"/>
        <w:snapToGrid w:val="0"/>
        <w:ind w:firstLine="420" w:firstLineChars="200"/>
        <w:jc w:val="center"/>
        <w:rPr>
          <w:rFonts w:ascii="宋体" w:hAnsi="宋体" w:cs="宋体"/>
          <w:color w:val="auto"/>
          <w:sz w:val="21"/>
          <w:szCs w:val="21"/>
        </w:rPr>
      </w:pPr>
      <w:r>
        <w:rPr>
          <w:rFonts w:hint="eastAsia" w:ascii="宋体" w:hAnsi="宋体" w:cs="宋体"/>
          <w:color w:val="auto"/>
          <w:sz w:val="21"/>
          <w:szCs w:val="21"/>
        </w:rPr>
        <w:t xml:space="preserve">            投标人法人或授权代表签字：</w:t>
      </w:r>
      <w:r>
        <w:rPr>
          <w:rFonts w:hint="eastAsia" w:ascii="宋体" w:hAnsi="宋体" w:cs="宋体"/>
          <w:color w:val="auto"/>
          <w:sz w:val="21"/>
          <w:szCs w:val="21"/>
          <w:u w:val="single"/>
        </w:rPr>
        <w:t xml:space="preserve">            </w:t>
      </w:r>
      <w:r>
        <w:rPr>
          <w:rFonts w:hint="eastAsia" w:ascii="宋体" w:hAnsi="宋体" w:cs="宋体"/>
          <w:color w:val="auto"/>
          <w:sz w:val="21"/>
          <w:szCs w:val="21"/>
        </w:rPr>
        <w:t xml:space="preserve">                                                                                   </w:t>
      </w:r>
    </w:p>
    <w:p>
      <w:pPr>
        <w:spacing w:line="400" w:lineRule="exact"/>
        <w:jc w:val="center"/>
        <w:rPr>
          <w:rFonts w:ascii="宋体" w:hAnsi="宋体"/>
          <w:b/>
          <w:szCs w:val="21"/>
        </w:rPr>
      </w:pPr>
      <w:r>
        <w:rPr>
          <w:rFonts w:hint="eastAsia" w:ascii="宋体" w:hAnsi="宋体" w:cs="宋体"/>
          <w:szCs w:val="21"/>
        </w:rPr>
        <w:t xml:space="preserve">                日   期：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pStyle w:val="62"/>
        <w:snapToGrid w:val="0"/>
        <w:jc w:val="center"/>
        <w:rPr>
          <w:rFonts w:ascii="宋体" w:hAnsi="宋体"/>
          <w:b/>
          <w:bCs/>
          <w:sz w:val="21"/>
          <w:szCs w:val="21"/>
        </w:rPr>
      </w:pPr>
    </w:p>
    <w:p>
      <w:pPr>
        <w:pStyle w:val="67"/>
        <w:snapToGrid w:val="0"/>
        <w:spacing w:line="360" w:lineRule="atLeast"/>
        <w:jc w:val="center"/>
        <w:outlineLvl w:val="0"/>
        <w:rPr>
          <w:rFonts w:ascii="宋体" w:hAnsi="宋体"/>
          <w:b/>
          <w:color w:val="auto"/>
          <w:sz w:val="21"/>
          <w:szCs w:val="21"/>
        </w:rPr>
      </w:pPr>
      <w:r>
        <w:rPr>
          <w:rFonts w:ascii="宋体" w:hAnsi="宋体"/>
          <w:b/>
          <w:color w:val="auto"/>
          <w:sz w:val="21"/>
          <w:szCs w:val="21"/>
        </w:rPr>
        <w:br w:type="page"/>
      </w:r>
      <w:bookmarkStart w:id="287" w:name="_Toc1961"/>
      <w:bookmarkStart w:id="288" w:name="_Toc21605"/>
      <w:bookmarkStart w:id="289" w:name="_Toc2313"/>
      <w:r>
        <w:rPr>
          <w:rFonts w:hint="eastAsia" w:ascii="宋体" w:hAnsi="宋体"/>
          <w:b/>
          <w:color w:val="auto"/>
          <w:sz w:val="21"/>
          <w:szCs w:val="21"/>
        </w:rPr>
        <w:t>5.法定代表人授权委托书</w:t>
      </w:r>
      <w:bookmarkEnd w:id="287"/>
      <w:bookmarkEnd w:id="288"/>
      <w:bookmarkEnd w:id="289"/>
    </w:p>
    <w:p>
      <w:pPr>
        <w:pStyle w:val="67"/>
        <w:snapToGrid w:val="0"/>
        <w:spacing w:line="360" w:lineRule="atLeast"/>
        <w:ind w:firstLine="855"/>
        <w:jc w:val="center"/>
        <w:rPr>
          <w:rFonts w:ascii="宋体" w:hAnsi="宋体"/>
          <w:b/>
          <w:color w:val="auto"/>
          <w:sz w:val="21"/>
          <w:szCs w:val="21"/>
        </w:rPr>
      </w:pPr>
    </w:p>
    <w:p>
      <w:pPr>
        <w:spacing w:line="360" w:lineRule="auto"/>
        <w:ind w:firstLine="630"/>
        <w:rPr>
          <w:rFonts w:ascii="宋体" w:hAnsi="宋体"/>
          <w:szCs w:val="21"/>
        </w:rPr>
      </w:pPr>
      <w:r>
        <w:rPr>
          <w:rFonts w:hint="eastAsia" w:ascii="宋体" w:hAnsi="宋体"/>
          <w:szCs w:val="21"/>
        </w:rPr>
        <w:t>本授权委托书声明：我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（投标人名称）的法定代表人，现授权委托</w:t>
      </w:r>
      <w:r>
        <w:rPr>
          <w:rFonts w:hint="eastAsia" w:ascii="宋体" w:hAnsi="宋体"/>
          <w:szCs w:val="21"/>
          <w:u w:val="single"/>
        </w:rPr>
        <w:t xml:space="preserve">                         </w:t>
      </w:r>
      <w:r>
        <w:rPr>
          <w:rFonts w:hint="eastAsia" w:ascii="宋体" w:hAnsi="宋体"/>
          <w:szCs w:val="21"/>
        </w:rPr>
        <w:t>（投标人名称）的</w:t>
      </w:r>
      <w:r>
        <w:rPr>
          <w:rFonts w:hint="eastAsia" w:ascii="宋体" w:hAnsi="宋体"/>
          <w:szCs w:val="21"/>
          <w:u w:val="single"/>
        </w:rPr>
        <w:t xml:space="preserve">            </w:t>
      </w:r>
      <w:r>
        <w:rPr>
          <w:rFonts w:hint="eastAsia" w:ascii="宋体" w:hAnsi="宋体"/>
          <w:szCs w:val="21"/>
        </w:rPr>
        <w:t>（姓名）为我公司代理人，以本公司的名义参加</w:t>
      </w:r>
      <w:r>
        <w:rPr>
          <w:rFonts w:hint="eastAsia" w:ascii="宋体" w:hAnsi="宋体"/>
          <w:szCs w:val="21"/>
          <w:u w:val="single"/>
        </w:rPr>
        <w:t xml:space="preserve">          </w:t>
      </w:r>
      <w:r>
        <w:rPr>
          <w:rFonts w:hint="eastAsia" w:ascii="宋体" w:hAnsi="宋体"/>
          <w:szCs w:val="21"/>
        </w:rPr>
        <w:t>（招标人）的</w:t>
      </w:r>
      <w:r>
        <w:rPr>
          <w:rFonts w:hint="eastAsia" w:ascii="宋体" w:hAnsi="宋体"/>
          <w:szCs w:val="21"/>
          <w:u w:val="single"/>
        </w:rPr>
        <w:t xml:space="preserve">                 项目</w:t>
      </w:r>
      <w:r>
        <w:rPr>
          <w:rFonts w:hint="eastAsia" w:ascii="宋体" w:hAnsi="宋体"/>
          <w:szCs w:val="21"/>
        </w:rPr>
        <w:t>的投标活动。代理人签署的投标文件和参加整个招标投标活动中所签署的一切文件和处理与之有关的一切事物，我均予以承认。</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代理人：</w:t>
      </w:r>
      <w:r>
        <w:rPr>
          <w:rFonts w:hint="eastAsia" w:ascii="宋体" w:hAnsi="宋体"/>
          <w:szCs w:val="21"/>
          <w:u w:val="single"/>
        </w:rPr>
        <w:t xml:space="preserve">              </w:t>
      </w:r>
      <w:r>
        <w:rPr>
          <w:rFonts w:hint="eastAsia" w:ascii="宋体" w:hAnsi="宋体"/>
          <w:szCs w:val="21"/>
        </w:rPr>
        <w:t>性别：</w:t>
      </w:r>
      <w:r>
        <w:rPr>
          <w:rFonts w:hint="eastAsia" w:ascii="宋体" w:hAnsi="宋体"/>
          <w:szCs w:val="21"/>
          <w:u w:val="single"/>
        </w:rPr>
        <w:t xml:space="preserve">             </w:t>
      </w:r>
      <w:r>
        <w:rPr>
          <w:rFonts w:hint="eastAsia" w:ascii="宋体" w:hAnsi="宋体"/>
          <w:szCs w:val="21"/>
        </w:rPr>
        <w:t>年龄：</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单  位：</w:t>
      </w:r>
      <w:r>
        <w:rPr>
          <w:rFonts w:hint="eastAsia" w:ascii="宋体" w:hAnsi="宋体"/>
          <w:szCs w:val="21"/>
          <w:u w:val="single"/>
        </w:rPr>
        <w:t xml:space="preserve">              </w:t>
      </w:r>
      <w:r>
        <w:rPr>
          <w:rFonts w:hint="eastAsia" w:ascii="宋体" w:hAnsi="宋体"/>
          <w:szCs w:val="21"/>
        </w:rPr>
        <w:t>部门：</w:t>
      </w:r>
      <w:r>
        <w:rPr>
          <w:rFonts w:hint="eastAsia" w:ascii="宋体" w:hAnsi="宋体"/>
          <w:szCs w:val="21"/>
          <w:u w:val="single"/>
        </w:rPr>
        <w:t xml:space="preserve">             </w:t>
      </w:r>
      <w:r>
        <w:rPr>
          <w:rFonts w:hint="eastAsia" w:ascii="宋体" w:hAnsi="宋体"/>
          <w:szCs w:val="21"/>
        </w:rPr>
        <w:t>职务：</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代理人无转委权。特此委托。</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8890</wp:posOffset>
                </wp:positionV>
                <wp:extent cx="2609215" cy="1704975"/>
                <wp:effectExtent l="4445" t="4445" r="15240" b="5080"/>
                <wp:wrapNone/>
                <wp:docPr id="2" name="文本框 6"/>
                <wp:cNvGraphicFramePr/>
                <a:graphic xmlns:a="http://schemas.openxmlformats.org/drawingml/2006/main">
                  <a:graphicData uri="http://schemas.microsoft.com/office/word/2010/wordprocessingShape">
                    <wps:wsp>
                      <wps:cNvSpPr txBox="1"/>
                      <wps:spPr>
                        <a:xfrm>
                          <a:off x="0" y="0"/>
                          <a:ext cx="2609215" cy="1704975"/>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r>
                              <w:rPr>
                                <w:rFonts w:hint="eastAsia"/>
                              </w:rPr>
                              <w:t xml:space="preserve">       附委托人身份证复印件正面</w:t>
                            </w:r>
                          </w:p>
                        </w:txbxContent>
                      </wps:txbx>
                      <wps:bodyPr upright="1"/>
                    </wps:wsp>
                  </a:graphicData>
                </a:graphic>
              </wp:anchor>
            </w:drawing>
          </mc:Choice>
          <mc:Fallback>
            <w:pict>
              <v:shape id="文本框 6" o:spid="_x0000_s1026" o:spt="202" type="#_x0000_t202" style="position:absolute;left:0pt;margin-left:-1.75pt;margin-top:0.7pt;height:134.25pt;width:205.45pt;z-index:251663360;mso-width-relative:page;mso-height-relative:page;" fillcolor="#FFFFFF" filled="t" stroked="t" coordsize="21600,21600" o:gfxdata="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sGixNkAAAAIAQAADwAAAAAAAAABACAA&#10;AAAiAAAAZHJzL2Rvd25yZXYueG1sUEsBAhQAFAAAAAgAh07iQELcd/MMAgAANwQAAA4AAAAAAAAA&#10;AQAgAAAAKAEAAGRycy9lMm9Eb2MueG1sUEsFBgAAAAAGAAYAWQEAAKYFAAAAAA==&#10;">
                <v:fill on="t" focussize="0,0"/>
                <v:stroke color="#000000" joinstyle="miter"/>
                <v:imagedata o:title=""/>
                <o:lock v:ext="edit" aspectratio="f"/>
                <v:textbox>
                  <w:txbxContent>
                    <w:p/>
                    <w:p/>
                    <w:p/>
                    <w:p/>
                    <w:p>
                      <w:r>
                        <w:rPr>
                          <w:rFonts w:hint="eastAsia"/>
                        </w:rPr>
                        <w:t xml:space="preserve">       附委托人身份证复印件正面</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2663190</wp:posOffset>
                </wp:positionH>
                <wp:positionV relativeFrom="paragraph">
                  <wp:posOffset>10160</wp:posOffset>
                </wp:positionV>
                <wp:extent cx="2722880" cy="1694180"/>
                <wp:effectExtent l="5080" t="5080" r="15240" b="15240"/>
                <wp:wrapNone/>
                <wp:docPr id="4" name="文本框 6"/>
                <wp:cNvGraphicFramePr/>
                <a:graphic xmlns:a="http://schemas.openxmlformats.org/drawingml/2006/main">
                  <a:graphicData uri="http://schemas.microsoft.com/office/word/2010/wordprocessingShape">
                    <wps:wsp>
                      <wps:cNvSpPr txBox="1"/>
                      <wps:spPr>
                        <a:xfrm>
                          <a:off x="0" y="0"/>
                          <a:ext cx="2722880" cy="169418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r>
                              <w:rPr>
                                <w:rFonts w:hint="eastAsia"/>
                              </w:rPr>
                              <w:t xml:space="preserve">      附委托人身份证复印件反面</w:t>
                            </w:r>
                          </w:p>
                        </w:txbxContent>
                      </wps:txbx>
                      <wps:bodyPr upright="1"/>
                    </wps:wsp>
                  </a:graphicData>
                </a:graphic>
              </wp:anchor>
            </w:drawing>
          </mc:Choice>
          <mc:Fallback>
            <w:pict>
              <v:shape id="文本框 6" o:spid="_x0000_s1026" o:spt="202" type="#_x0000_t202" style="position:absolute;left:0pt;margin-left:209.7pt;margin-top:0.8pt;height:133.4pt;width:214.4pt;z-index:251665408;mso-width-relative:page;mso-height-relative:page;" fillcolor="#FFFFFF" filled="t" stroked="t" coordsize="21600,21600" o:gfxdata="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US1PYAAAACQEAAA8AAAAAAAAAAQAgAAAA&#10;IgAAAGRycy9kb3ducmV2LnhtbFBLAQIUABQAAAAIAIdO4kDHO6qkCwIAADcEAAAOAAAAAAAAAAEA&#10;IAAAACcBAABkcnMvZTJvRG9jLnhtbFBLBQYAAAAABgAGAFkBAACkBQAAAAA=&#10;">
                <v:fill on="t" focussize="0,0"/>
                <v:stroke color="#000000" joinstyle="miter"/>
                <v:imagedata o:title=""/>
                <o:lock v:ext="edit" aspectratio="f"/>
                <v:textbox>
                  <w:txbxContent>
                    <w:p/>
                    <w:p/>
                    <w:p/>
                    <w:p/>
                    <w:p>
                      <w:r>
                        <w:rPr>
                          <w:rFonts w:hint="eastAsia"/>
                        </w:rPr>
                        <w:t xml:space="preserve">      附委托人身份证复印件反面</w:t>
                      </w:r>
                    </w:p>
                  </w:txbxContent>
                </v:textbox>
              </v:shape>
            </w:pict>
          </mc:Fallback>
        </mc:AlternateContent>
      </w:r>
    </w:p>
    <w:p>
      <w:pPr>
        <w:spacing w:line="360" w:lineRule="auto"/>
        <w:rPr>
          <w:rFonts w:ascii="宋体" w:hAnsi="宋体"/>
          <w:szCs w:val="21"/>
        </w:rPr>
      </w:pPr>
      <w:r>
        <w:rPr>
          <w:rFonts w:hint="eastAsia" w:ascii="宋体" w:hAnsi="宋体"/>
          <w:szCs w:val="21"/>
        </w:rPr>
        <w:t xml:space="preserve">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67"/>
        <w:snapToGrid w:val="0"/>
        <w:spacing w:line="360" w:lineRule="auto"/>
        <w:ind w:firstLine="400" w:firstLineChars="200"/>
        <w:jc w:val="both"/>
        <w:rPr>
          <w:rFonts w:ascii="宋体" w:hAnsi="宋体" w:cs="宋体"/>
          <w:color w:val="auto"/>
          <w:sz w:val="21"/>
          <w:szCs w:val="21"/>
          <w:u w:val="single"/>
        </w:rPr>
      </w:pPr>
      <w:r>
        <w:rPr>
          <w:rFonts w:hint="eastAsia" w:ascii="宋体" w:hAnsi="宋体"/>
          <w:color w:val="auto"/>
          <w:szCs w:val="21"/>
        </w:rPr>
        <w:t xml:space="preserve">                       </w:t>
      </w:r>
      <w:r>
        <w:rPr>
          <w:rFonts w:hint="eastAsia" w:ascii="宋体" w:hAnsi="宋体" w:cs="宋体"/>
          <w:color w:val="auto"/>
          <w:sz w:val="21"/>
          <w:szCs w:val="21"/>
        </w:rPr>
        <w:t>投标人名称(公章)：</w:t>
      </w:r>
      <w:r>
        <w:rPr>
          <w:rFonts w:hint="eastAsia" w:ascii="宋体" w:hAnsi="宋体" w:cs="宋体"/>
          <w:color w:val="auto"/>
          <w:sz w:val="21"/>
          <w:szCs w:val="21"/>
          <w:u w:val="single"/>
        </w:rPr>
        <w:t xml:space="preserve">                            </w:t>
      </w:r>
    </w:p>
    <w:p>
      <w:pPr>
        <w:pStyle w:val="67"/>
        <w:snapToGrid w:val="0"/>
        <w:spacing w:line="360" w:lineRule="auto"/>
        <w:ind w:firstLine="2730" w:firstLineChars="1300"/>
        <w:jc w:val="both"/>
        <w:rPr>
          <w:rFonts w:ascii="宋体" w:hAnsi="宋体" w:cs="宋体"/>
          <w:color w:val="auto"/>
          <w:sz w:val="21"/>
          <w:szCs w:val="21"/>
        </w:rPr>
      </w:pPr>
      <w:r>
        <w:rPr>
          <w:rFonts w:hint="eastAsia" w:ascii="宋体" w:hAnsi="宋体" w:cs="宋体"/>
          <w:color w:val="auto"/>
          <w:sz w:val="21"/>
          <w:szCs w:val="21"/>
        </w:rPr>
        <w:t>投标人法人签字：</w:t>
      </w:r>
      <w:r>
        <w:rPr>
          <w:rFonts w:hint="eastAsia" w:ascii="宋体" w:hAnsi="宋体" w:cs="宋体"/>
          <w:color w:val="auto"/>
          <w:sz w:val="21"/>
          <w:szCs w:val="21"/>
          <w:u w:val="single"/>
        </w:rPr>
        <w:t xml:space="preserve">                          </w:t>
      </w:r>
    </w:p>
    <w:p>
      <w:pPr>
        <w:pStyle w:val="67"/>
        <w:snapToGrid w:val="0"/>
        <w:spacing w:line="360" w:lineRule="auto"/>
        <w:ind w:firstLine="2730" w:firstLineChars="1300"/>
        <w:jc w:val="both"/>
        <w:rPr>
          <w:rFonts w:ascii="宋体" w:hAnsi="宋体" w:cs="宋体"/>
          <w:color w:val="auto"/>
          <w:sz w:val="21"/>
          <w:szCs w:val="21"/>
        </w:rPr>
      </w:pPr>
      <w:r>
        <w:rPr>
          <w:rFonts w:hint="eastAsia" w:ascii="宋体" w:hAnsi="宋体" w:cs="宋体"/>
          <w:color w:val="auto"/>
          <w:sz w:val="21"/>
          <w:szCs w:val="21"/>
        </w:rPr>
        <w:t>法定代表人身份证号：</w:t>
      </w:r>
      <w:r>
        <w:rPr>
          <w:rFonts w:hint="eastAsia" w:ascii="宋体" w:hAnsi="宋体" w:cs="宋体"/>
          <w:color w:val="auto"/>
          <w:sz w:val="21"/>
          <w:szCs w:val="21"/>
          <w:u w:val="single"/>
        </w:rPr>
        <w:t xml:space="preserve">                      </w:t>
      </w:r>
    </w:p>
    <w:p>
      <w:pPr>
        <w:pStyle w:val="67"/>
        <w:snapToGrid w:val="0"/>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委托人签字：</w:t>
      </w:r>
      <w:r>
        <w:rPr>
          <w:rFonts w:hint="eastAsia" w:ascii="宋体" w:hAnsi="宋体" w:cs="宋体"/>
          <w:color w:val="auto"/>
          <w:sz w:val="21"/>
          <w:szCs w:val="21"/>
          <w:u w:val="single"/>
        </w:rPr>
        <w:t xml:space="preserve">                              </w:t>
      </w:r>
    </w:p>
    <w:p>
      <w:pPr>
        <w:pStyle w:val="67"/>
        <w:snapToGrid w:val="0"/>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委托人身份证号：</w:t>
      </w:r>
      <w:r>
        <w:rPr>
          <w:rFonts w:hint="eastAsia" w:ascii="宋体" w:hAnsi="宋体" w:cs="宋体"/>
          <w:color w:val="auto"/>
          <w:sz w:val="21"/>
          <w:szCs w:val="21"/>
          <w:u w:val="single"/>
        </w:rPr>
        <w:t xml:space="preserve">                          </w:t>
      </w:r>
    </w:p>
    <w:p>
      <w:pPr>
        <w:pStyle w:val="67"/>
        <w:snapToGrid w:val="0"/>
        <w:spacing w:line="360" w:lineRule="auto"/>
        <w:rPr>
          <w:rFonts w:ascii="宋体" w:hAnsi="宋体" w:cs="宋体"/>
          <w:color w:val="auto"/>
          <w:sz w:val="21"/>
          <w:szCs w:val="21"/>
        </w:rPr>
      </w:pPr>
      <w:r>
        <w:rPr>
          <w:rFonts w:hint="eastAsia" w:ascii="宋体" w:hAnsi="宋体" w:cs="宋体"/>
          <w:color w:val="auto"/>
          <w:sz w:val="21"/>
          <w:szCs w:val="21"/>
        </w:rPr>
        <w:t xml:space="preserve">                          日      期： </w:t>
      </w:r>
      <w:r>
        <w:rPr>
          <w:rFonts w:hint="eastAsia"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cs="宋体"/>
          <w:color w:val="auto"/>
          <w:sz w:val="21"/>
          <w:szCs w:val="21"/>
          <w:u w:val="single"/>
        </w:rPr>
        <w:t xml:space="preserve">   </w:t>
      </w:r>
      <w:r>
        <w:rPr>
          <w:rFonts w:hint="eastAsia" w:ascii="宋体" w:hAnsi="宋体" w:cs="宋体"/>
          <w:color w:val="auto"/>
          <w:sz w:val="21"/>
          <w:szCs w:val="21"/>
        </w:rPr>
        <w:t>月</w:t>
      </w:r>
      <w:r>
        <w:rPr>
          <w:rFonts w:hint="eastAsia" w:ascii="宋体" w:hAnsi="宋体" w:cs="宋体"/>
          <w:color w:val="auto"/>
          <w:sz w:val="21"/>
          <w:szCs w:val="21"/>
          <w:u w:val="single"/>
        </w:rPr>
        <w:t xml:space="preserve">   </w:t>
      </w:r>
      <w:r>
        <w:rPr>
          <w:rFonts w:hint="eastAsia" w:ascii="宋体" w:hAnsi="宋体" w:cs="宋体"/>
          <w:color w:val="auto"/>
          <w:sz w:val="21"/>
          <w:szCs w:val="21"/>
        </w:rPr>
        <w:t>日</w:t>
      </w:r>
    </w:p>
    <w:p>
      <w:pPr>
        <w:wordWrap w:val="0"/>
        <w:spacing w:line="360" w:lineRule="auto"/>
        <w:jc w:val="center"/>
        <w:rPr>
          <w:rFonts w:ascii="宋体" w:hAnsi="宋体"/>
          <w:b/>
          <w:szCs w:val="21"/>
        </w:rPr>
      </w:pPr>
    </w:p>
    <w:p>
      <w:pPr>
        <w:spacing w:line="400" w:lineRule="atLeast"/>
        <w:ind w:firstLine="240" w:firstLineChars="100"/>
        <w:rPr>
          <w:rFonts w:ascii="Arial" w:hAnsi="Arial" w:cs="Arial"/>
          <w:sz w:val="24"/>
        </w:rPr>
      </w:pPr>
      <w:r>
        <w:rPr>
          <w:rFonts w:ascii="Arial" w:hAnsi="Arial" w:cs="Arial"/>
          <w:sz w:val="24"/>
        </w:rPr>
        <w:t>注：</w:t>
      </w:r>
      <w:r>
        <w:rPr>
          <w:rFonts w:hint="eastAsia" w:ascii="Arial" w:hAnsi="Arial" w:cs="Arial"/>
          <w:sz w:val="24"/>
        </w:rPr>
        <w:t>若</w:t>
      </w:r>
      <w:r>
        <w:rPr>
          <w:rFonts w:ascii="Arial" w:hAnsi="Arial" w:cs="Arial"/>
          <w:sz w:val="24"/>
        </w:rPr>
        <w:t>公司法人前来参加投标的投标人，可以不提供此项证明文件。</w:t>
      </w:r>
    </w:p>
    <w:p>
      <w:pPr>
        <w:widowControl/>
        <w:spacing w:line="360" w:lineRule="auto"/>
        <w:ind w:firstLine="420"/>
        <w:jc w:val="center"/>
      </w:pPr>
      <w:r>
        <w:rPr>
          <w:rFonts w:ascii="宋体" w:hAnsi="宋体"/>
          <w:b/>
          <w:szCs w:val="21"/>
        </w:rPr>
        <w:br w:type="page"/>
      </w:r>
      <w:bookmarkStart w:id="290" w:name="_Toc414636091"/>
      <w:bookmarkStart w:id="291" w:name="_Toc8749"/>
      <w:bookmarkStart w:id="292" w:name="_Toc1439"/>
    </w:p>
    <w:bookmarkEnd w:id="290"/>
    <w:bookmarkEnd w:id="291"/>
    <w:bookmarkEnd w:id="292"/>
    <w:p>
      <w:pPr>
        <w:widowControl/>
        <w:spacing w:line="360" w:lineRule="auto"/>
        <w:jc w:val="center"/>
        <w:outlineLvl w:val="0"/>
        <w:rPr>
          <w:rFonts w:ascii="宋体" w:hAnsi="宋体" w:cs="宋体"/>
          <w:b/>
          <w:bCs/>
          <w:kern w:val="0"/>
          <w:szCs w:val="21"/>
        </w:rPr>
      </w:pPr>
      <w:bookmarkStart w:id="293" w:name="_Toc24870"/>
      <w:bookmarkStart w:id="294" w:name="_Toc18759"/>
      <w:r>
        <w:rPr>
          <w:rFonts w:hint="eastAsia" w:ascii="宋体" w:hAnsi="宋体" w:cs="宋体"/>
          <w:b/>
          <w:bCs/>
          <w:kern w:val="0"/>
          <w:szCs w:val="21"/>
        </w:rPr>
        <w:t>6、投标人基本情况表</w:t>
      </w:r>
      <w:bookmarkEnd w:id="293"/>
      <w:bookmarkEnd w:id="294"/>
    </w:p>
    <w:tbl>
      <w:tblPr>
        <w:tblStyle w:val="39"/>
        <w:tblW w:w="8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66"/>
        <w:gridCol w:w="1211"/>
        <w:gridCol w:w="1767"/>
        <w:gridCol w:w="1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投标人名称</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jc w:val="center"/>
              <w:rPr>
                <w:rFonts w:ascii="宋体" w:hAnsi="宋体"/>
                <w:b/>
                <w:szCs w:val="21"/>
              </w:rPr>
            </w:pPr>
            <w:r>
              <w:rPr>
                <w:rFonts w:hint="eastAsia" w:ascii="宋体" w:hAnsi="宋体"/>
                <w:b/>
                <w:szCs w:val="21"/>
              </w:rPr>
              <w:t>注册地址</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restart"/>
            <w:vAlign w:val="center"/>
          </w:tcPr>
          <w:p>
            <w:pPr>
              <w:adjustRightInd w:val="0"/>
              <w:snapToGrid w:val="0"/>
              <w:jc w:val="center"/>
              <w:rPr>
                <w:rFonts w:ascii="宋体" w:hAnsi="宋体"/>
                <w:b/>
                <w:szCs w:val="21"/>
              </w:rPr>
            </w:pPr>
            <w:r>
              <w:rPr>
                <w:rFonts w:hint="eastAsia" w:ascii="宋体" w:hAnsi="宋体" w:cs="宋体"/>
                <w:b/>
                <w:szCs w:val="21"/>
              </w:rPr>
              <w:t>联系方式</w:t>
            </w:r>
          </w:p>
        </w:tc>
        <w:tc>
          <w:tcPr>
            <w:tcW w:w="1766" w:type="dxa"/>
            <w:vAlign w:val="center"/>
          </w:tcPr>
          <w:p>
            <w:pPr>
              <w:adjustRightInd w:val="0"/>
              <w:snapToGrid w:val="0"/>
              <w:jc w:val="center"/>
              <w:rPr>
                <w:rFonts w:ascii="宋体" w:hAnsi="宋体"/>
                <w:b/>
                <w:szCs w:val="21"/>
              </w:rPr>
            </w:pPr>
            <w:r>
              <w:rPr>
                <w:rFonts w:hint="eastAsia" w:ascii="宋体" w:hAnsi="宋体" w:cs="宋体"/>
                <w:b/>
                <w:szCs w:val="21"/>
              </w:rPr>
              <w:t>联系人</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continue"/>
            <w:vAlign w:val="center"/>
          </w:tcPr>
          <w:p>
            <w:pPr>
              <w:adjustRightInd w:val="0"/>
              <w:snapToGrid w:val="0"/>
              <w:jc w:val="center"/>
              <w:rPr>
                <w:rFonts w:ascii="宋体" w:hAnsi="宋体"/>
                <w:b/>
                <w:szCs w:val="21"/>
              </w:rPr>
            </w:pPr>
          </w:p>
        </w:tc>
        <w:tc>
          <w:tcPr>
            <w:tcW w:w="1766" w:type="dxa"/>
            <w:vAlign w:val="center"/>
          </w:tcPr>
          <w:p>
            <w:pPr>
              <w:adjustRightInd w:val="0"/>
              <w:snapToGrid w:val="0"/>
              <w:jc w:val="center"/>
              <w:rPr>
                <w:rFonts w:ascii="宋体" w:hAnsi="宋体"/>
                <w:b/>
                <w:szCs w:val="21"/>
              </w:rPr>
            </w:pPr>
            <w:r>
              <w:rPr>
                <w:rFonts w:hint="eastAsia" w:ascii="宋体" w:hAnsi="宋体"/>
                <w:b/>
                <w:szCs w:val="21"/>
              </w:rPr>
              <w:t>传真</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电子邮箱</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法定代表人</w:t>
            </w:r>
          </w:p>
          <w:p>
            <w:pPr>
              <w:adjustRightInd w:val="0"/>
              <w:snapToGrid w:val="0"/>
              <w:jc w:val="center"/>
              <w:rPr>
                <w:rFonts w:ascii="宋体" w:hAnsi="宋体"/>
                <w:b/>
                <w:szCs w:val="21"/>
              </w:rPr>
            </w:pPr>
            <w:r>
              <w:rPr>
                <w:rFonts w:hint="eastAsia" w:ascii="宋体" w:hAnsi="宋体"/>
                <w:b/>
                <w:szCs w:val="21"/>
              </w:rPr>
              <w:t>（或负责人）</w:t>
            </w:r>
          </w:p>
        </w:tc>
        <w:tc>
          <w:tcPr>
            <w:tcW w:w="1766" w:type="dxa"/>
            <w:vAlign w:val="center"/>
          </w:tcPr>
          <w:p>
            <w:pPr>
              <w:adjustRightInd w:val="0"/>
              <w:snapToGrid w:val="0"/>
              <w:jc w:val="center"/>
              <w:rPr>
                <w:rFonts w:ascii="宋体" w:hAnsi="宋体"/>
                <w:b/>
                <w:szCs w:val="21"/>
              </w:rPr>
            </w:pPr>
            <w:r>
              <w:rPr>
                <w:rFonts w:hint="eastAsia" w:ascii="宋体" w:hAnsi="宋体"/>
                <w:b/>
                <w:szCs w:val="21"/>
              </w:rPr>
              <w:t>姓名</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统一社会信用代码</w:t>
            </w:r>
          </w:p>
        </w:tc>
        <w:tc>
          <w:tcPr>
            <w:tcW w:w="2977" w:type="dxa"/>
            <w:gridSpan w:val="2"/>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员工总人数</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类型</w:t>
            </w:r>
          </w:p>
        </w:tc>
        <w:tc>
          <w:tcPr>
            <w:tcW w:w="1766" w:type="dxa"/>
            <w:vAlign w:val="center"/>
          </w:tcPr>
          <w:p>
            <w:pPr>
              <w:adjustRightInd w:val="0"/>
              <w:snapToGrid w:val="0"/>
              <w:jc w:val="center"/>
              <w:rPr>
                <w:rFonts w:ascii="宋体" w:hAnsi="宋体"/>
                <w:b/>
                <w:szCs w:val="21"/>
              </w:rPr>
            </w:pPr>
          </w:p>
        </w:tc>
        <w:tc>
          <w:tcPr>
            <w:tcW w:w="1211" w:type="dxa"/>
            <w:vMerge w:val="restart"/>
            <w:vAlign w:val="center"/>
          </w:tcPr>
          <w:p>
            <w:pPr>
              <w:adjustRightInd w:val="0"/>
              <w:snapToGrid w:val="0"/>
              <w:jc w:val="center"/>
              <w:rPr>
                <w:rFonts w:ascii="宋体" w:hAnsi="宋体"/>
                <w:b/>
                <w:szCs w:val="21"/>
              </w:rPr>
            </w:pPr>
            <w:r>
              <w:rPr>
                <w:rFonts w:hint="eastAsia" w:ascii="宋体" w:hAnsi="宋体"/>
                <w:b/>
                <w:szCs w:val="21"/>
              </w:rPr>
              <w:t>其中</w:t>
            </w: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基本账户开户银行</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注册资本</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成立日期</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营业期限</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基本账户银行账号</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登记机关</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3"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经营范围</w:t>
            </w:r>
          </w:p>
        </w:tc>
        <w:tc>
          <w:tcPr>
            <w:tcW w:w="6511" w:type="dxa"/>
            <w:gridSpan w:val="4"/>
            <w:vAlign w:val="center"/>
          </w:tcPr>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tc>
      </w:tr>
    </w:tbl>
    <w:p>
      <w:pPr>
        <w:pStyle w:val="19"/>
        <w:adjustRightInd w:val="0"/>
        <w:snapToGrid w:val="0"/>
        <w:spacing w:before="156" w:beforeLines="50"/>
        <w:jc w:val="left"/>
        <w:rPr>
          <w:rFonts w:hAnsi="宋体"/>
          <w:b/>
          <w:sz w:val="24"/>
          <w:szCs w:val="24"/>
        </w:rPr>
      </w:pPr>
      <w:r>
        <w:rPr>
          <w:rFonts w:hint="eastAsia"/>
          <w:b/>
          <w:bCs/>
        </w:rPr>
        <w:t>注：本表后应附企业法人营业执照等资格审查所需相关材料的复印件。（投标人可根据本表自行编制）</w:t>
      </w: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74"/>
        <w:snapToGrid w:val="0"/>
        <w:spacing w:line="394" w:lineRule="exact"/>
        <w:jc w:val="both"/>
        <w:rPr>
          <w:rFonts w:ascii="宋体" w:hAnsi="宋体"/>
          <w:color w:val="auto"/>
          <w:sz w:val="21"/>
          <w:szCs w:val="21"/>
        </w:rPr>
      </w:pPr>
    </w:p>
    <w:p>
      <w:pPr>
        <w:widowControl/>
        <w:spacing w:line="360" w:lineRule="auto"/>
        <w:jc w:val="center"/>
        <w:outlineLvl w:val="0"/>
        <w:rPr>
          <w:rFonts w:ascii="宋体" w:hAnsi="宋体" w:cs="宋体"/>
          <w:b/>
          <w:bCs/>
          <w:kern w:val="0"/>
          <w:szCs w:val="21"/>
        </w:rPr>
      </w:pPr>
      <w:bookmarkStart w:id="295" w:name="_Toc16966"/>
      <w:bookmarkStart w:id="296" w:name="_Toc14246"/>
      <w:bookmarkStart w:id="297" w:name="_Toc1702"/>
      <w:bookmarkStart w:id="298" w:name="_Toc29190"/>
      <w:bookmarkStart w:id="299" w:name="_Toc15969"/>
      <w:bookmarkStart w:id="300" w:name="_Toc27085"/>
      <w:bookmarkStart w:id="301" w:name="_Toc515570487"/>
      <w:bookmarkStart w:id="302" w:name="_Toc31668"/>
      <w:bookmarkStart w:id="303" w:name="_Toc17204502"/>
      <w:bookmarkStart w:id="304" w:name="_Toc29123"/>
      <w:r>
        <w:rPr>
          <w:rFonts w:hint="eastAsia" w:ascii="宋体" w:hAnsi="宋体" w:cs="宋体"/>
          <w:b/>
          <w:bCs/>
          <w:kern w:val="0"/>
          <w:szCs w:val="21"/>
        </w:rPr>
        <w:t>7.投标保证金缴纳凭证</w:t>
      </w:r>
      <w:bookmarkEnd w:id="295"/>
    </w:p>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投标人提供投标保证金缴纳凭证附件（格式自拟）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ind w:left="0" w:leftChars="0" w:firstLine="0" w:firstLineChars="0"/>
        <w:rPr>
          <w:rFonts w:ascii="宋体" w:hAnsi="宋体" w:cs="宋体"/>
          <w:b/>
          <w:bCs/>
          <w:kern w:val="0"/>
          <w:szCs w:val="21"/>
        </w:rPr>
      </w:pPr>
    </w:p>
    <w:p>
      <w:pPr>
        <w:pStyle w:val="10"/>
        <w:rPr>
          <w:rFonts w:ascii="宋体" w:hAnsi="宋体" w:cs="宋体"/>
          <w:b/>
          <w:bCs/>
          <w:kern w:val="0"/>
          <w:szCs w:val="21"/>
        </w:rPr>
      </w:pPr>
    </w:p>
    <w:p>
      <w:pPr>
        <w:pStyle w:val="10"/>
        <w:jc w:val="center"/>
        <w:rPr>
          <w:rFonts w:ascii="宋体" w:hAnsi="宋体" w:cs="宋体"/>
          <w:b/>
          <w:bCs/>
          <w:kern w:val="0"/>
          <w:sz w:val="40"/>
          <w:szCs w:val="40"/>
        </w:rPr>
      </w:pPr>
      <w:r>
        <w:rPr>
          <w:rFonts w:hint="eastAsia" w:ascii="宋体" w:hAnsi="宋体" w:cs="宋体"/>
          <w:b/>
          <w:bCs/>
          <w:kern w:val="0"/>
          <w:sz w:val="40"/>
          <w:szCs w:val="40"/>
        </w:rPr>
        <w:t>（商务技术文件）</w:t>
      </w:r>
    </w:p>
    <w:p>
      <w:pPr>
        <w:widowControl/>
        <w:spacing w:line="360" w:lineRule="auto"/>
        <w:jc w:val="center"/>
        <w:outlineLvl w:val="0"/>
        <w:rPr>
          <w:rFonts w:ascii="宋体" w:hAnsi="宋体" w:cs="宋体"/>
          <w:b/>
          <w:bCs/>
          <w:kern w:val="0"/>
          <w:szCs w:val="21"/>
        </w:rPr>
      </w:pPr>
      <w:bookmarkStart w:id="305" w:name="_Toc19744"/>
      <w:r>
        <w:rPr>
          <w:rFonts w:hint="eastAsia" w:ascii="宋体" w:hAnsi="宋体" w:cs="宋体"/>
          <w:b/>
          <w:bCs/>
          <w:kern w:val="0"/>
          <w:szCs w:val="21"/>
        </w:rPr>
        <w:t>8.近三年已完成或在执行类似项目一览表</w:t>
      </w:r>
      <w:bookmarkEnd w:id="296"/>
      <w:bookmarkEnd w:id="305"/>
    </w:p>
    <w:p>
      <w:pPr>
        <w:snapToGrid w:val="0"/>
        <w:rPr>
          <w:u w:val="single"/>
        </w:rPr>
      </w:pPr>
      <w:r>
        <w:rPr>
          <w:rFonts w:hint="eastAsia"/>
        </w:rPr>
        <w:t>投标人名称：</w:t>
      </w:r>
    </w:p>
    <w:tbl>
      <w:tblPr>
        <w:tblStyle w:val="39"/>
        <w:tblW w:w="0" w:type="auto"/>
        <w:jc w:val="center"/>
        <w:tblLayout w:type="fixed"/>
        <w:tblCellMar>
          <w:top w:w="15" w:type="dxa"/>
          <w:left w:w="15" w:type="dxa"/>
          <w:bottom w:w="15" w:type="dxa"/>
          <w:right w:w="15" w:type="dxa"/>
        </w:tblCellMar>
      </w:tblPr>
      <w:tblGrid>
        <w:gridCol w:w="645"/>
        <w:gridCol w:w="960"/>
        <w:gridCol w:w="1423"/>
        <w:gridCol w:w="1047"/>
        <w:gridCol w:w="1280"/>
        <w:gridCol w:w="1074"/>
        <w:gridCol w:w="2496"/>
      </w:tblGrid>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项目名称</w:t>
            </w:r>
          </w:p>
        </w:tc>
        <w:tc>
          <w:tcPr>
            <w:tcW w:w="14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 目 内 容（类似项目）</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合同金额（万元）</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已结算金额（万元）</w:t>
            </w:r>
          </w:p>
        </w:tc>
        <w:tc>
          <w:tcPr>
            <w:tcW w:w="10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完成日期</w:t>
            </w:r>
          </w:p>
        </w:tc>
        <w:tc>
          <w:tcPr>
            <w:tcW w:w="249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业主名称、联系人及电话</w:t>
            </w: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bl>
    <w:p>
      <w:pPr>
        <w:snapToGrid w:val="0"/>
        <w:rPr>
          <w:rFonts w:ascii="宋体"/>
          <w:b/>
        </w:rPr>
      </w:pPr>
    </w:p>
    <w:p>
      <w:pPr>
        <w:snapToGrid w:val="0"/>
        <w:rPr>
          <w:rFonts w:ascii="宋体"/>
          <w:b/>
        </w:rPr>
      </w:pPr>
    </w:p>
    <w:p>
      <w:pPr>
        <w:snapToGrid w:val="0"/>
        <w:rPr>
          <w:rFonts w:ascii="宋体"/>
          <w:b/>
        </w:rPr>
      </w:pPr>
      <w:r>
        <w:rPr>
          <w:rFonts w:hint="eastAsia" w:ascii="宋体"/>
          <w:b/>
        </w:rPr>
        <w:t>注：1.投标人应如实列出以上情况，如有隐瞒，一经查实将导致其投标申请被视为无效投标。</w:t>
      </w:r>
    </w:p>
    <w:p>
      <w:pPr>
        <w:numPr>
          <w:ilvl w:val="0"/>
          <w:numId w:val="7"/>
        </w:numPr>
        <w:snapToGrid w:val="0"/>
        <w:ind w:firstLine="422" w:firstLineChars="200"/>
        <w:rPr>
          <w:rFonts w:ascii="宋体"/>
          <w:b/>
        </w:rPr>
      </w:pPr>
      <w:r>
        <w:rPr>
          <w:rFonts w:hint="eastAsia" w:ascii="宋体"/>
          <w:b/>
        </w:rPr>
        <w:t>对于已完项目，投标人应提供收到的中标通知书或双方签订的合同。</w:t>
      </w:r>
    </w:p>
    <w:p>
      <w:pPr>
        <w:pStyle w:val="14"/>
        <w:rPr>
          <w:rFonts w:ascii="宋体" w:hAnsi="Times New Roman" w:cs="Times New Roman"/>
          <w:b/>
        </w:rPr>
      </w:pPr>
      <w:r>
        <w:rPr>
          <w:rFonts w:hint="eastAsia"/>
        </w:rPr>
        <w:t xml:space="preserve"> </w:t>
      </w:r>
      <w:r>
        <w:rPr>
          <w:rFonts w:hint="eastAsia" w:ascii="宋体" w:hAnsi="Times New Roman" w:cs="Times New Roman"/>
          <w:b/>
        </w:rPr>
        <w:t xml:space="preserve">   3.此表后附中标通知书或供货合同复印件，原件现场备查。</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pStyle w:val="1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306" w:name="_Toc13263"/>
      <w:bookmarkStart w:id="307" w:name="_Toc30549"/>
      <w:r>
        <w:rPr>
          <w:rFonts w:hint="eastAsia" w:ascii="宋体" w:hAnsi="宋体" w:cs="宋体"/>
          <w:b/>
          <w:bCs/>
          <w:kern w:val="0"/>
          <w:szCs w:val="21"/>
        </w:rPr>
        <w:t>9、商务条款偏离表</w:t>
      </w:r>
      <w:bookmarkEnd w:id="297"/>
      <w:bookmarkEnd w:id="298"/>
      <w:bookmarkEnd w:id="299"/>
      <w:bookmarkEnd w:id="300"/>
      <w:bookmarkEnd w:id="306"/>
      <w:bookmarkEnd w:id="307"/>
    </w:p>
    <w:tbl>
      <w:tblPr>
        <w:tblStyle w:val="39"/>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99"/>
        <w:gridCol w:w="2237"/>
        <w:gridCol w:w="1723"/>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2199" w:type="dxa"/>
            <w:vAlign w:val="center"/>
          </w:tcPr>
          <w:p>
            <w:pPr>
              <w:spacing w:line="360" w:lineRule="auto"/>
              <w:jc w:val="center"/>
              <w:rPr>
                <w:rFonts w:ascii="宋体" w:hAnsi="宋体" w:cs="宋体"/>
                <w:sz w:val="24"/>
              </w:rPr>
            </w:pPr>
            <w:r>
              <w:rPr>
                <w:rFonts w:hint="eastAsia" w:ascii="宋体" w:hAnsi="宋体" w:cs="宋体"/>
                <w:sz w:val="24"/>
              </w:rPr>
              <w:t>招标文件的</w:t>
            </w:r>
          </w:p>
          <w:p>
            <w:pPr>
              <w:spacing w:line="360" w:lineRule="auto"/>
              <w:jc w:val="center"/>
              <w:rPr>
                <w:rFonts w:ascii="宋体" w:hAnsi="宋体" w:cs="宋体"/>
                <w:sz w:val="24"/>
              </w:rPr>
            </w:pPr>
            <w:r>
              <w:rPr>
                <w:rFonts w:hint="eastAsia" w:ascii="宋体" w:hAnsi="宋体" w:cs="宋体"/>
                <w:sz w:val="24"/>
              </w:rPr>
              <w:t>商务条款</w:t>
            </w:r>
          </w:p>
        </w:tc>
        <w:tc>
          <w:tcPr>
            <w:tcW w:w="2237" w:type="dxa"/>
            <w:vAlign w:val="center"/>
          </w:tcPr>
          <w:p>
            <w:pPr>
              <w:spacing w:line="360" w:lineRule="auto"/>
              <w:jc w:val="center"/>
              <w:rPr>
                <w:rFonts w:ascii="宋体" w:hAnsi="宋体" w:cs="宋体"/>
                <w:sz w:val="24"/>
              </w:rPr>
            </w:pPr>
            <w:r>
              <w:rPr>
                <w:rFonts w:hint="eastAsia" w:ascii="宋体" w:hAnsi="宋体" w:cs="宋体"/>
                <w:sz w:val="24"/>
              </w:rPr>
              <w:t>投标文件的</w:t>
            </w:r>
          </w:p>
          <w:p>
            <w:pPr>
              <w:spacing w:line="360" w:lineRule="auto"/>
              <w:jc w:val="center"/>
              <w:rPr>
                <w:rFonts w:ascii="宋体" w:hAnsi="宋体" w:cs="宋体"/>
                <w:sz w:val="24"/>
              </w:rPr>
            </w:pPr>
            <w:r>
              <w:rPr>
                <w:rFonts w:hint="eastAsia" w:ascii="宋体" w:hAnsi="宋体" w:cs="宋体"/>
                <w:sz w:val="24"/>
              </w:rPr>
              <w:t>商务条款</w:t>
            </w:r>
          </w:p>
        </w:tc>
        <w:tc>
          <w:tcPr>
            <w:tcW w:w="1723" w:type="dxa"/>
            <w:vAlign w:val="center"/>
          </w:tcPr>
          <w:p>
            <w:pPr>
              <w:spacing w:line="360" w:lineRule="auto"/>
              <w:jc w:val="center"/>
              <w:rPr>
                <w:rFonts w:ascii="宋体" w:hAnsi="宋体" w:cs="宋体"/>
                <w:sz w:val="24"/>
              </w:rPr>
            </w:pPr>
            <w:r>
              <w:rPr>
                <w:rFonts w:hint="eastAsia" w:ascii="宋体" w:hAnsi="宋体" w:cs="宋体"/>
              </w:rPr>
              <w:t>正偏离/负偏离/不偏离</w:t>
            </w:r>
          </w:p>
        </w:tc>
        <w:tc>
          <w:tcPr>
            <w:tcW w:w="1723" w:type="dxa"/>
            <w:vAlign w:val="center"/>
          </w:tcPr>
          <w:p>
            <w:pPr>
              <w:spacing w:line="360" w:lineRule="auto"/>
              <w:jc w:val="center"/>
              <w:rPr>
                <w:rFonts w:ascii="宋体" w:hAnsi="宋体" w:cs="宋体"/>
                <w:sz w:val="24"/>
              </w:rPr>
            </w:pPr>
            <w:r>
              <w:rPr>
                <w:rFonts w:hint="eastAsia" w:ascii="宋体" w:hAnsi="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1</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2</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3</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bl>
    <w:p>
      <w:pPr>
        <w:spacing w:line="360" w:lineRule="auto"/>
        <w:ind w:firstLine="480" w:firstLineChars="200"/>
        <w:rPr>
          <w:rFonts w:ascii="宋体" w:hAnsi="宋体" w:cs="宋体"/>
          <w:sz w:val="24"/>
        </w:rPr>
      </w:pPr>
    </w:p>
    <w:p>
      <w:pPr>
        <w:spacing w:line="360" w:lineRule="auto"/>
        <w:ind w:firstLine="422" w:firstLineChars="200"/>
        <w:rPr>
          <w:rFonts w:ascii="宋体" w:hAnsi="宋体" w:cs="宋体"/>
        </w:rPr>
      </w:pPr>
      <w:r>
        <w:rPr>
          <w:rFonts w:hint="eastAsia" w:ascii="宋体" w:hAnsi="宋体" w:cs="宋体"/>
          <w:b/>
        </w:rPr>
        <w:t>注</w:t>
      </w:r>
      <w:r>
        <w:rPr>
          <w:rFonts w:hint="eastAsia" w:ascii="宋体" w:hAnsi="宋体" w:cs="宋体"/>
        </w:rPr>
        <w:t>：1、应与文件要求逐条对应填写。</w:t>
      </w:r>
    </w:p>
    <w:p>
      <w:pPr>
        <w:spacing w:line="360" w:lineRule="auto"/>
        <w:ind w:firstLine="840" w:firstLineChars="400"/>
        <w:rPr>
          <w:rFonts w:ascii="宋体" w:hAnsi="宋体" w:cs="宋体"/>
        </w:rPr>
      </w:pPr>
      <w:r>
        <w:rPr>
          <w:rFonts w:hint="eastAsia" w:ascii="宋体" w:hAnsi="宋体" w:cs="宋体"/>
        </w:rPr>
        <w:t>2、本表如填写不完，可以续页。</w:t>
      </w:r>
    </w:p>
    <w:p>
      <w:pPr>
        <w:pStyle w:val="101"/>
        <w:ind w:firstLine="840" w:firstLineChars="400"/>
        <w:rPr>
          <w:rFonts w:ascii="宋体" w:hAnsi="宋体" w:eastAsia="宋体" w:cs="宋体"/>
        </w:rPr>
      </w:pPr>
      <w:r>
        <w:rPr>
          <w:rFonts w:hint="eastAsia" w:ascii="宋体" w:hAnsi="宋体" w:eastAsia="宋体" w:cs="宋体"/>
        </w:rPr>
        <w:t>3、商务条款包含：供货期、投标有效期、响应文件份数、投标保证金、付款方式、质保期、售后服务等。</w:t>
      </w:r>
    </w:p>
    <w:p>
      <w:pPr>
        <w:pStyle w:val="101"/>
        <w:ind w:firstLine="840" w:firstLineChars="400"/>
        <w:rPr>
          <w:rFonts w:ascii="宋体" w:hAnsi="宋体" w:eastAsia="宋体" w:cs="宋体"/>
        </w:rPr>
      </w:pPr>
      <w:r>
        <w:rPr>
          <w:rFonts w:hint="eastAsia" w:ascii="宋体" w:hAnsi="宋体" w:eastAsia="宋体" w:cs="宋体"/>
        </w:rPr>
        <w:t>4、投标人应据实填写，不可直接复制粘贴招标文件要求，否则视为不响应。</w:t>
      </w:r>
    </w:p>
    <w:p>
      <w:pPr>
        <w:pStyle w:val="101"/>
        <w:ind w:firstLine="840" w:firstLineChars="400"/>
        <w:rPr>
          <w:rFonts w:ascii="宋体" w:hAnsi="宋体" w:eastAsia="宋体" w:cs="宋体"/>
        </w:rPr>
      </w:pPr>
      <w:r>
        <w:rPr>
          <w:rFonts w:hint="eastAsia" w:ascii="宋体" w:hAnsi="宋体" w:eastAsia="宋体" w:cs="宋体"/>
        </w:rPr>
        <w:t>5、商务条款偏离表若有一项出现负偏离的，视为不响应招标文件实质性要求。</w:t>
      </w:r>
    </w:p>
    <w:p>
      <w:pPr>
        <w:pStyle w:val="101"/>
        <w:ind w:firstLine="840" w:firstLineChars="400"/>
        <w:rPr>
          <w:rFonts w:ascii="宋体" w:hAnsi="宋体" w:eastAsia="宋体" w:cs="宋体"/>
        </w:rPr>
      </w:pPr>
    </w:p>
    <w:p>
      <w:pPr>
        <w:spacing w:line="360" w:lineRule="auto"/>
        <w:ind w:firstLine="480" w:firstLineChars="200"/>
        <w:rPr>
          <w:rFonts w:ascii="宋体" w:hAnsi="宋体" w:cs="宋体"/>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spacing w:line="360" w:lineRule="auto"/>
        <w:jc w:val="center"/>
        <w:outlineLvl w:val="0"/>
        <w:rPr>
          <w:rFonts w:ascii="宋体" w:hAnsi="宋体"/>
          <w:szCs w:val="21"/>
        </w:rPr>
      </w:pPr>
    </w:p>
    <w:p>
      <w:pPr>
        <w:pStyle w:val="14"/>
        <w:rPr>
          <w:rFonts w:ascii="宋体" w:hAnsi="宋体"/>
          <w:szCs w:val="21"/>
        </w:rPr>
      </w:pPr>
    </w:p>
    <w:p>
      <w:pPr>
        <w:rPr>
          <w:rFonts w:ascii="宋体" w:hAnsi="宋体"/>
          <w:szCs w:val="21"/>
        </w:rPr>
      </w:pPr>
    </w:p>
    <w:p>
      <w:pPr>
        <w:pStyle w:val="14"/>
        <w:rPr>
          <w:rFonts w:ascii="宋体" w:hAnsi="宋体"/>
          <w:szCs w:val="21"/>
        </w:rPr>
      </w:pPr>
    </w:p>
    <w:p>
      <w:pPr>
        <w:pStyle w:val="4"/>
        <w:spacing w:line="360" w:lineRule="auto"/>
        <w:jc w:val="center"/>
        <w:rPr>
          <w:rFonts w:ascii="Times New Roman" w:hAnsi="Times New Roman" w:eastAsia="宋体"/>
        </w:rPr>
      </w:pPr>
      <w:bookmarkStart w:id="308" w:name="_Toc4624"/>
      <w:bookmarkStart w:id="309" w:name="_Toc28446"/>
      <w:bookmarkStart w:id="310" w:name="_Toc4202"/>
      <w:bookmarkStart w:id="311" w:name="_Toc5045"/>
      <w:bookmarkStart w:id="312" w:name="_Toc29757"/>
      <w:bookmarkStart w:id="313" w:name="_Toc10580"/>
      <w:bookmarkStart w:id="314" w:name="_Toc11472"/>
      <w:bookmarkStart w:id="315" w:name="_Toc5203"/>
      <w:r>
        <w:rPr>
          <w:rFonts w:hint="eastAsia" w:ascii="宋体" w:hAnsi="宋体" w:eastAsia="宋体" w:cs="宋体"/>
          <w:kern w:val="0"/>
          <w:sz w:val="21"/>
          <w:szCs w:val="21"/>
        </w:rPr>
        <w:t>10、技术参数、规格偏离表</w:t>
      </w:r>
      <w:bookmarkEnd w:id="308"/>
      <w:bookmarkEnd w:id="309"/>
      <w:bookmarkEnd w:id="310"/>
      <w:bookmarkEnd w:id="311"/>
      <w:bookmarkEnd w:id="312"/>
      <w:bookmarkEnd w:id="313"/>
      <w:bookmarkEnd w:id="314"/>
    </w:p>
    <w:tbl>
      <w:tblPr>
        <w:tblStyle w:val="39"/>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059"/>
        <w:gridCol w:w="1829"/>
        <w:gridCol w:w="168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52" w:type="dxa"/>
            <w:vAlign w:val="center"/>
          </w:tcPr>
          <w:p>
            <w:pPr>
              <w:spacing w:line="360" w:lineRule="auto"/>
              <w:rPr>
                <w:rFonts w:ascii="宋体" w:hAnsi="宋体" w:cs="宋体"/>
              </w:rPr>
            </w:pPr>
            <w:r>
              <w:rPr>
                <w:rFonts w:hint="eastAsia" w:ascii="宋体" w:hAnsi="宋体" w:cs="宋体"/>
              </w:rPr>
              <w:t>序号</w:t>
            </w:r>
          </w:p>
        </w:tc>
        <w:tc>
          <w:tcPr>
            <w:tcW w:w="2059" w:type="dxa"/>
            <w:vAlign w:val="center"/>
          </w:tcPr>
          <w:p>
            <w:pPr>
              <w:spacing w:line="360" w:lineRule="auto"/>
              <w:jc w:val="center"/>
              <w:rPr>
                <w:rFonts w:ascii="宋体" w:hAnsi="宋体" w:cs="宋体"/>
              </w:rPr>
            </w:pPr>
            <w:r>
              <w:rPr>
                <w:rFonts w:hint="eastAsia" w:ascii="宋体" w:hAnsi="宋体" w:cs="宋体"/>
              </w:rPr>
              <w:t>文件要求技术参数、规格</w:t>
            </w:r>
          </w:p>
        </w:tc>
        <w:tc>
          <w:tcPr>
            <w:tcW w:w="1829" w:type="dxa"/>
            <w:vAlign w:val="center"/>
          </w:tcPr>
          <w:p>
            <w:pPr>
              <w:spacing w:line="360" w:lineRule="auto"/>
              <w:jc w:val="center"/>
              <w:rPr>
                <w:rFonts w:ascii="宋体" w:hAnsi="宋体" w:cs="宋体"/>
              </w:rPr>
            </w:pPr>
            <w:r>
              <w:rPr>
                <w:rFonts w:hint="eastAsia" w:ascii="宋体" w:hAnsi="宋体" w:cs="宋体"/>
              </w:rPr>
              <w:t>投标技术参数、规格</w:t>
            </w:r>
          </w:p>
        </w:tc>
        <w:tc>
          <w:tcPr>
            <w:tcW w:w="1680" w:type="dxa"/>
            <w:vAlign w:val="center"/>
          </w:tcPr>
          <w:p>
            <w:pPr>
              <w:spacing w:line="360" w:lineRule="auto"/>
              <w:jc w:val="center"/>
              <w:rPr>
                <w:rFonts w:ascii="宋体" w:hAnsi="宋体" w:cs="宋体"/>
              </w:rPr>
            </w:pPr>
            <w:r>
              <w:rPr>
                <w:rFonts w:hint="eastAsia" w:ascii="宋体" w:hAnsi="宋体" w:cs="宋体"/>
              </w:rPr>
              <w:t>正偏离/负偏离不偏离</w:t>
            </w:r>
          </w:p>
        </w:tc>
        <w:tc>
          <w:tcPr>
            <w:tcW w:w="1558" w:type="dxa"/>
            <w:vAlign w:val="center"/>
          </w:tcPr>
          <w:p>
            <w:pPr>
              <w:spacing w:line="360" w:lineRule="auto"/>
              <w:jc w:val="center"/>
              <w:rPr>
                <w:rFonts w:ascii="宋体" w:hAns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2" w:type="dxa"/>
            <w:vAlign w:val="center"/>
          </w:tcPr>
          <w:p>
            <w:pPr>
              <w:spacing w:line="360" w:lineRule="auto"/>
              <w:jc w:val="center"/>
              <w:rPr>
                <w:rFonts w:ascii="宋体" w:hAnsi="宋体" w:cs="宋体"/>
              </w:rPr>
            </w:pPr>
            <w:r>
              <w:rPr>
                <w:rFonts w:hint="eastAsia" w:ascii="宋体" w:hAnsi="宋体" w:cs="宋体"/>
              </w:rPr>
              <w:t>1</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2</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3</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4</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5</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52" w:type="dxa"/>
            <w:vAlign w:val="center"/>
          </w:tcPr>
          <w:p>
            <w:pPr>
              <w:spacing w:line="360" w:lineRule="auto"/>
              <w:jc w:val="center"/>
              <w:rPr>
                <w:rFonts w:ascii="宋体" w:hAnsi="宋体" w:cs="宋体"/>
              </w:rPr>
            </w:pP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bl>
    <w:p>
      <w:pPr>
        <w:spacing w:line="360" w:lineRule="auto"/>
        <w:ind w:firstLine="420" w:firstLineChars="200"/>
        <w:rPr>
          <w:rFonts w:ascii="宋体" w:hAnsi="宋体" w:cs="宋体"/>
        </w:rPr>
      </w:pPr>
    </w:p>
    <w:p>
      <w:pPr>
        <w:spacing w:line="360" w:lineRule="auto"/>
        <w:rPr>
          <w:rFonts w:ascii="宋体" w:hAnsi="宋体" w:cs="宋体"/>
        </w:rPr>
      </w:pPr>
      <w:r>
        <w:rPr>
          <w:rFonts w:hint="eastAsia" w:ascii="宋体" w:hAnsi="宋体" w:cs="宋体"/>
          <w:b/>
        </w:rPr>
        <w:t>注</w:t>
      </w:r>
      <w:r>
        <w:rPr>
          <w:rFonts w:hint="eastAsia" w:ascii="宋体" w:hAnsi="宋体" w:cs="宋体"/>
        </w:rPr>
        <w:t>：1、应与文件要求逐条对应填写，投标人应据实填写技术参数及规格，不可直接复制粘贴招标文件要求，否则视为不响应。</w:t>
      </w:r>
    </w:p>
    <w:p>
      <w:pPr>
        <w:spacing w:line="360" w:lineRule="auto"/>
        <w:ind w:firstLine="420" w:firstLineChars="200"/>
        <w:outlineLvl w:val="0"/>
        <w:rPr>
          <w:rFonts w:ascii="宋体" w:hAnsi="宋体" w:cs="宋体"/>
        </w:rPr>
      </w:pPr>
      <w:bookmarkStart w:id="316" w:name="_Toc11867"/>
      <w:bookmarkStart w:id="317" w:name="_Toc2895"/>
      <w:bookmarkStart w:id="318" w:name="_Toc17337"/>
      <w:bookmarkStart w:id="319" w:name="_Toc26710"/>
      <w:bookmarkStart w:id="320" w:name="_Toc22102"/>
      <w:bookmarkStart w:id="321" w:name="_Toc31559"/>
      <w:bookmarkStart w:id="322" w:name="_Toc30452"/>
      <w:bookmarkStart w:id="323" w:name="_Toc27260"/>
      <w:bookmarkStart w:id="324" w:name="_Toc10128"/>
      <w:bookmarkStart w:id="325" w:name="_Toc16515"/>
      <w:r>
        <w:rPr>
          <w:rFonts w:hint="eastAsia" w:ascii="宋体" w:hAnsi="宋体" w:cs="宋体"/>
        </w:rPr>
        <w:t>2、本表如填写不完，可以续页。</w:t>
      </w:r>
      <w:bookmarkEnd w:id="316"/>
      <w:bookmarkEnd w:id="317"/>
      <w:bookmarkEnd w:id="318"/>
      <w:bookmarkEnd w:id="319"/>
      <w:bookmarkEnd w:id="320"/>
      <w:bookmarkEnd w:id="321"/>
      <w:bookmarkEnd w:id="322"/>
      <w:bookmarkEnd w:id="323"/>
      <w:bookmarkEnd w:id="324"/>
      <w:bookmarkEnd w:id="325"/>
    </w:p>
    <w:p>
      <w:pPr>
        <w:spacing w:line="360" w:lineRule="auto"/>
        <w:ind w:firstLine="420" w:firstLineChars="200"/>
        <w:outlineLvl w:val="0"/>
        <w:rPr>
          <w:rFonts w:ascii="宋体" w:hAnsi="宋体" w:cs="宋体"/>
        </w:rPr>
      </w:pPr>
    </w:p>
    <w:p>
      <w:pPr>
        <w:spacing w:line="360" w:lineRule="auto"/>
        <w:rPr>
          <w:rFonts w:ascii="宋体" w:hAnsi="宋体" w:cs="宋体"/>
        </w:rPr>
      </w:pPr>
    </w:p>
    <w:p>
      <w:pPr>
        <w:spacing w:line="360" w:lineRule="auto"/>
        <w:rPr>
          <w:rFonts w:ascii="宋体" w:hAnsi="宋体" w:cs="宋体"/>
          <w:sz w:val="24"/>
        </w:rPr>
      </w:pPr>
    </w:p>
    <w:p>
      <w:pPr>
        <w:spacing w:line="360" w:lineRule="auto"/>
        <w:rPr>
          <w:rFonts w:ascii="宋体" w:hAnsi="宋体" w:cs="宋体"/>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ind w:left="2108" w:leftChars="1004"/>
        <w:rPr>
          <w:rFonts w:ascii="宋体" w:hAnsi="宋体"/>
          <w:szCs w:val="21"/>
        </w:rPr>
      </w:pPr>
    </w:p>
    <w:p>
      <w:pPr>
        <w:adjustRightInd w:val="0"/>
        <w:snapToGrid w:val="0"/>
        <w:ind w:left="2108" w:leftChars="1004"/>
        <w:rPr>
          <w:rFonts w:ascii="宋体" w:hAnsi="宋体"/>
          <w:szCs w:val="21"/>
        </w:rPr>
      </w:pPr>
    </w:p>
    <w:p>
      <w:pPr>
        <w:adjustRightInd w:val="0"/>
        <w:snapToGrid w:val="0"/>
        <w:jc w:val="center"/>
        <w:rPr>
          <w:rFonts w:hAnsi="宋体"/>
        </w:rPr>
      </w:pPr>
      <w:bookmarkStart w:id="326" w:name="_Toc387653055"/>
      <w:r>
        <w:rPr>
          <w:rFonts w:hint="eastAsia" w:hAnsi="宋体"/>
        </w:rPr>
        <w:br w:type="page"/>
      </w:r>
    </w:p>
    <w:bookmarkEnd w:id="326"/>
    <w:p>
      <w:pPr>
        <w:widowControl/>
        <w:spacing w:line="360" w:lineRule="auto"/>
        <w:jc w:val="center"/>
        <w:outlineLvl w:val="0"/>
        <w:rPr>
          <w:rFonts w:hint="eastAsia" w:ascii="宋体" w:hAnsi="宋体" w:eastAsia="宋体" w:cs="宋体"/>
          <w:b/>
          <w:bCs/>
          <w:kern w:val="0"/>
          <w:szCs w:val="21"/>
          <w:lang w:eastAsia="zh-CN"/>
        </w:rPr>
      </w:pPr>
      <w:bookmarkStart w:id="327" w:name="_Toc1064"/>
      <w:bookmarkStart w:id="328" w:name="_Toc32375"/>
      <w:bookmarkStart w:id="329" w:name="_Toc515570493"/>
      <w:bookmarkStart w:id="330" w:name="_Toc24940"/>
      <w:bookmarkStart w:id="331" w:name="_Toc17204509"/>
      <w:r>
        <w:rPr>
          <w:rFonts w:hint="eastAsia" w:ascii="宋体" w:hAnsi="宋体" w:cs="宋体"/>
          <w:b/>
          <w:bCs/>
          <w:kern w:val="0"/>
          <w:szCs w:val="21"/>
        </w:rPr>
        <w:t>11.</w:t>
      </w:r>
      <w:bookmarkEnd w:id="327"/>
      <w:r>
        <w:rPr>
          <w:rFonts w:hint="eastAsia" w:ascii="宋体" w:hAnsi="宋体" w:cs="宋体"/>
          <w:b/>
          <w:bCs/>
          <w:kern w:val="0"/>
          <w:szCs w:val="21"/>
        </w:rPr>
        <w:t>技术组织实施方案</w:t>
      </w:r>
      <w:r>
        <w:rPr>
          <w:rFonts w:hint="eastAsia" w:ascii="宋体" w:hAnsi="宋体" w:cs="宋体"/>
          <w:b/>
          <w:bCs/>
          <w:kern w:val="0"/>
          <w:szCs w:val="21"/>
          <w:lang w:eastAsia="zh-CN"/>
        </w:rPr>
        <w:t>（</w:t>
      </w:r>
      <w:r>
        <w:rPr>
          <w:rFonts w:hint="eastAsia" w:ascii="宋体" w:hAnsi="宋体" w:cs="宋体"/>
          <w:b/>
          <w:bCs/>
          <w:kern w:val="0"/>
          <w:szCs w:val="21"/>
          <w:lang w:val="en-US" w:eastAsia="zh-CN"/>
        </w:rPr>
        <w:t>一包提供</w:t>
      </w:r>
      <w:r>
        <w:rPr>
          <w:rFonts w:hint="eastAsia" w:ascii="宋体" w:hAnsi="宋体" w:cs="宋体"/>
          <w:b/>
          <w:bCs/>
          <w:kern w:val="0"/>
          <w:szCs w:val="21"/>
          <w:lang w:eastAsia="zh-CN"/>
        </w:rPr>
        <w:t>）</w:t>
      </w:r>
      <w:bookmarkEnd w:id="328"/>
    </w:p>
    <w:p>
      <w:pPr>
        <w:pStyle w:val="14"/>
        <w:jc w:val="center"/>
      </w:pPr>
      <w:r>
        <w:rPr>
          <w:rFonts w:hint="eastAsia"/>
        </w:rPr>
        <w:t>（格式自拟）</w:t>
      </w:r>
    </w:p>
    <w:p>
      <w:pPr>
        <w:widowControl/>
        <w:spacing w:line="360" w:lineRule="auto"/>
        <w:jc w:val="center"/>
        <w:outlineLvl w:val="0"/>
        <w:rPr>
          <w:rFonts w:ascii="宋体" w:hAnsi="宋体" w:cs="宋体"/>
          <w:b/>
          <w:bCs/>
          <w:kern w:val="0"/>
          <w:szCs w:val="21"/>
        </w:rPr>
      </w:pPr>
    </w:p>
    <w:p>
      <w:pPr>
        <w:pStyle w:val="2"/>
        <w:rPr>
          <w:rFonts w:ascii="宋体" w:hAnsi="宋体" w:cs="宋体"/>
          <w:b/>
          <w:bCs/>
          <w:kern w:val="0"/>
          <w:szCs w:val="21"/>
        </w:rPr>
      </w:pPr>
    </w:p>
    <w:p>
      <w:pPr>
        <w:widowControl/>
        <w:spacing w:line="360" w:lineRule="auto"/>
        <w:jc w:val="center"/>
        <w:outlineLvl w:val="0"/>
        <w:rPr>
          <w:rFonts w:hint="eastAsia" w:ascii="宋体" w:hAnsi="宋体" w:eastAsia="宋体" w:cs="宋体"/>
          <w:b/>
          <w:bCs/>
          <w:kern w:val="0"/>
          <w:szCs w:val="21"/>
          <w:lang w:eastAsia="zh-CN"/>
        </w:rPr>
      </w:pPr>
      <w:bookmarkStart w:id="332" w:name="_Toc26090"/>
      <w:r>
        <w:rPr>
          <w:rFonts w:hint="eastAsia" w:ascii="宋体" w:hAnsi="宋体" w:cs="宋体"/>
          <w:b/>
          <w:bCs/>
          <w:kern w:val="0"/>
          <w:szCs w:val="21"/>
        </w:rPr>
        <w:t>11.供货组织情况及实施方案</w:t>
      </w:r>
      <w:r>
        <w:rPr>
          <w:rFonts w:hint="eastAsia" w:ascii="宋体" w:hAnsi="宋体" w:cs="宋体"/>
          <w:b/>
          <w:bCs/>
          <w:kern w:val="0"/>
          <w:szCs w:val="21"/>
          <w:lang w:eastAsia="zh-CN"/>
        </w:rPr>
        <w:t>（</w:t>
      </w:r>
      <w:r>
        <w:rPr>
          <w:rFonts w:hint="eastAsia" w:ascii="宋体" w:hAnsi="宋体" w:cs="宋体"/>
          <w:b/>
          <w:bCs/>
          <w:kern w:val="0"/>
          <w:szCs w:val="21"/>
          <w:lang w:val="en-US" w:eastAsia="zh-CN"/>
        </w:rPr>
        <w:t>二包提供</w:t>
      </w:r>
      <w:r>
        <w:rPr>
          <w:rFonts w:hint="eastAsia" w:ascii="宋体" w:hAnsi="宋体" w:cs="宋体"/>
          <w:b/>
          <w:bCs/>
          <w:kern w:val="0"/>
          <w:szCs w:val="21"/>
          <w:lang w:eastAsia="zh-CN"/>
        </w:rPr>
        <w:t>）</w:t>
      </w:r>
      <w:bookmarkEnd w:id="332"/>
    </w:p>
    <w:p>
      <w:pPr>
        <w:pStyle w:val="14"/>
        <w:jc w:val="center"/>
      </w:pPr>
      <w:r>
        <w:rPr>
          <w:rFonts w:hint="eastAsia"/>
        </w:rPr>
        <w:t>（格式自拟）</w:t>
      </w:r>
    </w:p>
    <w:p/>
    <w:p>
      <w:pPr>
        <w:widowControl/>
        <w:spacing w:line="360" w:lineRule="auto"/>
        <w:jc w:val="center"/>
        <w:outlineLvl w:val="0"/>
        <w:rPr>
          <w:rFonts w:ascii="宋体" w:hAnsi="宋体" w:cs="宋体"/>
          <w:b/>
          <w:bCs/>
          <w:kern w:val="0"/>
          <w:szCs w:val="21"/>
        </w:rPr>
      </w:pPr>
      <w:bookmarkStart w:id="333" w:name="_Toc4172"/>
      <w:bookmarkStart w:id="334" w:name="_Toc28365"/>
      <w:r>
        <w:rPr>
          <w:rFonts w:hint="eastAsia" w:ascii="宋体" w:hAnsi="宋体" w:cs="宋体"/>
          <w:b/>
          <w:bCs/>
          <w:kern w:val="0"/>
          <w:szCs w:val="21"/>
        </w:rPr>
        <w:t>12.售后服务方案及承诺书</w:t>
      </w:r>
      <w:bookmarkEnd w:id="333"/>
      <w:bookmarkEnd w:id="334"/>
    </w:p>
    <w:p>
      <w:pPr>
        <w:pStyle w:val="14"/>
        <w:jc w:val="center"/>
      </w:pPr>
      <w:r>
        <w:rPr>
          <w:rFonts w:hint="eastAsia"/>
        </w:rPr>
        <w:t>（格式自拟）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335" w:name="_Toc11445"/>
      <w:bookmarkStart w:id="336" w:name="_Toc10981"/>
      <w:r>
        <w:rPr>
          <w:rFonts w:hint="eastAsia" w:ascii="宋体" w:hAnsi="宋体" w:cs="宋体"/>
          <w:b/>
          <w:bCs/>
          <w:kern w:val="0"/>
          <w:szCs w:val="21"/>
        </w:rPr>
        <w:t>13.其它证明材料</w:t>
      </w:r>
      <w:bookmarkEnd w:id="315"/>
      <w:bookmarkEnd w:id="329"/>
      <w:bookmarkEnd w:id="330"/>
      <w:bookmarkEnd w:id="331"/>
      <w:bookmarkEnd w:id="335"/>
      <w:bookmarkEnd w:id="336"/>
    </w:p>
    <w:p>
      <w:pPr>
        <w:ind w:firstLine="630" w:firstLineChars="300"/>
        <w:rPr>
          <w:rFonts w:ascii="宋体" w:hAnsi="宋体"/>
          <w:szCs w:val="21"/>
        </w:rPr>
      </w:pPr>
      <w:r>
        <w:rPr>
          <w:rFonts w:hint="eastAsia" w:ascii="宋体" w:hAnsi="宋体"/>
          <w:szCs w:val="21"/>
        </w:rPr>
        <w:t>投标人根据评标办法认为对其参与评审有利的其它证明材料（格式自拟）。</w:t>
      </w:r>
    </w:p>
    <w:p>
      <w:pPr>
        <w:pStyle w:val="5"/>
        <w:rPr>
          <w:rFonts w:hint="default" w:ascii="宋体" w:hAnsi="宋体"/>
          <w:sz w:val="21"/>
          <w:szCs w:val="21"/>
        </w:rPr>
      </w:pPr>
    </w:p>
    <w:p/>
    <w:p>
      <w:pPr>
        <w:pStyle w:val="14"/>
      </w:pPr>
    </w:p>
    <w:p/>
    <w:p>
      <w:pPr>
        <w:pStyle w:val="14"/>
      </w:pPr>
    </w:p>
    <w:p/>
    <w:p>
      <w:pPr>
        <w:pStyle w:val="14"/>
      </w:pPr>
    </w:p>
    <w:p/>
    <w:p>
      <w:pPr>
        <w:pStyle w:val="14"/>
      </w:pPr>
    </w:p>
    <w:p/>
    <w:p>
      <w:pPr>
        <w:pStyle w:val="14"/>
      </w:pPr>
    </w:p>
    <w:p/>
    <w:p>
      <w:pPr>
        <w:pStyle w:val="14"/>
      </w:pPr>
    </w:p>
    <w:p/>
    <w:p>
      <w:pPr>
        <w:pStyle w:val="14"/>
      </w:pPr>
    </w:p>
    <w:p/>
    <w:p>
      <w:pPr>
        <w:pStyle w:val="14"/>
      </w:pPr>
    </w:p>
    <w:p/>
    <w:p>
      <w:pPr>
        <w:pStyle w:val="14"/>
      </w:pPr>
    </w:p>
    <w:p/>
    <w:p>
      <w:pPr>
        <w:pStyle w:val="14"/>
      </w:pPr>
    </w:p>
    <w:p/>
    <w:p>
      <w:pPr>
        <w:widowControl/>
        <w:spacing w:line="360" w:lineRule="auto"/>
        <w:jc w:val="center"/>
        <w:outlineLvl w:val="0"/>
        <w:rPr>
          <w:rFonts w:ascii="宋体" w:hAnsi="宋体" w:cs="宋体"/>
          <w:b/>
          <w:bCs/>
          <w:kern w:val="0"/>
          <w:szCs w:val="21"/>
        </w:rPr>
      </w:pPr>
      <w:bookmarkStart w:id="337" w:name="_Toc11178"/>
      <w:bookmarkStart w:id="338" w:name="_Toc29962"/>
      <w:r>
        <w:rPr>
          <w:rFonts w:hint="eastAsia" w:ascii="宋体" w:hAnsi="宋体" w:cs="宋体"/>
          <w:b/>
          <w:bCs/>
          <w:kern w:val="0"/>
          <w:szCs w:val="21"/>
        </w:rPr>
        <w:t>14.声明函</w:t>
      </w:r>
      <w:bookmarkEnd w:id="301"/>
      <w:bookmarkEnd w:id="302"/>
      <w:bookmarkEnd w:id="303"/>
      <w:bookmarkEnd w:id="304"/>
      <w:bookmarkEnd w:id="337"/>
      <w:bookmarkEnd w:id="338"/>
    </w:p>
    <w:p>
      <w:pPr>
        <w:pStyle w:val="36"/>
        <w:spacing w:line="375" w:lineRule="atLeast"/>
        <w:jc w:val="center"/>
        <w:outlineLvl w:val="1"/>
      </w:pPr>
      <w:bookmarkStart w:id="339" w:name="_Toc8236"/>
      <w:bookmarkStart w:id="340" w:name="_Toc11824"/>
      <w:bookmarkStart w:id="341" w:name="_Toc21314"/>
      <w:bookmarkStart w:id="342" w:name="_Toc20990"/>
      <w:r>
        <w:rPr>
          <w:rFonts w:hint="eastAsia"/>
        </w:rPr>
        <w:t>（非中小微企业不提供）</w:t>
      </w:r>
      <w:bookmarkEnd w:id="339"/>
      <w:bookmarkEnd w:id="340"/>
      <w:bookmarkEnd w:id="341"/>
      <w:bookmarkEnd w:id="342"/>
    </w:p>
    <w:p>
      <w:pPr>
        <w:pStyle w:val="36"/>
        <w:spacing w:line="375" w:lineRule="atLeast"/>
        <w:jc w:val="center"/>
        <w:outlineLvl w:val="0"/>
        <w:rPr>
          <w:rFonts w:hint="eastAsia" w:eastAsia="宋体"/>
          <w:lang w:eastAsia="zh-CN"/>
        </w:rPr>
      </w:pPr>
      <w:bookmarkStart w:id="343" w:name="_Toc515570488"/>
      <w:bookmarkStart w:id="344" w:name="_Toc17204503"/>
      <w:bookmarkStart w:id="345" w:name="_Toc515520686"/>
      <w:bookmarkStart w:id="346" w:name="_Toc29854"/>
      <w:bookmarkStart w:id="347" w:name="_Toc32220"/>
      <w:bookmarkStart w:id="348" w:name="_Toc27136"/>
      <w:bookmarkStart w:id="349" w:name="_Toc6866"/>
      <w:r>
        <w:rPr>
          <w:rFonts w:hint="eastAsia"/>
        </w:rPr>
        <w:t>（一）</w:t>
      </w:r>
      <w:r>
        <w:t>中小企业声明函</w:t>
      </w:r>
      <w:bookmarkEnd w:id="343"/>
      <w:bookmarkEnd w:id="344"/>
      <w:bookmarkEnd w:id="345"/>
      <w:bookmarkEnd w:id="346"/>
      <w:bookmarkEnd w:id="347"/>
      <w:bookmarkEnd w:id="348"/>
      <w:r>
        <w:rPr>
          <w:rFonts w:hint="eastAsia"/>
          <w:lang w:eastAsia="zh-CN"/>
        </w:rPr>
        <w:t>（</w:t>
      </w:r>
      <w:r>
        <w:rPr>
          <w:rFonts w:hint="eastAsia"/>
          <w:lang w:val="en-US" w:eastAsia="zh-CN"/>
        </w:rPr>
        <w:t>货物</w:t>
      </w:r>
      <w:r>
        <w:rPr>
          <w:rFonts w:hint="eastAsia"/>
          <w:lang w:eastAsia="zh-CN"/>
        </w:rPr>
        <w:t>）</w:t>
      </w:r>
      <w:bookmarkEnd w:id="349"/>
    </w:p>
    <w:p>
      <w:pPr>
        <w:spacing w:line="588" w:lineRule="exact"/>
        <w:ind w:firstLine="444" w:firstLineChars="200"/>
        <w:rPr>
          <w:rFonts w:ascii="宋体" w:hAnsi="宋体"/>
          <w:spacing w:val="6"/>
          <w:szCs w:val="21"/>
        </w:rPr>
      </w:pPr>
      <w:r>
        <w:rPr>
          <w:rFonts w:hint="eastAsia" w:ascii="宋体" w:hAnsi="宋体"/>
          <w:spacing w:val="6"/>
          <w:szCs w:val="21"/>
        </w:rPr>
        <w:t>本公司（联合体）郑重声明，根据《政府采购促进中小企业发展管理办法》（财库﹝2020﹞46 号）的规定，本公司 （联合体）参加</w:t>
      </w:r>
      <w:r>
        <w:rPr>
          <w:rFonts w:hint="eastAsia" w:ascii="宋体" w:hAnsi="宋体"/>
          <w:spacing w:val="6"/>
          <w:szCs w:val="21"/>
          <w:u w:val="single"/>
        </w:rPr>
        <w:t>（单位名称）</w:t>
      </w:r>
      <w:r>
        <w:rPr>
          <w:rFonts w:hint="eastAsia" w:ascii="宋体" w:hAnsi="宋体"/>
          <w:spacing w:val="6"/>
          <w:szCs w:val="21"/>
        </w:rPr>
        <w:t>的</w:t>
      </w:r>
      <w:r>
        <w:rPr>
          <w:rFonts w:hint="eastAsia" w:ascii="宋体" w:hAnsi="宋体"/>
          <w:spacing w:val="6"/>
          <w:szCs w:val="21"/>
          <w:u w:val="single"/>
        </w:rPr>
        <w:t>（项目名称）</w:t>
      </w:r>
      <w:r>
        <w:rPr>
          <w:rFonts w:hint="eastAsia" w:ascii="宋体" w:hAnsi="宋体"/>
          <w:spacing w:val="6"/>
          <w:szCs w:val="21"/>
        </w:rPr>
        <w:t xml:space="preserve">采购活动，提供的货物全部由符合政策要求的中小企业制造。相关企业 （含联合体中的中小企业、签订分包意向协议的中小企业）的具体情况如下： </w:t>
      </w:r>
    </w:p>
    <w:p>
      <w:pPr>
        <w:spacing w:line="588" w:lineRule="exact"/>
        <w:ind w:firstLine="444" w:firstLineChars="200"/>
        <w:rPr>
          <w:rFonts w:ascii="宋体" w:hAnsi="宋体"/>
          <w:spacing w:val="6"/>
          <w:szCs w:val="21"/>
        </w:rPr>
      </w:pPr>
      <w:r>
        <w:rPr>
          <w:rFonts w:hint="eastAsia" w:ascii="宋体" w:hAnsi="宋体"/>
          <w:spacing w:val="6"/>
          <w:szCs w:val="21"/>
        </w:rPr>
        <w:t xml:space="preserve">1. </w:t>
      </w:r>
      <w:r>
        <w:rPr>
          <w:rFonts w:hint="eastAsia" w:ascii="宋体" w:hAnsi="宋体"/>
          <w:spacing w:val="6"/>
          <w:szCs w:val="21"/>
          <w:u w:val="single"/>
        </w:rPr>
        <w:t>（标的名称）</w:t>
      </w:r>
      <w:r>
        <w:rPr>
          <w:rFonts w:hint="eastAsia" w:ascii="宋体" w:hAnsi="宋体"/>
          <w:spacing w:val="6"/>
          <w:szCs w:val="21"/>
        </w:rPr>
        <w:t xml:space="preserve"> ，属于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 xml:space="preserve">2. </w:t>
      </w:r>
      <w:r>
        <w:rPr>
          <w:rFonts w:hint="eastAsia" w:ascii="宋体" w:hAnsi="宋体"/>
          <w:spacing w:val="6"/>
          <w:szCs w:val="21"/>
          <w:u w:val="single"/>
        </w:rPr>
        <w:t xml:space="preserve">（标的名称） </w:t>
      </w:r>
      <w:r>
        <w:rPr>
          <w:rFonts w:hint="eastAsia" w:ascii="宋体" w:hAnsi="宋体"/>
          <w:spacing w:val="6"/>
          <w:szCs w:val="21"/>
        </w:rPr>
        <w:t>，属于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w:t>
      </w:r>
    </w:p>
    <w:p>
      <w:pPr>
        <w:spacing w:line="588" w:lineRule="exact"/>
        <w:ind w:firstLine="444" w:firstLineChars="200"/>
        <w:rPr>
          <w:rFonts w:ascii="宋体" w:hAnsi="宋体"/>
          <w:spacing w:val="6"/>
          <w:szCs w:val="21"/>
        </w:rPr>
      </w:pPr>
      <w:r>
        <w:rPr>
          <w:rFonts w:hint="eastAsia" w:ascii="宋体" w:hAnsi="宋体"/>
          <w:spacing w:val="6"/>
          <w:szCs w:val="21"/>
        </w:rPr>
        <w:t>以上企业，不属于大企业的分支机构，不存在控股股东 为大企业的情形，也不存在与大企业的负责人为同一人的情形。</w:t>
      </w:r>
    </w:p>
    <w:p>
      <w:pPr>
        <w:spacing w:line="588" w:lineRule="exact"/>
        <w:ind w:firstLine="444" w:firstLineChars="200"/>
        <w:rPr>
          <w:rFonts w:ascii="宋体" w:hAnsi="宋体"/>
          <w:spacing w:val="6"/>
          <w:szCs w:val="21"/>
        </w:rPr>
      </w:pPr>
      <w:r>
        <w:rPr>
          <w:rFonts w:hint="eastAsia" w:ascii="宋体" w:hAnsi="宋体"/>
          <w:spacing w:val="6"/>
          <w:szCs w:val="21"/>
        </w:rPr>
        <w:t xml:space="preserve">本企业对上述声明内容的真实性负责。如有虚假，将依法承担相应责任。 </w:t>
      </w:r>
    </w:p>
    <w:p>
      <w:pPr>
        <w:ind w:left="2604" w:leftChars="1240"/>
        <w:jc w:val="left"/>
        <w:rPr>
          <w:szCs w:val="21"/>
        </w:rPr>
      </w:pPr>
    </w:p>
    <w:p>
      <w:pPr>
        <w:ind w:left="2604" w:leftChars="1240" w:firstLine="210" w:firstLineChars="10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firstLine="210" w:firstLineChars="10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409" w:firstLineChars="195"/>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widowControl/>
        <w:jc w:val="left"/>
      </w:pPr>
    </w:p>
    <w:p>
      <w:pPr>
        <w:ind w:firstLine="360" w:firstLineChars="200"/>
        <w:rPr>
          <w:rFonts w:ascii="宋体" w:hAnsi="宋体"/>
          <w:sz w:val="18"/>
          <w:szCs w:val="18"/>
        </w:rPr>
      </w:pPr>
    </w:p>
    <w:p>
      <w:pPr>
        <w:pStyle w:val="36"/>
        <w:spacing w:line="375" w:lineRule="atLeast"/>
        <w:jc w:val="center"/>
        <w:outlineLvl w:val="0"/>
        <w:rPr>
          <w:sz w:val="21"/>
          <w:szCs w:val="21"/>
        </w:rPr>
      </w:pPr>
      <w:r>
        <w:rPr>
          <w:sz w:val="21"/>
          <w:szCs w:val="21"/>
        </w:rPr>
        <w:br w:type="page"/>
      </w:r>
      <w:bookmarkStart w:id="350" w:name="_Toc20106"/>
      <w:bookmarkStart w:id="351" w:name="_Toc17045"/>
      <w:bookmarkStart w:id="352" w:name="_Toc17204505"/>
      <w:bookmarkStart w:id="353" w:name="_Toc515520688"/>
      <w:bookmarkStart w:id="354" w:name="_Toc4803"/>
    </w:p>
    <w:p>
      <w:pPr>
        <w:pStyle w:val="36"/>
        <w:spacing w:line="375" w:lineRule="atLeast"/>
        <w:jc w:val="center"/>
        <w:outlineLvl w:val="0"/>
        <w:rPr>
          <w:rFonts w:hint="eastAsia" w:ascii="Times New Roman" w:hAnsi="Times New Roman" w:eastAsia="宋体" w:cs="Times New Roman"/>
        </w:rPr>
      </w:pPr>
      <w:bookmarkStart w:id="355" w:name="_Toc5355"/>
      <w:r>
        <w:rPr>
          <w:rFonts w:hint="eastAsia" w:ascii="Times New Roman" w:hAnsi="Times New Roman" w:eastAsia="宋体" w:cs="Times New Roman"/>
        </w:rPr>
        <w:t>中小企业声明函(服务)</w:t>
      </w:r>
      <w:bookmarkEnd w:id="355"/>
    </w:p>
    <w:p>
      <w:pPr>
        <w:spacing w:line="588" w:lineRule="exact"/>
        <w:ind w:firstLine="444" w:firstLineChars="200"/>
        <w:rPr>
          <w:rFonts w:hint="eastAsia" w:ascii="宋体" w:hAnsi="宋体" w:eastAsia="宋体" w:cs="Times New Roman"/>
          <w:spacing w:val="6"/>
          <w:szCs w:val="21"/>
          <w:u w:val="none"/>
        </w:rPr>
      </w:pP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本公司（联合体）郑重声明，根据《政府采购促进中小企业发展管理办法》（财库[2020]46号）的规定，本公司参加</w:t>
      </w:r>
      <w:r>
        <w:rPr>
          <w:rFonts w:hint="eastAsia" w:ascii="宋体" w:hAnsi="宋体" w:eastAsia="宋体" w:cs="Times New Roman"/>
          <w:spacing w:val="6"/>
          <w:szCs w:val="21"/>
          <w:u w:val="single"/>
        </w:rPr>
        <w:t>（单位名称）</w:t>
      </w:r>
      <w:r>
        <w:rPr>
          <w:rFonts w:hint="eastAsia" w:ascii="宋体" w:hAnsi="宋体" w:eastAsia="宋体" w:cs="Times New Roman"/>
          <w:spacing w:val="6"/>
          <w:szCs w:val="21"/>
          <w:u w:val="none"/>
        </w:rPr>
        <w:t>的</w:t>
      </w:r>
      <w:r>
        <w:rPr>
          <w:rFonts w:hint="eastAsia" w:ascii="宋体" w:hAnsi="宋体" w:eastAsia="宋体" w:cs="Times New Roman"/>
          <w:spacing w:val="6"/>
          <w:szCs w:val="21"/>
          <w:u w:val="single"/>
        </w:rPr>
        <w:t>（项目名称）</w:t>
      </w:r>
      <w:r>
        <w:rPr>
          <w:rFonts w:hint="eastAsia" w:ascii="宋体" w:hAnsi="宋体" w:eastAsia="宋体" w:cs="Times New Roman"/>
          <w:spacing w:val="6"/>
          <w:szCs w:val="21"/>
          <w:u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1.</w:t>
      </w:r>
      <w:r>
        <w:rPr>
          <w:rFonts w:hint="eastAsia" w:ascii="宋体" w:hAnsi="宋体" w:eastAsia="宋体" w:cs="Times New Roman"/>
          <w:spacing w:val="6"/>
          <w:szCs w:val="21"/>
          <w:u w:val="single"/>
        </w:rPr>
        <w:t>（标的名称）</w:t>
      </w:r>
      <w:r>
        <w:rPr>
          <w:rFonts w:hint="eastAsia" w:ascii="宋体" w:hAnsi="宋体" w:eastAsia="宋体" w:cs="Times New Roman"/>
          <w:spacing w:val="6"/>
          <w:szCs w:val="21"/>
          <w:u w:val="none"/>
        </w:rPr>
        <w:t>，属于</w:t>
      </w:r>
      <w:r>
        <w:rPr>
          <w:rFonts w:hint="eastAsia" w:ascii="宋体" w:hAnsi="宋体" w:eastAsia="宋体" w:cs="Times New Roman"/>
          <w:spacing w:val="6"/>
          <w:szCs w:val="21"/>
          <w:u w:val="single"/>
        </w:rPr>
        <w:t>（采购文件中明确的所属行业）</w:t>
      </w:r>
      <w:r>
        <w:rPr>
          <w:rFonts w:hint="eastAsia" w:ascii="宋体" w:hAnsi="宋体" w:eastAsia="宋体" w:cs="Times New Roman"/>
          <w:spacing w:val="6"/>
          <w:szCs w:val="21"/>
          <w:u w:val="none"/>
        </w:rPr>
        <w:t>；承建（承接）企业为</w:t>
      </w:r>
      <w:r>
        <w:rPr>
          <w:rFonts w:hint="eastAsia" w:ascii="宋体" w:hAnsi="宋体" w:eastAsia="宋体" w:cs="Times New Roman"/>
          <w:spacing w:val="6"/>
          <w:szCs w:val="21"/>
          <w:u w:val="single"/>
        </w:rPr>
        <w:t>（企业名称）</w:t>
      </w:r>
      <w:r>
        <w:rPr>
          <w:rFonts w:hint="eastAsia" w:ascii="宋体" w:hAnsi="宋体" w:eastAsia="宋体" w:cs="Times New Roman"/>
          <w:spacing w:val="6"/>
          <w:szCs w:val="21"/>
          <w:u w:val="none"/>
        </w:rPr>
        <w:t>，从业人员</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u w:val="none"/>
        </w:rPr>
        <w:t>人，营业收入为</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u w:val="none"/>
        </w:rPr>
        <w:t>万元，资产总额为</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u w:val="none"/>
        </w:rPr>
        <w:t>万元，属于（中型企业、小型企业、微型企业）；</w:t>
      </w: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2. （标的名称），属于（采购文件中明确的所属行业）；承建（承接）企业为（企业名称），从业人员  人，营业收入为  万元，资产总额为  万元，属于（中型企业、小型企业、微型企业）；</w:t>
      </w: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w:t>
      </w: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以上企业，不属于大企业的分支机构，不存在控股股东为大企业的情形，也不存在与大企业的负责人为同一人的情形。</w:t>
      </w:r>
    </w:p>
    <w:p>
      <w:pPr>
        <w:spacing w:line="588" w:lineRule="exact"/>
        <w:ind w:firstLine="444" w:firstLineChars="200"/>
        <w:rPr>
          <w:rFonts w:hint="eastAsia" w:ascii="宋体" w:hAnsi="宋体" w:eastAsia="宋体" w:cs="Times New Roman"/>
          <w:spacing w:val="6"/>
          <w:szCs w:val="21"/>
          <w:u w:val="none"/>
        </w:rPr>
      </w:pPr>
      <w:r>
        <w:rPr>
          <w:rFonts w:hint="eastAsia" w:ascii="宋体" w:hAnsi="宋体" w:eastAsia="宋体" w:cs="Times New Roman"/>
          <w:spacing w:val="6"/>
          <w:szCs w:val="21"/>
          <w:u w:val="none"/>
        </w:rPr>
        <w:t>本企业对上述声明内容的真实性负责。如有虚假，将依法承担相应责任。</w:t>
      </w:r>
    </w:p>
    <w:p>
      <w:pPr>
        <w:ind w:left="2604" w:leftChars="1240" w:firstLine="210" w:firstLineChars="100"/>
        <w:jc w:val="left"/>
        <w:rPr>
          <w:rFonts w:hint="eastAsia"/>
          <w:szCs w:val="21"/>
        </w:rPr>
      </w:pPr>
    </w:p>
    <w:p>
      <w:pPr>
        <w:ind w:left="2604" w:leftChars="1240" w:firstLine="210" w:firstLineChars="10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firstLine="210" w:firstLineChars="100"/>
        <w:jc w:val="left"/>
        <w:rPr>
          <w:rFonts w:hint="eastAsia" w:ascii="宋体" w:hAnsi="宋体"/>
          <w:szCs w:val="21"/>
        </w:rPr>
      </w:pPr>
    </w:p>
    <w:p>
      <w:pPr>
        <w:ind w:left="2604" w:leftChars="1240" w:firstLine="210" w:firstLineChars="10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409" w:firstLineChars="195"/>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36"/>
        <w:spacing w:line="375" w:lineRule="atLeast"/>
        <w:jc w:val="center"/>
        <w:outlineLvl w:val="0"/>
        <w:rPr>
          <w:sz w:val="21"/>
          <w:szCs w:val="21"/>
        </w:rPr>
      </w:pPr>
    </w:p>
    <w:p>
      <w:pPr>
        <w:pStyle w:val="36"/>
        <w:spacing w:line="375" w:lineRule="atLeast"/>
        <w:jc w:val="center"/>
        <w:outlineLvl w:val="0"/>
        <w:rPr>
          <w:sz w:val="21"/>
          <w:szCs w:val="21"/>
        </w:rPr>
      </w:pPr>
    </w:p>
    <w:p>
      <w:pPr>
        <w:pStyle w:val="36"/>
        <w:spacing w:line="375" w:lineRule="atLeast"/>
        <w:jc w:val="center"/>
        <w:outlineLvl w:val="0"/>
        <w:rPr>
          <w:sz w:val="21"/>
          <w:szCs w:val="21"/>
        </w:rPr>
      </w:pPr>
    </w:p>
    <w:p>
      <w:pPr>
        <w:pStyle w:val="36"/>
        <w:spacing w:line="375" w:lineRule="atLeast"/>
        <w:jc w:val="center"/>
        <w:outlineLvl w:val="0"/>
      </w:pPr>
      <w:bookmarkStart w:id="356" w:name="_Toc3568"/>
      <w:r>
        <w:rPr>
          <w:rFonts w:hint="eastAsia"/>
        </w:rPr>
        <w:t>（二）残疾人福利性单位声明函</w:t>
      </w:r>
      <w:bookmarkEnd w:id="350"/>
      <w:bookmarkEnd w:id="351"/>
      <w:bookmarkEnd w:id="352"/>
      <w:bookmarkEnd w:id="353"/>
      <w:bookmarkEnd w:id="354"/>
      <w:bookmarkEnd w:id="356"/>
    </w:p>
    <w:p>
      <w:pPr>
        <w:spacing w:line="588" w:lineRule="exact"/>
        <w:ind w:firstLine="444" w:firstLineChars="200"/>
        <w:rPr>
          <w:rFonts w:ascii="宋体" w:hAnsi="宋体"/>
          <w:spacing w:val="6"/>
          <w:szCs w:val="21"/>
        </w:rPr>
      </w:pPr>
      <w:r>
        <w:rPr>
          <w:rFonts w:hint="eastAsia" w:ascii="宋体" w:hAnsi="宋体"/>
          <w:spacing w:val="6"/>
          <w:szCs w:val="21"/>
        </w:rPr>
        <w:t>本单位郑重声明，根据《财政部民政部中国残疾人联合会关于促进残疾人就业政府采购政策的通知》（财库</w:t>
      </w:r>
      <w:r>
        <w:rPr>
          <w:rFonts w:hint="eastAsia" w:ascii="宋体" w:hAnsi="宋体"/>
          <w:szCs w:val="21"/>
        </w:rPr>
        <w:t>〔2017〕 141</w:t>
      </w:r>
      <w:r>
        <w:rPr>
          <w:rFonts w:hint="eastAsia" w:ascii="宋体" w:hAnsi="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ind w:left="3721" w:leftChars="1772"/>
        <w:jc w:val="lef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tabs>
          <w:tab w:val="left" w:pos="4860"/>
        </w:tabs>
        <w:spacing w:line="588" w:lineRule="exact"/>
        <w:ind w:right="1560" w:firstLine="420" w:firstLineChars="200"/>
        <w:jc w:val="center"/>
      </w:pPr>
    </w:p>
    <w:p/>
    <w:p>
      <w:pPr>
        <w:ind w:firstLine="361" w:firstLineChars="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：填写本声明函时应详细阅读《财政部 民政部 中国残疾人联合会关于促进残疾人就业政府采购政策的通知》（财库〔2017〕 141号），投标人不满足此要求则无须提供，一旦提供将视为满足其要求，如有虚假，将依法承担相应责任。</w:t>
      </w:r>
    </w:p>
    <w:p>
      <w:pPr>
        <w:spacing w:line="588" w:lineRule="exact"/>
        <w:jc w:val="center"/>
        <w:rPr>
          <w:rFonts w:ascii="宋体" w:hAnsi="宋体"/>
          <w:sz w:val="18"/>
          <w:szCs w:val="18"/>
        </w:rPr>
      </w:pPr>
    </w:p>
    <w:p>
      <w:pPr>
        <w:pStyle w:val="36"/>
        <w:spacing w:line="375" w:lineRule="atLeast"/>
        <w:jc w:val="center"/>
        <w:outlineLvl w:val="0"/>
      </w:pPr>
      <w:r>
        <w:rPr>
          <w:sz w:val="18"/>
          <w:szCs w:val="18"/>
        </w:rPr>
        <w:br w:type="page"/>
      </w:r>
      <w:bookmarkStart w:id="357" w:name="_Toc4534"/>
      <w:bookmarkStart w:id="358" w:name="_Toc17204506"/>
      <w:bookmarkStart w:id="359" w:name="_Toc515520689"/>
      <w:bookmarkStart w:id="360" w:name="_Toc515570490"/>
      <w:bookmarkStart w:id="361" w:name="_Toc8163"/>
      <w:r>
        <w:rPr>
          <w:rFonts w:hint="eastAsia"/>
        </w:rPr>
        <w:t>（三）监狱企业声明函</w:t>
      </w:r>
      <w:bookmarkEnd w:id="357"/>
      <w:bookmarkEnd w:id="358"/>
      <w:bookmarkEnd w:id="359"/>
      <w:bookmarkEnd w:id="360"/>
      <w:bookmarkEnd w:id="361"/>
    </w:p>
    <w:p>
      <w:pPr>
        <w:spacing w:before="468" w:beforeLines="150" w:line="480" w:lineRule="auto"/>
        <w:ind w:firstLine="444" w:firstLineChars="200"/>
        <w:rPr>
          <w:rFonts w:ascii="宋体" w:hAnsi="宋体"/>
          <w:spacing w:val="6"/>
          <w:szCs w:val="21"/>
        </w:rPr>
      </w:pPr>
      <w:r>
        <w:rPr>
          <w:rFonts w:hint="eastAsia" w:ascii="宋体" w:hAnsi="宋体"/>
          <w:spacing w:val="6"/>
          <w:szCs w:val="21"/>
        </w:rPr>
        <w:t>本单位郑重声明，根据</w:t>
      </w:r>
      <w:r>
        <w:rPr>
          <w:rFonts w:hint="eastAsia" w:ascii="宋体" w:hAnsi="宋体" w:cs="仿宋"/>
          <w:szCs w:val="21"/>
        </w:rPr>
        <w:t>《关于政府采购支持监狱企业发展有关问题的通知》</w:t>
      </w:r>
      <w:r>
        <w:rPr>
          <w:rFonts w:hint="eastAsia" w:ascii="宋体" w:hAnsi="宋体"/>
          <w:spacing w:val="6"/>
          <w:szCs w:val="21"/>
        </w:rPr>
        <w:t>（财库</w:t>
      </w:r>
      <w:r>
        <w:rPr>
          <w:rFonts w:hint="eastAsia" w:ascii="宋体" w:hAnsi="宋体"/>
          <w:szCs w:val="21"/>
        </w:rPr>
        <w:t>〔2014〕 68</w:t>
      </w:r>
      <w:r>
        <w:rPr>
          <w:rFonts w:hint="eastAsia" w:ascii="宋体" w:hAnsi="宋体"/>
          <w:spacing w:val="6"/>
          <w:szCs w:val="21"/>
        </w:rPr>
        <w:t>号）的规定，本单位为符合条件的监狱单位，且本单位参加______单位的______项目采购活动提供本单位制造的货物（由本单位承担工程/提供服务）。</w:t>
      </w:r>
    </w:p>
    <w:p>
      <w:pPr>
        <w:spacing w:line="480" w:lineRule="auto"/>
        <w:ind w:firstLine="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200"/>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480" w:lineRule="auto"/>
        <w:ind w:firstLine="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：填写本声明函时应详细阅读《关于政府采购支持监狱企业发展有关问题的通知》（财库〔2014〕 68号），投标人不满足此要求则无须提供，一旦提供将视为满足其要求，如有虚假，将依法承担相应责任。</w:t>
      </w:r>
    </w:p>
    <w:p>
      <w:pPr>
        <w:spacing w:line="480" w:lineRule="auto"/>
        <w:ind w:firstLine="200"/>
        <w:rPr>
          <w:rFonts w:ascii="宋体" w:hAnsi="宋体"/>
          <w:sz w:val="18"/>
          <w:szCs w:val="18"/>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pStyle w:val="5"/>
        <w:rPr>
          <w:rFonts w:hint="default" w:ascii="宋体" w:hAnsi="宋体" w:cs="宋体"/>
          <w:szCs w:val="21"/>
        </w:rPr>
      </w:pPr>
    </w:p>
    <w:p>
      <w:pPr>
        <w:rPr>
          <w:rFonts w:ascii="宋体" w:hAnsi="宋体" w:cs="宋体"/>
          <w:kern w:val="0"/>
          <w:szCs w:val="21"/>
        </w:rPr>
      </w:pPr>
    </w:p>
    <w:p>
      <w:pPr>
        <w:pStyle w:val="5"/>
        <w:rPr>
          <w:rFonts w:hint="default" w:ascii="宋体" w:hAnsi="宋体" w:cs="宋体"/>
          <w:szCs w:val="21"/>
        </w:rPr>
      </w:pPr>
    </w:p>
    <w:p>
      <w:pPr>
        <w:rPr>
          <w:rFonts w:ascii="宋体" w:hAnsi="宋体" w:cs="宋体"/>
          <w:kern w:val="0"/>
          <w:szCs w:val="21"/>
        </w:rPr>
      </w:pPr>
    </w:p>
    <w:p>
      <w:pPr>
        <w:pStyle w:val="4"/>
        <w:jc w:val="center"/>
        <w:rPr>
          <w:rFonts w:hint="eastAsia" w:ascii="宋体" w:hAnsi="宋体" w:cs="宋体"/>
        </w:rPr>
      </w:pPr>
      <w:bookmarkStart w:id="362" w:name="_Toc6713"/>
    </w:p>
    <w:p>
      <w:pPr>
        <w:pStyle w:val="4"/>
        <w:jc w:val="center"/>
        <w:rPr>
          <w:rFonts w:hint="eastAsia" w:ascii="宋体" w:hAnsi="宋体" w:cs="宋体"/>
        </w:rPr>
      </w:pPr>
    </w:p>
    <w:p>
      <w:pPr>
        <w:pStyle w:val="4"/>
        <w:jc w:val="center"/>
        <w:rPr>
          <w:rFonts w:hint="eastAsia" w:ascii="宋体" w:hAnsi="宋体" w:cs="宋体"/>
        </w:rPr>
      </w:pPr>
    </w:p>
    <w:p>
      <w:pPr>
        <w:pStyle w:val="4"/>
        <w:jc w:val="center"/>
        <w:rPr>
          <w:rFonts w:hint="eastAsia" w:ascii="宋体" w:hAnsi="宋体" w:cs="宋体"/>
        </w:rPr>
      </w:pPr>
    </w:p>
    <w:p>
      <w:pPr>
        <w:pStyle w:val="4"/>
        <w:jc w:val="center"/>
        <w:rPr>
          <w:rFonts w:hint="eastAsia" w:ascii="宋体" w:hAnsi="宋体" w:cs="宋体"/>
        </w:rPr>
      </w:pPr>
    </w:p>
    <w:p>
      <w:pPr>
        <w:pStyle w:val="4"/>
        <w:jc w:val="center"/>
        <w:rPr>
          <w:rFonts w:hint="eastAsia" w:ascii="宋体" w:hAnsi="宋体" w:cs="宋体"/>
        </w:rPr>
      </w:pPr>
    </w:p>
    <w:p>
      <w:pPr>
        <w:pStyle w:val="4"/>
        <w:jc w:val="center"/>
      </w:pPr>
      <w:r>
        <w:rPr>
          <w:rFonts w:hint="eastAsia" w:ascii="宋体" w:hAnsi="宋体" w:cs="宋体"/>
        </w:rPr>
        <w:t>第七章 代理合同</w:t>
      </w:r>
      <w:bookmarkEnd w:id="362"/>
    </w:p>
    <w:p>
      <w:pPr>
        <w:rPr>
          <w:rFonts w:hint="eastAsia" w:ascii="宋体" w:hAnsi="宋体" w:eastAsia="宋体" w:cs="宋体"/>
          <w:kern w:val="0"/>
          <w:szCs w:val="21"/>
          <w:lang w:eastAsia="zh-CN"/>
        </w:rPr>
      </w:pPr>
      <w:r>
        <w:rPr>
          <w:rFonts w:hint="eastAsia" w:ascii="宋体" w:hAnsi="宋体" w:eastAsia="宋体" w:cs="宋体"/>
          <w:kern w:val="0"/>
          <w:szCs w:val="21"/>
          <w:lang w:eastAsia="zh-CN"/>
        </w:rPr>
        <w:drawing>
          <wp:inline distT="0" distB="0" distL="114300" distR="114300">
            <wp:extent cx="5266690" cy="7489190"/>
            <wp:effectExtent l="0" t="0" r="3810" b="3810"/>
            <wp:docPr id="6" name="图片 6" descr="ea6a77c3849723d17deb3a34a46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a6a77c3849723d17deb3a34a46812a"/>
                    <pic:cNvPicPr>
                      <a:picLocks noChangeAspect="1"/>
                    </pic:cNvPicPr>
                  </pic:nvPicPr>
                  <pic:blipFill>
                    <a:blip r:embed="rId12"/>
                    <a:stretch>
                      <a:fillRect/>
                    </a:stretch>
                  </pic:blipFill>
                  <pic:spPr>
                    <a:xfrm>
                      <a:off x="0" y="0"/>
                      <a:ext cx="5266690" cy="748919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546340"/>
            <wp:effectExtent l="0" t="0" r="3810" b="10160"/>
            <wp:docPr id="7" name="图片 7" descr="de8ac9c0e417e4dfd23ff40c558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8ac9c0e417e4dfd23ff40c558e253"/>
                    <pic:cNvPicPr>
                      <a:picLocks noChangeAspect="1"/>
                    </pic:cNvPicPr>
                  </pic:nvPicPr>
                  <pic:blipFill>
                    <a:blip r:embed="rId13"/>
                    <a:stretch>
                      <a:fillRect/>
                    </a:stretch>
                  </pic:blipFill>
                  <pic:spPr>
                    <a:xfrm>
                      <a:off x="0" y="0"/>
                      <a:ext cx="5266690" cy="754634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637145"/>
            <wp:effectExtent l="0" t="0" r="3810" b="8255"/>
            <wp:docPr id="8" name="图片 8" descr="a0d3b7466175bd72411d3266180c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0d3b7466175bd72411d3266180c754"/>
                    <pic:cNvPicPr>
                      <a:picLocks noChangeAspect="1"/>
                    </pic:cNvPicPr>
                  </pic:nvPicPr>
                  <pic:blipFill>
                    <a:blip r:embed="rId14"/>
                    <a:stretch>
                      <a:fillRect/>
                    </a:stretch>
                  </pic:blipFill>
                  <pic:spPr>
                    <a:xfrm>
                      <a:off x="0" y="0"/>
                      <a:ext cx="5266690" cy="7637145"/>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661910"/>
            <wp:effectExtent l="0" t="0" r="3810" b="8890"/>
            <wp:docPr id="9" name="图片 9" descr="45638851013c7a3f0dcfdfd68386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638851013c7a3f0dcfdfd68386d06"/>
                    <pic:cNvPicPr>
                      <a:picLocks noChangeAspect="1"/>
                    </pic:cNvPicPr>
                  </pic:nvPicPr>
                  <pic:blipFill>
                    <a:blip r:embed="rId15"/>
                    <a:stretch>
                      <a:fillRect/>
                    </a:stretch>
                  </pic:blipFill>
                  <pic:spPr>
                    <a:xfrm>
                      <a:off x="0" y="0"/>
                      <a:ext cx="5266690" cy="766191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917180"/>
            <wp:effectExtent l="0" t="0" r="3810" b="7620"/>
            <wp:docPr id="15" name="图片 15" descr="0f741f5ae1b1778a8ddcde7b5dc5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f741f5ae1b1778a8ddcde7b5dc5b2c"/>
                    <pic:cNvPicPr>
                      <a:picLocks noChangeAspect="1"/>
                    </pic:cNvPicPr>
                  </pic:nvPicPr>
                  <pic:blipFill>
                    <a:blip r:embed="rId16"/>
                    <a:stretch>
                      <a:fillRect/>
                    </a:stretch>
                  </pic:blipFill>
                  <pic:spPr>
                    <a:xfrm>
                      <a:off x="0" y="0"/>
                      <a:ext cx="5266690" cy="791718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8081645"/>
            <wp:effectExtent l="0" t="0" r="3810" b="8255"/>
            <wp:docPr id="16" name="图片 16" descr="39414523b52f731a38c5869221b9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414523b52f731a38c5869221b96a1"/>
                    <pic:cNvPicPr>
                      <a:picLocks noChangeAspect="1"/>
                    </pic:cNvPicPr>
                  </pic:nvPicPr>
                  <pic:blipFill>
                    <a:blip r:embed="rId17"/>
                    <a:stretch>
                      <a:fillRect/>
                    </a:stretch>
                  </pic:blipFill>
                  <pic:spPr>
                    <a:xfrm>
                      <a:off x="0" y="0"/>
                      <a:ext cx="5266690" cy="8081645"/>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908925"/>
            <wp:effectExtent l="0" t="0" r="3810" b="3175"/>
            <wp:docPr id="17" name="图片 17" descr="913ae633919c9e5439d7bb7e2aa1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3ae633919c9e5439d7bb7e2aa18d3"/>
                    <pic:cNvPicPr>
                      <a:picLocks noChangeAspect="1"/>
                    </pic:cNvPicPr>
                  </pic:nvPicPr>
                  <pic:blipFill>
                    <a:blip r:embed="rId18"/>
                    <a:stretch>
                      <a:fillRect/>
                    </a:stretch>
                  </pic:blipFill>
                  <pic:spPr>
                    <a:xfrm>
                      <a:off x="0" y="0"/>
                      <a:ext cx="5266690" cy="7908925"/>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690" cy="7884160"/>
            <wp:effectExtent l="0" t="0" r="3810" b="2540"/>
            <wp:docPr id="18" name="图片 18" descr="b0d5a6773edff51eecff4ffa0670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0d5a6773edff51eecff4ffa06704c8"/>
                    <pic:cNvPicPr>
                      <a:picLocks noChangeAspect="1"/>
                    </pic:cNvPicPr>
                  </pic:nvPicPr>
                  <pic:blipFill>
                    <a:blip r:embed="rId19"/>
                    <a:stretch>
                      <a:fillRect/>
                    </a:stretch>
                  </pic:blipFill>
                  <pic:spPr>
                    <a:xfrm>
                      <a:off x="0" y="0"/>
                      <a:ext cx="5266690" cy="7884160"/>
                    </a:xfrm>
                    <a:prstGeom prst="rect">
                      <a:avLst/>
                    </a:prstGeom>
                  </pic:spPr>
                </pic:pic>
              </a:graphicData>
            </a:graphic>
          </wp:inline>
        </w:drawing>
      </w:r>
    </w:p>
    <w:sectPr>
      <w:headerReference r:id="rId9" w:type="default"/>
      <w:footerReference r:id="rId10" w:type="default"/>
      <w:pgSz w:w="11906" w:h="16838"/>
      <w:pgMar w:top="1440" w:right="1803" w:bottom="1440" w:left="180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Frutiger Roman">
    <w:altName w:val="Lucida Sans Unicode"/>
    <w:panose1 w:val="00000000000000000000"/>
    <w:charset w:val="00"/>
    <w:family w:val="swiss"/>
    <w:pitch w:val="default"/>
    <w:sig w:usb0="00000000" w:usb1="00000000" w:usb2="00000000" w:usb3="00000000" w:csb0="00000013" w:csb1="0000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大标宋_GBK">
    <w:altName w:val="宋体"/>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double" w:color="auto" w:sz="6" w:space="6"/>
      </w:pBdr>
      <w:tabs>
        <w:tab w:val="left" w:pos="6120"/>
        <w:tab w:val="clear" w:pos="4153"/>
        <w:tab w:val="clear" w:pos="8306"/>
      </w:tabs>
      <w:ind w:right="360"/>
      <w:rPr>
        <w:rFonts w:ascii="楷体_GB2312" w:eastAsia="楷体_GB2312"/>
        <w:i/>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Cs w:val="21"/>
      </w:rPr>
    </w:pPr>
    <w:r>
      <w:rPr>
        <w:rFonts w:hint="eastAsia" w:ascii="楷体_GB2312" w:hAnsi="宋体" w:eastAsia="楷体_GB2312"/>
        <w:b/>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00CEA5"/>
    <w:multiLevelType w:val="singleLevel"/>
    <w:tmpl w:val="DE00CEA5"/>
    <w:lvl w:ilvl="0" w:tentative="0">
      <w:start w:val="2"/>
      <w:numFmt w:val="decimal"/>
      <w:lvlText w:val="%1."/>
      <w:lvlJc w:val="left"/>
      <w:pPr>
        <w:tabs>
          <w:tab w:val="left" w:pos="312"/>
        </w:tabs>
      </w:pPr>
    </w:lvl>
  </w:abstractNum>
  <w:abstractNum w:abstractNumId="1">
    <w:nsid w:val="1A752E12"/>
    <w:multiLevelType w:val="singleLevel"/>
    <w:tmpl w:val="1A752E12"/>
    <w:lvl w:ilvl="0" w:tentative="0">
      <w:start w:val="1"/>
      <w:numFmt w:val="decimal"/>
      <w:lvlText w:val="%1."/>
      <w:lvlJc w:val="left"/>
      <w:pPr>
        <w:tabs>
          <w:tab w:val="left" w:pos="312"/>
        </w:tabs>
      </w:pPr>
    </w:lvl>
  </w:abstractNum>
  <w:abstractNum w:abstractNumId="2">
    <w:nsid w:val="31FC439F"/>
    <w:multiLevelType w:val="singleLevel"/>
    <w:tmpl w:val="31FC439F"/>
    <w:lvl w:ilvl="0" w:tentative="0">
      <w:start w:val="1"/>
      <w:numFmt w:val="decimal"/>
      <w:lvlText w:val="%1."/>
      <w:lvlJc w:val="left"/>
      <w:pPr>
        <w:tabs>
          <w:tab w:val="left" w:pos="312"/>
        </w:tabs>
      </w:pPr>
    </w:lvl>
  </w:abstractNum>
  <w:abstractNum w:abstractNumId="3">
    <w:nsid w:val="5757A111"/>
    <w:multiLevelType w:val="singleLevel"/>
    <w:tmpl w:val="5757A111"/>
    <w:lvl w:ilvl="0" w:tentative="0">
      <w:start w:val="1"/>
      <w:numFmt w:val="decimal"/>
      <w:suff w:val="space"/>
      <w:lvlText w:val="%1."/>
      <w:lvlJc w:val="left"/>
    </w:lvl>
  </w:abstractNum>
  <w:abstractNum w:abstractNumId="4">
    <w:nsid w:val="6F7B0A6F"/>
    <w:multiLevelType w:val="multilevel"/>
    <w:tmpl w:val="6F7B0A6F"/>
    <w:lvl w:ilvl="0" w:tentative="0">
      <w:start w:val="4"/>
      <w:numFmt w:val="japaneseCounting"/>
      <w:pStyle w:val="92"/>
      <w:lvlText w:val="第%1章"/>
      <w:lvlJc w:val="left"/>
      <w:pPr>
        <w:tabs>
          <w:tab w:val="left" w:pos="1200"/>
        </w:tabs>
        <w:ind w:left="1200" w:hanging="1200"/>
      </w:pPr>
      <w:rPr>
        <w:rFonts w:hint="eastAsia"/>
      </w:rPr>
    </w:lvl>
    <w:lvl w:ilvl="1" w:tentative="0">
      <w:start w:val="5"/>
      <w:numFmt w:val="japaneseCounting"/>
      <w:lvlText w:val="%2）"/>
      <w:lvlJc w:val="left"/>
      <w:pPr>
        <w:tabs>
          <w:tab w:val="left" w:pos="840"/>
        </w:tabs>
        <w:ind w:left="840" w:hanging="420"/>
      </w:pPr>
      <w:rPr>
        <w:rFonts w:hint="default" w:ascii="Times New Roman" w:hAnsi="Times New Roman"/>
        <w:sz w:val="21"/>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8966130"/>
    <w:multiLevelType w:val="multilevel"/>
    <w:tmpl w:val="78966130"/>
    <w:lvl w:ilvl="0" w:tentative="0">
      <w:start w:val="1"/>
      <w:numFmt w:val="decimal"/>
      <w:lvlText w:val="%1."/>
      <w:lvlJc w:val="left"/>
      <w:pPr>
        <w:tabs>
          <w:tab w:val="left" w:pos="425"/>
        </w:tabs>
        <w:ind w:left="425" w:hanging="425"/>
      </w:pPr>
      <w:rPr>
        <w:rFonts w:hint="default" w:ascii="Times New Roman" w:hAnsi="Times New Roman" w:cs="Times New Roman"/>
        <w:b/>
        <w:color w:val="auto"/>
      </w:rPr>
    </w:lvl>
    <w:lvl w:ilvl="1" w:tentative="0">
      <w:start w:val="1"/>
      <w:numFmt w:val="decimal"/>
      <w:lvlText w:val="%1.%2."/>
      <w:lvlJc w:val="left"/>
      <w:pPr>
        <w:tabs>
          <w:tab w:val="left" w:pos="567"/>
        </w:tabs>
        <w:ind w:left="567" w:hanging="567"/>
      </w:pPr>
      <w:rPr>
        <w:rFonts w:hint="default" w:ascii="Times New Roman" w:hAnsi="Times New Roman" w:cs="Times New Roman"/>
        <w:b w:val="0"/>
        <w:color w:val="auto"/>
        <w:sz w:val="21"/>
        <w:szCs w:val="21"/>
      </w:rPr>
    </w:lvl>
    <w:lvl w:ilvl="2" w:tentative="0">
      <w:start w:val="1"/>
      <w:numFmt w:val="decimal"/>
      <w:lvlText w:val="%1.%2.%3."/>
      <w:lvlJc w:val="left"/>
      <w:pPr>
        <w:tabs>
          <w:tab w:val="left" w:pos="709"/>
        </w:tabs>
        <w:ind w:left="709" w:hanging="709"/>
      </w:pPr>
      <w:rPr>
        <w:rFonts w:hint="default" w:ascii="Times New Roman" w:hAnsi="Times New Roman" w:cs="Times New Roman"/>
        <w:b w:val="0"/>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4"/>
  </w:num>
  <w:num w:numId="2">
    <w:abstractNumId w:val="2"/>
  </w:num>
  <w:num w:numId="3">
    <w:abstractNumId w:val="5"/>
  </w:num>
  <w:num w:numId="4">
    <w:abstractNumId w:val="3"/>
  </w:num>
  <w:num w:numId="5">
    <w:abstractNumId w:val="5"/>
    <w:lvlOverride w:ilvl="1">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bordersDoNotSurroundHeader w:val="0"/>
  <w:bordersDoNotSurroundFooter w:val="0"/>
  <w:documentProtection w:edit="forms"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B15"/>
    <w:rsid w:val="0002668E"/>
    <w:rsid w:val="0006386D"/>
    <w:rsid w:val="000A2B04"/>
    <w:rsid w:val="000B479A"/>
    <w:rsid w:val="000C6AF8"/>
    <w:rsid w:val="000D1F3A"/>
    <w:rsid w:val="000E2A08"/>
    <w:rsid w:val="000F01E2"/>
    <w:rsid w:val="00110B21"/>
    <w:rsid w:val="00157B38"/>
    <w:rsid w:val="0016062D"/>
    <w:rsid w:val="00160966"/>
    <w:rsid w:val="00180B94"/>
    <w:rsid w:val="001951AC"/>
    <w:rsid w:val="001A29AC"/>
    <w:rsid w:val="001A4862"/>
    <w:rsid w:val="001C0A2D"/>
    <w:rsid w:val="001D3C30"/>
    <w:rsid w:val="00236B45"/>
    <w:rsid w:val="00261957"/>
    <w:rsid w:val="002945EC"/>
    <w:rsid w:val="002A0289"/>
    <w:rsid w:val="002A339A"/>
    <w:rsid w:val="002D7795"/>
    <w:rsid w:val="002F3150"/>
    <w:rsid w:val="002F35FA"/>
    <w:rsid w:val="003239CD"/>
    <w:rsid w:val="003302E1"/>
    <w:rsid w:val="003341A3"/>
    <w:rsid w:val="00345305"/>
    <w:rsid w:val="003805BC"/>
    <w:rsid w:val="0039424F"/>
    <w:rsid w:val="003B4747"/>
    <w:rsid w:val="003B6E90"/>
    <w:rsid w:val="003C1BA6"/>
    <w:rsid w:val="003D0809"/>
    <w:rsid w:val="003D2FDB"/>
    <w:rsid w:val="003D4752"/>
    <w:rsid w:val="00424181"/>
    <w:rsid w:val="00426A0B"/>
    <w:rsid w:val="00432A8B"/>
    <w:rsid w:val="0049256C"/>
    <w:rsid w:val="00493E21"/>
    <w:rsid w:val="0049417E"/>
    <w:rsid w:val="004A0539"/>
    <w:rsid w:val="004A4ED4"/>
    <w:rsid w:val="004F6B36"/>
    <w:rsid w:val="004F727B"/>
    <w:rsid w:val="005134D1"/>
    <w:rsid w:val="00514FB5"/>
    <w:rsid w:val="0052022C"/>
    <w:rsid w:val="00545E65"/>
    <w:rsid w:val="005762E2"/>
    <w:rsid w:val="005773AD"/>
    <w:rsid w:val="00593117"/>
    <w:rsid w:val="005B7934"/>
    <w:rsid w:val="005B7CC6"/>
    <w:rsid w:val="006169AA"/>
    <w:rsid w:val="00617C43"/>
    <w:rsid w:val="00696ED8"/>
    <w:rsid w:val="006C2FD8"/>
    <w:rsid w:val="006C3AC0"/>
    <w:rsid w:val="006D6636"/>
    <w:rsid w:val="00736BD5"/>
    <w:rsid w:val="00782B15"/>
    <w:rsid w:val="007A52EC"/>
    <w:rsid w:val="007D4435"/>
    <w:rsid w:val="007D76A9"/>
    <w:rsid w:val="00820863"/>
    <w:rsid w:val="00834F10"/>
    <w:rsid w:val="00961678"/>
    <w:rsid w:val="009761A1"/>
    <w:rsid w:val="0099770A"/>
    <w:rsid w:val="009B331F"/>
    <w:rsid w:val="009B4582"/>
    <w:rsid w:val="009C5A76"/>
    <w:rsid w:val="009D01BE"/>
    <w:rsid w:val="00AC043D"/>
    <w:rsid w:val="00AC18BB"/>
    <w:rsid w:val="00AE5FB1"/>
    <w:rsid w:val="00B02D6B"/>
    <w:rsid w:val="00B05494"/>
    <w:rsid w:val="00B117E5"/>
    <w:rsid w:val="00B136AA"/>
    <w:rsid w:val="00B53484"/>
    <w:rsid w:val="00B81146"/>
    <w:rsid w:val="00BE3E48"/>
    <w:rsid w:val="00BF0E55"/>
    <w:rsid w:val="00C00B58"/>
    <w:rsid w:val="00C25CD9"/>
    <w:rsid w:val="00C61A4D"/>
    <w:rsid w:val="00C93623"/>
    <w:rsid w:val="00CA40B9"/>
    <w:rsid w:val="00CA7925"/>
    <w:rsid w:val="00CD5FFD"/>
    <w:rsid w:val="00CE1FC5"/>
    <w:rsid w:val="00CF7038"/>
    <w:rsid w:val="00D03B4C"/>
    <w:rsid w:val="00D07E94"/>
    <w:rsid w:val="00D4499E"/>
    <w:rsid w:val="00D52474"/>
    <w:rsid w:val="00D55579"/>
    <w:rsid w:val="00D55670"/>
    <w:rsid w:val="00D9208E"/>
    <w:rsid w:val="00E00968"/>
    <w:rsid w:val="00E15949"/>
    <w:rsid w:val="00E63FF1"/>
    <w:rsid w:val="00EA3707"/>
    <w:rsid w:val="00EA3EF5"/>
    <w:rsid w:val="00F16F30"/>
    <w:rsid w:val="00F242E3"/>
    <w:rsid w:val="00F3335E"/>
    <w:rsid w:val="00F73847"/>
    <w:rsid w:val="00F82A6F"/>
    <w:rsid w:val="00FB1EBA"/>
    <w:rsid w:val="00FB74B6"/>
    <w:rsid w:val="00FC77FA"/>
    <w:rsid w:val="00FD0BD2"/>
    <w:rsid w:val="00FF1C6B"/>
    <w:rsid w:val="01E10CB5"/>
    <w:rsid w:val="02024C45"/>
    <w:rsid w:val="03767DDE"/>
    <w:rsid w:val="03CA66C7"/>
    <w:rsid w:val="03D42E2E"/>
    <w:rsid w:val="042462B3"/>
    <w:rsid w:val="0436772A"/>
    <w:rsid w:val="04930F41"/>
    <w:rsid w:val="04A028E6"/>
    <w:rsid w:val="04A2271A"/>
    <w:rsid w:val="04AD0F8F"/>
    <w:rsid w:val="052D752C"/>
    <w:rsid w:val="05782A31"/>
    <w:rsid w:val="05D9297D"/>
    <w:rsid w:val="06BA455D"/>
    <w:rsid w:val="07060369"/>
    <w:rsid w:val="077A41F8"/>
    <w:rsid w:val="079762D2"/>
    <w:rsid w:val="089A2B49"/>
    <w:rsid w:val="08CB2A51"/>
    <w:rsid w:val="08D82D12"/>
    <w:rsid w:val="090221EB"/>
    <w:rsid w:val="09342B78"/>
    <w:rsid w:val="096B336F"/>
    <w:rsid w:val="09AD73A9"/>
    <w:rsid w:val="09C54583"/>
    <w:rsid w:val="09CA6F62"/>
    <w:rsid w:val="09CC201C"/>
    <w:rsid w:val="09FD1EAE"/>
    <w:rsid w:val="09FF215B"/>
    <w:rsid w:val="0A0F072C"/>
    <w:rsid w:val="0A7D4664"/>
    <w:rsid w:val="0AD803BC"/>
    <w:rsid w:val="0B4E1717"/>
    <w:rsid w:val="0B84338B"/>
    <w:rsid w:val="0BAD742B"/>
    <w:rsid w:val="0C0E5B4F"/>
    <w:rsid w:val="0C493A69"/>
    <w:rsid w:val="0D0D3117"/>
    <w:rsid w:val="0D894EDD"/>
    <w:rsid w:val="0DA970D9"/>
    <w:rsid w:val="0E012A71"/>
    <w:rsid w:val="0E4737D9"/>
    <w:rsid w:val="0E6D0107"/>
    <w:rsid w:val="0EB36839"/>
    <w:rsid w:val="0EEC3721"/>
    <w:rsid w:val="10466E61"/>
    <w:rsid w:val="106C2595"/>
    <w:rsid w:val="11A958FA"/>
    <w:rsid w:val="11AC3E53"/>
    <w:rsid w:val="11FA0ECE"/>
    <w:rsid w:val="12494D2C"/>
    <w:rsid w:val="131B45D5"/>
    <w:rsid w:val="141324ED"/>
    <w:rsid w:val="141C0F50"/>
    <w:rsid w:val="14320F5F"/>
    <w:rsid w:val="15593F06"/>
    <w:rsid w:val="15AA6830"/>
    <w:rsid w:val="16DF591A"/>
    <w:rsid w:val="172964AA"/>
    <w:rsid w:val="178F10EE"/>
    <w:rsid w:val="181226FE"/>
    <w:rsid w:val="18381785"/>
    <w:rsid w:val="18B049DC"/>
    <w:rsid w:val="18C27188"/>
    <w:rsid w:val="18DA72AF"/>
    <w:rsid w:val="1A353DDF"/>
    <w:rsid w:val="1A736AA5"/>
    <w:rsid w:val="1B1D7D58"/>
    <w:rsid w:val="1B9424B6"/>
    <w:rsid w:val="1BB90E2F"/>
    <w:rsid w:val="1BF578ED"/>
    <w:rsid w:val="1CC7132A"/>
    <w:rsid w:val="1DD232FD"/>
    <w:rsid w:val="1E616EDA"/>
    <w:rsid w:val="1E6F1C79"/>
    <w:rsid w:val="1ED41446"/>
    <w:rsid w:val="1F4239E5"/>
    <w:rsid w:val="1FBF6FEE"/>
    <w:rsid w:val="20056454"/>
    <w:rsid w:val="200C6AB7"/>
    <w:rsid w:val="21087CC2"/>
    <w:rsid w:val="22BB723B"/>
    <w:rsid w:val="232030F2"/>
    <w:rsid w:val="236B0C61"/>
    <w:rsid w:val="23D7050C"/>
    <w:rsid w:val="24184D98"/>
    <w:rsid w:val="261521EF"/>
    <w:rsid w:val="27231852"/>
    <w:rsid w:val="27FF406E"/>
    <w:rsid w:val="28BA6DF8"/>
    <w:rsid w:val="2927247D"/>
    <w:rsid w:val="29826D04"/>
    <w:rsid w:val="29B22AEF"/>
    <w:rsid w:val="2A356347"/>
    <w:rsid w:val="2AC20D54"/>
    <w:rsid w:val="2BD66135"/>
    <w:rsid w:val="2C212FF5"/>
    <w:rsid w:val="2D996322"/>
    <w:rsid w:val="2E0F569A"/>
    <w:rsid w:val="2E944C08"/>
    <w:rsid w:val="2F4E5288"/>
    <w:rsid w:val="2FF95846"/>
    <w:rsid w:val="2FF969A2"/>
    <w:rsid w:val="303C2A00"/>
    <w:rsid w:val="30967BD0"/>
    <w:rsid w:val="30AC6302"/>
    <w:rsid w:val="30B91BDE"/>
    <w:rsid w:val="30BD0462"/>
    <w:rsid w:val="312266F8"/>
    <w:rsid w:val="31410782"/>
    <w:rsid w:val="317433D6"/>
    <w:rsid w:val="31AD4E87"/>
    <w:rsid w:val="326E4EA9"/>
    <w:rsid w:val="32BA12BD"/>
    <w:rsid w:val="332735E3"/>
    <w:rsid w:val="342436B9"/>
    <w:rsid w:val="346F257B"/>
    <w:rsid w:val="34800BB4"/>
    <w:rsid w:val="34AA1C54"/>
    <w:rsid w:val="34DA18F4"/>
    <w:rsid w:val="35457C23"/>
    <w:rsid w:val="35EA5C00"/>
    <w:rsid w:val="370D077E"/>
    <w:rsid w:val="37535452"/>
    <w:rsid w:val="38B75215"/>
    <w:rsid w:val="39620E3D"/>
    <w:rsid w:val="397D3044"/>
    <w:rsid w:val="3A4852D1"/>
    <w:rsid w:val="3A5E4C24"/>
    <w:rsid w:val="3A81657B"/>
    <w:rsid w:val="3BF770DE"/>
    <w:rsid w:val="3CD44366"/>
    <w:rsid w:val="3CEE35E3"/>
    <w:rsid w:val="3D2276A3"/>
    <w:rsid w:val="3EFB7B87"/>
    <w:rsid w:val="402F6DFD"/>
    <w:rsid w:val="4061225A"/>
    <w:rsid w:val="406E0C01"/>
    <w:rsid w:val="41144EDB"/>
    <w:rsid w:val="411B561D"/>
    <w:rsid w:val="41452699"/>
    <w:rsid w:val="4162324B"/>
    <w:rsid w:val="41B63597"/>
    <w:rsid w:val="41E2438C"/>
    <w:rsid w:val="41E342F4"/>
    <w:rsid w:val="42485C84"/>
    <w:rsid w:val="42F061C2"/>
    <w:rsid w:val="43672ACF"/>
    <w:rsid w:val="44307631"/>
    <w:rsid w:val="44C63AF1"/>
    <w:rsid w:val="44D37AC5"/>
    <w:rsid w:val="454824AF"/>
    <w:rsid w:val="454F6FF3"/>
    <w:rsid w:val="457954B2"/>
    <w:rsid w:val="459301CC"/>
    <w:rsid w:val="45D466E2"/>
    <w:rsid w:val="468C0A62"/>
    <w:rsid w:val="46D4186E"/>
    <w:rsid w:val="472109AF"/>
    <w:rsid w:val="47486A40"/>
    <w:rsid w:val="47B9154E"/>
    <w:rsid w:val="482C771C"/>
    <w:rsid w:val="48592ECE"/>
    <w:rsid w:val="48C62C1A"/>
    <w:rsid w:val="48EC5AF0"/>
    <w:rsid w:val="49627492"/>
    <w:rsid w:val="49E77D66"/>
    <w:rsid w:val="4A087397"/>
    <w:rsid w:val="4A1E3B62"/>
    <w:rsid w:val="4B3043BA"/>
    <w:rsid w:val="4BAC18F7"/>
    <w:rsid w:val="4BFA0524"/>
    <w:rsid w:val="4C163633"/>
    <w:rsid w:val="4C545E87"/>
    <w:rsid w:val="4CE0771A"/>
    <w:rsid w:val="4D3B0DF4"/>
    <w:rsid w:val="4D5A74CD"/>
    <w:rsid w:val="4D5C13A9"/>
    <w:rsid w:val="4D6C0BAC"/>
    <w:rsid w:val="4D703B96"/>
    <w:rsid w:val="4D7D14FC"/>
    <w:rsid w:val="4EA466A9"/>
    <w:rsid w:val="4F053468"/>
    <w:rsid w:val="4F350E79"/>
    <w:rsid w:val="4F846223"/>
    <w:rsid w:val="505D5878"/>
    <w:rsid w:val="50714551"/>
    <w:rsid w:val="511A3F1B"/>
    <w:rsid w:val="515D2533"/>
    <w:rsid w:val="520D5F6F"/>
    <w:rsid w:val="522C7380"/>
    <w:rsid w:val="52476283"/>
    <w:rsid w:val="528648C0"/>
    <w:rsid w:val="52B0112F"/>
    <w:rsid w:val="534377D4"/>
    <w:rsid w:val="53607807"/>
    <w:rsid w:val="551E2CFB"/>
    <w:rsid w:val="55256688"/>
    <w:rsid w:val="558242D4"/>
    <w:rsid w:val="55DB6A46"/>
    <w:rsid w:val="56180467"/>
    <w:rsid w:val="56353A8A"/>
    <w:rsid w:val="567C3D18"/>
    <w:rsid w:val="56856487"/>
    <w:rsid w:val="569C5D15"/>
    <w:rsid w:val="577675F9"/>
    <w:rsid w:val="5853793A"/>
    <w:rsid w:val="58A261CC"/>
    <w:rsid w:val="58EA204C"/>
    <w:rsid w:val="58F262D8"/>
    <w:rsid w:val="58F966C5"/>
    <w:rsid w:val="5956437E"/>
    <w:rsid w:val="59EE7B54"/>
    <w:rsid w:val="5A6C083F"/>
    <w:rsid w:val="5AD50996"/>
    <w:rsid w:val="5B60373C"/>
    <w:rsid w:val="5C4557FF"/>
    <w:rsid w:val="5C9C5D0F"/>
    <w:rsid w:val="5CEA2602"/>
    <w:rsid w:val="5DA46B0E"/>
    <w:rsid w:val="5E6C4DAC"/>
    <w:rsid w:val="5F952AF8"/>
    <w:rsid w:val="5FE855C2"/>
    <w:rsid w:val="60D723AE"/>
    <w:rsid w:val="61075F0B"/>
    <w:rsid w:val="615F4C5A"/>
    <w:rsid w:val="63424833"/>
    <w:rsid w:val="634966A0"/>
    <w:rsid w:val="63BF1977"/>
    <w:rsid w:val="63C4349A"/>
    <w:rsid w:val="644660CC"/>
    <w:rsid w:val="64B74DAD"/>
    <w:rsid w:val="64D82B9E"/>
    <w:rsid w:val="65181CEF"/>
    <w:rsid w:val="65983943"/>
    <w:rsid w:val="65FC7FAD"/>
    <w:rsid w:val="66074640"/>
    <w:rsid w:val="66421187"/>
    <w:rsid w:val="66BB5028"/>
    <w:rsid w:val="66F967DD"/>
    <w:rsid w:val="675C73F3"/>
    <w:rsid w:val="67627252"/>
    <w:rsid w:val="679118E5"/>
    <w:rsid w:val="67BD092C"/>
    <w:rsid w:val="67E71DFF"/>
    <w:rsid w:val="682722B6"/>
    <w:rsid w:val="68CA3301"/>
    <w:rsid w:val="691C19EC"/>
    <w:rsid w:val="69835085"/>
    <w:rsid w:val="69DB32EB"/>
    <w:rsid w:val="6A0B3BD1"/>
    <w:rsid w:val="6A1567FD"/>
    <w:rsid w:val="6A3146D6"/>
    <w:rsid w:val="6A6B40B7"/>
    <w:rsid w:val="6B863139"/>
    <w:rsid w:val="6C5D448C"/>
    <w:rsid w:val="6CBE00D1"/>
    <w:rsid w:val="6CC51CAE"/>
    <w:rsid w:val="6ECF78C3"/>
    <w:rsid w:val="6EEB78A4"/>
    <w:rsid w:val="6F392F8E"/>
    <w:rsid w:val="6F955195"/>
    <w:rsid w:val="6F9E1043"/>
    <w:rsid w:val="6FCB4CA8"/>
    <w:rsid w:val="6FD9207B"/>
    <w:rsid w:val="6FEB7C99"/>
    <w:rsid w:val="703674CE"/>
    <w:rsid w:val="704610E1"/>
    <w:rsid w:val="708C61B2"/>
    <w:rsid w:val="708D2E05"/>
    <w:rsid w:val="71FF26EE"/>
    <w:rsid w:val="725B35FE"/>
    <w:rsid w:val="72A74A41"/>
    <w:rsid w:val="72C8775B"/>
    <w:rsid w:val="72FD15D0"/>
    <w:rsid w:val="73287FAC"/>
    <w:rsid w:val="733221CE"/>
    <w:rsid w:val="742E484E"/>
    <w:rsid w:val="755957C1"/>
    <w:rsid w:val="75803A5E"/>
    <w:rsid w:val="76391C08"/>
    <w:rsid w:val="76B33236"/>
    <w:rsid w:val="77AD276B"/>
    <w:rsid w:val="77E03EF4"/>
    <w:rsid w:val="78137B0E"/>
    <w:rsid w:val="7908073B"/>
    <w:rsid w:val="79A116C3"/>
    <w:rsid w:val="79F857F4"/>
    <w:rsid w:val="7A0863A1"/>
    <w:rsid w:val="7A212C0C"/>
    <w:rsid w:val="7AE964B3"/>
    <w:rsid w:val="7B30793B"/>
    <w:rsid w:val="7B793D39"/>
    <w:rsid w:val="7B825CBD"/>
    <w:rsid w:val="7C165FC6"/>
    <w:rsid w:val="7C6453C2"/>
    <w:rsid w:val="7CB508F1"/>
    <w:rsid w:val="7CD97B5E"/>
    <w:rsid w:val="7CF01C03"/>
    <w:rsid w:val="7D3F2B9B"/>
    <w:rsid w:val="7D9D2053"/>
    <w:rsid w:val="7E0D6529"/>
    <w:rsid w:val="7EDE0F84"/>
    <w:rsid w:val="7FF56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adjustRightInd w:val="0"/>
      <w:spacing w:before="160" w:after="160" w:line="160" w:lineRule="atLeast"/>
      <w:ind w:left="425" w:hanging="425"/>
      <w:outlineLvl w:val="0"/>
    </w:pPr>
    <w:rPr>
      <w:rFonts w:hint="eastAsia" w:ascii="黑体" w:hAnsi="Arial Unicode MS" w:eastAsia="黑体" w:cs="Arial Unicode MS"/>
      <w:kern w:val="44"/>
      <w:sz w:val="32"/>
      <w:szCs w:val="20"/>
    </w:rPr>
  </w:style>
  <w:style w:type="paragraph" w:styleId="4">
    <w:name w:val="heading 2"/>
    <w:basedOn w:val="1"/>
    <w:next w:val="1"/>
    <w:link w:val="51"/>
    <w:qFormat/>
    <w:uiPriority w:val="0"/>
    <w:pPr>
      <w:spacing w:before="260" w:after="260" w:line="416" w:lineRule="auto"/>
      <w:outlineLvl w:val="1"/>
    </w:pPr>
    <w:rPr>
      <w:rFonts w:ascii="Arial" w:hAnsi="Arial" w:eastAsia="黑体"/>
      <w:b/>
      <w:bCs/>
      <w:sz w:val="32"/>
      <w:szCs w:val="32"/>
    </w:rPr>
  </w:style>
  <w:style w:type="paragraph" w:styleId="5">
    <w:name w:val="heading 3"/>
    <w:basedOn w:val="1"/>
    <w:next w:val="1"/>
    <w:link w:val="52"/>
    <w:qFormat/>
    <w:uiPriority w:val="0"/>
    <w:pPr>
      <w:keepNext/>
      <w:keepLines/>
      <w:adjustRightInd w:val="0"/>
      <w:spacing w:before="160" w:after="160" w:line="160" w:lineRule="atLeast"/>
      <w:ind w:left="851" w:hanging="425"/>
      <w:outlineLvl w:val="2"/>
    </w:pPr>
    <w:rPr>
      <w:rFonts w:hint="eastAsia" w:ascii="黑体" w:hAnsi="Arial Unicode MS" w:eastAsia="黑体" w:cs="Arial Unicode MS"/>
      <w:kern w:val="0"/>
      <w:sz w:val="28"/>
      <w:szCs w:val="20"/>
    </w:rPr>
  </w:style>
  <w:style w:type="paragraph" w:styleId="6">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4"/>
    <w:qFormat/>
    <w:uiPriority w:val="0"/>
    <w:pPr>
      <w:keepNext/>
      <w:keepLines/>
      <w:spacing w:before="280" w:after="290" w:line="376" w:lineRule="auto"/>
      <w:outlineLvl w:val="4"/>
    </w:pPr>
    <w:rPr>
      <w:b/>
      <w:bCs/>
      <w:sz w:val="28"/>
      <w:szCs w:val="28"/>
    </w:rPr>
  </w:style>
  <w:style w:type="paragraph" w:styleId="8">
    <w:name w:val="heading 6"/>
    <w:basedOn w:val="1"/>
    <w:next w:val="1"/>
    <w:link w:val="55"/>
    <w:qFormat/>
    <w:uiPriority w:val="0"/>
    <w:pPr>
      <w:keepNext/>
      <w:keepLines/>
      <w:widowControl/>
      <w:spacing w:before="240" w:after="64" w:line="320" w:lineRule="auto"/>
      <w:jc w:val="left"/>
      <w:outlineLvl w:val="5"/>
    </w:pPr>
    <w:rPr>
      <w:rFonts w:ascii="Arial" w:hAnsi="Arial" w:cs="宋体"/>
      <w:b/>
      <w:bCs/>
      <w:kern w:val="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qFormat/>
    <w:uiPriority w:val="0"/>
    <w:pPr>
      <w:ind w:left="3920" w:leftChars="1400"/>
    </w:pPr>
  </w:style>
  <w:style w:type="paragraph" w:styleId="9">
    <w:name w:val="toc 7"/>
    <w:basedOn w:val="1"/>
    <w:next w:val="1"/>
    <w:qFormat/>
    <w:uiPriority w:val="0"/>
    <w:pPr>
      <w:ind w:left="2520" w:leftChars="1200"/>
    </w:pPr>
  </w:style>
  <w:style w:type="paragraph" w:styleId="10">
    <w:name w:val="Normal Indent"/>
    <w:basedOn w:val="1"/>
    <w:link w:val="57"/>
    <w:qFormat/>
    <w:uiPriority w:val="0"/>
    <w:pPr>
      <w:ind w:firstLine="420"/>
    </w:pPr>
    <w:rPr>
      <w:rFonts w:asciiTheme="minorHAnsi" w:hAnsiTheme="minorHAnsi" w:cstheme="minorBidi"/>
      <w:szCs w:val="22"/>
    </w:rPr>
  </w:style>
  <w:style w:type="paragraph" w:styleId="11">
    <w:name w:val="List Bullet"/>
    <w:basedOn w:val="1"/>
    <w:qFormat/>
    <w:uiPriority w:val="0"/>
    <w:pPr>
      <w:adjustRightInd w:val="0"/>
      <w:snapToGrid w:val="0"/>
      <w:spacing w:line="360" w:lineRule="auto"/>
    </w:pPr>
    <w:rPr>
      <w:snapToGrid w:val="0"/>
      <w:kern w:val="0"/>
      <w:sz w:val="24"/>
      <w:szCs w:val="20"/>
    </w:rPr>
  </w:style>
  <w:style w:type="paragraph" w:styleId="12">
    <w:name w:val="toa heading"/>
    <w:basedOn w:val="1"/>
    <w:next w:val="1"/>
    <w:qFormat/>
    <w:uiPriority w:val="0"/>
    <w:pPr>
      <w:spacing w:before="120"/>
    </w:pPr>
    <w:rPr>
      <w:rFonts w:ascii="Cambria" w:hAnsi="Cambria"/>
      <w:sz w:val="24"/>
      <w:szCs w:val="24"/>
    </w:rPr>
  </w:style>
  <w:style w:type="paragraph" w:styleId="13">
    <w:name w:val="annotation text"/>
    <w:basedOn w:val="1"/>
    <w:unhideWhenUsed/>
    <w:qFormat/>
    <w:uiPriority w:val="99"/>
    <w:pPr>
      <w:jc w:val="left"/>
    </w:pPr>
  </w:style>
  <w:style w:type="paragraph" w:styleId="14">
    <w:name w:val="Body Text"/>
    <w:basedOn w:val="1"/>
    <w:next w:val="1"/>
    <w:link w:val="70"/>
    <w:qFormat/>
    <w:uiPriority w:val="0"/>
    <w:pPr>
      <w:spacing w:after="120"/>
    </w:pPr>
    <w:rPr>
      <w:rFonts w:asciiTheme="minorHAnsi" w:hAnsiTheme="minorHAnsi" w:cstheme="minorBidi"/>
    </w:rPr>
  </w:style>
  <w:style w:type="paragraph" w:styleId="15">
    <w:name w:val="Body Text Indent"/>
    <w:basedOn w:val="1"/>
    <w:next w:val="16"/>
    <w:link w:val="72"/>
    <w:qFormat/>
    <w:uiPriority w:val="0"/>
    <w:pPr>
      <w:ind w:firstLine="640" w:firstLineChars="200"/>
    </w:pPr>
    <w:rPr>
      <w:sz w:val="32"/>
    </w:rPr>
  </w:style>
  <w:style w:type="paragraph" w:styleId="16">
    <w:name w:val="envelope return"/>
    <w:basedOn w:val="1"/>
    <w:qFormat/>
    <w:uiPriority w:val="0"/>
    <w:pPr>
      <w:snapToGrid w:val="0"/>
    </w:pPr>
    <w:rPr>
      <w:rFonts w:ascii="Arial" w:hAnsi="Arial"/>
    </w:rPr>
  </w:style>
  <w:style w:type="paragraph" w:styleId="17">
    <w:name w:val="toc 5"/>
    <w:basedOn w:val="1"/>
    <w:next w:val="1"/>
    <w:qFormat/>
    <w:uiPriority w:val="0"/>
    <w:pPr>
      <w:ind w:left="1680" w:leftChars="800"/>
    </w:pPr>
  </w:style>
  <w:style w:type="paragraph" w:styleId="18">
    <w:name w:val="toc 3"/>
    <w:basedOn w:val="1"/>
    <w:next w:val="1"/>
    <w:qFormat/>
    <w:uiPriority w:val="0"/>
    <w:pPr>
      <w:ind w:left="840" w:leftChars="400"/>
    </w:pPr>
  </w:style>
  <w:style w:type="paragraph" w:styleId="19">
    <w:name w:val="Plain Text"/>
    <w:basedOn w:val="1"/>
    <w:link w:val="65"/>
    <w:qFormat/>
    <w:uiPriority w:val="0"/>
    <w:rPr>
      <w:rFonts w:ascii="宋体" w:hAnsi="Courier New"/>
      <w:szCs w:val="20"/>
    </w:rPr>
  </w:style>
  <w:style w:type="paragraph" w:styleId="20">
    <w:name w:val="toc 8"/>
    <w:basedOn w:val="1"/>
    <w:next w:val="1"/>
    <w:qFormat/>
    <w:uiPriority w:val="0"/>
    <w:pPr>
      <w:ind w:left="2940" w:leftChars="1400"/>
    </w:pPr>
  </w:style>
  <w:style w:type="paragraph" w:styleId="21">
    <w:name w:val="Date"/>
    <w:basedOn w:val="1"/>
    <w:next w:val="1"/>
    <w:link w:val="69"/>
    <w:qFormat/>
    <w:uiPriority w:val="0"/>
    <w:pPr>
      <w:ind w:left="100" w:leftChars="2500"/>
    </w:pPr>
  </w:style>
  <w:style w:type="paragraph" w:styleId="22">
    <w:name w:val="Body Text Indent 2"/>
    <w:basedOn w:val="1"/>
    <w:link w:val="71"/>
    <w:qFormat/>
    <w:uiPriority w:val="0"/>
    <w:pPr>
      <w:spacing w:line="560" w:lineRule="exact"/>
      <w:ind w:firstLine="560" w:firstLineChars="200"/>
    </w:pPr>
    <w:rPr>
      <w:rFonts w:ascii="宋体" w:hAnsi="宋体"/>
      <w:bCs/>
      <w:color w:val="000000"/>
      <w:sz w:val="28"/>
    </w:rPr>
  </w:style>
  <w:style w:type="paragraph" w:styleId="23">
    <w:name w:val="Balloon Text"/>
    <w:basedOn w:val="1"/>
    <w:link w:val="102"/>
    <w:semiHidden/>
    <w:unhideWhenUsed/>
    <w:qFormat/>
    <w:uiPriority w:val="99"/>
    <w:rPr>
      <w:sz w:val="18"/>
      <w:szCs w:val="18"/>
    </w:rPr>
  </w:style>
  <w:style w:type="paragraph" w:styleId="24">
    <w:name w:val="footer"/>
    <w:basedOn w:val="1"/>
    <w:link w:val="49"/>
    <w:unhideWhenUsed/>
    <w:qFormat/>
    <w:uiPriority w:val="0"/>
    <w:pPr>
      <w:tabs>
        <w:tab w:val="center" w:pos="4153"/>
        <w:tab w:val="right" w:pos="8306"/>
      </w:tabs>
      <w:snapToGrid w:val="0"/>
      <w:jc w:val="left"/>
    </w:pPr>
    <w:rPr>
      <w:sz w:val="18"/>
      <w:szCs w:val="18"/>
    </w:rPr>
  </w:style>
  <w:style w:type="paragraph" w:styleId="25">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0"/>
  </w:style>
  <w:style w:type="paragraph" w:styleId="27">
    <w:name w:val="toc 4"/>
    <w:basedOn w:val="1"/>
    <w:next w:val="1"/>
    <w:qFormat/>
    <w:uiPriority w:val="0"/>
    <w:pPr>
      <w:ind w:left="1260" w:leftChars="600"/>
    </w:pPr>
  </w:style>
  <w:style w:type="paragraph" w:styleId="28">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9">
    <w:name w:val="List"/>
    <w:basedOn w:val="1"/>
    <w:qFormat/>
    <w:uiPriority w:val="0"/>
    <w:pPr>
      <w:ind w:left="420" w:hanging="420"/>
    </w:pPr>
  </w:style>
  <w:style w:type="paragraph" w:styleId="30">
    <w:name w:val="footnote text"/>
    <w:basedOn w:val="1"/>
    <w:semiHidden/>
    <w:unhideWhenUsed/>
    <w:qFormat/>
    <w:uiPriority w:val="99"/>
    <w:pPr>
      <w:snapToGrid w:val="0"/>
      <w:jc w:val="left"/>
    </w:pPr>
    <w:rPr>
      <w:sz w:val="18"/>
      <w:szCs w:val="18"/>
    </w:rPr>
  </w:style>
  <w:style w:type="paragraph" w:styleId="31">
    <w:name w:val="toc 6"/>
    <w:basedOn w:val="1"/>
    <w:next w:val="1"/>
    <w:qFormat/>
    <w:uiPriority w:val="0"/>
    <w:pPr>
      <w:ind w:left="2100" w:leftChars="1000"/>
    </w:pPr>
  </w:style>
  <w:style w:type="paragraph" w:styleId="32">
    <w:name w:val="Body Text Indent 3"/>
    <w:basedOn w:val="1"/>
    <w:link w:val="68"/>
    <w:qFormat/>
    <w:uiPriority w:val="0"/>
    <w:pPr>
      <w:spacing w:after="120"/>
      <w:ind w:left="420" w:leftChars="200"/>
    </w:pPr>
    <w:rPr>
      <w:sz w:val="16"/>
      <w:szCs w:val="16"/>
    </w:rPr>
  </w:style>
  <w:style w:type="paragraph" w:styleId="33">
    <w:name w:val="toc 2"/>
    <w:basedOn w:val="1"/>
    <w:next w:val="1"/>
    <w:qFormat/>
    <w:uiPriority w:val="0"/>
    <w:pPr>
      <w:ind w:left="420" w:leftChars="200"/>
    </w:pPr>
  </w:style>
  <w:style w:type="paragraph" w:styleId="34">
    <w:name w:val="toc 9"/>
    <w:basedOn w:val="1"/>
    <w:next w:val="1"/>
    <w:qFormat/>
    <w:uiPriority w:val="0"/>
    <w:pPr>
      <w:ind w:left="3360" w:leftChars="1600"/>
    </w:pPr>
  </w:style>
  <w:style w:type="paragraph" w:styleId="35">
    <w:name w:val="HTML Preformatted"/>
    <w:basedOn w:val="1"/>
    <w:link w:val="6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semiHidden/>
    <w:unhideWhenUsed/>
    <w:qFormat/>
    <w:uiPriority w:val="99"/>
    <w:pPr>
      <w:spacing w:beforeAutospacing="1" w:afterAutospacing="1"/>
      <w:jc w:val="left"/>
    </w:pPr>
    <w:rPr>
      <w:kern w:val="0"/>
      <w:sz w:val="24"/>
    </w:rPr>
  </w:style>
  <w:style w:type="paragraph" w:styleId="37">
    <w:name w:val="Body Text First Indent"/>
    <w:basedOn w:val="14"/>
    <w:next w:val="38"/>
    <w:qFormat/>
    <w:uiPriority w:val="0"/>
    <w:pPr>
      <w:ind w:firstLine="420" w:firstLineChars="100"/>
    </w:pPr>
  </w:style>
  <w:style w:type="paragraph" w:styleId="38">
    <w:name w:val="Body Text First Indent 2"/>
    <w:basedOn w:val="15"/>
    <w:next w:val="37"/>
    <w:qFormat/>
    <w:uiPriority w:val="0"/>
    <w:pPr>
      <w:ind w:firstLine="42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style>
  <w:style w:type="character" w:styleId="44">
    <w:name w:val="FollowedHyperlink"/>
    <w:basedOn w:val="41"/>
    <w:semiHidden/>
    <w:unhideWhenUsed/>
    <w:qFormat/>
    <w:uiPriority w:val="99"/>
    <w:rPr>
      <w:rFonts w:hint="eastAsia" w:ascii="微软雅黑" w:hAnsi="微软雅黑" w:eastAsia="微软雅黑" w:cs="微软雅黑"/>
      <w:color w:val="02396F"/>
      <w:u w:val="single"/>
    </w:rPr>
  </w:style>
  <w:style w:type="character" w:styleId="45">
    <w:name w:val="Hyperlink"/>
    <w:basedOn w:val="41"/>
    <w:qFormat/>
    <w:uiPriority w:val="0"/>
    <w:rPr>
      <w:rFonts w:hint="eastAsia" w:ascii="微软雅黑" w:hAnsi="微软雅黑" w:eastAsia="微软雅黑" w:cs="微软雅黑"/>
      <w:color w:val="02396F"/>
      <w:u w:val="single"/>
    </w:rPr>
  </w:style>
  <w:style w:type="character" w:styleId="46">
    <w:name w:val="footnote reference"/>
    <w:basedOn w:val="41"/>
    <w:semiHidden/>
    <w:unhideWhenUsed/>
    <w:qFormat/>
    <w:uiPriority w:val="99"/>
    <w:rPr>
      <w:vertAlign w:val="superscript"/>
    </w:rPr>
  </w:style>
  <w:style w:type="paragraph" w:customStyle="1" w:styleId="47">
    <w:name w:val="Style1"/>
    <w:basedOn w:val="1"/>
    <w:qFormat/>
    <w:uiPriority w:val="0"/>
    <w:pPr>
      <w:widowControl/>
      <w:tabs>
        <w:tab w:val="left" w:pos="-720"/>
      </w:tabs>
      <w:spacing w:after="120"/>
    </w:pPr>
    <w:rPr>
      <w:spacing w:val="-3"/>
      <w:kern w:val="0"/>
      <w:sz w:val="24"/>
      <w:szCs w:val="20"/>
      <w:lang w:val="en-AU" w:eastAsia="en-US"/>
    </w:rPr>
  </w:style>
  <w:style w:type="character" w:customStyle="1" w:styleId="48">
    <w:name w:val="页眉 字符"/>
    <w:basedOn w:val="41"/>
    <w:link w:val="25"/>
    <w:semiHidden/>
    <w:qFormat/>
    <w:uiPriority w:val="99"/>
    <w:rPr>
      <w:sz w:val="18"/>
      <w:szCs w:val="18"/>
    </w:rPr>
  </w:style>
  <w:style w:type="character" w:customStyle="1" w:styleId="49">
    <w:name w:val="页脚 字符"/>
    <w:basedOn w:val="41"/>
    <w:link w:val="24"/>
    <w:semiHidden/>
    <w:qFormat/>
    <w:uiPriority w:val="99"/>
    <w:rPr>
      <w:sz w:val="18"/>
      <w:szCs w:val="18"/>
    </w:rPr>
  </w:style>
  <w:style w:type="character" w:customStyle="1" w:styleId="50">
    <w:name w:val="标题 1 字符"/>
    <w:basedOn w:val="41"/>
    <w:link w:val="3"/>
    <w:qFormat/>
    <w:uiPriority w:val="0"/>
    <w:rPr>
      <w:rFonts w:ascii="黑体" w:hAnsi="Arial Unicode MS" w:eastAsia="黑体" w:cs="Arial Unicode MS"/>
      <w:kern w:val="44"/>
      <w:sz w:val="32"/>
      <w:szCs w:val="20"/>
    </w:rPr>
  </w:style>
  <w:style w:type="character" w:customStyle="1" w:styleId="51">
    <w:name w:val="标题 2 字符"/>
    <w:basedOn w:val="41"/>
    <w:link w:val="4"/>
    <w:qFormat/>
    <w:uiPriority w:val="0"/>
    <w:rPr>
      <w:rFonts w:ascii="Arial" w:hAnsi="Arial" w:eastAsia="黑体" w:cs="Times New Roman"/>
      <w:b/>
      <w:bCs/>
      <w:sz w:val="32"/>
      <w:szCs w:val="32"/>
    </w:rPr>
  </w:style>
  <w:style w:type="character" w:customStyle="1" w:styleId="52">
    <w:name w:val="标题 3 字符"/>
    <w:basedOn w:val="41"/>
    <w:link w:val="5"/>
    <w:qFormat/>
    <w:uiPriority w:val="0"/>
    <w:rPr>
      <w:rFonts w:ascii="黑体" w:hAnsi="Arial Unicode MS" w:eastAsia="黑体" w:cs="Arial Unicode MS"/>
      <w:kern w:val="0"/>
      <w:sz w:val="28"/>
      <w:szCs w:val="20"/>
    </w:rPr>
  </w:style>
  <w:style w:type="character" w:customStyle="1" w:styleId="53">
    <w:name w:val="标题 4 字符"/>
    <w:basedOn w:val="41"/>
    <w:link w:val="6"/>
    <w:qFormat/>
    <w:uiPriority w:val="0"/>
    <w:rPr>
      <w:rFonts w:ascii="Arial" w:hAnsi="Arial" w:eastAsia="黑体" w:cs="Times New Roman"/>
      <w:b/>
      <w:bCs/>
      <w:sz w:val="28"/>
      <w:szCs w:val="28"/>
    </w:rPr>
  </w:style>
  <w:style w:type="character" w:customStyle="1" w:styleId="54">
    <w:name w:val="标题 5 字符"/>
    <w:basedOn w:val="41"/>
    <w:link w:val="7"/>
    <w:qFormat/>
    <w:uiPriority w:val="0"/>
    <w:rPr>
      <w:rFonts w:ascii="Times New Roman" w:hAnsi="Times New Roman" w:eastAsia="宋体" w:cs="Times New Roman"/>
      <w:b/>
      <w:bCs/>
      <w:sz w:val="28"/>
      <w:szCs w:val="28"/>
    </w:rPr>
  </w:style>
  <w:style w:type="character" w:customStyle="1" w:styleId="55">
    <w:name w:val="标题 6 字符"/>
    <w:basedOn w:val="41"/>
    <w:link w:val="8"/>
    <w:qFormat/>
    <w:uiPriority w:val="0"/>
    <w:rPr>
      <w:rFonts w:ascii="Arial" w:hAnsi="Arial" w:eastAsia="宋体" w:cs="宋体"/>
      <w:b/>
      <w:bCs/>
      <w:kern w:val="0"/>
      <w:szCs w:val="24"/>
    </w:rPr>
  </w:style>
  <w:style w:type="character" w:customStyle="1" w:styleId="56">
    <w:name w:val="ca-9"/>
    <w:basedOn w:val="41"/>
    <w:qFormat/>
    <w:uiPriority w:val="0"/>
  </w:style>
  <w:style w:type="character" w:customStyle="1" w:styleId="57">
    <w:name w:val="正文缩进 字符"/>
    <w:basedOn w:val="41"/>
    <w:link w:val="10"/>
    <w:qFormat/>
    <w:uiPriority w:val="0"/>
    <w:rPr>
      <w:rFonts w:eastAsia="宋体"/>
    </w:rPr>
  </w:style>
  <w:style w:type="character" w:customStyle="1" w:styleId="58">
    <w:name w:val="ca-6"/>
    <w:basedOn w:val="41"/>
    <w:qFormat/>
    <w:uiPriority w:val="0"/>
  </w:style>
  <w:style w:type="character" w:customStyle="1" w:styleId="59">
    <w:name w:val="正文文本 Char"/>
    <w:basedOn w:val="41"/>
    <w:qFormat/>
    <w:uiPriority w:val="0"/>
    <w:rPr>
      <w:rFonts w:eastAsia="宋体"/>
      <w:szCs w:val="24"/>
    </w:rPr>
  </w:style>
  <w:style w:type="paragraph" w:customStyle="1" w:styleId="60">
    <w:name w:val="Char"/>
    <w:basedOn w:val="1"/>
    <w:qFormat/>
    <w:uiPriority w:val="0"/>
    <w:pPr>
      <w:widowControl/>
      <w:spacing w:after="160" w:line="240" w:lineRule="exact"/>
      <w:jc w:val="left"/>
    </w:pPr>
  </w:style>
  <w:style w:type="paragraph" w:customStyle="1" w:styleId="61">
    <w:name w:val="pa-12"/>
    <w:basedOn w:val="1"/>
    <w:qFormat/>
    <w:uiPriority w:val="0"/>
    <w:pPr>
      <w:widowControl/>
      <w:spacing w:before="150" w:after="150"/>
      <w:jc w:val="left"/>
    </w:pPr>
    <w:rPr>
      <w:rFonts w:ascii="宋体" w:hAnsi="宋体" w:cs="宋体"/>
      <w:kern w:val="0"/>
      <w:sz w:val="24"/>
    </w:rPr>
  </w:style>
  <w:style w:type="paragraph" w:customStyle="1" w:styleId="62">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63">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4">
    <w:name w:val="Default Text:1"/>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65">
    <w:name w:val="纯文本 字符"/>
    <w:basedOn w:val="41"/>
    <w:link w:val="19"/>
    <w:qFormat/>
    <w:uiPriority w:val="0"/>
    <w:rPr>
      <w:rFonts w:ascii="宋体" w:hAnsi="Courier New" w:eastAsia="宋体" w:cs="Times New Roman"/>
      <w:szCs w:val="20"/>
    </w:rPr>
  </w:style>
  <w:style w:type="character" w:customStyle="1" w:styleId="66">
    <w:name w:val="HTML 预设格式 字符"/>
    <w:basedOn w:val="41"/>
    <w:link w:val="35"/>
    <w:qFormat/>
    <w:uiPriority w:val="0"/>
    <w:rPr>
      <w:rFonts w:ascii="宋体" w:hAnsi="宋体" w:eastAsia="宋体" w:cs="宋体"/>
      <w:kern w:val="0"/>
      <w:sz w:val="24"/>
      <w:szCs w:val="24"/>
    </w:rPr>
  </w:style>
  <w:style w:type="paragraph" w:customStyle="1" w:styleId="67">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68">
    <w:name w:val="正文文本缩进 3 字符"/>
    <w:basedOn w:val="41"/>
    <w:link w:val="32"/>
    <w:qFormat/>
    <w:uiPriority w:val="0"/>
    <w:rPr>
      <w:rFonts w:ascii="Times New Roman" w:hAnsi="Times New Roman" w:eastAsia="宋体" w:cs="Times New Roman"/>
      <w:sz w:val="16"/>
      <w:szCs w:val="16"/>
    </w:rPr>
  </w:style>
  <w:style w:type="character" w:customStyle="1" w:styleId="69">
    <w:name w:val="日期 字符"/>
    <w:basedOn w:val="41"/>
    <w:link w:val="21"/>
    <w:qFormat/>
    <w:uiPriority w:val="0"/>
    <w:rPr>
      <w:rFonts w:ascii="Times New Roman" w:hAnsi="Times New Roman" w:eastAsia="宋体" w:cs="Times New Roman"/>
      <w:szCs w:val="24"/>
    </w:rPr>
  </w:style>
  <w:style w:type="character" w:customStyle="1" w:styleId="70">
    <w:name w:val="正文文本 字符"/>
    <w:basedOn w:val="41"/>
    <w:link w:val="14"/>
    <w:semiHidden/>
    <w:qFormat/>
    <w:uiPriority w:val="99"/>
    <w:rPr>
      <w:rFonts w:ascii="Times New Roman" w:hAnsi="Times New Roman" w:eastAsia="宋体" w:cs="Times New Roman"/>
      <w:szCs w:val="24"/>
    </w:rPr>
  </w:style>
  <w:style w:type="character" w:customStyle="1" w:styleId="71">
    <w:name w:val="正文文本缩进 2 字符"/>
    <w:basedOn w:val="41"/>
    <w:link w:val="22"/>
    <w:qFormat/>
    <w:uiPriority w:val="0"/>
    <w:rPr>
      <w:rFonts w:ascii="宋体" w:hAnsi="宋体" w:eastAsia="宋体" w:cs="Times New Roman"/>
      <w:bCs/>
      <w:color w:val="000000"/>
      <w:sz w:val="28"/>
      <w:szCs w:val="24"/>
    </w:rPr>
  </w:style>
  <w:style w:type="character" w:customStyle="1" w:styleId="72">
    <w:name w:val="正文文本缩进 字符"/>
    <w:basedOn w:val="41"/>
    <w:link w:val="15"/>
    <w:qFormat/>
    <w:uiPriority w:val="0"/>
    <w:rPr>
      <w:rFonts w:ascii="Times New Roman" w:hAnsi="Times New Roman" w:eastAsia="宋体" w:cs="Times New Roman"/>
      <w:sz w:val="32"/>
      <w:szCs w:val="24"/>
    </w:rPr>
  </w:style>
  <w:style w:type="paragraph" w:customStyle="1" w:styleId="73">
    <w:name w:val="_Style 16"/>
    <w:basedOn w:val="1"/>
    <w:next w:val="19"/>
    <w:qFormat/>
    <w:uiPriority w:val="0"/>
    <w:rPr>
      <w:rFonts w:ascii="宋体" w:hAnsi="Courier New"/>
      <w:szCs w:val="20"/>
    </w:rPr>
  </w:style>
  <w:style w:type="paragraph" w:customStyle="1" w:styleId="74">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5">
    <w:name w:val="¨¨¡À¨º???¡À?"/>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6">
    <w:name w:val="words"/>
    <w:basedOn w:val="1"/>
    <w:qFormat/>
    <w:uiPriority w:val="0"/>
    <w:pPr>
      <w:widowControl/>
      <w:spacing w:line="240" w:lineRule="atLeast"/>
      <w:jc w:val="left"/>
    </w:pPr>
    <w:rPr>
      <w:rFonts w:ascii="ˎ̥" w:hAnsi="ˎ̥" w:cs="宋体"/>
      <w:color w:val="333333"/>
      <w:kern w:val="0"/>
      <w:sz w:val="14"/>
      <w:szCs w:val="14"/>
    </w:rPr>
  </w:style>
  <w:style w:type="character" w:customStyle="1" w:styleId="77">
    <w:name w:val="ca-1"/>
    <w:qFormat/>
    <w:uiPriority w:val="0"/>
  </w:style>
  <w:style w:type="paragraph" w:styleId="78">
    <w:name w:val="List Paragraph"/>
    <w:basedOn w:val="1"/>
    <w:qFormat/>
    <w:uiPriority w:val="34"/>
    <w:pPr>
      <w:ind w:firstLine="420" w:firstLineChars="200"/>
    </w:pPr>
  </w:style>
  <w:style w:type="character" w:customStyle="1" w:styleId="79">
    <w:name w:val="qxdate"/>
    <w:basedOn w:val="41"/>
    <w:qFormat/>
    <w:uiPriority w:val="0"/>
    <w:rPr>
      <w:color w:val="333333"/>
      <w:sz w:val="12"/>
      <w:szCs w:val="12"/>
    </w:rPr>
  </w:style>
  <w:style w:type="character" w:customStyle="1" w:styleId="80">
    <w:name w:val="redfilefwwh"/>
    <w:basedOn w:val="41"/>
    <w:qFormat/>
    <w:uiPriority w:val="0"/>
    <w:rPr>
      <w:color w:val="BA2636"/>
      <w:sz w:val="12"/>
      <w:szCs w:val="12"/>
    </w:rPr>
  </w:style>
  <w:style w:type="character" w:customStyle="1" w:styleId="81">
    <w:name w:val="next"/>
    <w:basedOn w:val="41"/>
    <w:qFormat/>
    <w:uiPriority w:val="0"/>
    <w:rPr>
      <w:rFonts w:ascii="微软雅黑" w:hAnsi="微软雅黑" w:eastAsia="微软雅黑" w:cs="微软雅黑"/>
      <w:sz w:val="14"/>
      <w:szCs w:val="14"/>
    </w:rPr>
  </w:style>
  <w:style w:type="character" w:customStyle="1" w:styleId="82">
    <w:name w:val="cfdate"/>
    <w:basedOn w:val="41"/>
    <w:qFormat/>
    <w:uiPriority w:val="0"/>
    <w:rPr>
      <w:color w:val="333333"/>
      <w:sz w:val="12"/>
      <w:szCs w:val="12"/>
    </w:rPr>
  </w:style>
  <w:style w:type="character" w:customStyle="1" w:styleId="83">
    <w:name w:val="redfilenumber"/>
    <w:basedOn w:val="41"/>
    <w:qFormat/>
    <w:uiPriority w:val="0"/>
    <w:rPr>
      <w:color w:val="BA2636"/>
      <w:sz w:val="12"/>
      <w:szCs w:val="12"/>
    </w:rPr>
  </w:style>
  <w:style w:type="character" w:customStyle="1" w:styleId="84">
    <w:name w:val="gjfg"/>
    <w:basedOn w:val="41"/>
    <w:qFormat/>
    <w:uiPriority w:val="0"/>
  </w:style>
  <w:style w:type="character" w:customStyle="1" w:styleId="85">
    <w:name w:val="displayarti"/>
    <w:basedOn w:val="41"/>
    <w:qFormat/>
    <w:uiPriority w:val="0"/>
    <w:rPr>
      <w:color w:val="FFFFFF"/>
      <w:shd w:val="clear" w:color="auto" w:fill="A00000"/>
    </w:rPr>
  </w:style>
  <w:style w:type="character" w:customStyle="1" w:styleId="86">
    <w:name w:val="prev2"/>
    <w:basedOn w:val="41"/>
    <w:qFormat/>
    <w:uiPriority w:val="0"/>
    <w:rPr>
      <w:rFonts w:hint="eastAsia" w:ascii="微软雅黑" w:hAnsi="微软雅黑" w:eastAsia="微软雅黑" w:cs="微软雅黑"/>
      <w:sz w:val="14"/>
      <w:szCs w:val="14"/>
    </w:rPr>
  </w:style>
  <w:style w:type="character" w:customStyle="1" w:styleId="87">
    <w:name w:val="prev3"/>
    <w:basedOn w:val="41"/>
    <w:qFormat/>
    <w:uiPriority w:val="0"/>
    <w:rPr>
      <w:color w:val="888888"/>
    </w:rPr>
  </w:style>
  <w:style w:type="character" w:customStyle="1" w:styleId="88">
    <w:name w:val="next2"/>
    <w:basedOn w:val="41"/>
    <w:qFormat/>
    <w:uiPriority w:val="0"/>
    <w:rPr>
      <w:rFonts w:hint="eastAsia" w:ascii="微软雅黑" w:hAnsi="微软雅黑" w:eastAsia="微软雅黑" w:cs="微软雅黑"/>
      <w:sz w:val="14"/>
      <w:szCs w:val="14"/>
    </w:rPr>
  </w:style>
  <w:style w:type="character" w:customStyle="1" w:styleId="89">
    <w:name w:val="next3"/>
    <w:basedOn w:val="41"/>
    <w:qFormat/>
    <w:uiPriority w:val="0"/>
    <w:rPr>
      <w:color w:val="888888"/>
    </w:rPr>
  </w:style>
  <w:style w:type="paragraph" w:customStyle="1" w:styleId="90">
    <w:name w:val="图"/>
    <w:basedOn w:val="1"/>
    <w:qFormat/>
    <w:uiPriority w:val="0"/>
    <w:pPr>
      <w:keepNext/>
      <w:adjustRightInd w:val="0"/>
      <w:spacing w:before="60" w:after="60" w:line="300" w:lineRule="auto"/>
      <w:jc w:val="center"/>
      <w:textAlignment w:val="center"/>
    </w:pPr>
    <w:rPr>
      <w:snapToGrid w:val="0"/>
      <w:spacing w:val="20"/>
      <w:kern w:val="0"/>
      <w:szCs w:val="20"/>
    </w:rPr>
  </w:style>
  <w:style w:type="paragraph" w:customStyle="1" w:styleId="91">
    <w:name w:val="_Style 3"/>
    <w:basedOn w:val="1"/>
    <w:qFormat/>
    <w:uiPriority w:val="0"/>
    <w:pPr>
      <w:widowControl/>
      <w:ind w:firstLine="420" w:firstLineChars="200"/>
      <w:jc w:val="left"/>
    </w:pPr>
    <w:rPr>
      <w:rFonts w:ascii="Calibri" w:hAnsi="Calibri"/>
      <w:snapToGrid w:val="0"/>
      <w:kern w:val="0"/>
      <w:sz w:val="20"/>
    </w:rPr>
  </w:style>
  <w:style w:type="paragraph" w:customStyle="1" w:styleId="92">
    <w:name w:val="样式1"/>
    <w:basedOn w:val="1"/>
    <w:qFormat/>
    <w:uiPriority w:val="0"/>
    <w:pPr>
      <w:numPr>
        <w:ilvl w:val="0"/>
        <w:numId w:val="1"/>
      </w:numPr>
      <w:tabs>
        <w:tab w:val="left" w:pos="709"/>
      </w:tabs>
      <w:adjustRightInd w:val="0"/>
      <w:textAlignment w:val="baseline"/>
    </w:pPr>
    <w:rPr>
      <w:rFonts w:ascii="宋体" w:hAnsi="宋体"/>
      <w:kern w:val="0"/>
      <w:szCs w:val="21"/>
    </w:rPr>
  </w:style>
  <w:style w:type="paragraph" w:customStyle="1" w:styleId="93">
    <w:name w:val="样式 仿宋_GB2312 (符号) 宋体 小四 黑色 行距: 1.5 倍行距 首行缩进:  2 字符"/>
    <w:basedOn w:val="1"/>
    <w:qFormat/>
    <w:uiPriority w:val="0"/>
    <w:pPr>
      <w:ind w:firstLine="480" w:firstLineChars="200"/>
    </w:pPr>
    <w:rPr>
      <w:rFonts w:ascii="Verdana" w:hAnsi="Cambria" w:eastAsia="Times New Roman" w:cs="Verdana"/>
      <w:color w:val="000000"/>
      <w:sz w:val="28"/>
      <w:szCs w:val="28"/>
    </w:rPr>
  </w:style>
  <w:style w:type="paragraph" w:customStyle="1" w:styleId="94">
    <w:name w:val="正文文本1"/>
    <w:basedOn w:val="1"/>
    <w:qFormat/>
    <w:uiPriority w:val="0"/>
    <w:pPr>
      <w:ind w:left="700" w:hanging="700" w:hangingChars="250"/>
    </w:pPr>
    <w:rPr>
      <w:rFonts w:ascii="Verdana" w:hAnsi="楷体" w:eastAsia="Times New Roman" w:cs="Verdana"/>
      <w:color w:val="000000"/>
      <w:sz w:val="28"/>
      <w:szCs w:val="28"/>
    </w:rPr>
  </w:style>
  <w:style w:type="paragraph" w:customStyle="1" w:styleId="95">
    <w:name w:val="Normal no space after"/>
    <w:basedOn w:val="1"/>
    <w:qFormat/>
    <w:uiPriority w:val="0"/>
    <w:pPr>
      <w:widowControl/>
      <w:tabs>
        <w:tab w:val="left" w:pos="284"/>
        <w:tab w:val="left" w:pos="567"/>
      </w:tabs>
      <w:spacing w:line="280" w:lineRule="atLeast"/>
      <w:jc w:val="left"/>
    </w:pPr>
    <w:rPr>
      <w:rFonts w:ascii="Frutiger Roman" w:hAnsi="Frutiger Roman"/>
      <w:kern w:val="0"/>
      <w:sz w:val="20"/>
      <w:szCs w:val="20"/>
      <w:lang w:eastAsia="en-US"/>
    </w:rPr>
  </w:style>
  <w:style w:type="character" w:customStyle="1" w:styleId="96">
    <w:name w:val="font01"/>
    <w:basedOn w:val="41"/>
    <w:qFormat/>
    <w:uiPriority w:val="0"/>
    <w:rPr>
      <w:rFonts w:hint="eastAsia" w:ascii="宋体" w:hAnsi="宋体" w:eastAsia="宋体" w:cs="宋体"/>
      <w:color w:val="000000"/>
      <w:sz w:val="22"/>
      <w:szCs w:val="22"/>
      <w:u w:val="none"/>
    </w:rPr>
  </w:style>
  <w:style w:type="character" w:customStyle="1" w:styleId="97">
    <w:name w:val="font11"/>
    <w:basedOn w:val="41"/>
    <w:qFormat/>
    <w:uiPriority w:val="0"/>
    <w:rPr>
      <w:rFonts w:hint="eastAsia" w:ascii="宋体" w:hAnsi="宋体" w:eastAsia="宋体" w:cs="宋体"/>
      <w:color w:val="000000"/>
      <w:sz w:val="22"/>
      <w:szCs w:val="22"/>
      <w:u w:val="none"/>
    </w:rPr>
  </w:style>
  <w:style w:type="character" w:customStyle="1" w:styleId="98">
    <w:name w:val="font41"/>
    <w:basedOn w:val="41"/>
    <w:qFormat/>
    <w:uiPriority w:val="0"/>
    <w:rPr>
      <w:rFonts w:hint="eastAsia" w:ascii="宋体" w:hAnsi="宋体" w:eastAsia="宋体" w:cs="宋体"/>
      <w:color w:val="000000"/>
      <w:sz w:val="22"/>
      <w:szCs w:val="22"/>
      <w:u w:val="none"/>
    </w:rPr>
  </w:style>
  <w:style w:type="character" w:customStyle="1" w:styleId="99">
    <w:name w:val="NormalCharacter"/>
    <w:link w:val="100"/>
    <w:qFormat/>
    <w:uiPriority w:val="0"/>
    <w:rPr>
      <w:rFonts w:cstheme="minorBidi"/>
    </w:rPr>
  </w:style>
  <w:style w:type="paragraph" w:customStyle="1" w:styleId="100">
    <w:name w:val="UserStyle_2"/>
    <w:basedOn w:val="1"/>
    <w:link w:val="99"/>
    <w:qFormat/>
    <w:uiPriority w:val="0"/>
    <w:pPr>
      <w:textAlignment w:val="baseline"/>
    </w:pPr>
    <w:rPr>
      <w:rFonts w:cstheme="minorBidi"/>
    </w:rPr>
  </w:style>
  <w:style w:type="paragraph" w:styleId="101">
    <w:name w:val="No Spacing"/>
    <w:qFormat/>
    <w:uiPriority w:val="0"/>
    <w:pPr>
      <w:widowControl w:val="0"/>
      <w:jc w:val="both"/>
    </w:pPr>
    <w:rPr>
      <w:rFonts w:ascii="Times New Roman" w:hAnsi="Times New Roman" w:eastAsia="Times New Roman" w:cs="Times New Roman"/>
      <w:kern w:val="2"/>
      <w:sz w:val="21"/>
      <w:szCs w:val="22"/>
      <w:lang w:val="en-US" w:eastAsia="zh-CN" w:bidi="ar-SA"/>
    </w:rPr>
  </w:style>
  <w:style w:type="character" w:customStyle="1" w:styleId="102">
    <w:name w:val="批注框文本 字符"/>
    <w:basedOn w:val="41"/>
    <w:link w:val="23"/>
    <w:semiHidden/>
    <w:qFormat/>
    <w:uiPriority w:val="99"/>
    <w:rPr>
      <w:rFonts w:ascii="Times New Roman" w:hAnsi="Times New Roman" w:eastAsia="宋体" w:cs="Times New Roman"/>
      <w:kern w:val="2"/>
      <w:sz w:val="18"/>
      <w:szCs w:val="18"/>
    </w:rPr>
  </w:style>
  <w:style w:type="paragraph" w:customStyle="1" w:styleId="103">
    <w:name w:val="列出段落1"/>
    <w:basedOn w:val="1"/>
    <w:qFormat/>
    <w:uiPriority w:val="34"/>
    <w:pPr>
      <w:ind w:firstLine="420" w:firstLineChars="200"/>
    </w:pPr>
  </w:style>
  <w:style w:type="paragraph" w:customStyle="1" w:styleId="104">
    <w:name w:val="Table Paragraph"/>
    <w:basedOn w:val="1"/>
    <w:qFormat/>
    <w:uiPriority w:val="1"/>
    <w:rPr>
      <w:rFonts w:ascii="宋体" w:hAnsi="宋体" w:cs="宋体"/>
      <w:lang w:val="zh-CN" w:bidi="zh-CN"/>
    </w:rPr>
  </w:style>
  <w:style w:type="paragraph" w:customStyle="1" w:styleId="105">
    <w:name w:val="表格样式"/>
    <w:qFormat/>
    <w:uiPriority w:val="0"/>
    <w:pPr>
      <w:wordWrap w:val="0"/>
      <w:spacing w:line="0" w:lineRule="atLeast"/>
      <w:contextualSpacing/>
    </w:pPr>
    <w:rPr>
      <w:rFonts w:ascii="宋体" w:hAnsi="微软雅黑" w:eastAsia="宋体" w:cs="Times New Roman"/>
      <w:kern w:val="2"/>
      <w:sz w:val="24"/>
      <w:szCs w:val="28"/>
      <w:lang w:val="en-US" w:eastAsia="zh-CN" w:bidi="ar-SA"/>
    </w:rPr>
  </w:style>
  <w:style w:type="table" w:customStyle="1" w:styleId="106">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07">
    <w:name w:val="正文_0"/>
    <w:next w:val="1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BC11E-385E-4EB9-AC3A-A21CF378A13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39298</Words>
  <Characters>41713</Characters>
  <Lines>341</Lines>
  <Paragraphs>96</Paragraphs>
  <TotalTime>69</TotalTime>
  <ScaleCrop>false</ScaleCrop>
  <LinksUpToDate>false</LinksUpToDate>
  <CharactersWithSpaces>44724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2020-01-31T05:35:00Z</dcterms:created>
  <dc:creator>lenovo</dc:creator>
  <cp:lastModifiedBy>Administrator</cp:lastModifiedBy>
  <cp:lastPrinted>2021-12-28T04:39:00Z</cp:lastPrinted>
  <dcterms:modified xsi:type="dcterms:W3CDTF">2021-12-30T14:36:10Z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8C12F56F57414DCFB591EDA3BB8D184A</vt:lpwstr>
  </property>
</Properties>
</file>