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right"/>
        <w:rPr>
          <w:rFonts w:ascii="宋体"/>
        </w:rPr>
      </w:pPr>
      <w:r>
        <w:rPr>
          <w:rFonts w:ascii="宋体" w:hAnsi="宋体"/>
        </w:rPr>
        <w:drawing>
          <wp:anchor distT="0" distB="0" distL="114300" distR="114300" simplePos="0" relativeHeight="251659264" behindDoc="0" locked="0" layoutInCell="1" allowOverlap="1">
            <wp:simplePos x="0" y="0"/>
            <wp:positionH relativeFrom="column">
              <wp:posOffset>194945</wp:posOffset>
            </wp:positionH>
            <wp:positionV relativeFrom="paragraph">
              <wp:posOffset>-73660</wp:posOffset>
            </wp:positionV>
            <wp:extent cx="756285" cy="790575"/>
            <wp:effectExtent l="19050" t="0" r="571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stretch>
                      <a:fillRect/>
                    </a:stretch>
                  </pic:blipFill>
                  <pic:spPr>
                    <a:xfrm>
                      <a:off x="0" y="0"/>
                      <a:ext cx="756285" cy="790575"/>
                    </a:xfrm>
                    <a:prstGeom prst="rect">
                      <a:avLst/>
                    </a:prstGeom>
                    <a:noFill/>
                    <a:ln>
                      <a:noFill/>
                    </a:ln>
                  </pic:spPr>
                </pic:pic>
              </a:graphicData>
            </a:graphic>
          </wp:anchor>
        </w:drawing>
      </w:r>
      <w:r>
        <w:rPr>
          <w:rFonts w:hint="eastAsia" w:ascii="宋体" w:hAnsi="宋体"/>
        </w:rPr>
        <w:t>项目编号：</w:t>
      </w:r>
    </w:p>
    <w:p>
      <w:pPr>
        <w:adjustRightInd w:val="0"/>
        <w:snapToGrid w:val="0"/>
        <w:spacing w:line="480" w:lineRule="exact"/>
        <w:jc w:val="center"/>
        <w:rPr>
          <w:rFonts w:ascii="宋体" w:hAnsi="宋体"/>
          <w:bCs/>
          <w:sz w:val="48"/>
          <w:szCs w:val="48"/>
        </w:rPr>
      </w:pPr>
    </w:p>
    <w:p>
      <w:pPr>
        <w:adjustRightInd w:val="0"/>
        <w:snapToGrid w:val="0"/>
        <w:spacing w:line="480" w:lineRule="exact"/>
        <w:jc w:val="center"/>
        <w:rPr>
          <w:rFonts w:ascii="宋体"/>
          <w:b/>
          <w:bCs/>
        </w:rPr>
      </w:pPr>
      <w:r>
        <w:rPr>
          <w:rFonts w:hint="eastAsia" w:ascii="宋体" w:hAnsi="宋体"/>
          <w:bCs/>
          <w:sz w:val="48"/>
          <w:szCs w:val="48"/>
        </w:rPr>
        <w:t>竞争性磋商文件</w:t>
      </w:r>
    </w:p>
    <w:p>
      <w:pPr>
        <w:adjustRightInd w:val="0"/>
        <w:snapToGrid w:val="0"/>
        <w:spacing w:line="480" w:lineRule="exact"/>
        <w:jc w:val="center"/>
        <w:rPr>
          <w:rFonts w:ascii="宋体" w:hAnsi="宋体"/>
          <w:bCs/>
          <w:sz w:val="36"/>
          <w:szCs w:val="36"/>
        </w:rPr>
      </w:pPr>
      <w:r>
        <w:rPr>
          <w:rFonts w:hint="eastAsia" w:ascii="宋体" w:hAnsi="宋体"/>
          <w:bCs/>
          <w:sz w:val="36"/>
          <w:szCs w:val="36"/>
        </w:rPr>
        <w:t>（政府采购货物）</w:t>
      </w:r>
    </w:p>
    <w:p>
      <w:pPr>
        <w:adjustRightInd w:val="0"/>
        <w:snapToGrid w:val="0"/>
        <w:spacing w:line="480" w:lineRule="exact"/>
        <w:jc w:val="center"/>
        <w:rPr>
          <w:rFonts w:ascii="宋体"/>
          <w:bCs/>
          <w:sz w:val="32"/>
          <w:szCs w:val="32"/>
        </w:rPr>
      </w:pPr>
    </w:p>
    <w:p>
      <w:pPr>
        <w:rPr>
          <w:rFonts w:hint="eastAsia" w:eastAsiaTheme="minorEastAsia"/>
          <w:lang w:eastAsia="zh-CN"/>
        </w:rPr>
      </w:pPr>
      <w:r>
        <w:rPr>
          <w:rFonts w:hint="eastAsia" w:ascii="宋体" w:hAnsi="宋体"/>
          <w:bCs/>
          <w:kern w:val="0"/>
          <w:sz w:val="32"/>
          <w:szCs w:val="32"/>
        </w:rPr>
        <w:t>项目名称：</w:t>
      </w:r>
      <w:r>
        <w:rPr>
          <w:rFonts w:hint="eastAsia" w:ascii="宋体" w:hAnsi="宋体"/>
          <w:bCs/>
          <w:sz w:val="32"/>
          <w:lang w:eastAsia="zh-CN"/>
        </w:rPr>
        <w:t>新疆维吾尔自治区工会干部学校新建教学楼宿舍配套用品采购项目</w:t>
      </w:r>
    </w:p>
    <w:p>
      <w:pPr>
        <w:adjustRightInd w:val="0"/>
        <w:snapToGrid w:val="0"/>
        <w:spacing w:line="480" w:lineRule="exact"/>
        <w:jc w:val="center"/>
        <w:rPr>
          <w:rFonts w:ascii="宋体"/>
          <w:bCs/>
          <w:sz w:val="32"/>
          <w:szCs w:val="32"/>
        </w:rPr>
      </w:pPr>
    </w:p>
    <w:p>
      <w:pPr>
        <w:adjustRightInd w:val="0"/>
        <w:snapToGrid w:val="0"/>
        <w:spacing w:line="480" w:lineRule="exact"/>
        <w:rPr>
          <w:rFonts w:ascii="宋体"/>
          <w:bCs/>
          <w:kern w:val="0"/>
          <w:sz w:val="32"/>
          <w:szCs w:val="32"/>
        </w:rPr>
      </w:pPr>
      <w:r>
        <w:rPr>
          <w:rFonts w:hint="eastAsia" w:ascii="宋体" w:hAnsi="宋体"/>
          <w:bCs/>
          <w:kern w:val="0"/>
          <w:sz w:val="32"/>
          <w:szCs w:val="32"/>
        </w:rPr>
        <w:t>采购人</w:t>
      </w:r>
      <w:r>
        <w:rPr>
          <w:rFonts w:ascii="宋体" w:hAnsi="宋体"/>
          <w:bCs/>
          <w:kern w:val="0"/>
          <w:sz w:val="32"/>
          <w:szCs w:val="32"/>
        </w:rPr>
        <w:t>(</w:t>
      </w:r>
      <w:r>
        <w:rPr>
          <w:rFonts w:hint="eastAsia" w:ascii="宋体" w:hAnsi="宋体"/>
          <w:bCs/>
          <w:kern w:val="0"/>
          <w:sz w:val="32"/>
          <w:szCs w:val="32"/>
        </w:rPr>
        <w:t>盖章</w:t>
      </w:r>
      <w:r>
        <w:rPr>
          <w:rFonts w:ascii="宋体" w:hAnsi="宋体"/>
          <w:bCs/>
          <w:kern w:val="0"/>
          <w:sz w:val="32"/>
          <w:szCs w:val="32"/>
        </w:rPr>
        <w:t>)</w:t>
      </w:r>
      <w:r>
        <w:rPr>
          <w:rFonts w:hint="eastAsia" w:ascii="宋体" w:hAnsi="宋体"/>
          <w:bCs/>
          <w:kern w:val="0"/>
          <w:sz w:val="32"/>
          <w:szCs w:val="32"/>
        </w:rPr>
        <w:t>：</w:t>
      </w:r>
      <w:r>
        <w:rPr>
          <w:rFonts w:hint="eastAsia" w:ascii="宋体" w:hAnsi="宋体"/>
          <w:bCs/>
          <w:kern w:val="0"/>
          <w:sz w:val="32"/>
          <w:szCs w:val="32"/>
          <w:lang w:eastAsia="zh-CN"/>
        </w:rPr>
        <w:t>新疆维吾尔自治区工会干部学校</w:t>
      </w:r>
    </w:p>
    <w:p>
      <w:pPr>
        <w:adjustRightInd w:val="0"/>
        <w:snapToGrid w:val="0"/>
        <w:spacing w:line="480" w:lineRule="exact"/>
        <w:jc w:val="center"/>
        <w:rPr>
          <w:rFonts w:ascii="宋体"/>
          <w:bCs/>
          <w:sz w:val="32"/>
          <w:szCs w:val="32"/>
        </w:rPr>
      </w:pPr>
    </w:p>
    <w:p>
      <w:pPr>
        <w:adjustRightInd w:val="0"/>
        <w:snapToGrid w:val="0"/>
        <w:spacing w:line="480" w:lineRule="exact"/>
        <w:rPr>
          <w:rFonts w:ascii="宋体"/>
          <w:bCs/>
          <w:sz w:val="32"/>
          <w:szCs w:val="32"/>
        </w:rPr>
      </w:pPr>
      <w:r>
        <w:rPr>
          <w:rFonts w:hint="eastAsia" w:ascii="宋体" w:hAnsi="宋体"/>
          <w:bCs/>
          <w:sz w:val="32"/>
          <w:szCs w:val="32"/>
        </w:rPr>
        <w:t>法定代表人</w:t>
      </w:r>
      <w:r>
        <w:rPr>
          <w:rFonts w:ascii="宋体" w:hAnsi="宋体"/>
          <w:bCs/>
          <w:sz w:val="32"/>
          <w:szCs w:val="32"/>
        </w:rPr>
        <w:t>(</w:t>
      </w:r>
      <w:r>
        <w:rPr>
          <w:rFonts w:hint="eastAsia" w:ascii="宋体" w:hAnsi="宋体"/>
          <w:bCs/>
          <w:sz w:val="32"/>
          <w:szCs w:val="32"/>
        </w:rPr>
        <w:t>盖章</w:t>
      </w:r>
      <w:r>
        <w:rPr>
          <w:rFonts w:ascii="宋体" w:hAnsi="宋体"/>
          <w:bCs/>
          <w:sz w:val="32"/>
          <w:szCs w:val="32"/>
        </w:rPr>
        <w:t>)</w:t>
      </w:r>
      <w:r>
        <w:rPr>
          <w:rFonts w:hint="eastAsia" w:ascii="宋体" w:hAnsi="宋体"/>
          <w:bCs/>
          <w:sz w:val="32"/>
          <w:szCs w:val="32"/>
        </w:rPr>
        <w:t>：</w:t>
      </w:r>
    </w:p>
    <w:p>
      <w:pPr>
        <w:adjustRightInd w:val="0"/>
        <w:snapToGrid w:val="0"/>
        <w:spacing w:line="480" w:lineRule="exact"/>
        <w:rPr>
          <w:rFonts w:ascii="宋体" w:hAnsi="宋体"/>
          <w:bCs/>
          <w:sz w:val="32"/>
          <w:szCs w:val="32"/>
        </w:rPr>
      </w:pPr>
    </w:p>
    <w:p>
      <w:pPr>
        <w:adjustRightInd w:val="0"/>
        <w:snapToGrid w:val="0"/>
        <w:spacing w:line="480" w:lineRule="exact"/>
        <w:rPr>
          <w:rFonts w:ascii="宋体" w:hAnsi="宋体"/>
          <w:bCs/>
          <w:sz w:val="32"/>
        </w:rPr>
      </w:pPr>
      <w:r>
        <w:rPr>
          <w:rFonts w:hint="eastAsia" w:ascii="宋体" w:hAnsi="宋体"/>
          <w:bCs/>
          <w:sz w:val="32"/>
          <w:szCs w:val="32"/>
        </w:rPr>
        <w:t>联系</w:t>
      </w:r>
      <w:r>
        <w:rPr>
          <w:rFonts w:hint="eastAsia" w:ascii="宋体" w:hAnsi="宋体"/>
          <w:bCs/>
          <w:sz w:val="32"/>
        </w:rPr>
        <w:t>人：钱斌</w:t>
      </w:r>
    </w:p>
    <w:p>
      <w:pPr>
        <w:adjustRightInd w:val="0"/>
        <w:snapToGrid w:val="0"/>
        <w:spacing w:line="480" w:lineRule="exact"/>
        <w:rPr>
          <w:rFonts w:ascii="宋体" w:hAnsi="宋体"/>
          <w:bCs/>
          <w:sz w:val="32"/>
        </w:rPr>
      </w:pPr>
    </w:p>
    <w:p>
      <w:pPr>
        <w:adjustRightInd w:val="0"/>
        <w:snapToGrid w:val="0"/>
        <w:spacing w:line="480" w:lineRule="exact"/>
        <w:rPr>
          <w:rFonts w:ascii="宋体" w:hAnsi="宋体"/>
          <w:bCs/>
          <w:sz w:val="32"/>
        </w:rPr>
      </w:pPr>
      <w:r>
        <w:rPr>
          <w:rFonts w:hint="eastAsia" w:ascii="宋体" w:hAnsi="宋体"/>
          <w:bCs/>
          <w:sz w:val="32"/>
        </w:rPr>
        <w:t>电话：</w:t>
      </w:r>
      <w:r>
        <w:rPr>
          <w:rFonts w:ascii="宋体" w:hAnsi="宋体"/>
          <w:bCs/>
          <w:sz w:val="32"/>
        </w:rPr>
        <w:t xml:space="preserve"> 0991-2617123</w:t>
      </w:r>
    </w:p>
    <w:p>
      <w:pPr>
        <w:adjustRightInd w:val="0"/>
        <w:snapToGrid w:val="0"/>
        <w:spacing w:line="480" w:lineRule="exact"/>
        <w:rPr>
          <w:rFonts w:ascii="宋体"/>
          <w:bCs/>
          <w:kern w:val="0"/>
          <w:sz w:val="32"/>
          <w:szCs w:val="32"/>
        </w:rPr>
      </w:pPr>
      <w:r>
        <w:rPr>
          <w:rFonts w:ascii="宋体" w:hAnsi="宋体"/>
          <w:bCs/>
          <w:kern w:val="0"/>
          <w:sz w:val="32"/>
          <w:szCs w:val="32"/>
        </w:rPr>
        <w:t>—————————————————————————————</w:t>
      </w:r>
    </w:p>
    <w:p>
      <w:pPr>
        <w:adjustRightInd w:val="0"/>
        <w:snapToGrid w:val="0"/>
        <w:spacing w:line="480" w:lineRule="exact"/>
        <w:rPr>
          <w:rFonts w:ascii="宋体"/>
          <w:bCs/>
          <w:sz w:val="32"/>
          <w:szCs w:val="32"/>
        </w:rPr>
      </w:pPr>
      <w:r>
        <w:rPr>
          <w:rFonts w:hint="eastAsia" w:ascii="宋体" w:hAnsi="宋体"/>
          <w:bCs/>
          <w:sz w:val="32"/>
          <w:szCs w:val="32"/>
        </w:rPr>
        <w:t>采购代理机构</w:t>
      </w:r>
      <w:r>
        <w:rPr>
          <w:rFonts w:ascii="宋体" w:hAnsi="宋体"/>
          <w:sz w:val="32"/>
          <w:szCs w:val="32"/>
        </w:rPr>
        <w:t>(</w:t>
      </w:r>
      <w:r>
        <w:rPr>
          <w:rFonts w:hint="eastAsia" w:ascii="宋体" w:hAnsi="宋体"/>
          <w:sz w:val="32"/>
          <w:szCs w:val="32"/>
        </w:rPr>
        <w:t>盖章</w:t>
      </w:r>
      <w:r>
        <w:rPr>
          <w:rFonts w:ascii="宋体" w:hAnsi="宋体"/>
          <w:sz w:val="32"/>
          <w:szCs w:val="32"/>
        </w:rPr>
        <w:t>)</w:t>
      </w:r>
      <w:r>
        <w:rPr>
          <w:rFonts w:hint="eastAsia" w:ascii="宋体" w:hAnsi="宋体"/>
          <w:bCs/>
          <w:sz w:val="32"/>
          <w:szCs w:val="32"/>
        </w:rPr>
        <w:t>：新疆锐智时代建设工程项目管理有限公司</w:t>
      </w:r>
    </w:p>
    <w:p>
      <w:pPr>
        <w:adjustRightInd w:val="0"/>
        <w:snapToGrid w:val="0"/>
        <w:spacing w:line="480" w:lineRule="exact"/>
        <w:jc w:val="center"/>
        <w:rPr>
          <w:rFonts w:ascii="宋体"/>
          <w:bCs/>
          <w:sz w:val="32"/>
          <w:szCs w:val="32"/>
        </w:rPr>
      </w:pPr>
    </w:p>
    <w:p>
      <w:pPr>
        <w:adjustRightInd w:val="0"/>
        <w:snapToGrid w:val="0"/>
        <w:spacing w:line="480" w:lineRule="exact"/>
        <w:rPr>
          <w:rFonts w:ascii="宋体"/>
          <w:bCs/>
          <w:sz w:val="32"/>
          <w:szCs w:val="32"/>
        </w:rPr>
      </w:pPr>
      <w:r>
        <w:rPr>
          <w:rFonts w:hint="eastAsia" w:ascii="宋体" w:hAnsi="宋体"/>
          <w:bCs/>
          <w:sz w:val="32"/>
          <w:szCs w:val="32"/>
        </w:rPr>
        <w:t>法定代表人</w:t>
      </w:r>
      <w:r>
        <w:rPr>
          <w:rFonts w:ascii="宋体" w:hAnsi="宋体"/>
          <w:bCs/>
          <w:sz w:val="32"/>
          <w:szCs w:val="32"/>
        </w:rPr>
        <w:t>(</w:t>
      </w:r>
      <w:r>
        <w:rPr>
          <w:rFonts w:hint="eastAsia" w:ascii="宋体" w:hAnsi="宋体"/>
          <w:bCs/>
          <w:sz w:val="32"/>
          <w:szCs w:val="32"/>
        </w:rPr>
        <w:t>盖章</w:t>
      </w:r>
      <w:r>
        <w:rPr>
          <w:rFonts w:ascii="宋体" w:hAnsi="宋体"/>
          <w:bCs/>
          <w:sz w:val="32"/>
          <w:szCs w:val="32"/>
        </w:rPr>
        <w:t>)</w:t>
      </w:r>
      <w:r>
        <w:rPr>
          <w:rFonts w:hint="eastAsia" w:ascii="宋体" w:hAnsi="宋体"/>
          <w:bCs/>
          <w:sz w:val="32"/>
          <w:szCs w:val="32"/>
        </w:rPr>
        <w:t xml:space="preserve">： </w:t>
      </w:r>
    </w:p>
    <w:p>
      <w:pPr>
        <w:adjustRightInd w:val="0"/>
        <w:snapToGrid w:val="0"/>
        <w:spacing w:line="480" w:lineRule="exact"/>
        <w:jc w:val="center"/>
        <w:rPr>
          <w:rFonts w:asci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联系人：王芳</w:t>
      </w:r>
    </w:p>
    <w:p>
      <w:pPr>
        <w:adjustRightInd w:val="0"/>
        <w:snapToGrid w:val="0"/>
        <w:spacing w:line="480" w:lineRule="exact"/>
        <w:rPr>
          <w:rFonts w:ascii="宋体" w:hAns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电话：17690920122</w:t>
      </w:r>
    </w:p>
    <w:p>
      <w:pPr>
        <w:adjustRightInd w:val="0"/>
        <w:snapToGrid w:val="0"/>
        <w:spacing w:line="480" w:lineRule="exact"/>
        <w:jc w:val="center"/>
        <w:rPr>
          <w:rFonts w:asci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详细地址：乌鲁木齐市水磨沟区立井街丽景名都10 号楼21 楼2115 室</w:t>
      </w:r>
    </w:p>
    <w:p>
      <w:pPr>
        <w:adjustRightInd w:val="0"/>
        <w:snapToGrid w:val="0"/>
        <w:spacing w:line="480" w:lineRule="exact"/>
        <w:rPr>
          <w:rFonts w:asci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日期：二〇二</w:t>
      </w:r>
      <w:r>
        <w:rPr>
          <w:rFonts w:hint="eastAsia" w:ascii="宋体" w:hAnsi="宋体"/>
          <w:bCs/>
          <w:sz w:val="32"/>
          <w:szCs w:val="32"/>
          <w:lang w:eastAsia="zh-CN"/>
        </w:rPr>
        <w:t>二</w:t>
      </w:r>
      <w:r>
        <w:rPr>
          <w:rFonts w:hint="eastAsia" w:ascii="宋体" w:hAnsi="宋体"/>
          <w:bCs/>
          <w:sz w:val="32"/>
          <w:szCs w:val="32"/>
        </w:rPr>
        <w:t>年</w:t>
      </w:r>
      <w:r>
        <w:rPr>
          <w:rFonts w:hint="eastAsia" w:ascii="宋体" w:hAnsi="宋体"/>
          <w:bCs/>
          <w:sz w:val="32"/>
          <w:szCs w:val="32"/>
          <w:lang w:eastAsia="zh-CN"/>
        </w:rPr>
        <w:t>一</w:t>
      </w:r>
      <w:r>
        <w:rPr>
          <w:rFonts w:hint="eastAsia" w:ascii="宋体" w:hAnsi="宋体"/>
          <w:bCs/>
          <w:sz w:val="32"/>
          <w:szCs w:val="32"/>
        </w:rPr>
        <w:t>月</w:t>
      </w:r>
    </w:p>
    <w:p>
      <w:pPr>
        <w:adjustRightInd w:val="0"/>
        <w:snapToGrid w:val="0"/>
        <w:spacing w:line="480" w:lineRule="exact"/>
        <w:rPr>
          <w:rFonts w:ascii="宋体" w:hAnsi="宋体"/>
          <w:bCs/>
          <w:sz w:val="32"/>
          <w:szCs w:val="32"/>
        </w:rPr>
      </w:pPr>
    </w:p>
    <w:p>
      <w:pPr>
        <w:spacing w:line="360" w:lineRule="auto"/>
        <w:rPr>
          <w:rFonts w:hint="eastAsia" w:ascii="宋体" w:hAnsi="Calibri" w:eastAsia="宋体" w:cs="宋体"/>
          <w:b/>
          <w:bCs/>
          <w:lang w:val="en-US" w:eastAsia="zh-CN"/>
        </w:rPr>
        <w:sectPr>
          <w:headerReference r:id="rId3" w:type="default"/>
          <w:footerReference r:id="rId4" w:type="default"/>
          <w:footerReference r:id="rId5" w:type="even"/>
          <w:pgSz w:w="11906" w:h="16838"/>
          <w:pgMar w:top="1361" w:right="1134" w:bottom="1361" w:left="1418" w:header="851" w:footer="992" w:gutter="0"/>
          <w:pgNumType w:start="1"/>
          <w:cols w:space="720" w:num="1"/>
          <w:docGrid w:type="lines" w:linePitch="312" w:charSpace="0"/>
        </w:sectPr>
      </w:pPr>
      <w:r>
        <w:rPr>
          <w:rFonts w:hint="eastAsia" w:ascii="宋体" w:hAnsi="Calibri" w:eastAsia="宋体" w:cs="宋体"/>
          <w:b/>
          <w:bCs/>
          <w:lang w:val="en-US" w:eastAsia="zh-CN"/>
        </w:rPr>
        <w:t xml:space="preserve"> </w:t>
      </w:r>
    </w:p>
    <w:p/>
    <w:p>
      <w:pPr>
        <w:jc w:val="center"/>
      </w:pPr>
      <w:r>
        <w:rPr>
          <w:rFonts w:hint="eastAsia"/>
        </w:rPr>
        <w:t>目   录</w:t>
      </w:r>
    </w:p>
    <w:p>
      <w:pPr>
        <w:pStyle w:val="28"/>
        <w:tabs>
          <w:tab w:val="right" w:leader="dot" w:pos="9354"/>
        </w:tabs>
      </w:pPr>
      <w:r>
        <w:fldChar w:fldCharType="begin"/>
      </w:r>
      <w:r>
        <w:instrText xml:space="preserve">TOC \o "1-3" \h \u </w:instrText>
      </w:r>
      <w:r>
        <w:fldChar w:fldCharType="separate"/>
      </w:r>
      <w:r>
        <w:fldChar w:fldCharType="begin"/>
      </w:r>
      <w:r>
        <w:instrText xml:space="preserve"> HYPERLINK \l _Toc11812 </w:instrText>
      </w:r>
      <w:r>
        <w:fldChar w:fldCharType="separate"/>
      </w:r>
      <w:r>
        <w:rPr>
          <w:rFonts w:hint="eastAsia"/>
          <w:lang w:eastAsia="zh-CN"/>
        </w:rPr>
        <w:t>新疆维吾尔自治区工会干部学校新建教学楼宿舍配套用品采购项目</w:t>
      </w:r>
      <w:r>
        <w:rPr>
          <w:rFonts w:hint="eastAsia"/>
        </w:rPr>
        <w:t>竞争性磋商</w:t>
      </w:r>
      <w:r>
        <w:t>公告</w:t>
      </w:r>
      <w:r>
        <w:tab/>
      </w:r>
      <w:r>
        <w:fldChar w:fldCharType="begin"/>
      </w:r>
      <w:r>
        <w:instrText xml:space="preserve"> PAGEREF _Toc11812 \h </w:instrText>
      </w:r>
      <w:r>
        <w:fldChar w:fldCharType="separate"/>
      </w:r>
      <w:r>
        <w:t>2</w:t>
      </w:r>
      <w:r>
        <w:fldChar w:fldCharType="end"/>
      </w:r>
      <w:r>
        <w:fldChar w:fldCharType="end"/>
      </w:r>
    </w:p>
    <w:p>
      <w:pPr>
        <w:pStyle w:val="28"/>
        <w:tabs>
          <w:tab w:val="right" w:leader="dot" w:pos="9354"/>
        </w:tabs>
      </w:pPr>
      <w:r>
        <w:fldChar w:fldCharType="begin"/>
      </w:r>
      <w:r>
        <w:instrText xml:space="preserve"> HYPERLINK \l _Toc23297 </w:instrText>
      </w:r>
      <w:r>
        <w:fldChar w:fldCharType="separate"/>
      </w:r>
      <w:r>
        <w:rPr>
          <w:rFonts w:hint="eastAsia" w:ascii="宋体" w:hAnsi="宋体" w:eastAsia="宋体" w:cs="宋体"/>
          <w:szCs w:val="24"/>
        </w:rPr>
        <w:t>供应商须知前附表</w:t>
      </w:r>
      <w:r>
        <w:tab/>
      </w:r>
      <w:r>
        <w:fldChar w:fldCharType="begin"/>
      </w:r>
      <w:r>
        <w:instrText xml:space="preserve"> PAGEREF _Toc23297 \h </w:instrText>
      </w:r>
      <w:r>
        <w:fldChar w:fldCharType="separate"/>
      </w:r>
      <w:r>
        <w:t>5</w:t>
      </w:r>
      <w:r>
        <w:fldChar w:fldCharType="end"/>
      </w:r>
      <w:r>
        <w:fldChar w:fldCharType="end"/>
      </w:r>
    </w:p>
    <w:p>
      <w:pPr>
        <w:pStyle w:val="28"/>
        <w:tabs>
          <w:tab w:val="right" w:leader="dot" w:pos="9354"/>
        </w:tabs>
      </w:pPr>
      <w:r>
        <w:fldChar w:fldCharType="begin"/>
      </w:r>
      <w:r>
        <w:instrText xml:space="preserve"> HYPERLINK \l _Toc14812 </w:instrText>
      </w:r>
      <w:r>
        <w:fldChar w:fldCharType="separate"/>
      </w:r>
      <w:r>
        <w:rPr>
          <w:rFonts w:hint="eastAsia" w:ascii="宋体" w:hAnsi="宋体" w:eastAsia="宋体" w:cs="宋体"/>
          <w:szCs w:val="24"/>
        </w:rPr>
        <w:t>第一章 供应商须知</w:t>
      </w:r>
      <w:r>
        <w:tab/>
      </w:r>
      <w:r>
        <w:fldChar w:fldCharType="begin"/>
      </w:r>
      <w:r>
        <w:instrText xml:space="preserve"> PAGEREF _Toc14812 \h </w:instrText>
      </w:r>
      <w:r>
        <w:fldChar w:fldCharType="separate"/>
      </w:r>
      <w:r>
        <w:t>8</w:t>
      </w:r>
      <w:r>
        <w:fldChar w:fldCharType="end"/>
      </w:r>
      <w:r>
        <w:fldChar w:fldCharType="end"/>
      </w:r>
    </w:p>
    <w:p>
      <w:pPr>
        <w:pStyle w:val="35"/>
        <w:tabs>
          <w:tab w:val="right" w:leader="dot" w:pos="9354"/>
        </w:tabs>
      </w:pPr>
      <w:r>
        <w:fldChar w:fldCharType="begin"/>
      </w:r>
      <w:r>
        <w:instrText xml:space="preserve"> HYPERLINK \l _Toc26277 </w:instrText>
      </w:r>
      <w:r>
        <w:fldChar w:fldCharType="separate"/>
      </w:r>
      <w:r>
        <w:rPr>
          <w:rFonts w:ascii="宋体" w:hAnsi="宋体" w:eastAsia="宋体" w:cs="宋体"/>
          <w:szCs w:val="24"/>
        </w:rPr>
        <w:t>1</w:t>
      </w:r>
      <w:r>
        <w:rPr>
          <w:rFonts w:hint="eastAsia" w:ascii="宋体" w:hAnsi="宋体" w:eastAsia="宋体" w:cs="宋体"/>
          <w:szCs w:val="24"/>
        </w:rPr>
        <w:t>．总则</w:t>
      </w:r>
      <w:r>
        <w:tab/>
      </w:r>
      <w:r>
        <w:fldChar w:fldCharType="begin"/>
      </w:r>
      <w:r>
        <w:instrText xml:space="preserve"> PAGEREF _Toc26277 \h </w:instrText>
      </w:r>
      <w:r>
        <w:fldChar w:fldCharType="separate"/>
      </w:r>
      <w:r>
        <w:t>8</w:t>
      </w:r>
      <w:r>
        <w:fldChar w:fldCharType="end"/>
      </w:r>
      <w:r>
        <w:fldChar w:fldCharType="end"/>
      </w:r>
    </w:p>
    <w:p>
      <w:pPr>
        <w:pStyle w:val="35"/>
        <w:tabs>
          <w:tab w:val="right" w:leader="dot" w:pos="9354"/>
        </w:tabs>
      </w:pPr>
      <w:r>
        <w:fldChar w:fldCharType="begin"/>
      </w:r>
      <w:r>
        <w:instrText xml:space="preserve"> HYPERLINK \l _Toc22320 </w:instrText>
      </w:r>
      <w:r>
        <w:fldChar w:fldCharType="separate"/>
      </w:r>
      <w:r>
        <w:rPr>
          <w:rFonts w:ascii="宋体" w:hAnsi="宋体" w:eastAsia="宋体" w:cs="宋体"/>
          <w:szCs w:val="24"/>
        </w:rPr>
        <w:t>2</w:t>
      </w:r>
      <w:r>
        <w:rPr>
          <w:rFonts w:hint="eastAsia" w:ascii="宋体" w:hAnsi="宋体" w:eastAsia="宋体" w:cs="宋体"/>
          <w:szCs w:val="24"/>
        </w:rPr>
        <w:t>．竞争性磋商文件</w:t>
      </w:r>
      <w:r>
        <w:tab/>
      </w:r>
      <w:r>
        <w:fldChar w:fldCharType="begin"/>
      </w:r>
      <w:r>
        <w:instrText xml:space="preserve"> PAGEREF _Toc22320 \h </w:instrText>
      </w:r>
      <w:r>
        <w:fldChar w:fldCharType="separate"/>
      </w:r>
      <w:r>
        <w:t>10</w:t>
      </w:r>
      <w:r>
        <w:fldChar w:fldCharType="end"/>
      </w:r>
      <w:r>
        <w:fldChar w:fldCharType="end"/>
      </w:r>
    </w:p>
    <w:p>
      <w:pPr>
        <w:pStyle w:val="35"/>
        <w:tabs>
          <w:tab w:val="right" w:leader="dot" w:pos="9354"/>
        </w:tabs>
      </w:pPr>
      <w:r>
        <w:fldChar w:fldCharType="begin"/>
      </w:r>
      <w:r>
        <w:instrText xml:space="preserve"> HYPERLINK \l _Toc26631 </w:instrText>
      </w:r>
      <w:r>
        <w:fldChar w:fldCharType="separate"/>
      </w:r>
      <w:r>
        <w:rPr>
          <w:rFonts w:ascii="宋体" w:hAnsi="宋体" w:eastAsia="宋体" w:cs="宋体"/>
          <w:szCs w:val="24"/>
        </w:rPr>
        <w:t>3</w:t>
      </w:r>
      <w:r>
        <w:rPr>
          <w:rFonts w:hint="eastAsia" w:ascii="宋体" w:hAnsi="宋体" w:eastAsia="宋体" w:cs="宋体"/>
          <w:szCs w:val="24"/>
        </w:rPr>
        <w:t>．竞争性磋商响应文件</w:t>
      </w:r>
      <w:r>
        <w:tab/>
      </w:r>
      <w:r>
        <w:fldChar w:fldCharType="begin"/>
      </w:r>
      <w:r>
        <w:instrText xml:space="preserve"> PAGEREF _Toc26631 \h </w:instrText>
      </w:r>
      <w:r>
        <w:fldChar w:fldCharType="separate"/>
      </w:r>
      <w:r>
        <w:t>11</w:t>
      </w:r>
      <w:r>
        <w:fldChar w:fldCharType="end"/>
      </w:r>
      <w:r>
        <w:fldChar w:fldCharType="end"/>
      </w:r>
    </w:p>
    <w:p>
      <w:pPr>
        <w:pStyle w:val="35"/>
        <w:tabs>
          <w:tab w:val="right" w:leader="dot" w:pos="9354"/>
        </w:tabs>
      </w:pPr>
      <w:r>
        <w:fldChar w:fldCharType="begin"/>
      </w:r>
      <w:r>
        <w:instrText xml:space="preserve"> HYPERLINK \l _Toc30860 </w:instrText>
      </w:r>
      <w:r>
        <w:fldChar w:fldCharType="separate"/>
      </w:r>
      <w:r>
        <w:rPr>
          <w:rFonts w:ascii="宋体" w:hAnsi="宋体" w:eastAsia="宋体" w:cs="宋体"/>
          <w:szCs w:val="24"/>
        </w:rPr>
        <w:t>4</w:t>
      </w:r>
      <w:r>
        <w:rPr>
          <w:rFonts w:hint="eastAsia" w:ascii="宋体" w:hAnsi="宋体" w:eastAsia="宋体" w:cs="宋体"/>
          <w:szCs w:val="24"/>
        </w:rPr>
        <w:t>．投标</w:t>
      </w:r>
      <w:r>
        <w:tab/>
      </w:r>
      <w:r>
        <w:fldChar w:fldCharType="begin"/>
      </w:r>
      <w:r>
        <w:instrText xml:space="preserve"> PAGEREF _Toc30860 \h </w:instrText>
      </w:r>
      <w:r>
        <w:fldChar w:fldCharType="separate"/>
      </w:r>
      <w:r>
        <w:t>13</w:t>
      </w:r>
      <w:r>
        <w:fldChar w:fldCharType="end"/>
      </w:r>
      <w:r>
        <w:fldChar w:fldCharType="end"/>
      </w:r>
    </w:p>
    <w:p>
      <w:pPr>
        <w:pStyle w:val="35"/>
        <w:tabs>
          <w:tab w:val="right" w:leader="dot" w:pos="9354"/>
        </w:tabs>
      </w:pPr>
      <w:r>
        <w:fldChar w:fldCharType="begin"/>
      </w:r>
      <w:r>
        <w:instrText xml:space="preserve"> HYPERLINK \l _Toc32403 </w:instrText>
      </w:r>
      <w:r>
        <w:fldChar w:fldCharType="separate"/>
      </w:r>
      <w:r>
        <w:rPr>
          <w:rFonts w:ascii="宋体" w:hAnsi="宋体" w:eastAsia="宋体" w:cs="宋体"/>
          <w:szCs w:val="24"/>
        </w:rPr>
        <w:t>5</w:t>
      </w:r>
      <w:r>
        <w:rPr>
          <w:rFonts w:hint="eastAsia" w:ascii="宋体" w:hAnsi="宋体" w:eastAsia="宋体" w:cs="宋体"/>
          <w:szCs w:val="24"/>
        </w:rPr>
        <w:t>．开标</w:t>
      </w:r>
      <w:r>
        <w:tab/>
      </w:r>
      <w:r>
        <w:fldChar w:fldCharType="begin"/>
      </w:r>
      <w:r>
        <w:instrText xml:space="preserve"> PAGEREF _Toc32403 \h </w:instrText>
      </w:r>
      <w:r>
        <w:fldChar w:fldCharType="separate"/>
      </w:r>
      <w:r>
        <w:t>14</w:t>
      </w:r>
      <w:r>
        <w:fldChar w:fldCharType="end"/>
      </w:r>
      <w:r>
        <w:fldChar w:fldCharType="end"/>
      </w:r>
    </w:p>
    <w:p>
      <w:pPr>
        <w:pStyle w:val="35"/>
        <w:tabs>
          <w:tab w:val="right" w:leader="dot" w:pos="9354"/>
        </w:tabs>
      </w:pPr>
      <w:r>
        <w:fldChar w:fldCharType="begin"/>
      </w:r>
      <w:r>
        <w:instrText xml:space="preserve"> HYPERLINK \l _Toc937 </w:instrText>
      </w:r>
      <w:r>
        <w:fldChar w:fldCharType="separate"/>
      </w:r>
      <w:r>
        <w:rPr>
          <w:rFonts w:ascii="宋体" w:hAnsi="宋体" w:eastAsia="宋体" w:cs="宋体"/>
          <w:szCs w:val="24"/>
        </w:rPr>
        <w:t>6</w:t>
      </w:r>
      <w:r>
        <w:rPr>
          <w:rFonts w:hint="eastAsia" w:ascii="宋体" w:hAnsi="宋体" w:eastAsia="宋体" w:cs="宋体"/>
          <w:szCs w:val="24"/>
        </w:rPr>
        <w:t>．评标</w:t>
      </w:r>
      <w:r>
        <w:tab/>
      </w:r>
      <w:r>
        <w:fldChar w:fldCharType="begin"/>
      </w:r>
      <w:r>
        <w:instrText xml:space="preserve"> PAGEREF _Toc937 \h </w:instrText>
      </w:r>
      <w:r>
        <w:fldChar w:fldCharType="separate"/>
      </w:r>
      <w:r>
        <w:t>15</w:t>
      </w:r>
      <w:r>
        <w:fldChar w:fldCharType="end"/>
      </w:r>
      <w:r>
        <w:fldChar w:fldCharType="end"/>
      </w:r>
    </w:p>
    <w:p>
      <w:pPr>
        <w:pStyle w:val="35"/>
        <w:tabs>
          <w:tab w:val="right" w:leader="dot" w:pos="9354"/>
        </w:tabs>
      </w:pPr>
      <w:r>
        <w:fldChar w:fldCharType="begin"/>
      </w:r>
      <w:r>
        <w:instrText xml:space="preserve"> HYPERLINK \l _Toc13589 </w:instrText>
      </w:r>
      <w:r>
        <w:fldChar w:fldCharType="separate"/>
      </w:r>
      <w:r>
        <w:rPr>
          <w:rFonts w:ascii="宋体" w:hAnsi="宋体" w:eastAsia="宋体" w:cs="宋体"/>
          <w:szCs w:val="24"/>
        </w:rPr>
        <w:t xml:space="preserve">7． </w:t>
      </w:r>
      <w:r>
        <w:rPr>
          <w:rFonts w:hint="eastAsia" w:ascii="宋体" w:hAnsi="宋体" w:eastAsia="宋体" w:cs="宋体"/>
          <w:szCs w:val="24"/>
        </w:rPr>
        <w:t>定标及合同授予</w:t>
      </w:r>
      <w:r>
        <w:tab/>
      </w:r>
      <w:r>
        <w:fldChar w:fldCharType="begin"/>
      </w:r>
      <w:r>
        <w:instrText xml:space="preserve"> PAGEREF _Toc13589 \h </w:instrText>
      </w:r>
      <w:r>
        <w:fldChar w:fldCharType="separate"/>
      </w:r>
      <w:r>
        <w:t>15</w:t>
      </w:r>
      <w:r>
        <w:fldChar w:fldCharType="end"/>
      </w:r>
      <w:r>
        <w:fldChar w:fldCharType="end"/>
      </w:r>
    </w:p>
    <w:p>
      <w:pPr>
        <w:pStyle w:val="35"/>
        <w:tabs>
          <w:tab w:val="right" w:leader="dot" w:pos="9354"/>
        </w:tabs>
      </w:pPr>
      <w:r>
        <w:fldChar w:fldCharType="begin"/>
      </w:r>
      <w:r>
        <w:instrText xml:space="preserve"> HYPERLINK \l _Toc3132 </w:instrText>
      </w:r>
      <w:r>
        <w:fldChar w:fldCharType="separate"/>
      </w:r>
      <w:r>
        <w:rPr>
          <w:rFonts w:ascii="宋体" w:hAnsi="宋体" w:eastAsia="宋体" w:cs="宋体"/>
          <w:szCs w:val="24"/>
        </w:rPr>
        <w:t>8</w:t>
      </w:r>
      <w:r>
        <w:rPr>
          <w:rFonts w:hint="eastAsia" w:ascii="宋体" w:hAnsi="宋体" w:eastAsia="宋体" w:cs="宋体"/>
          <w:szCs w:val="24"/>
        </w:rPr>
        <w:t>．纪律和监督</w:t>
      </w:r>
      <w:r>
        <w:tab/>
      </w:r>
      <w:r>
        <w:fldChar w:fldCharType="begin"/>
      </w:r>
      <w:r>
        <w:instrText xml:space="preserve"> PAGEREF _Toc3132 \h </w:instrText>
      </w:r>
      <w:r>
        <w:fldChar w:fldCharType="separate"/>
      </w:r>
      <w:r>
        <w:t>17</w:t>
      </w:r>
      <w:r>
        <w:fldChar w:fldCharType="end"/>
      </w:r>
      <w:r>
        <w:fldChar w:fldCharType="end"/>
      </w:r>
    </w:p>
    <w:p>
      <w:pPr>
        <w:pStyle w:val="28"/>
        <w:tabs>
          <w:tab w:val="right" w:leader="dot" w:pos="9354"/>
        </w:tabs>
      </w:pPr>
      <w:r>
        <w:fldChar w:fldCharType="begin"/>
      </w:r>
      <w:r>
        <w:instrText xml:space="preserve"> HYPERLINK \l _Toc31799 </w:instrText>
      </w:r>
      <w:r>
        <w:fldChar w:fldCharType="separate"/>
      </w:r>
      <w:r>
        <w:rPr>
          <w:rFonts w:hint="eastAsia" w:ascii="宋体" w:hAnsi="宋体" w:eastAsia="宋体" w:cs="宋体"/>
          <w:szCs w:val="24"/>
        </w:rPr>
        <w:t>第二章 评标办法</w:t>
      </w:r>
      <w:r>
        <w:tab/>
      </w:r>
      <w:r>
        <w:fldChar w:fldCharType="begin"/>
      </w:r>
      <w:r>
        <w:instrText xml:space="preserve"> PAGEREF _Toc31799 \h </w:instrText>
      </w:r>
      <w:r>
        <w:fldChar w:fldCharType="separate"/>
      </w:r>
      <w:r>
        <w:t>18</w:t>
      </w:r>
      <w:r>
        <w:fldChar w:fldCharType="end"/>
      </w:r>
      <w:r>
        <w:fldChar w:fldCharType="end"/>
      </w:r>
    </w:p>
    <w:p>
      <w:pPr>
        <w:pStyle w:val="20"/>
        <w:tabs>
          <w:tab w:val="right" w:leader="dot" w:pos="9354"/>
        </w:tabs>
      </w:pPr>
      <w:r>
        <w:fldChar w:fldCharType="begin"/>
      </w:r>
      <w:r>
        <w:instrText xml:space="preserve"> HYPERLINK \l _Toc25824 </w:instrText>
      </w:r>
      <w:r>
        <w:fldChar w:fldCharType="separate"/>
      </w:r>
      <w:r>
        <w:rPr>
          <w:rFonts w:hint="eastAsia" w:ascii="宋体" w:hAnsi="宋体" w:eastAsia="宋体" w:cs="宋体"/>
          <w:szCs w:val="24"/>
        </w:rPr>
        <w:t>评标办法前附表</w:t>
      </w:r>
      <w:r>
        <w:tab/>
      </w:r>
      <w:r>
        <w:fldChar w:fldCharType="begin"/>
      </w:r>
      <w:r>
        <w:instrText xml:space="preserve"> PAGEREF _Toc25824 \h </w:instrText>
      </w:r>
      <w:r>
        <w:fldChar w:fldCharType="separate"/>
      </w:r>
      <w:r>
        <w:t>18</w:t>
      </w:r>
      <w:r>
        <w:fldChar w:fldCharType="end"/>
      </w:r>
      <w:r>
        <w:fldChar w:fldCharType="end"/>
      </w:r>
    </w:p>
    <w:p>
      <w:pPr>
        <w:pStyle w:val="20"/>
        <w:tabs>
          <w:tab w:val="right" w:leader="dot" w:pos="9354"/>
        </w:tabs>
      </w:pPr>
      <w:r>
        <w:fldChar w:fldCharType="begin"/>
      </w:r>
      <w:r>
        <w:instrText xml:space="preserve"> HYPERLINK \l _Toc30274 </w:instrText>
      </w:r>
      <w:r>
        <w:fldChar w:fldCharType="separate"/>
      </w:r>
      <w:r>
        <w:rPr>
          <w:rFonts w:ascii="宋体" w:hAnsi="宋体" w:eastAsia="宋体" w:cs="宋体"/>
          <w:szCs w:val="24"/>
        </w:rPr>
        <w:t xml:space="preserve">1. </w:t>
      </w:r>
      <w:r>
        <w:rPr>
          <w:rFonts w:hint="eastAsia" w:ascii="宋体" w:hAnsi="宋体" w:eastAsia="宋体" w:cs="宋体"/>
          <w:szCs w:val="24"/>
        </w:rPr>
        <w:t>评标方法</w:t>
      </w:r>
      <w:r>
        <w:tab/>
      </w:r>
      <w:r>
        <w:fldChar w:fldCharType="begin"/>
      </w:r>
      <w:r>
        <w:instrText xml:space="preserve"> PAGEREF _Toc30274 \h </w:instrText>
      </w:r>
      <w:r>
        <w:fldChar w:fldCharType="separate"/>
      </w:r>
      <w:r>
        <w:t>20</w:t>
      </w:r>
      <w:r>
        <w:fldChar w:fldCharType="end"/>
      </w:r>
      <w:r>
        <w:fldChar w:fldCharType="end"/>
      </w:r>
    </w:p>
    <w:p>
      <w:pPr>
        <w:pStyle w:val="20"/>
        <w:tabs>
          <w:tab w:val="right" w:leader="dot" w:pos="9354"/>
        </w:tabs>
      </w:pPr>
      <w:r>
        <w:fldChar w:fldCharType="begin"/>
      </w:r>
      <w:r>
        <w:instrText xml:space="preserve"> HYPERLINK \l _Toc16500 </w:instrText>
      </w:r>
      <w:r>
        <w:fldChar w:fldCharType="separate"/>
      </w:r>
      <w:r>
        <w:rPr>
          <w:rFonts w:ascii="宋体" w:hAnsi="宋体" w:eastAsia="宋体" w:cs="宋体"/>
          <w:szCs w:val="24"/>
        </w:rPr>
        <w:t xml:space="preserve">2. </w:t>
      </w:r>
      <w:r>
        <w:rPr>
          <w:rFonts w:hint="eastAsia" w:ascii="宋体" w:hAnsi="宋体" w:eastAsia="宋体" w:cs="宋体"/>
          <w:szCs w:val="24"/>
        </w:rPr>
        <w:t>评审标准</w:t>
      </w:r>
      <w:r>
        <w:tab/>
      </w:r>
      <w:r>
        <w:fldChar w:fldCharType="begin"/>
      </w:r>
      <w:r>
        <w:instrText xml:space="preserve"> PAGEREF _Toc16500 \h </w:instrText>
      </w:r>
      <w:r>
        <w:fldChar w:fldCharType="separate"/>
      </w:r>
      <w:r>
        <w:t>20</w:t>
      </w:r>
      <w:r>
        <w:fldChar w:fldCharType="end"/>
      </w:r>
      <w:r>
        <w:fldChar w:fldCharType="end"/>
      </w:r>
    </w:p>
    <w:p>
      <w:pPr>
        <w:pStyle w:val="20"/>
        <w:tabs>
          <w:tab w:val="right" w:leader="dot" w:pos="9354"/>
        </w:tabs>
      </w:pPr>
      <w:r>
        <w:fldChar w:fldCharType="begin"/>
      </w:r>
      <w:r>
        <w:instrText xml:space="preserve"> HYPERLINK \l _Toc1415 </w:instrText>
      </w:r>
      <w:r>
        <w:fldChar w:fldCharType="separate"/>
      </w:r>
      <w:r>
        <w:rPr>
          <w:rFonts w:ascii="宋体" w:hAnsi="宋体" w:eastAsia="宋体" w:cs="宋体"/>
          <w:szCs w:val="24"/>
        </w:rPr>
        <w:t xml:space="preserve">3. </w:t>
      </w:r>
      <w:r>
        <w:rPr>
          <w:rFonts w:hint="eastAsia" w:ascii="宋体" w:hAnsi="宋体" w:eastAsia="宋体" w:cs="宋体"/>
          <w:szCs w:val="24"/>
        </w:rPr>
        <w:t>评标程序</w:t>
      </w:r>
      <w:r>
        <w:tab/>
      </w:r>
      <w:r>
        <w:fldChar w:fldCharType="begin"/>
      </w:r>
      <w:r>
        <w:instrText xml:space="preserve"> PAGEREF _Toc1415 \h </w:instrText>
      </w:r>
      <w:r>
        <w:fldChar w:fldCharType="separate"/>
      </w:r>
      <w:r>
        <w:t>20</w:t>
      </w:r>
      <w:r>
        <w:fldChar w:fldCharType="end"/>
      </w:r>
      <w:r>
        <w:fldChar w:fldCharType="end"/>
      </w:r>
    </w:p>
    <w:p>
      <w:pPr>
        <w:pStyle w:val="28"/>
        <w:tabs>
          <w:tab w:val="right" w:leader="dot" w:pos="9354"/>
        </w:tabs>
      </w:pPr>
      <w:r>
        <w:fldChar w:fldCharType="begin"/>
      </w:r>
      <w:r>
        <w:instrText xml:space="preserve"> HYPERLINK \l _Toc12103 </w:instrText>
      </w:r>
      <w:r>
        <w:fldChar w:fldCharType="separate"/>
      </w:r>
      <w:r>
        <w:rPr>
          <w:rFonts w:hint="eastAsia" w:ascii="宋体" w:hAnsi="宋体" w:eastAsia="宋体" w:cs="宋体"/>
          <w:szCs w:val="24"/>
        </w:rPr>
        <w:t>第三章 合同条款及格式</w:t>
      </w:r>
      <w:r>
        <w:tab/>
      </w:r>
      <w:r>
        <w:fldChar w:fldCharType="begin"/>
      </w:r>
      <w:r>
        <w:instrText xml:space="preserve"> PAGEREF _Toc12103 \h </w:instrText>
      </w:r>
      <w:r>
        <w:fldChar w:fldCharType="separate"/>
      </w:r>
      <w:r>
        <w:t>25</w:t>
      </w:r>
      <w:r>
        <w:fldChar w:fldCharType="end"/>
      </w:r>
      <w:r>
        <w:fldChar w:fldCharType="end"/>
      </w:r>
    </w:p>
    <w:p>
      <w:pPr>
        <w:pStyle w:val="28"/>
        <w:tabs>
          <w:tab w:val="right" w:leader="dot" w:pos="9354"/>
        </w:tabs>
      </w:pPr>
      <w:r>
        <w:fldChar w:fldCharType="begin"/>
      </w:r>
      <w:r>
        <w:instrText xml:space="preserve"> HYPERLINK \l _Toc23376 </w:instrText>
      </w:r>
      <w:r>
        <w:fldChar w:fldCharType="separate"/>
      </w:r>
      <w:r>
        <w:rPr>
          <w:rFonts w:hint="eastAsia" w:ascii="宋体" w:hAnsi="宋体" w:eastAsia="宋体" w:cs="宋体"/>
          <w:szCs w:val="24"/>
        </w:rPr>
        <w:t>（仅供参考，以采购人实际签订为准）</w:t>
      </w:r>
      <w:r>
        <w:tab/>
      </w:r>
      <w:r>
        <w:fldChar w:fldCharType="begin"/>
      </w:r>
      <w:r>
        <w:instrText xml:space="preserve"> PAGEREF _Toc23376 \h </w:instrText>
      </w:r>
      <w:r>
        <w:fldChar w:fldCharType="separate"/>
      </w:r>
      <w:r>
        <w:t>25</w:t>
      </w:r>
      <w:r>
        <w:fldChar w:fldCharType="end"/>
      </w:r>
      <w:r>
        <w:fldChar w:fldCharType="end"/>
      </w:r>
    </w:p>
    <w:p>
      <w:pPr>
        <w:pStyle w:val="35"/>
        <w:tabs>
          <w:tab w:val="right" w:leader="dot" w:pos="9354"/>
        </w:tabs>
      </w:pPr>
      <w:r>
        <w:fldChar w:fldCharType="begin"/>
      </w:r>
      <w:r>
        <w:instrText xml:space="preserve"> HYPERLINK \l _Toc24262 </w:instrText>
      </w:r>
      <w:r>
        <w:fldChar w:fldCharType="separate"/>
      </w:r>
      <w:r>
        <w:rPr>
          <w:rFonts w:hint="eastAsia" w:ascii="宋体" w:hAnsi="宋体" w:cs="宋体"/>
          <w:szCs w:val="24"/>
        </w:rPr>
        <w:t>一、合同协议书格式</w:t>
      </w:r>
      <w:r>
        <w:tab/>
      </w:r>
      <w:r>
        <w:fldChar w:fldCharType="begin"/>
      </w:r>
      <w:r>
        <w:instrText xml:space="preserve"> PAGEREF _Toc24262 \h </w:instrText>
      </w:r>
      <w:r>
        <w:fldChar w:fldCharType="separate"/>
      </w:r>
      <w:r>
        <w:t>25</w:t>
      </w:r>
      <w:r>
        <w:fldChar w:fldCharType="end"/>
      </w:r>
      <w:r>
        <w:fldChar w:fldCharType="end"/>
      </w:r>
    </w:p>
    <w:p>
      <w:pPr>
        <w:pStyle w:val="35"/>
        <w:tabs>
          <w:tab w:val="right" w:leader="dot" w:pos="9354"/>
        </w:tabs>
      </w:pPr>
      <w:r>
        <w:fldChar w:fldCharType="begin"/>
      </w:r>
      <w:r>
        <w:instrText xml:space="preserve"> HYPERLINK \l _Toc29537 </w:instrText>
      </w:r>
      <w:r>
        <w:fldChar w:fldCharType="separate"/>
      </w:r>
      <w:r>
        <w:rPr>
          <w:rFonts w:hint="eastAsia" w:ascii="宋体" w:hAnsi="宋体" w:cs="宋体"/>
          <w:szCs w:val="24"/>
        </w:rPr>
        <w:t>二、合同条款通用部分</w:t>
      </w:r>
      <w:r>
        <w:tab/>
      </w:r>
      <w:r>
        <w:fldChar w:fldCharType="begin"/>
      </w:r>
      <w:r>
        <w:instrText xml:space="preserve"> PAGEREF _Toc29537 \h </w:instrText>
      </w:r>
      <w:r>
        <w:fldChar w:fldCharType="separate"/>
      </w:r>
      <w:r>
        <w:t>26</w:t>
      </w:r>
      <w:r>
        <w:fldChar w:fldCharType="end"/>
      </w:r>
      <w:r>
        <w:fldChar w:fldCharType="end"/>
      </w:r>
    </w:p>
    <w:p>
      <w:pPr>
        <w:pStyle w:val="35"/>
        <w:tabs>
          <w:tab w:val="right" w:leader="dot" w:pos="9354"/>
        </w:tabs>
      </w:pPr>
      <w:r>
        <w:fldChar w:fldCharType="begin"/>
      </w:r>
      <w:r>
        <w:instrText xml:space="preserve"> HYPERLINK \l _Toc30606 </w:instrText>
      </w:r>
      <w:r>
        <w:fldChar w:fldCharType="separate"/>
      </w:r>
      <w:r>
        <w:rPr>
          <w:rFonts w:hint="eastAsia" w:ascii="宋体" w:hAnsi="宋体" w:cs="宋体"/>
          <w:szCs w:val="24"/>
        </w:rPr>
        <w:t>三、合同条款专用部分</w:t>
      </w:r>
      <w:r>
        <w:tab/>
      </w:r>
      <w:r>
        <w:fldChar w:fldCharType="begin"/>
      </w:r>
      <w:r>
        <w:instrText xml:space="preserve"> PAGEREF _Toc30606 \h </w:instrText>
      </w:r>
      <w:r>
        <w:fldChar w:fldCharType="separate"/>
      </w:r>
      <w:r>
        <w:t>42</w:t>
      </w:r>
      <w:r>
        <w:fldChar w:fldCharType="end"/>
      </w:r>
      <w:r>
        <w:fldChar w:fldCharType="end"/>
      </w:r>
    </w:p>
    <w:p>
      <w:pPr>
        <w:pStyle w:val="28"/>
        <w:tabs>
          <w:tab w:val="right" w:leader="dot" w:pos="9354"/>
        </w:tabs>
      </w:pPr>
      <w:r>
        <w:fldChar w:fldCharType="begin"/>
      </w:r>
      <w:r>
        <w:instrText xml:space="preserve"> HYPERLINK \l _Toc2107 </w:instrText>
      </w:r>
      <w:r>
        <w:fldChar w:fldCharType="separate"/>
      </w:r>
      <w:r>
        <w:rPr>
          <w:rFonts w:hint="eastAsia" w:ascii="宋体" w:hAnsi="宋体" w:eastAsia="宋体" w:cs="宋体"/>
          <w:szCs w:val="24"/>
        </w:rPr>
        <w:t>第四章 采购标准和要求</w:t>
      </w:r>
      <w:r>
        <w:tab/>
      </w:r>
      <w:r>
        <w:fldChar w:fldCharType="begin"/>
      </w:r>
      <w:r>
        <w:instrText xml:space="preserve"> PAGEREF _Toc2107 \h </w:instrText>
      </w:r>
      <w:r>
        <w:fldChar w:fldCharType="separate"/>
      </w:r>
      <w:r>
        <w:t>48</w:t>
      </w:r>
      <w:r>
        <w:fldChar w:fldCharType="end"/>
      </w:r>
      <w:r>
        <w:fldChar w:fldCharType="end"/>
      </w:r>
    </w:p>
    <w:p>
      <w:pPr>
        <w:pStyle w:val="28"/>
        <w:tabs>
          <w:tab w:val="right" w:leader="dot" w:pos="9354"/>
        </w:tabs>
      </w:pPr>
      <w:r>
        <w:fldChar w:fldCharType="begin"/>
      </w:r>
      <w:r>
        <w:instrText xml:space="preserve"> HYPERLINK \l _Toc5387 </w:instrText>
      </w:r>
      <w:r>
        <w:fldChar w:fldCharType="separate"/>
      </w:r>
      <w:r>
        <w:rPr>
          <w:rFonts w:hint="eastAsia" w:ascii="宋体" w:hAnsi="宋体" w:eastAsia="宋体" w:cs="宋体"/>
          <w:szCs w:val="24"/>
        </w:rPr>
        <w:t>第五章 竞争性磋商响应文件格式</w:t>
      </w:r>
      <w:r>
        <w:tab/>
      </w:r>
      <w:r>
        <w:fldChar w:fldCharType="begin"/>
      </w:r>
      <w:r>
        <w:instrText xml:space="preserve"> PAGEREF _Toc5387 \h </w:instrText>
      </w:r>
      <w:r>
        <w:fldChar w:fldCharType="separate"/>
      </w:r>
      <w:r>
        <w:t>56</w:t>
      </w:r>
      <w:r>
        <w:fldChar w:fldCharType="end"/>
      </w:r>
      <w:r>
        <w:fldChar w:fldCharType="end"/>
      </w:r>
    </w:p>
    <w:p>
      <w:pPr>
        <w:pStyle w:val="35"/>
        <w:tabs>
          <w:tab w:val="right" w:leader="dot" w:pos="9354"/>
        </w:tabs>
      </w:pPr>
      <w:r>
        <w:fldChar w:fldCharType="begin"/>
      </w:r>
      <w:r>
        <w:instrText xml:space="preserve"> HYPERLINK \l _Toc11972 </w:instrText>
      </w:r>
      <w:r>
        <w:fldChar w:fldCharType="separate"/>
      </w:r>
      <w:r>
        <w:rPr>
          <w:rFonts w:hint="eastAsia" w:ascii="宋体" w:hAnsi="宋体" w:cs="宋体"/>
          <w:kern w:val="0"/>
          <w:szCs w:val="24"/>
        </w:rPr>
        <w:t>（一）投标函</w:t>
      </w:r>
      <w:r>
        <w:tab/>
      </w:r>
      <w:r>
        <w:fldChar w:fldCharType="begin"/>
      </w:r>
      <w:r>
        <w:instrText xml:space="preserve"> PAGEREF _Toc11972 \h </w:instrText>
      </w:r>
      <w:r>
        <w:fldChar w:fldCharType="separate"/>
      </w:r>
      <w:r>
        <w:t>58</w:t>
      </w:r>
      <w:r>
        <w:fldChar w:fldCharType="end"/>
      </w:r>
      <w:r>
        <w:fldChar w:fldCharType="end"/>
      </w:r>
    </w:p>
    <w:p>
      <w:pPr>
        <w:pStyle w:val="35"/>
        <w:tabs>
          <w:tab w:val="right" w:leader="dot" w:pos="9354"/>
        </w:tabs>
      </w:pPr>
      <w:r>
        <w:fldChar w:fldCharType="begin"/>
      </w:r>
      <w:r>
        <w:instrText xml:space="preserve"> HYPERLINK \l _Toc27403 </w:instrText>
      </w:r>
      <w:r>
        <w:fldChar w:fldCharType="separate"/>
      </w:r>
      <w:r>
        <w:rPr>
          <w:rFonts w:hint="eastAsia" w:ascii="宋体" w:hAnsi="宋体" w:cs="宋体"/>
          <w:kern w:val="0"/>
          <w:szCs w:val="24"/>
        </w:rPr>
        <w:t>（二）法定人代表身份证明及法定代表人授权委托书</w:t>
      </w:r>
      <w:r>
        <w:tab/>
      </w:r>
      <w:r>
        <w:fldChar w:fldCharType="begin"/>
      </w:r>
      <w:r>
        <w:instrText xml:space="preserve"> PAGEREF _Toc27403 \h </w:instrText>
      </w:r>
      <w:r>
        <w:fldChar w:fldCharType="separate"/>
      </w:r>
      <w:r>
        <w:t>59</w:t>
      </w:r>
      <w:r>
        <w:fldChar w:fldCharType="end"/>
      </w:r>
      <w:r>
        <w:fldChar w:fldCharType="end"/>
      </w:r>
    </w:p>
    <w:p>
      <w:pPr>
        <w:pStyle w:val="35"/>
        <w:tabs>
          <w:tab w:val="right" w:leader="dot" w:pos="9354"/>
        </w:tabs>
      </w:pPr>
      <w:r>
        <w:fldChar w:fldCharType="begin"/>
      </w:r>
      <w:r>
        <w:instrText xml:space="preserve"> HYPERLINK \l _Toc31758 </w:instrText>
      </w:r>
      <w:r>
        <w:fldChar w:fldCharType="separate"/>
      </w:r>
      <w:r>
        <w:rPr>
          <w:rFonts w:hint="eastAsia" w:ascii="宋体" w:hAnsi="宋体" w:cs="宋体"/>
          <w:kern w:val="0"/>
          <w:szCs w:val="24"/>
        </w:rPr>
        <w:t>（三）开标一览表</w:t>
      </w:r>
      <w:r>
        <w:tab/>
      </w:r>
      <w:r>
        <w:fldChar w:fldCharType="begin"/>
      </w:r>
      <w:r>
        <w:instrText xml:space="preserve"> PAGEREF _Toc31758 \h </w:instrText>
      </w:r>
      <w:r>
        <w:fldChar w:fldCharType="separate"/>
      </w:r>
      <w:r>
        <w:t>61</w:t>
      </w:r>
      <w:r>
        <w:fldChar w:fldCharType="end"/>
      </w:r>
      <w:r>
        <w:fldChar w:fldCharType="end"/>
      </w:r>
    </w:p>
    <w:p>
      <w:pPr>
        <w:pStyle w:val="35"/>
        <w:tabs>
          <w:tab w:val="right" w:leader="dot" w:pos="9354"/>
        </w:tabs>
      </w:pPr>
      <w:r>
        <w:fldChar w:fldCharType="begin"/>
      </w:r>
      <w:r>
        <w:instrText xml:space="preserve"> HYPERLINK \l _Toc4335 </w:instrText>
      </w:r>
      <w:r>
        <w:fldChar w:fldCharType="separate"/>
      </w:r>
      <w:r>
        <w:rPr>
          <w:rFonts w:hint="eastAsia" w:ascii="宋体" w:hAnsi="宋体" w:cs="宋体"/>
          <w:kern w:val="0"/>
          <w:szCs w:val="24"/>
        </w:rPr>
        <w:t>（四）偏离表</w:t>
      </w:r>
      <w:r>
        <w:tab/>
      </w:r>
      <w:r>
        <w:fldChar w:fldCharType="begin"/>
      </w:r>
      <w:r>
        <w:instrText xml:space="preserve"> PAGEREF _Toc4335 \h </w:instrText>
      </w:r>
      <w:r>
        <w:fldChar w:fldCharType="separate"/>
      </w:r>
      <w:r>
        <w:t>64</w:t>
      </w:r>
      <w:r>
        <w:fldChar w:fldCharType="end"/>
      </w:r>
      <w:r>
        <w:fldChar w:fldCharType="end"/>
      </w:r>
    </w:p>
    <w:p>
      <w:pPr>
        <w:pStyle w:val="35"/>
        <w:tabs>
          <w:tab w:val="right" w:leader="dot" w:pos="9354"/>
        </w:tabs>
      </w:pPr>
      <w:r>
        <w:fldChar w:fldCharType="begin"/>
      </w:r>
      <w:r>
        <w:instrText xml:space="preserve"> HYPERLINK \l _Toc28224 </w:instrText>
      </w:r>
      <w:r>
        <w:fldChar w:fldCharType="separate"/>
      </w:r>
      <w:r>
        <w:rPr>
          <w:rFonts w:hint="eastAsia" w:ascii="宋体" w:hAnsi="宋体" w:cs="宋体"/>
          <w:kern w:val="0"/>
          <w:szCs w:val="24"/>
        </w:rPr>
        <w:t>（五）投标保证金提交证明</w:t>
      </w:r>
      <w:r>
        <w:tab/>
      </w:r>
      <w:r>
        <w:fldChar w:fldCharType="begin"/>
      </w:r>
      <w:r>
        <w:instrText xml:space="preserve"> PAGEREF _Toc28224 \h </w:instrText>
      </w:r>
      <w:r>
        <w:fldChar w:fldCharType="separate"/>
      </w:r>
      <w:r>
        <w:t>65</w:t>
      </w:r>
      <w:r>
        <w:fldChar w:fldCharType="end"/>
      </w:r>
      <w:r>
        <w:fldChar w:fldCharType="end"/>
      </w:r>
    </w:p>
    <w:p>
      <w:pPr>
        <w:pStyle w:val="35"/>
        <w:tabs>
          <w:tab w:val="right" w:leader="dot" w:pos="9354"/>
        </w:tabs>
      </w:pPr>
      <w:r>
        <w:fldChar w:fldCharType="begin"/>
      </w:r>
      <w:r>
        <w:instrText xml:space="preserve"> HYPERLINK \l _Toc26463 </w:instrText>
      </w:r>
      <w:r>
        <w:fldChar w:fldCharType="separate"/>
      </w:r>
      <w:r>
        <w:rPr>
          <w:rFonts w:hint="eastAsia" w:ascii="宋体" w:hAnsi="宋体" w:cs="宋体"/>
          <w:kern w:val="0"/>
          <w:szCs w:val="24"/>
        </w:rPr>
        <w:t>（六）供应商资格证明文件</w:t>
      </w:r>
      <w:r>
        <w:tab/>
      </w:r>
      <w:r>
        <w:fldChar w:fldCharType="begin"/>
      </w:r>
      <w:r>
        <w:instrText xml:space="preserve"> PAGEREF _Toc26463 \h </w:instrText>
      </w:r>
      <w:r>
        <w:fldChar w:fldCharType="separate"/>
      </w:r>
      <w:r>
        <w:t>66</w:t>
      </w:r>
      <w:r>
        <w:fldChar w:fldCharType="end"/>
      </w:r>
      <w:r>
        <w:fldChar w:fldCharType="end"/>
      </w:r>
    </w:p>
    <w:p>
      <w:pPr>
        <w:pStyle w:val="35"/>
        <w:tabs>
          <w:tab w:val="right" w:leader="dot" w:pos="9354"/>
        </w:tabs>
      </w:pPr>
      <w:r>
        <w:fldChar w:fldCharType="begin"/>
      </w:r>
      <w:r>
        <w:instrText xml:space="preserve"> HYPERLINK \l _Toc23034 </w:instrText>
      </w:r>
      <w:r>
        <w:fldChar w:fldCharType="separate"/>
      </w:r>
      <w:r>
        <w:rPr>
          <w:rFonts w:hint="eastAsia" w:ascii="宋体" w:hAnsi="宋体" w:cs="宋体"/>
          <w:kern w:val="0"/>
          <w:szCs w:val="24"/>
        </w:rPr>
        <w:t>（七）项目整体服务方案</w:t>
      </w:r>
      <w:r>
        <w:tab/>
      </w:r>
      <w:r>
        <w:fldChar w:fldCharType="begin"/>
      </w:r>
      <w:r>
        <w:instrText xml:space="preserve"> PAGEREF _Toc23034 \h </w:instrText>
      </w:r>
      <w:r>
        <w:fldChar w:fldCharType="separate"/>
      </w:r>
      <w:r>
        <w:t>73</w:t>
      </w:r>
      <w:r>
        <w:fldChar w:fldCharType="end"/>
      </w:r>
      <w:r>
        <w:fldChar w:fldCharType="end"/>
      </w:r>
    </w:p>
    <w:p>
      <w:pPr>
        <w:pStyle w:val="35"/>
        <w:tabs>
          <w:tab w:val="right" w:leader="dot" w:pos="9354"/>
        </w:tabs>
      </w:pPr>
      <w:r>
        <w:fldChar w:fldCharType="begin"/>
      </w:r>
      <w:r>
        <w:instrText xml:space="preserve"> HYPERLINK \l _Toc29872 </w:instrText>
      </w:r>
      <w:r>
        <w:fldChar w:fldCharType="separate"/>
      </w:r>
      <w:r>
        <w:rPr>
          <w:rFonts w:hint="eastAsia" w:ascii="宋体" w:hAnsi="宋体" w:cs="宋体"/>
          <w:kern w:val="0"/>
          <w:szCs w:val="24"/>
        </w:rPr>
        <w:t>（八）售后服务承诺书</w:t>
      </w:r>
      <w:r>
        <w:tab/>
      </w:r>
      <w:r>
        <w:fldChar w:fldCharType="begin"/>
      </w:r>
      <w:r>
        <w:instrText xml:space="preserve"> PAGEREF _Toc29872 \h </w:instrText>
      </w:r>
      <w:r>
        <w:fldChar w:fldCharType="separate"/>
      </w:r>
      <w:r>
        <w:t>77</w:t>
      </w:r>
      <w:r>
        <w:fldChar w:fldCharType="end"/>
      </w:r>
      <w:r>
        <w:fldChar w:fldCharType="end"/>
      </w:r>
    </w:p>
    <w:p>
      <w:pPr>
        <w:pStyle w:val="35"/>
        <w:tabs>
          <w:tab w:val="right" w:leader="dot" w:pos="9354"/>
        </w:tabs>
      </w:pPr>
      <w:r>
        <w:fldChar w:fldCharType="begin"/>
      </w:r>
      <w:r>
        <w:instrText xml:space="preserve"> HYPERLINK \l _Toc26539 </w:instrText>
      </w:r>
      <w:r>
        <w:fldChar w:fldCharType="separate"/>
      </w:r>
      <w:r>
        <w:rPr>
          <w:rFonts w:hint="eastAsia" w:ascii="宋体" w:hAnsi="宋体" w:cs="宋体"/>
          <w:kern w:val="0"/>
          <w:szCs w:val="24"/>
        </w:rPr>
        <w:t>（九）</w:t>
      </w:r>
      <w:r>
        <w:rPr>
          <w:rFonts w:hint="eastAsia" w:ascii="宋体" w:hAnsi="宋体" w:cs="宋体"/>
          <w:szCs w:val="24"/>
        </w:rPr>
        <w:t>其他需要提交的资料</w:t>
      </w:r>
      <w:r>
        <w:tab/>
      </w:r>
      <w:r>
        <w:fldChar w:fldCharType="begin"/>
      </w:r>
      <w:r>
        <w:instrText xml:space="preserve"> PAGEREF _Toc26539 \h </w:instrText>
      </w:r>
      <w:r>
        <w:fldChar w:fldCharType="separate"/>
      </w:r>
      <w:r>
        <w:t>78</w:t>
      </w:r>
      <w:r>
        <w:fldChar w:fldCharType="end"/>
      </w:r>
      <w:r>
        <w:fldChar w:fldCharType="end"/>
      </w:r>
    </w:p>
    <w:p>
      <w:pPr>
        <w:pStyle w:val="35"/>
        <w:tabs>
          <w:tab w:val="right" w:leader="dot" w:pos="9354"/>
        </w:tabs>
      </w:pPr>
      <w:r>
        <w:fldChar w:fldCharType="begin"/>
      </w:r>
      <w:r>
        <w:instrText xml:space="preserve"> HYPERLINK \l _Toc13655 </w:instrText>
      </w:r>
      <w:r>
        <w:fldChar w:fldCharType="separate"/>
      </w:r>
      <w:r>
        <w:rPr>
          <w:rFonts w:hint="eastAsia" w:ascii="宋体" w:hAnsi="宋体" w:cs="宋体"/>
          <w:kern w:val="0"/>
          <w:szCs w:val="24"/>
        </w:rPr>
        <w:t>（十）投标单位反商业贿赂承诺书</w:t>
      </w:r>
      <w:r>
        <w:tab/>
      </w:r>
      <w:r>
        <w:fldChar w:fldCharType="begin"/>
      </w:r>
      <w:r>
        <w:instrText xml:space="preserve"> PAGEREF _Toc13655 \h </w:instrText>
      </w:r>
      <w:r>
        <w:fldChar w:fldCharType="separate"/>
      </w:r>
      <w:r>
        <w:t>79</w:t>
      </w:r>
      <w:r>
        <w:fldChar w:fldCharType="end"/>
      </w:r>
      <w:r>
        <w:fldChar w:fldCharType="end"/>
      </w:r>
    </w:p>
    <w:p>
      <w:r>
        <w:fldChar w:fldCharType="end"/>
      </w:r>
    </w:p>
    <w:p/>
    <w:p>
      <w:pPr>
        <w:rPr>
          <w:b/>
          <w:sz w:val="28"/>
          <w:u w:val="single"/>
        </w:rPr>
      </w:pPr>
      <w:r>
        <w:rPr>
          <w:rFonts w:hint="eastAsia"/>
          <w:b/>
          <w:sz w:val="28"/>
          <w:u w:val="single"/>
        </w:rPr>
        <w:br w:type="page"/>
      </w:r>
    </w:p>
    <w:p>
      <w:pPr>
        <w:spacing w:line="360" w:lineRule="auto"/>
        <w:jc w:val="center"/>
        <w:outlineLvl w:val="0"/>
        <w:rPr>
          <w:b/>
          <w:sz w:val="28"/>
          <w:u w:val="single"/>
        </w:rPr>
      </w:pPr>
      <w:bookmarkStart w:id="0" w:name="_Toc11812"/>
      <w:r>
        <w:rPr>
          <w:rFonts w:hint="eastAsia"/>
          <w:b/>
          <w:sz w:val="28"/>
          <w:u w:val="single"/>
          <w:lang w:eastAsia="zh-CN"/>
        </w:rPr>
        <w:t>新疆维吾尔自治区工会干部学校新建教学楼宿舍配套用品采购项目</w:t>
      </w:r>
      <w:r>
        <w:rPr>
          <w:rFonts w:hint="eastAsia"/>
          <w:b/>
          <w:sz w:val="28"/>
          <w:u w:val="single"/>
        </w:rPr>
        <w:t>竞争性磋商</w:t>
      </w:r>
      <w:r>
        <w:rPr>
          <w:b/>
          <w:sz w:val="28"/>
          <w:u w:val="single"/>
        </w:rPr>
        <w:t>公告</w:t>
      </w:r>
      <w:bookmarkEnd w:id="0"/>
    </w:p>
    <w:p>
      <w:pPr>
        <w:spacing w:line="360" w:lineRule="auto"/>
      </w:pPr>
      <w:r>
        <w:rPr>
          <w:rFonts w:hint="eastAsia"/>
          <w:sz w:val="24"/>
          <w:szCs w:val="24"/>
          <w:u w:val="single"/>
          <w:lang w:eastAsia="zh-CN"/>
        </w:rPr>
        <w:t>新疆维吾尔自治区工会干部学校新建教学楼宿舍配套用品采购项目</w:t>
      </w:r>
      <w:r>
        <w:rPr>
          <w:sz w:val="24"/>
          <w:szCs w:val="24"/>
        </w:rPr>
        <w:t>招标的潜在</w:t>
      </w:r>
      <w:r>
        <w:rPr>
          <w:rFonts w:hint="eastAsia"/>
          <w:sz w:val="24"/>
          <w:szCs w:val="24"/>
        </w:rPr>
        <w:t>供应商</w:t>
      </w:r>
      <w:r>
        <w:rPr>
          <w:sz w:val="24"/>
          <w:szCs w:val="24"/>
        </w:rPr>
        <w:t>应在新疆锐智时代建设工程项目管理有限公司（乌鲁木齐市水磨沟区立井街198号丽景名都商住10号楼21楼2115室）获取竞争性磋商文件，并于</w:t>
      </w:r>
      <w:r>
        <w:rPr>
          <w:rFonts w:hint="eastAsia"/>
          <w:sz w:val="24"/>
          <w:szCs w:val="24"/>
          <w:u w:val="single"/>
        </w:rPr>
        <w:t xml:space="preserve"> 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lang w:val="en-US" w:eastAsia="zh-CN"/>
        </w:rPr>
        <w:t>01</w:t>
      </w:r>
      <w:r>
        <w:rPr>
          <w:rFonts w:hint="eastAsia"/>
          <w:sz w:val="24"/>
          <w:szCs w:val="24"/>
          <w:u w:val="none"/>
          <w:lang w:val="en-US" w:eastAsia="zh-CN"/>
        </w:rPr>
        <w:t>月</w:t>
      </w:r>
      <w:r>
        <w:rPr>
          <w:rFonts w:hint="eastAsia"/>
          <w:sz w:val="24"/>
          <w:szCs w:val="24"/>
          <w:u w:val="single"/>
          <w:lang w:val="en-US" w:eastAsia="zh-CN"/>
        </w:rPr>
        <w:t>24</w:t>
      </w:r>
      <w:r>
        <w:rPr>
          <w:sz w:val="24"/>
          <w:szCs w:val="24"/>
        </w:rPr>
        <w:t>日</w:t>
      </w:r>
      <w:r>
        <w:rPr>
          <w:rFonts w:hint="eastAsia"/>
          <w:sz w:val="24"/>
          <w:szCs w:val="24"/>
          <w:u w:val="single"/>
          <w:lang w:val="en-US" w:eastAsia="zh-CN"/>
        </w:rPr>
        <w:t>11</w:t>
      </w:r>
      <w:r>
        <w:rPr>
          <w:rFonts w:hint="eastAsia"/>
          <w:sz w:val="24"/>
          <w:szCs w:val="24"/>
          <w:u w:val="single"/>
        </w:rPr>
        <w:t>:00</w:t>
      </w:r>
      <w:r>
        <w:rPr>
          <w:sz w:val="24"/>
          <w:szCs w:val="24"/>
        </w:rPr>
        <w:t>（北京时间）前递交</w:t>
      </w:r>
      <w:r>
        <w:rPr>
          <w:rFonts w:hint="eastAsia"/>
          <w:sz w:val="24"/>
          <w:szCs w:val="24"/>
        </w:rPr>
        <w:t>响应</w:t>
      </w:r>
      <w:r>
        <w:rPr>
          <w:sz w:val="24"/>
          <w:szCs w:val="24"/>
        </w:rPr>
        <w:t>文件。</w:t>
      </w:r>
    </w:p>
    <w:p>
      <w:pPr>
        <w:spacing w:line="360" w:lineRule="auto"/>
        <w:rPr>
          <w:sz w:val="24"/>
          <w:szCs w:val="24"/>
        </w:rPr>
      </w:pPr>
      <w:r>
        <w:rPr>
          <w:rFonts w:hint="eastAsia"/>
          <w:sz w:val="24"/>
          <w:szCs w:val="24"/>
        </w:rPr>
        <w:t>一、项目基本情况</w:t>
      </w:r>
    </w:p>
    <w:p>
      <w:pPr>
        <w:spacing w:line="360" w:lineRule="auto"/>
        <w:rPr>
          <w:sz w:val="24"/>
          <w:szCs w:val="24"/>
          <w:u w:val="single"/>
        </w:rPr>
      </w:pPr>
      <w:r>
        <w:rPr>
          <w:sz w:val="24"/>
          <w:szCs w:val="24"/>
        </w:rPr>
        <w:t>项目编号：</w:t>
      </w:r>
    </w:p>
    <w:p>
      <w:pPr>
        <w:spacing w:line="360" w:lineRule="auto"/>
        <w:rPr>
          <w:rFonts w:hint="eastAsia" w:eastAsiaTheme="minorEastAsia"/>
          <w:sz w:val="24"/>
          <w:szCs w:val="24"/>
          <w:lang w:eastAsia="zh-CN"/>
        </w:rPr>
      </w:pPr>
      <w:r>
        <w:rPr>
          <w:sz w:val="24"/>
          <w:szCs w:val="24"/>
        </w:rPr>
        <w:t>项目名称：</w:t>
      </w:r>
      <w:r>
        <w:rPr>
          <w:rFonts w:hint="eastAsia"/>
          <w:sz w:val="24"/>
          <w:szCs w:val="24"/>
          <w:u w:val="single"/>
          <w:lang w:eastAsia="zh-CN"/>
        </w:rPr>
        <w:t>新疆维吾尔自治区工会干部学校新建教学楼宿舍配套用品采购项目</w:t>
      </w:r>
    </w:p>
    <w:p>
      <w:pPr>
        <w:spacing w:line="360" w:lineRule="auto"/>
        <w:rPr>
          <w:sz w:val="24"/>
          <w:szCs w:val="24"/>
        </w:rPr>
      </w:pPr>
      <w:r>
        <w:rPr>
          <w:sz w:val="24"/>
          <w:szCs w:val="24"/>
        </w:rPr>
        <w:t>采购方式：</w:t>
      </w:r>
      <w:r>
        <w:rPr>
          <w:rFonts w:hint="eastAsia"/>
          <w:sz w:val="24"/>
          <w:szCs w:val="24"/>
          <w:u w:val="single"/>
        </w:rPr>
        <w:t>竞争性磋商</w:t>
      </w:r>
    </w:p>
    <w:p>
      <w:pPr>
        <w:spacing w:line="360" w:lineRule="auto"/>
        <w:rPr>
          <w:rFonts w:hint="default" w:eastAsiaTheme="minorEastAsia"/>
          <w:sz w:val="24"/>
          <w:szCs w:val="24"/>
          <w:lang w:val="en-US" w:eastAsia="zh-CN"/>
        </w:rPr>
      </w:pPr>
      <w:r>
        <w:rPr>
          <w:sz w:val="24"/>
          <w:szCs w:val="24"/>
        </w:rPr>
        <w:t>预算金额（元）：</w:t>
      </w:r>
      <w:r>
        <w:rPr>
          <w:rFonts w:hint="eastAsia"/>
          <w:sz w:val="24"/>
          <w:szCs w:val="24"/>
          <w:u w:val="single"/>
          <w:lang w:val="en-US" w:eastAsia="zh-CN"/>
        </w:rPr>
        <w:t>700000</w:t>
      </w:r>
    </w:p>
    <w:p>
      <w:pPr>
        <w:spacing w:line="360" w:lineRule="auto"/>
        <w:rPr>
          <w:sz w:val="24"/>
          <w:szCs w:val="24"/>
        </w:rPr>
      </w:pPr>
      <w:r>
        <w:rPr>
          <w:sz w:val="24"/>
          <w:szCs w:val="24"/>
        </w:rPr>
        <w:t>最高限价（元）：</w:t>
      </w:r>
      <w:r>
        <w:rPr>
          <w:rFonts w:hint="eastAsia"/>
          <w:sz w:val="24"/>
          <w:szCs w:val="24"/>
          <w:u w:val="single"/>
          <w:lang w:val="en-US" w:eastAsia="zh-CN"/>
        </w:rPr>
        <w:t>700000</w:t>
      </w:r>
    </w:p>
    <w:p>
      <w:pPr>
        <w:spacing w:line="360" w:lineRule="auto"/>
        <w:rPr>
          <w:sz w:val="24"/>
          <w:szCs w:val="24"/>
        </w:rPr>
      </w:pPr>
      <w:r>
        <w:rPr>
          <w:sz w:val="24"/>
          <w:szCs w:val="24"/>
        </w:rPr>
        <w:t>采购需求：</w:t>
      </w:r>
      <w:r>
        <w:rPr>
          <w:sz w:val="24"/>
          <w:szCs w:val="24"/>
          <w:lang w:val="en-US" w:eastAsia="zh-CN"/>
        </w:rPr>
        <w:t>布草、窗帘、用品</w:t>
      </w:r>
    </w:p>
    <w:p>
      <w:pPr>
        <w:spacing w:line="360" w:lineRule="auto"/>
        <w:rPr>
          <w:sz w:val="24"/>
          <w:szCs w:val="24"/>
        </w:rPr>
      </w:pPr>
      <w:r>
        <w:rPr>
          <w:rFonts w:hint="eastAsia"/>
          <w:sz w:val="24"/>
          <w:szCs w:val="24"/>
        </w:rPr>
        <w:t>标项一</w:t>
      </w:r>
    </w:p>
    <w:p>
      <w:pPr>
        <w:spacing w:line="360" w:lineRule="auto"/>
        <w:jc w:val="left"/>
        <w:rPr>
          <w:sz w:val="24"/>
          <w:szCs w:val="24"/>
        </w:rPr>
      </w:pPr>
      <w:r>
        <w:rPr>
          <w:sz w:val="24"/>
          <w:szCs w:val="24"/>
        </w:rPr>
        <w:t>数量:</w:t>
      </w:r>
    </w:p>
    <w:p>
      <w:pPr>
        <w:spacing w:line="360" w:lineRule="auto"/>
        <w:jc w:val="left"/>
        <w:rPr>
          <w:sz w:val="24"/>
          <w:szCs w:val="24"/>
          <w:u w:val="single"/>
        </w:rPr>
      </w:pPr>
      <w:r>
        <w:rPr>
          <w:sz w:val="24"/>
          <w:szCs w:val="24"/>
        </w:rPr>
        <w:t>预算金额（元）:</w:t>
      </w:r>
      <w:r>
        <w:rPr>
          <w:rFonts w:hint="eastAsia"/>
          <w:sz w:val="24"/>
          <w:szCs w:val="24"/>
          <w:u w:val="single"/>
          <w:lang w:val="en-US" w:eastAsia="zh-CN"/>
        </w:rPr>
        <w:t>700000</w:t>
      </w:r>
    </w:p>
    <w:p>
      <w:pPr>
        <w:spacing w:line="360" w:lineRule="auto"/>
        <w:rPr>
          <w:sz w:val="24"/>
          <w:szCs w:val="24"/>
        </w:rPr>
      </w:pPr>
      <w:r>
        <w:rPr>
          <w:sz w:val="24"/>
          <w:szCs w:val="24"/>
        </w:rPr>
        <w:t>简要规格描述或项目基本概况介绍、用途：</w:t>
      </w:r>
      <w:r>
        <w:rPr>
          <w:rFonts w:hint="eastAsia"/>
          <w:sz w:val="24"/>
          <w:szCs w:val="24"/>
          <w:lang w:eastAsia="zh-CN"/>
        </w:rPr>
        <w:t>新疆维吾尔自治区工会干部学校新建教学楼宿舍配套用品采购</w:t>
      </w:r>
    </w:p>
    <w:p>
      <w:pPr>
        <w:spacing w:line="360" w:lineRule="auto"/>
        <w:rPr>
          <w:rFonts w:eastAsia="宋体" w:cs="Arial" w:asciiTheme="minorEastAsia" w:hAnsiTheme="minorEastAsia"/>
          <w:kern w:val="0"/>
          <w:sz w:val="24"/>
          <w:szCs w:val="24"/>
        </w:rPr>
      </w:pPr>
      <w:r>
        <w:rPr>
          <w:sz w:val="24"/>
          <w:szCs w:val="24"/>
        </w:rPr>
        <w:t>合同履约期限：</w:t>
      </w:r>
      <w:r>
        <w:rPr>
          <w:rFonts w:hint="eastAsia" w:eastAsia="宋体" w:cs="Arial" w:asciiTheme="minorEastAsia" w:hAnsiTheme="minorEastAsia"/>
          <w:color w:val="auto"/>
          <w:kern w:val="0"/>
          <w:sz w:val="24"/>
          <w:szCs w:val="24"/>
        </w:rPr>
        <w:t>自接到采购人通知之日起</w:t>
      </w:r>
      <w:r>
        <w:rPr>
          <w:rFonts w:hint="eastAsia" w:eastAsia="宋体" w:cs="Arial" w:asciiTheme="minorEastAsia" w:hAnsiTheme="minorEastAsia"/>
          <w:color w:val="auto"/>
          <w:kern w:val="0"/>
          <w:sz w:val="24"/>
          <w:szCs w:val="24"/>
          <w:lang w:val="en-US" w:eastAsia="zh-CN"/>
        </w:rPr>
        <w:t>10</w:t>
      </w:r>
      <w:r>
        <w:rPr>
          <w:rFonts w:hint="eastAsia" w:eastAsia="宋体" w:cs="Arial" w:asciiTheme="minorEastAsia" w:hAnsiTheme="minorEastAsia"/>
          <w:color w:val="auto"/>
          <w:kern w:val="0"/>
          <w:sz w:val="24"/>
          <w:szCs w:val="24"/>
        </w:rPr>
        <w:t>日历日内完成。</w:t>
      </w:r>
    </w:p>
    <w:p>
      <w:pPr>
        <w:spacing w:line="360" w:lineRule="auto"/>
        <w:rPr>
          <w:sz w:val="24"/>
          <w:szCs w:val="24"/>
        </w:rPr>
      </w:pPr>
      <w:r>
        <w:rPr>
          <w:sz w:val="24"/>
          <w:szCs w:val="24"/>
        </w:rPr>
        <w:t>本项目（否）接受联合体投标。</w:t>
      </w:r>
    </w:p>
    <w:p>
      <w:pPr>
        <w:spacing w:line="360" w:lineRule="auto"/>
        <w:rPr>
          <w:sz w:val="24"/>
          <w:szCs w:val="24"/>
        </w:rPr>
      </w:pPr>
      <w:r>
        <w:rPr>
          <w:rFonts w:hint="eastAsia"/>
          <w:sz w:val="24"/>
          <w:szCs w:val="24"/>
        </w:rPr>
        <w:t>二、申请人的资格要求：</w:t>
      </w:r>
    </w:p>
    <w:p>
      <w:pPr>
        <w:spacing w:line="360" w:lineRule="auto"/>
        <w:rPr>
          <w:sz w:val="24"/>
          <w:szCs w:val="24"/>
        </w:rPr>
      </w:pPr>
      <w:r>
        <w:rPr>
          <w:sz w:val="24"/>
          <w:szCs w:val="24"/>
        </w:rPr>
        <w:t>1.满足《中华人民共和国政府采购法》第二十二条规定；</w:t>
      </w:r>
    </w:p>
    <w:p>
      <w:pPr>
        <w:spacing w:line="360" w:lineRule="auto"/>
        <w:rPr>
          <w:sz w:val="24"/>
          <w:szCs w:val="24"/>
        </w:rPr>
      </w:pPr>
      <w:r>
        <w:rPr>
          <w:sz w:val="24"/>
          <w:szCs w:val="24"/>
        </w:rPr>
        <w:t>2.落实政府采购政策需满足的资格要求：(1)《政府采购促进中小企业发展管理办法》（财库〔2020〕46号）； (2)《财政部、司法部关于政府采购支持监狱企业发展有关问题的通知》（财库〔2014〕68号）； (3)《财政部、民政部中国残疾人联合会关于促进残疾人就业政府采购政策的通知》（财库〔2017〕141号）。</w:t>
      </w:r>
    </w:p>
    <w:p>
      <w:pPr>
        <w:spacing w:line="360" w:lineRule="auto"/>
        <w:rPr>
          <w:sz w:val="24"/>
          <w:szCs w:val="24"/>
        </w:rPr>
      </w:pPr>
      <w:r>
        <w:rPr>
          <w:sz w:val="24"/>
          <w:szCs w:val="24"/>
        </w:rPr>
        <w:t>3.本项目的特定资格要求：</w:t>
      </w:r>
    </w:p>
    <w:p>
      <w:pPr>
        <w:spacing w:line="360" w:lineRule="auto"/>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w:t>
      </w:r>
      <w:r>
        <w:rPr>
          <w:rFonts w:hint="eastAsia" w:asciiTheme="minorEastAsia" w:hAnsiTheme="minorEastAsia"/>
          <w:sz w:val="24"/>
          <w:szCs w:val="24"/>
        </w:rPr>
        <w:t>供应商须</w:t>
      </w:r>
      <w:r>
        <w:rPr>
          <w:rFonts w:asciiTheme="minorEastAsia" w:hAnsiTheme="minorEastAsia"/>
          <w:sz w:val="24"/>
          <w:szCs w:val="24"/>
        </w:rPr>
        <w:t xml:space="preserve">符合《中华人民共和国政府采购法》第二十二条款的规定； </w:t>
      </w:r>
    </w:p>
    <w:p>
      <w:pPr>
        <w:spacing w:line="360" w:lineRule="auto"/>
        <w:rPr>
          <w:rFonts w:asciiTheme="minorEastAsia" w:hAnsiTheme="minorEastAsia"/>
          <w:sz w:val="24"/>
          <w:szCs w:val="24"/>
        </w:rPr>
      </w:pPr>
      <w:r>
        <w:rPr>
          <w:rFonts w:hint="eastAsia" w:asciiTheme="minorEastAsia" w:hAnsiTheme="minorEastAsia"/>
          <w:sz w:val="24"/>
          <w:szCs w:val="24"/>
        </w:rPr>
        <w:t>2）、供应商须</w:t>
      </w:r>
      <w:r>
        <w:rPr>
          <w:rFonts w:asciiTheme="minorEastAsia" w:hAnsiTheme="minorEastAsia"/>
          <w:sz w:val="24"/>
          <w:szCs w:val="24"/>
        </w:rPr>
        <w:t>具有有效的营业执照、组织机构代码、税务登记证（已实行三证合一的企业仅提供有社会信用代码的新版营业执照）；具有独立订立合同的权利，能独立承担民事责任的能力；</w:t>
      </w:r>
    </w:p>
    <w:p>
      <w:pPr>
        <w:spacing w:line="360" w:lineRule="auto"/>
        <w:rPr>
          <w:rFonts w:asciiTheme="minorEastAsia" w:hAnsi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sz w:val="24"/>
          <w:szCs w:val="24"/>
        </w:rPr>
        <w:t>）、供应商须是在“信用中国”（www.creditchina.gov.cn）和中国政府采购网（www.ccgp.gov.cn）网站上未被列入失信被执行人、重大税收违法案件当事人名单以及政府采购严重违法失信行为记录名单；</w:t>
      </w:r>
    </w:p>
    <w:p>
      <w:pPr>
        <w:spacing w:line="360" w:lineRule="auto"/>
        <w:rPr>
          <w:rFonts w:asciiTheme="minorEastAsia" w:hAnsi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sz w:val="24"/>
          <w:szCs w:val="24"/>
        </w:rPr>
        <w:t>）、本采购项目不允许联合体投标。</w:t>
      </w:r>
    </w:p>
    <w:p>
      <w:pPr>
        <w:spacing w:line="360" w:lineRule="auto"/>
        <w:rPr>
          <w:rFonts w:asciiTheme="minorEastAsia" w:hAnsiTheme="minorEastAsia"/>
          <w:sz w:val="24"/>
          <w:szCs w:val="24"/>
        </w:rPr>
      </w:pPr>
      <w:r>
        <w:rPr>
          <w:rFonts w:hint="eastAsia" w:asciiTheme="minorEastAsia" w:hAnsiTheme="minorEastAsia"/>
          <w:sz w:val="24"/>
          <w:szCs w:val="24"/>
          <w:lang w:val="en-US" w:eastAsia="zh-CN"/>
        </w:rPr>
        <w:t>5</w:t>
      </w:r>
      <w:r>
        <w:rPr>
          <w:rFonts w:hint="eastAsia" w:asciiTheme="minorEastAsia" w:hAnsiTheme="minorEastAsia"/>
          <w:sz w:val="24"/>
          <w:szCs w:val="24"/>
        </w:rPr>
        <w:t>）</w:t>
      </w:r>
      <w:r>
        <w:rPr>
          <w:rFonts w:asciiTheme="minorEastAsia" w:hAnsiTheme="minorEastAsia"/>
          <w:sz w:val="24"/>
          <w:szCs w:val="24"/>
        </w:rPr>
        <w:t>、其他说明：①与采购人存在利害关系可能影响招标公正性的法人、其他组织或者个人，不得参加投标。②</w:t>
      </w:r>
      <w:r>
        <w:rPr>
          <w:rFonts w:hint="eastAsia" w:asciiTheme="minorEastAsia" w:hAnsiTheme="minorEastAsia"/>
          <w:sz w:val="24"/>
          <w:szCs w:val="24"/>
        </w:rPr>
        <w:t>单位负责人为同一人或者存在控股、管理关系的不同供应商，不得参加同一合同项下的政府采购活动。</w:t>
      </w:r>
      <w:r>
        <w:rPr>
          <w:rFonts w:asciiTheme="minorEastAsia" w:hAnsiTheme="minorEastAsia"/>
          <w:sz w:val="24"/>
          <w:szCs w:val="24"/>
        </w:rPr>
        <w:t>违反前两款规定的，相关投标均无效。</w:t>
      </w:r>
    </w:p>
    <w:p>
      <w:pPr>
        <w:spacing w:line="360" w:lineRule="auto"/>
        <w:rPr>
          <w:sz w:val="24"/>
          <w:szCs w:val="24"/>
        </w:rPr>
      </w:pPr>
      <w:r>
        <w:rPr>
          <w:rFonts w:hint="eastAsia"/>
          <w:sz w:val="24"/>
          <w:szCs w:val="24"/>
        </w:rPr>
        <w:t>三、获取竞争性磋商文件</w:t>
      </w:r>
    </w:p>
    <w:p>
      <w:pPr>
        <w:spacing w:line="360" w:lineRule="auto"/>
        <w:rPr>
          <w:sz w:val="24"/>
          <w:szCs w:val="24"/>
        </w:rPr>
      </w:pPr>
      <w:r>
        <w:rPr>
          <w:sz w:val="24"/>
          <w:szCs w:val="24"/>
        </w:rPr>
        <w:t>时间</w:t>
      </w:r>
      <w:r>
        <w:rPr>
          <w:rFonts w:hint="eastAsia"/>
          <w:sz w:val="24"/>
          <w:szCs w:val="24"/>
        </w:rPr>
        <w:t>：</w:t>
      </w:r>
      <w:r>
        <w:rPr>
          <w:rFonts w:hint="eastAsia"/>
          <w:sz w:val="24"/>
          <w:szCs w:val="24"/>
          <w:u w:val="single"/>
        </w:rPr>
        <w:t xml:space="preserve"> 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sz w:val="24"/>
          <w:szCs w:val="24"/>
        </w:rPr>
        <w:t>月</w:t>
      </w:r>
      <w:r>
        <w:rPr>
          <w:rFonts w:hint="eastAsia"/>
          <w:sz w:val="24"/>
          <w:szCs w:val="24"/>
          <w:u w:val="single"/>
          <w:lang w:val="en-US" w:eastAsia="zh-CN"/>
        </w:rPr>
        <w:t xml:space="preserve"> 12 </w:t>
      </w:r>
      <w:r>
        <w:rPr>
          <w:rFonts w:hint="eastAsia"/>
          <w:sz w:val="24"/>
          <w:szCs w:val="24"/>
          <w:u w:val="single"/>
        </w:rPr>
        <w:t xml:space="preserve"> </w:t>
      </w:r>
      <w:r>
        <w:rPr>
          <w:sz w:val="24"/>
          <w:szCs w:val="24"/>
        </w:rPr>
        <w:t>日至</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rPr>
        <w:t>月</w:t>
      </w:r>
      <w:r>
        <w:rPr>
          <w:rFonts w:hint="eastAsia"/>
          <w:sz w:val="24"/>
          <w:szCs w:val="24"/>
          <w:u w:val="single"/>
          <w:lang w:val="en-US" w:eastAsia="zh-CN"/>
        </w:rPr>
        <w:t xml:space="preserve"> 18 </w:t>
      </w:r>
      <w:r>
        <w:rPr>
          <w:sz w:val="24"/>
          <w:szCs w:val="24"/>
        </w:rPr>
        <w:t>日，每天上午10:00至13:30，下午15:30至18:</w:t>
      </w:r>
      <w:r>
        <w:rPr>
          <w:rFonts w:hint="eastAsia"/>
          <w:sz w:val="24"/>
          <w:szCs w:val="24"/>
        </w:rPr>
        <w:t>0</w:t>
      </w:r>
      <w:r>
        <w:rPr>
          <w:sz w:val="24"/>
          <w:szCs w:val="24"/>
        </w:rPr>
        <w:t>0（北京时间，法定节假日除外）</w:t>
      </w:r>
    </w:p>
    <w:p>
      <w:pPr>
        <w:spacing w:line="360" w:lineRule="auto"/>
        <w:rPr>
          <w:sz w:val="24"/>
          <w:szCs w:val="24"/>
        </w:rPr>
      </w:pPr>
      <w:r>
        <w:rPr>
          <w:sz w:val="24"/>
          <w:szCs w:val="24"/>
        </w:rPr>
        <w:t>地点：新疆锐智时代建设工程项目管理有限公司（乌鲁木齐市水磨沟区立井街198号丽景名都商住10号楼21楼2115室）</w:t>
      </w:r>
    </w:p>
    <w:p>
      <w:pPr>
        <w:spacing w:line="360" w:lineRule="auto"/>
        <w:rPr>
          <w:sz w:val="24"/>
          <w:szCs w:val="24"/>
        </w:rPr>
      </w:pPr>
      <w:r>
        <w:rPr>
          <w:sz w:val="24"/>
          <w:szCs w:val="24"/>
        </w:rPr>
        <w:t>方式：</w:t>
      </w:r>
      <w:r>
        <w:rPr>
          <w:sz w:val="24"/>
          <w:szCs w:val="24"/>
          <w:u w:val="single"/>
        </w:rPr>
        <w:t>线下获取</w:t>
      </w:r>
    </w:p>
    <w:p>
      <w:pPr>
        <w:spacing w:line="360" w:lineRule="auto"/>
        <w:rPr>
          <w:sz w:val="24"/>
          <w:szCs w:val="24"/>
        </w:rPr>
      </w:pPr>
      <w:r>
        <w:rPr>
          <w:sz w:val="24"/>
          <w:szCs w:val="24"/>
        </w:rPr>
        <w:t>售价（元）：</w:t>
      </w:r>
      <w:r>
        <w:rPr>
          <w:rFonts w:hint="eastAsia"/>
          <w:sz w:val="24"/>
          <w:szCs w:val="24"/>
          <w:u w:val="single"/>
        </w:rPr>
        <w:t>3</w:t>
      </w:r>
      <w:r>
        <w:rPr>
          <w:sz w:val="24"/>
          <w:szCs w:val="24"/>
          <w:u w:val="single"/>
        </w:rPr>
        <w:t>00</w:t>
      </w:r>
    </w:p>
    <w:p>
      <w:pPr>
        <w:spacing w:line="360" w:lineRule="auto"/>
        <w:rPr>
          <w:sz w:val="24"/>
          <w:szCs w:val="24"/>
        </w:rPr>
      </w:pPr>
      <w:r>
        <w:rPr>
          <w:rFonts w:hint="eastAsia"/>
          <w:sz w:val="24"/>
          <w:szCs w:val="24"/>
        </w:rPr>
        <w:t>四、提交响应文件截止时间、开标时间和地点</w:t>
      </w:r>
    </w:p>
    <w:p>
      <w:pPr>
        <w:spacing w:line="360" w:lineRule="auto"/>
        <w:rPr>
          <w:sz w:val="24"/>
          <w:szCs w:val="24"/>
        </w:rPr>
      </w:pPr>
      <w:r>
        <w:rPr>
          <w:sz w:val="24"/>
          <w:szCs w:val="24"/>
        </w:rPr>
        <w:t>提交响应文件截止时间：</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rPr>
        <w:t>月</w:t>
      </w:r>
      <w:r>
        <w:rPr>
          <w:rFonts w:hint="eastAsia"/>
          <w:sz w:val="24"/>
          <w:szCs w:val="24"/>
          <w:u w:val="single"/>
        </w:rPr>
        <w:t xml:space="preserve"> </w:t>
      </w:r>
      <w:r>
        <w:rPr>
          <w:rFonts w:hint="eastAsia"/>
          <w:sz w:val="24"/>
          <w:szCs w:val="24"/>
          <w:u w:val="single"/>
          <w:lang w:val="en-US" w:eastAsia="zh-CN"/>
        </w:rPr>
        <w:t xml:space="preserve">24 </w:t>
      </w:r>
      <w:r>
        <w:rPr>
          <w:sz w:val="24"/>
          <w:szCs w:val="24"/>
        </w:rPr>
        <w:t>日</w:t>
      </w:r>
      <w:r>
        <w:rPr>
          <w:rFonts w:hint="eastAsia"/>
          <w:sz w:val="24"/>
          <w:szCs w:val="24"/>
          <w:lang w:val="en-US" w:eastAsia="zh-CN"/>
        </w:rPr>
        <w:t>11</w:t>
      </w:r>
      <w:r>
        <w:rPr>
          <w:sz w:val="24"/>
          <w:szCs w:val="24"/>
        </w:rPr>
        <w:t>:00（北京时间）</w:t>
      </w:r>
    </w:p>
    <w:p>
      <w:pPr>
        <w:spacing w:line="360" w:lineRule="auto"/>
        <w:rPr>
          <w:sz w:val="24"/>
          <w:szCs w:val="24"/>
        </w:rPr>
      </w:pPr>
      <w:r>
        <w:rPr>
          <w:rFonts w:hint="eastAsia"/>
          <w:sz w:val="24"/>
          <w:szCs w:val="24"/>
        </w:rPr>
        <w:t>提交</w:t>
      </w:r>
      <w:r>
        <w:rPr>
          <w:sz w:val="24"/>
          <w:szCs w:val="24"/>
        </w:rPr>
        <w:t>地点：新疆锐智时代建设工程项目管理有限公司（乌鲁木齐市水磨沟区立井街198号丽景名都商住10号楼21楼2110室）</w:t>
      </w:r>
    </w:p>
    <w:p>
      <w:pPr>
        <w:spacing w:line="360" w:lineRule="auto"/>
        <w:rPr>
          <w:sz w:val="24"/>
          <w:szCs w:val="24"/>
        </w:rPr>
      </w:pPr>
      <w:r>
        <w:rPr>
          <w:sz w:val="24"/>
          <w:szCs w:val="24"/>
        </w:rPr>
        <w:t>开标时间：</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sz w:val="24"/>
          <w:szCs w:val="24"/>
        </w:rPr>
        <w:t>月</w:t>
      </w:r>
      <w:r>
        <w:rPr>
          <w:rFonts w:hint="eastAsia"/>
          <w:sz w:val="24"/>
          <w:szCs w:val="24"/>
          <w:u w:val="single"/>
        </w:rPr>
        <w:t xml:space="preserve"> </w:t>
      </w:r>
      <w:r>
        <w:rPr>
          <w:rFonts w:hint="eastAsia"/>
          <w:sz w:val="24"/>
          <w:szCs w:val="24"/>
          <w:u w:val="single"/>
          <w:lang w:val="en-US" w:eastAsia="zh-CN"/>
        </w:rPr>
        <w:t xml:space="preserve">24 </w:t>
      </w:r>
      <w:r>
        <w:rPr>
          <w:sz w:val="24"/>
          <w:szCs w:val="24"/>
        </w:rPr>
        <w:t>日</w:t>
      </w:r>
      <w:r>
        <w:rPr>
          <w:rFonts w:hint="eastAsia"/>
          <w:sz w:val="24"/>
          <w:szCs w:val="24"/>
          <w:lang w:val="en-US" w:eastAsia="zh-CN"/>
        </w:rPr>
        <w:t>11</w:t>
      </w:r>
      <w:r>
        <w:rPr>
          <w:sz w:val="24"/>
          <w:szCs w:val="24"/>
        </w:rPr>
        <w:t>:00（北京时间）</w:t>
      </w:r>
    </w:p>
    <w:p>
      <w:pPr>
        <w:spacing w:line="360" w:lineRule="auto"/>
        <w:rPr>
          <w:sz w:val="24"/>
          <w:szCs w:val="24"/>
        </w:rPr>
      </w:pPr>
      <w:r>
        <w:rPr>
          <w:sz w:val="24"/>
          <w:szCs w:val="24"/>
        </w:rPr>
        <w:t>开标地点：新疆锐智时代建设工程项目管理有限公司（乌鲁木齐市水磨沟区立井街198号丽景名都商住10号楼21楼2110室）</w:t>
      </w:r>
    </w:p>
    <w:p>
      <w:pPr>
        <w:spacing w:line="360" w:lineRule="auto"/>
        <w:rPr>
          <w:sz w:val="24"/>
          <w:szCs w:val="24"/>
        </w:rPr>
      </w:pPr>
      <w:r>
        <w:rPr>
          <w:rFonts w:hint="eastAsia"/>
          <w:sz w:val="24"/>
          <w:szCs w:val="24"/>
        </w:rPr>
        <w:t>五、公告期限</w:t>
      </w:r>
    </w:p>
    <w:p>
      <w:pPr>
        <w:spacing w:line="360" w:lineRule="auto"/>
        <w:rPr>
          <w:sz w:val="24"/>
          <w:szCs w:val="24"/>
        </w:rPr>
      </w:pPr>
      <w:r>
        <w:rPr>
          <w:sz w:val="24"/>
          <w:szCs w:val="24"/>
        </w:rPr>
        <w:t>自本公告发布之日起</w:t>
      </w:r>
      <w:r>
        <w:rPr>
          <w:rFonts w:hint="eastAsia"/>
          <w:sz w:val="24"/>
          <w:szCs w:val="24"/>
        </w:rPr>
        <w:t>5</w:t>
      </w:r>
      <w:r>
        <w:rPr>
          <w:sz w:val="24"/>
          <w:szCs w:val="24"/>
        </w:rPr>
        <w:t>个工作日。</w:t>
      </w:r>
    </w:p>
    <w:p>
      <w:pPr>
        <w:spacing w:line="360" w:lineRule="auto"/>
        <w:rPr>
          <w:sz w:val="24"/>
          <w:szCs w:val="24"/>
        </w:rPr>
      </w:pPr>
      <w:r>
        <w:rPr>
          <w:rFonts w:hint="eastAsia"/>
          <w:sz w:val="24"/>
          <w:szCs w:val="24"/>
        </w:rPr>
        <w:t>六、其他补充事宜</w:t>
      </w:r>
    </w:p>
    <w:p>
      <w:pPr>
        <w:spacing w:line="360" w:lineRule="auto"/>
        <w:rPr>
          <w:sz w:val="24"/>
          <w:szCs w:val="24"/>
        </w:rPr>
      </w:pPr>
      <w:r>
        <w:rPr>
          <w:rFonts w:hint="eastAsia"/>
          <w:sz w:val="24"/>
          <w:szCs w:val="24"/>
        </w:rPr>
        <w:t xml:space="preserve">1、申请人须携带法人授权委托书和被授权人身份证（加盖公章及法定代表人章）、营业执照一份到新疆锐智时代建设工程项目管理有限公司获取竞争性磋商文件。（如供应商营业执照复印件无二维码或者因为复印件模糊不清造成二维码无法查询企业信息的，则必须提供原件查验或重新提供清晰准确的复印件，申请人对竞争性磋商公告所要求提供的所有文件的真实性负责。以上资料提交不全者，一律谢绝获取竞争性磋商文件。）  </w:t>
      </w:r>
    </w:p>
    <w:p>
      <w:pPr>
        <w:spacing w:line="360" w:lineRule="auto"/>
        <w:rPr>
          <w:sz w:val="24"/>
          <w:szCs w:val="24"/>
        </w:rPr>
      </w:pPr>
      <w:r>
        <w:rPr>
          <w:rFonts w:hint="eastAsia"/>
          <w:sz w:val="24"/>
          <w:szCs w:val="24"/>
        </w:rPr>
        <w:t>2、供应商对其信用记录进行自行甄别，通过“信用中国”网站(www.creditchina.gov.cn)、中国政府采购网(www.ccgp.gov.cn)等渠道查询相关主体信用记录，对列入失信被执行人、重大税收违法案件当事人名单、政府采购严重违法失信行为记录名单及其他不符合《中华人民共和国政府采购法》第二十二条规定条件的供应商，拒绝其参与本次政府采购活动。</w:t>
      </w:r>
    </w:p>
    <w:p>
      <w:pPr>
        <w:spacing w:line="360" w:lineRule="auto"/>
        <w:rPr>
          <w:sz w:val="24"/>
          <w:szCs w:val="24"/>
        </w:rPr>
      </w:pPr>
      <w:r>
        <w:rPr>
          <w:rFonts w:hint="eastAsia"/>
          <w:sz w:val="24"/>
          <w:szCs w:val="24"/>
        </w:rPr>
        <w:t>七、对本次采购提出询问，请按以下方式联系</w:t>
      </w:r>
    </w:p>
    <w:p>
      <w:pPr>
        <w:spacing w:line="360" w:lineRule="auto"/>
        <w:rPr>
          <w:sz w:val="24"/>
          <w:szCs w:val="24"/>
        </w:rPr>
      </w:pPr>
      <w:r>
        <w:rPr>
          <w:sz w:val="24"/>
          <w:szCs w:val="24"/>
        </w:rPr>
        <w:t>1.采购人信息</w:t>
      </w:r>
    </w:p>
    <w:p>
      <w:pPr>
        <w:spacing w:line="360" w:lineRule="auto"/>
        <w:rPr>
          <w:sz w:val="24"/>
          <w:szCs w:val="24"/>
        </w:rPr>
      </w:pPr>
      <w:r>
        <w:rPr>
          <w:sz w:val="24"/>
          <w:szCs w:val="24"/>
        </w:rPr>
        <w:t>名 称：</w:t>
      </w:r>
      <w:r>
        <w:rPr>
          <w:rFonts w:hint="eastAsia"/>
          <w:sz w:val="24"/>
          <w:szCs w:val="24"/>
        </w:rPr>
        <w:t xml:space="preserve">新疆维吾尔自治区工会干部学校  </w:t>
      </w:r>
    </w:p>
    <w:p>
      <w:pPr>
        <w:spacing w:line="360" w:lineRule="auto"/>
        <w:rPr>
          <w:sz w:val="24"/>
          <w:szCs w:val="24"/>
        </w:rPr>
      </w:pPr>
      <w:r>
        <w:rPr>
          <w:sz w:val="24"/>
          <w:szCs w:val="24"/>
        </w:rPr>
        <w:t>地 址：</w:t>
      </w:r>
      <w:r>
        <w:rPr>
          <w:rFonts w:hint="eastAsia"/>
          <w:sz w:val="24"/>
          <w:szCs w:val="24"/>
        </w:rPr>
        <w:t xml:space="preserve">乌鲁木齐市天山区新民路178号  </w:t>
      </w:r>
    </w:p>
    <w:p>
      <w:pPr>
        <w:spacing w:line="360" w:lineRule="auto"/>
        <w:rPr>
          <w:sz w:val="24"/>
          <w:szCs w:val="24"/>
        </w:rPr>
      </w:pPr>
      <w:r>
        <w:rPr>
          <w:rFonts w:hint="eastAsia"/>
          <w:sz w:val="24"/>
          <w:szCs w:val="24"/>
        </w:rPr>
        <w:t xml:space="preserve">联系人：钱斌   </w:t>
      </w:r>
      <w:r>
        <w:rPr>
          <w:sz w:val="24"/>
          <w:szCs w:val="24"/>
        </w:rPr>
        <w:t>联系方式：0991-2617123</w:t>
      </w:r>
    </w:p>
    <w:p>
      <w:pPr>
        <w:spacing w:line="360" w:lineRule="auto"/>
        <w:rPr>
          <w:sz w:val="24"/>
          <w:szCs w:val="24"/>
        </w:rPr>
      </w:pPr>
      <w:r>
        <w:rPr>
          <w:sz w:val="24"/>
          <w:szCs w:val="24"/>
        </w:rPr>
        <w:t>2.采购代理机构信息</w:t>
      </w:r>
    </w:p>
    <w:p>
      <w:pPr>
        <w:spacing w:line="360" w:lineRule="auto"/>
        <w:rPr>
          <w:sz w:val="24"/>
          <w:szCs w:val="24"/>
        </w:rPr>
      </w:pPr>
      <w:r>
        <w:rPr>
          <w:sz w:val="24"/>
          <w:szCs w:val="24"/>
        </w:rPr>
        <w:t>名 称：新疆锐智时代建设工程项目管理有限公司</w:t>
      </w:r>
    </w:p>
    <w:p>
      <w:pPr>
        <w:spacing w:line="360" w:lineRule="auto"/>
        <w:rPr>
          <w:sz w:val="24"/>
          <w:szCs w:val="24"/>
        </w:rPr>
      </w:pPr>
      <w:r>
        <w:rPr>
          <w:sz w:val="24"/>
          <w:szCs w:val="24"/>
        </w:rPr>
        <w:t>地 址：乌鲁木齐市水磨沟区立井街198号丽景名都商住10号楼21楼211</w:t>
      </w:r>
      <w:r>
        <w:rPr>
          <w:rFonts w:hint="eastAsia"/>
          <w:sz w:val="24"/>
          <w:szCs w:val="24"/>
        </w:rPr>
        <w:t>5</w:t>
      </w:r>
      <w:r>
        <w:rPr>
          <w:sz w:val="24"/>
          <w:szCs w:val="24"/>
        </w:rPr>
        <w:t>室</w:t>
      </w:r>
    </w:p>
    <w:p>
      <w:pPr>
        <w:spacing w:line="360" w:lineRule="auto"/>
        <w:rPr>
          <w:sz w:val="24"/>
          <w:szCs w:val="24"/>
        </w:rPr>
      </w:pPr>
      <w:r>
        <w:rPr>
          <w:sz w:val="24"/>
          <w:szCs w:val="24"/>
        </w:rPr>
        <w:t>项目联系人：</w:t>
      </w:r>
      <w:r>
        <w:rPr>
          <w:rFonts w:hint="eastAsia"/>
          <w:sz w:val="24"/>
          <w:szCs w:val="24"/>
        </w:rPr>
        <w:t xml:space="preserve">王芳  </w:t>
      </w:r>
      <w:r>
        <w:rPr>
          <w:sz w:val="24"/>
          <w:szCs w:val="24"/>
        </w:rPr>
        <w:t>联系方式：</w:t>
      </w:r>
      <w:r>
        <w:rPr>
          <w:rFonts w:hint="eastAsia"/>
          <w:sz w:val="24"/>
          <w:szCs w:val="24"/>
        </w:rPr>
        <w:t xml:space="preserve">17690920122 </w:t>
      </w:r>
    </w:p>
    <w:p>
      <w:pPr>
        <w:spacing w:line="360" w:lineRule="auto"/>
        <w:rPr>
          <w:sz w:val="24"/>
          <w:szCs w:val="24"/>
        </w:rPr>
      </w:pPr>
      <w:r>
        <w:rPr>
          <w:rFonts w:hint="eastAsia"/>
          <w:sz w:val="24"/>
          <w:szCs w:val="24"/>
        </w:rPr>
        <w:t>3.采购监督电话：0991-2359482</w:t>
      </w:r>
    </w:p>
    <w:p>
      <w:pPr>
        <w:spacing w:line="360" w:lineRule="auto"/>
        <w:jc w:val="right"/>
        <w:rPr>
          <w:sz w:val="24"/>
          <w:szCs w:val="24"/>
        </w:rPr>
      </w:pPr>
    </w:p>
    <w:p>
      <w:pPr>
        <w:pStyle w:val="2"/>
        <w:rPr>
          <w:szCs w:val="24"/>
        </w:rPr>
      </w:pPr>
    </w:p>
    <w:p>
      <w:pPr>
        <w:pStyle w:val="2"/>
        <w:rPr>
          <w:szCs w:val="24"/>
        </w:rPr>
      </w:pPr>
    </w:p>
    <w:p>
      <w:pPr>
        <w:spacing w:line="360" w:lineRule="auto"/>
        <w:jc w:val="right"/>
        <w:rPr>
          <w:sz w:val="24"/>
          <w:szCs w:val="24"/>
        </w:rPr>
      </w:pPr>
    </w:p>
    <w:p>
      <w:pPr>
        <w:spacing w:line="360" w:lineRule="auto"/>
        <w:jc w:val="right"/>
        <w:rPr>
          <w:sz w:val="24"/>
          <w:szCs w:val="24"/>
        </w:rPr>
      </w:pPr>
    </w:p>
    <w:p>
      <w:pPr>
        <w:spacing w:line="360" w:lineRule="auto"/>
        <w:rPr>
          <w:b/>
          <w:bCs/>
          <w:sz w:val="24"/>
          <w:szCs w:val="24"/>
        </w:rPr>
      </w:pPr>
    </w:p>
    <w:p>
      <w:pPr>
        <w:rPr>
          <w:rFonts w:hint="eastAsia" w:ascii="宋体" w:hAnsi="宋体" w:eastAsia="宋体" w:cs="宋体"/>
          <w:b/>
          <w:sz w:val="24"/>
          <w:szCs w:val="24"/>
        </w:rPr>
      </w:pPr>
      <w:r>
        <w:rPr>
          <w:rFonts w:hint="eastAsia" w:ascii="宋体" w:hAnsi="宋体" w:eastAsia="宋体" w:cs="宋体"/>
          <w:b/>
          <w:sz w:val="24"/>
          <w:szCs w:val="24"/>
        </w:rPr>
        <w:br w:type="page"/>
      </w:r>
    </w:p>
    <w:p>
      <w:pPr>
        <w:spacing w:line="440" w:lineRule="exact"/>
        <w:jc w:val="center"/>
        <w:outlineLvl w:val="0"/>
        <w:rPr>
          <w:rFonts w:ascii="宋体" w:hAnsi="宋体" w:eastAsia="宋体" w:cs="宋体"/>
          <w:b/>
          <w:sz w:val="24"/>
          <w:szCs w:val="24"/>
        </w:rPr>
      </w:pPr>
      <w:bookmarkStart w:id="1" w:name="_Toc23297"/>
      <w:r>
        <w:rPr>
          <w:rFonts w:hint="eastAsia" w:ascii="宋体" w:hAnsi="宋体" w:eastAsia="宋体" w:cs="宋体"/>
          <w:b/>
          <w:sz w:val="24"/>
          <w:szCs w:val="24"/>
        </w:rPr>
        <w:t>供应商须知前附表</w:t>
      </w:r>
      <w:bookmarkEnd w:id="1"/>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597"/>
        <w:gridCol w:w="1410"/>
        <w:gridCol w:w="7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87" w:hRule="atLeast"/>
          <w:jc w:val="center"/>
        </w:trPr>
        <w:tc>
          <w:tcPr>
            <w:tcW w:w="597" w:type="dxa"/>
            <w:vAlign w:val="center"/>
          </w:tcPr>
          <w:p>
            <w:pPr>
              <w:jc w:val="center"/>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项号</w:t>
            </w:r>
          </w:p>
        </w:tc>
        <w:tc>
          <w:tcPr>
            <w:tcW w:w="8483" w:type="dxa"/>
            <w:gridSpan w:val="2"/>
            <w:vAlign w:val="center"/>
          </w:tcPr>
          <w:p>
            <w:pPr>
              <w:jc w:val="center"/>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1</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项目名称</w:t>
            </w:r>
          </w:p>
        </w:tc>
        <w:tc>
          <w:tcPr>
            <w:tcW w:w="7073" w:type="dxa"/>
            <w:vAlign w:val="center"/>
          </w:tcPr>
          <w:p>
            <w:pPr>
              <w:keepNext/>
              <w:widowControl/>
              <w:jc w:val="left"/>
              <w:rPr>
                <w:rFonts w:hint="eastAsia" w:eastAsia="宋体" w:cs="Arial" w:asciiTheme="minorEastAsia" w:hAnsiTheme="minorEastAsia"/>
                <w:kern w:val="0"/>
                <w:sz w:val="24"/>
                <w:szCs w:val="24"/>
                <w:lang w:eastAsia="zh-CN"/>
              </w:rPr>
            </w:pPr>
            <w:r>
              <w:rPr>
                <w:rFonts w:hint="eastAsia" w:ascii="Times New Roman" w:hAnsi="Times New Roman" w:eastAsia="宋体" w:cs="Times New Roman"/>
                <w:sz w:val="24"/>
                <w:szCs w:val="24"/>
                <w:lang w:eastAsia="zh-CN"/>
              </w:rPr>
              <w:t>新疆维吾尔自治区工会干部学校新建教学楼宿舍配套用品采购项目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项目编号</w:t>
            </w:r>
          </w:p>
        </w:tc>
        <w:tc>
          <w:tcPr>
            <w:tcW w:w="7073" w:type="dxa"/>
            <w:vAlign w:val="center"/>
          </w:tcPr>
          <w:p>
            <w:pPr>
              <w:keepNext/>
              <w:widowControl/>
              <w:jc w:val="left"/>
              <w:rPr>
                <w:rFonts w:eastAsia="宋体" w:cs="Arial" w:asciiTheme="minorEastAsia" w:hAnsiTheme="minorEastAsia"/>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采购人</w:t>
            </w:r>
          </w:p>
        </w:tc>
        <w:tc>
          <w:tcPr>
            <w:tcW w:w="7073" w:type="dxa"/>
            <w:vAlign w:val="center"/>
          </w:tcPr>
          <w:p>
            <w:pPr>
              <w:keepNext/>
              <w:widowControl/>
              <w:jc w:val="left"/>
              <w:rPr>
                <w:rFonts w:eastAsia="宋体" w:cs="Arial" w:asciiTheme="minorEastAsia" w:hAnsiTheme="minorEastAsia"/>
                <w:kern w:val="0"/>
                <w:sz w:val="24"/>
                <w:szCs w:val="24"/>
              </w:rPr>
            </w:pPr>
            <w:r>
              <w:rPr>
                <w:rFonts w:hint="eastAsia" w:ascii="Times New Roman" w:hAnsi="Times New Roman" w:eastAsia="宋体" w:cs="Times New Roman"/>
                <w:sz w:val="24"/>
                <w:szCs w:val="24"/>
              </w:rPr>
              <w:t>新疆维吾尔自治区工会干部学校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采购</w:t>
            </w:r>
          </w:p>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代理机构</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新疆锐智时代建设工程项目管理有限公司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项目地点</w:t>
            </w:r>
          </w:p>
        </w:tc>
        <w:tc>
          <w:tcPr>
            <w:tcW w:w="7073" w:type="dxa"/>
            <w:vAlign w:val="center"/>
          </w:tcPr>
          <w:p>
            <w:pPr>
              <w:keepNext/>
              <w:widowControl/>
              <w:jc w:val="left"/>
              <w:rPr>
                <w:rFonts w:eastAsia="宋体" w:cs="Arial" w:asciiTheme="minorEastAsia" w:hAnsiTheme="minorEastAsia"/>
                <w:kern w:val="0"/>
                <w:sz w:val="24"/>
                <w:szCs w:val="24"/>
              </w:rPr>
            </w:pPr>
            <w:r>
              <w:rPr>
                <w:rFonts w:hint="eastAsia" w:ascii="Times New Roman" w:hAnsi="Times New Roman" w:eastAsia="宋体" w:cs="Times New Roman"/>
                <w:sz w:val="24"/>
                <w:szCs w:val="24"/>
              </w:rPr>
              <w:t>新疆维吾尔自治区工会干部学校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资金来源</w:t>
            </w:r>
          </w:p>
        </w:tc>
        <w:tc>
          <w:tcPr>
            <w:tcW w:w="7073" w:type="dxa"/>
            <w:vAlign w:val="center"/>
          </w:tcPr>
          <w:p>
            <w:pPr>
              <w:keepNext/>
              <w:widowControl/>
              <w:jc w:val="left"/>
              <w:rPr>
                <w:rFonts w:hint="eastAsia" w:eastAsia="宋体" w:cs="Arial" w:asciiTheme="minorEastAsia" w:hAnsiTheme="minorEastAsia"/>
                <w:kern w:val="0"/>
                <w:sz w:val="24"/>
                <w:szCs w:val="24"/>
                <w:lang w:val="en-US" w:eastAsia="zh-CN"/>
              </w:rPr>
            </w:pPr>
            <w:r>
              <w:rPr>
                <w:rFonts w:hint="eastAsia" w:eastAsia="宋体" w:cs="Arial" w:asciiTheme="minorEastAsia" w:hAnsiTheme="minorEastAsia"/>
                <w:kern w:val="0"/>
                <w:sz w:val="24"/>
                <w:szCs w:val="24"/>
                <w:lang w:val="en-US" w:eastAsia="zh-CN"/>
              </w:rPr>
              <w:t>自筹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采购</w:t>
            </w:r>
          </w:p>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预算金额</w:t>
            </w:r>
          </w:p>
        </w:tc>
        <w:tc>
          <w:tcPr>
            <w:tcW w:w="7073" w:type="dxa"/>
            <w:vAlign w:val="center"/>
          </w:tcPr>
          <w:p>
            <w:pPr>
              <w:keepNext/>
              <w:widowControl/>
              <w:jc w:val="left"/>
              <w:rPr>
                <w:rFonts w:eastAsia="宋体" w:cs="Times New Roman" w:asciiTheme="minorEastAsia" w:hAnsiTheme="minorEastAsia"/>
                <w:kern w:val="0"/>
                <w:sz w:val="24"/>
                <w:szCs w:val="24"/>
              </w:rPr>
            </w:pPr>
            <w:r>
              <w:rPr>
                <w:rFonts w:hint="eastAsia" w:eastAsia="宋体" w:cs="Arial" w:asciiTheme="minorEastAsia" w:hAnsiTheme="minorEastAsia"/>
                <w:kern w:val="0"/>
                <w:sz w:val="24"/>
                <w:szCs w:val="24"/>
                <w:u w:val="single"/>
                <w:lang w:val="en-US" w:eastAsia="zh-CN"/>
              </w:rPr>
              <w:t>70</w:t>
            </w:r>
            <w:r>
              <w:rPr>
                <w:rFonts w:hint="eastAsia" w:eastAsia="宋体" w:cs="Arial" w:asciiTheme="minorEastAsia" w:hAnsiTheme="minorEastAsia"/>
                <w:kern w:val="0"/>
                <w:sz w:val="24"/>
                <w:szCs w:val="24"/>
              </w:rPr>
              <w:t>万元，供应商投标报价不得超相应预算金额，否则，按废标处理。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color w:val="auto"/>
                <w:kern w:val="0"/>
                <w:sz w:val="24"/>
                <w:szCs w:val="24"/>
              </w:rPr>
            </w:pPr>
            <w:r>
              <w:rPr>
                <w:rFonts w:hint="eastAsia" w:eastAsia="宋体" w:cs="Arial" w:asciiTheme="minorEastAsia" w:hAnsiTheme="minorEastAsia"/>
                <w:color w:val="auto"/>
                <w:kern w:val="0"/>
                <w:sz w:val="24"/>
                <w:szCs w:val="24"/>
              </w:rPr>
              <w:t>供货安装周期</w:t>
            </w:r>
          </w:p>
        </w:tc>
        <w:tc>
          <w:tcPr>
            <w:tcW w:w="7073" w:type="dxa"/>
            <w:vAlign w:val="center"/>
          </w:tcPr>
          <w:p>
            <w:pPr>
              <w:keepNext/>
              <w:widowControl/>
              <w:jc w:val="left"/>
              <w:rPr>
                <w:rFonts w:eastAsia="宋体" w:cs="Arial" w:asciiTheme="minorEastAsia" w:hAnsiTheme="minorEastAsia"/>
                <w:color w:val="auto"/>
                <w:kern w:val="0"/>
                <w:sz w:val="24"/>
                <w:szCs w:val="24"/>
              </w:rPr>
            </w:pPr>
            <w:r>
              <w:rPr>
                <w:rFonts w:hint="eastAsia" w:eastAsia="宋体" w:cs="Arial" w:asciiTheme="minorEastAsia" w:hAnsiTheme="minorEastAsia"/>
                <w:color w:val="auto"/>
                <w:kern w:val="0"/>
                <w:sz w:val="24"/>
                <w:szCs w:val="24"/>
              </w:rPr>
              <w:t>自接到采购人通知之日起</w:t>
            </w:r>
            <w:r>
              <w:rPr>
                <w:rFonts w:hint="eastAsia" w:eastAsia="宋体" w:cs="Arial" w:asciiTheme="minorEastAsia" w:hAnsiTheme="minorEastAsia"/>
                <w:color w:val="auto"/>
                <w:kern w:val="0"/>
                <w:sz w:val="24"/>
                <w:szCs w:val="24"/>
                <w:lang w:val="en-US" w:eastAsia="zh-CN"/>
              </w:rPr>
              <w:t>10</w:t>
            </w:r>
            <w:r>
              <w:rPr>
                <w:rFonts w:hint="eastAsia" w:eastAsia="宋体" w:cs="Arial" w:asciiTheme="minorEastAsia" w:hAnsiTheme="minorEastAsia"/>
                <w:color w:val="auto"/>
                <w:kern w:val="0"/>
                <w:sz w:val="24"/>
                <w:szCs w:val="24"/>
              </w:rPr>
              <w:t>日历日内完成。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color w:val="auto"/>
                <w:kern w:val="0"/>
                <w:sz w:val="24"/>
                <w:szCs w:val="24"/>
              </w:rPr>
            </w:pPr>
            <w:r>
              <w:rPr>
                <w:rFonts w:hint="eastAsia" w:eastAsia="宋体" w:cs="Arial" w:asciiTheme="minorEastAsia" w:hAnsiTheme="minorEastAsia"/>
                <w:color w:val="auto"/>
                <w:kern w:val="0"/>
                <w:sz w:val="24"/>
                <w:szCs w:val="24"/>
              </w:rPr>
              <w:t>质保期</w:t>
            </w:r>
          </w:p>
        </w:tc>
        <w:tc>
          <w:tcPr>
            <w:tcW w:w="7073" w:type="dxa"/>
            <w:vAlign w:val="center"/>
          </w:tcPr>
          <w:p>
            <w:pPr>
              <w:keepNext/>
              <w:widowControl/>
              <w:jc w:val="left"/>
              <w:rPr>
                <w:rFonts w:eastAsia="宋体" w:cs="Arial" w:asciiTheme="minorEastAsia" w:hAnsiTheme="minorEastAsia"/>
                <w:color w:val="auto"/>
                <w:kern w:val="0"/>
                <w:sz w:val="24"/>
                <w:szCs w:val="24"/>
              </w:rPr>
            </w:pPr>
            <w:r>
              <w:rPr>
                <w:rFonts w:hint="eastAsia" w:eastAsia="宋体" w:cs="Arial" w:asciiTheme="minorEastAsia" w:hAnsiTheme="minorEastAsia"/>
                <w:color w:val="auto"/>
                <w:kern w:val="0"/>
                <w:sz w:val="24"/>
                <w:szCs w:val="24"/>
              </w:rPr>
              <w:t xml:space="preserve"> 三年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招标范围</w:t>
            </w:r>
          </w:p>
        </w:tc>
        <w:tc>
          <w:tcPr>
            <w:tcW w:w="7073" w:type="dxa"/>
            <w:vAlign w:val="center"/>
          </w:tcPr>
          <w:p>
            <w:pPr>
              <w:keepNext/>
              <w:widowControl/>
              <w:jc w:val="left"/>
              <w:rPr>
                <w:rFonts w:eastAsia="宋体" w:cs="Arial" w:asciiTheme="minorEastAsia" w:hAnsiTheme="minorEastAsia"/>
                <w:kern w:val="0"/>
                <w:sz w:val="24"/>
                <w:szCs w:val="24"/>
              </w:rPr>
            </w:pPr>
            <w:r>
              <w:rPr>
                <w:rFonts w:hint="eastAsia" w:ascii="Times New Roman" w:hAnsi="Times New Roman" w:eastAsia="宋体" w:cs="Times New Roman"/>
                <w:sz w:val="24"/>
                <w:szCs w:val="24"/>
                <w:lang w:eastAsia="zh-CN"/>
              </w:rPr>
              <w:t>新疆维吾尔自治区工会干部学校新建教学楼宿舍配套用品</w:t>
            </w:r>
            <w:r>
              <w:rPr>
                <w:rFonts w:hint="eastAsia" w:ascii="Times New Roman" w:hAnsi="Times New Roman" w:eastAsia="宋体" w:cs="Times New Roman"/>
                <w:sz w:val="24"/>
                <w:szCs w:val="24"/>
              </w:rPr>
              <w:t>采购</w:t>
            </w:r>
            <w:r>
              <w:rPr>
                <w:rFonts w:hint="eastAsia" w:eastAsia="宋体" w:cs="Arial" w:asciiTheme="minorEastAsia" w:hAnsiTheme="minorEastAsia"/>
                <w:kern w:val="0"/>
                <w:sz w:val="24"/>
                <w:szCs w:val="24"/>
              </w:rPr>
              <w:t>范围内所有工作内容。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采购方式</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竞争性磋商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资格审查</w:t>
            </w:r>
          </w:p>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方式</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资格后审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评标办法</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定标方法</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磋商小组推荐三名成交候选人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供应商资格条件和能力</w:t>
            </w:r>
          </w:p>
        </w:tc>
        <w:tc>
          <w:tcPr>
            <w:tcW w:w="7073" w:type="dxa"/>
            <w:vAlign w:val="center"/>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1.满足《中华人民共和国政府采购法》第二十二条规定；</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2.落实政府采购政策需满足的资格要求：(1)《政府采购促进中小企业发展管理办法》（财库〔2020〕46号）； (2)《财政部、司法部关于政府采购支持监狱企业发展有关问题的通知》（财库〔2014〕68号）； (3)《财政部、民政部中国残疾人联合会关于促进残疾人就业政府采购政策的通知》（财库〔2017〕141号）。</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3.本项目的特定资格要求：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1）、供应商须符合《中华人民共和国政府采购法》第二十二条款的规定； </w:t>
            </w:r>
          </w:p>
          <w:p>
            <w:pPr>
              <w:spacing w:line="360" w:lineRule="auto"/>
              <w:rPr>
                <w:rFonts w:ascii="宋体" w:hAnsi="宋体" w:eastAsia="宋体" w:cs="Times New Roman"/>
                <w:color w:val="FF0000"/>
                <w:sz w:val="24"/>
                <w:szCs w:val="24"/>
              </w:rPr>
            </w:pPr>
            <w:r>
              <w:rPr>
                <w:rFonts w:hint="eastAsia" w:ascii="宋体" w:hAnsi="宋体" w:eastAsia="宋体" w:cs="Times New Roman"/>
                <w:sz w:val="24"/>
                <w:szCs w:val="24"/>
              </w:rPr>
              <w:t>2）、供应商须具有有效的营业执照、组织机构代码、税务登记证（已实行三证合一的企业仅提供有社会信用代码的新版营业执照）；具有独立订立合同的权利，能独立承担民事责任的能力；</w:t>
            </w:r>
          </w:p>
          <w:p>
            <w:pPr>
              <w:spacing w:line="360" w:lineRule="auto"/>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）、供应商须是在“信用中国”（www.creditchina.gov.cn）和中国政府采购网（www.ccgp.gov.cn）网站上未被列入失信被执行人、重大税收违法案件当事人名单以及政府采购严重违法失信行为记录名单；</w:t>
            </w:r>
          </w:p>
          <w:p>
            <w:pPr>
              <w:spacing w:line="360" w:lineRule="auto"/>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）、本采购项目</w:t>
            </w:r>
            <w:r>
              <w:rPr>
                <w:rFonts w:hint="eastAsia" w:ascii="宋体" w:hAnsi="宋体" w:eastAsia="宋体" w:cs="Times New Roman"/>
                <w:sz w:val="24"/>
                <w:szCs w:val="24"/>
                <w:u w:val="single"/>
              </w:rPr>
              <w:t>不允许</w:t>
            </w:r>
            <w:r>
              <w:rPr>
                <w:rFonts w:hint="eastAsia" w:ascii="宋体" w:hAnsi="宋体" w:eastAsia="宋体" w:cs="Times New Roman"/>
                <w:sz w:val="24"/>
                <w:szCs w:val="24"/>
              </w:rPr>
              <w:t>联合体投标。</w:t>
            </w:r>
          </w:p>
          <w:p>
            <w:pPr>
              <w:rPr>
                <w:rFonts w:ascii="Calibri" w:hAnsi="Calibri" w:eastAsia="宋体" w:cs="Times New Roman"/>
                <w:szCs w:val="21"/>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其他说明：①与采购人存在利害关系可能影响招标公正性的法人、其他组织或者个人，不得参加投标。②单位负责人为同一人或者存在控股、管理关系的不同供应商，不得参加同一合同项下的政府采购活动。违反前两款规定的，相关投标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ascii="宋体" w:hAnsi="宋体" w:eastAsia="宋体" w:cs="Arial"/>
                <w:kern w:val="0"/>
                <w:sz w:val="24"/>
                <w:szCs w:val="24"/>
              </w:rPr>
              <w:t>竞争性磋商文件</w:t>
            </w:r>
            <w:r>
              <w:rPr>
                <w:rFonts w:hint="eastAsia" w:eastAsia="宋体" w:cs="Arial" w:asciiTheme="minorEastAsia" w:hAnsiTheme="minorEastAsia"/>
                <w:kern w:val="0"/>
                <w:sz w:val="24"/>
                <w:szCs w:val="24"/>
              </w:rPr>
              <w:t>费</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300元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7</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磋商保证金</w:t>
            </w:r>
          </w:p>
        </w:tc>
        <w:tc>
          <w:tcPr>
            <w:tcW w:w="7073" w:type="dxa"/>
            <w:vAlign w:val="center"/>
          </w:tcPr>
          <w:p>
            <w:pPr>
              <w:pStyle w:val="21"/>
              <w:jc w:val="left"/>
              <w:rPr>
                <w:rFonts w:hAnsi="宋体" w:cs="Times New Roman"/>
                <w:sz w:val="24"/>
                <w:szCs w:val="24"/>
              </w:rPr>
            </w:pPr>
            <w:r>
              <w:rPr>
                <w:rFonts w:hint="eastAsia" w:hAnsi="宋体" w:cs="Times New Roman"/>
                <w:sz w:val="24"/>
                <w:szCs w:val="24"/>
              </w:rPr>
              <w:t>要求提供。数额不得超过采购项目预算金额的2%，本项目的投标磋商保证金金额：</w:t>
            </w:r>
            <w:r>
              <w:rPr>
                <w:rFonts w:hint="eastAsia" w:hAnsi="宋体" w:cs="Times New Roman"/>
                <w:sz w:val="24"/>
                <w:szCs w:val="24"/>
                <w:lang w:val="en-US" w:eastAsia="zh-CN"/>
              </w:rPr>
              <w:t>14000</w:t>
            </w:r>
            <w:r>
              <w:rPr>
                <w:rFonts w:hint="eastAsia" w:hAnsi="宋体" w:cs="Times New Roman"/>
                <w:sz w:val="24"/>
                <w:szCs w:val="24"/>
              </w:rPr>
              <w:t>元（</w:t>
            </w:r>
            <w:r>
              <w:rPr>
                <w:rFonts w:hint="eastAsia" w:hAnsi="宋体" w:cs="Times New Roman"/>
                <w:sz w:val="24"/>
                <w:szCs w:val="24"/>
                <w:lang w:eastAsia="zh-CN"/>
              </w:rPr>
              <w:t>壹万肆仟元整</w:t>
            </w:r>
            <w:r>
              <w:rPr>
                <w:rFonts w:hint="eastAsia" w:hAnsi="宋体" w:cs="Times New Roman"/>
                <w:sz w:val="24"/>
                <w:szCs w:val="24"/>
              </w:rPr>
              <w:t>）</w:t>
            </w:r>
          </w:p>
          <w:p>
            <w:pPr>
              <w:pStyle w:val="21"/>
              <w:jc w:val="left"/>
              <w:rPr>
                <w:rFonts w:hAnsi="宋体" w:cs="Times New Roman"/>
                <w:sz w:val="24"/>
                <w:szCs w:val="24"/>
              </w:rPr>
            </w:pPr>
            <w:r>
              <w:rPr>
                <w:rFonts w:hint="eastAsia" w:hAnsi="宋体" w:cs="Times New Roman"/>
                <w:sz w:val="24"/>
                <w:szCs w:val="24"/>
              </w:rPr>
              <w:t>账户名：新疆锐智时代建设工程项目管理有限公司</w:t>
            </w:r>
          </w:p>
          <w:p>
            <w:pPr>
              <w:pStyle w:val="21"/>
              <w:jc w:val="left"/>
              <w:rPr>
                <w:rFonts w:hAnsi="宋体" w:cs="Times New Roman"/>
                <w:sz w:val="24"/>
                <w:szCs w:val="24"/>
              </w:rPr>
            </w:pPr>
            <w:r>
              <w:rPr>
                <w:rFonts w:hint="eastAsia" w:hAnsi="宋体" w:cs="Times New Roman"/>
                <w:sz w:val="24"/>
                <w:szCs w:val="24"/>
              </w:rPr>
              <w:t>开户行：中国建设银行股份有限公司乌鲁木齐温泉路支行</w:t>
            </w:r>
          </w:p>
          <w:p>
            <w:pPr>
              <w:pStyle w:val="21"/>
              <w:jc w:val="left"/>
              <w:rPr>
                <w:rFonts w:hAnsi="宋体" w:cs="Times New Roman"/>
                <w:sz w:val="24"/>
                <w:szCs w:val="24"/>
              </w:rPr>
            </w:pPr>
            <w:r>
              <w:rPr>
                <w:rFonts w:hint="eastAsia" w:hAnsi="宋体" w:cs="Times New Roman"/>
                <w:sz w:val="24"/>
                <w:szCs w:val="24"/>
              </w:rPr>
              <w:t>行  号：105881000526</w:t>
            </w:r>
          </w:p>
          <w:p>
            <w:pPr>
              <w:pStyle w:val="21"/>
              <w:jc w:val="left"/>
              <w:rPr>
                <w:rFonts w:hAnsi="宋体" w:cs="Times New Roman"/>
                <w:sz w:val="24"/>
                <w:szCs w:val="24"/>
              </w:rPr>
            </w:pPr>
            <w:r>
              <w:rPr>
                <w:rFonts w:hint="eastAsia" w:hAnsi="宋体" w:cs="Times New Roman"/>
                <w:sz w:val="24"/>
                <w:szCs w:val="24"/>
              </w:rPr>
              <w:t>帐  号：65050161643900000407</w:t>
            </w:r>
          </w:p>
          <w:p>
            <w:pPr>
              <w:pStyle w:val="21"/>
              <w:jc w:val="left"/>
              <w:rPr>
                <w:rFonts w:hAnsi="宋体" w:cs="Times New Roman"/>
                <w:sz w:val="24"/>
                <w:szCs w:val="24"/>
              </w:rPr>
            </w:pPr>
            <w:r>
              <w:rPr>
                <w:rFonts w:hint="eastAsia" w:hAnsi="宋体" w:cs="Times New Roman"/>
                <w:sz w:val="24"/>
                <w:szCs w:val="24"/>
              </w:rPr>
              <w:t>磋商保证金缴纳形式：转账、电汇等非现金形式。</w:t>
            </w:r>
          </w:p>
          <w:p>
            <w:pPr>
              <w:keepNext/>
              <w:widowControl/>
              <w:jc w:val="left"/>
              <w:rPr>
                <w:rFonts w:eastAsia="宋体" w:cs="Arial" w:asciiTheme="minorEastAsia" w:hAnsiTheme="minorEastAsia"/>
                <w:kern w:val="0"/>
                <w:sz w:val="24"/>
                <w:szCs w:val="24"/>
              </w:rPr>
            </w:pPr>
            <w:r>
              <w:rPr>
                <w:rFonts w:hint="eastAsia" w:ascii="Times New Roman" w:hAnsi="宋体" w:eastAsia="宋体" w:cs="Times New Roman"/>
                <w:b/>
                <w:sz w:val="24"/>
                <w:szCs w:val="24"/>
              </w:rPr>
              <w:t>各投标单位缴纳磋商保证金时需在附加信息及用途栏内注明磋商保证金、项目名称；</w:t>
            </w:r>
            <w:r>
              <w:rPr>
                <w:rFonts w:ascii="Times New Roman" w:hAnsi="宋体" w:eastAsia="宋体" w:cs="Times New Roman"/>
                <w:b/>
                <w:sz w:val="24"/>
                <w:szCs w:val="24"/>
              </w:rPr>
              <w:t>磋商保证金于投标截止时间前确认到账，若供应商未按照上述规定缴纳磋商保证金,</w:t>
            </w:r>
            <w:r>
              <w:rPr>
                <w:rFonts w:hint="eastAsia" w:ascii="Times New Roman" w:hAnsi="宋体" w:eastAsia="宋体" w:cs="Times New Roman"/>
                <w:b/>
                <w:sz w:val="24"/>
                <w:szCs w:val="24"/>
              </w:rPr>
              <w:t>响应</w:t>
            </w:r>
            <w:r>
              <w:rPr>
                <w:rFonts w:ascii="Times New Roman" w:hAnsi="宋体" w:eastAsia="宋体" w:cs="Times New Roman"/>
                <w:b/>
                <w:sz w:val="24"/>
                <w:szCs w:val="24"/>
              </w:rPr>
              <w:t>文件将被拒绝评审。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现场踏勘</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9</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招标答疑</w:t>
            </w:r>
          </w:p>
        </w:tc>
        <w:tc>
          <w:tcPr>
            <w:tcW w:w="7073" w:type="dxa"/>
            <w:vAlign w:val="center"/>
          </w:tcPr>
          <w:p>
            <w:pPr>
              <w:ind w:firstLine="360" w:firstLineChars="150"/>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对竞争性磋商文件提出质疑的，应当在获取竞争性磋商文件或者竞争性磋商文件公告期限届满之日起3个工作日内一次性提出。</w:t>
            </w:r>
          </w:p>
          <w:p>
            <w:pPr>
              <w:ind w:firstLine="360" w:firstLineChars="150"/>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澄清修改内容可能影响竞争性磋商响应文件编制的，应当在投标截止时间至少5日前，以书面形式通知所有获取竞争性磋商文件的潜在供应商。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10</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竞争性磋商响应文件</w:t>
            </w:r>
          </w:p>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份数</w:t>
            </w:r>
          </w:p>
        </w:tc>
        <w:tc>
          <w:tcPr>
            <w:tcW w:w="7073" w:type="dxa"/>
            <w:vAlign w:val="center"/>
          </w:tcPr>
          <w:p>
            <w:pPr>
              <w:jc w:val="lef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正本</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份；副本</w:t>
            </w:r>
            <w:r>
              <w:rPr>
                <w:rFonts w:eastAsia="宋体" w:cs="Times New Roman" w:asciiTheme="minorEastAsia" w:hAnsiTheme="minorEastAsia"/>
                <w:kern w:val="0"/>
                <w:sz w:val="24"/>
                <w:szCs w:val="24"/>
              </w:rPr>
              <w:t>2</w:t>
            </w:r>
            <w:r>
              <w:rPr>
                <w:rFonts w:hint="eastAsia" w:eastAsia="宋体" w:cs="Times New Roman" w:asciiTheme="minorEastAsia" w:hAnsiTheme="minorEastAsia"/>
                <w:kern w:val="0"/>
                <w:sz w:val="24"/>
                <w:szCs w:val="24"/>
              </w:rPr>
              <w:t>份；电子版响应文件格式：竞争性磋商响应文件正本盖章扫描生成的PDF格式（含响应文件封皮），U盘存储。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11</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竞争性磋商响应文件密封</w:t>
            </w:r>
          </w:p>
        </w:tc>
        <w:tc>
          <w:tcPr>
            <w:tcW w:w="7073" w:type="dxa"/>
            <w:vAlign w:val="center"/>
          </w:tcPr>
          <w:p>
            <w:pPr>
              <w:autoSpaceDE w:val="0"/>
              <w:autoSpaceDN w:val="0"/>
              <w:adjustRightInd w:val="0"/>
              <w:jc w:val="left"/>
              <w:rPr>
                <w:rFonts w:ascii="宋体" w:hAnsi="Times New Roman" w:eastAsia="宋体" w:cs="宋体"/>
                <w:kern w:val="0"/>
                <w:sz w:val="24"/>
                <w:szCs w:val="24"/>
              </w:rPr>
            </w:pPr>
            <w:r>
              <w:rPr>
                <w:rFonts w:ascii="宋体" w:hAnsi="宋体" w:eastAsia="宋体" w:cs="宋体"/>
                <w:kern w:val="0"/>
                <w:sz w:val="24"/>
                <w:szCs w:val="24"/>
              </w:rPr>
              <w:t>1.</w:t>
            </w:r>
            <w:r>
              <w:rPr>
                <w:rFonts w:hint="eastAsia" w:ascii="宋体" w:hAnsi="宋体" w:eastAsia="宋体" w:cs="宋体"/>
                <w:kern w:val="0"/>
                <w:sz w:val="24"/>
                <w:szCs w:val="24"/>
              </w:rPr>
              <w:t>供应商须按竞争性磋商文件的规定制作响应文件，正、副本、U盘可以密封在同一文件袋中。密封袋封口处加盖单位公章及法定代表人章，并注明</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rPr>
              <w:t>月</w:t>
            </w:r>
            <w:r>
              <w:rPr>
                <w:rFonts w:hint="eastAsia"/>
                <w:sz w:val="24"/>
                <w:szCs w:val="24"/>
                <w:u w:val="single"/>
              </w:rPr>
              <w:t xml:space="preserve"> </w:t>
            </w:r>
            <w:r>
              <w:rPr>
                <w:rFonts w:hint="eastAsia"/>
                <w:sz w:val="24"/>
                <w:szCs w:val="24"/>
                <w:u w:val="single"/>
                <w:lang w:val="en-US" w:eastAsia="zh-CN"/>
              </w:rPr>
              <w:t xml:space="preserve">24 </w:t>
            </w:r>
            <w:r>
              <w:rPr>
                <w:sz w:val="24"/>
                <w:szCs w:val="24"/>
              </w:rPr>
              <w:t>日</w:t>
            </w:r>
            <w:r>
              <w:rPr>
                <w:rFonts w:hint="eastAsia"/>
                <w:sz w:val="24"/>
                <w:szCs w:val="24"/>
                <w:lang w:val="en-US" w:eastAsia="zh-CN"/>
              </w:rPr>
              <w:t>11</w:t>
            </w:r>
            <w:r>
              <w:rPr>
                <w:sz w:val="24"/>
                <w:szCs w:val="24"/>
              </w:rPr>
              <w:t>:00</w:t>
            </w:r>
            <w:r>
              <w:rPr>
                <w:rFonts w:hint="eastAsia" w:ascii="宋体" w:hAnsi="宋体" w:eastAsia="宋体" w:cs="宋体"/>
                <w:kern w:val="0"/>
                <w:sz w:val="24"/>
                <w:szCs w:val="24"/>
              </w:rPr>
              <w:t>（即开标时间）前不得开封。</w:t>
            </w:r>
          </w:p>
          <w:p>
            <w:pPr>
              <w:autoSpaceDE w:val="0"/>
              <w:autoSpaceDN w:val="0"/>
              <w:adjustRightInd w:val="0"/>
              <w:jc w:val="left"/>
              <w:rPr>
                <w:rFonts w:ascii="宋体" w:hAnsi="Times New Roman" w:eastAsia="宋体" w:cs="宋体"/>
                <w:kern w:val="0"/>
                <w:sz w:val="24"/>
                <w:szCs w:val="24"/>
              </w:rPr>
            </w:pPr>
            <w:r>
              <w:rPr>
                <w:rFonts w:ascii="宋体" w:hAnsi="宋体" w:eastAsia="宋体" w:cs="宋体"/>
                <w:kern w:val="0"/>
                <w:sz w:val="24"/>
                <w:szCs w:val="24"/>
              </w:rPr>
              <w:t xml:space="preserve">2. </w:t>
            </w:r>
            <w:r>
              <w:rPr>
                <w:rFonts w:hint="eastAsia" w:ascii="宋体" w:hAnsi="宋体" w:eastAsia="宋体" w:cs="宋体"/>
                <w:kern w:val="0"/>
                <w:sz w:val="24"/>
                <w:szCs w:val="24"/>
              </w:rPr>
              <w:t>供应商须制作“开标一览表”，并单独密封提交，并在信封上标明“开标一览表”的字样。</w:t>
            </w:r>
          </w:p>
          <w:p>
            <w:pPr>
              <w:autoSpaceDE w:val="0"/>
              <w:autoSpaceDN w:val="0"/>
              <w:adjustRightInd w:val="0"/>
              <w:jc w:val="left"/>
              <w:rPr>
                <w:rFonts w:ascii="宋体" w:hAnsi="Times New Roman" w:eastAsia="宋体" w:cs="宋体"/>
                <w:kern w:val="0"/>
                <w:sz w:val="24"/>
                <w:szCs w:val="24"/>
              </w:rPr>
            </w:pPr>
            <w:r>
              <w:rPr>
                <w:rFonts w:ascii="宋体" w:hAnsi="宋体" w:eastAsia="宋体" w:cs="宋体"/>
                <w:kern w:val="0"/>
                <w:sz w:val="24"/>
                <w:szCs w:val="24"/>
              </w:rPr>
              <w:t>3.</w:t>
            </w:r>
            <w:r>
              <w:rPr>
                <w:rFonts w:hint="eastAsia" w:ascii="宋体" w:hAnsi="宋体" w:eastAsia="宋体" w:cs="宋体"/>
                <w:kern w:val="0"/>
                <w:sz w:val="24"/>
                <w:szCs w:val="24"/>
              </w:rPr>
              <w:t>响应文件封袋和《开标一览表》封袋上可写明：</w:t>
            </w:r>
          </w:p>
          <w:p>
            <w:pPr>
              <w:autoSpaceDE w:val="0"/>
              <w:autoSpaceDN w:val="0"/>
              <w:adjustRightInd w:val="0"/>
              <w:jc w:val="left"/>
              <w:rPr>
                <w:rFonts w:ascii="宋体" w:hAnsi="Times New Roman" w:eastAsia="宋体" w:cs="宋体"/>
                <w:kern w:val="0"/>
                <w:sz w:val="24"/>
                <w:szCs w:val="24"/>
                <w:u w:val="single"/>
              </w:rPr>
            </w:pPr>
            <w:r>
              <w:rPr>
                <w:rFonts w:hint="eastAsia" w:ascii="宋体" w:hAnsi="宋体" w:eastAsia="宋体" w:cs="宋体"/>
                <w:kern w:val="0"/>
                <w:sz w:val="24"/>
                <w:szCs w:val="24"/>
              </w:rPr>
              <w:t>项目名称：</w:t>
            </w:r>
          </w:p>
          <w:p>
            <w:pPr>
              <w:autoSpaceDE w:val="0"/>
              <w:autoSpaceDN w:val="0"/>
              <w:adjustRightInd w:val="0"/>
              <w:jc w:val="left"/>
              <w:rPr>
                <w:rFonts w:ascii="宋体" w:hAnsi="Times New Roman" w:eastAsia="宋体" w:cs="宋体"/>
                <w:kern w:val="0"/>
                <w:sz w:val="24"/>
                <w:szCs w:val="24"/>
                <w:u w:val="single"/>
              </w:rPr>
            </w:pPr>
            <w:r>
              <w:rPr>
                <w:rFonts w:hint="eastAsia" w:ascii="宋体" w:hAnsi="宋体" w:eastAsia="宋体" w:cs="宋体"/>
                <w:kern w:val="0"/>
                <w:sz w:val="24"/>
                <w:szCs w:val="24"/>
              </w:rPr>
              <w:t>项目编号：</w:t>
            </w:r>
          </w:p>
          <w:p>
            <w:pPr>
              <w:autoSpaceDE w:val="0"/>
              <w:autoSpaceDN w:val="0"/>
              <w:adjustRightInd w:val="0"/>
              <w:jc w:val="left"/>
              <w:rPr>
                <w:rFonts w:ascii="宋体" w:hAnsi="Times New Roman" w:eastAsia="宋体" w:cs="宋体"/>
                <w:kern w:val="0"/>
                <w:sz w:val="24"/>
                <w:szCs w:val="24"/>
                <w:u w:val="single"/>
              </w:rPr>
            </w:pPr>
            <w:r>
              <w:rPr>
                <w:rFonts w:hint="eastAsia" w:ascii="宋体" w:hAnsi="宋体" w:eastAsia="宋体" w:cs="宋体"/>
                <w:kern w:val="0"/>
                <w:sz w:val="24"/>
                <w:szCs w:val="24"/>
              </w:rPr>
              <w:t>招标单位：</w:t>
            </w:r>
          </w:p>
          <w:p>
            <w:pPr>
              <w:autoSpaceDE w:val="0"/>
              <w:autoSpaceDN w:val="0"/>
              <w:adjustRightInd w:val="0"/>
              <w:jc w:val="left"/>
              <w:rPr>
                <w:rFonts w:ascii="宋体" w:hAnsi="Times New Roman" w:eastAsia="宋体" w:cs="宋体"/>
                <w:kern w:val="0"/>
                <w:sz w:val="24"/>
                <w:szCs w:val="24"/>
              </w:rPr>
            </w:pPr>
            <w:r>
              <w:rPr>
                <w:rFonts w:hint="eastAsia" w:ascii="宋体" w:hAnsi="宋体" w:eastAsia="宋体" w:cs="宋体"/>
                <w:kern w:val="0"/>
                <w:sz w:val="24"/>
                <w:szCs w:val="24"/>
              </w:rPr>
              <w:t>投标单位名称：（公章）</w:t>
            </w:r>
          </w:p>
          <w:p>
            <w:pPr>
              <w:autoSpaceDE w:val="0"/>
              <w:autoSpaceDN w:val="0"/>
              <w:adjustRightInd w:val="0"/>
              <w:jc w:val="left"/>
              <w:rPr>
                <w:rFonts w:ascii="宋体" w:hAnsi="Times New Roman" w:eastAsia="宋体" w:cs="宋体"/>
                <w:kern w:val="0"/>
                <w:sz w:val="24"/>
                <w:szCs w:val="24"/>
              </w:rPr>
            </w:pPr>
            <w:r>
              <w:rPr>
                <w:rFonts w:hint="eastAsia" w:ascii="宋体" w:hAnsi="宋体" w:eastAsia="宋体" w:cs="宋体"/>
                <w:kern w:val="0"/>
                <w:sz w:val="24"/>
                <w:szCs w:val="24"/>
              </w:rPr>
              <w:t>投标单位地址：</w:t>
            </w:r>
          </w:p>
          <w:p>
            <w:pPr>
              <w:autoSpaceDE w:val="0"/>
              <w:autoSpaceDN w:val="0"/>
              <w:adjustRightInd w:val="0"/>
              <w:jc w:val="left"/>
              <w:rPr>
                <w:rFonts w:ascii="宋体" w:hAnsi="Times New Roman" w:eastAsia="宋体" w:cs="宋体"/>
                <w:kern w:val="0"/>
                <w:sz w:val="24"/>
                <w:szCs w:val="24"/>
              </w:rPr>
            </w:pPr>
            <w:r>
              <w:rPr>
                <w:rFonts w:hint="eastAsia" w:ascii="宋体" w:hAnsi="宋体" w:eastAsia="宋体" w:cs="宋体"/>
                <w:kern w:val="0"/>
                <w:sz w:val="24"/>
                <w:szCs w:val="24"/>
              </w:rPr>
              <w:t>联系人：联系电话：</w:t>
            </w:r>
          </w:p>
          <w:p>
            <w:pPr>
              <w:autoSpaceDE w:val="0"/>
              <w:autoSpaceDN w:val="0"/>
              <w:adjustRightInd w:val="0"/>
              <w:ind w:firstLine="240" w:firstLineChars="100"/>
              <w:jc w:val="left"/>
              <w:rPr>
                <w:rFonts w:ascii="宋体" w:hAnsi="Times New Roman" w:eastAsia="宋体" w:cs="宋体"/>
                <w:kern w:val="0"/>
                <w:sz w:val="24"/>
                <w:szCs w:val="24"/>
              </w:rPr>
            </w:pP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rPr>
              <w:t>月</w:t>
            </w:r>
            <w:r>
              <w:rPr>
                <w:rFonts w:hint="eastAsia"/>
                <w:sz w:val="24"/>
                <w:szCs w:val="24"/>
                <w:u w:val="single"/>
              </w:rPr>
              <w:t xml:space="preserve"> </w:t>
            </w:r>
            <w:r>
              <w:rPr>
                <w:rFonts w:hint="eastAsia"/>
                <w:sz w:val="24"/>
                <w:szCs w:val="24"/>
                <w:u w:val="single"/>
                <w:lang w:val="en-US" w:eastAsia="zh-CN"/>
              </w:rPr>
              <w:t xml:space="preserve">24 </w:t>
            </w:r>
            <w:r>
              <w:rPr>
                <w:sz w:val="24"/>
                <w:szCs w:val="24"/>
              </w:rPr>
              <w:t>日</w:t>
            </w:r>
            <w:r>
              <w:rPr>
                <w:rFonts w:hint="eastAsia"/>
                <w:sz w:val="24"/>
                <w:szCs w:val="24"/>
                <w:lang w:val="en-US" w:eastAsia="zh-CN"/>
              </w:rPr>
              <w:t>11</w:t>
            </w:r>
            <w:r>
              <w:rPr>
                <w:sz w:val="24"/>
                <w:szCs w:val="24"/>
              </w:rPr>
              <w:t>:00</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即开标时间）前不得开封。</w:t>
            </w:r>
          </w:p>
          <w:p>
            <w:pPr>
              <w:jc w:val="left"/>
              <w:rPr>
                <w:rFonts w:ascii="宋体" w:hAnsi="宋体" w:eastAsia="宋体" w:cs="宋体"/>
                <w:kern w:val="0"/>
                <w:sz w:val="24"/>
                <w:szCs w:val="24"/>
              </w:rPr>
            </w:pPr>
            <w:r>
              <w:rPr>
                <w:rFonts w:hint="eastAsia" w:ascii="宋体" w:hAnsi="宋体" w:eastAsia="宋体" w:cs="宋体"/>
                <w:kern w:val="0"/>
                <w:sz w:val="24"/>
                <w:szCs w:val="24"/>
              </w:rPr>
              <w:t>（“正本”或“副本”）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12</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竞争性磋商响应文件递交</w:t>
            </w:r>
          </w:p>
        </w:tc>
        <w:tc>
          <w:tcPr>
            <w:tcW w:w="7073" w:type="dxa"/>
            <w:vAlign w:val="center"/>
          </w:tcPr>
          <w:p>
            <w:pPr>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截止时间：</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u w:val="single"/>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u w:val="single"/>
              </w:rPr>
              <w:t>月</w:t>
            </w:r>
            <w:r>
              <w:rPr>
                <w:rFonts w:hint="eastAsia"/>
                <w:sz w:val="24"/>
                <w:szCs w:val="24"/>
                <w:u w:val="single"/>
              </w:rPr>
              <w:t xml:space="preserve"> </w:t>
            </w:r>
            <w:r>
              <w:rPr>
                <w:rFonts w:hint="eastAsia"/>
                <w:sz w:val="24"/>
                <w:szCs w:val="24"/>
                <w:u w:val="single"/>
                <w:lang w:val="en-US" w:eastAsia="zh-CN"/>
              </w:rPr>
              <w:t xml:space="preserve">24 </w:t>
            </w:r>
            <w:r>
              <w:rPr>
                <w:sz w:val="24"/>
                <w:szCs w:val="24"/>
                <w:u w:val="single"/>
              </w:rPr>
              <w:t>日</w:t>
            </w:r>
            <w:r>
              <w:rPr>
                <w:rFonts w:hint="eastAsia"/>
                <w:sz w:val="24"/>
                <w:szCs w:val="24"/>
                <w:u w:val="single"/>
                <w:lang w:val="en-US" w:eastAsia="zh-CN"/>
              </w:rPr>
              <w:t>11</w:t>
            </w:r>
            <w:r>
              <w:rPr>
                <w:sz w:val="24"/>
                <w:szCs w:val="24"/>
                <w:u w:val="single"/>
              </w:rPr>
              <w:t>:00</w:t>
            </w:r>
            <w:r>
              <w:rPr>
                <w:rFonts w:hint="eastAsia" w:eastAsia="宋体" w:cs="宋体" w:asciiTheme="minorEastAsia" w:hAnsiTheme="minorEastAsia"/>
                <w:kern w:val="0"/>
                <w:sz w:val="24"/>
                <w:szCs w:val="24"/>
              </w:rPr>
              <w:t>（北京时间）</w:t>
            </w:r>
          </w:p>
          <w:p>
            <w:pPr>
              <w:keepNext/>
              <w:widowControl/>
              <w:jc w:val="left"/>
              <w:rPr>
                <w:rFonts w:eastAsia="宋体" w:cs="Arial" w:asciiTheme="minorEastAsia" w:hAnsiTheme="minorEastAsia"/>
                <w:kern w:val="0"/>
                <w:sz w:val="24"/>
                <w:szCs w:val="24"/>
              </w:rPr>
            </w:pPr>
            <w:r>
              <w:rPr>
                <w:rFonts w:hint="eastAsia" w:eastAsia="宋体" w:cs="宋体" w:asciiTheme="minorEastAsia" w:hAnsiTheme="minorEastAsia"/>
                <w:kern w:val="0"/>
                <w:sz w:val="24"/>
                <w:szCs w:val="24"/>
              </w:rPr>
              <w:t>递交地点：乌鲁木齐市水磨沟区立井街丽景名都10 号楼21 楼2110 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13</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开标</w:t>
            </w:r>
          </w:p>
        </w:tc>
        <w:tc>
          <w:tcPr>
            <w:tcW w:w="7073" w:type="dxa"/>
            <w:vAlign w:val="center"/>
          </w:tcPr>
          <w:p>
            <w:pPr>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时间：</w:t>
            </w:r>
            <w:r>
              <w:rPr>
                <w:rFonts w:hint="eastAsia"/>
                <w:sz w:val="24"/>
                <w:szCs w:val="24"/>
                <w:u w:val="single"/>
              </w:rPr>
              <w:t>202</w:t>
            </w:r>
            <w:r>
              <w:rPr>
                <w:rFonts w:hint="eastAsia"/>
                <w:sz w:val="24"/>
                <w:szCs w:val="24"/>
                <w:u w:val="single"/>
                <w:lang w:val="en-US" w:eastAsia="zh-CN"/>
              </w:rPr>
              <w:t>2</w:t>
            </w:r>
            <w:r>
              <w:rPr>
                <w:rFonts w:hint="eastAsia"/>
                <w:sz w:val="24"/>
                <w:szCs w:val="24"/>
                <w:u w:val="single"/>
              </w:rPr>
              <w:t xml:space="preserve"> </w:t>
            </w:r>
            <w:r>
              <w:rPr>
                <w:sz w:val="24"/>
                <w:szCs w:val="24"/>
                <w:u w:val="single"/>
              </w:rPr>
              <w:t>年</w:t>
            </w:r>
            <w:r>
              <w:rPr>
                <w:rFonts w:hint="eastAsia"/>
                <w:sz w:val="24"/>
                <w:szCs w:val="24"/>
                <w:u w:val="single"/>
              </w:rPr>
              <w:t xml:space="preserve"> </w:t>
            </w:r>
            <w:r>
              <w:rPr>
                <w:rFonts w:hint="eastAsia"/>
                <w:sz w:val="24"/>
                <w:szCs w:val="24"/>
                <w:u w:val="single"/>
                <w:lang w:val="en-US" w:eastAsia="zh-CN"/>
              </w:rPr>
              <w:t xml:space="preserve">01 </w:t>
            </w:r>
            <w:r>
              <w:rPr>
                <w:rFonts w:hint="eastAsia"/>
                <w:sz w:val="24"/>
                <w:szCs w:val="24"/>
                <w:u w:val="single"/>
              </w:rPr>
              <w:t xml:space="preserve"> </w:t>
            </w:r>
            <w:r>
              <w:rPr>
                <w:sz w:val="24"/>
                <w:szCs w:val="24"/>
                <w:u w:val="single"/>
              </w:rPr>
              <w:t>月</w:t>
            </w:r>
            <w:r>
              <w:rPr>
                <w:rFonts w:hint="eastAsia"/>
                <w:sz w:val="24"/>
                <w:szCs w:val="24"/>
                <w:u w:val="single"/>
              </w:rPr>
              <w:t xml:space="preserve"> </w:t>
            </w:r>
            <w:r>
              <w:rPr>
                <w:rFonts w:hint="eastAsia"/>
                <w:sz w:val="24"/>
                <w:szCs w:val="24"/>
                <w:u w:val="single"/>
                <w:lang w:val="en-US" w:eastAsia="zh-CN"/>
              </w:rPr>
              <w:t xml:space="preserve">24 </w:t>
            </w:r>
            <w:r>
              <w:rPr>
                <w:sz w:val="24"/>
                <w:szCs w:val="24"/>
                <w:u w:val="single"/>
              </w:rPr>
              <w:t>日</w:t>
            </w:r>
            <w:r>
              <w:rPr>
                <w:rFonts w:hint="eastAsia"/>
                <w:sz w:val="24"/>
                <w:szCs w:val="24"/>
                <w:u w:val="single"/>
                <w:lang w:val="en-US" w:eastAsia="zh-CN"/>
              </w:rPr>
              <w:t>11</w:t>
            </w:r>
            <w:r>
              <w:rPr>
                <w:sz w:val="24"/>
                <w:szCs w:val="24"/>
                <w:u w:val="single"/>
              </w:rPr>
              <w:t>:00</w:t>
            </w:r>
            <w:bookmarkStart w:id="817" w:name="_GoBack"/>
            <w:bookmarkEnd w:id="817"/>
            <w:r>
              <w:rPr>
                <w:rFonts w:hint="eastAsia" w:eastAsia="宋体" w:cs="宋体" w:asciiTheme="minorEastAsia" w:hAnsiTheme="minorEastAsia"/>
                <w:kern w:val="0"/>
                <w:sz w:val="24"/>
                <w:szCs w:val="24"/>
              </w:rPr>
              <w:t>（北京时间）</w:t>
            </w:r>
          </w:p>
          <w:p>
            <w:pPr>
              <w:keepNext/>
              <w:widowControl/>
              <w:jc w:val="left"/>
              <w:rPr>
                <w:rFonts w:eastAsia="宋体" w:cs="Arial" w:asciiTheme="minorEastAsia" w:hAnsiTheme="minorEastAsia"/>
                <w:kern w:val="0"/>
                <w:sz w:val="24"/>
                <w:szCs w:val="24"/>
              </w:rPr>
            </w:pPr>
            <w:r>
              <w:rPr>
                <w:rFonts w:hint="eastAsia" w:eastAsia="宋体" w:cs="宋体" w:asciiTheme="minorEastAsia" w:hAnsiTheme="minorEastAsia"/>
                <w:kern w:val="0"/>
                <w:sz w:val="24"/>
                <w:szCs w:val="24"/>
              </w:rPr>
              <w:t>地点：乌鲁木齐市水磨沟区立井街丽景名都10 号楼21 楼2110 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14</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投标有效期</w:t>
            </w:r>
          </w:p>
        </w:tc>
        <w:tc>
          <w:tcPr>
            <w:tcW w:w="7073" w:type="dxa"/>
            <w:vAlign w:val="center"/>
          </w:tcPr>
          <w:p>
            <w:pPr>
              <w:keepNext/>
              <w:widowControl/>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自投标截止之日</w:t>
            </w:r>
            <w:r>
              <w:rPr>
                <w:rFonts w:eastAsia="宋体" w:cs="Arial" w:asciiTheme="minorEastAsia" w:hAnsiTheme="minorEastAsia"/>
                <w:kern w:val="0"/>
                <w:sz w:val="24"/>
                <w:szCs w:val="24"/>
              </w:rPr>
              <w:t>30</w:t>
            </w:r>
            <w:r>
              <w:rPr>
                <w:rFonts w:hint="eastAsia" w:eastAsia="宋体" w:cs="Arial" w:asciiTheme="minorEastAsia" w:hAnsiTheme="minorEastAsia"/>
                <w:kern w:val="0"/>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15</w:t>
            </w:r>
          </w:p>
        </w:tc>
        <w:tc>
          <w:tcPr>
            <w:tcW w:w="1410" w:type="dxa"/>
            <w:vAlign w:val="center"/>
          </w:tcPr>
          <w:p>
            <w:pPr>
              <w:jc w:val="center"/>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竞争性磋商公告发布媒体</w:t>
            </w:r>
          </w:p>
        </w:tc>
        <w:tc>
          <w:tcPr>
            <w:tcW w:w="7073" w:type="dxa"/>
            <w:vAlign w:val="center"/>
          </w:tcPr>
          <w:p>
            <w:pPr>
              <w:rPr>
                <w:rFonts w:eastAsia="宋体" w:cs="宋体" w:asciiTheme="minorEastAsia" w:hAnsiTheme="minorEastAsia"/>
                <w:kern w:val="0"/>
                <w:sz w:val="24"/>
                <w:szCs w:val="24"/>
                <w:u w:val="single"/>
              </w:rPr>
            </w:pPr>
            <w:r>
              <w:rPr>
                <w:rFonts w:hint="eastAsia" w:eastAsia="宋体" w:cs="Arial" w:asciiTheme="minorEastAsia" w:hAnsiTheme="minorEastAsia"/>
                <w:kern w:val="0"/>
                <w:sz w:val="24"/>
                <w:szCs w:val="24"/>
              </w:rPr>
              <w:t>新疆政府采购网（</w:t>
            </w:r>
            <w:r>
              <w:rPr>
                <w:rFonts w:eastAsia="宋体" w:cs="Arial" w:asciiTheme="minorEastAsia" w:hAnsiTheme="minorEastAsia"/>
                <w:kern w:val="0"/>
                <w:sz w:val="24"/>
                <w:szCs w:val="24"/>
              </w:rPr>
              <w:t>http://www.ccgp-xinjiang.gov.cn/</w:t>
            </w:r>
            <w:r>
              <w:rPr>
                <w:rFonts w:hint="eastAsia" w:eastAsia="宋体" w:cs="Arial" w:asciiTheme="minorEastAsia" w:hAnsiTheme="minorEastAsia"/>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16</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履约保证金</w:t>
            </w:r>
          </w:p>
        </w:tc>
        <w:tc>
          <w:tcPr>
            <w:tcW w:w="7073" w:type="dxa"/>
            <w:vAlign w:val="center"/>
          </w:tcPr>
          <w:p>
            <w:pPr>
              <w:keepNext/>
              <w:widowControl/>
              <w:ind w:firstLine="120" w:firstLineChars="50"/>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合同签订价款的10%或遵循甲方约定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17</w:t>
            </w:r>
          </w:p>
        </w:tc>
        <w:tc>
          <w:tcPr>
            <w:tcW w:w="1410" w:type="dxa"/>
            <w:vAlign w:val="center"/>
          </w:tcPr>
          <w:p>
            <w:pPr>
              <w:keepNext/>
              <w:widowControl/>
              <w:jc w:val="center"/>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代理服务费</w:t>
            </w:r>
          </w:p>
        </w:tc>
        <w:tc>
          <w:tcPr>
            <w:tcW w:w="7073" w:type="dxa"/>
            <w:vAlign w:val="center"/>
          </w:tcPr>
          <w:p>
            <w:pPr>
              <w:keepNext/>
              <w:widowControl/>
              <w:ind w:firstLine="120" w:firstLineChars="50"/>
              <w:jc w:val="left"/>
              <w:rPr>
                <w:rFonts w:eastAsia="宋体" w:cs="Arial" w:asciiTheme="minorEastAsia" w:hAnsiTheme="minorEastAsia"/>
                <w:kern w:val="0"/>
                <w:sz w:val="24"/>
                <w:szCs w:val="24"/>
              </w:rPr>
            </w:pPr>
            <w:r>
              <w:rPr>
                <w:rFonts w:hint="eastAsia" w:eastAsia="宋体" w:cs="Arial" w:asciiTheme="minorEastAsia" w:hAnsiTheme="minorEastAsia"/>
                <w:kern w:val="0"/>
                <w:sz w:val="24"/>
                <w:szCs w:val="24"/>
              </w:rPr>
              <w:t>采购人委托了专业的招标代理机构实施本次招标工作。招标代理服务费的计算执行“《国家发展改革委关于进一步放开建设项目专业服务价格的通知》</w:t>
            </w:r>
            <w:r>
              <w:rPr>
                <w:rFonts w:eastAsia="宋体" w:cs="Arial" w:asciiTheme="minorEastAsia" w:hAnsiTheme="minorEastAsia"/>
                <w:kern w:val="0"/>
                <w:sz w:val="24"/>
                <w:szCs w:val="24"/>
              </w:rPr>
              <w:t xml:space="preserve">[2015] 299 </w:t>
            </w:r>
            <w:r>
              <w:rPr>
                <w:rFonts w:hint="eastAsia" w:eastAsia="宋体" w:cs="Arial" w:asciiTheme="minorEastAsia" w:hAnsiTheme="minorEastAsia"/>
                <w:kern w:val="0"/>
                <w:sz w:val="24"/>
                <w:szCs w:val="24"/>
              </w:rPr>
              <w:t>号文件”、“国家发展改革委办公厅关于招标代理服务收费有关问题的通知（发改价格</w:t>
            </w:r>
            <w:r>
              <w:rPr>
                <w:rFonts w:eastAsia="宋体" w:cs="Arial" w:asciiTheme="minorEastAsia" w:hAnsiTheme="minorEastAsia"/>
                <w:kern w:val="0"/>
                <w:sz w:val="24"/>
                <w:szCs w:val="24"/>
              </w:rPr>
              <w:t xml:space="preserve">[2011]534 </w:t>
            </w:r>
            <w:r>
              <w:rPr>
                <w:rFonts w:hint="eastAsia" w:eastAsia="宋体" w:cs="Arial" w:asciiTheme="minorEastAsia" w:hAnsiTheme="minorEastAsia"/>
                <w:kern w:val="0"/>
                <w:sz w:val="24"/>
                <w:szCs w:val="24"/>
              </w:rPr>
              <w:t>号）文件，由中标供应商支付。</w:t>
            </w:r>
          </w:p>
        </w:tc>
      </w:tr>
    </w:tbl>
    <w:p>
      <w:pPr>
        <w:spacing w:line="360" w:lineRule="auto"/>
        <w:jc w:val="center"/>
        <w:outlineLvl w:val="0"/>
        <w:rPr>
          <w:rFonts w:ascii="宋体" w:hAnsi="宋体" w:eastAsia="宋体" w:cs="宋体"/>
          <w:b/>
          <w:sz w:val="24"/>
          <w:szCs w:val="24"/>
        </w:rPr>
      </w:pPr>
      <w:bookmarkStart w:id="2" w:name="_BookMark_3"/>
      <w:bookmarkEnd w:id="2"/>
      <w:r>
        <w:rPr>
          <w:rFonts w:ascii="宋体" w:hAnsi="Calibri" w:eastAsia="宋体" w:cs="Arial"/>
          <w:kern w:val="0"/>
          <w:sz w:val="24"/>
          <w:szCs w:val="24"/>
        </w:rPr>
        <w:br w:type="page"/>
      </w:r>
      <w:bookmarkStart w:id="3" w:name="_Toc14812"/>
      <w:r>
        <w:rPr>
          <w:rFonts w:hint="eastAsia" w:ascii="宋体" w:hAnsi="宋体" w:eastAsia="宋体" w:cs="宋体"/>
          <w:b/>
          <w:sz w:val="24"/>
          <w:szCs w:val="24"/>
        </w:rPr>
        <w:t>第一章 供应商须知</w:t>
      </w:r>
      <w:bookmarkEnd w:id="3"/>
      <w:bookmarkStart w:id="4" w:name="_BookMark_2"/>
      <w:bookmarkEnd w:id="4"/>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5" w:name="_Toc26277"/>
      <w:r>
        <w:rPr>
          <w:rFonts w:ascii="宋体" w:hAnsi="宋体" w:eastAsia="宋体" w:cs="宋体"/>
          <w:b/>
          <w:sz w:val="24"/>
          <w:szCs w:val="24"/>
        </w:rPr>
        <w:t>1</w:t>
      </w:r>
      <w:r>
        <w:rPr>
          <w:rFonts w:hint="eastAsia" w:ascii="宋体" w:hAnsi="宋体" w:eastAsia="宋体" w:cs="宋体"/>
          <w:b/>
          <w:sz w:val="24"/>
          <w:szCs w:val="24"/>
        </w:rPr>
        <w:t>．总则</w:t>
      </w:r>
      <w:bookmarkEnd w:id="5"/>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1.1 </w:t>
      </w:r>
      <w:r>
        <w:rPr>
          <w:rFonts w:hint="eastAsia" w:ascii="宋体" w:hAnsi="宋体" w:eastAsia="宋体" w:cs="Arial"/>
          <w:kern w:val="0"/>
          <w:sz w:val="24"/>
          <w:szCs w:val="24"/>
        </w:rPr>
        <w:t>招标项目概况</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1.1.1</w:t>
      </w:r>
      <w:r>
        <w:rPr>
          <w:rFonts w:hint="eastAsia" w:ascii="宋体" w:hAnsi="宋体" w:eastAsia="宋体" w:cs="Arial"/>
          <w:kern w:val="0"/>
          <w:sz w:val="24"/>
          <w:szCs w:val="24"/>
        </w:rPr>
        <w:t>项目名称：见供应商须知前附表。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1.1.2</w:t>
      </w:r>
      <w:r>
        <w:rPr>
          <w:rFonts w:hint="eastAsia" w:ascii="宋体" w:hAnsi="宋体" w:eastAsia="宋体" w:cs="Arial"/>
          <w:kern w:val="0"/>
          <w:sz w:val="24"/>
          <w:szCs w:val="24"/>
        </w:rPr>
        <w:t>项目编号：见供应商须知前附表。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1.1.3</w:t>
      </w:r>
      <w:r>
        <w:rPr>
          <w:rFonts w:hint="eastAsia" w:ascii="宋体" w:hAnsi="宋体" w:eastAsia="宋体" w:cs="Arial"/>
          <w:kern w:val="0"/>
          <w:sz w:val="24"/>
          <w:szCs w:val="24"/>
        </w:rPr>
        <w:t>采购人：见供应商须知前附表。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1.1.4</w:t>
      </w:r>
      <w:r>
        <w:rPr>
          <w:rFonts w:hint="eastAsia" w:ascii="宋体" w:hAnsi="宋体" w:eastAsia="宋体" w:cs="Arial"/>
          <w:kern w:val="0"/>
          <w:sz w:val="24"/>
          <w:szCs w:val="24"/>
        </w:rPr>
        <w:t>采购代理机构：见供应商须知前附表。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1.1.5</w:t>
      </w:r>
      <w:r>
        <w:rPr>
          <w:rFonts w:hint="eastAsia" w:ascii="宋体" w:hAnsi="宋体" w:eastAsia="宋体" w:cs="Arial"/>
          <w:kern w:val="0"/>
          <w:sz w:val="24"/>
          <w:szCs w:val="24"/>
        </w:rPr>
        <w:t>项目地点：见供应商须知前附表。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1.1.6</w:t>
      </w:r>
      <w:r>
        <w:rPr>
          <w:rFonts w:hint="eastAsia" w:ascii="宋体" w:hAnsi="宋体" w:eastAsia="宋体" w:cs="Arial"/>
          <w:kern w:val="0"/>
          <w:sz w:val="24"/>
          <w:szCs w:val="24"/>
        </w:rPr>
        <w:t>资金来源：见供应商须知前附表。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1.1.7</w:t>
      </w:r>
      <w:r>
        <w:rPr>
          <w:rFonts w:hint="eastAsia" w:ascii="宋体" w:hAnsi="宋体" w:eastAsia="宋体" w:cs="Arial"/>
          <w:kern w:val="0"/>
          <w:sz w:val="24"/>
          <w:szCs w:val="24"/>
        </w:rPr>
        <w:t>采购预算金额：见供应商须知前附表。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1.1.8 供货安装周期：见供应商须知前附表。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1.1.9 质保期：见供应商须知前附表。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1.2</w:t>
      </w:r>
      <w:r>
        <w:rPr>
          <w:rFonts w:hint="eastAsia" w:ascii="宋体" w:hAnsi="宋体" w:eastAsia="宋体" w:cs="Arial"/>
          <w:kern w:val="0"/>
          <w:sz w:val="24"/>
          <w:szCs w:val="24"/>
        </w:rPr>
        <w:t xml:space="preserve"> 招标范围：见供应商须知前附表。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1.3 </w:t>
      </w:r>
      <w:r>
        <w:rPr>
          <w:rFonts w:hint="eastAsia" w:ascii="宋体" w:hAnsi="宋体" w:eastAsia="宋体" w:cs="Arial"/>
          <w:kern w:val="0"/>
          <w:sz w:val="24"/>
          <w:szCs w:val="24"/>
        </w:rPr>
        <w:t>招标方式和资格审查方式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1.3.1 </w:t>
      </w:r>
      <w:r>
        <w:rPr>
          <w:rFonts w:hint="eastAsia" w:ascii="宋体" w:hAnsi="宋体" w:eastAsia="宋体" w:cs="Arial"/>
          <w:kern w:val="0"/>
          <w:sz w:val="24"/>
          <w:szCs w:val="24"/>
        </w:rPr>
        <w:t>招标方式：见供应商须知前附表。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1.3.2 </w:t>
      </w:r>
      <w:r>
        <w:rPr>
          <w:rFonts w:hint="eastAsia" w:ascii="宋体" w:hAnsi="宋体" w:eastAsia="宋体" w:cs="Arial"/>
          <w:kern w:val="0"/>
          <w:sz w:val="24"/>
          <w:szCs w:val="24"/>
        </w:rPr>
        <w:t>资格审查方式：见供应商须知前附表。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 </w:t>
      </w:r>
      <w:r>
        <w:rPr>
          <w:rFonts w:hint="eastAsia" w:ascii="宋体" w:hAnsi="宋体" w:eastAsia="宋体" w:cs="Arial"/>
          <w:kern w:val="0"/>
          <w:sz w:val="24"/>
          <w:szCs w:val="24"/>
        </w:rPr>
        <w:t>评标办法及定标方法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1.4.1 </w:t>
      </w:r>
      <w:r>
        <w:rPr>
          <w:rFonts w:hint="eastAsia" w:ascii="宋体" w:hAnsi="宋体" w:eastAsia="宋体" w:cs="Arial"/>
          <w:kern w:val="0"/>
          <w:sz w:val="24"/>
          <w:szCs w:val="24"/>
        </w:rPr>
        <w:t>评标办法：见供应商须知前附表。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1.4.2</w:t>
      </w:r>
      <w:r>
        <w:rPr>
          <w:rFonts w:hint="eastAsia" w:ascii="宋体" w:hAnsi="宋体" w:eastAsia="宋体" w:cs="Arial"/>
          <w:kern w:val="0"/>
          <w:sz w:val="24"/>
          <w:szCs w:val="24"/>
        </w:rPr>
        <w:t xml:space="preserve"> 定标方法：见供应商须知前附表。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 </w:t>
      </w:r>
      <w:r>
        <w:rPr>
          <w:rFonts w:hint="eastAsia" w:ascii="宋体" w:hAnsi="宋体" w:eastAsia="宋体" w:cs="Arial"/>
          <w:kern w:val="0"/>
          <w:sz w:val="24"/>
          <w:szCs w:val="24"/>
        </w:rPr>
        <w:t>供应商资格条件和能力要求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1.5.1 </w:t>
      </w:r>
      <w:r>
        <w:rPr>
          <w:rFonts w:hint="eastAsia" w:ascii="宋体" w:hAnsi="宋体" w:eastAsia="宋体" w:cs="Arial"/>
          <w:kern w:val="0"/>
          <w:sz w:val="24"/>
          <w:szCs w:val="24"/>
        </w:rPr>
        <w:t>供应商应具备承担本招标项目的资格条件和能力，具体要求见供应商须知前附表。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1.5.2 </w:t>
      </w:r>
      <w:r>
        <w:rPr>
          <w:rFonts w:hint="eastAsia" w:ascii="宋体" w:hAnsi="宋体" w:eastAsia="宋体" w:cs="Arial"/>
          <w:kern w:val="0"/>
          <w:sz w:val="24"/>
          <w:szCs w:val="24"/>
        </w:rPr>
        <w:t>供应商须知前附表规定接受联合体投标的，除应符合本章第</w:t>
      </w:r>
      <w:r>
        <w:rPr>
          <w:rFonts w:ascii="宋体" w:hAnsi="宋体" w:eastAsia="宋体" w:cs="Arial"/>
          <w:kern w:val="0"/>
          <w:sz w:val="24"/>
          <w:szCs w:val="24"/>
        </w:rPr>
        <w:t>1.</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款和供应商须知前附表的要求外，还应遵守以下规定：（</w:t>
      </w:r>
      <w:r>
        <w:rPr>
          <w:rFonts w:ascii="宋体" w:hAnsi="宋体" w:eastAsia="宋体" w:cs="Arial"/>
          <w:kern w:val="0"/>
          <w:sz w:val="24"/>
          <w:szCs w:val="24"/>
        </w:rPr>
        <w:t>1</w:t>
      </w:r>
      <w:r>
        <w:rPr>
          <w:rFonts w:hint="eastAsia" w:ascii="宋体" w:hAnsi="宋体" w:eastAsia="宋体" w:cs="Arial"/>
          <w:kern w:val="0"/>
          <w:sz w:val="24"/>
          <w:szCs w:val="24"/>
        </w:rPr>
        <w:t>）联合体各方应按竞争性磋商文件提供的格式签订联合体协议书，明确联合体牵头人和各方权利义务；（</w:t>
      </w:r>
      <w:r>
        <w:rPr>
          <w:rFonts w:ascii="宋体" w:hAnsi="宋体" w:eastAsia="宋体" w:cs="Arial"/>
          <w:kern w:val="0"/>
          <w:sz w:val="24"/>
          <w:szCs w:val="24"/>
        </w:rPr>
        <w:t>2</w:t>
      </w:r>
      <w:r>
        <w:rPr>
          <w:rFonts w:hint="eastAsia" w:ascii="宋体" w:hAnsi="宋体" w:eastAsia="宋体" w:cs="Arial"/>
          <w:kern w:val="0"/>
          <w:sz w:val="24"/>
          <w:szCs w:val="24"/>
        </w:rPr>
        <w:t>）联合体各方不得再以自己名义单独或参加其他联合体在本招标项目中投标。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1.5.3 </w:t>
      </w:r>
      <w:r>
        <w:rPr>
          <w:rFonts w:hint="eastAsia" w:ascii="宋体" w:hAnsi="宋体" w:eastAsia="宋体" w:cs="Arial"/>
          <w:kern w:val="0"/>
          <w:sz w:val="24"/>
          <w:szCs w:val="24"/>
        </w:rPr>
        <w:t>供应商不得存在下列情形之一，否则相关投标均应被否决：</w:t>
      </w:r>
    </w:p>
    <w:p>
      <w:pPr>
        <w:autoSpaceDE w:val="0"/>
        <w:autoSpaceDN w:val="0"/>
        <w:spacing w:line="360" w:lineRule="auto"/>
        <w:ind w:firstLine="480" w:firstLineChars="200"/>
        <w:jc w:val="left"/>
        <w:rPr>
          <w:sz w:val="24"/>
          <w:szCs w:val="24"/>
        </w:rPr>
      </w:pPr>
      <w:bookmarkStart w:id="6" w:name="_BookMark_5"/>
      <w:bookmarkEnd w:id="6"/>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sz w:val="24"/>
          <w:szCs w:val="24"/>
        </w:rPr>
        <w:t>与采购人存在利害关系可能影响招标公正性的法人、其他组织或者个人，不得参加投标。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）单位负责人为同一人或者存在控股、管理关系的不同供应商，不得参加同一合同项下的政府采购活动。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6费用承担</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1.6.1竞争性磋商文件费：见供应商须知前附表。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1.6.2供应商应承担其编制竞争性磋商响应文件与递交竞争性磋商响应文件所涉及的一切费用，无论投标结果如何，采购人及采购代理机构对上述费用不作任何补偿。采购代理费由成交人支付。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7磋商保证金：见供应商须知前附表。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1.8踏勘现场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.1 </w:t>
      </w:r>
      <w:r>
        <w:rPr>
          <w:rFonts w:hint="eastAsia" w:ascii="宋体" w:hAnsi="宋体" w:eastAsia="宋体" w:cs="Arial"/>
          <w:kern w:val="0"/>
          <w:sz w:val="24"/>
          <w:szCs w:val="24"/>
        </w:rPr>
        <w:t>供应商须知前附表规定组织踏勘现场的，采购人或采购代理机构按供应商须知前附表规定的时间、地点组织供应商踏勘项目现场。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.2 </w:t>
      </w:r>
      <w:r>
        <w:rPr>
          <w:rFonts w:hint="eastAsia" w:ascii="宋体" w:hAnsi="宋体" w:eastAsia="宋体" w:cs="Arial"/>
          <w:kern w:val="0"/>
          <w:sz w:val="24"/>
          <w:szCs w:val="24"/>
        </w:rPr>
        <w:t>供应商踏勘现场发生的费用自理。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.3 </w:t>
      </w:r>
      <w:r>
        <w:rPr>
          <w:rFonts w:hint="eastAsia" w:ascii="宋体" w:hAnsi="宋体" w:eastAsia="宋体" w:cs="Arial"/>
          <w:kern w:val="0"/>
          <w:sz w:val="24"/>
          <w:szCs w:val="24"/>
        </w:rPr>
        <w:t>除采购人或采购代理机构的原因外，供应商自行负责在踏勘现场中所发生的人员伤亡和财产损失。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.4 </w:t>
      </w:r>
      <w:r>
        <w:rPr>
          <w:rFonts w:hint="eastAsia" w:ascii="宋体" w:hAnsi="宋体" w:eastAsia="宋体" w:cs="Arial"/>
          <w:kern w:val="0"/>
          <w:sz w:val="24"/>
          <w:szCs w:val="24"/>
        </w:rPr>
        <w:t>采购人或采购代理机构在踏勘现场中介绍的项目有关情况，供供应商在编制竞争性磋商响应文件时参考，采购人或采购代理机构不对供应商据此作出的判断和决策负责。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9招标答疑会和招标澄清答疑要求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.1 </w:t>
      </w:r>
      <w:r>
        <w:rPr>
          <w:rFonts w:hint="eastAsia" w:ascii="宋体" w:hAnsi="宋体" w:eastAsia="宋体" w:cs="Arial"/>
          <w:kern w:val="0"/>
          <w:sz w:val="24"/>
          <w:szCs w:val="24"/>
        </w:rPr>
        <w:t>供应商须知前附表规定召开招标答疑会的，采购人或采购代理机构按照供应商须知前附表规定的时间和地点召开招标答疑会，澄清供应商提出的问题。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.2 </w:t>
      </w:r>
      <w:r>
        <w:rPr>
          <w:rFonts w:hint="eastAsia" w:ascii="宋体" w:hAnsi="宋体" w:eastAsia="宋体" w:cs="Arial"/>
          <w:kern w:val="0"/>
          <w:sz w:val="24"/>
          <w:szCs w:val="24"/>
        </w:rPr>
        <w:t>供应商若有疑问，应按供应商须知前附表规定的时间、方式向采购人或采购代理机构提出，要求采购人对竞争性磋商文件予以澄清。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.3 </w:t>
      </w:r>
      <w:r>
        <w:rPr>
          <w:rFonts w:hint="eastAsia" w:ascii="宋体" w:hAnsi="宋体" w:eastAsia="宋体" w:cs="Arial"/>
          <w:kern w:val="0"/>
          <w:sz w:val="24"/>
          <w:szCs w:val="24"/>
        </w:rPr>
        <w:t>采购人或采购代理机构将按照供应商须知前附表规定的时间方式对供应商的疑问作出统一的解答。</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1.10竞争性磋商响应文件份数：见供应商须知前附表。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1.11竞争性磋商响应文件递交：见供应商须知前附表。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1.12开标：见供应商须知前附表。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1.13投标有效期：见供应商须知前附表。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1.14竞争性磋商公告发布媒体：见供应商须知前附表。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1.15履约保证金：见供应商须知前附表。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1.16保密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参与招标投标活动的各方应当对竞争性磋商文件和竞争性磋商响应文件中的商业和技术等秘密保密，否则应当承担相应的法律责任。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17语言文字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除专用术语外，与招标投标有关的语言均应当使用中文。必要时专用术语应附有中文注释。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18计量单位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所有计量均采用中华人民共和国法定计量单位。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19偏离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竞争性磋商响应文件与竞争性磋商文件某些要求产生偏离的，偏离应当符合竞争性磋商文件规定的偏离范围和幅度。</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7" w:name="_Toc22320"/>
      <w:r>
        <w:rPr>
          <w:rFonts w:ascii="宋体" w:hAnsi="宋体" w:eastAsia="宋体" w:cs="宋体"/>
          <w:b/>
          <w:sz w:val="24"/>
          <w:szCs w:val="24"/>
        </w:rPr>
        <w:t>2</w:t>
      </w:r>
      <w:r>
        <w:rPr>
          <w:rFonts w:hint="eastAsia" w:ascii="宋体" w:hAnsi="宋体" w:eastAsia="宋体" w:cs="宋体"/>
          <w:b/>
          <w:sz w:val="24"/>
          <w:szCs w:val="24"/>
        </w:rPr>
        <w:t>．竞争性磋商文件</w:t>
      </w:r>
      <w:bookmarkEnd w:id="7"/>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2.1 </w:t>
      </w:r>
      <w:r>
        <w:rPr>
          <w:rFonts w:hint="eastAsia" w:ascii="宋体" w:hAnsi="宋体" w:eastAsia="宋体" w:cs="Arial"/>
          <w:kern w:val="0"/>
          <w:sz w:val="24"/>
          <w:szCs w:val="24"/>
        </w:rPr>
        <w:t>竞争性磋商文件的组成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（1）竞争性磋商公告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（2）供应商须知；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（3）评标办法；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（4）合同条款及格式；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（5）服务标准和要求；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（6）竞争性磋商响应文件格式；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根据本章第</w:t>
      </w:r>
      <w:r>
        <w:rPr>
          <w:rFonts w:ascii="宋体" w:hAnsi="宋体" w:eastAsia="宋体" w:cs="Arial"/>
          <w:kern w:val="0"/>
          <w:sz w:val="24"/>
          <w:szCs w:val="24"/>
        </w:rPr>
        <w:t>2.4</w:t>
      </w:r>
      <w:r>
        <w:rPr>
          <w:rFonts w:hint="eastAsia" w:ascii="宋体" w:hAnsi="宋体" w:eastAsia="宋体" w:cs="Arial"/>
          <w:kern w:val="0"/>
          <w:sz w:val="24"/>
          <w:szCs w:val="24"/>
        </w:rPr>
        <w:t>款和第</w:t>
      </w:r>
      <w:r>
        <w:rPr>
          <w:rFonts w:ascii="宋体" w:hAnsi="宋体" w:eastAsia="宋体" w:cs="Arial"/>
          <w:kern w:val="0"/>
          <w:sz w:val="24"/>
          <w:szCs w:val="24"/>
        </w:rPr>
        <w:t>2.5</w:t>
      </w:r>
      <w:r>
        <w:rPr>
          <w:rFonts w:hint="eastAsia" w:ascii="宋体" w:hAnsi="宋体" w:eastAsia="宋体" w:cs="Arial"/>
          <w:kern w:val="0"/>
          <w:sz w:val="24"/>
          <w:szCs w:val="24"/>
        </w:rPr>
        <w:t>款对竞争性磋商文件所作的澄清、修改，构成竞争性磋商文件的组成部分。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2竞争性磋商文件的获取</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凡有意参加并符合供应商须知前附表“供应商资格条件和能力”的供应商，均可在采购代理机构获取竞争性磋商文件。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3竞争性磋商文件的澄清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.1 </w:t>
      </w:r>
      <w:r>
        <w:rPr>
          <w:rFonts w:hint="eastAsia" w:ascii="宋体" w:hAnsi="宋体" w:eastAsia="宋体" w:cs="Arial"/>
          <w:kern w:val="0"/>
          <w:sz w:val="24"/>
          <w:szCs w:val="24"/>
        </w:rPr>
        <w:t>供应商应当仔细阅读和检查竞争性磋商文件的全部内容。如发现缺页或附件不全，应当及时向采购人提出，以便补齐。如有疑问，应当在供应商须知前附表规定的时间、方式向采购人提出，要求采购人对竞争性磋商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竞争性磋商文件的澄清将按照供应商须知前附表规定的时间、方式发布，但不指明澄清问题的来源。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4竞争性磋商文件的修改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竞争性磋商文件的修改将按照供应商须知前附表规定的时间、方式发布，但不指明澄清问题的来源。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在供应商须知前附表规定的截止时间前，无论出于何种原因，采购代理机构和采购人可主动地或在解答潜在供应商提出的澄清问题时对竞争性磋商文件进行修改。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.3 </w:t>
      </w:r>
      <w:r>
        <w:rPr>
          <w:rFonts w:hint="eastAsia" w:ascii="宋体" w:hAnsi="宋体" w:eastAsia="宋体" w:cs="Arial"/>
          <w:kern w:val="0"/>
          <w:sz w:val="24"/>
          <w:szCs w:val="24"/>
        </w:rPr>
        <w:t>竞争性磋商文件的修改部分是竞争性磋商文件的组成部分对供应商具有约束力。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.4 </w:t>
      </w:r>
      <w:r>
        <w:rPr>
          <w:rFonts w:hint="eastAsia" w:ascii="宋体" w:hAnsi="宋体" w:eastAsia="宋体" w:cs="Arial"/>
          <w:kern w:val="0"/>
          <w:sz w:val="24"/>
          <w:szCs w:val="24"/>
        </w:rPr>
        <w:t>为使供应商准备投标时有充分时间对竞争性磋商文件的修改部分进行研究，采购人可适当推迟投标截止期。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.5 </w:t>
      </w:r>
      <w:r>
        <w:rPr>
          <w:rFonts w:hint="eastAsia" w:ascii="宋体" w:hAnsi="宋体" w:eastAsia="宋体" w:cs="Arial"/>
          <w:kern w:val="0"/>
          <w:sz w:val="24"/>
          <w:szCs w:val="24"/>
        </w:rPr>
        <w:t>当采购人发放的竞争性磋商文件及竞争性磋商文件的答疑文件、修改文件、补充文件前后不一致，发生矛盾情况时，以最后发出的为准。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.6 </w:t>
      </w:r>
      <w:r>
        <w:rPr>
          <w:rFonts w:hint="eastAsia" w:ascii="宋体" w:hAnsi="宋体" w:eastAsia="宋体" w:cs="Arial"/>
          <w:kern w:val="0"/>
          <w:sz w:val="24"/>
          <w:szCs w:val="24"/>
        </w:rPr>
        <w:t>如果竞争性磋商文件各个组成部分之间出现歧义或相互矛盾，或任何文件中呈现明显的或不符合逻辑等的错误，或在文件编写过程中经常出现的打印错误等，供应商应将需要澄清的内容在供应商须知前附表规定的时间之前提出。根据合同条款中的相关约定，如果供应商在投标过程中未能发现并对有关歧义、矛盾或错误提出澄清请求，而在中标后发现并提出，成交人将必须接受由采购人依据合同有关条款而做出的书面澄清。</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8" w:name="_BookMark_6"/>
      <w:bookmarkEnd w:id="8"/>
      <w:bookmarkStart w:id="9" w:name="_Toc26631"/>
      <w:r>
        <w:rPr>
          <w:rFonts w:ascii="宋体" w:hAnsi="宋体" w:eastAsia="宋体" w:cs="宋体"/>
          <w:b/>
          <w:sz w:val="24"/>
          <w:szCs w:val="24"/>
        </w:rPr>
        <w:t>3</w:t>
      </w:r>
      <w:r>
        <w:rPr>
          <w:rFonts w:hint="eastAsia" w:ascii="宋体" w:hAnsi="宋体" w:eastAsia="宋体" w:cs="宋体"/>
          <w:b/>
          <w:sz w:val="24"/>
          <w:szCs w:val="24"/>
        </w:rPr>
        <w:t>．竞争性磋商响应文件</w:t>
      </w:r>
      <w:bookmarkEnd w:id="9"/>
    </w:p>
    <w:p>
      <w:pPr>
        <w:numPr>
          <w:ilvl w:val="0"/>
          <w:numId w:val="1"/>
        </w:numPr>
        <w:autoSpaceDE w:val="0"/>
        <w:autoSpaceDN w:val="0"/>
        <w:adjustRightInd w:val="0"/>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投标函；</w:t>
      </w:r>
    </w:p>
    <w:p>
      <w:pPr>
        <w:numPr>
          <w:ilvl w:val="0"/>
          <w:numId w:val="1"/>
        </w:numPr>
        <w:autoSpaceDE w:val="0"/>
        <w:autoSpaceDN w:val="0"/>
        <w:adjustRightInd w:val="0"/>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法定代表人身份证明或法定代表人授权委托书；</w:t>
      </w:r>
    </w:p>
    <w:p>
      <w:pPr>
        <w:numPr>
          <w:ilvl w:val="0"/>
          <w:numId w:val="1"/>
        </w:numPr>
        <w:autoSpaceDE w:val="0"/>
        <w:autoSpaceDN w:val="0"/>
        <w:adjustRightInd w:val="0"/>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开标一览表；</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偏离表；</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投标保证金提交证明；</w:t>
      </w:r>
    </w:p>
    <w:p>
      <w:pPr>
        <w:numPr>
          <w:ilvl w:val="0"/>
          <w:numId w:val="1"/>
        </w:numPr>
        <w:autoSpaceDE w:val="0"/>
        <w:autoSpaceDN w:val="0"/>
        <w:adjustRightInd w:val="0"/>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供应商资格证明文件</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 xml:space="preserve">项目整体服务方案； </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售后服务承诺书；</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其他需要提交的资料；</w:t>
      </w:r>
    </w:p>
    <w:p>
      <w:pPr>
        <w:numPr>
          <w:ilvl w:val="0"/>
          <w:numId w:val="1"/>
        </w:numPr>
        <w:autoSpaceDE w:val="0"/>
        <w:autoSpaceDN w:val="0"/>
        <w:adjustRightInd w:val="0"/>
        <w:spacing w:line="360" w:lineRule="auto"/>
        <w:jc w:val="left"/>
        <w:rPr>
          <w:rFonts w:ascii="宋体" w:cs="宋体"/>
          <w:color w:val="auto"/>
          <w:kern w:val="0"/>
          <w:sz w:val="24"/>
          <w:szCs w:val="24"/>
        </w:rPr>
      </w:pPr>
      <w:r>
        <w:rPr>
          <w:rFonts w:hint="eastAsia" w:ascii="宋体" w:hAnsi="宋体" w:cs="宋体"/>
          <w:color w:val="auto"/>
          <w:kern w:val="0"/>
          <w:sz w:val="24"/>
          <w:szCs w:val="24"/>
        </w:rPr>
        <w:t>投标单位反商业贿赂承诺书。</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3.1.2 </w:t>
      </w:r>
      <w:r>
        <w:rPr>
          <w:rFonts w:hint="eastAsia" w:ascii="宋体" w:hAnsi="宋体" w:eastAsia="宋体" w:cs="Arial"/>
          <w:kern w:val="0"/>
          <w:sz w:val="24"/>
          <w:szCs w:val="24"/>
        </w:rPr>
        <w:t>供应商须知前附表规定不接受联合体投标的，或供应商没有组成联合体的，竞争性磋商响应文件不包括本章第</w:t>
      </w:r>
      <w:r>
        <w:rPr>
          <w:rFonts w:ascii="宋体" w:hAnsi="宋体" w:eastAsia="宋体" w:cs="Arial"/>
          <w:kern w:val="0"/>
          <w:sz w:val="24"/>
          <w:szCs w:val="24"/>
        </w:rPr>
        <w:t>3.1.1</w:t>
      </w: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）款所指的联合体协议书。</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投标价格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3.2.1 </w:t>
      </w:r>
      <w:r>
        <w:rPr>
          <w:rFonts w:hint="eastAsia" w:ascii="宋体" w:hAnsi="宋体" w:eastAsia="宋体" w:cs="Arial"/>
          <w:kern w:val="0"/>
          <w:sz w:val="24"/>
          <w:szCs w:val="24"/>
        </w:rPr>
        <w:t>供应商应当按第四章“服务标准和要求”的规定进行报价，并填写第五章“竞争性磋商响应文件格式”中的</w:t>
      </w:r>
      <w:r>
        <w:rPr>
          <w:rFonts w:hint="eastAsia" w:ascii="宋体" w:hAnsi="宋体" w:eastAsia="宋体" w:cs="Times New Roman"/>
          <w:bCs/>
          <w:sz w:val="24"/>
          <w:szCs w:val="24"/>
        </w:rPr>
        <w:t>投标</w:t>
      </w:r>
      <w:r>
        <w:rPr>
          <w:rFonts w:hint="eastAsia" w:ascii="宋体" w:hAnsi="宋体" w:eastAsia="宋体" w:cs="Arial"/>
          <w:kern w:val="0"/>
          <w:sz w:val="24"/>
          <w:szCs w:val="24"/>
        </w:rPr>
        <w:t>价格</w:t>
      </w:r>
      <w:r>
        <w:rPr>
          <w:rFonts w:hint="eastAsia" w:ascii="宋体" w:hAnsi="宋体" w:eastAsia="宋体" w:cs="Times New Roman"/>
          <w:bCs/>
          <w:sz w:val="24"/>
          <w:szCs w:val="24"/>
        </w:rPr>
        <w:t>分类明细表</w:t>
      </w:r>
      <w:r>
        <w:rPr>
          <w:rFonts w:hint="eastAsia" w:ascii="宋体" w:hAnsi="宋体" w:eastAsia="宋体" w:cs="Arial"/>
          <w:kern w:val="0"/>
          <w:sz w:val="24"/>
          <w:szCs w:val="24"/>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 </w:t>
      </w:r>
      <w:r>
        <w:rPr>
          <w:rFonts w:hint="eastAsia" w:ascii="宋体" w:hAnsi="宋体" w:eastAsia="宋体" w:cs="Arial"/>
          <w:kern w:val="0"/>
          <w:sz w:val="24"/>
          <w:szCs w:val="24"/>
        </w:rPr>
        <w:t>供应商的投标价格不能超出本项目采购预算金额。</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3.2.3供应商只允许有一个报价，采购人不接受有任何选择的报价。</w:t>
      </w:r>
    </w:p>
    <w:p>
      <w:pPr>
        <w:widowControl/>
        <w:shd w:val="clear" w:color="auto" w:fill="FFFFFF"/>
        <w:snapToGrid w:val="0"/>
        <w:spacing w:line="360" w:lineRule="auto"/>
        <w:ind w:firstLine="482" w:firstLineChars="200"/>
        <w:rPr>
          <w:rFonts w:ascii="宋体" w:hAnsi="宋体" w:eastAsia="宋体" w:cs="Arial"/>
          <w:b/>
          <w:kern w:val="0"/>
          <w:sz w:val="24"/>
          <w:szCs w:val="24"/>
        </w:rPr>
      </w:pPr>
      <w:r>
        <w:rPr>
          <w:rFonts w:hint="eastAsia" w:ascii="宋体" w:hAnsi="宋体" w:eastAsia="宋体" w:cs="Arial"/>
          <w:b/>
          <w:kern w:val="0"/>
          <w:sz w:val="24"/>
          <w:szCs w:val="24"/>
        </w:rPr>
        <w:t>3.2.3本项目采购方式为竞争性磋商，本次磋商报价为非一次性报价，磋商小组将根据现场评审情况确定报价具体次数。</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3.2.4 </w:t>
      </w:r>
      <w:r>
        <w:rPr>
          <w:rFonts w:hint="eastAsia" w:ascii="宋体" w:hAnsi="宋体" w:eastAsia="宋体" w:cs="Arial"/>
          <w:kern w:val="0"/>
          <w:sz w:val="24"/>
          <w:szCs w:val="24"/>
        </w:rPr>
        <w:t>供应商在投标截止时间前修改投标函中的投标总价的，此修改须符合本章第</w:t>
      </w:r>
      <w:r>
        <w:rPr>
          <w:rFonts w:ascii="宋体" w:hAnsi="宋体" w:eastAsia="宋体" w:cs="Arial"/>
          <w:kern w:val="0"/>
          <w:sz w:val="24"/>
          <w:szCs w:val="24"/>
        </w:rPr>
        <w:t>4.3</w:t>
      </w:r>
      <w:r>
        <w:rPr>
          <w:rFonts w:hint="eastAsia" w:ascii="宋体" w:hAnsi="宋体" w:eastAsia="宋体" w:cs="Arial"/>
          <w:kern w:val="0"/>
          <w:sz w:val="24"/>
          <w:szCs w:val="24"/>
        </w:rPr>
        <w:t>款的有关要求。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3.2.5</w:t>
      </w:r>
      <w:r>
        <w:rPr>
          <w:rFonts w:hint="eastAsia" w:ascii="宋体" w:hAnsi="宋体" w:eastAsia="宋体" w:cs="Arial"/>
          <w:kern w:val="0"/>
          <w:sz w:val="24"/>
          <w:szCs w:val="24"/>
        </w:rPr>
        <w:t>供应商提供的服务一律用人民币报价。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 </w:t>
      </w:r>
      <w:r>
        <w:rPr>
          <w:rFonts w:hint="eastAsia" w:ascii="宋体" w:hAnsi="宋体" w:eastAsia="宋体" w:cs="Arial"/>
          <w:kern w:val="0"/>
          <w:sz w:val="24"/>
          <w:szCs w:val="24"/>
        </w:rPr>
        <w:t>投标有效期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3.3.1 </w:t>
      </w:r>
      <w:r>
        <w:rPr>
          <w:rFonts w:hint="eastAsia" w:ascii="宋体" w:hAnsi="宋体" w:eastAsia="宋体" w:cs="Arial"/>
          <w:kern w:val="0"/>
          <w:sz w:val="24"/>
          <w:szCs w:val="24"/>
        </w:rPr>
        <w:t>在供应商须知前附表规定的投标有效期内，供应商不得要求撤销或修改其竞争性磋商响应文件。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3.3.2 </w:t>
      </w:r>
      <w:r>
        <w:rPr>
          <w:rFonts w:hint="eastAsia" w:ascii="宋体" w:hAnsi="宋体" w:eastAsia="宋体" w:cs="Arial"/>
          <w:kern w:val="0"/>
          <w:sz w:val="24"/>
          <w:szCs w:val="24"/>
        </w:rPr>
        <w:t>出现特殊情况需要延长投标有效期的，采购人将通知所有供应商延长投标有效期。供应商同意延长的，应当相应延长其磋商保证金的有效期，但不得要求或被允许修改或撤销其竞争性磋商响应文件；供应商拒绝延长的，其投标失效，但供应商有权收回其磋商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3.3.3 </w:t>
      </w:r>
      <w:r>
        <w:rPr>
          <w:rFonts w:hint="eastAsia" w:ascii="宋体" w:hAnsi="宋体" w:eastAsia="宋体" w:cs="Arial"/>
          <w:kern w:val="0"/>
          <w:sz w:val="24"/>
          <w:szCs w:val="24"/>
        </w:rPr>
        <w:t>磋商保证金的有效期与投标有效期一致。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3.4 </w:t>
      </w:r>
      <w:r>
        <w:rPr>
          <w:rFonts w:hint="eastAsia" w:ascii="宋体" w:hAnsi="宋体" w:eastAsia="宋体" w:cs="Arial"/>
          <w:kern w:val="0"/>
          <w:sz w:val="24"/>
          <w:szCs w:val="24"/>
        </w:rPr>
        <w:t>磋商保证金</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3.4.1 </w:t>
      </w:r>
      <w:r>
        <w:rPr>
          <w:rFonts w:hint="eastAsia" w:ascii="宋体" w:hAnsi="宋体" w:eastAsia="宋体" w:cs="Arial"/>
          <w:kern w:val="0"/>
          <w:sz w:val="24"/>
          <w:szCs w:val="24"/>
        </w:rPr>
        <w:t>供应商应于投标截止时间前按供应商须知前附表规定数额提交磋商保证金。未提交磋商保证金的，将被视为非响应性投标而予以拒绝。</w:t>
      </w:r>
    </w:p>
    <w:p>
      <w:pPr>
        <w:shd w:val="clear" w:color="auto" w:fill="FFFFFF"/>
        <w:snapToGrid w:val="0"/>
        <w:spacing w:line="360" w:lineRule="auto"/>
        <w:ind w:firstLine="360" w:firstLineChars="150"/>
        <w:rPr>
          <w:rFonts w:ascii="宋体" w:hAnsi="Calibri" w:eastAsia="宋体" w:cs="Arial"/>
          <w:kern w:val="0"/>
          <w:sz w:val="24"/>
          <w:szCs w:val="24"/>
        </w:rPr>
      </w:pPr>
      <w:r>
        <w:rPr>
          <w:rFonts w:ascii="宋体" w:hAnsi="宋体" w:eastAsia="宋体" w:cs="Arial"/>
          <w:kern w:val="0"/>
          <w:sz w:val="24"/>
          <w:szCs w:val="24"/>
        </w:rPr>
        <w:t>3.4.2</w:t>
      </w:r>
      <w:r>
        <w:rPr>
          <w:rFonts w:hint="eastAsia" w:ascii="宋体" w:hAnsi="宋体" w:eastAsia="宋体" w:cs="Arial"/>
          <w:kern w:val="0"/>
          <w:sz w:val="24"/>
          <w:szCs w:val="24"/>
        </w:rPr>
        <w:t>磋商保证金是为了保护采购人免遭因供应商的行为而蒙受损失。采购人在因供应商的行为受到损害时可根据相关法律规定没收供应商的磋商保证金。</w:t>
      </w:r>
    </w:p>
    <w:p>
      <w:pPr>
        <w:autoSpaceDE w:val="0"/>
        <w:autoSpaceDN w:val="0"/>
        <w:adjustRightInd w:val="0"/>
        <w:spacing w:line="360" w:lineRule="auto"/>
        <w:jc w:val="left"/>
        <w:rPr>
          <w:rFonts w:ascii="宋体" w:hAnsi="宋体"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3 供应商在投标截止时间前撤回已提交的响应文件的，采购人或者采购代理机构应当自收到供应商书面撤回通知之日起</w:t>
      </w:r>
      <w:r>
        <w:rPr>
          <w:rFonts w:ascii="宋体" w:hAnsi="宋体" w:eastAsia="宋体" w:cs="Arial"/>
          <w:kern w:val="0"/>
          <w:sz w:val="24"/>
          <w:szCs w:val="24"/>
        </w:rPr>
        <w:t>5</w:t>
      </w:r>
      <w:r>
        <w:rPr>
          <w:rFonts w:hint="eastAsia" w:ascii="宋体" w:hAnsi="宋体" w:eastAsia="宋体" w:cs="Arial"/>
          <w:kern w:val="0"/>
          <w:sz w:val="24"/>
          <w:szCs w:val="24"/>
        </w:rPr>
        <w:t>个工作日内，退还已收取的磋商保证金，但因供应商自身原因导致无法及时退还的除外。采购人或者采购代理机构应当自成交通知书发出之日起</w:t>
      </w:r>
      <w:r>
        <w:rPr>
          <w:rFonts w:ascii="宋体" w:hAnsi="宋体" w:eastAsia="宋体" w:cs="Arial"/>
          <w:kern w:val="0"/>
          <w:sz w:val="24"/>
          <w:szCs w:val="24"/>
        </w:rPr>
        <w:t>5</w:t>
      </w:r>
      <w:r>
        <w:rPr>
          <w:rFonts w:hint="eastAsia" w:ascii="宋体" w:hAnsi="宋体" w:eastAsia="宋体" w:cs="Arial"/>
          <w:kern w:val="0"/>
          <w:sz w:val="24"/>
          <w:szCs w:val="24"/>
        </w:rPr>
        <w:t>个工作日内退还未成交人的磋商保证金，自采购合同签订之日起</w:t>
      </w:r>
      <w:r>
        <w:rPr>
          <w:rFonts w:ascii="宋体" w:hAnsi="宋体" w:eastAsia="宋体" w:cs="Arial"/>
          <w:kern w:val="0"/>
          <w:sz w:val="24"/>
          <w:szCs w:val="24"/>
        </w:rPr>
        <w:t>5</w:t>
      </w:r>
      <w:r>
        <w:rPr>
          <w:rFonts w:hint="eastAsia" w:ascii="宋体" w:hAnsi="宋体" w:eastAsia="宋体" w:cs="Arial"/>
          <w:kern w:val="0"/>
          <w:sz w:val="24"/>
          <w:szCs w:val="24"/>
        </w:rPr>
        <w:t>个工作日内退还成交人的磋商保证金。</w:t>
      </w:r>
    </w:p>
    <w:p>
      <w:pPr>
        <w:autoSpaceDE w:val="0"/>
        <w:autoSpaceDN w:val="0"/>
        <w:adjustRightInd w:val="0"/>
        <w:spacing w:line="360" w:lineRule="auto"/>
        <w:jc w:val="left"/>
        <w:rPr>
          <w:rFonts w:ascii="宋体" w:hAnsi="宋体" w:eastAsia="宋体" w:cs="Arial"/>
          <w:b/>
          <w:kern w:val="0"/>
          <w:sz w:val="24"/>
          <w:szCs w:val="24"/>
        </w:rPr>
      </w:pPr>
      <w:r>
        <w:rPr>
          <w:rFonts w:hint="eastAsia" w:ascii="宋体" w:hAnsi="宋体" w:eastAsia="宋体" w:cs="Arial"/>
          <w:b/>
          <w:kern w:val="0"/>
          <w:sz w:val="24"/>
          <w:szCs w:val="24"/>
        </w:rPr>
        <w:t xml:space="preserve">    特别提示：退还磋商保证金的供应商办理退款业务时需提供以下资料（资料由代理机构存档备查）</w:t>
      </w:r>
      <w:r>
        <w:rPr>
          <w:rFonts w:ascii="宋体" w:hAnsi="宋体" w:eastAsia="宋体" w:cs="Arial"/>
          <w:b/>
          <w:kern w:val="0"/>
          <w:sz w:val="24"/>
          <w:szCs w:val="24"/>
        </w:rPr>
        <w:t>:</w:t>
      </w:r>
    </w:p>
    <w:p>
      <w:pPr>
        <w:autoSpaceDE w:val="0"/>
        <w:autoSpaceDN w:val="0"/>
        <w:adjustRightInd w:val="0"/>
        <w:spacing w:line="360" w:lineRule="auto"/>
        <w:jc w:val="left"/>
        <w:rPr>
          <w:rFonts w:ascii="宋体" w:hAnsi="宋体" w:eastAsia="宋体" w:cs="Arial"/>
          <w:b/>
          <w:kern w:val="0"/>
          <w:sz w:val="24"/>
          <w:szCs w:val="24"/>
        </w:rPr>
      </w:pPr>
      <w:r>
        <w:rPr>
          <w:rFonts w:hint="eastAsia" w:ascii="宋体" w:hAnsi="宋体" w:eastAsia="宋体" w:cs="Arial"/>
          <w:b/>
          <w:kern w:val="0"/>
          <w:sz w:val="24"/>
          <w:szCs w:val="24"/>
        </w:rPr>
        <w:t xml:space="preserve">    ①磋商保证金电汇、网银等非现金形式缴纳凭证（凭证备注栏清晰注明用途及本次招标项目名称）或采购代理机构开具的投标保证金收据。</w:t>
      </w:r>
    </w:p>
    <w:p>
      <w:pPr>
        <w:widowControl/>
        <w:shd w:val="clear" w:color="auto" w:fill="FFFFFF"/>
        <w:snapToGrid w:val="0"/>
        <w:spacing w:line="360" w:lineRule="auto"/>
        <w:ind w:firstLine="482" w:firstLineChars="200"/>
        <w:rPr>
          <w:rFonts w:ascii="宋体" w:hAnsi="宋体" w:eastAsia="宋体" w:cs="Arial"/>
          <w:b/>
          <w:kern w:val="0"/>
          <w:sz w:val="24"/>
          <w:szCs w:val="24"/>
        </w:rPr>
      </w:pPr>
      <w:r>
        <w:rPr>
          <w:rFonts w:hint="eastAsia" w:ascii="宋体" w:hAnsi="宋体" w:eastAsia="宋体" w:cs="Arial"/>
          <w:b/>
          <w:kern w:val="0"/>
          <w:sz w:val="24"/>
          <w:szCs w:val="24"/>
        </w:rPr>
        <w:t>②退还中标方磋商保证金时，中标方须提供与采购人签订的合同原件一份（原件核查无误后退还）及电子版合同盖章扫描生成的PDF格式。</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4磋商保证金有效期与投标有效期一致。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5有下列情形之一的，磋商保证金不予退还：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）供应商在规定的投标有效期内撤销或修改其竞争性磋商响应文件的；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）成交人在收到成交通知书后，无正当理由拒签合同协议书或在签订合同时提出附加条件或者更改合同实质性内容的；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）未按竞争性磋商文件规定提交履约保证金的。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 </w:t>
      </w:r>
      <w:r>
        <w:rPr>
          <w:rFonts w:hint="eastAsia" w:ascii="宋体" w:hAnsi="宋体" w:eastAsia="宋体" w:cs="Arial"/>
          <w:kern w:val="0"/>
          <w:sz w:val="24"/>
          <w:szCs w:val="24"/>
        </w:rPr>
        <w:t>竞争性磋商响应文件的编制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3.5.1</w:t>
      </w:r>
      <w:r>
        <w:rPr>
          <w:rFonts w:hint="eastAsia" w:ascii="宋体" w:hAnsi="宋体" w:eastAsia="宋体" w:cs="Arial"/>
          <w:kern w:val="0"/>
          <w:sz w:val="24"/>
          <w:szCs w:val="24"/>
        </w:rPr>
        <w:t>竞争性磋商响应文件应按第五章“竞争性磋商响应文件格式”进行编写，如有必要，可以增加附页，作为竞争性磋商响应文件的组成部分。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3.5.2</w:t>
      </w:r>
      <w:r>
        <w:rPr>
          <w:rFonts w:hint="eastAsia" w:ascii="宋体" w:hAnsi="宋体" w:eastAsia="宋体" w:cs="Arial"/>
          <w:kern w:val="0"/>
          <w:sz w:val="24"/>
          <w:szCs w:val="24"/>
        </w:rPr>
        <w:t>竞争性磋商响应文件应当对竞争性磋商文件有关招标范围、服务要求等实质性内容做出响应。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3.5.3 </w:t>
      </w:r>
      <w:r>
        <w:rPr>
          <w:rFonts w:hint="eastAsia" w:ascii="宋体" w:hAnsi="宋体" w:eastAsia="宋体" w:cs="Arial"/>
          <w:kern w:val="0"/>
          <w:sz w:val="24"/>
          <w:szCs w:val="24"/>
        </w:rPr>
        <w:t>竞争性磋商响应文件要求盖章处均应加盖。</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3.5.4 </w:t>
      </w:r>
      <w:r>
        <w:rPr>
          <w:rFonts w:hint="eastAsia" w:ascii="宋体" w:hAnsi="宋体" w:eastAsia="宋体" w:cs="Arial"/>
          <w:kern w:val="0"/>
          <w:sz w:val="24"/>
          <w:szCs w:val="24"/>
        </w:rPr>
        <w:t>竞争性磋商响应文件采用</w:t>
      </w:r>
      <w:r>
        <w:rPr>
          <w:rFonts w:ascii="宋体" w:hAnsi="宋体" w:eastAsia="宋体" w:cs="Arial"/>
          <w:kern w:val="0"/>
          <w:sz w:val="24"/>
          <w:szCs w:val="24"/>
        </w:rPr>
        <w:t>A4</w:t>
      </w:r>
      <w:r>
        <w:rPr>
          <w:rFonts w:hint="eastAsia" w:ascii="宋体" w:hAnsi="宋体" w:eastAsia="宋体" w:cs="Arial"/>
          <w:kern w:val="0"/>
          <w:sz w:val="24"/>
          <w:szCs w:val="24"/>
        </w:rPr>
        <w:t>打印纸。</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3.5.5 </w:t>
      </w:r>
      <w:r>
        <w:rPr>
          <w:rFonts w:hint="eastAsia" w:ascii="宋体" w:hAnsi="宋体" w:eastAsia="宋体" w:cs="Arial"/>
          <w:kern w:val="0"/>
          <w:sz w:val="24"/>
          <w:szCs w:val="24"/>
        </w:rPr>
        <w:t>竞争性磋商响应文件可以用蓝黑墨水笔或炭素笔书写</w:t>
      </w:r>
      <w:r>
        <w:rPr>
          <w:rFonts w:ascii="宋体" w:hAnsi="Calibri" w:eastAsia="宋体" w:cs="Arial"/>
          <w:kern w:val="0"/>
          <w:sz w:val="24"/>
          <w:szCs w:val="24"/>
        </w:rPr>
        <w:t>,</w:t>
      </w:r>
      <w:r>
        <w:rPr>
          <w:rFonts w:hint="eastAsia" w:ascii="宋体" w:hAnsi="宋体" w:eastAsia="宋体" w:cs="Arial"/>
          <w:kern w:val="0"/>
          <w:sz w:val="24"/>
          <w:szCs w:val="24"/>
        </w:rPr>
        <w:t>但建议最好采用打印书写方式书写。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3.5.6 </w:t>
      </w:r>
      <w:r>
        <w:rPr>
          <w:rFonts w:hint="eastAsia" w:ascii="宋体" w:hAnsi="宋体" w:eastAsia="宋体" w:cs="Arial"/>
          <w:kern w:val="0"/>
          <w:sz w:val="24"/>
          <w:szCs w:val="24"/>
        </w:rPr>
        <w:t>供应商应按供应商须知前附表规定，编制竞争性磋商响应文件“正本”和“副本”份数。封面必须注明“正本”或“副本”字样。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3.5.7 </w:t>
      </w:r>
      <w:r>
        <w:rPr>
          <w:rFonts w:hint="eastAsia" w:ascii="宋体" w:hAnsi="宋体" w:eastAsia="宋体" w:cs="Arial"/>
          <w:kern w:val="0"/>
          <w:sz w:val="24"/>
          <w:szCs w:val="24"/>
        </w:rPr>
        <w:t>竞争性磋商响应文件正本和副本如有不一致之处，以正本为准。</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10" w:name="_BookMark_7"/>
      <w:bookmarkEnd w:id="10"/>
      <w:bookmarkStart w:id="11" w:name="_Toc30860"/>
      <w:r>
        <w:rPr>
          <w:rFonts w:ascii="宋体" w:hAnsi="宋体" w:eastAsia="宋体" w:cs="宋体"/>
          <w:b/>
          <w:sz w:val="24"/>
          <w:szCs w:val="24"/>
        </w:rPr>
        <w:t>4</w:t>
      </w:r>
      <w:r>
        <w:rPr>
          <w:rFonts w:hint="eastAsia" w:ascii="宋体" w:hAnsi="宋体" w:eastAsia="宋体" w:cs="宋体"/>
          <w:b/>
          <w:sz w:val="24"/>
          <w:szCs w:val="24"/>
        </w:rPr>
        <w:t>．投标</w:t>
      </w:r>
      <w:bookmarkEnd w:id="11"/>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4.1 </w:t>
      </w:r>
      <w:r>
        <w:rPr>
          <w:rFonts w:hint="eastAsia" w:ascii="宋体" w:hAnsi="宋体" w:eastAsia="宋体" w:cs="Arial"/>
          <w:kern w:val="0"/>
          <w:sz w:val="24"/>
          <w:szCs w:val="24"/>
        </w:rPr>
        <w:t>竞争性磋商响应文件的密封和标识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4.1.1</w:t>
      </w:r>
      <w:r>
        <w:rPr>
          <w:rFonts w:hint="eastAsia" w:ascii="宋体" w:hAnsi="宋体" w:eastAsia="宋体" w:cs="Arial"/>
          <w:kern w:val="0"/>
          <w:sz w:val="24"/>
          <w:szCs w:val="24"/>
        </w:rPr>
        <w:t>、供应商必须将竞争性磋商响应文件按供应商须知前附表第11项规定密封，否则整个竞争性磋商响应文件将被视为不响应竞争性磋商文件，而予以拒绝。</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4.1.2</w:t>
      </w:r>
      <w:r>
        <w:rPr>
          <w:rFonts w:hint="eastAsia" w:ascii="宋体" w:hAnsi="宋体" w:eastAsia="宋体" w:cs="Arial"/>
          <w:kern w:val="0"/>
          <w:sz w:val="24"/>
          <w:szCs w:val="24"/>
        </w:rPr>
        <w:t>、竞争性磋商响应文件封袋必须在开启处密封，并加盖供应商章以及法定代表人章。否则整个竞争性磋商响应文件将被视为不响应竞争性磋商文件，而予以拒绝。</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4.2 </w:t>
      </w:r>
      <w:r>
        <w:rPr>
          <w:rFonts w:hint="eastAsia" w:ascii="宋体" w:hAnsi="宋体" w:eastAsia="宋体" w:cs="Arial"/>
          <w:kern w:val="0"/>
          <w:sz w:val="24"/>
          <w:szCs w:val="24"/>
        </w:rPr>
        <w:t>竞争性磋商响应文件的递交</w:t>
      </w:r>
    </w:p>
    <w:p>
      <w:pPr>
        <w:widowControl/>
        <w:shd w:val="clear" w:color="auto" w:fill="FFFFFF"/>
        <w:snapToGrid w:val="0"/>
        <w:spacing w:line="360" w:lineRule="auto"/>
        <w:ind w:firstLine="480" w:firstLineChars="200"/>
        <w:rPr>
          <w:rFonts w:ascii="宋体" w:hAnsi="Calibri" w:eastAsia="宋体" w:cs="Arial"/>
          <w:kern w:val="0"/>
          <w:sz w:val="24"/>
          <w:szCs w:val="24"/>
        </w:rPr>
      </w:pPr>
      <w:bookmarkStart w:id="12" w:name="_Hlk23651228"/>
      <w:bookmarkStart w:id="13" w:name="_Hlk23746208"/>
      <w:bookmarkStart w:id="14" w:name="_Hlk18820305"/>
      <w:bookmarkStart w:id="15" w:name="_Hlk23746210"/>
      <w:bookmarkStart w:id="16" w:name="_Hlk57105548"/>
      <w:bookmarkStart w:id="17" w:name="_Hlk57105547"/>
      <w:bookmarkStart w:id="18" w:name="_Hlk18820306"/>
      <w:bookmarkStart w:id="19" w:name="_Hlk18820304"/>
      <w:bookmarkStart w:id="20" w:name="_Hlk22461103"/>
      <w:bookmarkStart w:id="21" w:name="_Hlk23651229"/>
      <w:bookmarkStart w:id="22" w:name="_Hlk23651230"/>
      <w:bookmarkStart w:id="23" w:name="_Hlk23746209"/>
      <w:bookmarkStart w:id="24" w:name="_Hlk22461105"/>
      <w:bookmarkStart w:id="25" w:name="_Hlk57105549"/>
      <w:bookmarkStart w:id="26" w:name="_Hlk22461104"/>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2.1</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ascii="宋体" w:hAnsi="宋体" w:eastAsia="宋体" w:cs="Arial"/>
          <w:kern w:val="0"/>
          <w:sz w:val="24"/>
          <w:szCs w:val="24"/>
        </w:rPr>
        <w:t>、供应商必须按供应商须知前附表规定，将竞争性磋商响应文件在截止时间前送至递交地点。违反的将视为整个竞争性磋商响应文件不响应竞争性磋商文件</w:t>
      </w:r>
      <w:r>
        <w:rPr>
          <w:rFonts w:ascii="宋体" w:hAnsi="Calibri" w:eastAsia="宋体" w:cs="Arial"/>
          <w:kern w:val="0"/>
          <w:sz w:val="24"/>
          <w:szCs w:val="24"/>
        </w:rPr>
        <w:t>,</w:t>
      </w:r>
      <w:r>
        <w:rPr>
          <w:rFonts w:hint="eastAsia" w:ascii="宋体" w:hAnsi="宋体" w:eastAsia="宋体" w:cs="Arial"/>
          <w:kern w:val="0"/>
          <w:sz w:val="24"/>
          <w:szCs w:val="24"/>
        </w:rPr>
        <w:t>而予以拒绝。</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2.2</w:t>
      </w:r>
      <w:r>
        <w:rPr>
          <w:rFonts w:hint="eastAsia" w:ascii="宋体" w:hAnsi="宋体" w:eastAsia="宋体" w:cs="Arial"/>
          <w:kern w:val="0"/>
          <w:sz w:val="24"/>
          <w:szCs w:val="24"/>
        </w:rPr>
        <w:t>、采购人事先约定延长投标截止时间的，采购人与供应商以前的投标截止期方面的全部权利、责任和义务，将适用延长至新的投标截止期。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4.2.</w:t>
      </w:r>
      <w:r>
        <w:rPr>
          <w:rFonts w:hint="eastAsia" w:ascii="宋体" w:hAnsi="宋体" w:eastAsia="宋体" w:cs="Arial"/>
          <w:kern w:val="0"/>
          <w:sz w:val="24"/>
          <w:szCs w:val="24"/>
        </w:rPr>
        <w:t>3供应商或其竞争性磋商响应文件存在下列情形之一的，采购人对其竞争性磋商响应文件不予受理：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）逾期送达的竞争性磋商响应文件；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）未按本章第</w:t>
      </w:r>
      <w:r>
        <w:rPr>
          <w:rFonts w:ascii="宋体" w:hAnsi="宋体" w:eastAsia="宋体" w:cs="Arial"/>
          <w:kern w:val="0"/>
          <w:sz w:val="24"/>
          <w:szCs w:val="24"/>
        </w:rPr>
        <w:t>4.1</w:t>
      </w:r>
      <w:r>
        <w:rPr>
          <w:rFonts w:hint="eastAsia" w:ascii="宋体" w:hAnsi="宋体" w:eastAsia="宋体" w:cs="Arial"/>
          <w:kern w:val="0"/>
          <w:sz w:val="24"/>
          <w:szCs w:val="24"/>
        </w:rPr>
        <w:t>款要求密封的竞争性磋商响应文件。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 </w:t>
      </w:r>
      <w:r>
        <w:rPr>
          <w:rFonts w:hint="eastAsia" w:ascii="宋体" w:hAnsi="宋体" w:eastAsia="宋体" w:cs="Arial"/>
          <w:kern w:val="0"/>
          <w:sz w:val="24"/>
          <w:szCs w:val="24"/>
        </w:rPr>
        <w:t>竞争性磋商响应文件的修改与撤回</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4.3.1 </w:t>
      </w:r>
      <w:r>
        <w:rPr>
          <w:rFonts w:hint="eastAsia" w:ascii="宋体" w:hAnsi="宋体" w:eastAsia="宋体" w:cs="Arial"/>
          <w:kern w:val="0"/>
          <w:sz w:val="24"/>
          <w:szCs w:val="24"/>
        </w:rPr>
        <w:t>供应商递交竞争性磋商响应文件后，在规定投标截止时间前，可以书面形式向采购人递交修改或撤回其竞争性磋商响应文件的通知。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4.3.2 </w:t>
      </w:r>
      <w:r>
        <w:rPr>
          <w:rFonts w:hint="eastAsia" w:ascii="宋体" w:hAnsi="宋体" w:eastAsia="宋体" w:cs="Arial"/>
          <w:kern w:val="0"/>
          <w:sz w:val="24"/>
          <w:szCs w:val="24"/>
        </w:rPr>
        <w:t>修改的内容为竞争性磋商响应文件的组成部分。修改的竞争性磋商响应文件应按照本竞争性磋商文件的规定进行编制、密封、标记和递交，并标明“修改”字样。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4.4</w:t>
      </w:r>
      <w:r>
        <w:rPr>
          <w:rFonts w:hint="eastAsia" w:ascii="宋体" w:hAnsi="宋体" w:eastAsia="宋体" w:cs="Arial"/>
          <w:kern w:val="0"/>
          <w:sz w:val="24"/>
          <w:szCs w:val="24"/>
        </w:rPr>
        <w:t>竞争性磋商响应文件格式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4.4.1 </w:t>
      </w:r>
      <w:r>
        <w:rPr>
          <w:rFonts w:hint="eastAsia" w:ascii="宋体" w:hAnsi="宋体" w:eastAsia="宋体" w:cs="Arial"/>
          <w:kern w:val="0"/>
          <w:sz w:val="24"/>
          <w:szCs w:val="24"/>
        </w:rPr>
        <w:t>竞争性磋商响应文件格式见第五章。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4.4.2 </w:t>
      </w:r>
      <w:r>
        <w:rPr>
          <w:rFonts w:hint="eastAsia" w:ascii="宋体" w:hAnsi="宋体" w:eastAsia="宋体" w:cs="Arial"/>
          <w:kern w:val="0"/>
          <w:sz w:val="24"/>
          <w:szCs w:val="24"/>
        </w:rPr>
        <w:t>供应商应使用本竞争性磋商文件后面提供的竞争性磋商响应文件格式填写，如不够用时，供应商可按同样格式自行编制和填补，如果本竞争性磋商文件未提供格式的，供应商可自行编制。</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7" w:name="_BookMark_8"/>
      <w:bookmarkEnd w:id="27"/>
      <w:bookmarkStart w:id="28" w:name="_Toc32403"/>
      <w:r>
        <w:rPr>
          <w:rFonts w:ascii="宋体" w:hAnsi="宋体" w:eastAsia="宋体" w:cs="宋体"/>
          <w:b/>
          <w:sz w:val="24"/>
          <w:szCs w:val="24"/>
        </w:rPr>
        <w:t>5</w:t>
      </w:r>
      <w:r>
        <w:rPr>
          <w:rFonts w:hint="eastAsia" w:ascii="宋体" w:hAnsi="宋体" w:eastAsia="宋体" w:cs="宋体"/>
          <w:b/>
          <w:sz w:val="24"/>
          <w:szCs w:val="24"/>
        </w:rPr>
        <w:t>．开标</w:t>
      </w:r>
      <w:bookmarkEnd w:id="28"/>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5.1 </w:t>
      </w:r>
      <w:r>
        <w:rPr>
          <w:rFonts w:hint="eastAsia" w:ascii="宋体" w:hAnsi="宋体" w:eastAsia="宋体" w:cs="Arial"/>
          <w:kern w:val="0"/>
          <w:sz w:val="24"/>
          <w:szCs w:val="24"/>
        </w:rPr>
        <w:t>开标时间和地点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采购人在供应商须知前附表规定的时间、地点公开开标，并邀请所有供应商的法定代表人或其授权委托人参加。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5.2 </w:t>
      </w:r>
      <w:r>
        <w:rPr>
          <w:rFonts w:hint="eastAsia" w:ascii="宋体" w:hAnsi="宋体" w:eastAsia="宋体" w:cs="Arial"/>
          <w:kern w:val="0"/>
          <w:sz w:val="24"/>
          <w:szCs w:val="24"/>
        </w:rPr>
        <w:t>开标注意事项</w:t>
      </w:r>
    </w:p>
    <w:p>
      <w:pPr>
        <w:widowControl/>
        <w:shd w:val="clear" w:color="auto" w:fill="FFFFFF"/>
        <w:snapToGrid w:val="0"/>
        <w:spacing w:line="360" w:lineRule="auto"/>
        <w:ind w:firstLine="482" w:firstLineChars="200"/>
        <w:rPr>
          <w:rFonts w:ascii="宋体" w:hAnsi="Calibri" w:eastAsia="宋体" w:cs="Arial"/>
          <w:b/>
          <w:kern w:val="0"/>
          <w:sz w:val="24"/>
          <w:szCs w:val="24"/>
        </w:rPr>
      </w:pPr>
      <w:r>
        <w:rPr>
          <w:rFonts w:ascii="宋体" w:hAnsi="宋体" w:eastAsia="宋体" w:cs="Arial"/>
          <w:b/>
          <w:kern w:val="0"/>
          <w:sz w:val="24"/>
          <w:szCs w:val="24"/>
        </w:rPr>
        <w:t>5.2.1</w:t>
      </w:r>
      <w:r>
        <w:rPr>
          <w:rFonts w:hint="eastAsia" w:ascii="宋体" w:hAnsi="宋体" w:eastAsia="宋体" w:cs="Arial"/>
          <w:b/>
          <w:kern w:val="0"/>
          <w:sz w:val="24"/>
          <w:szCs w:val="24"/>
        </w:rPr>
        <w:t>（1）供应商法人授权委托人应按时参加开标会并携带法定代表人授权委托书原件（加盖公章及法定代表人章）、被授权人身份证原件、加盖公章的被授权人身份证复印件；（法定代表人到场参与投标的，须提供法定代表人身份证明原件、法定代表人身份证原件、加盖公章的法定代表人身份证复印件）；（2）营业执照（或事业单位法人证书）</w:t>
      </w:r>
      <w:r>
        <w:rPr>
          <w:rFonts w:hint="eastAsia" w:ascii="宋体" w:hAnsi="宋体" w:eastAsia="宋体" w:cs="Arial"/>
          <w:b/>
          <w:kern w:val="0"/>
          <w:sz w:val="24"/>
          <w:szCs w:val="24"/>
          <w:lang w:eastAsia="zh-CN"/>
        </w:rPr>
        <w:t>复印件</w:t>
      </w:r>
      <w:r>
        <w:rPr>
          <w:rFonts w:hint="eastAsia" w:ascii="宋体" w:hAnsi="宋体" w:eastAsia="宋体" w:cs="Arial"/>
          <w:b/>
          <w:kern w:val="0"/>
          <w:sz w:val="24"/>
          <w:szCs w:val="24"/>
        </w:rPr>
        <w:t>，（3） “信用中国”（</w:t>
      </w:r>
      <w:r>
        <w:rPr>
          <w:rFonts w:ascii="宋体" w:hAnsi="宋体" w:eastAsia="宋体" w:cs="Arial"/>
          <w:b/>
          <w:kern w:val="0"/>
          <w:sz w:val="24"/>
          <w:szCs w:val="24"/>
        </w:rPr>
        <w:t>www.creditchina.gov.cn</w:t>
      </w:r>
      <w:r>
        <w:rPr>
          <w:rFonts w:hint="eastAsia" w:ascii="宋体" w:hAnsi="宋体" w:eastAsia="宋体" w:cs="Arial"/>
          <w:b/>
          <w:kern w:val="0"/>
          <w:sz w:val="24"/>
          <w:szCs w:val="24"/>
        </w:rPr>
        <w:t>）和中国政府采购网（</w:t>
      </w:r>
      <w:r>
        <w:rPr>
          <w:rFonts w:ascii="宋体" w:hAnsi="宋体" w:eastAsia="宋体" w:cs="Arial"/>
          <w:b/>
          <w:kern w:val="0"/>
          <w:sz w:val="24"/>
          <w:szCs w:val="24"/>
        </w:rPr>
        <w:t>www.ccgp.gov.cn</w:t>
      </w:r>
      <w:r>
        <w:rPr>
          <w:rFonts w:hint="eastAsia" w:ascii="宋体" w:hAnsi="宋体" w:eastAsia="宋体" w:cs="Arial"/>
          <w:b/>
          <w:kern w:val="0"/>
          <w:sz w:val="24"/>
          <w:szCs w:val="24"/>
        </w:rPr>
        <w:t>）网站上未被列入失信被执行人、重大税收违法案件当事人名单以及政府采购严重违法失信行为记录名单网页截图加盖公章；。以上（2）-（</w:t>
      </w:r>
      <w:r>
        <w:rPr>
          <w:rFonts w:hint="eastAsia" w:ascii="宋体" w:hAnsi="宋体" w:eastAsia="宋体" w:cs="Arial"/>
          <w:b/>
          <w:kern w:val="0"/>
          <w:sz w:val="24"/>
          <w:szCs w:val="24"/>
          <w:lang w:val="en-US" w:eastAsia="zh-CN"/>
        </w:rPr>
        <w:t>3</w:t>
      </w:r>
      <w:r>
        <w:rPr>
          <w:rFonts w:hint="eastAsia" w:ascii="宋体" w:hAnsi="宋体" w:eastAsia="宋体" w:cs="Arial"/>
          <w:b/>
          <w:kern w:val="0"/>
          <w:sz w:val="24"/>
          <w:szCs w:val="24"/>
        </w:rPr>
        <w:t>）条为资格审查必备条件，提供不全视为资格审查不通过。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5.3 </w:t>
      </w:r>
      <w:r>
        <w:rPr>
          <w:rFonts w:hint="eastAsia" w:ascii="宋体" w:hAnsi="宋体" w:eastAsia="宋体" w:cs="Arial"/>
          <w:kern w:val="0"/>
          <w:sz w:val="24"/>
          <w:szCs w:val="24"/>
        </w:rPr>
        <w:t>开标程序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按下列程序进行开标：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）宣布开标纪律；</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）开标会主持人介绍参加会议的人员；</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）公布在投标截止时间前递交竞争性磋商响应文件的供应商名称，并点名确认供应商是否派人到场</w:t>
      </w:r>
      <w:r>
        <w:rPr>
          <w:rFonts w:ascii="宋体" w:hAnsi="宋体" w:eastAsia="宋体" w:cs="Arial"/>
          <w:kern w:val="0"/>
          <w:sz w:val="24"/>
          <w:szCs w:val="24"/>
        </w:rPr>
        <w:t>参加开标</w:t>
      </w:r>
      <w:r>
        <w:rPr>
          <w:rFonts w:hint="eastAsia" w:ascii="宋体" w:hAnsi="宋体" w:eastAsia="宋体" w:cs="Arial"/>
          <w:kern w:val="0"/>
          <w:sz w:val="24"/>
          <w:szCs w:val="24"/>
        </w:rPr>
        <w:t>，由采购人或监督人查验供应商按5.2.1条提供的资料；如果供应商未派人到场</w:t>
      </w:r>
      <w:r>
        <w:rPr>
          <w:rFonts w:ascii="宋体" w:hAnsi="宋体" w:eastAsia="宋体" w:cs="Arial"/>
          <w:kern w:val="0"/>
          <w:sz w:val="24"/>
          <w:szCs w:val="24"/>
        </w:rPr>
        <w:t>参加开标，</w:t>
      </w:r>
      <w:r>
        <w:rPr>
          <w:rFonts w:hint="eastAsia" w:ascii="宋体" w:hAnsi="宋体" w:eastAsia="宋体" w:cs="Arial"/>
          <w:kern w:val="0"/>
          <w:sz w:val="24"/>
          <w:szCs w:val="24"/>
        </w:rPr>
        <w:t>则</w:t>
      </w:r>
      <w:r>
        <w:rPr>
          <w:rFonts w:ascii="宋体" w:hAnsi="宋体" w:eastAsia="宋体" w:cs="Arial"/>
          <w:kern w:val="0"/>
          <w:sz w:val="24"/>
          <w:szCs w:val="24"/>
        </w:rPr>
        <w:t>视同认可开标结果</w:t>
      </w:r>
      <w:r>
        <w:rPr>
          <w:rFonts w:hint="eastAsia" w:ascii="宋体" w:hAnsi="宋体" w:eastAsia="宋体" w:cs="Arial"/>
          <w:kern w:val="0"/>
          <w:sz w:val="24"/>
          <w:szCs w:val="24"/>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）由供应商代表检查竞争性磋商响应文件的密封情况；</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）公布供应商名称，并作记录；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）相关人员在开标记录表上签字；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）开标结束。</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9" w:name="_BookMark_9"/>
      <w:bookmarkEnd w:id="29"/>
      <w:bookmarkStart w:id="30" w:name="_Toc937"/>
      <w:r>
        <w:rPr>
          <w:rFonts w:ascii="宋体" w:hAnsi="宋体" w:eastAsia="宋体" w:cs="宋体"/>
          <w:b/>
          <w:sz w:val="24"/>
          <w:szCs w:val="24"/>
        </w:rPr>
        <w:t>6</w:t>
      </w:r>
      <w:r>
        <w:rPr>
          <w:rFonts w:hint="eastAsia" w:ascii="宋体" w:hAnsi="宋体" w:eastAsia="宋体" w:cs="宋体"/>
          <w:b/>
          <w:sz w:val="24"/>
          <w:szCs w:val="24"/>
        </w:rPr>
        <w:t>．评标</w:t>
      </w:r>
      <w:bookmarkEnd w:id="30"/>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 </w:t>
      </w:r>
      <w:r>
        <w:rPr>
          <w:rFonts w:hint="eastAsia" w:ascii="宋体" w:hAnsi="宋体" w:eastAsia="宋体" w:cs="Arial"/>
          <w:kern w:val="0"/>
          <w:sz w:val="24"/>
          <w:szCs w:val="24"/>
        </w:rPr>
        <w:t>磋商小组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6.1.1 </w:t>
      </w:r>
      <w:r>
        <w:rPr>
          <w:rFonts w:hint="eastAsia" w:ascii="宋体" w:hAnsi="宋体" w:eastAsia="宋体" w:cs="Arial"/>
          <w:kern w:val="0"/>
          <w:sz w:val="24"/>
          <w:szCs w:val="24"/>
        </w:rPr>
        <w:t>评标由采购人按照《政府采购评审专家管理办法》财库〔2016〕198号，依法组建的磋商小组负责。磋商小组负责评标工作，并向采购人提交书面评标报告。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6.1.2 </w:t>
      </w:r>
      <w:r>
        <w:rPr>
          <w:rFonts w:hint="eastAsia" w:ascii="宋体" w:hAnsi="宋体" w:eastAsia="宋体" w:cs="Arial"/>
          <w:kern w:val="0"/>
          <w:sz w:val="24"/>
          <w:szCs w:val="24"/>
        </w:rPr>
        <w:t>磋商小组成员有下列情形之一的，应当回避：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w:t>
      </w:r>
      <w:r>
        <w:rPr>
          <w:rFonts w:hint="eastAsia" w:ascii="宋体" w:hAnsi="Calibri" w:eastAsia="宋体" w:cs="Arial"/>
          <w:kern w:val="0"/>
          <w:sz w:val="24"/>
          <w:szCs w:val="24"/>
        </w:rPr>
        <w:t>参加采购活动前三年内,与供应商存在劳动关系,或者担任过供应商的董事、监事,或者是供应商的控股股东或实际控制人。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w:t>
      </w:r>
      <w:r>
        <w:rPr>
          <w:rFonts w:hint="eastAsia" w:ascii="宋体" w:hAnsi="Calibri" w:eastAsia="宋体" w:cs="Arial"/>
          <w:kern w:val="0"/>
          <w:sz w:val="24"/>
          <w:szCs w:val="24"/>
        </w:rPr>
        <w:t>与供应商的法定代表人或者负责人有夫妻、直系血亲、三代以内旁系血亲或者近姻亲关系。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w:t>
      </w:r>
      <w:r>
        <w:rPr>
          <w:rFonts w:hint="eastAsia" w:ascii="宋体" w:hAnsi="Calibri" w:eastAsia="宋体" w:cs="Arial"/>
          <w:kern w:val="0"/>
          <w:sz w:val="24"/>
          <w:szCs w:val="24"/>
        </w:rPr>
        <w:t>与供应商有其他可能影响政府采购活动公平、公正进行的关系。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6.2 </w:t>
      </w:r>
      <w:r>
        <w:rPr>
          <w:rFonts w:hint="eastAsia" w:ascii="宋体" w:hAnsi="宋体" w:eastAsia="宋体" w:cs="Arial"/>
          <w:kern w:val="0"/>
          <w:sz w:val="24"/>
          <w:szCs w:val="24"/>
        </w:rPr>
        <w:t>评标原则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评标活动遵循公平、公正、科学和择优的原则。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6.3 </w:t>
      </w:r>
      <w:r>
        <w:rPr>
          <w:rFonts w:hint="eastAsia" w:ascii="宋体" w:hAnsi="宋体" w:eastAsia="宋体" w:cs="Arial"/>
          <w:kern w:val="0"/>
          <w:sz w:val="24"/>
          <w:szCs w:val="24"/>
        </w:rPr>
        <w:t>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磋商小组按照竞争性磋商文件中规定的方法、评审因素、标准和程序对竞争性磋商响应文件进行评审。</w:t>
      </w:r>
    </w:p>
    <w:p>
      <w:pPr>
        <w:numPr>
          <w:ilvl w:val="0"/>
          <w:numId w:val="2"/>
        </w:numPr>
        <w:tabs>
          <w:tab w:val="center" w:pos="4832"/>
          <w:tab w:val="left" w:pos="7140"/>
        </w:tabs>
        <w:spacing w:line="360" w:lineRule="auto"/>
        <w:ind w:firstLine="472" w:firstLineChars="196"/>
        <w:jc w:val="left"/>
        <w:outlineLvl w:val="1"/>
        <w:rPr>
          <w:rFonts w:ascii="宋体" w:hAnsi="宋体" w:eastAsia="宋体" w:cs="宋体"/>
          <w:b/>
          <w:sz w:val="24"/>
          <w:szCs w:val="24"/>
        </w:rPr>
      </w:pPr>
      <w:bookmarkStart w:id="31" w:name="_BookMark_10"/>
      <w:bookmarkEnd w:id="31"/>
      <w:bookmarkStart w:id="32" w:name="_Toc13589"/>
      <w:r>
        <w:rPr>
          <w:rFonts w:hint="eastAsia" w:ascii="宋体" w:hAnsi="宋体" w:eastAsia="宋体" w:cs="宋体"/>
          <w:b/>
          <w:sz w:val="24"/>
          <w:szCs w:val="24"/>
        </w:rPr>
        <w:t>定标及合同授予</w:t>
      </w:r>
      <w:bookmarkEnd w:id="32"/>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7.1 </w:t>
      </w:r>
      <w:r>
        <w:rPr>
          <w:rFonts w:hint="eastAsia" w:ascii="宋体" w:hAnsi="宋体" w:eastAsia="宋体" w:cs="Arial"/>
          <w:kern w:val="0"/>
          <w:sz w:val="24"/>
          <w:szCs w:val="24"/>
        </w:rPr>
        <w:t>定标方法</w:t>
      </w:r>
    </w:p>
    <w:p>
      <w:pPr>
        <w:widowControl/>
        <w:shd w:val="clear" w:color="auto" w:fill="FFFFFF"/>
        <w:snapToGrid w:val="0"/>
        <w:spacing w:line="360" w:lineRule="auto"/>
        <w:ind w:firstLine="480" w:firstLineChars="200"/>
        <w:rPr>
          <w:rFonts w:ascii="宋体" w:hAnsi="宋体" w:eastAsia="宋体" w:cs="Arial"/>
          <w:color w:val="auto"/>
          <w:kern w:val="0"/>
          <w:sz w:val="24"/>
          <w:szCs w:val="24"/>
        </w:rPr>
      </w:pPr>
      <w:r>
        <w:rPr>
          <w:rFonts w:ascii="宋体" w:hAnsi="宋体" w:eastAsia="宋体" w:cs="Arial"/>
          <w:kern w:val="0"/>
          <w:sz w:val="24"/>
          <w:szCs w:val="24"/>
        </w:rPr>
        <w:t xml:space="preserve">7.1.1 </w:t>
      </w:r>
      <w:r>
        <w:rPr>
          <w:rFonts w:hint="eastAsia" w:ascii="宋体" w:hAnsi="宋体" w:eastAsia="宋体" w:cs="Arial"/>
          <w:kern w:val="0"/>
          <w:sz w:val="24"/>
          <w:szCs w:val="24"/>
        </w:rPr>
        <w:t>评标活动遵循公平、公正、科学和择优的原则。磋商小组按照竞争性磋商文件中规定的方法、评审因素、标准和程序对竞争性磋商响应文件进行评审，并按供应商须知前附表的规定向采购人推荐成交候选人。采购人依据磋商小组推荐的成交候选人确定成交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w:t>
      </w:r>
      <w:r>
        <w:rPr>
          <w:rFonts w:hint="eastAsia" w:ascii="宋体" w:hAnsi="宋体" w:eastAsia="宋体" w:cs="Arial"/>
          <w:kern w:val="0"/>
          <w:sz w:val="24"/>
          <w:szCs w:val="24"/>
        </w:rPr>
        <w:t>2招标人从中标候选人中确定出中标人的原则：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名依次确定其他中标候选人为中标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7.2 </w:t>
      </w:r>
      <w:r>
        <w:rPr>
          <w:rFonts w:hint="eastAsia" w:ascii="宋体" w:hAnsi="宋体" w:eastAsia="宋体" w:cs="Arial"/>
          <w:kern w:val="0"/>
          <w:sz w:val="24"/>
          <w:szCs w:val="24"/>
        </w:rPr>
        <w:t>成交</w:t>
      </w:r>
      <w:r>
        <w:rPr>
          <w:rFonts w:hint="eastAsia" w:ascii="宋体" w:hAnsi="宋体" w:eastAsia="宋体" w:cs="Arial"/>
          <w:kern w:val="0"/>
          <w:sz w:val="24"/>
          <w:szCs w:val="24"/>
          <w:lang w:eastAsia="zh-CN"/>
        </w:rPr>
        <w:t>结果</w:t>
      </w:r>
      <w:r>
        <w:rPr>
          <w:rFonts w:hint="eastAsia" w:ascii="宋体" w:hAnsi="宋体" w:eastAsia="宋体" w:cs="Arial"/>
          <w:kern w:val="0"/>
          <w:sz w:val="24"/>
          <w:szCs w:val="24"/>
        </w:rPr>
        <w:t>公示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在成交通知书发出前，成交</w:t>
      </w:r>
      <w:r>
        <w:rPr>
          <w:rFonts w:hint="eastAsia" w:ascii="宋体" w:hAnsi="宋体" w:eastAsia="宋体" w:cs="Arial"/>
          <w:kern w:val="0"/>
          <w:sz w:val="24"/>
          <w:szCs w:val="24"/>
          <w:lang w:eastAsia="zh-CN"/>
        </w:rPr>
        <w:t>结果</w:t>
      </w:r>
      <w:r>
        <w:rPr>
          <w:rFonts w:hint="eastAsia" w:ascii="宋体" w:hAnsi="宋体" w:eastAsia="宋体" w:cs="Arial"/>
          <w:kern w:val="0"/>
          <w:sz w:val="24"/>
          <w:szCs w:val="24"/>
        </w:rPr>
        <w:t>的情况将在竞争性磋商公告发布的媒体上公示，公示期不得少于1个工作日。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7.3 </w:t>
      </w:r>
      <w:r>
        <w:rPr>
          <w:rFonts w:hint="eastAsia" w:ascii="宋体" w:hAnsi="宋体" w:eastAsia="宋体" w:cs="Arial"/>
          <w:kern w:val="0"/>
          <w:sz w:val="24"/>
          <w:szCs w:val="24"/>
        </w:rPr>
        <w:t>成交通知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公示期，采购人以书面形式向成交人发出成交通知书，并及时通知其它供应商成交结果。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 </w:t>
      </w:r>
      <w:r>
        <w:rPr>
          <w:rFonts w:hint="eastAsia" w:ascii="宋体" w:hAnsi="宋体" w:eastAsia="宋体" w:cs="Arial"/>
          <w:kern w:val="0"/>
          <w:sz w:val="24"/>
          <w:szCs w:val="24"/>
        </w:rPr>
        <w:t>履约保证金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7.4.1 </w:t>
      </w:r>
      <w:r>
        <w:rPr>
          <w:rFonts w:hint="eastAsia" w:ascii="宋体" w:hAnsi="宋体" w:eastAsia="宋体" w:cs="Arial"/>
          <w:kern w:val="0"/>
          <w:sz w:val="24"/>
          <w:szCs w:val="24"/>
        </w:rPr>
        <w:t>在签订合同前，成交人应按供应商须知前附表规定的金额、形式向采购人提交履约保证金。联合体中标的，其履约保证金由牵头人提交，并应符合供应商须知前附表的规定。</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7.4.2 </w:t>
      </w:r>
      <w:r>
        <w:rPr>
          <w:rFonts w:hint="eastAsia" w:ascii="宋体" w:hAnsi="宋体" w:eastAsia="宋体" w:cs="Arial"/>
          <w:kern w:val="0"/>
          <w:sz w:val="24"/>
          <w:szCs w:val="24"/>
        </w:rPr>
        <w:t>成交人不能按本章第</w:t>
      </w:r>
      <w:r>
        <w:rPr>
          <w:rFonts w:ascii="宋体" w:hAnsi="宋体" w:eastAsia="宋体" w:cs="Arial"/>
          <w:kern w:val="0"/>
          <w:sz w:val="24"/>
          <w:szCs w:val="24"/>
        </w:rPr>
        <w:t>7.4.1</w:t>
      </w:r>
      <w:r>
        <w:rPr>
          <w:rFonts w:hint="eastAsia" w:ascii="宋体" w:hAnsi="宋体" w:eastAsia="宋体" w:cs="Arial"/>
          <w:kern w:val="0"/>
          <w:sz w:val="24"/>
          <w:szCs w:val="24"/>
        </w:rPr>
        <w:t>款要求提交履约保证金的，视为放弃中标，其磋商保证金不予退还；给采购人造成的损失超过磋商保证金数额的，成交人还应当对超过部分予以赔偿。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7.5 </w:t>
      </w:r>
      <w:r>
        <w:rPr>
          <w:rFonts w:hint="eastAsia" w:ascii="宋体" w:hAnsi="宋体" w:eastAsia="宋体" w:cs="Arial"/>
          <w:kern w:val="0"/>
          <w:sz w:val="24"/>
          <w:szCs w:val="24"/>
        </w:rPr>
        <w:t>签订合同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7.5.1</w:t>
      </w:r>
      <w:r>
        <w:rPr>
          <w:rFonts w:hint="eastAsia" w:ascii="宋体" w:hAnsi="Calibri" w:eastAsia="宋体" w:cs="Arial"/>
          <w:kern w:val="0"/>
          <w:sz w:val="24"/>
          <w:szCs w:val="24"/>
        </w:rPr>
        <w:t>采购人应当自成交通知书发出之日起30日内，按照竞争性磋商文件和成交人竞争性磋商响应文件的规定，与成交人签订书面合同。所签订的合同不得对竞争性磋商文件确定的事项和成交人竞争性磋商响应文件作实质性修改。采购人不得向成交人提出任何不合理的要求作为签订合同的条件。</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7.5.2发出成交通知书后，采购人无正当理由拒签合同的，给成交人造成损失的，还应当赔偿成交人损失。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Calibri" w:eastAsia="宋体" w:cs="Arial"/>
          <w:kern w:val="0"/>
          <w:sz w:val="24"/>
          <w:szCs w:val="24"/>
        </w:rPr>
        <w:t>7.5.</w:t>
      </w:r>
      <w:r>
        <w:rPr>
          <w:rFonts w:hint="eastAsia" w:ascii="宋体" w:hAnsi="Calibri" w:eastAsia="宋体" w:cs="Arial"/>
          <w:kern w:val="0"/>
          <w:sz w:val="24"/>
          <w:szCs w:val="24"/>
        </w:rPr>
        <w:t>3 发出成交通知书后，成交人无正当理由拒签合同的，采购人取消其中标资格，其磋商保证金不予退还；给采购人造成的损失超过磋商保证金数额的，成交人还应当对超过部分予以赔偿。</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3" w:name="_BookMark_11"/>
      <w:bookmarkEnd w:id="33"/>
      <w:bookmarkStart w:id="34" w:name="_Toc3132"/>
      <w:r>
        <w:rPr>
          <w:rFonts w:ascii="宋体" w:hAnsi="宋体" w:eastAsia="宋体" w:cs="宋体"/>
          <w:b/>
          <w:sz w:val="24"/>
          <w:szCs w:val="24"/>
        </w:rPr>
        <w:t>8</w:t>
      </w:r>
      <w:r>
        <w:rPr>
          <w:rFonts w:hint="eastAsia" w:ascii="宋体" w:hAnsi="宋体" w:eastAsia="宋体" w:cs="宋体"/>
          <w:b/>
          <w:sz w:val="24"/>
          <w:szCs w:val="24"/>
        </w:rPr>
        <w:t>．纪律和监督</w:t>
      </w:r>
      <w:bookmarkEnd w:id="34"/>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8.1 </w:t>
      </w:r>
      <w:r>
        <w:rPr>
          <w:rFonts w:hint="eastAsia" w:ascii="宋体" w:hAnsi="宋体" w:eastAsia="宋体" w:cs="Arial"/>
          <w:kern w:val="0"/>
          <w:sz w:val="24"/>
          <w:szCs w:val="24"/>
        </w:rPr>
        <w:t>对采购人的纪律要求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采购人不得泄漏招标投标活动中应当保密的情况和资料，不得与供应商串通损害国家利益、社会公共利益或者他人合法权益。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8.2 </w:t>
      </w:r>
      <w:r>
        <w:rPr>
          <w:rFonts w:hint="eastAsia" w:ascii="宋体" w:hAnsi="宋体" w:eastAsia="宋体" w:cs="Arial"/>
          <w:kern w:val="0"/>
          <w:sz w:val="24"/>
          <w:szCs w:val="24"/>
        </w:rPr>
        <w:t>对供应商的纪律要求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供应商不得相互串通投标或者与采购人串通投标，不得向采购人或者磋商小组成员行贿谋取中标，不得以他人名义投标或者以其他方式弄虚作假骗取中标；供应商不得以任何方式干扰、影响评标工作。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8.3 </w:t>
      </w:r>
      <w:r>
        <w:rPr>
          <w:rFonts w:hint="eastAsia" w:ascii="宋体" w:hAnsi="宋体" w:eastAsia="宋体" w:cs="Arial"/>
          <w:kern w:val="0"/>
          <w:sz w:val="24"/>
          <w:szCs w:val="24"/>
        </w:rPr>
        <w:t>对磋商小组成员的纪律要求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成员不得收受他人的财物或者其他好处，不得向他人透漏对竞争性磋商响应文件的评审和比较、成交候选人的推荐情况以及评标有关的其他情况。在评标活动中，磋商小组成员不得擅离职守，影响评标程序正常进行，不得使用评标办法没有规定的评审因素和标准进行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8.4 </w:t>
      </w:r>
      <w:r>
        <w:rPr>
          <w:rFonts w:hint="eastAsia" w:ascii="宋体" w:hAnsi="宋体" w:eastAsia="宋体" w:cs="Arial"/>
          <w:kern w:val="0"/>
          <w:sz w:val="24"/>
          <w:szCs w:val="24"/>
        </w:rPr>
        <w:t>对与评标活动有关的工作人员的纪律要求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与评标活动有关的工作人员不得收受他人的财物或者其他好处，不得向他人透漏对竞争性磋商响应文件的评审和比较、成交候选人的推荐情况以及评标有关的其他情况。在评标活动中，与评标活动有关的工作人员不得擅离职守，影响评标程序正常进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8.5 </w:t>
      </w:r>
      <w:r>
        <w:rPr>
          <w:rFonts w:hint="eastAsia" w:ascii="宋体" w:hAnsi="宋体" w:eastAsia="宋体" w:cs="Arial"/>
          <w:kern w:val="0"/>
          <w:sz w:val="24"/>
          <w:szCs w:val="24"/>
        </w:rPr>
        <w:t>监督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本项目的招标投标活动及其相关当事人应当接受有管辖权的监督部门依法实施的监督。</w:t>
      </w:r>
      <w:bookmarkStart w:id="35" w:name="_BookMark_12"/>
      <w:bookmarkEnd w:id="35"/>
    </w:p>
    <w:p>
      <w:pPr>
        <w:spacing w:line="360" w:lineRule="auto"/>
        <w:jc w:val="center"/>
        <w:outlineLvl w:val="0"/>
        <w:rPr>
          <w:rFonts w:ascii="宋体" w:hAnsi="宋体" w:eastAsia="宋体" w:cs="宋体"/>
          <w:b/>
          <w:sz w:val="24"/>
          <w:szCs w:val="24"/>
        </w:rPr>
      </w:pPr>
      <w:r>
        <w:rPr>
          <w:rFonts w:ascii="宋体" w:hAnsi="Calibri" w:eastAsia="宋体" w:cs="Arial"/>
          <w:bCs/>
          <w:kern w:val="0"/>
          <w:sz w:val="24"/>
          <w:szCs w:val="24"/>
        </w:rPr>
        <w:br w:type="page"/>
      </w:r>
      <w:bookmarkStart w:id="36" w:name="_Toc31799"/>
      <w:r>
        <w:rPr>
          <w:rFonts w:hint="eastAsia" w:ascii="宋体" w:hAnsi="宋体" w:eastAsia="宋体" w:cs="宋体"/>
          <w:b/>
          <w:sz w:val="24"/>
          <w:szCs w:val="24"/>
        </w:rPr>
        <w:t>第二章 评标办法</w:t>
      </w:r>
      <w:bookmarkEnd w:id="36"/>
    </w:p>
    <w:p>
      <w:pPr>
        <w:tabs>
          <w:tab w:val="center" w:pos="4832"/>
          <w:tab w:val="left" w:pos="7140"/>
        </w:tabs>
        <w:spacing w:line="360" w:lineRule="auto"/>
        <w:jc w:val="center"/>
        <w:outlineLvl w:val="2"/>
        <w:rPr>
          <w:rFonts w:ascii="宋体" w:hAnsi="宋体" w:eastAsia="宋体" w:cs="宋体"/>
          <w:b/>
          <w:sz w:val="24"/>
          <w:szCs w:val="24"/>
        </w:rPr>
      </w:pPr>
      <w:bookmarkStart w:id="37" w:name="_BookMark_1"/>
      <w:bookmarkEnd w:id="37"/>
      <w:bookmarkStart w:id="38" w:name="_Toc25824"/>
      <w:r>
        <w:rPr>
          <w:rFonts w:hint="eastAsia" w:ascii="宋体" w:hAnsi="宋体" w:eastAsia="宋体" w:cs="宋体"/>
          <w:b/>
          <w:sz w:val="24"/>
          <w:szCs w:val="24"/>
        </w:rPr>
        <w:t>评标办法前附表</w:t>
      </w:r>
      <w:bookmarkEnd w:id="3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2"/>
        <w:gridCol w:w="2783"/>
        <w:gridCol w:w="5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2" w:type="dxa"/>
            <w:tcMar>
              <w:top w:w="0" w:type="dxa"/>
              <w:left w:w="28" w:type="dxa"/>
              <w:bottom w:w="0" w:type="dxa"/>
              <w:right w:w="28" w:type="dxa"/>
            </w:tcMar>
            <w:vAlign w:val="center"/>
          </w:tcPr>
          <w:p>
            <w:pPr>
              <w:spacing w:line="360" w:lineRule="auto"/>
              <w:jc w:val="center"/>
              <w:rPr>
                <w:rFonts w:ascii="宋体" w:hAnsi="Calibri" w:eastAsia="宋体" w:cs="Times New Roman"/>
                <w:szCs w:val="21"/>
              </w:rPr>
            </w:pPr>
            <w:r>
              <w:rPr>
                <w:rFonts w:hint="eastAsia" w:ascii="宋体" w:hAnsi="宋体" w:eastAsia="宋体" w:cs="Times New Roman"/>
                <w:szCs w:val="21"/>
              </w:rPr>
              <w:t>序号</w:t>
            </w:r>
          </w:p>
        </w:tc>
        <w:tc>
          <w:tcPr>
            <w:tcW w:w="2783" w:type="dxa"/>
            <w:tcMar>
              <w:top w:w="0" w:type="dxa"/>
              <w:left w:w="28" w:type="dxa"/>
              <w:bottom w:w="0" w:type="dxa"/>
              <w:right w:w="28" w:type="dxa"/>
            </w:tcMar>
            <w:vAlign w:val="center"/>
          </w:tcPr>
          <w:p>
            <w:pPr>
              <w:spacing w:line="360" w:lineRule="auto"/>
              <w:jc w:val="center"/>
              <w:rPr>
                <w:rFonts w:ascii="宋体" w:hAnsi="Calibri" w:eastAsia="宋体" w:cs="Times New Roman"/>
                <w:szCs w:val="21"/>
              </w:rPr>
            </w:pPr>
            <w:r>
              <w:rPr>
                <w:rFonts w:hint="eastAsia" w:ascii="宋体" w:hAnsi="宋体" w:eastAsia="宋体" w:cs="Times New Roman"/>
                <w:szCs w:val="21"/>
              </w:rPr>
              <w:t>条款内容</w:t>
            </w:r>
          </w:p>
        </w:tc>
        <w:tc>
          <w:tcPr>
            <w:tcW w:w="5765" w:type="dxa"/>
            <w:tcMar>
              <w:top w:w="0" w:type="dxa"/>
              <w:left w:w="28" w:type="dxa"/>
              <w:bottom w:w="0" w:type="dxa"/>
              <w:right w:w="28" w:type="dxa"/>
            </w:tcMar>
            <w:vAlign w:val="center"/>
          </w:tcPr>
          <w:p>
            <w:pPr>
              <w:spacing w:line="360" w:lineRule="auto"/>
              <w:jc w:val="center"/>
              <w:rPr>
                <w:rFonts w:ascii="宋体" w:hAnsi="Calibri" w:eastAsia="宋体" w:cs="Times New Roman"/>
                <w:szCs w:val="21"/>
              </w:rPr>
            </w:pPr>
            <w:r>
              <w:rPr>
                <w:rFonts w:hint="eastAsia" w:ascii="宋体" w:hAnsi="宋体" w:eastAsia="宋体" w:cs="Times New Roman"/>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612" w:type="dxa"/>
            <w:tcMar>
              <w:top w:w="0" w:type="dxa"/>
              <w:left w:w="28" w:type="dxa"/>
              <w:bottom w:w="0" w:type="dxa"/>
              <w:right w:w="28" w:type="dxa"/>
            </w:tcMar>
            <w:vAlign w:val="center"/>
          </w:tcPr>
          <w:p>
            <w:pPr>
              <w:spacing w:line="360" w:lineRule="auto"/>
              <w:jc w:val="center"/>
              <w:rPr>
                <w:rFonts w:ascii="宋体" w:hAnsi="宋体" w:eastAsia="宋体" w:cs="Times New Roman"/>
                <w:szCs w:val="21"/>
              </w:rPr>
            </w:pPr>
            <w:r>
              <w:rPr>
                <w:rFonts w:ascii="宋体" w:hAnsi="宋体" w:eastAsia="宋体" w:cs="Times New Roman"/>
                <w:szCs w:val="21"/>
              </w:rPr>
              <w:t>1</w:t>
            </w:r>
          </w:p>
        </w:tc>
        <w:tc>
          <w:tcPr>
            <w:tcW w:w="2783"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分值构成及权重</w:t>
            </w:r>
          </w:p>
          <w:p>
            <w:pPr>
              <w:spacing w:line="360"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总分</w:t>
            </w:r>
            <w:r>
              <w:rPr>
                <w:rFonts w:ascii="宋体" w:hAnsi="宋体" w:eastAsia="宋体" w:cs="Times New Roman"/>
                <w:szCs w:val="21"/>
              </w:rPr>
              <w:t>100</w:t>
            </w:r>
            <w:r>
              <w:rPr>
                <w:rFonts w:hint="eastAsia" w:ascii="宋体" w:hAnsi="宋体" w:eastAsia="宋体" w:cs="Times New Roman"/>
                <w:szCs w:val="21"/>
              </w:rPr>
              <w:t>分</w:t>
            </w:r>
            <w:r>
              <w:rPr>
                <w:rFonts w:ascii="宋体" w:hAnsi="宋体" w:eastAsia="宋体" w:cs="Times New Roman"/>
                <w:szCs w:val="21"/>
              </w:rPr>
              <w:t>)</w:t>
            </w:r>
          </w:p>
        </w:tc>
        <w:tc>
          <w:tcPr>
            <w:tcW w:w="5765" w:type="dxa"/>
            <w:tcMar>
              <w:top w:w="0" w:type="dxa"/>
              <w:left w:w="28" w:type="dxa"/>
              <w:bottom w:w="0" w:type="dxa"/>
              <w:right w:w="28" w:type="dxa"/>
            </w:tcMar>
            <w:vAlign w:val="center"/>
          </w:tcPr>
          <w:p>
            <w:pPr>
              <w:spacing w:line="360" w:lineRule="auto"/>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详细评审部分权重</w:t>
            </w:r>
            <w:r>
              <w:rPr>
                <w:rFonts w:ascii="宋体" w:hAnsi="宋体" w:eastAsia="宋体" w:cs="Times New Roman"/>
                <w:szCs w:val="21"/>
              </w:rPr>
              <w:t>Q1=</w:t>
            </w:r>
            <w:r>
              <w:rPr>
                <w:rFonts w:hint="eastAsia" w:ascii="宋体" w:hAnsi="宋体" w:eastAsia="宋体" w:cs="Times New Roman"/>
                <w:szCs w:val="21"/>
              </w:rPr>
              <w:t>7</w:t>
            </w:r>
            <w:r>
              <w:rPr>
                <w:rFonts w:ascii="宋体" w:hAnsi="宋体" w:eastAsia="宋体" w:cs="Times New Roman"/>
                <w:szCs w:val="21"/>
              </w:rPr>
              <w:t>0%</w:t>
            </w:r>
          </w:p>
          <w:p>
            <w:pPr>
              <w:spacing w:line="360"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投标报价权重</w:t>
            </w:r>
            <w:r>
              <w:rPr>
                <w:rFonts w:ascii="宋体" w:hAnsi="宋体" w:eastAsia="宋体" w:cs="Times New Roman"/>
                <w:szCs w:val="21"/>
              </w:rPr>
              <w:t>Q2=</w:t>
            </w:r>
            <w:r>
              <w:rPr>
                <w:rFonts w:hint="eastAsia" w:ascii="宋体" w:hAnsi="宋体" w:eastAsia="宋体" w:cs="Times New Roman"/>
                <w:szCs w:val="21"/>
              </w:rPr>
              <w:t>3</w:t>
            </w:r>
            <w:r>
              <w:rPr>
                <w:rFonts w:ascii="宋体" w:hAnsi="宋体"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612" w:type="dxa"/>
            <w:tcMar>
              <w:top w:w="0" w:type="dxa"/>
              <w:left w:w="28" w:type="dxa"/>
              <w:bottom w:w="0" w:type="dxa"/>
              <w:right w:w="28" w:type="dxa"/>
            </w:tcMar>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w:t>
            </w:r>
          </w:p>
        </w:tc>
        <w:tc>
          <w:tcPr>
            <w:tcW w:w="2783"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资格审查</w:t>
            </w:r>
          </w:p>
        </w:tc>
        <w:tc>
          <w:tcPr>
            <w:tcW w:w="5765"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详见《资格审查标准》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2" w:type="dxa"/>
            <w:tcMar>
              <w:top w:w="0" w:type="dxa"/>
              <w:left w:w="28" w:type="dxa"/>
              <w:bottom w:w="0" w:type="dxa"/>
              <w:right w:w="28" w:type="dxa"/>
            </w:tcMar>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3</w:t>
            </w:r>
          </w:p>
        </w:tc>
        <w:tc>
          <w:tcPr>
            <w:tcW w:w="2783"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完备性及符合性审查</w:t>
            </w:r>
          </w:p>
        </w:tc>
        <w:tc>
          <w:tcPr>
            <w:tcW w:w="5765"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详见《完备性及符合性审查标准》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2" w:type="dxa"/>
            <w:vMerge w:val="restart"/>
            <w:tcMar>
              <w:top w:w="0" w:type="dxa"/>
              <w:left w:w="28" w:type="dxa"/>
              <w:bottom w:w="0" w:type="dxa"/>
              <w:right w:w="28" w:type="dxa"/>
            </w:tcMar>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4</w:t>
            </w:r>
          </w:p>
        </w:tc>
        <w:tc>
          <w:tcPr>
            <w:tcW w:w="2783" w:type="dxa"/>
            <w:vMerge w:val="restart"/>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报价评审</w:t>
            </w:r>
          </w:p>
        </w:tc>
        <w:tc>
          <w:tcPr>
            <w:tcW w:w="5765" w:type="dxa"/>
            <w:tcMar>
              <w:top w:w="0" w:type="dxa"/>
              <w:left w:w="28" w:type="dxa"/>
              <w:bottom w:w="0" w:type="dxa"/>
              <w:right w:w="28" w:type="dxa"/>
            </w:tcMar>
            <w:vAlign w:val="center"/>
          </w:tcPr>
          <w:p>
            <w:pPr>
              <w:spacing w:line="360" w:lineRule="auto"/>
              <w:rPr>
                <w:rFonts w:ascii="宋体" w:hAnsi="Calibri" w:eastAsia="宋体" w:cs="Times New Roman"/>
                <w:szCs w:val="21"/>
              </w:rPr>
            </w:pPr>
            <w:r>
              <w:rPr>
                <w:rFonts w:hint="eastAsia" w:ascii="宋体" w:hAnsi="宋体" w:eastAsia="宋体" w:cs="Times New Roman"/>
                <w:szCs w:val="21"/>
              </w:rPr>
              <w:t>详见《详细评审标准》及</w:t>
            </w:r>
            <w:r>
              <w:rPr>
                <w:rFonts w:hint="eastAsia" w:ascii="宋体" w:hAnsi="Calibri" w:eastAsia="宋体" w:cs="Arial"/>
                <w:kern w:val="0"/>
                <w:szCs w:val="21"/>
              </w:rPr>
              <w:t>本节第3.7款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5" w:hRule="atLeast"/>
          <w:jc w:val="center"/>
        </w:trPr>
        <w:tc>
          <w:tcPr>
            <w:tcW w:w="612" w:type="dxa"/>
            <w:vMerge w:val="continue"/>
            <w:tcMar>
              <w:top w:w="0" w:type="dxa"/>
              <w:left w:w="28" w:type="dxa"/>
              <w:bottom w:w="0" w:type="dxa"/>
              <w:right w:w="28" w:type="dxa"/>
            </w:tcMar>
            <w:vAlign w:val="center"/>
          </w:tcPr>
          <w:p>
            <w:pPr>
              <w:spacing w:line="360" w:lineRule="auto"/>
              <w:jc w:val="center"/>
              <w:rPr>
                <w:rFonts w:ascii="宋体" w:hAnsi="宋体" w:eastAsia="宋体" w:cs="Times New Roman"/>
                <w:szCs w:val="21"/>
              </w:rPr>
            </w:pPr>
          </w:p>
        </w:tc>
        <w:tc>
          <w:tcPr>
            <w:tcW w:w="2783" w:type="dxa"/>
            <w:vMerge w:val="continue"/>
            <w:tcMar>
              <w:top w:w="0" w:type="dxa"/>
              <w:left w:w="28" w:type="dxa"/>
              <w:bottom w:w="0" w:type="dxa"/>
              <w:right w:w="28" w:type="dxa"/>
            </w:tcMar>
            <w:vAlign w:val="center"/>
          </w:tcPr>
          <w:p>
            <w:pPr>
              <w:spacing w:line="360" w:lineRule="auto"/>
              <w:rPr>
                <w:rFonts w:ascii="宋体" w:hAnsi="Calibri" w:eastAsia="宋体" w:cs="Times New Roman"/>
                <w:szCs w:val="21"/>
              </w:rPr>
            </w:pPr>
          </w:p>
        </w:tc>
        <w:tc>
          <w:tcPr>
            <w:tcW w:w="5765" w:type="dxa"/>
            <w:tcMar>
              <w:top w:w="0" w:type="dxa"/>
              <w:left w:w="28" w:type="dxa"/>
              <w:bottom w:w="0" w:type="dxa"/>
              <w:right w:w="28" w:type="dxa"/>
            </w:tcMar>
          </w:tcPr>
          <w:p>
            <w:pPr>
              <w:spacing w:line="360" w:lineRule="auto"/>
              <w:rPr>
                <w:rFonts w:ascii="宋体" w:hAnsi="宋体" w:eastAsia="宋体" w:cs="Arial"/>
                <w:kern w:val="0"/>
                <w:szCs w:val="21"/>
              </w:rPr>
            </w:pPr>
            <w:r>
              <w:rPr>
                <w:rFonts w:hint="eastAsia" w:ascii="宋体" w:hAnsi="宋体" w:eastAsia="宋体" w:cs="Arial"/>
                <w:kern w:val="0"/>
                <w:szCs w:val="21"/>
              </w:rPr>
              <w:t>投标报价得分计算方法：</w:t>
            </w:r>
          </w:p>
          <w:p>
            <w:pPr>
              <w:spacing w:line="360" w:lineRule="auto"/>
              <w:rPr>
                <w:rFonts w:ascii="宋体" w:hAnsi="宋体" w:eastAsia="宋体" w:cs="Arial"/>
                <w:kern w:val="0"/>
                <w:szCs w:val="21"/>
              </w:rPr>
            </w:pPr>
            <w:r>
              <w:rPr>
                <w:rFonts w:hint="eastAsia" w:ascii="宋体" w:hAnsi="宋体" w:eastAsia="宋体" w:cs="Arial"/>
                <w:kern w:val="0"/>
                <w:szCs w:val="21"/>
              </w:rPr>
              <w:t>1.投标报价的确定</w:t>
            </w:r>
          </w:p>
          <w:p>
            <w:pPr>
              <w:spacing w:line="360" w:lineRule="auto"/>
              <w:rPr>
                <w:rFonts w:ascii="宋体" w:hAnsi="宋体" w:eastAsia="宋体" w:cs="Arial"/>
                <w:kern w:val="0"/>
                <w:szCs w:val="21"/>
              </w:rPr>
            </w:pPr>
            <w:r>
              <w:rPr>
                <w:rFonts w:hint="eastAsia" w:ascii="宋体" w:hAnsi="宋体" w:eastAsia="宋体" w:cs="Arial"/>
                <w:kern w:val="0"/>
                <w:szCs w:val="21"/>
              </w:rPr>
              <w:t>投标报价是指经评审的且不超过采购预算金额的投标价格。</w:t>
            </w:r>
          </w:p>
          <w:p>
            <w:pPr>
              <w:spacing w:line="360" w:lineRule="auto"/>
              <w:rPr>
                <w:rFonts w:ascii="宋体" w:hAnsi="宋体" w:eastAsia="宋体" w:cs="Arial"/>
                <w:kern w:val="0"/>
                <w:szCs w:val="21"/>
              </w:rPr>
            </w:pPr>
            <w:r>
              <w:rPr>
                <w:rFonts w:hint="eastAsia" w:ascii="宋体" w:hAnsi="宋体" w:eastAsia="宋体" w:cs="Arial"/>
                <w:kern w:val="0"/>
                <w:szCs w:val="21"/>
              </w:rPr>
              <w:t>2.评标基准价的确定</w:t>
            </w:r>
          </w:p>
          <w:p>
            <w:pPr>
              <w:spacing w:line="360" w:lineRule="auto"/>
              <w:rPr>
                <w:rFonts w:ascii="宋体" w:hAnsi="宋体" w:eastAsia="宋体" w:cs="Arial"/>
                <w:kern w:val="0"/>
                <w:szCs w:val="21"/>
              </w:rPr>
            </w:pPr>
            <w:r>
              <w:rPr>
                <w:rFonts w:ascii="宋体" w:hAnsi="宋体" w:eastAsia="宋体" w:cs="Arial"/>
                <w:kern w:val="0"/>
                <w:szCs w:val="21"/>
              </w:rPr>
              <w:t>满足招标文件要求且</w:t>
            </w:r>
            <w:r>
              <w:rPr>
                <w:rFonts w:hint="eastAsia" w:ascii="宋体" w:hAnsi="宋体" w:eastAsia="宋体" w:cs="Arial"/>
                <w:kern w:val="0"/>
                <w:szCs w:val="21"/>
              </w:rPr>
              <w:t>投标报价</w:t>
            </w:r>
            <w:r>
              <w:rPr>
                <w:rFonts w:ascii="宋体" w:hAnsi="宋体" w:eastAsia="宋体" w:cs="Arial"/>
                <w:kern w:val="0"/>
                <w:szCs w:val="21"/>
              </w:rPr>
              <w:t>最低的为评标基准价</w:t>
            </w:r>
          </w:p>
          <w:p>
            <w:pPr>
              <w:spacing w:line="360" w:lineRule="auto"/>
              <w:rPr>
                <w:rFonts w:ascii="宋体" w:hAnsi="宋体" w:eastAsia="宋体" w:cs="Arial"/>
                <w:kern w:val="0"/>
                <w:szCs w:val="21"/>
              </w:rPr>
            </w:pPr>
            <w:r>
              <w:rPr>
                <w:rFonts w:hint="eastAsia" w:ascii="宋体" w:hAnsi="宋体" w:eastAsia="宋体" w:cs="Arial"/>
                <w:kern w:val="0"/>
                <w:szCs w:val="21"/>
              </w:rPr>
              <w:t>3.</w:t>
            </w:r>
            <w:r>
              <w:rPr>
                <w:rFonts w:ascii="宋体" w:hAnsi="宋体" w:eastAsia="宋体" w:cs="Arial"/>
                <w:kern w:val="0"/>
                <w:szCs w:val="21"/>
              </w:rPr>
              <w:t>投标报价得分=(评标基准价／投标报价)×100×</w:t>
            </w:r>
            <w:r>
              <w:rPr>
                <w:rFonts w:hint="eastAsia" w:ascii="宋体" w:hAnsi="宋体" w:eastAsia="宋体" w:cs="Arial"/>
                <w:kern w:val="0"/>
                <w:szCs w:val="21"/>
              </w:rPr>
              <w:t>Q2</w:t>
            </w:r>
          </w:p>
          <w:p>
            <w:pPr>
              <w:spacing w:line="360" w:lineRule="auto"/>
              <w:rPr>
                <w:rFonts w:ascii="宋体" w:hAnsi="宋体" w:eastAsia="宋体" w:cs="Arial"/>
                <w:kern w:val="0"/>
                <w:szCs w:val="21"/>
              </w:rPr>
            </w:pPr>
            <w:r>
              <w:rPr>
                <w:rFonts w:hint="eastAsia" w:ascii="宋体" w:hAnsi="宋体" w:eastAsia="宋体" w:cs="Arial"/>
                <w:kern w:val="0"/>
                <w:szCs w:val="21"/>
              </w:rPr>
              <w:t>4.评分分值计算保留小数点后两位，小数点后三位“四舍五入”。</w:t>
            </w:r>
          </w:p>
          <w:p>
            <w:pPr>
              <w:spacing w:line="360" w:lineRule="auto"/>
              <w:rPr>
                <w:rFonts w:ascii="宋体" w:hAnsi="宋体" w:eastAsia="宋体" w:cs="Arial"/>
                <w:kern w:val="0"/>
                <w:szCs w:val="21"/>
              </w:rPr>
            </w:pPr>
            <w:r>
              <w:rPr>
                <w:rFonts w:hint="eastAsia" w:ascii="宋体" w:hAnsi="宋体" w:eastAsia="宋体" w:cs="Arial"/>
                <w:kern w:val="0"/>
                <w:szCs w:val="21"/>
              </w:rPr>
              <w:t>5.因落实政府采购政策对中小微企业、残疾人福利性单位、监狱企业产品的价格给予6%价格扣除；以扣除后的价格参与评审，不重复享受价格扣除政策。</w:t>
            </w:r>
          </w:p>
        </w:tc>
      </w:tr>
    </w:tbl>
    <w:p>
      <w:pPr>
        <w:widowControl/>
        <w:shd w:val="clear" w:color="auto" w:fill="FFFFFF"/>
        <w:snapToGrid w:val="0"/>
        <w:spacing w:line="360" w:lineRule="auto"/>
        <w:jc w:val="center"/>
        <w:rPr>
          <w:rFonts w:ascii="宋体" w:hAnsi="宋体" w:eastAsia="宋体" w:cs="Arial"/>
          <w:b/>
          <w:kern w:val="0"/>
          <w:sz w:val="24"/>
          <w:szCs w:val="24"/>
        </w:rPr>
      </w:pPr>
      <w:bookmarkStart w:id="39" w:name="_Toc501719166"/>
      <w:r>
        <w:rPr>
          <w:rFonts w:hint="eastAsia" w:ascii="宋体" w:hAnsi="宋体" w:eastAsia="宋体" w:cs="Arial"/>
          <w:b/>
          <w:kern w:val="0"/>
          <w:sz w:val="24"/>
          <w:szCs w:val="24"/>
        </w:rPr>
        <w:t>《资格审查标准》</w:t>
      </w:r>
      <w:bookmarkEnd w:id="39"/>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4"/>
        <w:gridCol w:w="8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624" w:type="dxa"/>
            <w:vAlign w:val="center"/>
          </w:tcPr>
          <w:p>
            <w:pPr>
              <w:widowControl/>
              <w:shd w:val="clear" w:color="auto" w:fill="FFFFFF"/>
              <w:snapToGrid w:val="0"/>
              <w:spacing w:line="360" w:lineRule="auto"/>
              <w:jc w:val="center"/>
              <w:rPr>
                <w:rFonts w:ascii="宋体" w:hAnsi="宋体" w:eastAsia="宋体" w:cs="Arial"/>
                <w:kern w:val="0"/>
                <w:szCs w:val="21"/>
              </w:rPr>
            </w:pPr>
            <w:r>
              <w:rPr>
                <w:rFonts w:hint="eastAsia" w:ascii="宋体" w:hAnsi="宋体" w:eastAsia="宋体" w:cs="Arial"/>
                <w:kern w:val="0"/>
                <w:szCs w:val="21"/>
              </w:rPr>
              <w:t>序号</w:t>
            </w:r>
          </w:p>
        </w:tc>
        <w:tc>
          <w:tcPr>
            <w:tcW w:w="8456" w:type="dxa"/>
            <w:vAlign w:val="center"/>
          </w:tcPr>
          <w:p>
            <w:pPr>
              <w:widowControl/>
              <w:shd w:val="clear" w:color="auto" w:fill="FFFFFF"/>
              <w:snapToGrid w:val="0"/>
              <w:spacing w:line="360" w:lineRule="auto"/>
              <w:jc w:val="center"/>
              <w:rPr>
                <w:rFonts w:ascii="宋体" w:hAnsi="宋体" w:eastAsia="宋体" w:cs="Arial"/>
                <w:kern w:val="0"/>
                <w:szCs w:val="21"/>
              </w:rPr>
            </w:pPr>
            <w:r>
              <w:rPr>
                <w:rFonts w:hint="eastAsia" w:ascii="宋体" w:hAnsi="宋体" w:eastAsia="宋体" w:cs="Arial"/>
                <w:kern w:val="0"/>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624" w:type="dxa"/>
            <w:vAlign w:val="center"/>
          </w:tcPr>
          <w:p>
            <w:pPr>
              <w:widowControl/>
              <w:shd w:val="clear" w:color="auto" w:fill="FFFFFF"/>
              <w:snapToGrid w:val="0"/>
              <w:spacing w:line="360" w:lineRule="auto"/>
              <w:jc w:val="center"/>
              <w:rPr>
                <w:rFonts w:ascii="宋体" w:hAnsi="宋体" w:eastAsia="宋体" w:cs="Arial"/>
                <w:kern w:val="0"/>
                <w:szCs w:val="21"/>
              </w:rPr>
            </w:pPr>
            <w:r>
              <w:rPr>
                <w:rFonts w:ascii="宋体" w:hAnsi="宋体" w:eastAsia="宋体" w:cs="Arial"/>
                <w:kern w:val="0"/>
                <w:szCs w:val="21"/>
              </w:rPr>
              <w:t>1</w:t>
            </w:r>
          </w:p>
        </w:tc>
        <w:tc>
          <w:tcPr>
            <w:tcW w:w="8456" w:type="dxa"/>
            <w:vAlign w:val="center"/>
          </w:tcPr>
          <w:p>
            <w:pPr>
              <w:rPr>
                <w:szCs w:val="21"/>
              </w:rPr>
            </w:pPr>
            <w:r>
              <w:rPr>
                <w:szCs w:val="21"/>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4" w:hRule="atLeast"/>
          <w:jc w:val="center"/>
        </w:trPr>
        <w:tc>
          <w:tcPr>
            <w:tcW w:w="624" w:type="dxa"/>
            <w:vAlign w:val="center"/>
          </w:tcPr>
          <w:p>
            <w:pPr>
              <w:widowControl/>
              <w:shd w:val="clear" w:color="auto" w:fill="FFFFFF"/>
              <w:snapToGrid w:val="0"/>
              <w:spacing w:line="360" w:lineRule="auto"/>
              <w:jc w:val="center"/>
              <w:rPr>
                <w:rFonts w:ascii="宋体" w:hAnsi="宋体" w:eastAsia="宋体" w:cs="Arial"/>
                <w:kern w:val="0"/>
                <w:szCs w:val="21"/>
              </w:rPr>
            </w:pPr>
            <w:r>
              <w:rPr>
                <w:rFonts w:ascii="宋体" w:hAnsi="宋体" w:eastAsia="宋体" w:cs="Arial"/>
                <w:kern w:val="0"/>
                <w:szCs w:val="21"/>
              </w:rPr>
              <w:t>2</w:t>
            </w:r>
          </w:p>
        </w:tc>
        <w:tc>
          <w:tcPr>
            <w:tcW w:w="8456" w:type="dxa"/>
            <w:vAlign w:val="center"/>
          </w:tcPr>
          <w:p>
            <w:pPr>
              <w:rPr>
                <w:rFonts w:hint="eastAsia" w:eastAsiaTheme="minorEastAsia"/>
                <w:szCs w:val="21"/>
                <w:lang w:val="en-US" w:eastAsia="zh-CN"/>
              </w:rPr>
            </w:pPr>
            <w:r>
              <w:rPr>
                <w:rFonts w:hint="eastAsia"/>
                <w:szCs w:val="21"/>
              </w:rPr>
              <w:t>供应商须具有有效的营业执照、组织机构代码、税务登记证（已实行三证合一的企业仅提供有社会信用代码的新版营业执照）；具有独立订立合同的权利，能独立承担民事责任的能力</w:t>
            </w: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624" w:type="dxa"/>
            <w:tcMar>
              <w:top w:w="0" w:type="dxa"/>
              <w:left w:w="28" w:type="dxa"/>
              <w:bottom w:w="0" w:type="dxa"/>
              <w:right w:w="28" w:type="dxa"/>
            </w:tcMar>
            <w:vAlign w:val="center"/>
          </w:tcPr>
          <w:p>
            <w:pPr>
              <w:widowControl/>
              <w:shd w:val="clear" w:color="auto" w:fill="FFFFFF"/>
              <w:snapToGrid w:val="0"/>
              <w:spacing w:line="360" w:lineRule="auto"/>
              <w:jc w:val="center"/>
              <w:rPr>
                <w:rFonts w:hint="eastAsia" w:ascii="宋体" w:hAnsi="宋体" w:eastAsia="宋体" w:cs="Arial"/>
                <w:kern w:val="0"/>
                <w:szCs w:val="21"/>
                <w:lang w:val="en-US" w:eastAsia="zh-CN"/>
              </w:rPr>
            </w:pPr>
            <w:r>
              <w:rPr>
                <w:rFonts w:hint="eastAsia" w:ascii="宋体" w:hAnsi="宋体" w:eastAsia="宋体" w:cs="Arial"/>
                <w:kern w:val="0"/>
                <w:szCs w:val="21"/>
                <w:lang w:val="en-US" w:eastAsia="zh-CN"/>
              </w:rPr>
              <w:t>3</w:t>
            </w:r>
          </w:p>
        </w:tc>
        <w:tc>
          <w:tcPr>
            <w:tcW w:w="8456" w:type="dxa"/>
            <w:tcMar>
              <w:top w:w="0" w:type="dxa"/>
              <w:left w:w="28" w:type="dxa"/>
              <w:bottom w:w="0" w:type="dxa"/>
              <w:right w:w="28" w:type="dxa"/>
            </w:tcMar>
            <w:vAlign w:val="center"/>
          </w:tcPr>
          <w:p>
            <w:pPr>
              <w:rPr>
                <w:szCs w:val="21"/>
              </w:rPr>
            </w:pPr>
            <w:r>
              <w:rPr>
                <w:rFonts w:hint="eastAsia" w:ascii="宋体" w:hAnsi="宋体"/>
                <w:szCs w:val="21"/>
              </w:rPr>
              <w:t>供应商须是在“信用中国”（www.creditchina.gov.cn）和中国政府采购网（www.ccgp.gov.cn）网站上未被列入失信被执行人、重大税收违法案件当事人名单以及政府采购严重违法失信行为记录名单；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624" w:type="dxa"/>
            <w:tcMar>
              <w:top w:w="0" w:type="dxa"/>
              <w:left w:w="28" w:type="dxa"/>
              <w:bottom w:w="0" w:type="dxa"/>
              <w:right w:w="28" w:type="dxa"/>
            </w:tcMar>
            <w:vAlign w:val="center"/>
          </w:tcPr>
          <w:p>
            <w:pPr>
              <w:widowControl/>
              <w:shd w:val="clear" w:color="auto" w:fill="FFFFFF"/>
              <w:snapToGrid w:val="0"/>
              <w:spacing w:line="360" w:lineRule="auto"/>
              <w:jc w:val="center"/>
              <w:rPr>
                <w:rFonts w:hint="default" w:ascii="宋体" w:hAnsi="宋体" w:eastAsia="宋体" w:cs="Arial"/>
                <w:kern w:val="0"/>
                <w:szCs w:val="21"/>
                <w:lang w:val="en-US" w:eastAsia="zh-CN"/>
              </w:rPr>
            </w:pPr>
            <w:r>
              <w:rPr>
                <w:rFonts w:hint="eastAsia" w:ascii="宋体" w:hAnsi="宋体" w:eastAsia="宋体" w:cs="Arial"/>
                <w:kern w:val="0"/>
                <w:szCs w:val="21"/>
                <w:lang w:val="en-US" w:eastAsia="zh-CN"/>
              </w:rPr>
              <w:t>4</w:t>
            </w:r>
          </w:p>
        </w:tc>
        <w:tc>
          <w:tcPr>
            <w:tcW w:w="8456" w:type="dxa"/>
            <w:tcMar>
              <w:top w:w="0" w:type="dxa"/>
              <w:left w:w="28" w:type="dxa"/>
              <w:bottom w:w="0" w:type="dxa"/>
              <w:right w:w="28" w:type="dxa"/>
            </w:tcMar>
            <w:vAlign w:val="center"/>
          </w:tcPr>
          <w:p>
            <w:pPr>
              <w:rPr>
                <w:rFonts w:hint="eastAsia" w:ascii="宋体" w:hAnsi="宋体"/>
                <w:szCs w:val="21"/>
              </w:rPr>
            </w:pPr>
            <w:r>
              <w:rPr>
                <w:rFonts w:hint="eastAsia" w:ascii="宋体" w:hAnsi="宋体"/>
                <w:szCs w:val="21"/>
                <w:lang w:eastAsia="zh-CN"/>
              </w:rPr>
              <w:t>供应商应按照供应商须知前附表规定递交投标保证金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0" w:hRule="atLeast"/>
          <w:jc w:val="center"/>
        </w:trPr>
        <w:tc>
          <w:tcPr>
            <w:tcW w:w="9080" w:type="dxa"/>
            <w:gridSpan w:val="2"/>
            <w:tcMar>
              <w:top w:w="0" w:type="dxa"/>
              <w:left w:w="28" w:type="dxa"/>
              <w:bottom w:w="0" w:type="dxa"/>
              <w:right w:w="28" w:type="dxa"/>
            </w:tcMar>
            <w:vAlign w:val="center"/>
          </w:tcPr>
          <w:p>
            <w:pPr>
              <w:widowControl/>
              <w:shd w:val="clear" w:color="auto" w:fill="FFFFFF"/>
              <w:snapToGrid w:val="0"/>
              <w:spacing w:line="360" w:lineRule="auto"/>
              <w:rPr>
                <w:rFonts w:ascii="宋体" w:hAnsi="宋体" w:eastAsia="宋体" w:cs="Arial"/>
                <w:kern w:val="0"/>
                <w:szCs w:val="21"/>
              </w:rPr>
            </w:pPr>
            <w:r>
              <w:rPr>
                <w:rFonts w:hint="eastAsia" w:ascii="宋体" w:hAnsi="宋体" w:eastAsia="宋体" w:cs="Arial"/>
                <w:kern w:val="0"/>
                <w:szCs w:val="21"/>
              </w:rPr>
              <w:t>备注：如果资格评审中有一项不满足审查标准的，采购人将认定该供应商不通过资格审查，竞争性磋商响应文件将被拒绝评审。并且不允许供应商通过修改或撤销其不符合要求的差异或保留，使之成为具有响应性的投标。</w:t>
            </w:r>
          </w:p>
        </w:tc>
      </w:tr>
    </w:tbl>
    <w:p>
      <w:pPr>
        <w:jc w:val="center"/>
        <w:rPr>
          <w:rFonts w:ascii="宋体" w:hAnsi="宋体" w:eastAsia="宋体" w:cs="Arial"/>
          <w:b/>
          <w:kern w:val="0"/>
          <w:sz w:val="24"/>
          <w:szCs w:val="24"/>
        </w:rPr>
      </w:pPr>
      <w:bookmarkStart w:id="40" w:name="_Toc501719167"/>
    </w:p>
    <w:p>
      <w:pPr>
        <w:pStyle w:val="2"/>
      </w:pPr>
    </w:p>
    <w:p>
      <w:pPr>
        <w:jc w:val="center"/>
        <w:rPr>
          <w:rFonts w:ascii="宋体" w:hAnsi="宋体" w:eastAsia="宋体" w:cs="Arial"/>
          <w:b/>
          <w:kern w:val="0"/>
          <w:sz w:val="24"/>
          <w:szCs w:val="24"/>
        </w:rPr>
      </w:pPr>
      <w:r>
        <w:rPr>
          <w:rFonts w:hint="eastAsia" w:ascii="宋体" w:hAnsi="宋体" w:eastAsia="宋体" w:cs="Arial"/>
          <w:b/>
          <w:kern w:val="0"/>
          <w:sz w:val="24"/>
          <w:szCs w:val="24"/>
        </w:rPr>
        <w:t>《完备性及符合性审查标准》</w:t>
      </w:r>
      <w:bookmarkEnd w:id="40"/>
    </w:p>
    <w:tbl>
      <w:tblPr>
        <w:tblStyle w:val="4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3" w:type="dxa"/>
            <w:vMerge w:val="restart"/>
            <w:vAlign w:val="center"/>
          </w:tcPr>
          <w:p>
            <w:pPr>
              <w:autoSpaceDE w:val="0"/>
              <w:autoSpaceDN w:val="0"/>
              <w:adjustRightInd w:val="0"/>
              <w:jc w:val="center"/>
              <w:rPr>
                <w:rFonts w:ascii="宋体" w:cs="宋体"/>
                <w:kern w:val="0"/>
                <w:szCs w:val="21"/>
              </w:rPr>
            </w:pPr>
            <w:r>
              <w:rPr>
                <w:rFonts w:hint="eastAsia" w:ascii="宋体" w:hAnsi="宋体" w:cs="宋体"/>
                <w:kern w:val="0"/>
                <w:szCs w:val="21"/>
              </w:rPr>
              <w:t>序号</w:t>
            </w:r>
          </w:p>
        </w:tc>
        <w:tc>
          <w:tcPr>
            <w:tcW w:w="8406" w:type="dxa"/>
            <w:vMerge w:val="restart"/>
            <w:vAlign w:val="center"/>
          </w:tcPr>
          <w:p>
            <w:pPr>
              <w:autoSpaceDE w:val="0"/>
              <w:autoSpaceDN w:val="0"/>
              <w:adjustRightInd w:val="0"/>
              <w:jc w:val="center"/>
              <w:rPr>
                <w:rFonts w:ascii="宋体" w:cs="宋体"/>
                <w:kern w:val="0"/>
                <w:szCs w:val="21"/>
              </w:rPr>
            </w:pPr>
            <w:r>
              <w:rPr>
                <w:rFonts w:hint="eastAsia" w:ascii="宋体" w:hAnsi="宋体" w:cs="宋体"/>
                <w:kern w:val="0"/>
                <w:szCs w:val="21"/>
              </w:rPr>
              <w:t>响应文件符合性审查内容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3" w:type="dxa"/>
            <w:vMerge w:val="continue"/>
            <w:vAlign w:val="center"/>
          </w:tcPr>
          <w:p>
            <w:pPr>
              <w:autoSpaceDE w:val="0"/>
              <w:autoSpaceDN w:val="0"/>
              <w:adjustRightInd w:val="0"/>
              <w:jc w:val="center"/>
              <w:rPr>
                <w:rFonts w:ascii="宋体" w:cs="宋体"/>
                <w:kern w:val="0"/>
                <w:szCs w:val="21"/>
              </w:rPr>
            </w:pPr>
          </w:p>
        </w:tc>
        <w:tc>
          <w:tcPr>
            <w:tcW w:w="8406" w:type="dxa"/>
            <w:vMerge w:val="continue"/>
          </w:tcPr>
          <w:p>
            <w:pPr>
              <w:autoSpaceDE w:val="0"/>
              <w:autoSpaceDN w:val="0"/>
              <w:adjustRightInd w:val="0"/>
              <w:jc w:val="cente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1</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凡竞争性磋商文件中要求盖章或签字处，是否按要求加盖单位公章、法定代表人或被授权委托人签字或盖章的。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2</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响应文件组成齐全完整，内容均按规定填写；响应文件的关键内容无字迹模糊、无法辨认的。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3</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响应文件提交的份数及装订，是否满足竞争性磋商文件的要求。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4</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响应文件是否实质上响应了竞争性磋商文件的要求。实质上响应的投标应该是与竞争性磋商文件要求的全部条款、条件等相符，没有重大偏离或保留的投标。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5</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一份响应文件应只有一个投标报价，在竞争性磋商文件没有规定的情况下，未提交选择性的报价。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6</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供应商的投标报价未超出相应采购预算金额。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7</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响应文件载明的供货完成期限未超出竞争性磋商文件规定的期限。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8</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供应商未提出不同的验收、计量、支付办法。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9</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提供了信用记录查询资料，且信用记录满足本文件供应商须知前附表的规定；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10</w:t>
            </w:r>
          </w:p>
        </w:tc>
        <w:tc>
          <w:tcPr>
            <w:tcW w:w="8406" w:type="dxa"/>
          </w:tcPr>
          <w:p>
            <w:pPr>
              <w:autoSpaceDE w:val="0"/>
              <w:autoSpaceDN w:val="0"/>
              <w:adjustRightInd w:val="0"/>
              <w:jc w:val="left"/>
              <w:rPr>
                <w:rFonts w:ascii="宋体" w:hAnsi="宋体" w:cs="宋体"/>
                <w:kern w:val="0"/>
                <w:szCs w:val="21"/>
              </w:rPr>
            </w:pPr>
            <w:r>
              <w:rPr>
                <w:rFonts w:hint="eastAsia" w:ascii="宋体" w:hAnsi="宋体" w:eastAsia="宋体" w:cs="Arial"/>
                <w:kern w:val="0"/>
                <w:szCs w:val="21"/>
              </w:rPr>
              <w:t>供应商应按照供应商须知前附表规定递交磋商保证金。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ascii="宋体" w:hAnsi="宋体" w:cs="宋体"/>
                <w:kern w:val="0"/>
                <w:szCs w:val="21"/>
              </w:rPr>
              <w:t>11</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响应文件未附有采购人不能接受的附加条件的。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12</w:t>
            </w:r>
          </w:p>
        </w:tc>
        <w:tc>
          <w:tcPr>
            <w:tcW w:w="8406" w:type="dxa"/>
          </w:tcPr>
          <w:p>
            <w:pPr>
              <w:autoSpaceDE w:val="0"/>
              <w:autoSpaceDN w:val="0"/>
              <w:adjustRightInd w:val="0"/>
              <w:jc w:val="left"/>
              <w:rPr>
                <w:rFonts w:ascii="宋体" w:cs="宋体"/>
                <w:kern w:val="0"/>
                <w:szCs w:val="21"/>
              </w:rPr>
            </w:pPr>
            <w:r>
              <w:rPr>
                <w:rFonts w:hint="eastAsia" w:ascii="宋体" w:hAnsi="宋体" w:cs="宋体"/>
                <w:kern w:val="0"/>
                <w:szCs w:val="21"/>
              </w:rPr>
              <w:t>法律、法规和竞争性磋商文件规定的其他无效情形。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9" w:type="dxa"/>
            <w:gridSpan w:val="2"/>
            <w:vAlign w:val="center"/>
          </w:tcPr>
          <w:p>
            <w:pPr>
              <w:autoSpaceDE w:val="0"/>
              <w:autoSpaceDN w:val="0"/>
              <w:adjustRightInd w:val="0"/>
              <w:jc w:val="left"/>
              <w:rPr>
                <w:rFonts w:ascii="宋体" w:hAnsi="宋体" w:cs="宋体"/>
                <w:kern w:val="0"/>
                <w:szCs w:val="21"/>
              </w:rPr>
            </w:pPr>
            <w:r>
              <w:rPr>
                <w:rFonts w:hint="eastAsia" w:ascii="宋体" w:hAnsi="宋体" w:cs="Arial"/>
                <w:kern w:val="0"/>
                <w:szCs w:val="21"/>
              </w:rPr>
              <w:t>备注：完备性及符合性审查中有一项不满足评审标准的，评标委员会将认定该供应商不通过完备性及符合性审查，不得进入下一阶段评审。并且不允许供应商通过修改或撤销其不符合要求的差异或保留，使之成为具有响应性的投标。</w:t>
            </w:r>
          </w:p>
        </w:tc>
      </w:tr>
    </w:tbl>
    <w:p>
      <w:pPr>
        <w:autoSpaceDE w:val="0"/>
        <w:autoSpaceDN w:val="0"/>
        <w:adjustRightInd w:val="0"/>
        <w:jc w:val="left"/>
        <w:rPr>
          <w:rFonts w:ascii="宋体" w:cs="宋体"/>
          <w:kern w:val="0"/>
          <w:sz w:val="24"/>
          <w:szCs w:val="24"/>
        </w:rPr>
      </w:pPr>
      <w:r>
        <w:rPr>
          <w:rFonts w:hint="eastAsia" w:ascii="宋体" w:hAnsi="宋体" w:cs="宋体"/>
          <w:kern w:val="0"/>
          <w:sz w:val="24"/>
          <w:szCs w:val="24"/>
        </w:rPr>
        <w:t>说明：</w:t>
      </w:r>
    </w:p>
    <w:p>
      <w:pPr>
        <w:autoSpaceDE w:val="0"/>
        <w:autoSpaceDN w:val="0"/>
        <w:adjustRightInd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）上述各项中用“√”表示通过，“×”表示不通过；</w:t>
      </w:r>
    </w:p>
    <w:p>
      <w:pPr>
        <w:autoSpaceDE w:val="0"/>
        <w:autoSpaceDN w:val="0"/>
        <w:adjustRightInd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）上述各项中如有一项为“×”，则结论为“×”，表示该响应文件中存在重大偏差，不能通过初步评审；评委对某一分项评审认为不合格时，必须要写明原因。</w:t>
      </w:r>
    </w:p>
    <w:p>
      <w:pPr>
        <w:autoSpaceDE w:val="0"/>
        <w:autoSpaceDN w:val="0"/>
        <w:adjustRightInd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）响应文件最终合格与否，以所有评委的评审意见中少数服从多数为原则定论。</w:t>
      </w:r>
    </w:p>
    <w:p>
      <w:pPr>
        <w:widowControl/>
        <w:shd w:val="clear" w:color="auto" w:fill="FFFFFF"/>
        <w:snapToGrid w:val="0"/>
        <w:jc w:val="center"/>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）供应商请认真阅读和理解上述内容，避免响应文件中有违背上述审查标准之一的情况发生而造成投标被否决。</w:t>
      </w:r>
    </w:p>
    <w:p>
      <w:pPr>
        <w:jc w:val="left"/>
        <w:rPr>
          <w:rFonts w:ascii="宋体" w:hAnsi="宋体" w:cs="宋体"/>
          <w:kern w:val="0"/>
          <w:sz w:val="24"/>
          <w:szCs w:val="24"/>
        </w:rPr>
      </w:pPr>
    </w:p>
    <w:p>
      <w:pPr>
        <w:spacing w:line="360" w:lineRule="auto"/>
        <w:jc w:val="center"/>
        <w:rPr>
          <w:rFonts w:ascii="宋体" w:hAnsi="宋体" w:eastAsia="宋体" w:cs="Arial"/>
          <w:b/>
          <w:kern w:val="0"/>
          <w:sz w:val="24"/>
          <w:szCs w:val="24"/>
        </w:rPr>
      </w:pPr>
    </w:p>
    <w:p>
      <w:pPr>
        <w:jc w:val="center"/>
        <w:rPr>
          <w:rFonts w:ascii="宋体" w:hAnsi="宋体" w:eastAsia="宋体" w:cs="Arial"/>
          <w:b/>
          <w:kern w:val="0"/>
          <w:sz w:val="24"/>
          <w:szCs w:val="24"/>
        </w:rPr>
      </w:pPr>
      <w:r>
        <w:rPr>
          <w:rFonts w:hint="eastAsia" w:ascii="宋体" w:hAnsi="宋体" w:eastAsia="宋体" w:cs="Arial"/>
          <w:b/>
          <w:kern w:val="0"/>
          <w:sz w:val="24"/>
          <w:szCs w:val="24"/>
        </w:rPr>
        <w:t>《详细评审标准》</w:t>
      </w:r>
    </w:p>
    <w:tbl>
      <w:tblPr>
        <w:tblStyle w:val="43"/>
        <w:tblW w:w="5031" w:type="pct"/>
        <w:jc w:val="center"/>
        <w:tblLayout w:type="autofit"/>
        <w:tblCellMar>
          <w:top w:w="0" w:type="dxa"/>
          <w:left w:w="0" w:type="dxa"/>
          <w:bottom w:w="0" w:type="dxa"/>
          <w:right w:w="0" w:type="dxa"/>
        </w:tblCellMar>
      </w:tblPr>
      <w:tblGrid>
        <w:gridCol w:w="650"/>
        <w:gridCol w:w="1421"/>
        <w:gridCol w:w="1056"/>
        <w:gridCol w:w="6305"/>
      </w:tblGrid>
      <w:tr>
        <w:tblPrEx>
          <w:tblCellMar>
            <w:top w:w="0" w:type="dxa"/>
            <w:left w:w="0" w:type="dxa"/>
            <w:bottom w:w="0" w:type="dxa"/>
            <w:right w:w="0" w:type="dxa"/>
          </w:tblCellMar>
        </w:tblPrEx>
        <w:trPr>
          <w:trHeight w:val="80" w:hRule="atLeast"/>
          <w:jc w:val="center"/>
        </w:trPr>
        <w:tc>
          <w:tcPr>
            <w:tcW w:w="360" w:type="pct"/>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序号</w:t>
            </w:r>
          </w:p>
        </w:tc>
        <w:tc>
          <w:tcPr>
            <w:tcW w:w="768" w:type="pct"/>
            <w:tcBorders>
              <w:top w:val="single" w:color="auto" w:sz="8" w:space="0"/>
              <w:left w:val="nil"/>
              <w:bottom w:val="single" w:color="auto" w:sz="8" w:space="0"/>
              <w:right w:val="single" w:color="auto" w:sz="8" w:space="0"/>
            </w:tcBorders>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评审项目</w:t>
            </w:r>
          </w:p>
        </w:tc>
        <w:tc>
          <w:tcPr>
            <w:tcW w:w="515" w:type="pct"/>
            <w:tcBorders>
              <w:top w:val="single" w:color="auto" w:sz="8" w:space="0"/>
              <w:left w:val="nil"/>
              <w:bottom w:val="single" w:color="auto" w:sz="8" w:space="0"/>
              <w:right w:val="single" w:color="auto" w:sz="8" w:space="0"/>
            </w:tcBorders>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标准分</w:t>
            </w:r>
          </w:p>
        </w:tc>
        <w:tc>
          <w:tcPr>
            <w:tcW w:w="3357" w:type="pct"/>
            <w:tcBorders>
              <w:top w:val="single" w:color="auto" w:sz="8" w:space="0"/>
              <w:left w:val="nil"/>
              <w:bottom w:val="single" w:color="auto" w:sz="8" w:space="0"/>
              <w:right w:val="single" w:color="auto" w:sz="8" w:space="0"/>
            </w:tcBorders>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评审标准</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1</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rPr>
              <w:t>投标人基本概况</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10</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技术力量合理，装备齐全，人员及设备配置合理</w:t>
            </w:r>
            <w:r>
              <w:rPr>
                <w:rFonts w:ascii="宋体" w:hAnsi="宋体" w:eastAsia="宋体" w:cs="Arial"/>
                <w:kern w:val="0"/>
                <w:sz w:val="24"/>
                <w:szCs w:val="24"/>
              </w:rPr>
              <w:t>(7-10]</w:t>
            </w:r>
            <w:r>
              <w:rPr>
                <w:rFonts w:hint="eastAsia" w:ascii="宋体" w:hAnsi="宋体" w:eastAsia="宋体" w:cs="Arial"/>
                <w:kern w:val="0"/>
                <w:sz w:val="24"/>
                <w:szCs w:val="24"/>
              </w:rPr>
              <w:t>；技术力量一般，装备较全，人员及设备配置较合理（</w:t>
            </w:r>
            <w:r>
              <w:rPr>
                <w:rFonts w:ascii="宋体" w:hAnsi="宋体" w:eastAsia="宋体" w:cs="Arial"/>
                <w:kern w:val="0"/>
                <w:sz w:val="24"/>
                <w:szCs w:val="24"/>
              </w:rPr>
              <w:t>3-7]</w:t>
            </w:r>
            <w:r>
              <w:rPr>
                <w:rFonts w:hint="eastAsia" w:ascii="宋体" w:hAnsi="宋体" w:eastAsia="宋体" w:cs="Arial"/>
                <w:kern w:val="0"/>
                <w:sz w:val="24"/>
                <w:szCs w:val="24"/>
              </w:rPr>
              <w:t>；技术力量较弱，装备较差，人员及设备配置不合理</w:t>
            </w:r>
            <w:r>
              <w:rPr>
                <w:rFonts w:ascii="宋体" w:hAnsi="宋体" w:eastAsia="宋体" w:cs="Arial"/>
                <w:kern w:val="0"/>
                <w:sz w:val="24"/>
                <w:szCs w:val="24"/>
              </w:rPr>
              <w:t>[0-3]</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2</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ind w:left="-105" w:leftChars="-50" w:right="-105" w:rightChars="-50"/>
              <w:jc w:val="center"/>
              <w:rPr>
                <w:rFonts w:ascii="宋体" w:hAnsi="宋体" w:eastAsia="宋体" w:cs="Arial"/>
                <w:kern w:val="0"/>
                <w:sz w:val="24"/>
                <w:szCs w:val="24"/>
              </w:rPr>
            </w:pPr>
            <w:r>
              <w:rPr>
                <w:rFonts w:hint="eastAsia" w:ascii="宋体" w:hAnsi="宋体" w:eastAsia="宋体" w:cs="Arial"/>
                <w:kern w:val="0"/>
                <w:sz w:val="24"/>
                <w:szCs w:val="24"/>
              </w:rPr>
              <w:t>近三年类似业绩</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10</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投标人近三年（</w:t>
            </w:r>
            <w:r>
              <w:rPr>
                <w:rFonts w:ascii="宋体" w:hAnsi="宋体" w:eastAsia="宋体" w:cs="Arial"/>
                <w:kern w:val="0"/>
                <w:sz w:val="24"/>
                <w:szCs w:val="24"/>
              </w:rPr>
              <w:t>201</w:t>
            </w:r>
            <w:r>
              <w:rPr>
                <w:rFonts w:hint="eastAsia" w:ascii="宋体" w:hAnsi="宋体" w:eastAsia="宋体" w:cs="Arial"/>
                <w:kern w:val="0"/>
                <w:sz w:val="24"/>
                <w:szCs w:val="24"/>
                <w:lang w:val="en-US" w:eastAsia="zh-CN"/>
              </w:rPr>
              <w:t>9</w:t>
            </w:r>
            <w:r>
              <w:rPr>
                <w:rFonts w:hint="eastAsia" w:ascii="宋体" w:hAnsi="宋体" w:eastAsia="宋体" w:cs="Arial"/>
                <w:kern w:val="0"/>
                <w:sz w:val="24"/>
                <w:szCs w:val="24"/>
              </w:rPr>
              <w:t>年</w:t>
            </w:r>
            <w:r>
              <w:rPr>
                <w:rFonts w:ascii="宋体" w:hAnsi="宋体" w:eastAsia="宋体" w:cs="Arial"/>
                <w:kern w:val="0"/>
                <w:sz w:val="24"/>
                <w:szCs w:val="24"/>
              </w:rPr>
              <w:t>1</w:t>
            </w:r>
            <w:r>
              <w:rPr>
                <w:rFonts w:hint="eastAsia" w:ascii="宋体" w:hAnsi="宋体" w:eastAsia="宋体" w:cs="Arial"/>
                <w:kern w:val="0"/>
                <w:sz w:val="24"/>
                <w:szCs w:val="24"/>
              </w:rPr>
              <w:t>月</w:t>
            </w:r>
            <w:r>
              <w:rPr>
                <w:rFonts w:ascii="宋体" w:hAnsi="宋体" w:eastAsia="宋体" w:cs="Arial"/>
                <w:kern w:val="0"/>
                <w:sz w:val="24"/>
                <w:szCs w:val="24"/>
              </w:rPr>
              <w:t>1</w:t>
            </w:r>
            <w:r>
              <w:rPr>
                <w:rFonts w:hint="eastAsia" w:ascii="宋体" w:hAnsi="宋体" w:eastAsia="宋体" w:cs="Arial"/>
                <w:kern w:val="0"/>
                <w:sz w:val="24"/>
                <w:szCs w:val="24"/>
              </w:rPr>
              <w:t>日</w:t>
            </w:r>
            <w:r>
              <w:rPr>
                <w:rFonts w:ascii="宋体" w:hAnsi="宋体" w:eastAsia="宋体" w:cs="Arial"/>
                <w:kern w:val="0"/>
                <w:sz w:val="24"/>
                <w:szCs w:val="24"/>
              </w:rPr>
              <w:t>-</w:t>
            </w:r>
            <w:r>
              <w:rPr>
                <w:rFonts w:hint="eastAsia" w:ascii="宋体" w:hAnsi="宋体" w:eastAsia="宋体" w:cs="Arial"/>
                <w:kern w:val="0"/>
                <w:sz w:val="24"/>
                <w:szCs w:val="24"/>
              </w:rPr>
              <w:t>至今，以合同签订日期为准）类似业绩，一项计</w:t>
            </w:r>
            <w:r>
              <w:rPr>
                <w:rFonts w:ascii="宋体" w:hAnsi="宋体" w:eastAsia="宋体" w:cs="Arial"/>
                <w:kern w:val="0"/>
                <w:sz w:val="24"/>
                <w:szCs w:val="24"/>
              </w:rPr>
              <w:t>2</w:t>
            </w:r>
            <w:r>
              <w:rPr>
                <w:rFonts w:hint="eastAsia" w:ascii="宋体" w:hAnsi="宋体" w:eastAsia="宋体" w:cs="Arial"/>
                <w:kern w:val="0"/>
                <w:sz w:val="24"/>
                <w:szCs w:val="24"/>
              </w:rPr>
              <w:t>分，最多计</w:t>
            </w:r>
            <w:r>
              <w:rPr>
                <w:rFonts w:ascii="宋体" w:hAnsi="宋体" w:eastAsia="宋体" w:cs="Arial"/>
                <w:kern w:val="0"/>
                <w:sz w:val="24"/>
                <w:szCs w:val="24"/>
              </w:rPr>
              <w:t>5</w:t>
            </w:r>
            <w:r>
              <w:rPr>
                <w:rFonts w:hint="eastAsia" w:ascii="宋体" w:hAnsi="宋体" w:eastAsia="宋体" w:cs="Arial"/>
                <w:kern w:val="0"/>
                <w:sz w:val="24"/>
                <w:szCs w:val="24"/>
              </w:rPr>
              <w:t>项；（需提供合同复印件）</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3</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rPr>
              <w:t>产品性能技术指标</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35</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全部满足招标文件技术要求，科学合理，技术要求无偏离，产品近期检验报告和主要部件质量证书齐全（</w:t>
            </w:r>
            <w:r>
              <w:rPr>
                <w:rFonts w:ascii="宋体" w:hAnsi="宋体" w:eastAsia="宋体" w:cs="Arial"/>
                <w:kern w:val="0"/>
                <w:sz w:val="24"/>
                <w:szCs w:val="24"/>
              </w:rPr>
              <w:t>20-35]</w:t>
            </w:r>
            <w:r>
              <w:rPr>
                <w:rFonts w:hint="eastAsia" w:ascii="宋体" w:hAnsi="宋体" w:eastAsia="宋体" w:cs="Arial"/>
                <w:kern w:val="0"/>
                <w:sz w:val="24"/>
                <w:szCs w:val="24"/>
              </w:rPr>
              <w:t>；产品性能技术要求基本满足招标文件技术要求，基本可行，技术要求部分偏离，产品近期检验报告和主要部件质量证书较齐全（</w:t>
            </w:r>
            <w:r>
              <w:rPr>
                <w:rFonts w:ascii="宋体" w:hAnsi="宋体" w:eastAsia="宋体" w:cs="Arial"/>
                <w:kern w:val="0"/>
                <w:sz w:val="24"/>
                <w:szCs w:val="24"/>
              </w:rPr>
              <w:t>10-20]</w:t>
            </w:r>
            <w:r>
              <w:rPr>
                <w:rFonts w:hint="eastAsia" w:ascii="宋体" w:hAnsi="宋体" w:eastAsia="宋体" w:cs="Arial"/>
                <w:kern w:val="0"/>
                <w:sz w:val="24"/>
                <w:szCs w:val="24"/>
              </w:rPr>
              <w:t>；产品性能技术缺陷有误，部分满足招标文件技术要求，技术要求偏离，产品近期检验报告和主要部件质量证书不全</w:t>
            </w:r>
            <w:r>
              <w:rPr>
                <w:rFonts w:ascii="宋体" w:hAnsi="宋体" w:eastAsia="宋体" w:cs="Arial"/>
                <w:kern w:val="0"/>
                <w:sz w:val="24"/>
                <w:szCs w:val="24"/>
              </w:rPr>
              <w:t>[0-10]</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4</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rPr>
              <w:t>产品质量保证体系及措施</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30</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产品质量保证体系健全，材料及加工生产过程质量控制手段完善，有关的产品获奖荣誉证书</w:t>
            </w:r>
            <w:r>
              <w:rPr>
                <w:rFonts w:ascii="宋体" w:hAnsi="宋体" w:eastAsia="宋体" w:cs="Arial"/>
                <w:kern w:val="0"/>
                <w:sz w:val="24"/>
                <w:szCs w:val="24"/>
              </w:rPr>
              <w:t>(20-30]</w:t>
            </w:r>
            <w:r>
              <w:rPr>
                <w:rFonts w:hint="eastAsia" w:ascii="宋体" w:hAnsi="宋体" w:eastAsia="宋体" w:cs="Arial"/>
                <w:kern w:val="0"/>
                <w:sz w:val="24"/>
                <w:szCs w:val="24"/>
              </w:rPr>
              <w:t>；产品质量保证体系健全，材料及加工生产过程质量控制手段一般（</w:t>
            </w:r>
            <w:r>
              <w:rPr>
                <w:rFonts w:ascii="宋体" w:hAnsi="宋体" w:eastAsia="宋体" w:cs="Arial"/>
                <w:kern w:val="0"/>
                <w:sz w:val="24"/>
                <w:szCs w:val="24"/>
              </w:rPr>
              <w:t>10-20]</w:t>
            </w:r>
            <w:r>
              <w:rPr>
                <w:rFonts w:hint="eastAsia" w:ascii="宋体" w:hAnsi="宋体" w:eastAsia="宋体" w:cs="Arial"/>
                <w:kern w:val="0"/>
                <w:sz w:val="24"/>
                <w:szCs w:val="24"/>
              </w:rPr>
              <w:t>；有产品质量保证体系，材料及加工生产过程质量控制手段一般</w:t>
            </w:r>
            <w:r>
              <w:rPr>
                <w:rFonts w:ascii="宋体" w:hAnsi="宋体" w:eastAsia="宋体" w:cs="Arial"/>
                <w:kern w:val="0"/>
                <w:sz w:val="24"/>
                <w:szCs w:val="24"/>
              </w:rPr>
              <w:t>[0-10]</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5</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r>
              <w:rPr>
                <w:rFonts w:hint="eastAsia" w:ascii="宋体" w:hAnsi="宋体" w:eastAsia="宋体" w:cs="Arial"/>
                <w:kern w:val="0"/>
                <w:sz w:val="24"/>
                <w:szCs w:val="24"/>
              </w:rPr>
              <w:t>售后服务及维保计划</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10</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有优质的售后服务措施和零配件的供应方案，维保计划详细可行（</w:t>
            </w:r>
            <w:r>
              <w:rPr>
                <w:rFonts w:ascii="宋体" w:hAnsi="宋体" w:eastAsia="宋体" w:cs="Arial"/>
                <w:kern w:val="0"/>
                <w:sz w:val="24"/>
                <w:szCs w:val="24"/>
              </w:rPr>
              <w:t>5-10]</w:t>
            </w:r>
            <w:r>
              <w:rPr>
                <w:rFonts w:hint="eastAsia" w:ascii="宋体" w:hAnsi="宋体" w:eastAsia="宋体" w:cs="Arial"/>
                <w:kern w:val="0"/>
                <w:sz w:val="24"/>
                <w:szCs w:val="24"/>
              </w:rPr>
              <w:t>；有售后服务措施和零配件的供应方案，维保计划一般（</w:t>
            </w:r>
            <w:r>
              <w:rPr>
                <w:rFonts w:ascii="宋体" w:hAnsi="宋体" w:eastAsia="宋体" w:cs="Arial"/>
                <w:kern w:val="0"/>
                <w:sz w:val="24"/>
                <w:szCs w:val="24"/>
              </w:rPr>
              <w:t>2-5]</w:t>
            </w:r>
            <w:r>
              <w:rPr>
                <w:rFonts w:hint="eastAsia" w:ascii="宋体" w:hAnsi="宋体" w:eastAsia="宋体" w:cs="Arial"/>
                <w:kern w:val="0"/>
                <w:sz w:val="24"/>
                <w:szCs w:val="24"/>
              </w:rPr>
              <w:t>；没有完整的售后服务措施和零配件的供应方案，维保计划较差</w:t>
            </w:r>
            <w:r>
              <w:rPr>
                <w:rFonts w:ascii="宋体" w:hAnsi="宋体" w:eastAsia="宋体" w:cs="Arial"/>
                <w:kern w:val="0"/>
                <w:sz w:val="24"/>
                <w:szCs w:val="24"/>
              </w:rPr>
              <w:t>[0-2]</w:t>
            </w:r>
          </w:p>
        </w:tc>
      </w:tr>
      <w:tr>
        <w:tblPrEx>
          <w:tblCellMar>
            <w:top w:w="0" w:type="dxa"/>
            <w:left w:w="0" w:type="dxa"/>
            <w:bottom w:w="0" w:type="dxa"/>
            <w:right w:w="0" w:type="dxa"/>
          </w:tblCellMar>
        </w:tblPrEx>
        <w:trPr>
          <w:trHeight w:val="79" w:hRule="atLeast"/>
          <w:jc w:val="center"/>
        </w:trPr>
        <w:tc>
          <w:tcPr>
            <w:tcW w:w="360"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6</w:t>
            </w:r>
          </w:p>
        </w:tc>
        <w:tc>
          <w:tcPr>
            <w:tcW w:w="768"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r>
              <w:rPr>
                <w:rFonts w:hint="eastAsia" w:ascii="宋体" w:hAnsi="宋体" w:eastAsia="宋体" w:cs="Arial"/>
                <w:kern w:val="0"/>
                <w:sz w:val="24"/>
                <w:szCs w:val="24"/>
              </w:rPr>
              <w:t>标函质量</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5</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cs="Arial"/>
                <w:kern w:val="0"/>
                <w:sz w:val="24"/>
                <w:szCs w:val="24"/>
              </w:rPr>
            </w:pPr>
            <w:r>
              <w:rPr>
                <w:rFonts w:hint="eastAsia" w:ascii="宋体" w:hAnsi="宋体" w:eastAsia="宋体" w:cs="Arial"/>
                <w:kern w:val="0"/>
                <w:sz w:val="24"/>
                <w:szCs w:val="24"/>
              </w:rPr>
              <w:t>标函编制内容完整、齐全、叙述严谨。标书无涂改、错页、漏页现象（</w:t>
            </w:r>
            <w:r>
              <w:rPr>
                <w:rFonts w:ascii="宋体" w:hAnsi="宋体" w:eastAsia="宋体" w:cs="Arial"/>
                <w:kern w:val="0"/>
                <w:sz w:val="24"/>
                <w:szCs w:val="24"/>
              </w:rPr>
              <w:t>2-5]</w:t>
            </w:r>
            <w:r>
              <w:rPr>
                <w:rFonts w:hint="eastAsia" w:ascii="宋体" w:hAnsi="宋体" w:eastAsia="宋体" w:cs="Arial"/>
                <w:kern w:val="0"/>
                <w:sz w:val="24"/>
                <w:szCs w:val="24"/>
              </w:rPr>
              <w:t>；标函编制内容不完整、叙述简单。标书有涂改、错页、漏页现象</w:t>
            </w:r>
            <w:r>
              <w:rPr>
                <w:rFonts w:ascii="宋体" w:hAnsi="宋体" w:eastAsia="宋体" w:cs="Arial"/>
                <w:kern w:val="0"/>
                <w:sz w:val="24"/>
                <w:szCs w:val="24"/>
              </w:rPr>
              <w:t>[0-2]</w:t>
            </w:r>
          </w:p>
        </w:tc>
      </w:tr>
      <w:tr>
        <w:tblPrEx>
          <w:tblCellMar>
            <w:top w:w="0" w:type="dxa"/>
            <w:left w:w="0" w:type="dxa"/>
            <w:bottom w:w="0" w:type="dxa"/>
            <w:right w:w="0" w:type="dxa"/>
          </w:tblCellMar>
        </w:tblPrEx>
        <w:trPr>
          <w:trHeight w:val="112" w:hRule="atLeast"/>
          <w:jc w:val="center"/>
        </w:trPr>
        <w:tc>
          <w:tcPr>
            <w:tcW w:w="1128" w:type="pct"/>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合计</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100</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p>
        </w:tc>
      </w:tr>
      <w:tr>
        <w:tblPrEx>
          <w:tblCellMar>
            <w:top w:w="0" w:type="dxa"/>
            <w:left w:w="0" w:type="dxa"/>
            <w:bottom w:w="0" w:type="dxa"/>
            <w:right w:w="0" w:type="dxa"/>
          </w:tblCellMar>
        </w:tblPrEx>
        <w:trPr>
          <w:trHeight w:val="112" w:hRule="atLeast"/>
          <w:jc w:val="center"/>
        </w:trPr>
        <w:tc>
          <w:tcPr>
            <w:tcW w:w="1128" w:type="pct"/>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得分</w:t>
            </w:r>
          </w:p>
        </w:tc>
        <w:tc>
          <w:tcPr>
            <w:tcW w:w="515"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ascii="宋体" w:hAnsi="宋体" w:eastAsia="宋体" w:cs="Arial"/>
                <w:kern w:val="0"/>
                <w:sz w:val="24"/>
                <w:szCs w:val="24"/>
              </w:rPr>
              <w:t>100</w:t>
            </w:r>
            <w:r>
              <w:rPr>
                <w:rFonts w:hint="eastAsia" w:ascii="宋体" w:hAnsi="宋体" w:eastAsia="宋体" w:cs="Arial"/>
                <w:kern w:val="0"/>
                <w:sz w:val="24"/>
                <w:szCs w:val="24"/>
              </w:rPr>
              <w:t>×</w:t>
            </w:r>
            <w:r>
              <w:rPr>
                <w:rFonts w:ascii="宋体" w:hAnsi="宋体" w:eastAsia="宋体" w:cs="Arial"/>
                <w:kern w:val="0"/>
                <w:sz w:val="24"/>
                <w:szCs w:val="24"/>
              </w:rPr>
              <w:t>Q1</w:t>
            </w:r>
          </w:p>
        </w:tc>
        <w:tc>
          <w:tcPr>
            <w:tcW w:w="3357"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p>
        </w:tc>
      </w:tr>
    </w:tbl>
    <w:p>
      <w:pPr>
        <w:jc w:val="left"/>
        <w:rPr>
          <w:rFonts w:ascii="宋体" w:hAnsi="宋体" w:eastAsia="宋体" w:cs="Arial"/>
          <w:b/>
          <w:kern w:val="0"/>
          <w:sz w:val="24"/>
          <w:szCs w:val="24"/>
        </w:rPr>
      </w:pPr>
    </w:p>
    <w:p>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1" w:name="_Toc30274"/>
      <w:r>
        <w:rPr>
          <w:rFonts w:ascii="宋体" w:hAnsi="宋体" w:eastAsia="宋体" w:cs="宋体"/>
          <w:b/>
          <w:sz w:val="24"/>
          <w:szCs w:val="24"/>
        </w:rPr>
        <w:t xml:space="preserve">1. </w:t>
      </w:r>
      <w:r>
        <w:rPr>
          <w:rFonts w:hint="eastAsia" w:ascii="宋体" w:hAnsi="宋体" w:eastAsia="宋体" w:cs="宋体"/>
          <w:b/>
          <w:sz w:val="24"/>
          <w:szCs w:val="24"/>
        </w:rPr>
        <w:t>评标方法</w:t>
      </w:r>
      <w:bookmarkEnd w:id="41"/>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本次评标采用竞争性磋商。磋商小组对满足竞争性磋商文件实质性要求的竞争性磋商响应文件，按照本节规定的评审标准进行评审。评标中各评委若发生意见分歧，以少数服从多数原则确定。</w:t>
      </w:r>
    </w:p>
    <w:p>
      <w:pPr>
        <w:tabs>
          <w:tab w:val="center" w:pos="4832"/>
          <w:tab w:val="left" w:pos="7140"/>
        </w:tabs>
        <w:spacing w:line="360" w:lineRule="auto"/>
        <w:ind w:firstLine="472" w:firstLineChars="196"/>
        <w:jc w:val="left"/>
        <w:outlineLvl w:val="2"/>
        <w:rPr>
          <w:rFonts w:ascii="宋体" w:hAnsi="宋体" w:eastAsia="宋体" w:cs="宋体"/>
          <w:b/>
          <w:sz w:val="24"/>
          <w:szCs w:val="24"/>
        </w:rPr>
      </w:pPr>
      <w:bookmarkStart w:id="42" w:name="_Toc16500"/>
      <w:r>
        <w:rPr>
          <w:rFonts w:ascii="宋体" w:hAnsi="宋体" w:eastAsia="宋体" w:cs="宋体"/>
          <w:b/>
          <w:sz w:val="24"/>
          <w:szCs w:val="24"/>
        </w:rPr>
        <w:t xml:space="preserve">2. </w:t>
      </w:r>
      <w:r>
        <w:rPr>
          <w:rFonts w:hint="eastAsia" w:ascii="宋体" w:hAnsi="宋体" w:eastAsia="宋体" w:cs="宋体"/>
          <w:b/>
          <w:sz w:val="24"/>
          <w:szCs w:val="24"/>
        </w:rPr>
        <w:t>评审标准</w:t>
      </w:r>
      <w:bookmarkEnd w:id="42"/>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1资格审查：评审因素和评审标准见《资格审查标准》。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2完备性及符合性审查：评审因素和评审标准见《完备性及符合性审查标准》。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2.3.1详细评审：评审因素和评审标准见《详细评审标准》及本节第3.6款。</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投标报价评分标准：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）分值构成及权重：见评标办法前附表。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）评标基准价计算：见评标办法前附表。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（3）投标报价得分的计算：见评标办法前附表。</w:t>
      </w:r>
    </w:p>
    <w:p>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3" w:name="_Toc1415"/>
      <w:r>
        <w:rPr>
          <w:rFonts w:ascii="宋体" w:hAnsi="宋体" w:eastAsia="宋体" w:cs="宋体"/>
          <w:b/>
          <w:sz w:val="24"/>
          <w:szCs w:val="24"/>
        </w:rPr>
        <w:t xml:space="preserve">3. </w:t>
      </w:r>
      <w:r>
        <w:rPr>
          <w:rFonts w:hint="eastAsia" w:ascii="宋体" w:hAnsi="宋体" w:eastAsia="宋体" w:cs="宋体"/>
          <w:b/>
          <w:sz w:val="24"/>
          <w:szCs w:val="24"/>
        </w:rPr>
        <w:t>评标程序</w:t>
      </w:r>
      <w:bookmarkEnd w:id="43"/>
    </w:p>
    <w:p>
      <w:pPr>
        <w:pStyle w:val="66"/>
        <w:widowControl/>
        <w:numPr>
          <w:ilvl w:val="1"/>
          <w:numId w:val="3"/>
        </w:numPr>
        <w:shd w:val="clear" w:color="auto" w:fill="FFFFFF"/>
        <w:snapToGrid w:val="0"/>
        <w:spacing w:line="360" w:lineRule="auto"/>
        <w:ind w:firstLineChars="0"/>
        <w:rPr>
          <w:rFonts w:ascii="宋体" w:cs="Arial"/>
          <w:kern w:val="0"/>
          <w:sz w:val="24"/>
          <w:szCs w:val="24"/>
        </w:rPr>
      </w:pPr>
      <w:r>
        <w:rPr>
          <w:rFonts w:hint="eastAsia" w:ascii="宋体" w:hAnsi="宋体" w:cs="Arial"/>
          <w:kern w:val="0"/>
          <w:sz w:val="24"/>
          <w:szCs w:val="24"/>
        </w:rPr>
        <w:t>基本程序</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评标活动将按以下步骤进行：</w:t>
      </w:r>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hint="eastAsia" w:ascii="宋体" w:hAnsi="宋体" w:eastAsia="宋体" w:cs="Arial"/>
          <w:color w:val="auto"/>
          <w:kern w:val="0"/>
          <w:sz w:val="24"/>
          <w:szCs w:val="24"/>
        </w:rPr>
        <w:t>（1）</w:t>
      </w:r>
      <w:r>
        <w:rPr>
          <w:rFonts w:hint="eastAsia" w:ascii="宋体" w:hAnsi="宋体" w:cs="Arial"/>
          <w:color w:val="auto"/>
          <w:kern w:val="0"/>
          <w:sz w:val="24"/>
          <w:szCs w:val="24"/>
        </w:rPr>
        <w:t>评标准备</w:t>
      </w:r>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hint="eastAsia" w:ascii="宋体" w:hAnsi="宋体" w:eastAsia="宋体" w:cs="Arial"/>
          <w:color w:val="auto"/>
          <w:kern w:val="0"/>
          <w:sz w:val="24"/>
          <w:szCs w:val="24"/>
        </w:rPr>
        <w:t>（2）资格审查</w:t>
      </w:r>
    </w:p>
    <w:p>
      <w:pPr>
        <w:widowControl/>
        <w:shd w:val="clear" w:color="auto" w:fill="FFFFFF"/>
        <w:snapToGrid w:val="0"/>
        <w:spacing w:line="360" w:lineRule="auto"/>
        <w:ind w:firstLine="480" w:firstLineChars="200"/>
        <w:rPr>
          <w:rFonts w:hint="eastAsia" w:ascii="宋体" w:hAnsi="宋体" w:eastAsia="宋体" w:cs="Arial"/>
          <w:color w:val="auto"/>
          <w:kern w:val="0"/>
          <w:sz w:val="24"/>
          <w:szCs w:val="24"/>
        </w:rPr>
      </w:pPr>
      <w:r>
        <w:rPr>
          <w:rFonts w:hint="eastAsia" w:ascii="宋体" w:hAnsi="宋体" w:eastAsia="宋体" w:cs="Arial"/>
          <w:color w:val="auto"/>
          <w:kern w:val="0"/>
          <w:sz w:val="24"/>
          <w:szCs w:val="24"/>
        </w:rPr>
        <w:t>（3）完备性及符合性审查</w:t>
      </w:r>
    </w:p>
    <w:p>
      <w:pPr>
        <w:widowControl/>
        <w:shd w:val="clear" w:color="auto" w:fill="FFFFFF"/>
        <w:snapToGrid w:val="0"/>
        <w:spacing w:line="360" w:lineRule="auto"/>
        <w:ind w:firstLine="480" w:firstLineChars="200"/>
        <w:rPr>
          <w:rFonts w:hint="default" w:eastAsia="宋体"/>
          <w:color w:val="auto"/>
          <w:lang w:val="en-US" w:eastAsia="zh-CN"/>
        </w:rPr>
      </w:pPr>
      <w:r>
        <w:rPr>
          <w:rFonts w:hint="eastAsia" w:ascii="宋体" w:hAnsi="宋体" w:eastAsia="宋体" w:cs="Arial"/>
          <w:color w:val="auto"/>
          <w:kern w:val="0"/>
          <w:sz w:val="24"/>
          <w:szCs w:val="24"/>
        </w:rPr>
        <w:t>（4）投标品牌统计</w:t>
      </w:r>
    </w:p>
    <w:p>
      <w:pPr>
        <w:widowControl/>
        <w:shd w:val="clear" w:color="auto" w:fill="FFFFFF"/>
        <w:snapToGrid w:val="0"/>
        <w:spacing w:line="360" w:lineRule="auto"/>
        <w:ind w:firstLine="480" w:firstLineChars="200"/>
        <w:rPr>
          <w:rFonts w:ascii="宋体" w:hAnsi="宋体" w:eastAsia="宋体" w:cs="Arial"/>
          <w:color w:val="auto"/>
          <w:kern w:val="0"/>
          <w:sz w:val="24"/>
          <w:szCs w:val="24"/>
        </w:rPr>
      </w:pPr>
      <w:r>
        <w:rPr>
          <w:rFonts w:hint="eastAsia" w:ascii="宋体" w:hAnsi="宋体" w:eastAsia="宋体" w:cs="Arial"/>
          <w:color w:val="auto"/>
          <w:kern w:val="0"/>
          <w:sz w:val="24"/>
          <w:szCs w:val="24"/>
        </w:rPr>
        <w:t>（</w:t>
      </w:r>
      <w:r>
        <w:rPr>
          <w:rFonts w:hint="eastAsia" w:ascii="宋体" w:hAnsi="宋体" w:eastAsia="宋体" w:cs="Arial"/>
          <w:color w:val="auto"/>
          <w:kern w:val="0"/>
          <w:sz w:val="24"/>
          <w:szCs w:val="24"/>
          <w:lang w:val="en-US" w:eastAsia="zh-CN"/>
        </w:rPr>
        <w:t>5</w:t>
      </w:r>
      <w:r>
        <w:rPr>
          <w:rFonts w:hint="eastAsia" w:ascii="宋体" w:hAnsi="宋体" w:eastAsia="宋体" w:cs="Arial"/>
          <w:color w:val="auto"/>
          <w:kern w:val="0"/>
          <w:sz w:val="24"/>
          <w:szCs w:val="24"/>
        </w:rPr>
        <w:t>）详细评审</w:t>
      </w:r>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hint="eastAsia" w:ascii="宋体" w:hAnsi="宋体" w:eastAsia="宋体" w:cs="Arial"/>
          <w:color w:val="auto"/>
          <w:kern w:val="0"/>
          <w:sz w:val="24"/>
          <w:szCs w:val="24"/>
        </w:rPr>
        <w:t>（</w:t>
      </w:r>
      <w:r>
        <w:rPr>
          <w:rFonts w:hint="eastAsia" w:ascii="宋体" w:hAnsi="宋体" w:eastAsia="宋体" w:cs="Arial"/>
          <w:color w:val="auto"/>
          <w:kern w:val="0"/>
          <w:sz w:val="24"/>
          <w:szCs w:val="24"/>
          <w:lang w:val="en-US" w:eastAsia="zh-CN"/>
        </w:rPr>
        <w:t>6</w:t>
      </w:r>
      <w:r>
        <w:rPr>
          <w:rFonts w:hint="eastAsia" w:ascii="宋体" w:hAnsi="宋体" w:eastAsia="宋体" w:cs="Arial"/>
          <w:color w:val="auto"/>
          <w:kern w:val="0"/>
          <w:sz w:val="24"/>
          <w:szCs w:val="24"/>
        </w:rPr>
        <w:t>）磋商报价</w:t>
      </w:r>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hint="eastAsia" w:ascii="宋体" w:hAnsi="宋体" w:eastAsia="宋体" w:cs="Arial"/>
          <w:color w:val="auto"/>
          <w:kern w:val="0"/>
          <w:sz w:val="24"/>
          <w:szCs w:val="24"/>
        </w:rPr>
        <w:t>（</w:t>
      </w:r>
      <w:r>
        <w:rPr>
          <w:rFonts w:hint="eastAsia" w:ascii="宋体" w:hAnsi="宋体" w:eastAsia="宋体" w:cs="Arial"/>
          <w:color w:val="auto"/>
          <w:kern w:val="0"/>
          <w:sz w:val="24"/>
          <w:szCs w:val="24"/>
          <w:lang w:val="en-US" w:eastAsia="zh-CN"/>
        </w:rPr>
        <w:t>7</w:t>
      </w:r>
      <w:r>
        <w:rPr>
          <w:rFonts w:hint="eastAsia" w:ascii="宋体" w:hAnsi="宋体" w:eastAsia="宋体" w:cs="Arial"/>
          <w:color w:val="auto"/>
          <w:kern w:val="0"/>
          <w:sz w:val="24"/>
          <w:szCs w:val="24"/>
        </w:rPr>
        <w:t>）澄清、说明或补正</w:t>
      </w:r>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hint="eastAsia" w:ascii="宋体" w:hAnsi="宋体" w:eastAsia="宋体" w:cs="Arial"/>
          <w:color w:val="auto"/>
          <w:kern w:val="0"/>
          <w:sz w:val="24"/>
          <w:szCs w:val="24"/>
        </w:rPr>
        <w:t>（</w:t>
      </w:r>
      <w:r>
        <w:rPr>
          <w:rFonts w:hint="eastAsia" w:ascii="宋体" w:hAnsi="宋体" w:eastAsia="宋体" w:cs="Arial"/>
          <w:color w:val="auto"/>
          <w:kern w:val="0"/>
          <w:sz w:val="24"/>
          <w:szCs w:val="24"/>
          <w:lang w:val="en-US" w:eastAsia="zh-CN"/>
        </w:rPr>
        <w:t>8</w:t>
      </w:r>
      <w:r>
        <w:rPr>
          <w:rFonts w:hint="eastAsia" w:ascii="宋体" w:hAnsi="宋体" w:eastAsia="宋体" w:cs="Arial"/>
          <w:color w:val="auto"/>
          <w:kern w:val="0"/>
          <w:sz w:val="24"/>
          <w:szCs w:val="24"/>
        </w:rPr>
        <w:t>）推荐成交候选人及提交评标报告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评标准备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3.2.1</w:t>
      </w:r>
      <w:r>
        <w:rPr>
          <w:rFonts w:hint="eastAsia" w:ascii="宋体" w:hAnsi="宋体" w:eastAsia="宋体" w:cs="Arial"/>
          <w:kern w:val="0"/>
          <w:sz w:val="24"/>
          <w:szCs w:val="24"/>
        </w:rPr>
        <w:t>磋商小组成员签到</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磋商小组成员到达评标现场时应当在签到表上签到以证明其出席。</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 </w:t>
      </w:r>
      <w:r>
        <w:rPr>
          <w:rFonts w:hint="eastAsia" w:ascii="宋体" w:hAnsi="宋体" w:eastAsia="宋体" w:cs="Arial"/>
          <w:kern w:val="0"/>
          <w:sz w:val="24"/>
          <w:szCs w:val="24"/>
        </w:rPr>
        <w:t>磋商小组的分工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3.2.2.1</w:t>
      </w:r>
      <w:r>
        <w:rPr>
          <w:rFonts w:hint="eastAsia" w:ascii="宋体" w:hAnsi="宋体" w:eastAsia="宋体" w:cs="Arial"/>
          <w:kern w:val="0"/>
          <w:sz w:val="24"/>
          <w:szCs w:val="24"/>
        </w:rPr>
        <w:t>磋商小组首先推选一名磋商小组组长（非采购人代表担任）。磋商小组组长负责评标活动的组织领导工作。磋商小组组长与磋商小组其他成员具有同等的评标权力。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3.2.2.2 </w:t>
      </w:r>
      <w:r>
        <w:rPr>
          <w:rFonts w:hint="eastAsia" w:ascii="宋体" w:hAnsi="宋体" w:eastAsia="宋体" w:cs="Arial"/>
          <w:kern w:val="0"/>
          <w:sz w:val="24"/>
          <w:szCs w:val="24"/>
        </w:rPr>
        <w:t>磋商小组组长除履行自己作为磋商小组成员独立评标的职责外，主要负责以下工作：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）组织磋商小组成员学习竞争性磋商文件；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）汇总各磋商小组成员认为需要供应商澄清、说明或者补正的问题；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）组织磋商小组对供应商质询并对供应商的答复进行评审；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）对出现较大争议的事项进行书面记录；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）组织收回评标过程中使用的文件、表格和评标记录以及其他资料，并查验评标记录的完整性及有效性；</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）组织对评标结论进行复核确认；</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）组织编写评标报告。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 </w:t>
      </w:r>
      <w:r>
        <w:rPr>
          <w:rFonts w:hint="eastAsia" w:ascii="宋体" w:hAnsi="宋体" w:eastAsia="宋体" w:cs="Arial"/>
          <w:kern w:val="0"/>
          <w:sz w:val="24"/>
          <w:szCs w:val="24"/>
        </w:rPr>
        <w:t>熟悉文件资料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3.2.3.1 </w:t>
      </w:r>
      <w:r>
        <w:rPr>
          <w:rFonts w:hint="eastAsia" w:ascii="宋体" w:hAnsi="宋体" w:eastAsia="宋体" w:cs="Arial"/>
          <w:kern w:val="0"/>
          <w:sz w:val="24"/>
          <w:szCs w:val="24"/>
        </w:rPr>
        <w:t>磋商小组组长应当组织磋商小组成员认真研究竞争性磋商文件，了解和熟悉招标目的、招标范围、主要合同条件、服务标准和要求，掌握评标标准和方法，熟悉本章及附件中包括的评标表格的使用，如果本章及附件所附的表格不能满足评标所需时，磋商小组应当补充编制评标所需的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3.2.3.2 </w:t>
      </w:r>
      <w:r>
        <w:rPr>
          <w:rFonts w:hint="eastAsia" w:ascii="宋体" w:hAnsi="宋体" w:eastAsia="宋体" w:cs="Arial"/>
          <w:kern w:val="0"/>
          <w:sz w:val="24"/>
          <w:szCs w:val="24"/>
        </w:rPr>
        <w:t>采购人或采购代理机构应当向磋商小组提供评标所需的信息和数据，包括：</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）竞争性磋商文件及其澄清修改等竞争性磋商文件补充；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）未在开标会上当场拒绝的各竞争性磋商响应文件；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）开标会记录；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）评标表格；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）其他信息和数据。</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3.3</w:t>
      </w:r>
      <w:r>
        <w:rPr>
          <w:rFonts w:hint="eastAsia" w:ascii="宋体" w:hAnsi="宋体" w:eastAsia="宋体" w:cs="Arial"/>
          <w:kern w:val="0"/>
          <w:sz w:val="24"/>
          <w:szCs w:val="24"/>
        </w:rPr>
        <w:t>资格审查（适用于资格后审）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会依据本章规定的评审因素和审查标准，对供应商的资格审查资料进行资格审查。资格审查有一项未通过审查标准，采购人将认定整个竞争性磋商响应文件不响应竞争性磋商文件而否决其投标，并且不允许供应商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3.4完备性及符合性审查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磋商小组依据本章规定的评审因素和评审标准，对供应商的竞争性磋商响应文件进行完备性及符合性审查。完备性及符合性审查有一项未通过评审标准，磋商小组将认定整个竞争性磋商响应文件不响应竞争性磋商文件而否决其投标，并且不允许供应商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完备性及符合性审查条款是指对本招标项目产生了重大影响的重大偏差，而且纠正此类偏差将会对响应本次招标的其他供应商的竞争地位产生不公正的影响。</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.3</w:t>
      </w:r>
      <w:r>
        <w:rPr>
          <w:rFonts w:hint="eastAsia" w:ascii="宋体" w:hAnsi="宋体" w:eastAsia="宋体" w:cs="Arial"/>
          <w:kern w:val="0"/>
          <w:sz w:val="24"/>
          <w:szCs w:val="24"/>
        </w:rPr>
        <w:t>细微偏差是指竞争性磋商响应文件在实质上响应竞争性磋商文件要求，但在个别地方存在疏漏或者提供了不完整的技术信息和数据等情况，并且补正这些遗漏和不完整不会对其他供应商造成不公平的结果。细微偏差不影响竞争性磋商响应文件的有效性，磋商小组可要求存在细微偏差的供应商予以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3.5 投标品牌统计</w:t>
      </w:r>
    </w:p>
    <w:p>
      <w:pPr>
        <w:widowControl/>
        <w:shd w:val="clear" w:color="auto" w:fill="FFFFFF"/>
        <w:snapToGrid w:val="0"/>
        <w:spacing w:line="360" w:lineRule="auto"/>
        <w:ind w:firstLine="480" w:firstLineChars="200"/>
      </w:pPr>
      <w:r>
        <w:rPr>
          <w:rFonts w:hint="eastAsia" w:ascii="宋体" w:hAnsi="Calibri" w:eastAsia="宋体" w:cs="Arial"/>
          <w:kern w:val="0"/>
          <w:sz w:val="24"/>
          <w:szCs w:val="24"/>
        </w:rPr>
        <w:t>3.5.1.由评标委员会根据投标人所报核心产品品牌统计计算投标人家数。</w:t>
      </w:r>
    </w:p>
    <w:p>
      <w:pPr>
        <w:widowControl/>
        <w:shd w:val="clear" w:color="auto" w:fill="FFFFFF"/>
        <w:snapToGrid w:val="0"/>
        <w:spacing w:line="360" w:lineRule="auto"/>
        <w:ind w:firstLine="480" w:firstLineChars="200"/>
      </w:pPr>
      <w:r>
        <w:rPr>
          <w:rFonts w:ascii="宋体" w:hAnsi="宋体" w:eastAsia="宋体" w:cs="Arial"/>
          <w:kern w:val="0"/>
          <w:sz w:val="24"/>
          <w:szCs w:val="24"/>
        </w:rPr>
        <w:t>3.</w:t>
      </w:r>
      <w:r>
        <w:rPr>
          <w:rFonts w:hint="eastAsia" w:ascii="宋体" w:hAnsi="宋体" w:eastAsia="宋体" w:cs="Arial"/>
          <w:kern w:val="0"/>
          <w:sz w:val="24"/>
          <w:szCs w:val="24"/>
        </w:rPr>
        <w:t>6详细评审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.1.</w:t>
      </w:r>
      <w:r>
        <w:rPr>
          <w:rFonts w:hint="eastAsia" w:ascii="宋体" w:hAnsi="宋体" w:eastAsia="宋体" w:cs="Arial"/>
          <w:kern w:val="0"/>
          <w:sz w:val="24"/>
          <w:szCs w:val="24"/>
        </w:rPr>
        <w:t>只有通过了资格审查、完备性及符合性审查、</w:t>
      </w:r>
      <w:r>
        <w:rPr>
          <w:rFonts w:hint="eastAsia" w:ascii="宋体" w:hAnsi="Calibri" w:eastAsia="宋体" w:cs="Arial"/>
          <w:kern w:val="0"/>
          <w:sz w:val="24"/>
          <w:szCs w:val="24"/>
        </w:rPr>
        <w:t>投标品牌统计</w:t>
      </w:r>
      <w:r>
        <w:rPr>
          <w:rFonts w:hint="eastAsia" w:ascii="宋体" w:hAnsi="宋体" w:eastAsia="宋体" w:cs="Arial"/>
          <w:kern w:val="0"/>
          <w:sz w:val="24"/>
          <w:szCs w:val="24"/>
        </w:rPr>
        <w:t>且</w:t>
      </w:r>
      <w:r>
        <w:rPr>
          <w:rFonts w:hint="eastAsia" w:ascii="宋体" w:hAnsi="Calibri" w:eastAsia="宋体" w:cs="Arial"/>
          <w:kern w:val="0"/>
          <w:sz w:val="24"/>
          <w:szCs w:val="24"/>
        </w:rPr>
        <w:t>投标品牌不少于3个</w:t>
      </w:r>
      <w:r>
        <w:rPr>
          <w:rFonts w:hint="eastAsia" w:ascii="宋体" w:hAnsi="宋体" w:eastAsia="宋体" w:cs="Arial"/>
          <w:kern w:val="0"/>
          <w:sz w:val="24"/>
          <w:szCs w:val="24"/>
        </w:rPr>
        <w:t>方可进入详细评审。</w:t>
      </w:r>
      <w:r>
        <w:rPr>
          <w:rFonts w:hint="eastAsia" w:ascii="宋体" w:hAnsi="Calibri" w:eastAsia="宋体" w:cs="Arial"/>
          <w:kern w:val="0"/>
          <w:sz w:val="24"/>
          <w:szCs w:val="24"/>
        </w:rPr>
        <w:t>磋商小组所有成员将对响应文件进行详细评审，并根据磋商文件规定的程序、评定成交的标准等事项与实质性响应磋商文件的单一供应商分别进行磋商。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.2 </w:t>
      </w:r>
      <w:r>
        <w:rPr>
          <w:rFonts w:hint="eastAsia" w:ascii="宋体" w:hAnsi="宋体" w:eastAsia="宋体" w:cs="Arial"/>
          <w:kern w:val="0"/>
          <w:sz w:val="24"/>
          <w:szCs w:val="24"/>
        </w:rPr>
        <w:t>澄清、说明和补正</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1在不改变供应商竞争性磋商响应文件实质性内容的前提下，磋商小组应当对竞争性磋商响应文件进行基础性数据分析和整理，从而发现并提取其中可能存在的对招标范围理解的偏差、技术响应偏离、投标价格的算术性错误、错漏项、投标价格构成不合理、不平衡报价等存在明显异常的问题。</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.2澄清、说明和补正内容不得改变竞争性磋商响应文件的实质性内容（算术性错误修正的除外）。供应商的书面澄清、说明和补正属于竞争性磋商响应文件的组成部分。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3磋商小组针对需要供应商对所提交竞争性磋商响应文件中不明确的内容进行书面澄清、说明或补正。澄清通知不得向供应商提出带有暗示性或诱导性问题，或向其明确竞争性磋商响应文件中的遗漏和错误。供应商接到磋商小组发出的书面澄清通知后，应按磋商小组的要求提供书面澄清资料，并在规定的时间递交到指定地点。磋商小组不接受供应商主动提出的澄清、说明或补正。</w:t>
      </w:r>
    </w:p>
    <w:p>
      <w:pPr>
        <w:spacing w:line="360" w:lineRule="auto"/>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4磋商小组对供应商提交的澄清、说明或补正有疑问的，可以要求供应商进一步澄清、说明或补正，直至满足磋商小组的要求。磋商结束后，磋商小组应当要求所有继续参加磋商的供应商在规定时间内提交最后报价，提交最后报价的供应商不少于3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.3</w:t>
      </w:r>
      <w:r>
        <w:rPr>
          <w:rFonts w:hint="eastAsia" w:ascii="宋体" w:hAnsi="宋体" w:eastAsia="宋体" w:cs="Arial"/>
          <w:kern w:val="0"/>
          <w:sz w:val="24"/>
          <w:szCs w:val="24"/>
        </w:rPr>
        <w:t>评委评分：评委按照《详细评审标准》评分，供应商详细评审得分等于全部评委评分的算术平均值。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.4 </w:t>
      </w:r>
      <w:r>
        <w:rPr>
          <w:rFonts w:hint="eastAsia" w:ascii="宋体" w:hAnsi="宋体" w:eastAsia="宋体" w:cs="Arial"/>
          <w:kern w:val="0"/>
          <w:sz w:val="24"/>
          <w:szCs w:val="24"/>
        </w:rPr>
        <w:t>算术错误修正：投标价格有算术错误的，磋商小组按以下原则对投标价格进行修正，修正的价格经供应商书面确认后具有约束力。供应商不接受修正价格的，其投标将被否决。</w:t>
      </w:r>
    </w:p>
    <w:p>
      <w:pPr>
        <w:autoSpaceDE w:val="0"/>
        <w:autoSpaceDN w:val="0"/>
        <w:spacing w:line="360" w:lineRule="auto"/>
        <w:ind w:firstLine="480" w:firstLineChars="200"/>
        <w:jc w:val="left"/>
        <w:rPr>
          <w:rFonts w:ascii="宋体" w:cs="宋体"/>
          <w:kern w:val="0"/>
          <w:sz w:val="24"/>
          <w:szCs w:val="24"/>
        </w:rPr>
      </w:pPr>
      <w:r>
        <w:rPr>
          <w:rFonts w:ascii="宋体" w:hAnsi="宋体" w:cs="宋体"/>
          <w:kern w:val="0"/>
          <w:sz w:val="24"/>
          <w:szCs w:val="24"/>
        </w:rPr>
        <w:t xml:space="preserve">a. </w:t>
      </w:r>
      <w:r>
        <w:rPr>
          <w:rFonts w:hint="eastAsia" w:ascii="宋体" w:hAnsi="宋体" w:cs="宋体"/>
          <w:kern w:val="0"/>
          <w:sz w:val="24"/>
          <w:szCs w:val="24"/>
        </w:rPr>
        <w:t>响应文件中开标一览表（报价表）内容与响应文件中相应内容不一致的，以开标一览表（报价表）为准；</w:t>
      </w:r>
    </w:p>
    <w:p>
      <w:pPr>
        <w:autoSpaceDE w:val="0"/>
        <w:autoSpaceDN w:val="0"/>
        <w:spacing w:line="360" w:lineRule="auto"/>
        <w:ind w:firstLine="480" w:firstLineChars="200"/>
        <w:jc w:val="left"/>
        <w:rPr>
          <w:rFonts w:ascii="宋体" w:cs="宋体"/>
          <w:kern w:val="0"/>
          <w:sz w:val="24"/>
          <w:szCs w:val="24"/>
        </w:rPr>
      </w:pPr>
      <w:r>
        <w:rPr>
          <w:rFonts w:ascii="宋体" w:hAnsi="宋体" w:cs="宋体"/>
          <w:kern w:val="0"/>
          <w:sz w:val="24"/>
          <w:szCs w:val="24"/>
        </w:rPr>
        <w:t xml:space="preserve">b. </w:t>
      </w:r>
      <w:r>
        <w:rPr>
          <w:rFonts w:hint="eastAsia" w:ascii="宋体" w:hAnsi="宋体" w:cs="宋体"/>
          <w:kern w:val="0"/>
          <w:sz w:val="24"/>
          <w:szCs w:val="24"/>
        </w:rPr>
        <w:t>大写金额和小写金额不一致的，以大写金额为准；</w:t>
      </w:r>
    </w:p>
    <w:p>
      <w:pPr>
        <w:autoSpaceDE w:val="0"/>
        <w:autoSpaceDN w:val="0"/>
        <w:spacing w:line="360" w:lineRule="auto"/>
        <w:ind w:firstLine="480" w:firstLineChars="200"/>
        <w:jc w:val="left"/>
        <w:rPr>
          <w:rFonts w:ascii="宋体" w:cs="宋体"/>
          <w:kern w:val="0"/>
          <w:sz w:val="24"/>
          <w:szCs w:val="24"/>
        </w:rPr>
      </w:pPr>
      <w:r>
        <w:rPr>
          <w:rFonts w:ascii="宋体" w:hAnsi="宋体" w:cs="宋体"/>
          <w:kern w:val="0"/>
          <w:sz w:val="24"/>
          <w:szCs w:val="24"/>
        </w:rPr>
        <w:t xml:space="preserve">c. </w:t>
      </w:r>
      <w:r>
        <w:rPr>
          <w:rFonts w:hint="eastAsia" w:ascii="宋体" w:hAnsi="宋体" w:cs="宋体"/>
          <w:kern w:val="0"/>
          <w:sz w:val="24"/>
          <w:szCs w:val="24"/>
        </w:rPr>
        <w:t>单价金额小数点或者百分比有明显错位的，以开标一览表的总价为准，并修改单价；</w:t>
      </w:r>
    </w:p>
    <w:p>
      <w:pPr>
        <w:autoSpaceDE w:val="0"/>
        <w:autoSpaceDN w:val="0"/>
        <w:spacing w:line="360" w:lineRule="auto"/>
        <w:ind w:firstLine="480" w:firstLineChars="200"/>
        <w:jc w:val="left"/>
        <w:rPr>
          <w:rFonts w:ascii="宋体" w:cs="宋体"/>
          <w:kern w:val="0"/>
          <w:sz w:val="24"/>
          <w:szCs w:val="24"/>
        </w:rPr>
      </w:pPr>
      <w:r>
        <w:rPr>
          <w:rFonts w:ascii="宋体" w:hAnsi="宋体" w:cs="宋体"/>
          <w:kern w:val="0"/>
          <w:sz w:val="24"/>
          <w:szCs w:val="24"/>
        </w:rPr>
        <w:t xml:space="preserve">d. </w:t>
      </w:r>
      <w:r>
        <w:rPr>
          <w:rFonts w:hint="eastAsia" w:ascii="宋体" w:hAnsi="宋体" w:cs="宋体"/>
          <w:kern w:val="0"/>
          <w:sz w:val="24"/>
          <w:szCs w:val="24"/>
        </w:rPr>
        <w:t>总价金额与按单价汇总金额不一致的，以单价金额计算结果为准。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cs="宋体"/>
          <w:kern w:val="0"/>
          <w:sz w:val="24"/>
          <w:szCs w:val="24"/>
        </w:rPr>
        <w:t>e. 同时出现两种以上不一致的，按照前款规定的顺序修正。修正后的最终投标报价若超过最高投标限价（如有），评审小组应当否决其投标。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.5 </w:t>
      </w:r>
      <w:r>
        <w:rPr>
          <w:rFonts w:hint="eastAsia" w:ascii="宋体" w:hAnsi="宋体" w:eastAsia="宋体" w:cs="Arial"/>
          <w:kern w:val="0"/>
          <w:sz w:val="24"/>
          <w:szCs w:val="24"/>
        </w:rPr>
        <w:t>磋商小组发现供应商的报价明显低于其他供应商投标价格，使得其投标价格可能低于其成本的，应当要求该供应商作出书面说明并提供相应的证明材料。供应商不能合理说明或者不能提供相应证明材料的，由磋商小组认定该供应商以低于成本报价竞标，否决其投标。</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.6 </w:t>
      </w:r>
      <w:r>
        <w:rPr>
          <w:rFonts w:hint="eastAsia" w:ascii="宋体" w:hAnsi="宋体" w:eastAsia="宋体" w:cs="Arial"/>
          <w:kern w:val="0"/>
          <w:sz w:val="24"/>
          <w:szCs w:val="24"/>
        </w:rPr>
        <w:t>投标报价评分：对投标报价进行投标报价得分计算，计算方法详见评标办法前附表。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.7</w:t>
      </w:r>
      <w:r>
        <w:rPr>
          <w:rFonts w:hint="eastAsia" w:ascii="宋体" w:hAnsi="宋体" w:eastAsia="宋体" w:cs="Arial"/>
          <w:kern w:val="0"/>
          <w:sz w:val="24"/>
          <w:szCs w:val="24"/>
        </w:rPr>
        <w:t>供应商综合得分即为：最终报价得分+详细评审得分，评分分值计算保留小数点后两位，小数点后第三位“四舍五入”。</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.8 </w:t>
      </w:r>
      <w:r>
        <w:rPr>
          <w:rFonts w:hint="eastAsia" w:ascii="宋体" w:hAnsi="宋体" w:eastAsia="宋体" w:cs="Arial"/>
          <w:kern w:val="0"/>
          <w:sz w:val="24"/>
          <w:szCs w:val="24"/>
        </w:rPr>
        <w:t>详细评审工作全部结束后，供应商成交候选人排序按照以下原则进行。</w:t>
      </w:r>
    </w:p>
    <w:p>
      <w:pPr>
        <w:widowControl/>
        <w:shd w:val="clear" w:color="auto" w:fill="FFFFFF"/>
        <w:snapToGrid w:val="0"/>
        <w:spacing w:line="360" w:lineRule="auto"/>
        <w:ind w:firstLine="480" w:firstLineChars="200"/>
        <w:rPr>
          <w:rFonts w:ascii="宋体" w:hAnsi="Calibri" w:eastAsia="宋体" w:cs="Arial"/>
          <w:b w:val="0"/>
          <w:bCs w:val="0"/>
          <w:color w:val="auto"/>
          <w:kern w:val="0"/>
          <w:sz w:val="24"/>
          <w:szCs w:val="24"/>
        </w:rPr>
      </w:pPr>
      <w:r>
        <w:rPr>
          <w:rFonts w:hint="eastAsia" w:ascii="宋体" w:hAnsi="宋体" w:eastAsia="宋体" w:cs="Arial"/>
          <w:b w:val="0"/>
          <w:bCs w:val="0"/>
          <w:color w:val="auto"/>
          <w:kern w:val="0"/>
          <w:sz w:val="24"/>
          <w:szCs w:val="24"/>
        </w:rPr>
        <w:t>评审小组应当根据综合评分情况，按照供应商综合得分由高到低的顺序排列，依次推荐3 名中标候选人并编写评审报告。供应商综合得分相同的，按照投标报价由低到高的顺序排列。供应商综合得分相同且投标报价也相同的并列，评审小组将按照随机抽取推荐。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7推荐成交候选人及提交评标报告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.1</w:t>
      </w:r>
      <w:r>
        <w:rPr>
          <w:rFonts w:hint="eastAsia" w:ascii="宋体" w:hAnsi="宋体" w:eastAsia="宋体" w:cs="Arial"/>
          <w:kern w:val="0"/>
          <w:sz w:val="24"/>
          <w:szCs w:val="24"/>
        </w:rPr>
        <w:t>磋商小组推荐成交候选人，综合得分排序第一的供应商将被确定为第一成交候选人，以此类推确定出规定数量的的成交候选人。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.2</w:t>
      </w:r>
      <w:r>
        <w:rPr>
          <w:rFonts w:hint="eastAsia" w:ascii="宋体" w:hAnsi="宋体" w:eastAsia="宋体" w:cs="Arial"/>
          <w:kern w:val="0"/>
          <w:sz w:val="24"/>
          <w:szCs w:val="24"/>
        </w:rPr>
        <w:t>当通过了资格审查、完备性及符合性审查、</w:t>
      </w:r>
      <w:r>
        <w:rPr>
          <w:rFonts w:hint="eastAsia" w:ascii="宋体" w:hAnsi="Calibri" w:eastAsia="宋体" w:cs="Arial"/>
          <w:kern w:val="0"/>
          <w:sz w:val="24"/>
          <w:szCs w:val="24"/>
        </w:rPr>
        <w:t>投标品牌统计</w:t>
      </w:r>
      <w:r>
        <w:rPr>
          <w:rFonts w:hint="eastAsia" w:ascii="宋体" w:hAnsi="宋体" w:eastAsia="宋体" w:cs="Arial"/>
          <w:kern w:val="0"/>
          <w:sz w:val="24"/>
          <w:szCs w:val="24"/>
        </w:rPr>
        <w:t>后，</w:t>
      </w:r>
      <w:r>
        <w:rPr>
          <w:rFonts w:hint="eastAsia" w:ascii="宋体" w:hAnsi="Calibri" w:eastAsia="宋体" w:cs="Arial"/>
          <w:kern w:val="0"/>
          <w:sz w:val="24"/>
          <w:szCs w:val="24"/>
        </w:rPr>
        <w:t>投标品牌</w:t>
      </w:r>
      <w:r>
        <w:rPr>
          <w:rFonts w:hint="eastAsia" w:ascii="宋体" w:hAnsi="宋体" w:eastAsia="宋体" w:cs="Arial"/>
          <w:kern w:val="0"/>
          <w:sz w:val="24"/>
          <w:szCs w:val="24"/>
        </w:rPr>
        <w:t>少于3个时，采购人应当依法重新招标。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.3 </w:t>
      </w:r>
      <w:r>
        <w:rPr>
          <w:rFonts w:hint="eastAsia" w:ascii="宋体" w:hAnsi="宋体" w:eastAsia="宋体" w:cs="Arial"/>
          <w:kern w:val="0"/>
          <w:sz w:val="24"/>
          <w:szCs w:val="24"/>
        </w:rPr>
        <w:t>磋商小组完成评标后，应当向采购人提交书面评标报告。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9特殊情况的处置程序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w:t>
      </w:r>
      <w:r>
        <w:rPr>
          <w:rFonts w:ascii="宋体" w:hAnsi="宋体" w:eastAsia="宋体" w:cs="Arial"/>
          <w:kern w:val="0"/>
          <w:sz w:val="24"/>
          <w:szCs w:val="24"/>
        </w:rPr>
        <w:t xml:space="preserve">.1 </w:t>
      </w:r>
      <w:r>
        <w:rPr>
          <w:rFonts w:hint="eastAsia" w:ascii="宋体" w:hAnsi="宋体" w:eastAsia="宋体" w:cs="Arial"/>
          <w:kern w:val="0"/>
          <w:sz w:val="24"/>
          <w:szCs w:val="24"/>
        </w:rPr>
        <w:t>关于评标活动暂停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应当执行连续评标的原则，按评标办法中规定的程序、内容、方法、标准完成全部评标工作。只有发生不可抗力导致评标工作无法继续时，评标活动方可暂停。发生评标暂停情况时，应当封存全部竞争性磋商响应文件和评标记录，待不可抗力的影响结束且具备继续评标的条件时，由原磋商小组继续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w:t>
      </w:r>
      <w:r>
        <w:rPr>
          <w:rFonts w:ascii="宋体" w:hAnsi="宋体" w:eastAsia="宋体" w:cs="Arial"/>
          <w:kern w:val="0"/>
          <w:sz w:val="24"/>
          <w:szCs w:val="24"/>
        </w:rPr>
        <w:t>.2</w:t>
      </w:r>
      <w:r>
        <w:rPr>
          <w:rFonts w:hint="eastAsia" w:ascii="宋体" w:hAnsi="宋体" w:eastAsia="宋体" w:cs="Arial"/>
          <w:kern w:val="0"/>
          <w:sz w:val="24"/>
          <w:szCs w:val="24"/>
        </w:rPr>
        <w:t>关于评标中途更换评委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w:t>
      </w:r>
      <w:r>
        <w:rPr>
          <w:rFonts w:ascii="宋体" w:hAnsi="宋体" w:eastAsia="宋体" w:cs="Arial"/>
          <w:kern w:val="0"/>
          <w:sz w:val="24"/>
          <w:szCs w:val="24"/>
        </w:rPr>
        <w:t xml:space="preserve">.2.1 </w:t>
      </w:r>
      <w:r>
        <w:rPr>
          <w:rFonts w:hint="eastAsia" w:ascii="宋体" w:hAnsi="宋体" w:eastAsia="宋体" w:cs="Arial"/>
          <w:kern w:val="0"/>
          <w:sz w:val="24"/>
          <w:szCs w:val="24"/>
        </w:rPr>
        <w:t>除非发生下列情况之一，磋商小组成员不得在评标中途更换：</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）因不可抗拒的客观原因，不能到场或需在评标中途退出评标活动。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）根据法律法规规定，某个或某几个磋商小组成员需要回避。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w:t>
      </w:r>
      <w:r>
        <w:rPr>
          <w:rFonts w:ascii="宋体" w:hAnsi="宋体" w:eastAsia="宋体" w:cs="Arial"/>
          <w:kern w:val="0"/>
          <w:sz w:val="24"/>
          <w:szCs w:val="24"/>
        </w:rPr>
        <w:t xml:space="preserve">.2.2 </w:t>
      </w:r>
      <w:r>
        <w:rPr>
          <w:rFonts w:hint="eastAsia" w:ascii="宋体" w:hAnsi="宋体" w:eastAsia="宋体" w:cs="Arial"/>
          <w:kern w:val="0"/>
          <w:sz w:val="24"/>
          <w:szCs w:val="24"/>
        </w:rPr>
        <w:t>退出评标的磋商小组成员，其已完成的评标行为无效，由更换的评委进行评标。</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9</w:t>
      </w:r>
      <w:r>
        <w:rPr>
          <w:rFonts w:ascii="宋体" w:hAnsi="宋体" w:eastAsia="宋体" w:cs="Arial"/>
          <w:kern w:val="0"/>
          <w:sz w:val="24"/>
          <w:szCs w:val="24"/>
        </w:rPr>
        <w:t xml:space="preserve">.3 </w:t>
      </w:r>
      <w:r>
        <w:rPr>
          <w:rFonts w:hint="eastAsia" w:ascii="宋体" w:hAnsi="宋体" w:eastAsia="宋体" w:cs="Arial"/>
          <w:kern w:val="0"/>
          <w:sz w:val="24"/>
          <w:szCs w:val="24"/>
        </w:rPr>
        <w:t>在评标环节中，需磋商小组就某项定性的评审结论做出表决的，由磋商小组全体成员按照少数服从多数的原则确定。</w:t>
      </w:r>
      <w:r>
        <w:rPr>
          <w:rFonts w:ascii="宋体" w:hAnsi="宋体" w:eastAsia="宋体" w:cs="Arial"/>
          <w:kern w:val="0"/>
          <w:sz w:val="24"/>
          <w:szCs w:val="24"/>
        </w:rPr>
        <w:br w:type="page"/>
      </w:r>
    </w:p>
    <w:p>
      <w:pPr>
        <w:spacing w:line="360" w:lineRule="auto"/>
        <w:jc w:val="center"/>
        <w:outlineLvl w:val="0"/>
        <w:rPr>
          <w:rFonts w:ascii="宋体" w:hAnsi="宋体" w:eastAsia="宋体" w:cs="宋体"/>
          <w:b/>
          <w:sz w:val="24"/>
          <w:szCs w:val="24"/>
        </w:rPr>
      </w:pPr>
      <w:bookmarkStart w:id="44" w:name="_Toc485312286"/>
      <w:bookmarkStart w:id="45" w:name="_Toc12103"/>
      <w:r>
        <w:rPr>
          <w:rFonts w:hint="eastAsia" w:ascii="宋体" w:hAnsi="宋体" w:eastAsia="宋体" w:cs="宋体"/>
          <w:b/>
          <w:sz w:val="24"/>
          <w:szCs w:val="24"/>
        </w:rPr>
        <w:t>第三章 合同</w:t>
      </w:r>
      <w:bookmarkEnd w:id="44"/>
      <w:r>
        <w:rPr>
          <w:rFonts w:hint="eastAsia" w:ascii="宋体" w:hAnsi="宋体" w:eastAsia="宋体" w:cs="宋体"/>
          <w:b/>
          <w:sz w:val="24"/>
          <w:szCs w:val="24"/>
        </w:rPr>
        <w:t>条款及格式</w:t>
      </w:r>
      <w:bookmarkEnd w:id="45"/>
    </w:p>
    <w:p>
      <w:pPr>
        <w:spacing w:line="360" w:lineRule="auto"/>
        <w:jc w:val="center"/>
        <w:outlineLvl w:val="0"/>
        <w:rPr>
          <w:rFonts w:ascii="宋体" w:hAnsi="宋体" w:eastAsia="宋体" w:cs="宋体"/>
          <w:b/>
          <w:sz w:val="24"/>
          <w:szCs w:val="24"/>
        </w:rPr>
      </w:pPr>
      <w:bookmarkStart w:id="46" w:name="_Toc23376"/>
      <w:r>
        <w:rPr>
          <w:rFonts w:hint="eastAsia" w:ascii="宋体" w:hAnsi="宋体" w:eastAsia="宋体" w:cs="宋体"/>
          <w:b/>
          <w:sz w:val="24"/>
          <w:szCs w:val="24"/>
        </w:rPr>
        <w:t>（仅供参考，以采购人实际签订为准）</w:t>
      </w:r>
      <w:bookmarkEnd w:id="46"/>
    </w:p>
    <w:p>
      <w:pPr>
        <w:tabs>
          <w:tab w:val="center" w:pos="4832"/>
          <w:tab w:val="left" w:pos="7140"/>
        </w:tabs>
        <w:spacing w:line="440" w:lineRule="exact"/>
        <w:jc w:val="center"/>
        <w:outlineLvl w:val="1"/>
        <w:rPr>
          <w:rFonts w:ascii="宋体" w:cs="宋体"/>
          <w:b/>
          <w:sz w:val="24"/>
          <w:szCs w:val="24"/>
        </w:rPr>
      </w:pPr>
      <w:bookmarkStart w:id="47" w:name="_Toc524376875"/>
      <w:bookmarkStart w:id="48" w:name="_Toc41061011"/>
      <w:bookmarkStart w:id="49" w:name="_Toc485312287"/>
      <w:bookmarkStart w:id="50" w:name="_Toc24262"/>
      <w:r>
        <w:rPr>
          <w:rFonts w:hint="eastAsia" w:ascii="宋体" w:hAnsi="宋体" w:cs="宋体"/>
          <w:b/>
          <w:sz w:val="24"/>
          <w:szCs w:val="24"/>
        </w:rPr>
        <w:t>一、合同协议书格式</w:t>
      </w:r>
      <w:bookmarkEnd w:id="47"/>
      <w:bookmarkEnd w:id="48"/>
      <w:bookmarkEnd w:id="49"/>
      <w:bookmarkEnd w:id="50"/>
    </w:p>
    <w:p>
      <w:pPr>
        <w:jc w:val="center"/>
        <w:rPr>
          <w:rFonts w:ascii="宋体" w:cs="宋体"/>
          <w:b/>
          <w:sz w:val="24"/>
          <w:szCs w:val="24"/>
        </w:rPr>
      </w:pPr>
      <w:r>
        <w:rPr>
          <w:rFonts w:hint="eastAsia" w:ascii="宋体" w:hAnsi="宋体" w:cs="宋体"/>
          <w:b/>
          <w:sz w:val="24"/>
          <w:szCs w:val="24"/>
        </w:rPr>
        <w:t>合同协议书</w:t>
      </w:r>
    </w:p>
    <w:p>
      <w:pPr>
        <w:rPr>
          <w:rFonts w:ascii="宋体" w:cs="宋体"/>
          <w:b/>
          <w:sz w:val="24"/>
          <w:szCs w:val="24"/>
        </w:rPr>
      </w:pPr>
      <w:r>
        <w:rPr>
          <w:rFonts w:hint="eastAsia" w:ascii="宋体" w:hAnsi="宋体" w:cs="宋体"/>
          <w:b/>
          <w:sz w:val="24"/>
          <w:szCs w:val="24"/>
        </w:rPr>
        <w:t>采购人（全称）：</w:t>
      </w:r>
      <w:r>
        <w:rPr>
          <w:rFonts w:ascii="宋体" w:hAnsi="宋体"/>
          <w:sz w:val="24"/>
          <w:szCs w:val="24"/>
          <w:u w:val="single"/>
        </w:rPr>
        <w:t>____________   _                                         _</w:t>
      </w:r>
    </w:p>
    <w:p>
      <w:pPr>
        <w:rPr>
          <w:rFonts w:ascii="宋体"/>
          <w:sz w:val="24"/>
          <w:szCs w:val="24"/>
          <w:u w:val="single"/>
        </w:rPr>
      </w:pPr>
      <w:r>
        <w:rPr>
          <w:rFonts w:hint="eastAsia" w:ascii="宋体" w:hAnsi="宋体" w:cs="宋体"/>
          <w:b/>
          <w:sz w:val="24"/>
          <w:szCs w:val="24"/>
        </w:rPr>
        <w:t>供货人（全称）：</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依照《中华人民共和国民法典》及其他有关法律、法规、规章和规范性文件的规定，双方就采购事项达成一致并订立如下协议：</w:t>
      </w:r>
    </w:p>
    <w:p>
      <w:pPr>
        <w:rPr>
          <w:rFonts w:ascii="宋体" w:cs="宋体"/>
          <w:b/>
          <w:sz w:val="24"/>
          <w:szCs w:val="24"/>
        </w:rPr>
      </w:pPr>
      <w:r>
        <w:rPr>
          <w:rFonts w:hint="eastAsia" w:ascii="宋体" w:hAnsi="宋体" w:cs="宋体"/>
          <w:b/>
          <w:sz w:val="24"/>
          <w:szCs w:val="24"/>
        </w:rPr>
        <w:t>一、项目概况</w:t>
      </w:r>
    </w:p>
    <w:p>
      <w:pPr>
        <w:ind w:firstLine="480" w:firstLineChars="200"/>
        <w:rPr>
          <w:rFonts w:ascii="宋体" w:cs="宋体"/>
          <w:sz w:val="24"/>
          <w:szCs w:val="24"/>
        </w:rPr>
      </w:pPr>
      <w:r>
        <w:rPr>
          <w:rFonts w:hint="eastAsia" w:ascii="宋体" w:hAnsi="宋体" w:cs="宋体"/>
          <w:sz w:val="24"/>
          <w:szCs w:val="24"/>
        </w:rPr>
        <w:t>项目名称：</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项目地点：</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项目单位：</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资金来源：</w:t>
      </w:r>
      <w:r>
        <w:rPr>
          <w:rFonts w:ascii="宋体" w:hAnsi="宋体"/>
          <w:sz w:val="24"/>
          <w:szCs w:val="24"/>
          <w:u w:val="single"/>
        </w:rPr>
        <w:t>____________   _                                         __</w:t>
      </w:r>
    </w:p>
    <w:p>
      <w:pPr>
        <w:rPr>
          <w:rFonts w:ascii="宋体" w:cs="宋体"/>
          <w:b/>
          <w:sz w:val="24"/>
          <w:szCs w:val="24"/>
        </w:rPr>
      </w:pPr>
      <w:r>
        <w:rPr>
          <w:rFonts w:hint="eastAsia" w:ascii="宋体" w:hAnsi="宋体" w:cs="宋体"/>
          <w:b/>
          <w:sz w:val="24"/>
          <w:szCs w:val="24"/>
        </w:rPr>
        <w:t>二、供货范围：</w:t>
      </w:r>
      <w:r>
        <w:rPr>
          <w:rFonts w:ascii="宋体" w:hAnsi="宋体"/>
          <w:sz w:val="24"/>
          <w:szCs w:val="24"/>
          <w:u w:val="single"/>
        </w:rPr>
        <w:t>_________                                               ___</w:t>
      </w:r>
    </w:p>
    <w:p>
      <w:pPr>
        <w:rPr>
          <w:rFonts w:ascii="宋体" w:cs="宋体"/>
          <w:b/>
          <w:sz w:val="24"/>
          <w:szCs w:val="24"/>
        </w:rPr>
      </w:pPr>
      <w:r>
        <w:rPr>
          <w:rFonts w:hint="eastAsia" w:ascii="宋体" w:hAnsi="宋体" w:cs="宋体"/>
          <w:b/>
          <w:sz w:val="24"/>
          <w:szCs w:val="24"/>
        </w:rPr>
        <w:t>三、签约合同价款</w:t>
      </w:r>
    </w:p>
    <w:p>
      <w:pPr>
        <w:ind w:firstLine="480" w:firstLineChars="200"/>
        <w:rPr>
          <w:rFonts w:ascii="宋体" w:cs="宋体"/>
          <w:sz w:val="24"/>
          <w:szCs w:val="24"/>
        </w:rPr>
      </w:pPr>
      <w:r>
        <w:rPr>
          <w:rFonts w:hint="eastAsia" w:ascii="宋体" w:hAnsi="宋体" w:cs="宋体"/>
          <w:sz w:val="24"/>
          <w:szCs w:val="24"/>
        </w:rPr>
        <w:t>金额（大写）：</w:t>
      </w:r>
      <w:r>
        <w:rPr>
          <w:rFonts w:ascii="宋体" w:hAnsi="宋体"/>
          <w:sz w:val="24"/>
          <w:szCs w:val="24"/>
          <w:u w:val="single"/>
        </w:rPr>
        <w:t xml:space="preserve">  ______</w:t>
      </w:r>
      <w:r>
        <w:rPr>
          <w:rFonts w:hint="eastAsia" w:ascii="宋体" w:hAnsi="宋体" w:cs="宋体"/>
          <w:sz w:val="24"/>
          <w:szCs w:val="24"/>
        </w:rPr>
        <w:t>（人民币）小写：元</w:t>
      </w:r>
    </w:p>
    <w:p>
      <w:pPr>
        <w:rPr>
          <w:rFonts w:ascii="宋体" w:cs="宋体"/>
          <w:b/>
          <w:sz w:val="24"/>
          <w:szCs w:val="24"/>
        </w:rPr>
      </w:pPr>
      <w:r>
        <w:rPr>
          <w:rFonts w:hint="eastAsia" w:ascii="宋体" w:hAnsi="宋体" w:cs="宋体"/>
          <w:b/>
          <w:sz w:val="24"/>
          <w:szCs w:val="24"/>
        </w:rPr>
        <w:t>四、供货安装周期</w:t>
      </w:r>
    </w:p>
    <w:p>
      <w:pPr>
        <w:ind w:firstLine="480" w:firstLineChars="200"/>
        <w:rPr>
          <w:rFonts w:ascii="宋体" w:cs="宋体"/>
          <w:sz w:val="24"/>
          <w:szCs w:val="24"/>
        </w:rPr>
      </w:pPr>
      <w:r>
        <w:rPr>
          <w:rFonts w:hint="eastAsia" w:ascii="宋体" w:hAnsi="宋体" w:cs="宋体"/>
          <w:sz w:val="24"/>
          <w:szCs w:val="24"/>
        </w:rPr>
        <w:t>计划供货安装周期：</w:t>
      </w:r>
    </w:p>
    <w:p>
      <w:pPr>
        <w:ind w:firstLine="480" w:firstLineChars="200"/>
        <w:rPr>
          <w:rFonts w:ascii="宋体" w:cs="宋体"/>
          <w:sz w:val="24"/>
          <w:szCs w:val="24"/>
          <w:u w:val="single"/>
        </w:rPr>
      </w:pPr>
      <w:r>
        <w:rPr>
          <w:rFonts w:hint="eastAsia" w:ascii="宋体" w:hAnsi="宋体" w:cs="宋体"/>
          <w:sz w:val="24"/>
          <w:szCs w:val="24"/>
        </w:rPr>
        <w:t>计划开始日期：年月日</w:t>
      </w:r>
    </w:p>
    <w:p>
      <w:pPr>
        <w:ind w:firstLine="480" w:firstLineChars="200"/>
        <w:rPr>
          <w:rFonts w:ascii="宋体" w:hAnsi="宋体" w:cs="宋体"/>
          <w:sz w:val="24"/>
          <w:szCs w:val="24"/>
        </w:rPr>
      </w:pPr>
      <w:r>
        <w:rPr>
          <w:rFonts w:hint="eastAsia" w:ascii="宋体" w:hAnsi="宋体" w:cs="宋体"/>
          <w:sz w:val="24"/>
          <w:szCs w:val="24"/>
        </w:rPr>
        <w:t>计划到货日期：年月日</w:t>
      </w:r>
    </w:p>
    <w:p>
      <w:pPr>
        <w:ind w:firstLine="480" w:firstLineChars="200"/>
        <w:rPr>
          <w:rFonts w:ascii="宋体" w:hAnsi="宋体" w:cs="宋体"/>
          <w:sz w:val="24"/>
          <w:szCs w:val="24"/>
        </w:rPr>
      </w:pPr>
      <w:r>
        <w:rPr>
          <w:rFonts w:hint="eastAsia" w:ascii="宋体" w:hAnsi="宋体" w:cs="宋体"/>
          <w:sz w:val="24"/>
          <w:szCs w:val="24"/>
        </w:rPr>
        <w:t>计划安装调试完成日期：年月日</w:t>
      </w:r>
    </w:p>
    <w:p>
      <w:pPr>
        <w:rPr>
          <w:rFonts w:ascii="宋体" w:cs="宋体"/>
          <w:b/>
          <w:sz w:val="24"/>
          <w:szCs w:val="24"/>
        </w:rPr>
      </w:pPr>
      <w:r>
        <w:rPr>
          <w:rFonts w:hint="eastAsia" w:ascii="宋体" w:hAnsi="宋体" w:cs="宋体"/>
          <w:b/>
          <w:sz w:val="24"/>
          <w:szCs w:val="24"/>
        </w:rPr>
        <w:t>五、合同文件的组成</w:t>
      </w:r>
    </w:p>
    <w:p>
      <w:pPr>
        <w:ind w:firstLine="480" w:firstLineChars="200"/>
        <w:rPr>
          <w:rFonts w:ascii="宋体" w:cs="宋体"/>
          <w:sz w:val="24"/>
          <w:szCs w:val="24"/>
        </w:rPr>
      </w:pPr>
      <w:r>
        <w:rPr>
          <w:rFonts w:hint="eastAsia" w:ascii="宋体" w:hAnsi="宋体" w:cs="宋体"/>
          <w:sz w:val="24"/>
          <w:szCs w:val="24"/>
        </w:rPr>
        <w:t>下列文件共同构成合同文件</w:t>
      </w:r>
    </w:p>
    <w:p>
      <w:pPr>
        <w:ind w:firstLine="480" w:firstLineChars="200"/>
        <w:rPr>
          <w:rFonts w:ascii="宋体" w:cs="宋体"/>
          <w:sz w:val="24"/>
          <w:szCs w:val="24"/>
        </w:rPr>
      </w:pPr>
      <w:r>
        <w:rPr>
          <w:rFonts w:hint="eastAsia" w:ascii="宋体" w:hAnsi="宋体" w:cs="宋体"/>
          <w:sz w:val="24"/>
          <w:szCs w:val="24"/>
        </w:rPr>
        <w:t>本协议书；</w:t>
      </w:r>
    </w:p>
    <w:p>
      <w:pPr>
        <w:ind w:firstLine="480" w:firstLineChars="200"/>
        <w:rPr>
          <w:rFonts w:ascii="宋体" w:cs="宋体"/>
          <w:sz w:val="24"/>
          <w:szCs w:val="24"/>
        </w:rPr>
      </w:pPr>
      <w:r>
        <w:rPr>
          <w:rFonts w:hint="eastAsia" w:ascii="宋体" w:hAnsi="宋体" w:cs="宋体"/>
          <w:sz w:val="24"/>
          <w:szCs w:val="24"/>
        </w:rPr>
        <w:t>中标通知书；</w:t>
      </w:r>
    </w:p>
    <w:p>
      <w:pPr>
        <w:ind w:firstLine="480" w:firstLineChars="200"/>
        <w:rPr>
          <w:rFonts w:ascii="宋体" w:cs="宋体"/>
          <w:sz w:val="24"/>
          <w:szCs w:val="24"/>
        </w:rPr>
      </w:pPr>
      <w:r>
        <w:rPr>
          <w:rFonts w:hint="eastAsia" w:ascii="宋体" w:hAnsi="宋体" w:cs="宋体"/>
          <w:sz w:val="24"/>
          <w:szCs w:val="24"/>
        </w:rPr>
        <w:t>合同条款专用部分；</w:t>
      </w:r>
    </w:p>
    <w:p>
      <w:pPr>
        <w:ind w:firstLine="480" w:firstLineChars="200"/>
        <w:rPr>
          <w:rFonts w:ascii="宋体" w:cs="宋体"/>
          <w:sz w:val="24"/>
          <w:szCs w:val="24"/>
        </w:rPr>
      </w:pPr>
      <w:r>
        <w:rPr>
          <w:rFonts w:hint="eastAsia" w:ascii="宋体" w:hAnsi="宋体" w:cs="宋体"/>
          <w:sz w:val="24"/>
          <w:szCs w:val="24"/>
        </w:rPr>
        <w:t>合同条款通用部分；</w:t>
      </w:r>
    </w:p>
    <w:p>
      <w:pPr>
        <w:ind w:firstLine="480" w:firstLineChars="200"/>
        <w:rPr>
          <w:rFonts w:ascii="宋体" w:cs="宋体"/>
          <w:sz w:val="24"/>
          <w:szCs w:val="24"/>
        </w:rPr>
      </w:pPr>
      <w:r>
        <w:rPr>
          <w:rFonts w:hint="eastAsia" w:ascii="宋体" w:hAnsi="宋体" w:cs="宋体"/>
          <w:sz w:val="24"/>
          <w:szCs w:val="24"/>
        </w:rPr>
        <w:t>磋商文件；</w:t>
      </w:r>
    </w:p>
    <w:p>
      <w:pPr>
        <w:ind w:firstLine="480" w:firstLineChars="200"/>
        <w:rPr>
          <w:rFonts w:ascii="宋体" w:cs="宋体"/>
          <w:sz w:val="24"/>
          <w:szCs w:val="24"/>
        </w:rPr>
      </w:pPr>
      <w:r>
        <w:rPr>
          <w:rFonts w:hint="eastAsia" w:ascii="宋体" w:hAnsi="宋体" w:cs="宋体"/>
          <w:sz w:val="24"/>
          <w:szCs w:val="24"/>
        </w:rPr>
        <w:t>响应文件；</w:t>
      </w:r>
    </w:p>
    <w:p>
      <w:pPr>
        <w:ind w:firstLine="480" w:firstLineChars="200"/>
        <w:rPr>
          <w:rFonts w:ascii="宋体" w:cs="宋体"/>
          <w:sz w:val="24"/>
          <w:szCs w:val="24"/>
        </w:rPr>
      </w:pPr>
      <w:r>
        <w:rPr>
          <w:rFonts w:hint="eastAsia" w:ascii="宋体" w:hAnsi="宋体" w:cs="宋体"/>
          <w:sz w:val="24"/>
          <w:szCs w:val="24"/>
        </w:rPr>
        <w:t>其他合同文件。</w:t>
      </w:r>
    </w:p>
    <w:p>
      <w:pPr>
        <w:rPr>
          <w:rFonts w:ascii="宋体" w:cs="宋体"/>
          <w:b/>
          <w:sz w:val="24"/>
          <w:szCs w:val="24"/>
        </w:rPr>
      </w:pPr>
      <w:r>
        <w:rPr>
          <w:rFonts w:hint="eastAsia" w:ascii="宋体" w:hAnsi="宋体" w:cs="宋体"/>
          <w:b/>
          <w:sz w:val="24"/>
          <w:szCs w:val="24"/>
        </w:rPr>
        <w:t>六、本协议书中有关词语定义与合同条款中的定义相同。</w:t>
      </w:r>
    </w:p>
    <w:p>
      <w:pPr>
        <w:rPr>
          <w:rFonts w:ascii="宋体" w:cs="宋体"/>
          <w:b/>
          <w:sz w:val="24"/>
          <w:szCs w:val="24"/>
        </w:rPr>
      </w:pPr>
      <w:r>
        <w:rPr>
          <w:rFonts w:hint="eastAsia" w:ascii="宋体" w:hAnsi="宋体" w:cs="宋体"/>
          <w:b/>
          <w:sz w:val="24"/>
          <w:szCs w:val="24"/>
        </w:rPr>
        <w:t>七、供货人承诺按照合同约定进行供货并在质保期内对所供货物承担质量保证责任。</w:t>
      </w:r>
    </w:p>
    <w:p>
      <w:pPr>
        <w:rPr>
          <w:rFonts w:ascii="宋体" w:cs="宋体"/>
          <w:b/>
          <w:sz w:val="24"/>
          <w:szCs w:val="24"/>
        </w:rPr>
      </w:pPr>
      <w:r>
        <w:rPr>
          <w:rFonts w:hint="eastAsia" w:ascii="宋体" w:hAnsi="宋体" w:cs="宋体"/>
          <w:b/>
          <w:sz w:val="24"/>
          <w:szCs w:val="24"/>
        </w:rPr>
        <w:t>八、采购人承诺按照合同约定的条件、期限和方式向供货人支付合同价款。</w:t>
      </w:r>
    </w:p>
    <w:p>
      <w:pPr>
        <w:rPr>
          <w:rFonts w:ascii="宋体" w:cs="宋体"/>
          <w:b/>
          <w:sz w:val="24"/>
          <w:szCs w:val="24"/>
        </w:rPr>
      </w:pPr>
      <w:r>
        <w:rPr>
          <w:rFonts w:hint="eastAsia" w:ascii="宋体" w:hAnsi="宋体" w:cs="宋体"/>
          <w:b/>
          <w:sz w:val="24"/>
          <w:szCs w:val="24"/>
        </w:rPr>
        <w:t>九、本协议书连同其他合同文件一式陆份，其中，采购人</w:t>
      </w:r>
      <w:r>
        <w:rPr>
          <w:rFonts w:hint="eastAsia" w:ascii="宋体" w:hAnsi="宋体" w:cs="宋体"/>
          <w:b/>
          <w:sz w:val="24"/>
          <w:szCs w:val="24"/>
          <w:u w:val="single"/>
        </w:rPr>
        <w:t xml:space="preserve"> 肆 </w:t>
      </w:r>
      <w:r>
        <w:rPr>
          <w:rFonts w:hint="eastAsia" w:ascii="宋体" w:hAnsi="宋体" w:cs="宋体"/>
          <w:b/>
          <w:sz w:val="24"/>
          <w:szCs w:val="24"/>
        </w:rPr>
        <w:t>份，供货人</w:t>
      </w:r>
      <w:r>
        <w:rPr>
          <w:rFonts w:hint="eastAsia" w:ascii="宋体" w:hAnsi="宋体" w:cs="宋体"/>
          <w:b/>
          <w:sz w:val="24"/>
          <w:szCs w:val="24"/>
          <w:u w:val="single"/>
        </w:rPr>
        <w:t xml:space="preserve"> 贰 </w:t>
      </w:r>
      <w:r>
        <w:rPr>
          <w:rFonts w:hint="eastAsia" w:ascii="宋体" w:hAnsi="宋体" w:cs="宋体"/>
          <w:b/>
          <w:sz w:val="24"/>
          <w:szCs w:val="24"/>
        </w:rPr>
        <w:t>份。</w:t>
      </w:r>
    </w:p>
    <w:p>
      <w:pPr>
        <w:rPr>
          <w:rFonts w:ascii="宋体" w:cs="宋体"/>
          <w:b/>
          <w:sz w:val="24"/>
          <w:szCs w:val="24"/>
        </w:rPr>
      </w:pPr>
      <w:r>
        <w:rPr>
          <w:rFonts w:hint="eastAsia" w:ascii="宋体" w:hAnsi="宋体" w:cs="宋体"/>
          <w:b/>
          <w:sz w:val="24"/>
          <w:szCs w:val="24"/>
        </w:rPr>
        <w:t>十、合同未尽事宜，双方另行签订补充协议，补充协议是合同的组成部分。</w:t>
      </w:r>
    </w:p>
    <w:p>
      <w:pPr>
        <w:rPr>
          <w:rFonts w:ascii="宋体" w:cs="宋体"/>
          <w:b/>
          <w:sz w:val="24"/>
          <w:szCs w:val="24"/>
        </w:rPr>
      </w:pPr>
      <w:r>
        <w:rPr>
          <w:rFonts w:hint="eastAsia" w:ascii="宋体" w:hAnsi="宋体" w:cs="宋体"/>
          <w:b/>
          <w:sz w:val="24"/>
          <w:szCs w:val="24"/>
        </w:rPr>
        <w:t>十一、本合同自生效，双方各自履行完成合同义务后自动失效。</w:t>
      </w:r>
    </w:p>
    <w:p>
      <w:pPr>
        <w:rPr>
          <w:rFonts w:ascii="宋体" w:cs="宋体"/>
          <w:sz w:val="24"/>
          <w:szCs w:val="24"/>
        </w:rPr>
      </w:pPr>
      <w:r>
        <w:rPr>
          <w:rFonts w:hint="eastAsia" w:ascii="宋体" w:hAnsi="宋体" w:cs="宋体"/>
          <w:sz w:val="24"/>
          <w:szCs w:val="24"/>
        </w:rPr>
        <w:t>采购人：（盖章）                                供货人：（盖章）</w:t>
      </w:r>
    </w:p>
    <w:p>
      <w:pPr>
        <w:rPr>
          <w:rFonts w:ascii="宋体"/>
          <w:sz w:val="24"/>
          <w:szCs w:val="24"/>
          <w:u w:val="single"/>
        </w:rPr>
      </w:pPr>
      <w:r>
        <w:rPr>
          <w:rFonts w:hint="eastAsia" w:ascii="宋体" w:hAnsi="宋体" w:cs="宋体"/>
          <w:sz w:val="24"/>
          <w:szCs w:val="24"/>
        </w:rPr>
        <w:t>住所：                                         住所：</w:t>
      </w:r>
      <w:r>
        <w:rPr>
          <w:rFonts w:ascii="宋体" w:hAnsi="宋体"/>
          <w:sz w:val="24"/>
          <w:szCs w:val="24"/>
          <w:u w:val="single"/>
        </w:rPr>
        <w:t xml:space="preserve">___________  _      </w:t>
      </w:r>
    </w:p>
    <w:p>
      <w:pPr>
        <w:rPr>
          <w:rFonts w:ascii="宋体" w:cs="宋体"/>
          <w:sz w:val="24"/>
          <w:szCs w:val="24"/>
        </w:rPr>
      </w:pPr>
      <w:r>
        <w:rPr>
          <w:rFonts w:hint="eastAsia" w:ascii="宋体" w:hAnsi="宋体" w:cs="宋体"/>
          <w:sz w:val="24"/>
          <w:szCs w:val="24"/>
        </w:rPr>
        <w:t>法定代表人或其                                 法定代表人或其</w:t>
      </w:r>
    </w:p>
    <w:p>
      <w:pPr>
        <w:rPr>
          <w:rFonts w:ascii="宋体" w:cs="宋体"/>
          <w:sz w:val="24"/>
          <w:szCs w:val="24"/>
        </w:rPr>
      </w:pPr>
      <w:r>
        <w:rPr>
          <w:rFonts w:hint="eastAsia" w:ascii="宋体" w:hAnsi="宋体" w:cs="宋体"/>
          <w:sz w:val="24"/>
          <w:szCs w:val="24"/>
        </w:rPr>
        <w:t>委托代理人：（盖章）                            委托代理人：（盖章）</w:t>
      </w:r>
    </w:p>
    <w:p>
      <w:pPr>
        <w:rPr>
          <w:rFonts w:ascii="宋体" w:cs="宋体"/>
          <w:sz w:val="24"/>
          <w:szCs w:val="24"/>
        </w:rPr>
      </w:pPr>
      <w:r>
        <w:rPr>
          <w:rFonts w:hint="eastAsia" w:ascii="宋体" w:hAnsi="宋体" w:cs="宋体"/>
          <w:sz w:val="24"/>
          <w:szCs w:val="24"/>
        </w:rPr>
        <w:t>年月日                              年月日</w:t>
      </w:r>
    </w:p>
    <w:p>
      <w:pPr>
        <w:rPr>
          <w:rFonts w:ascii="宋体" w:cs="宋体"/>
          <w:sz w:val="24"/>
          <w:szCs w:val="24"/>
        </w:rPr>
      </w:pPr>
      <w:r>
        <w:rPr>
          <w:rFonts w:hint="eastAsia" w:ascii="宋体" w:hAnsi="宋体" w:cs="宋体"/>
          <w:sz w:val="24"/>
          <w:szCs w:val="24"/>
        </w:rPr>
        <w:t>签订地点：</w:t>
      </w:r>
      <w:r>
        <w:rPr>
          <w:rFonts w:ascii="宋体" w:hAnsi="宋体"/>
          <w:sz w:val="24"/>
          <w:szCs w:val="24"/>
          <w:u w:val="single"/>
        </w:rPr>
        <w:t>___________  _        __                                      __</w:t>
      </w:r>
    </w:p>
    <w:p>
      <w:pPr>
        <w:tabs>
          <w:tab w:val="center" w:pos="4832"/>
          <w:tab w:val="left" w:pos="7140"/>
        </w:tabs>
        <w:spacing w:line="440" w:lineRule="exact"/>
        <w:jc w:val="center"/>
        <w:outlineLvl w:val="1"/>
        <w:rPr>
          <w:rFonts w:ascii="宋体" w:cs="宋体"/>
          <w:b/>
          <w:sz w:val="24"/>
          <w:szCs w:val="24"/>
        </w:rPr>
      </w:pPr>
      <w:r>
        <w:rPr>
          <w:rFonts w:ascii="宋体" w:cs="宋体"/>
          <w:b/>
          <w:sz w:val="24"/>
          <w:szCs w:val="24"/>
        </w:rPr>
        <w:br w:type="page"/>
      </w:r>
      <w:bookmarkStart w:id="51" w:name="_Toc381358645"/>
      <w:bookmarkStart w:id="52" w:name="_Toc485312288"/>
      <w:bookmarkStart w:id="53" w:name="_Toc375218719"/>
      <w:bookmarkStart w:id="54" w:name="_Toc41061012"/>
      <w:bookmarkStart w:id="55" w:name="_Toc524376876"/>
      <w:bookmarkStart w:id="56" w:name="_Toc29537"/>
      <w:r>
        <w:rPr>
          <w:rFonts w:hint="eastAsia" w:ascii="宋体" w:hAnsi="宋体" w:cs="宋体"/>
          <w:b/>
          <w:sz w:val="24"/>
          <w:szCs w:val="24"/>
        </w:rPr>
        <w:t>二、合同条款通用部分</w:t>
      </w:r>
      <w:bookmarkEnd w:id="51"/>
      <w:bookmarkEnd w:id="52"/>
      <w:bookmarkEnd w:id="53"/>
      <w:bookmarkEnd w:id="54"/>
      <w:bookmarkEnd w:id="55"/>
      <w:bookmarkEnd w:id="56"/>
    </w:p>
    <w:p>
      <w:pPr>
        <w:rPr>
          <w:rFonts w:ascii="宋体"/>
          <w:b/>
          <w:bCs/>
          <w:sz w:val="24"/>
          <w:szCs w:val="24"/>
        </w:rPr>
      </w:pPr>
      <w:bookmarkStart w:id="57" w:name="_Toc375218720"/>
      <w:bookmarkStart w:id="58" w:name="_Toc381358646"/>
      <w:bookmarkStart w:id="59" w:name="_Toc218048783"/>
      <w:bookmarkStart w:id="60" w:name="_Toc217443919"/>
      <w:bookmarkStart w:id="61" w:name="_Toc256955330"/>
      <w:bookmarkStart w:id="62" w:name="_Toc218048963"/>
      <w:bookmarkStart w:id="63" w:name="_Toc201377865"/>
      <w:r>
        <w:rPr>
          <w:rFonts w:ascii="宋体" w:hAnsi="宋体"/>
          <w:b/>
          <w:bCs/>
          <w:sz w:val="24"/>
          <w:szCs w:val="24"/>
        </w:rPr>
        <w:t>1.</w:t>
      </w:r>
      <w:r>
        <w:rPr>
          <w:rFonts w:hint="eastAsia" w:ascii="宋体" w:hAnsi="宋体"/>
          <w:b/>
          <w:bCs/>
          <w:sz w:val="24"/>
          <w:szCs w:val="24"/>
        </w:rPr>
        <w:t>一般规定</w:t>
      </w:r>
      <w:bookmarkEnd w:id="57"/>
      <w:bookmarkEnd w:id="58"/>
      <w:bookmarkEnd w:id="59"/>
      <w:bookmarkEnd w:id="60"/>
      <w:bookmarkEnd w:id="61"/>
      <w:bookmarkEnd w:id="62"/>
    </w:p>
    <w:p>
      <w:pPr>
        <w:rPr>
          <w:rFonts w:ascii="宋体"/>
          <w:b/>
          <w:bCs/>
          <w:sz w:val="24"/>
          <w:szCs w:val="24"/>
        </w:rPr>
      </w:pPr>
      <w:bookmarkStart w:id="64" w:name="_Toc375218721"/>
      <w:r>
        <w:rPr>
          <w:rFonts w:ascii="宋体" w:hAnsi="宋体"/>
          <w:b/>
          <w:bCs/>
          <w:sz w:val="24"/>
          <w:szCs w:val="24"/>
        </w:rPr>
        <w:t xml:space="preserve">1.1 </w:t>
      </w:r>
      <w:r>
        <w:rPr>
          <w:rFonts w:hint="eastAsia" w:ascii="宋体" w:hAnsi="宋体"/>
          <w:b/>
          <w:bCs/>
          <w:sz w:val="24"/>
          <w:szCs w:val="24"/>
        </w:rPr>
        <w:t>词语定义</w:t>
      </w:r>
      <w:bookmarkEnd w:id="64"/>
    </w:p>
    <w:p>
      <w:pPr>
        <w:rPr>
          <w:rFonts w:ascii="宋体"/>
          <w:sz w:val="24"/>
          <w:szCs w:val="24"/>
        </w:rPr>
      </w:pPr>
      <w:r>
        <w:rPr>
          <w:rFonts w:hint="eastAsia" w:ascii="宋体" w:hAnsi="宋体"/>
          <w:sz w:val="24"/>
          <w:szCs w:val="24"/>
        </w:rPr>
        <w:t xml:space="preserve">    除非合同条款专用部分另有约定，本合同中下列措词及用语应当具有本条款所赋予的含义。</w:t>
      </w:r>
    </w:p>
    <w:p>
      <w:pPr>
        <w:rPr>
          <w:rFonts w:ascii="宋体"/>
          <w:b/>
          <w:sz w:val="24"/>
          <w:szCs w:val="24"/>
        </w:rPr>
      </w:pPr>
      <w:r>
        <w:rPr>
          <w:rFonts w:ascii="宋体" w:hAnsi="宋体"/>
          <w:b/>
          <w:sz w:val="24"/>
          <w:szCs w:val="24"/>
        </w:rPr>
        <w:t>1.1.1</w:t>
      </w:r>
      <w:r>
        <w:rPr>
          <w:rFonts w:hint="eastAsia" w:ascii="宋体" w:hAnsi="宋体"/>
          <w:b/>
          <w:sz w:val="24"/>
          <w:szCs w:val="24"/>
        </w:rPr>
        <w:t>工程与货物</w:t>
      </w:r>
    </w:p>
    <w:p>
      <w:pPr>
        <w:ind w:firstLine="480" w:firstLineChars="200"/>
        <w:rPr>
          <w:rFonts w:ascii="宋体"/>
          <w:sz w:val="24"/>
          <w:szCs w:val="24"/>
        </w:rPr>
      </w:pPr>
      <w:r>
        <w:rPr>
          <w:rFonts w:ascii="宋体" w:hAnsi="宋体"/>
          <w:sz w:val="24"/>
          <w:szCs w:val="24"/>
        </w:rPr>
        <w:t>1.1.1.1</w:t>
      </w:r>
      <w:r>
        <w:rPr>
          <w:rFonts w:hint="eastAsia" w:ascii="宋体" w:hAnsi="宋体"/>
          <w:sz w:val="24"/>
          <w:szCs w:val="24"/>
        </w:rPr>
        <w:t>整体工程：指合同协议书载明的，采购人采购并由供货人提供货物用于其建设并构成其组成部分的建设工程。</w:t>
      </w:r>
    </w:p>
    <w:p>
      <w:pPr>
        <w:ind w:firstLine="480" w:firstLineChars="200"/>
        <w:rPr>
          <w:rFonts w:ascii="宋体"/>
          <w:sz w:val="24"/>
          <w:szCs w:val="24"/>
        </w:rPr>
      </w:pPr>
      <w:r>
        <w:rPr>
          <w:rFonts w:ascii="宋体" w:hAnsi="宋体"/>
          <w:sz w:val="24"/>
          <w:szCs w:val="24"/>
        </w:rPr>
        <w:t>1.1.1.2</w:t>
      </w:r>
      <w:r>
        <w:rPr>
          <w:rFonts w:hint="eastAsia" w:ascii="宋体" w:hAnsi="宋体"/>
          <w:sz w:val="24"/>
          <w:szCs w:val="24"/>
        </w:rPr>
        <w:t>采购项目：指采购人在合同协议书中约定的建设工程货物的采购事项。</w:t>
      </w:r>
    </w:p>
    <w:p>
      <w:pPr>
        <w:ind w:firstLine="480" w:firstLineChars="200"/>
        <w:rPr>
          <w:rFonts w:ascii="宋体"/>
          <w:sz w:val="24"/>
          <w:szCs w:val="24"/>
        </w:rPr>
      </w:pPr>
      <w:r>
        <w:rPr>
          <w:rFonts w:ascii="宋体" w:hAnsi="宋体"/>
          <w:sz w:val="24"/>
          <w:szCs w:val="24"/>
        </w:rPr>
        <w:t>1.1.1.3</w:t>
      </w:r>
      <w:r>
        <w:rPr>
          <w:rFonts w:hint="eastAsia" w:ascii="宋体" w:hAnsi="宋体"/>
          <w:sz w:val="24"/>
          <w:szCs w:val="24"/>
        </w:rPr>
        <w:t>货物：指供货人按照供货合同约定向采购人提供的，构成整体工程不可分割的组成部分，且为实现整体工程基本功能所必须的工程设备、材料。</w:t>
      </w:r>
    </w:p>
    <w:p>
      <w:pPr>
        <w:ind w:firstLine="480" w:firstLineChars="200"/>
        <w:rPr>
          <w:rFonts w:ascii="宋体"/>
          <w:sz w:val="24"/>
          <w:szCs w:val="24"/>
        </w:rPr>
      </w:pPr>
      <w:r>
        <w:rPr>
          <w:rFonts w:ascii="宋体" w:hAnsi="宋体"/>
          <w:sz w:val="24"/>
          <w:szCs w:val="24"/>
        </w:rPr>
        <w:t>1.1.1.4</w:t>
      </w:r>
      <w:r>
        <w:rPr>
          <w:rFonts w:hint="eastAsia" w:ascii="宋体" w:hAnsi="宋体"/>
          <w:sz w:val="24"/>
          <w:szCs w:val="24"/>
        </w:rPr>
        <w:t>服务：指供货合同约定供货人应当承担的技术服务和售后服务等与供货有关的辅助工作。</w:t>
      </w:r>
    </w:p>
    <w:p>
      <w:pPr>
        <w:ind w:firstLine="480" w:firstLineChars="200"/>
        <w:rPr>
          <w:rFonts w:ascii="宋体"/>
          <w:sz w:val="24"/>
          <w:szCs w:val="24"/>
        </w:rPr>
      </w:pPr>
      <w:r>
        <w:rPr>
          <w:rFonts w:ascii="宋体" w:hAnsi="宋体"/>
          <w:sz w:val="24"/>
          <w:szCs w:val="24"/>
        </w:rPr>
        <w:t>1.1.1.5</w:t>
      </w:r>
      <w:r>
        <w:rPr>
          <w:rFonts w:hint="eastAsia" w:ascii="宋体" w:hAnsi="宋体"/>
          <w:sz w:val="24"/>
          <w:szCs w:val="24"/>
        </w:rPr>
        <w:t>供货地点：指由采购人指定的其所购买的货物运达的场所或者合同条款专用部分约定的其他场所。</w:t>
      </w:r>
    </w:p>
    <w:p>
      <w:pPr>
        <w:ind w:firstLine="480" w:firstLineChars="200"/>
        <w:rPr>
          <w:rFonts w:ascii="宋体"/>
          <w:sz w:val="24"/>
          <w:szCs w:val="24"/>
        </w:rPr>
      </w:pPr>
      <w:r>
        <w:rPr>
          <w:rFonts w:ascii="宋体" w:hAnsi="宋体"/>
          <w:sz w:val="24"/>
          <w:szCs w:val="24"/>
        </w:rPr>
        <w:t>1.1.1.6</w:t>
      </w:r>
      <w:r>
        <w:rPr>
          <w:rFonts w:hint="eastAsia" w:ascii="宋体" w:hAnsi="宋体"/>
          <w:sz w:val="24"/>
          <w:szCs w:val="24"/>
        </w:rPr>
        <w:t>供货安装周期：指合同协议书中约定的供货人完成采购项目的期限。</w:t>
      </w:r>
    </w:p>
    <w:p>
      <w:pPr>
        <w:ind w:firstLine="480" w:firstLineChars="200"/>
        <w:rPr>
          <w:rFonts w:ascii="宋体"/>
          <w:sz w:val="24"/>
          <w:szCs w:val="24"/>
        </w:rPr>
      </w:pPr>
      <w:r>
        <w:rPr>
          <w:rFonts w:ascii="宋体" w:hAnsi="宋体"/>
          <w:sz w:val="24"/>
          <w:szCs w:val="24"/>
        </w:rPr>
        <w:t>1.1.1.7</w:t>
      </w:r>
      <w:r>
        <w:rPr>
          <w:rFonts w:hint="eastAsia" w:ascii="宋体" w:hAnsi="宋体"/>
          <w:sz w:val="24"/>
          <w:szCs w:val="24"/>
        </w:rPr>
        <w:t>质量保证期：指供货人按照国家相关法律、法规、规章、规范性文件及供货合同约定，全面履行货物质量保证的期限。</w:t>
      </w:r>
    </w:p>
    <w:p>
      <w:pPr>
        <w:rPr>
          <w:rFonts w:ascii="宋体"/>
          <w:b/>
          <w:sz w:val="24"/>
          <w:szCs w:val="24"/>
        </w:rPr>
      </w:pPr>
      <w:r>
        <w:rPr>
          <w:rFonts w:ascii="宋体" w:hAnsi="宋体"/>
          <w:b/>
          <w:sz w:val="24"/>
          <w:szCs w:val="24"/>
        </w:rPr>
        <w:t>1.1.2</w:t>
      </w:r>
      <w:r>
        <w:rPr>
          <w:rFonts w:hint="eastAsia" w:ascii="宋体" w:hAnsi="宋体"/>
          <w:b/>
          <w:sz w:val="24"/>
          <w:szCs w:val="24"/>
        </w:rPr>
        <w:t>合同</w:t>
      </w:r>
    </w:p>
    <w:p>
      <w:pPr>
        <w:ind w:firstLine="470" w:firstLineChars="196"/>
        <w:rPr>
          <w:rFonts w:ascii="宋体"/>
          <w:sz w:val="24"/>
          <w:szCs w:val="24"/>
        </w:rPr>
      </w:pPr>
      <w:r>
        <w:rPr>
          <w:rFonts w:ascii="宋体" w:hAnsi="宋体"/>
          <w:sz w:val="24"/>
          <w:szCs w:val="24"/>
        </w:rPr>
        <w:t>1.1.2.1</w:t>
      </w:r>
      <w:r>
        <w:rPr>
          <w:rFonts w:hint="eastAsia" w:ascii="宋体" w:hAnsi="宋体"/>
          <w:sz w:val="24"/>
          <w:szCs w:val="24"/>
        </w:rPr>
        <w:t>供货合同：指采购人和供货人双方当事人共同签署约定双方权利义务的文件。</w:t>
      </w:r>
    </w:p>
    <w:p>
      <w:pPr>
        <w:ind w:firstLine="470" w:firstLineChars="196"/>
        <w:rPr>
          <w:rFonts w:ascii="宋体"/>
          <w:sz w:val="24"/>
          <w:szCs w:val="24"/>
        </w:rPr>
      </w:pPr>
      <w:r>
        <w:rPr>
          <w:rFonts w:ascii="宋体" w:hAnsi="宋体"/>
          <w:sz w:val="24"/>
          <w:szCs w:val="24"/>
        </w:rPr>
        <w:t>1.1.2.2</w:t>
      </w:r>
      <w:r>
        <w:rPr>
          <w:rFonts w:hint="eastAsia" w:ascii="宋体" w:hAnsi="宋体"/>
          <w:sz w:val="24"/>
          <w:szCs w:val="24"/>
        </w:rPr>
        <w:t>合同文件：指合同协议书中所约定的构成供货合同的所有文件。</w:t>
      </w:r>
    </w:p>
    <w:p>
      <w:pPr>
        <w:ind w:firstLine="470" w:firstLineChars="196"/>
        <w:rPr>
          <w:rFonts w:ascii="宋体"/>
          <w:sz w:val="24"/>
          <w:szCs w:val="24"/>
        </w:rPr>
      </w:pPr>
      <w:r>
        <w:rPr>
          <w:rFonts w:ascii="宋体" w:hAnsi="宋体"/>
          <w:sz w:val="24"/>
          <w:szCs w:val="24"/>
        </w:rPr>
        <w:t>1.1.2.3</w:t>
      </w:r>
      <w:r>
        <w:rPr>
          <w:rFonts w:hint="eastAsia" w:ascii="宋体" w:hAnsi="宋体"/>
          <w:sz w:val="24"/>
          <w:szCs w:val="24"/>
        </w:rPr>
        <w:t>合同协议书：指由采购人和供货人共同签署的用于明确当事人合同关系的文件。</w:t>
      </w:r>
    </w:p>
    <w:p>
      <w:pPr>
        <w:ind w:firstLine="470" w:firstLineChars="196"/>
        <w:rPr>
          <w:rFonts w:ascii="宋体"/>
          <w:sz w:val="24"/>
          <w:szCs w:val="24"/>
        </w:rPr>
      </w:pPr>
      <w:r>
        <w:rPr>
          <w:rFonts w:ascii="宋体" w:hAnsi="宋体"/>
          <w:sz w:val="24"/>
          <w:szCs w:val="24"/>
        </w:rPr>
        <w:t>1.1.2.4</w:t>
      </w:r>
      <w:r>
        <w:rPr>
          <w:rFonts w:hint="eastAsia" w:ascii="宋体" w:hAnsi="宋体"/>
          <w:sz w:val="24"/>
          <w:szCs w:val="24"/>
        </w:rPr>
        <w:t>中标通知书：指采购人通知供货人中标的函件。</w:t>
      </w:r>
    </w:p>
    <w:p>
      <w:pPr>
        <w:ind w:firstLine="470" w:firstLineChars="196"/>
        <w:rPr>
          <w:rFonts w:ascii="宋体"/>
          <w:sz w:val="24"/>
          <w:szCs w:val="24"/>
        </w:rPr>
      </w:pPr>
      <w:r>
        <w:rPr>
          <w:rFonts w:ascii="宋体" w:hAnsi="宋体"/>
          <w:sz w:val="24"/>
          <w:szCs w:val="24"/>
        </w:rPr>
        <w:t>1.1.2.5</w:t>
      </w:r>
      <w:r>
        <w:rPr>
          <w:rFonts w:hint="eastAsia" w:ascii="宋体" w:hAnsi="宋体"/>
          <w:sz w:val="24"/>
          <w:szCs w:val="24"/>
        </w:rPr>
        <w:t>投标函：指构成合同文件组成部分的由供货人填写并签署的投标函。</w:t>
      </w:r>
    </w:p>
    <w:p>
      <w:pPr>
        <w:ind w:firstLine="470" w:firstLineChars="196"/>
        <w:rPr>
          <w:rFonts w:ascii="宋体"/>
          <w:sz w:val="24"/>
          <w:szCs w:val="24"/>
        </w:rPr>
      </w:pPr>
      <w:r>
        <w:rPr>
          <w:rFonts w:ascii="宋体" w:hAnsi="宋体"/>
          <w:sz w:val="24"/>
          <w:szCs w:val="24"/>
        </w:rPr>
        <w:t>1.1.2.6</w:t>
      </w:r>
      <w:r>
        <w:rPr>
          <w:rFonts w:hint="eastAsia" w:ascii="宋体" w:hAnsi="宋体"/>
          <w:sz w:val="24"/>
          <w:szCs w:val="24"/>
        </w:rPr>
        <w:t>投标函附录：指附在投标函后构成合同文件的投标函附录。</w:t>
      </w:r>
    </w:p>
    <w:p>
      <w:pPr>
        <w:ind w:firstLine="470" w:firstLineChars="196"/>
        <w:rPr>
          <w:rFonts w:ascii="宋体"/>
          <w:sz w:val="24"/>
          <w:szCs w:val="24"/>
        </w:rPr>
      </w:pPr>
      <w:r>
        <w:rPr>
          <w:rFonts w:ascii="宋体" w:hAnsi="宋体"/>
          <w:sz w:val="24"/>
          <w:szCs w:val="24"/>
        </w:rPr>
        <w:t>1.1.2.7</w:t>
      </w:r>
      <w:r>
        <w:rPr>
          <w:rFonts w:hint="eastAsia" w:ascii="宋体" w:hAnsi="宋体"/>
          <w:sz w:val="24"/>
          <w:szCs w:val="24"/>
        </w:rPr>
        <w:t>合同条款通用部分：指根据有关法律、法规规定，通用于房屋建筑和市政基础设施建设项目货物采购活动，明确合同当事人主要权利义务的文件。</w:t>
      </w:r>
    </w:p>
    <w:p>
      <w:pPr>
        <w:ind w:firstLine="420"/>
        <w:rPr>
          <w:rFonts w:ascii="宋体"/>
          <w:sz w:val="24"/>
          <w:szCs w:val="24"/>
        </w:rPr>
      </w:pPr>
      <w:r>
        <w:rPr>
          <w:rFonts w:ascii="宋体" w:hAnsi="宋体"/>
          <w:sz w:val="24"/>
          <w:szCs w:val="24"/>
        </w:rPr>
        <w:t>1.1.2.8</w:t>
      </w:r>
      <w:r>
        <w:rPr>
          <w:rFonts w:hint="eastAsia" w:ascii="宋体" w:hAnsi="宋体"/>
          <w:sz w:val="24"/>
          <w:szCs w:val="24"/>
        </w:rPr>
        <w:t>合同条款专用部分：指合同当事人根据供货合同实际需要对合同条款通用部分相关内容的具体约定、补充和修订。</w:t>
      </w:r>
    </w:p>
    <w:p>
      <w:pPr>
        <w:ind w:firstLine="420"/>
        <w:rPr>
          <w:rFonts w:ascii="宋体"/>
          <w:sz w:val="24"/>
          <w:szCs w:val="24"/>
        </w:rPr>
      </w:pPr>
      <w:r>
        <w:rPr>
          <w:rFonts w:ascii="宋体" w:hAnsi="宋体"/>
          <w:sz w:val="24"/>
          <w:szCs w:val="24"/>
        </w:rPr>
        <w:t>1.1.2.9</w:t>
      </w:r>
      <w:r>
        <w:rPr>
          <w:rFonts w:hint="eastAsia" w:ascii="宋体" w:hAnsi="宋体"/>
          <w:sz w:val="24"/>
          <w:szCs w:val="24"/>
        </w:rPr>
        <w:t>投标报价表：指构成合同文件组成部分的，由供货人按照规定的格式和要求填写并标明价格的投标报价表。</w:t>
      </w:r>
    </w:p>
    <w:p>
      <w:pPr>
        <w:ind w:firstLine="420"/>
        <w:rPr>
          <w:rFonts w:ascii="宋体"/>
          <w:sz w:val="24"/>
          <w:szCs w:val="24"/>
        </w:rPr>
      </w:pPr>
      <w:r>
        <w:rPr>
          <w:rFonts w:ascii="宋体" w:hAnsi="宋体"/>
          <w:sz w:val="24"/>
          <w:szCs w:val="24"/>
        </w:rPr>
        <w:t>1.1.2.10</w:t>
      </w:r>
      <w:r>
        <w:rPr>
          <w:rFonts w:hint="eastAsia" w:ascii="宋体" w:hAnsi="宋体"/>
          <w:sz w:val="24"/>
          <w:szCs w:val="24"/>
        </w:rPr>
        <w:t>技术响应资料：指构成合同文件组成部分的，由供货人按照规定的格式和要求填写的技术响应资料。</w:t>
      </w:r>
    </w:p>
    <w:p>
      <w:pPr>
        <w:ind w:firstLine="420"/>
        <w:rPr>
          <w:rFonts w:ascii="宋体"/>
          <w:sz w:val="24"/>
          <w:szCs w:val="24"/>
        </w:rPr>
      </w:pPr>
      <w:r>
        <w:rPr>
          <w:rFonts w:ascii="宋体" w:hAnsi="宋体"/>
          <w:sz w:val="24"/>
          <w:szCs w:val="24"/>
        </w:rPr>
        <w:t>1.1.2.11</w:t>
      </w:r>
      <w:r>
        <w:rPr>
          <w:rFonts w:hint="eastAsia" w:ascii="宋体" w:hAnsi="宋体"/>
          <w:sz w:val="24"/>
          <w:szCs w:val="24"/>
        </w:rPr>
        <w:t>技术标准和要求：指根据采购项目的的实际情况，用以明确采购内容及范围、技术标准、技术要求、服务要求、相关图纸等内容的文件。</w:t>
      </w:r>
    </w:p>
    <w:p>
      <w:pPr>
        <w:ind w:firstLine="420"/>
        <w:rPr>
          <w:rFonts w:ascii="宋体"/>
          <w:sz w:val="24"/>
          <w:szCs w:val="24"/>
        </w:rPr>
      </w:pPr>
      <w:r>
        <w:rPr>
          <w:rFonts w:ascii="宋体" w:hAnsi="宋体"/>
          <w:sz w:val="24"/>
          <w:szCs w:val="24"/>
        </w:rPr>
        <w:t>1.1.2.12</w:t>
      </w:r>
      <w:r>
        <w:rPr>
          <w:rFonts w:hint="eastAsia" w:ascii="宋体" w:hAnsi="宋体"/>
          <w:sz w:val="24"/>
          <w:szCs w:val="24"/>
        </w:rPr>
        <w:t>其他合同文件：指经合同双方当事人确认构成合同文件的其他文件。</w:t>
      </w:r>
    </w:p>
    <w:p>
      <w:pPr>
        <w:rPr>
          <w:rFonts w:ascii="宋体"/>
          <w:b/>
          <w:sz w:val="24"/>
          <w:szCs w:val="24"/>
        </w:rPr>
      </w:pPr>
      <w:r>
        <w:rPr>
          <w:rFonts w:ascii="宋体" w:hAnsi="宋体"/>
          <w:b/>
          <w:sz w:val="24"/>
          <w:szCs w:val="24"/>
        </w:rPr>
        <w:t>1.1.3</w:t>
      </w:r>
      <w:r>
        <w:rPr>
          <w:rFonts w:hint="eastAsia" w:ascii="宋体" w:hAnsi="宋体"/>
          <w:b/>
          <w:sz w:val="24"/>
          <w:szCs w:val="24"/>
        </w:rPr>
        <w:t>合同当事人</w:t>
      </w:r>
    </w:p>
    <w:p>
      <w:pPr>
        <w:ind w:firstLine="470" w:firstLineChars="196"/>
        <w:rPr>
          <w:rFonts w:ascii="宋体"/>
          <w:sz w:val="24"/>
          <w:szCs w:val="24"/>
        </w:rPr>
      </w:pPr>
      <w:r>
        <w:rPr>
          <w:rFonts w:ascii="宋体" w:hAnsi="宋体"/>
          <w:sz w:val="24"/>
          <w:szCs w:val="24"/>
        </w:rPr>
        <w:t>1.1.3.1</w:t>
      </w:r>
      <w:r>
        <w:rPr>
          <w:rFonts w:hint="eastAsia" w:ascii="宋体" w:hAnsi="宋体"/>
          <w:sz w:val="24"/>
          <w:szCs w:val="24"/>
        </w:rPr>
        <w:t>采购人：指合同协议书中载明的，具有采购约定货物及服务的主体资格，并具有支付合同价款能力的当事人以及取得该当事人资格的合法继承人。</w:t>
      </w:r>
    </w:p>
    <w:p>
      <w:pPr>
        <w:ind w:firstLine="470" w:firstLineChars="196"/>
        <w:rPr>
          <w:rFonts w:ascii="宋体"/>
          <w:sz w:val="24"/>
          <w:szCs w:val="24"/>
        </w:rPr>
      </w:pPr>
      <w:r>
        <w:rPr>
          <w:rFonts w:ascii="宋体" w:hAnsi="宋体"/>
          <w:sz w:val="24"/>
          <w:szCs w:val="24"/>
        </w:rPr>
        <w:t>1.1.3.2</w:t>
      </w:r>
      <w:r>
        <w:rPr>
          <w:rFonts w:hint="eastAsia" w:ascii="宋体" w:hAnsi="宋体"/>
          <w:sz w:val="24"/>
          <w:szCs w:val="24"/>
        </w:rPr>
        <w:t>供货人：指合同协议书中载明的，具有提供约定货物及服务的主体资格的当事人以及取得该当事人资格的合法继承人。</w:t>
      </w:r>
    </w:p>
    <w:p>
      <w:pPr>
        <w:rPr>
          <w:rFonts w:ascii="宋体"/>
          <w:b/>
          <w:sz w:val="24"/>
          <w:szCs w:val="24"/>
        </w:rPr>
      </w:pPr>
      <w:r>
        <w:rPr>
          <w:rFonts w:ascii="宋体" w:hAnsi="宋体"/>
          <w:b/>
          <w:sz w:val="24"/>
          <w:szCs w:val="24"/>
        </w:rPr>
        <w:t>1.1.4</w:t>
      </w:r>
      <w:r>
        <w:rPr>
          <w:rFonts w:hint="eastAsia" w:ascii="宋体" w:hAnsi="宋体"/>
          <w:b/>
          <w:sz w:val="24"/>
          <w:szCs w:val="24"/>
        </w:rPr>
        <w:t>其他</w:t>
      </w:r>
    </w:p>
    <w:p>
      <w:pPr>
        <w:ind w:firstLine="420"/>
        <w:rPr>
          <w:rFonts w:ascii="宋体"/>
          <w:sz w:val="24"/>
          <w:szCs w:val="24"/>
        </w:rPr>
      </w:pPr>
      <w:r>
        <w:rPr>
          <w:rFonts w:ascii="宋体" w:hAnsi="宋体"/>
          <w:sz w:val="24"/>
          <w:szCs w:val="24"/>
        </w:rPr>
        <w:t>1.1.4.1</w:t>
      </w:r>
      <w:r>
        <w:rPr>
          <w:rFonts w:hint="eastAsia" w:ascii="宋体" w:hAnsi="宋体"/>
          <w:sz w:val="24"/>
          <w:szCs w:val="24"/>
        </w:rPr>
        <w:t>天：除特别指明外，指日历天。合同中按天计算时间的，开始当天不计入，从次日开始计算。期限最后一天的截止时间为当天</w:t>
      </w:r>
      <w:r>
        <w:rPr>
          <w:rFonts w:ascii="宋体" w:hAnsi="宋体"/>
          <w:sz w:val="24"/>
          <w:szCs w:val="24"/>
        </w:rPr>
        <w:t>24:00</w:t>
      </w:r>
      <w:r>
        <w:rPr>
          <w:rFonts w:hint="eastAsia" w:ascii="宋体" w:hAnsi="宋体"/>
          <w:sz w:val="24"/>
          <w:szCs w:val="24"/>
        </w:rPr>
        <w:t>。</w:t>
      </w:r>
    </w:p>
    <w:p>
      <w:pPr>
        <w:ind w:firstLine="420"/>
        <w:rPr>
          <w:rFonts w:ascii="宋体"/>
          <w:sz w:val="24"/>
          <w:szCs w:val="24"/>
        </w:rPr>
      </w:pPr>
      <w:r>
        <w:rPr>
          <w:rFonts w:ascii="宋体" w:hAnsi="宋体"/>
          <w:sz w:val="24"/>
          <w:szCs w:val="24"/>
        </w:rPr>
        <w:t>1.1.4.2</w:t>
      </w:r>
      <w:r>
        <w:rPr>
          <w:rFonts w:hint="eastAsia" w:ascii="宋体" w:hAnsi="宋体"/>
          <w:sz w:val="24"/>
          <w:szCs w:val="24"/>
        </w:rPr>
        <w:t>签约合同价款：指采购人和供货人在本供货合同协议书中约定的签约合同价款。</w:t>
      </w:r>
    </w:p>
    <w:p>
      <w:pPr>
        <w:ind w:firstLine="480" w:firstLineChars="200"/>
        <w:rPr>
          <w:rFonts w:ascii="宋体"/>
          <w:sz w:val="24"/>
          <w:szCs w:val="24"/>
        </w:rPr>
      </w:pPr>
      <w:r>
        <w:rPr>
          <w:rFonts w:ascii="宋体" w:hAnsi="宋体"/>
          <w:sz w:val="24"/>
          <w:szCs w:val="24"/>
        </w:rPr>
        <w:t>1.1.4.3</w:t>
      </w:r>
      <w:r>
        <w:rPr>
          <w:rFonts w:hint="eastAsia" w:ascii="宋体" w:hAnsi="宋体"/>
          <w:sz w:val="24"/>
          <w:szCs w:val="24"/>
        </w:rPr>
        <w:t>合同价款：指采购人用以支付供货人按照合同文件约定完成采购范围内全部工作并承担质量保证责任的款项，包括签约合同价款以及根据合同文件约定对其进行的调整。</w:t>
      </w:r>
    </w:p>
    <w:p>
      <w:pPr>
        <w:ind w:firstLine="480" w:firstLineChars="200"/>
        <w:rPr>
          <w:rFonts w:ascii="宋体"/>
          <w:sz w:val="24"/>
          <w:szCs w:val="24"/>
        </w:rPr>
      </w:pPr>
      <w:r>
        <w:rPr>
          <w:rFonts w:ascii="宋体" w:hAnsi="宋体"/>
          <w:sz w:val="24"/>
          <w:szCs w:val="24"/>
        </w:rPr>
        <w:t>1.1.4.4</w:t>
      </w:r>
      <w:r>
        <w:rPr>
          <w:rFonts w:hint="eastAsia" w:ascii="宋体" w:hAnsi="宋体"/>
          <w:sz w:val="24"/>
          <w:szCs w:val="24"/>
        </w:rPr>
        <w:t>违约责任：指合同一方不履行合同义务或履行合同义务不符合约定所应当承担的责任。</w:t>
      </w:r>
    </w:p>
    <w:p>
      <w:pPr>
        <w:ind w:firstLine="480" w:firstLineChars="200"/>
        <w:rPr>
          <w:rFonts w:ascii="宋体"/>
          <w:sz w:val="24"/>
          <w:szCs w:val="24"/>
        </w:rPr>
      </w:pPr>
      <w:r>
        <w:rPr>
          <w:rFonts w:ascii="宋体" w:hAnsi="宋体"/>
          <w:sz w:val="24"/>
          <w:szCs w:val="24"/>
        </w:rPr>
        <w:t>1.1.4.5</w:t>
      </w:r>
      <w:r>
        <w:rPr>
          <w:rFonts w:hint="eastAsia" w:ascii="宋体" w:hAnsi="宋体"/>
          <w:sz w:val="24"/>
          <w:szCs w:val="24"/>
        </w:rPr>
        <w:t>不可抗力：指不能预见、不能避免且不能克服的客观情况。</w:t>
      </w:r>
    </w:p>
    <w:p>
      <w:pPr>
        <w:rPr>
          <w:rFonts w:ascii="宋体"/>
          <w:b/>
          <w:sz w:val="24"/>
          <w:szCs w:val="24"/>
        </w:rPr>
      </w:pPr>
      <w:r>
        <w:rPr>
          <w:rFonts w:ascii="宋体" w:hAnsi="宋体"/>
          <w:b/>
          <w:sz w:val="24"/>
          <w:szCs w:val="24"/>
        </w:rPr>
        <w:t>1.1.5</w:t>
      </w:r>
      <w:r>
        <w:rPr>
          <w:rFonts w:hint="eastAsia" w:ascii="宋体" w:hAnsi="宋体"/>
          <w:b/>
          <w:sz w:val="24"/>
          <w:szCs w:val="24"/>
        </w:rPr>
        <w:t>本合同涉及的其他词语定义见合同条款专用部分。</w:t>
      </w:r>
    </w:p>
    <w:p>
      <w:pPr>
        <w:rPr>
          <w:rFonts w:ascii="宋体"/>
          <w:b/>
          <w:bCs/>
          <w:sz w:val="24"/>
          <w:szCs w:val="24"/>
        </w:rPr>
      </w:pPr>
      <w:bookmarkStart w:id="65" w:name="_Toc375218722"/>
      <w:r>
        <w:rPr>
          <w:rFonts w:ascii="宋体" w:hAnsi="宋体"/>
          <w:b/>
          <w:bCs/>
          <w:sz w:val="24"/>
          <w:szCs w:val="24"/>
        </w:rPr>
        <w:t>1.2</w:t>
      </w:r>
      <w:r>
        <w:rPr>
          <w:rFonts w:hint="eastAsia" w:ascii="宋体" w:hAnsi="宋体"/>
          <w:b/>
          <w:bCs/>
          <w:sz w:val="24"/>
          <w:szCs w:val="24"/>
        </w:rPr>
        <w:t>解释</w:t>
      </w:r>
      <w:bookmarkEnd w:id="65"/>
    </w:p>
    <w:p>
      <w:pPr>
        <w:ind w:firstLine="480" w:firstLineChars="200"/>
        <w:rPr>
          <w:rFonts w:ascii="宋体"/>
          <w:sz w:val="24"/>
          <w:szCs w:val="24"/>
        </w:rPr>
      </w:pPr>
      <w:r>
        <w:rPr>
          <w:rFonts w:hint="eastAsia" w:ascii="宋体" w:hAnsi="宋体"/>
          <w:sz w:val="24"/>
          <w:szCs w:val="24"/>
        </w:rPr>
        <w:t>凡指当事人或当事人各方的词语，均指具有相应民事权利能力和民事行为能力的法人或其他组织，即采购人和供货人。</w:t>
      </w:r>
    </w:p>
    <w:p>
      <w:pPr>
        <w:ind w:firstLine="480" w:firstLineChars="200"/>
        <w:rPr>
          <w:rFonts w:ascii="宋体"/>
          <w:sz w:val="24"/>
          <w:szCs w:val="24"/>
        </w:rPr>
      </w:pPr>
      <w:r>
        <w:rPr>
          <w:rFonts w:hint="eastAsia" w:ascii="宋体" w:hAnsi="宋体"/>
          <w:sz w:val="24"/>
          <w:szCs w:val="24"/>
        </w:rPr>
        <w:t>本供货合同条款及其他合同文件中出现的标题只起索引和内容提示作用，标题本身不构成合同文件的一部分，在对合同文件进行解释时不应当考虑。</w:t>
      </w:r>
    </w:p>
    <w:p>
      <w:pPr>
        <w:ind w:firstLine="480" w:firstLineChars="200"/>
        <w:rPr>
          <w:rFonts w:ascii="宋体"/>
          <w:sz w:val="24"/>
          <w:szCs w:val="24"/>
        </w:rPr>
      </w:pPr>
      <w:r>
        <w:rPr>
          <w:rFonts w:hint="eastAsia" w:ascii="宋体" w:hAnsi="宋体"/>
          <w:sz w:val="24"/>
          <w:szCs w:val="24"/>
        </w:rPr>
        <w:t>除非有特别指明是合同条款专用部分，凡合同文件中对合同条款编号的引用，无论是否已指明是合同条款通用部分，均是指合同条款通用部分，包括合同条款专用部分中对其的补充和修订。</w:t>
      </w:r>
    </w:p>
    <w:p>
      <w:pPr>
        <w:rPr>
          <w:rFonts w:ascii="宋体"/>
          <w:b/>
          <w:bCs/>
          <w:sz w:val="24"/>
          <w:szCs w:val="24"/>
        </w:rPr>
      </w:pPr>
      <w:bookmarkStart w:id="66" w:name="_Toc375218723"/>
      <w:r>
        <w:rPr>
          <w:rFonts w:ascii="宋体" w:hAnsi="宋体"/>
          <w:b/>
          <w:bCs/>
          <w:sz w:val="24"/>
          <w:szCs w:val="24"/>
        </w:rPr>
        <w:t>1.3</w:t>
      </w:r>
      <w:r>
        <w:rPr>
          <w:rFonts w:hint="eastAsia" w:ascii="宋体" w:hAnsi="宋体"/>
          <w:b/>
          <w:bCs/>
          <w:sz w:val="24"/>
          <w:szCs w:val="24"/>
        </w:rPr>
        <w:t>书面形式</w:t>
      </w:r>
      <w:bookmarkEnd w:id="66"/>
    </w:p>
    <w:p>
      <w:pPr>
        <w:ind w:firstLine="480" w:firstLineChars="200"/>
        <w:rPr>
          <w:rFonts w:ascii="宋体"/>
          <w:sz w:val="24"/>
          <w:szCs w:val="24"/>
        </w:rPr>
      </w:pPr>
      <w:r>
        <w:rPr>
          <w:rFonts w:hint="eastAsia" w:ascii="宋体" w:hAnsi="宋体"/>
          <w:sz w:val="24"/>
          <w:szCs w:val="24"/>
        </w:rPr>
        <w:t>书面形式，是指手写、打字或印刷等可以有形地表现所载内容的形式。</w:t>
      </w:r>
    </w:p>
    <w:p>
      <w:pPr>
        <w:ind w:firstLine="480" w:firstLineChars="200"/>
        <w:rPr>
          <w:rFonts w:ascii="宋体"/>
          <w:sz w:val="24"/>
          <w:szCs w:val="24"/>
        </w:rPr>
      </w:pPr>
      <w:r>
        <w:rPr>
          <w:rFonts w:hint="eastAsia" w:ascii="宋体" w:hAnsi="宋体"/>
          <w:sz w:val="24"/>
          <w:szCs w:val="24"/>
        </w:rPr>
        <w:t>除非合同文件另有约定，上述第</w:t>
      </w:r>
      <w:r>
        <w:rPr>
          <w:rFonts w:ascii="宋体" w:hAnsi="宋体"/>
          <w:sz w:val="24"/>
          <w:szCs w:val="24"/>
        </w:rPr>
        <w:t>1.1.2.2</w:t>
      </w:r>
      <w:r>
        <w:rPr>
          <w:rFonts w:hint="eastAsia" w:ascii="宋体" w:hAnsi="宋体"/>
          <w:sz w:val="24"/>
          <w:szCs w:val="24"/>
        </w:rPr>
        <w:t>目所包含合同文件均应当是书面形式，合同文件中的任何条款所述及的由任何人所发出或颁发的任何通知、批准、证明、证书、指示、要求、请求、同意、意见、确定和决定等，均应当是书面形式。</w:t>
      </w:r>
    </w:p>
    <w:p>
      <w:pPr>
        <w:ind w:firstLine="480" w:firstLineChars="200"/>
        <w:rPr>
          <w:rFonts w:ascii="宋体"/>
          <w:sz w:val="24"/>
          <w:szCs w:val="24"/>
        </w:rPr>
      </w:pPr>
      <w:r>
        <w:rPr>
          <w:rFonts w:hint="eastAsia" w:ascii="宋体" w:hAnsi="宋体"/>
          <w:sz w:val="24"/>
          <w:szCs w:val="24"/>
        </w:rPr>
        <w:t>除非合同文件另有约定，任何书面形式的通知、指示、同意、批准、证书及决定等，应当由人工送达并取得书面签收，或通过邮寄并保存邮局的邮寄证明，并不应当被无故扣押或拖延。</w:t>
      </w:r>
    </w:p>
    <w:p>
      <w:pPr>
        <w:ind w:firstLine="480" w:firstLineChars="200"/>
        <w:rPr>
          <w:rFonts w:ascii="宋体"/>
          <w:sz w:val="24"/>
          <w:szCs w:val="24"/>
        </w:rPr>
      </w:pPr>
      <w:r>
        <w:rPr>
          <w:rFonts w:hint="eastAsia" w:ascii="宋体" w:hAnsi="宋体"/>
          <w:sz w:val="24"/>
          <w:szCs w:val="24"/>
        </w:rPr>
        <w:t>此类书面表达的通知、指示、同意、批准、证书及决定等的送达地址等见合同条款专用部分。</w:t>
      </w:r>
      <w:bookmarkStart w:id="67" w:name="_Toc218048964"/>
      <w:bookmarkStart w:id="68" w:name="_Toc218048784"/>
      <w:bookmarkStart w:id="69" w:name="_Toc217443920"/>
    </w:p>
    <w:p>
      <w:pPr>
        <w:rPr>
          <w:rFonts w:ascii="宋体"/>
          <w:b/>
          <w:bCs/>
          <w:sz w:val="24"/>
          <w:szCs w:val="24"/>
        </w:rPr>
      </w:pPr>
      <w:bookmarkStart w:id="70" w:name="_Toc256955331"/>
      <w:bookmarkStart w:id="71" w:name="_Toc375218724"/>
      <w:r>
        <w:rPr>
          <w:rFonts w:ascii="宋体" w:hAnsi="宋体"/>
          <w:b/>
          <w:bCs/>
          <w:sz w:val="24"/>
          <w:szCs w:val="24"/>
        </w:rPr>
        <w:t>1.4</w:t>
      </w:r>
      <w:r>
        <w:rPr>
          <w:rFonts w:hint="eastAsia" w:ascii="宋体" w:hAnsi="宋体"/>
          <w:b/>
          <w:bCs/>
          <w:sz w:val="24"/>
          <w:szCs w:val="24"/>
        </w:rPr>
        <w:t>语言和文字</w:t>
      </w:r>
      <w:bookmarkEnd w:id="67"/>
      <w:bookmarkEnd w:id="68"/>
      <w:bookmarkEnd w:id="69"/>
      <w:bookmarkEnd w:id="70"/>
      <w:bookmarkEnd w:id="71"/>
    </w:p>
    <w:p>
      <w:pPr>
        <w:ind w:firstLine="480" w:firstLineChars="200"/>
        <w:rPr>
          <w:rFonts w:ascii="宋体"/>
          <w:sz w:val="24"/>
          <w:szCs w:val="24"/>
        </w:rPr>
      </w:pPr>
      <w:r>
        <w:rPr>
          <w:rFonts w:hint="eastAsia" w:ascii="宋体" w:hAnsi="宋体"/>
          <w:sz w:val="24"/>
          <w:szCs w:val="24"/>
        </w:rPr>
        <w:t>除非合同文件另有约定，本供货合同的所有合同文件的制订、解释和说明，均应当使用中文。如果合同文件中使用了非中文的文本，提供该合同文件的一方应当同时提供中文的翻译文本，并应当按照翻译文本对该合同文件进行理解、解释和执行。</w:t>
      </w:r>
      <w:bookmarkStart w:id="72" w:name="_Toc218048785"/>
      <w:bookmarkStart w:id="73" w:name="_Toc218048965"/>
      <w:bookmarkStart w:id="74" w:name="_Toc217443921"/>
    </w:p>
    <w:p>
      <w:pPr>
        <w:rPr>
          <w:rFonts w:ascii="宋体"/>
          <w:b/>
          <w:bCs/>
          <w:sz w:val="24"/>
          <w:szCs w:val="24"/>
        </w:rPr>
      </w:pPr>
      <w:bookmarkStart w:id="75" w:name="_Toc375218725"/>
      <w:bookmarkStart w:id="76" w:name="_Toc256955332"/>
      <w:r>
        <w:rPr>
          <w:rFonts w:ascii="宋体" w:hAnsi="宋体"/>
          <w:b/>
          <w:bCs/>
          <w:sz w:val="24"/>
          <w:szCs w:val="24"/>
        </w:rPr>
        <w:t>1.5</w:t>
      </w:r>
      <w:r>
        <w:rPr>
          <w:rFonts w:hint="eastAsia" w:ascii="宋体" w:hAnsi="宋体"/>
          <w:b/>
          <w:bCs/>
          <w:sz w:val="24"/>
          <w:szCs w:val="24"/>
        </w:rPr>
        <w:t>合同文件的组成及解释顺序</w:t>
      </w:r>
      <w:bookmarkEnd w:id="72"/>
      <w:bookmarkEnd w:id="73"/>
      <w:bookmarkEnd w:id="74"/>
      <w:bookmarkEnd w:id="75"/>
      <w:bookmarkEnd w:id="76"/>
    </w:p>
    <w:p>
      <w:pPr>
        <w:ind w:firstLine="480" w:firstLineChars="200"/>
        <w:rPr>
          <w:rFonts w:ascii="宋体"/>
          <w:sz w:val="24"/>
          <w:szCs w:val="24"/>
        </w:rPr>
      </w:pPr>
      <w:r>
        <w:rPr>
          <w:rFonts w:hint="eastAsia" w:ascii="宋体" w:hAnsi="宋体"/>
          <w:sz w:val="24"/>
          <w:szCs w:val="24"/>
        </w:rPr>
        <w:t>构成本供货合同的合同文件之间应当能相互说明和相互补充。除非合同文件另有约定，合同文件的组成及解释顺序如下：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）合同协议书；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）中标通知书；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）投标函及其附录；</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）合同条款通用部分；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）投标报价表；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）技术响应资料；</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）技术标准和要求；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）其他合同文件，见合同条款专用部分规定。</w:t>
      </w:r>
    </w:p>
    <w:p>
      <w:pPr>
        <w:ind w:firstLine="480" w:firstLineChars="200"/>
        <w:rPr>
          <w:rFonts w:ascii="宋体"/>
          <w:sz w:val="24"/>
          <w:szCs w:val="24"/>
        </w:rPr>
      </w:pPr>
      <w:r>
        <w:rPr>
          <w:rFonts w:hint="eastAsia" w:ascii="宋体" w:hAnsi="宋体"/>
          <w:sz w:val="24"/>
          <w:szCs w:val="24"/>
        </w:rPr>
        <w:t>双方在本供货合同履行中所共同签署或认可的符合现行法律、法规、规章及规范性文件，且符合本供货合同实质性约定的指令、洽商、纪要或同类性质的文件，均构成合同文件的有效补充。</w:t>
      </w:r>
    </w:p>
    <w:p>
      <w:pPr>
        <w:rPr>
          <w:rFonts w:ascii="宋体"/>
          <w:b/>
          <w:bCs/>
          <w:sz w:val="24"/>
          <w:szCs w:val="24"/>
        </w:rPr>
      </w:pPr>
      <w:bookmarkStart w:id="77" w:name="_Toc375218726"/>
      <w:bookmarkStart w:id="78" w:name="_Toc218048966"/>
      <w:bookmarkStart w:id="79" w:name="_Toc217443922"/>
      <w:bookmarkStart w:id="80" w:name="_Toc218048786"/>
      <w:bookmarkStart w:id="81" w:name="_Toc256955333"/>
      <w:r>
        <w:rPr>
          <w:rFonts w:ascii="宋体" w:hAnsi="宋体"/>
          <w:b/>
          <w:bCs/>
          <w:sz w:val="24"/>
          <w:szCs w:val="24"/>
        </w:rPr>
        <w:t>1.6</w:t>
      </w:r>
      <w:r>
        <w:rPr>
          <w:rFonts w:hint="eastAsia" w:ascii="宋体" w:hAnsi="宋体"/>
          <w:b/>
          <w:bCs/>
          <w:sz w:val="24"/>
          <w:szCs w:val="24"/>
        </w:rPr>
        <w:t>适用法律和法规</w:t>
      </w:r>
      <w:bookmarkEnd w:id="77"/>
      <w:bookmarkEnd w:id="78"/>
      <w:bookmarkEnd w:id="79"/>
      <w:bookmarkEnd w:id="80"/>
      <w:bookmarkEnd w:id="81"/>
    </w:p>
    <w:p>
      <w:pPr>
        <w:ind w:firstLine="480" w:firstLineChars="200"/>
        <w:rPr>
          <w:rFonts w:ascii="宋体"/>
          <w:sz w:val="24"/>
          <w:szCs w:val="24"/>
        </w:rPr>
      </w:pPr>
      <w:r>
        <w:rPr>
          <w:rFonts w:hint="eastAsia" w:ascii="宋体" w:hAnsi="宋体"/>
          <w:sz w:val="24"/>
          <w:szCs w:val="24"/>
        </w:rPr>
        <w:t>本供货合同适用国家法律、行政法规及北京市地方法规。除非合同文件另有约定，国家及北京市建设行政主管部门制定的规章和规范性文件也适用于本供货合同。</w:t>
      </w:r>
    </w:p>
    <w:p>
      <w:pPr>
        <w:rPr>
          <w:rFonts w:ascii="宋体"/>
          <w:b/>
          <w:bCs/>
          <w:sz w:val="24"/>
          <w:szCs w:val="24"/>
        </w:rPr>
      </w:pPr>
      <w:bookmarkStart w:id="82" w:name="_Toc375218727"/>
      <w:r>
        <w:rPr>
          <w:rFonts w:ascii="宋体" w:hAnsi="宋体"/>
          <w:b/>
          <w:bCs/>
          <w:sz w:val="24"/>
          <w:szCs w:val="24"/>
        </w:rPr>
        <w:t>1.7</w:t>
      </w:r>
      <w:r>
        <w:rPr>
          <w:rFonts w:hint="eastAsia" w:ascii="宋体" w:hAnsi="宋体"/>
          <w:b/>
          <w:bCs/>
          <w:sz w:val="24"/>
          <w:szCs w:val="24"/>
        </w:rPr>
        <w:t>技术标准和要求</w:t>
      </w:r>
      <w:bookmarkEnd w:id="82"/>
    </w:p>
    <w:p>
      <w:pPr>
        <w:ind w:firstLine="480" w:firstLineChars="200"/>
        <w:rPr>
          <w:rFonts w:ascii="宋体"/>
          <w:sz w:val="24"/>
          <w:szCs w:val="24"/>
        </w:rPr>
      </w:pPr>
      <w:r>
        <w:rPr>
          <w:rFonts w:hint="eastAsia" w:ascii="宋体" w:hAnsi="宋体"/>
          <w:sz w:val="24"/>
          <w:szCs w:val="24"/>
        </w:rPr>
        <w:t>供货人按照合同文件约定的“技术标准和要求”执行。除已在技术响应资料中明示并取得采购人认可的偏差外，供货人如果更改本采购项目“技术标准和要求”，应当事先获得采购人书面形式认可。</w:t>
      </w:r>
    </w:p>
    <w:p>
      <w:pPr>
        <w:ind w:firstLine="480" w:firstLineChars="200"/>
        <w:rPr>
          <w:rFonts w:ascii="宋体"/>
          <w:sz w:val="24"/>
          <w:szCs w:val="24"/>
        </w:rPr>
      </w:pPr>
      <w:r>
        <w:rPr>
          <w:rFonts w:hint="eastAsia" w:ascii="宋体" w:hAnsi="宋体"/>
          <w:sz w:val="24"/>
          <w:szCs w:val="24"/>
        </w:rPr>
        <w:t>如果“技术标准和要求”中出现国外规范或标准，采购人应当向供货人提供中文译本，除非合同文件另有约定，与此有关的购买和翻译等费用由采购人承担。</w:t>
      </w:r>
    </w:p>
    <w:p>
      <w:pPr>
        <w:ind w:firstLine="480" w:firstLineChars="200"/>
        <w:rPr>
          <w:rFonts w:ascii="宋体"/>
          <w:sz w:val="24"/>
          <w:szCs w:val="24"/>
        </w:rPr>
      </w:pPr>
      <w:r>
        <w:rPr>
          <w:rFonts w:hint="eastAsia" w:ascii="宋体" w:hAnsi="宋体"/>
          <w:sz w:val="24"/>
          <w:szCs w:val="24"/>
        </w:rPr>
        <w:t>如果“技术标准和要求”各条款相互之间存在矛盾，供货人应当遵循较严格的规定，相关费用已包括在合同价款内。</w:t>
      </w:r>
    </w:p>
    <w:p>
      <w:pPr>
        <w:rPr>
          <w:rFonts w:ascii="宋体"/>
          <w:b/>
          <w:bCs/>
          <w:sz w:val="24"/>
          <w:szCs w:val="24"/>
        </w:rPr>
      </w:pPr>
      <w:bookmarkStart w:id="83" w:name="_Toc218048788"/>
      <w:bookmarkStart w:id="84" w:name="_Toc218048968"/>
      <w:bookmarkStart w:id="85" w:name="_Toc217443924"/>
      <w:bookmarkStart w:id="86" w:name="_Toc256955335"/>
      <w:bookmarkStart w:id="87" w:name="_Toc375218728"/>
      <w:r>
        <w:rPr>
          <w:rFonts w:ascii="宋体" w:hAnsi="宋体"/>
          <w:b/>
          <w:bCs/>
          <w:sz w:val="24"/>
          <w:szCs w:val="24"/>
        </w:rPr>
        <w:t>1.8</w:t>
      </w:r>
      <w:r>
        <w:rPr>
          <w:rFonts w:hint="eastAsia" w:ascii="宋体" w:hAnsi="宋体"/>
          <w:b/>
          <w:bCs/>
          <w:sz w:val="24"/>
          <w:szCs w:val="24"/>
        </w:rPr>
        <w:t>图纸</w:t>
      </w:r>
      <w:bookmarkEnd w:id="83"/>
      <w:bookmarkEnd w:id="84"/>
      <w:bookmarkEnd w:id="85"/>
      <w:bookmarkEnd w:id="86"/>
      <w:bookmarkEnd w:id="87"/>
    </w:p>
    <w:p>
      <w:pPr>
        <w:rPr>
          <w:rFonts w:ascii="宋体"/>
          <w:b/>
          <w:sz w:val="24"/>
          <w:szCs w:val="24"/>
        </w:rPr>
      </w:pPr>
      <w:r>
        <w:rPr>
          <w:rFonts w:ascii="宋体" w:hAnsi="宋体"/>
          <w:b/>
          <w:sz w:val="24"/>
          <w:szCs w:val="24"/>
        </w:rPr>
        <w:t>1.8.1</w:t>
      </w:r>
      <w:r>
        <w:rPr>
          <w:rFonts w:hint="eastAsia" w:ascii="宋体" w:hAnsi="宋体"/>
          <w:b/>
          <w:sz w:val="24"/>
          <w:szCs w:val="24"/>
        </w:rPr>
        <w:t>图纸</w:t>
      </w:r>
    </w:p>
    <w:p>
      <w:pPr>
        <w:ind w:firstLine="480" w:firstLineChars="200"/>
        <w:rPr>
          <w:rFonts w:ascii="宋体"/>
          <w:sz w:val="24"/>
          <w:szCs w:val="24"/>
        </w:rPr>
      </w:pPr>
      <w:r>
        <w:rPr>
          <w:rFonts w:hint="eastAsia" w:ascii="宋体" w:hAnsi="宋体"/>
          <w:sz w:val="24"/>
          <w:szCs w:val="24"/>
        </w:rPr>
        <w:t>采购人应当按照合同文件约定向供货人提供图纸，提供图纸的日期及图纸套数见合同条款专用部分。</w:t>
      </w:r>
    </w:p>
    <w:p>
      <w:pPr>
        <w:ind w:firstLine="480" w:firstLineChars="200"/>
        <w:rPr>
          <w:rFonts w:ascii="宋体"/>
          <w:sz w:val="24"/>
          <w:szCs w:val="24"/>
        </w:rPr>
      </w:pPr>
      <w:r>
        <w:rPr>
          <w:rFonts w:hint="eastAsia" w:ascii="宋体" w:hAnsi="宋体"/>
          <w:sz w:val="24"/>
          <w:szCs w:val="24"/>
        </w:rPr>
        <w:t>采购人所提供的图纸套数无法满足需要时，由供货人自费复制。</w:t>
      </w:r>
    </w:p>
    <w:p>
      <w:pPr>
        <w:ind w:firstLine="480" w:firstLineChars="200"/>
        <w:rPr>
          <w:rFonts w:ascii="宋体"/>
          <w:sz w:val="24"/>
          <w:szCs w:val="24"/>
        </w:rPr>
      </w:pPr>
      <w:r>
        <w:rPr>
          <w:rFonts w:hint="eastAsia" w:ascii="宋体" w:hAnsi="宋体"/>
          <w:sz w:val="24"/>
          <w:szCs w:val="24"/>
        </w:rPr>
        <w:t>如果购买或复制标准图纸，购买或复制标准图纸的责任及费用由供货人承担。</w:t>
      </w:r>
    </w:p>
    <w:p>
      <w:pPr>
        <w:rPr>
          <w:rFonts w:ascii="宋体"/>
          <w:b/>
          <w:sz w:val="24"/>
          <w:szCs w:val="24"/>
        </w:rPr>
      </w:pPr>
      <w:r>
        <w:rPr>
          <w:rFonts w:ascii="宋体" w:hAnsi="宋体"/>
          <w:b/>
          <w:sz w:val="24"/>
          <w:szCs w:val="24"/>
        </w:rPr>
        <w:t>1.8.2</w:t>
      </w:r>
      <w:r>
        <w:rPr>
          <w:rFonts w:hint="eastAsia" w:ascii="宋体" w:hAnsi="宋体"/>
          <w:b/>
          <w:sz w:val="24"/>
          <w:szCs w:val="24"/>
        </w:rPr>
        <w:t>图纸误期和误期的费用</w:t>
      </w:r>
    </w:p>
    <w:p>
      <w:pPr>
        <w:ind w:firstLine="480" w:firstLineChars="200"/>
        <w:rPr>
          <w:rFonts w:ascii="宋体"/>
          <w:sz w:val="24"/>
          <w:szCs w:val="24"/>
        </w:rPr>
      </w:pPr>
      <w:r>
        <w:rPr>
          <w:rFonts w:hint="eastAsia" w:ascii="宋体" w:hAnsi="宋体"/>
          <w:sz w:val="24"/>
          <w:szCs w:val="24"/>
        </w:rPr>
        <w:t>由于采购人未能按时向供货人提供图纸，已经或将要对供货安装周期造成影响时，供货人可以书面形式通知采购人，说明所缺图纸的具体细节、对供货安装周期的影响以及提供图纸的最晚时间。采购人仍然未能向供货人提供所需图纸，应当依据实际延误情况延长供货安装周期并为供货人追加由此而发生的额外费用。</w:t>
      </w:r>
    </w:p>
    <w:p>
      <w:pPr>
        <w:rPr>
          <w:rFonts w:ascii="宋体"/>
          <w:b/>
          <w:sz w:val="24"/>
          <w:szCs w:val="24"/>
        </w:rPr>
      </w:pPr>
      <w:r>
        <w:rPr>
          <w:rFonts w:ascii="宋体" w:hAnsi="宋体"/>
          <w:b/>
          <w:sz w:val="24"/>
          <w:szCs w:val="24"/>
        </w:rPr>
        <w:t>1.8.3</w:t>
      </w:r>
      <w:r>
        <w:rPr>
          <w:rFonts w:hint="eastAsia" w:ascii="宋体" w:hAnsi="宋体"/>
          <w:b/>
          <w:sz w:val="24"/>
          <w:szCs w:val="24"/>
        </w:rPr>
        <w:t>其他规定见合同条款专用部分。</w:t>
      </w:r>
    </w:p>
    <w:p>
      <w:pPr>
        <w:rPr>
          <w:rFonts w:ascii="宋体"/>
          <w:sz w:val="24"/>
          <w:szCs w:val="24"/>
        </w:rPr>
      </w:pPr>
      <w:bookmarkStart w:id="88" w:name="_Toc256955336"/>
      <w:bookmarkStart w:id="89" w:name="_Toc375218729"/>
      <w:bookmarkStart w:id="90" w:name="_Toc381358647"/>
      <w:r>
        <w:rPr>
          <w:rFonts w:ascii="宋体" w:hAnsi="宋体"/>
          <w:b/>
          <w:sz w:val="24"/>
          <w:szCs w:val="24"/>
        </w:rPr>
        <w:t>2.</w:t>
      </w:r>
      <w:r>
        <w:rPr>
          <w:rFonts w:hint="eastAsia" w:ascii="宋体" w:hAnsi="宋体"/>
          <w:b/>
          <w:sz w:val="24"/>
          <w:szCs w:val="24"/>
        </w:rPr>
        <w:t>采购人</w:t>
      </w:r>
      <w:bookmarkEnd w:id="88"/>
      <w:r>
        <w:rPr>
          <w:rFonts w:hint="eastAsia" w:ascii="宋体" w:hAnsi="宋体"/>
          <w:b/>
          <w:sz w:val="24"/>
          <w:szCs w:val="24"/>
        </w:rPr>
        <w:t>义务</w:t>
      </w:r>
      <w:bookmarkEnd w:id="89"/>
      <w:bookmarkEnd w:id="90"/>
    </w:p>
    <w:p>
      <w:pPr>
        <w:ind w:firstLine="480" w:firstLineChars="200"/>
        <w:rPr>
          <w:rFonts w:ascii="宋体"/>
          <w:sz w:val="24"/>
          <w:szCs w:val="24"/>
        </w:rPr>
      </w:pPr>
      <w:r>
        <w:rPr>
          <w:rFonts w:hint="eastAsia" w:ascii="宋体" w:hAnsi="宋体"/>
          <w:sz w:val="24"/>
          <w:szCs w:val="24"/>
        </w:rPr>
        <w:t>采购人应当按照合同文件的约定全面履行合同义务，并承担相应的费用。其义务包括：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）在履行合同过程中应当遵守任何适用的法律、法规、规章和规范性文件，并保证供货人免于承担因采购人违反法律、法规、规章和规范性文件而引起的任何责任。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）按照合同文件的约定履行付款义务。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）按照合同文件的约定回复、审批或确认供货人提出的任何询问或申请。未在合同文件约定的时间内回复、审批或确认的，应当视为已获得采购人批准。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）应当按照合同文件约定向供货人提供图纸。</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）其他义务见合同条款专用部分。</w:t>
      </w:r>
    </w:p>
    <w:p>
      <w:pPr>
        <w:rPr>
          <w:rFonts w:ascii="宋体"/>
          <w:b/>
          <w:bCs/>
          <w:sz w:val="24"/>
          <w:szCs w:val="24"/>
        </w:rPr>
      </w:pPr>
      <w:bookmarkStart w:id="91" w:name="_Toc381358648"/>
      <w:bookmarkStart w:id="92" w:name="_Toc375218730"/>
      <w:r>
        <w:rPr>
          <w:rFonts w:ascii="宋体" w:hAnsi="宋体"/>
          <w:b/>
          <w:bCs/>
          <w:sz w:val="24"/>
          <w:szCs w:val="24"/>
        </w:rPr>
        <w:t>3.</w:t>
      </w:r>
      <w:r>
        <w:rPr>
          <w:rFonts w:hint="eastAsia" w:ascii="宋体" w:hAnsi="宋体"/>
          <w:b/>
          <w:bCs/>
          <w:sz w:val="24"/>
          <w:szCs w:val="24"/>
        </w:rPr>
        <w:t>供货人义务</w:t>
      </w:r>
      <w:bookmarkEnd w:id="91"/>
      <w:bookmarkEnd w:id="92"/>
    </w:p>
    <w:p>
      <w:pPr>
        <w:ind w:firstLine="480" w:firstLineChars="200"/>
        <w:rPr>
          <w:rFonts w:ascii="宋体"/>
          <w:sz w:val="24"/>
          <w:szCs w:val="24"/>
        </w:rPr>
      </w:pPr>
      <w:r>
        <w:rPr>
          <w:rFonts w:hint="eastAsia" w:ascii="宋体" w:hAnsi="宋体"/>
          <w:sz w:val="24"/>
          <w:szCs w:val="24"/>
        </w:rPr>
        <w:t>供货人应当按照合同文件约定全面履行合同义务，并承担相应的费用。其义务包括：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）应当严格按照本合同文件约定供货及提供相关服务。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）应当对本采购项目货物的质量负全面责任，但属于非供货人原因造成的本采购项目的缺陷和质量事故的责任除外。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）应当按照合同文件约定的工作内容和供货安装周期要求，编制采购项目供货计划。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）采购人按照合同文件约定所发出的所有指令，供货人应当予以执行。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）采购人应当以书面形式发出指令。采购人以口头形式发出的指令，供货人有权拒绝执行，但双方另有约定的除外。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）负责本采购项目与其他项目技术支持、试验测试、设计联络、协调管理、调试、图纸资料、技术文件管理方面的工作。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合同文件约定需采购人审批、认可的货物（包括样本、文件或工作），供货人应当按照合同文件约定提交采购人。采购人应当及时向供货人出具相关审批意见。审批意见应当以书面形式发出，未以书面形式发出审批意见或超过合同文件约定时间的，以供货人发出的文件为准。采购人的任何批准、不批准或修改建议皆不会减轻或免除供货人按照合同文件而承担的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）应当审阅所有合同文件。发现合同文件有歧义或需要补齐、补正有关内容的，应当及时告知采购人。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10</w:t>
      </w:r>
      <w:r>
        <w:rPr>
          <w:rFonts w:hint="eastAsia" w:ascii="宋体" w:hAnsi="宋体"/>
          <w:sz w:val="24"/>
          <w:szCs w:val="24"/>
        </w:rPr>
        <w:t>）其他义务见合同条款专用部分。</w:t>
      </w:r>
    </w:p>
    <w:p>
      <w:pPr>
        <w:rPr>
          <w:rFonts w:ascii="宋体"/>
          <w:b/>
          <w:bCs/>
          <w:sz w:val="24"/>
          <w:szCs w:val="24"/>
        </w:rPr>
      </w:pPr>
      <w:bookmarkStart w:id="93" w:name="_Toc255490674"/>
      <w:bookmarkEnd w:id="93"/>
      <w:bookmarkStart w:id="94" w:name="_Toc255490675"/>
      <w:bookmarkEnd w:id="94"/>
      <w:bookmarkStart w:id="95" w:name="_Toc255490658"/>
      <w:bookmarkEnd w:id="95"/>
      <w:bookmarkStart w:id="96" w:name="_Toc255490661"/>
      <w:bookmarkEnd w:id="96"/>
      <w:bookmarkStart w:id="97" w:name="_Toc255490668"/>
      <w:bookmarkEnd w:id="97"/>
      <w:bookmarkStart w:id="98" w:name="_Toc255490662"/>
      <w:bookmarkEnd w:id="98"/>
      <w:bookmarkStart w:id="99" w:name="_Toc255490670"/>
      <w:bookmarkEnd w:id="99"/>
      <w:bookmarkStart w:id="100" w:name="_Toc255490673"/>
      <w:bookmarkEnd w:id="100"/>
      <w:bookmarkStart w:id="101" w:name="_Toc255490660"/>
      <w:bookmarkEnd w:id="101"/>
      <w:bookmarkStart w:id="102" w:name="_Toc255490671"/>
      <w:bookmarkEnd w:id="102"/>
      <w:bookmarkStart w:id="103" w:name="_Toc255490666"/>
      <w:bookmarkEnd w:id="103"/>
      <w:bookmarkStart w:id="104" w:name="_Toc255490659"/>
      <w:bookmarkEnd w:id="104"/>
      <w:bookmarkStart w:id="105" w:name="_Toc255490665"/>
      <w:bookmarkEnd w:id="105"/>
      <w:bookmarkStart w:id="106" w:name="_Toc255490672"/>
      <w:bookmarkEnd w:id="106"/>
      <w:bookmarkStart w:id="107" w:name="_Toc255490663"/>
      <w:bookmarkEnd w:id="107"/>
      <w:bookmarkStart w:id="108" w:name="_Toc255490664"/>
      <w:bookmarkEnd w:id="108"/>
      <w:bookmarkStart w:id="109" w:name="_Toc255490667"/>
      <w:bookmarkEnd w:id="109"/>
      <w:bookmarkStart w:id="110" w:name="_Toc381358649"/>
      <w:bookmarkStart w:id="111" w:name="_Toc256955338"/>
      <w:bookmarkStart w:id="112" w:name="_Toc375218731"/>
      <w:r>
        <w:rPr>
          <w:rFonts w:ascii="宋体" w:hAnsi="宋体"/>
          <w:b/>
          <w:bCs/>
          <w:sz w:val="24"/>
          <w:szCs w:val="24"/>
        </w:rPr>
        <w:t>4.</w:t>
      </w:r>
      <w:r>
        <w:rPr>
          <w:rFonts w:hint="eastAsia" w:ascii="宋体" w:hAnsi="宋体"/>
          <w:b/>
          <w:bCs/>
          <w:sz w:val="24"/>
          <w:szCs w:val="24"/>
        </w:rPr>
        <w:t>采购项目供货计划</w:t>
      </w:r>
      <w:bookmarkEnd w:id="110"/>
      <w:bookmarkEnd w:id="111"/>
      <w:bookmarkEnd w:id="112"/>
    </w:p>
    <w:p>
      <w:pPr>
        <w:rPr>
          <w:rFonts w:ascii="宋体"/>
          <w:b/>
          <w:bCs/>
          <w:sz w:val="24"/>
          <w:szCs w:val="24"/>
        </w:rPr>
      </w:pPr>
      <w:bookmarkStart w:id="113" w:name="_Toc375218732"/>
      <w:r>
        <w:rPr>
          <w:rFonts w:ascii="宋体" w:hAnsi="宋体"/>
          <w:b/>
          <w:bCs/>
          <w:sz w:val="24"/>
          <w:szCs w:val="24"/>
        </w:rPr>
        <w:t>4.1</w:t>
      </w:r>
      <w:r>
        <w:rPr>
          <w:rFonts w:hint="eastAsia" w:ascii="宋体" w:hAnsi="宋体"/>
          <w:b/>
          <w:bCs/>
          <w:sz w:val="24"/>
          <w:szCs w:val="24"/>
        </w:rPr>
        <w:t>供货计划的提交</w:t>
      </w:r>
      <w:bookmarkEnd w:id="113"/>
    </w:p>
    <w:p>
      <w:pPr>
        <w:ind w:firstLine="480" w:firstLineChars="200"/>
        <w:rPr>
          <w:rFonts w:ascii="宋体"/>
          <w:sz w:val="24"/>
          <w:szCs w:val="24"/>
        </w:rPr>
      </w:pPr>
      <w:r>
        <w:rPr>
          <w:rFonts w:ascii="宋体" w:hAnsi="宋体"/>
          <w:sz w:val="24"/>
          <w:szCs w:val="24"/>
        </w:rPr>
        <w:t>4.1.1</w:t>
      </w:r>
      <w:r>
        <w:rPr>
          <w:rFonts w:hint="eastAsia" w:ascii="宋体" w:hAnsi="宋体"/>
          <w:sz w:val="24"/>
          <w:szCs w:val="24"/>
        </w:rPr>
        <w:t>除非合同文件另有约定，供货人应在合同文件约定的时间内，按照采购人同意的格式和详细程度，提交供货计划，并获得采购人批准。该供货计划不得对随响应文件提交的采购项目供货计划相应内容做出实质性变动。</w:t>
      </w:r>
    </w:p>
    <w:p>
      <w:pPr>
        <w:ind w:firstLine="480" w:firstLineChars="200"/>
        <w:rPr>
          <w:rFonts w:ascii="宋体"/>
          <w:sz w:val="24"/>
          <w:szCs w:val="24"/>
        </w:rPr>
      </w:pPr>
      <w:r>
        <w:rPr>
          <w:rFonts w:ascii="宋体" w:hAnsi="宋体"/>
          <w:sz w:val="24"/>
          <w:szCs w:val="24"/>
        </w:rPr>
        <w:t>4.1.2</w:t>
      </w:r>
      <w:r>
        <w:rPr>
          <w:rFonts w:hint="eastAsia" w:ascii="宋体" w:hAnsi="宋体"/>
          <w:sz w:val="24"/>
          <w:szCs w:val="24"/>
        </w:rPr>
        <w:t>供货计划提交时间见合同条款专用部分。</w:t>
      </w:r>
    </w:p>
    <w:p>
      <w:pPr>
        <w:rPr>
          <w:rFonts w:ascii="宋体"/>
          <w:b/>
          <w:bCs/>
          <w:sz w:val="24"/>
          <w:szCs w:val="24"/>
        </w:rPr>
      </w:pPr>
      <w:bookmarkStart w:id="114" w:name="_Toc375218733"/>
      <w:r>
        <w:rPr>
          <w:rFonts w:ascii="宋体" w:hAnsi="宋体"/>
          <w:b/>
          <w:bCs/>
          <w:sz w:val="24"/>
          <w:szCs w:val="24"/>
        </w:rPr>
        <w:t>4.2</w:t>
      </w:r>
      <w:r>
        <w:rPr>
          <w:rFonts w:hint="eastAsia" w:ascii="宋体" w:hAnsi="宋体"/>
          <w:b/>
          <w:bCs/>
          <w:sz w:val="24"/>
          <w:szCs w:val="24"/>
        </w:rPr>
        <w:t>供货计划的修订</w:t>
      </w:r>
      <w:bookmarkEnd w:id="114"/>
    </w:p>
    <w:p>
      <w:pPr>
        <w:ind w:firstLine="480" w:firstLineChars="200"/>
        <w:rPr>
          <w:rFonts w:ascii="宋体"/>
          <w:sz w:val="24"/>
          <w:szCs w:val="24"/>
        </w:rPr>
      </w:pPr>
      <w:r>
        <w:rPr>
          <w:rFonts w:hint="eastAsia" w:ascii="宋体" w:hAnsi="宋体"/>
          <w:sz w:val="24"/>
          <w:szCs w:val="24"/>
        </w:rPr>
        <w:t>当实际供货进度与已批准的供货计划存在偏差时，或当供货人发现其本身货物供应存在延误可能时，供货人应当对供货计划进行修订，并将修订后的供货计划报采购人批准，采购人的批准不会减轻或免除供货人的责任。</w:t>
      </w:r>
    </w:p>
    <w:p>
      <w:pPr>
        <w:rPr>
          <w:rFonts w:ascii="宋体"/>
          <w:b/>
          <w:bCs/>
          <w:sz w:val="24"/>
          <w:szCs w:val="24"/>
        </w:rPr>
      </w:pPr>
      <w:bookmarkStart w:id="115" w:name="_Toc375218734"/>
      <w:r>
        <w:rPr>
          <w:rFonts w:ascii="宋体" w:hAnsi="宋体"/>
          <w:b/>
          <w:bCs/>
          <w:sz w:val="24"/>
          <w:szCs w:val="24"/>
        </w:rPr>
        <w:t>4.3</w:t>
      </w:r>
      <w:r>
        <w:rPr>
          <w:rFonts w:hint="eastAsia" w:ascii="宋体" w:hAnsi="宋体"/>
          <w:b/>
          <w:bCs/>
          <w:sz w:val="24"/>
          <w:szCs w:val="24"/>
        </w:rPr>
        <w:t>进度计划的保证</w:t>
      </w:r>
      <w:bookmarkEnd w:id="115"/>
    </w:p>
    <w:p>
      <w:pPr>
        <w:ind w:firstLine="480" w:firstLineChars="200"/>
        <w:rPr>
          <w:rFonts w:ascii="宋体"/>
          <w:sz w:val="24"/>
          <w:szCs w:val="24"/>
        </w:rPr>
      </w:pPr>
      <w:r>
        <w:rPr>
          <w:rFonts w:hint="eastAsia" w:ascii="宋体" w:hAnsi="宋体"/>
          <w:sz w:val="24"/>
          <w:szCs w:val="24"/>
        </w:rPr>
        <w:t>供货人应当按照经采购人批准的供货计划（包括修订）供货，并承担相应费用。</w:t>
      </w:r>
    </w:p>
    <w:p>
      <w:pPr>
        <w:rPr>
          <w:rFonts w:ascii="宋体"/>
          <w:b/>
          <w:bCs/>
          <w:sz w:val="24"/>
          <w:szCs w:val="24"/>
        </w:rPr>
      </w:pPr>
      <w:bookmarkStart w:id="116" w:name="_Toc256955339"/>
      <w:bookmarkStart w:id="117" w:name="_Toc375218735"/>
      <w:bookmarkStart w:id="118" w:name="_Toc381358650"/>
      <w:r>
        <w:rPr>
          <w:rFonts w:ascii="宋体" w:hAnsi="宋体"/>
          <w:b/>
          <w:bCs/>
          <w:sz w:val="24"/>
          <w:szCs w:val="24"/>
        </w:rPr>
        <w:t>5.</w:t>
      </w:r>
      <w:r>
        <w:rPr>
          <w:rFonts w:hint="eastAsia" w:ascii="宋体" w:hAnsi="宋体"/>
          <w:b/>
          <w:bCs/>
          <w:sz w:val="24"/>
          <w:szCs w:val="24"/>
        </w:rPr>
        <w:t>供货安装周期</w:t>
      </w:r>
      <w:bookmarkEnd w:id="116"/>
      <w:bookmarkEnd w:id="117"/>
      <w:bookmarkEnd w:id="118"/>
    </w:p>
    <w:p>
      <w:pPr>
        <w:ind w:firstLine="480" w:firstLineChars="200"/>
        <w:rPr>
          <w:rFonts w:ascii="宋体"/>
          <w:sz w:val="24"/>
          <w:szCs w:val="24"/>
        </w:rPr>
      </w:pPr>
      <w:r>
        <w:rPr>
          <w:rFonts w:hint="eastAsia" w:ascii="宋体" w:hAnsi="宋体"/>
          <w:sz w:val="24"/>
          <w:szCs w:val="24"/>
        </w:rPr>
        <w:t>具体供货安装周期见合同条款专用部分。</w:t>
      </w:r>
    </w:p>
    <w:p>
      <w:pPr>
        <w:rPr>
          <w:rFonts w:ascii="宋体"/>
          <w:b/>
          <w:bCs/>
          <w:sz w:val="24"/>
          <w:szCs w:val="24"/>
        </w:rPr>
      </w:pPr>
      <w:bookmarkStart w:id="119" w:name="_Toc256955340"/>
      <w:bookmarkStart w:id="120" w:name="_Toc375218736"/>
      <w:bookmarkStart w:id="121" w:name="_Toc381358651"/>
      <w:r>
        <w:rPr>
          <w:rFonts w:ascii="宋体" w:hAnsi="宋体"/>
          <w:b/>
          <w:bCs/>
          <w:sz w:val="24"/>
          <w:szCs w:val="24"/>
        </w:rPr>
        <w:t>6.</w:t>
      </w:r>
      <w:r>
        <w:rPr>
          <w:rFonts w:hint="eastAsia" w:ascii="宋体" w:hAnsi="宋体"/>
          <w:b/>
          <w:bCs/>
          <w:sz w:val="24"/>
          <w:szCs w:val="24"/>
        </w:rPr>
        <w:t>供货安装周期延误</w:t>
      </w:r>
      <w:bookmarkEnd w:id="119"/>
      <w:bookmarkEnd w:id="120"/>
      <w:bookmarkEnd w:id="121"/>
    </w:p>
    <w:p>
      <w:pPr>
        <w:rPr>
          <w:rFonts w:ascii="宋体"/>
          <w:b/>
          <w:bCs/>
          <w:sz w:val="24"/>
          <w:szCs w:val="24"/>
        </w:rPr>
      </w:pPr>
      <w:bookmarkStart w:id="122" w:name="_Toc375218737"/>
      <w:r>
        <w:rPr>
          <w:rFonts w:ascii="宋体" w:hAnsi="宋体"/>
          <w:b/>
          <w:bCs/>
          <w:sz w:val="24"/>
          <w:szCs w:val="24"/>
        </w:rPr>
        <w:t>6.1</w:t>
      </w:r>
      <w:r>
        <w:rPr>
          <w:rFonts w:hint="eastAsia" w:ascii="宋体" w:hAnsi="宋体"/>
          <w:b/>
          <w:bCs/>
          <w:sz w:val="24"/>
          <w:szCs w:val="24"/>
        </w:rPr>
        <w:t>非供货人造成的延误</w:t>
      </w:r>
      <w:bookmarkEnd w:id="122"/>
    </w:p>
    <w:p>
      <w:pPr>
        <w:ind w:firstLine="480" w:firstLineChars="200"/>
        <w:rPr>
          <w:rFonts w:ascii="宋体"/>
          <w:sz w:val="24"/>
          <w:szCs w:val="24"/>
        </w:rPr>
      </w:pPr>
      <w:r>
        <w:rPr>
          <w:rFonts w:ascii="宋体" w:hAnsi="宋体"/>
          <w:sz w:val="24"/>
          <w:szCs w:val="24"/>
        </w:rPr>
        <w:t>6.1.1</w:t>
      </w:r>
      <w:r>
        <w:rPr>
          <w:rFonts w:hint="eastAsia" w:ascii="宋体" w:hAnsi="宋体"/>
          <w:sz w:val="24"/>
          <w:szCs w:val="24"/>
        </w:rPr>
        <w:t>在履行合同过程中，本项下述原因导致属于可证明的供货安装周期延误时，应当延长供货安装周期，但供货人应当通过调整工作安排尽量减少损失。</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）本供货合同约定的变更事项；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）无法合理事先预见的现场自然条件或环境；</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）由采购人原因造成的延误、干扰或阻碍；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）在事前无法合理预见，并且按照合同约定不应当由供货人代其承担责任的第三方造成的延误、干扰或阻碍；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）其他允许延长供货安装周期的情况见合同条款专用部分。</w:t>
      </w:r>
    </w:p>
    <w:p>
      <w:pPr>
        <w:ind w:firstLine="480" w:firstLineChars="200"/>
        <w:rPr>
          <w:rFonts w:ascii="宋体"/>
          <w:sz w:val="24"/>
          <w:szCs w:val="24"/>
        </w:rPr>
      </w:pPr>
      <w:r>
        <w:rPr>
          <w:rFonts w:ascii="宋体" w:hAnsi="宋体"/>
          <w:sz w:val="24"/>
          <w:szCs w:val="24"/>
        </w:rPr>
        <w:t>6.1.2</w:t>
      </w:r>
      <w:r>
        <w:rPr>
          <w:rFonts w:hint="eastAsia" w:ascii="宋体" w:hAnsi="宋体"/>
          <w:sz w:val="24"/>
          <w:szCs w:val="24"/>
        </w:rPr>
        <w:t>供货人为了获准上述延长的供货安装周期，除非合同文件另有约定，应当在合同文件约定的时间内以书面形式通知采购人确认，否则采购人可不必就延长供货安装周期事宜做出任何决定。提交书面报告的时间见合同条款专用部分。</w:t>
      </w:r>
    </w:p>
    <w:p>
      <w:pPr>
        <w:rPr>
          <w:rFonts w:ascii="宋体"/>
          <w:b/>
          <w:bCs/>
          <w:sz w:val="24"/>
          <w:szCs w:val="24"/>
        </w:rPr>
      </w:pPr>
      <w:bookmarkStart w:id="123" w:name="_Toc375218738"/>
      <w:r>
        <w:rPr>
          <w:rFonts w:ascii="宋体" w:hAnsi="宋体"/>
          <w:b/>
          <w:bCs/>
          <w:sz w:val="24"/>
          <w:szCs w:val="24"/>
        </w:rPr>
        <w:t>6.2</w:t>
      </w:r>
      <w:r>
        <w:rPr>
          <w:rFonts w:hint="eastAsia" w:ascii="宋体" w:hAnsi="宋体"/>
          <w:b/>
          <w:bCs/>
          <w:sz w:val="24"/>
          <w:szCs w:val="24"/>
        </w:rPr>
        <w:t>供货人造成的供货安装周期延误</w:t>
      </w:r>
      <w:bookmarkEnd w:id="123"/>
    </w:p>
    <w:p>
      <w:pPr>
        <w:ind w:firstLine="480" w:firstLineChars="200"/>
        <w:rPr>
          <w:rFonts w:ascii="宋体"/>
          <w:sz w:val="24"/>
          <w:szCs w:val="24"/>
        </w:rPr>
      </w:pPr>
      <w:r>
        <w:rPr>
          <w:rFonts w:hint="eastAsia" w:ascii="宋体" w:hAnsi="宋体"/>
          <w:sz w:val="24"/>
          <w:szCs w:val="24"/>
        </w:rPr>
        <w:t>供货人原因造成的供货安装周期延误，均由供货人承担相关责任，供货安装周期不予顺延。</w:t>
      </w:r>
      <w:bookmarkStart w:id="124" w:name="_Toc375218739"/>
    </w:p>
    <w:p>
      <w:pPr>
        <w:rPr>
          <w:rFonts w:ascii="宋体"/>
          <w:b/>
          <w:bCs/>
          <w:sz w:val="24"/>
          <w:szCs w:val="24"/>
        </w:rPr>
      </w:pPr>
      <w:r>
        <w:rPr>
          <w:rFonts w:ascii="宋体" w:hAnsi="宋体"/>
          <w:b/>
          <w:bCs/>
          <w:sz w:val="24"/>
          <w:szCs w:val="24"/>
        </w:rPr>
        <w:t>6.3</w:t>
      </w:r>
      <w:r>
        <w:rPr>
          <w:rFonts w:hint="eastAsia" w:ascii="宋体" w:hAnsi="宋体"/>
          <w:b/>
          <w:bCs/>
          <w:sz w:val="24"/>
          <w:szCs w:val="24"/>
        </w:rPr>
        <w:t>供货安装周期延误的违约处理</w:t>
      </w:r>
      <w:bookmarkEnd w:id="124"/>
    </w:p>
    <w:p>
      <w:pPr>
        <w:ind w:firstLine="480" w:firstLineChars="200"/>
        <w:rPr>
          <w:rFonts w:ascii="宋体"/>
          <w:sz w:val="24"/>
          <w:szCs w:val="24"/>
        </w:rPr>
      </w:pPr>
      <w:r>
        <w:rPr>
          <w:rFonts w:ascii="宋体" w:hAnsi="宋体"/>
          <w:sz w:val="24"/>
          <w:szCs w:val="24"/>
        </w:rPr>
        <w:t>6.3.1</w:t>
      </w:r>
      <w:r>
        <w:rPr>
          <w:rFonts w:hint="eastAsia" w:ascii="宋体" w:hAnsi="宋体"/>
          <w:sz w:val="24"/>
          <w:szCs w:val="24"/>
        </w:rPr>
        <w:t>如果供货人未能在供货安装周期内或按照合同文件约定延长了的时间内完成本供货合同，供货人应当按照合同文件约定向采购人支付误期违约金，误期违约金总额不得超过合同文件约定的误期违约金的最高限额。本供货合同约定的误期违约金及误期违约金的最高限额见合同条款专用部分。</w:t>
      </w:r>
    </w:p>
    <w:p>
      <w:pPr>
        <w:ind w:firstLine="480" w:firstLineChars="200"/>
        <w:rPr>
          <w:rFonts w:ascii="宋体"/>
          <w:sz w:val="24"/>
          <w:szCs w:val="24"/>
        </w:rPr>
      </w:pPr>
      <w:r>
        <w:rPr>
          <w:rFonts w:ascii="宋体" w:hAnsi="宋体"/>
          <w:sz w:val="24"/>
          <w:szCs w:val="24"/>
        </w:rPr>
        <w:t>6.3.2</w:t>
      </w:r>
      <w:r>
        <w:rPr>
          <w:rFonts w:hint="eastAsia" w:ascii="宋体" w:hAnsi="宋体"/>
          <w:sz w:val="24"/>
          <w:szCs w:val="24"/>
        </w:rPr>
        <w:t>误期违约金将从按照合同应当支付或将会支付给供货人的款项中扣除，或要求供货人偿还。</w:t>
      </w:r>
    </w:p>
    <w:p>
      <w:pPr>
        <w:ind w:firstLine="480" w:firstLineChars="200"/>
        <w:rPr>
          <w:rFonts w:ascii="宋体"/>
          <w:sz w:val="24"/>
          <w:szCs w:val="24"/>
        </w:rPr>
      </w:pPr>
      <w:r>
        <w:rPr>
          <w:rFonts w:ascii="宋体" w:hAnsi="宋体"/>
          <w:sz w:val="24"/>
          <w:szCs w:val="24"/>
        </w:rPr>
        <w:t>6.3.3</w:t>
      </w:r>
      <w:r>
        <w:rPr>
          <w:rFonts w:hint="eastAsia" w:ascii="宋体" w:hAnsi="宋体"/>
          <w:sz w:val="24"/>
          <w:szCs w:val="24"/>
        </w:rPr>
        <w:t>如果采购人提供切实证据，证明供货人按照本条支付给采购人的误期违约金总额不足以弥补因误期供货给采购人造成的直接损失，并且该损失是供货人在订立合同时预见到或应当预见到的，供货人应当另行向采购人支付赔偿金。</w:t>
      </w:r>
    </w:p>
    <w:p>
      <w:pPr>
        <w:rPr>
          <w:rFonts w:ascii="宋体"/>
          <w:b/>
          <w:bCs/>
          <w:sz w:val="24"/>
          <w:szCs w:val="24"/>
        </w:rPr>
      </w:pPr>
      <w:bookmarkStart w:id="125" w:name="_Toc381358652"/>
      <w:bookmarkStart w:id="126" w:name="_Toc375218740"/>
      <w:bookmarkStart w:id="127" w:name="_Toc256955341"/>
      <w:bookmarkStart w:id="128" w:name="_Toc218048982"/>
      <w:bookmarkStart w:id="129" w:name="_Toc217443938"/>
      <w:bookmarkStart w:id="130" w:name="_Toc218048802"/>
      <w:r>
        <w:rPr>
          <w:rFonts w:ascii="宋体" w:hAnsi="宋体"/>
          <w:b/>
          <w:bCs/>
          <w:sz w:val="24"/>
          <w:szCs w:val="24"/>
        </w:rPr>
        <w:t>7.</w:t>
      </w:r>
      <w:r>
        <w:rPr>
          <w:rFonts w:hint="eastAsia" w:ascii="宋体" w:hAnsi="宋体"/>
          <w:b/>
          <w:bCs/>
          <w:sz w:val="24"/>
          <w:szCs w:val="24"/>
        </w:rPr>
        <w:t>包装</w:t>
      </w:r>
      <w:bookmarkEnd w:id="125"/>
      <w:bookmarkEnd w:id="126"/>
      <w:bookmarkEnd w:id="127"/>
    </w:p>
    <w:p>
      <w:pPr>
        <w:ind w:firstLine="480" w:firstLineChars="200"/>
        <w:rPr>
          <w:rFonts w:ascii="宋体"/>
          <w:sz w:val="24"/>
          <w:szCs w:val="24"/>
        </w:rPr>
      </w:pPr>
      <w:r>
        <w:rPr>
          <w:rFonts w:ascii="宋体" w:hAnsi="宋体"/>
          <w:sz w:val="24"/>
          <w:szCs w:val="24"/>
        </w:rPr>
        <w:t>7.1</w:t>
      </w:r>
      <w:r>
        <w:rPr>
          <w:rFonts w:hint="eastAsia" w:ascii="宋体" w:hAnsi="宋体"/>
          <w:sz w:val="24"/>
          <w:szCs w:val="24"/>
        </w:rPr>
        <w:t>供货人提供的货物包装应符合本合同文件“技术标准和要求”的约定，并承担相应费用，此费用已包含在合同价款内。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7.2</w:t>
      </w:r>
      <w:r>
        <w:rPr>
          <w:rFonts w:hint="eastAsia" w:ascii="宋体" w:hAnsi="宋体"/>
          <w:sz w:val="24"/>
          <w:szCs w:val="24"/>
        </w:rPr>
        <w:t>包装应足以承受转运过程中的野蛮装卸，暴露于恶劣气温，盐分大和降雨环境，以及露天存放。包装箱的尺寸及重量应考虑货物最终目的地的远近程度以及在所有转运地点缺乏重型装卸设施的情况。</w:t>
      </w:r>
    </w:p>
    <w:p>
      <w:pPr>
        <w:ind w:firstLine="480" w:firstLineChars="200"/>
        <w:rPr>
          <w:rFonts w:ascii="宋体"/>
          <w:sz w:val="24"/>
          <w:szCs w:val="24"/>
        </w:rPr>
      </w:pPr>
      <w:r>
        <w:rPr>
          <w:rFonts w:ascii="宋体" w:hAnsi="宋体"/>
          <w:sz w:val="24"/>
          <w:szCs w:val="24"/>
        </w:rPr>
        <w:t>7.3</w:t>
      </w:r>
      <w:r>
        <w:rPr>
          <w:rFonts w:hint="eastAsia" w:ascii="宋体" w:hAnsi="宋体"/>
          <w:sz w:val="24"/>
          <w:szCs w:val="24"/>
        </w:rPr>
        <w:t>供货人应保证货物在没有任何损坏和腐蚀的情况下安全运抵合同文件约定的供货地点。供货人应承担由于其包装或防护措施不妥而引起货物锈蚀、损坏和丢失的任何损失的责任或费用。</w:t>
      </w:r>
    </w:p>
    <w:p>
      <w:pPr>
        <w:ind w:firstLine="480" w:firstLineChars="200"/>
        <w:rPr>
          <w:rFonts w:ascii="宋体"/>
          <w:sz w:val="24"/>
          <w:szCs w:val="24"/>
        </w:rPr>
      </w:pPr>
      <w:r>
        <w:rPr>
          <w:rFonts w:ascii="宋体" w:hAnsi="宋体"/>
          <w:sz w:val="24"/>
          <w:szCs w:val="24"/>
        </w:rPr>
        <w:t>7.4</w:t>
      </w:r>
      <w:r>
        <w:rPr>
          <w:rFonts w:hint="eastAsia" w:ascii="宋体" w:hAnsi="宋体"/>
          <w:sz w:val="24"/>
          <w:szCs w:val="24"/>
        </w:rPr>
        <w:t>其他包装约定见合同条款专用部分。</w:t>
      </w:r>
    </w:p>
    <w:p>
      <w:pPr>
        <w:rPr>
          <w:rFonts w:ascii="宋体"/>
          <w:b/>
          <w:bCs/>
          <w:sz w:val="24"/>
          <w:szCs w:val="24"/>
        </w:rPr>
      </w:pPr>
      <w:bookmarkStart w:id="131" w:name="_Toc381358653"/>
      <w:bookmarkStart w:id="132" w:name="_Toc375218741"/>
      <w:bookmarkStart w:id="133" w:name="_Toc256955342"/>
      <w:r>
        <w:rPr>
          <w:rFonts w:ascii="宋体" w:hAnsi="宋体"/>
          <w:b/>
          <w:bCs/>
          <w:sz w:val="24"/>
          <w:szCs w:val="24"/>
        </w:rPr>
        <w:t>8.</w:t>
      </w:r>
      <w:r>
        <w:rPr>
          <w:rFonts w:hint="eastAsia" w:ascii="宋体" w:hAnsi="宋体"/>
          <w:b/>
          <w:bCs/>
          <w:sz w:val="24"/>
          <w:szCs w:val="24"/>
        </w:rPr>
        <w:t>服务</w:t>
      </w:r>
      <w:bookmarkEnd w:id="131"/>
      <w:bookmarkEnd w:id="132"/>
      <w:bookmarkEnd w:id="133"/>
    </w:p>
    <w:p>
      <w:pPr>
        <w:rPr>
          <w:rFonts w:ascii="宋体"/>
          <w:b/>
          <w:bCs/>
          <w:sz w:val="24"/>
          <w:szCs w:val="24"/>
        </w:rPr>
      </w:pPr>
      <w:bookmarkStart w:id="134" w:name="_Toc375218742"/>
      <w:r>
        <w:rPr>
          <w:rFonts w:ascii="宋体" w:hAnsi="宋体"/>
          <w:b/>
          <w:bCs/>
          <w:sz w:val="24"/>
          <w:szCs w:val="24"/>
        </w:rPr>
        <w:t>8.1</w:t>
      </w:r>
      <w:r>
        <w:rPr>
          <w:rFonts w:hint="eastAsia" w:ascii="宋体" w:hAnsi="宋体"/>
          <w:b/>
          <w:bCs/>
          <w:sz w:val="24"/>
          <w:szCs w:val="24"/>
        </w:rPr>
        <w:t>技术服务</w:t>
      </w:r>
      <w:bookmarkEnd w:id="134"/>
    </w:p>
    <w:p>
      <w:pPr>
        <w:ind w:firstLine="480" w:firstLineChars="200"/>
        <w:rPr>
          <w:rFonts w:ascii="宋体"/>
          <w:sz w:val="24"/>
          <w:szCs w:val="24"/>
        </w:rPr>
      </w:pPr>
      <w:r>
        <w:rPr>
          <w:rFonts w:hint="eastAsia" w:ascii="宋体" w:hAnsi="宋体"/>
          <w:sz w:val="24"/>
          <w:szCs w:val="24"/>
        </w:rPr>
        <w:t>供货人提供的技术服务应符合本合同文件“技术标准和要求”的约定，并承担相应费用，此费用已包含在合同价款内。</w:t>
      </w:r>
    </w:p>
    <w:p>
      <w:pPr>
        <w:rPr>
          <w:rFonts w:ascii="宋体"/>
          <w:b/>
          <w:bCs/>
          <w:sz w:val="24"/>
          <w:szCs w:val="24"/>
        </w:rPr>
      </w:pPr>
      <w:bookmarkStart w:id="135" w:name="_Toc375218743"/>
      <w:r>
        <w:rPr>
          <w:rFonts w:ascii="宋体" w:hAnsi="宋体"/>
          <w:b/>
          <w:bCs/>
          <w:sz w:val="24"/>
          <w:szCs w:val="24"/>
        </w:rPr>
        <w:t>8.2</w:t>
      </w:r>
      <w:r>
        <w:rPr>
          <w:rFonts w:hint="eastAsia" w:ascii="宋体" w:hAnsi="宋体"/>
          <w:b/>
          <w:bCs/>
          <w:sz w:val="24"/>
          <w:szCs w:val="24"/>
        </w:rPr>
        <w:t>运输</w:t>
      </w:r>
      <w:bookmarkEnd w:id="135"/>
    </w:p>
    <w:p>
      <w:pPr>
        <w:ind w:firstLine="480" w:firstLineChars="200"/>
        <w:rPr>
          <w:rFonts w:ascii="宋体"/>
          <w:sz w:val="24"/>
          <w:szCs w:val="24"/>
        </w:rPr>
      </w:pPr>
      <w:r>
        <w:rPr>
          <w:rFonts w:hint="eastAsia" w:ascii="宋体" w:hAnsi="宋体"/>
          <w:sz w:val="24"/>
          <w:szCs w:val="24"/>
        </w:rPr>
        <w:t>供货人提供的货物的运输应符合本合同文件“技术标准和要求”的约定，并承担相应费用，此费用已包含在合同价款内。</w:t>
      </w:r>
    </w:p>
    <w:p>
      <w:pPr>
        <w:rPr>
          <w:rFonts w:ascii="宋体"/>
          <w:b/>
          <w:bCs/>
          <w:sz w:val="24"/>
          <w:szCs w:val="24"/>
        </w:rPr>
      </w:pPr>
      <w:bookmarkStart w:id="136" w:name="_Toc375218744"/>
      <w:r>
        <w:rPr>
          <w:rFonts w:ascii="宋体" w:hAnsi="宋体"/>
          <w:b/>
          <w:bCs/>
          <w:sz w:val="24"/>
          <w:szCs w:val="24"/>
        </w:rPr>
        <w:t>8.3</w:t>
      </w:r>
      <w:r>
        <w:rPr>
          <w:rFonts w:hint="eastAsia" w:ascii="宋体" w:hAnsi="宋体"/>
          <w:b/>
          <w:bCs/>
          <w:sz w:val="24"/>
          <w:szCs w:val="24"/>
        </w:rPr>
        <w:t>售后服务</w:t>
      </w:r>
      <w:bookmarkEnd w:id="136"/>
    </w:p>
    <w:p>
      <w:pPr>
        <w:ind w:firstLine="480" w:firstLineChars="200"/>
        <w:rPr>
          <w:rFonts w:ascii="宋体"/>
          <w:sz w:val="24"/>
          <w:szCs w:val="24"/>
        </w:rPr>
      </w:pPr>
      <w:r>
        <w:rPr>
          <w:rFonts w:hint="eastAsia" w:ascii="宋体" w:hAnsi="宋体"/>
          <w:sz w:val="24"/>
          <w:szCs w:val="24"/>
        </w:rPr>
        <w:t>供货人提供的售后服务应符合本合同文件“技术标准和要求”的约定，并承担相应费用，此费用已包含在合同价款内。</w:t>
      </w:r>
    </w:p>
    <w:p>
      <w:pPr>
        <w:rPr>
          <w:rFonts w:ascii="宋体"/>
          <w:b/>
          <w:bCs/>
          <w:sz w:val="24"/>
          <w:szCs w:val="24"/>
        </w:rPr>
      </w:pPr>
      <w:bookmarkStart w:id="137" w:name="_Toc375218745"/>
      <w:r>
        <w:rPr>
          <w:rFonts w:ascii="宋体" w:hAnsi="宋体"/>
          <w:b/>
          <w:bCs/>
          <w:sz w:val="24"/>
          <w:szCs w:val="24"/>
        </w:rPr>
        <w:t>8.4</w:t>
      </w:r>
      <w:r>
        <w:rPr>
          <w:rFonts w:hint="eastAsia" w:ascii="宋体" w:hAnsi="宋体"/>
          <w:b/>
          <w:bCs/>
          <w:sz w:val="24"/>
          <w:szCs w:val="24"/>
        </w:rPr>
        <w:t>其他约定</w:t>
      </w:r>
      <w:bookmarkEnd w:id="137"/>
    </w:p>
    <w:p>
      <w:pPr>
        <w:ind w:firstLine="480" w:firstLineChars="200"/>
        <w:rPr>
          <w:rFonts w:ascii="宋体"/>
          <w:sz w:val="24"/>
          <w:szCs w:val="24"/>
        </w:rPr>
      </w:pPr>
      <w:r>
        <w:rPr>
          <w:rFonts w:hint="eastAsia" w:ascii="宋体" w:hAnsi="宋体"/>
          <w:sz w:val="24"/>
          <w:szCs w:val="24"/>
        </w:rPr>
        <w:t>见合同条款专用部分。</w:t>
      </w:r>
    </w:p>
    <w:p>
      <w:pPr>
        <w:rPr>
          <w:rFonts w:ascii="宋体"/>
          <w:b/>
          <w:bCs/>
          <w:sz w:val="24"/>
          <w:szCs w:val="24"/>
        </w:rPr>
      </w:pPr>
      <w:bookmarkStart w:id="138" w:name="_Toc20726474"/>
      <w:bookmarkStart w:id="139" w:name="_Toc68417397"/>
      <w:bookmarkStart w:id="140" w:name="_Toc121830639"/>
      <w:bookmarkStart w:id="141" w:name="_Toc375218746"/>
      <w:bookmarkStart w:id="142" w:name="_Toc118061579"/>
      <w:bookmarkStart w:id="143" w:name="_Toc224045264"/>
      <w:bookmarkStart w:id="144" w:name="_Toc256955343"/>
      <w:bookmarkStart w:id="145" w:name="_Toc121308096"/>
      <w:bookmarkStart w:id="146" w:name="_Toc121182366"/>
      <w:bookmarkStart w:id="147" w:name="_Toc68407804"/>
      <w:bookmarkStart w:id="148" w:name="_Toc118890574"/>
      <w:bookmarkStart w:id="149" w:name="_Toc70094741"/>
      <w:bookmarkStart w:id="150" w:name="_Toc119786534"/>
      <w:bookmarkStart w:id="151" w:name="_Toc72583548"/>
      <w:bookmarkStart w:id="152" w:name="_Toc381358654"/>
      <w:r>
        <w:rPr>
          <w:rFonts w:ascii="宋体" w:hAnsi="宋体"/>
          <w:b/>
          <w:bCs/>
          <w:sz w:val="24"/>
          <w:szCs w:val="24"/>
        </w:rPr>
        <w:t>9.</w:t>
      </w:r>
      <w:r>
        <w:rPr>
          <w:rFonts w:hint="eastAsia" w:ascii="宋体" w:hAnsi="宋体"/>
          <w:b/>
          <w:bCs/>
          <w:sz w:val="24"/>
          <w:szCs w:val="24"/>
        </w:rPr>
        <w:t>备品备件、易损件</w:t>
      </w:r>
      <w:r>
        <w:rPr>
          <w:rFonts w:ascii="宋体" w:hAnsi="宋体"/>
          <w:b/>
          <w:bCs/>
          <w:sz w:val="24"/>
          <w:szCs w:val="24"/>
        </w:rPr>
        <w:t>/</w:t>
      </w:r>
      <w:r>
        <w:rPr>
          <w:rFonts w:hint="eastAsia" w:ascii="宋体" w:hAnsi="宋体"/>
          <w:b/>
          <w:bCs/>
          <w:sz w:val="24"/>
          <w:szCs w:val="24"/>
        </w:rPr>
        <w:t>消耗性材料</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ind w:firstLine="480" w:firstLineChars="200"/>
        <w:rPr>
          <w:rFonts w:ascii="宋体"/>
          <w:sz w:val="24"/>
          <w:szCs w:val="24"/>
        </w:rPr>
      </w:pPr>
      <w:r>
        <w:rPr>
          <w:rFonts w:ascii="宋体" w:hAnsi="宋体"/>
          <w:sz w:val="24"/>
          <w:szCs w:val="24"/>
        </w:rPr>
        <w:t>9.1</w:t>
      </w:r>
      <w:r>
        <w:rPr>
          <w:rFonts w:hint="eastAsia" w:ascii="宋体" w:hAnsi="宋体"/>
          <w:sz w:val="24"/>
          <w:szCs w:val="24"/>
        </w:rPr>
        <w:t>供货人提供的备品备件、易损件</w:t>
      </w:r>
      <w:r>
        <w:rPr>
          <w:rFonts w:ascii="宋体" w:hAnsi="宋体"/>
          <w:sz w:val="24"/>
          <w:szCs w:val="24"/>
        </w:rPr>
        <w:t>/</w:t>
      </w:r>
      <w:r>
        <w:rPr>
          <w:rFonts w:hint="eastAsia" w:ascii="宋体" w:hAnsi="宋体"/>
          <w:sz w:val="24"/>
          <w:szCs w:val="24"/>
        </w:rPr>
        <w:t>消耗性材料（含与备品备件、易损件</w:t>
      </w:r>
      <w:r>
        <w:rPr>
          <w:rFonts w:ascii="宋体" w:hAnsi="宋体"/>
          <w:sz w:val="24"/>
          <w:szCs w:val="24"/>
        </w:rPr>
        <w:t>/</w:t>
      </w:r>
      <w:r>
        <w:rPr>
          <w:rFonts w:hint="eastAsia" w:ascii="宋体" w:hAnsi="宋体"/>
          <w:sz w:val="24"/>
          <w:szCs w:val="24"/>
        </w:rPr>
        <w:t>消耗性材料有关的材料和资料）应符合本合同文件“技术标准和要求”的约定，并承担相应费用，此费用已包含在合同价款内。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9.2</w:t>
      </w:r>
      <w:r>
        <w:rPr>
          <w:rFonts w:hint="eastAsia" w:ascii="宋体" w:hAnsi="宋体"/>
          <w:sz w:val="24"/>
          <w:szCs w:val="24"/>
        </w:rPr>
        <w:t>其他约定见合同条款专用部分。</w:t>
      </w:r>
    </w:p>
    <w:p>
      <w:pPr>
        <w:rPr>
          <w:rFonts w:ascii="宋体"/>
          <w:b/>
          <w:bCs/>
          <w:sz w:val="24"/>
          <w:szCs w:val="24"/>
        </w:rPr>
      </w:pPr>
      <w:bookmarkStart w:id="153" w:name="_Toc375218747"/>
      <w:bookmarkStart w:id="154" w:name="_Toc381358655"/>
      <w:bookmarkStart w:id="155" w:name="_Toc256955345"/>
      <w:r>
        <w:rPr>
          <w:rFonts w:ascii="宋体" w:hAnsi="宋体"/>
          <w:b/>
          <w:bCs/>
          <w:sz w:val="24"/>
          <w:szCs w:val="24"/>
        </w:rPr>
        <w:t>10.</w:t>
      </w:r>
      <w:r>
        <w:rPr>
          <w:rFonts w:hint="eastAsia" w:ascii="宋体" w:hAnsi="宋体"/>
          <w:b/>
          <w:bCs/>
          <w:sz w:val="24"/>
          <w:szCs w:val="24"/>
        </w:rPr>
        <w:t>检验</w:t>
      </w:r>
      <w:bookmarkEnd w:id="128"/>
      <w:bookmarkEnd w:id="129"/>
      <w:bookmarkEnd w:id="130"/>
      <w:r>
        <w:rPr>
          <w:rFonts w:hint="eastAsia" w:ascii="宋体" w:hAnsi="宋体"/>
          <w:b/>
          <w:bCs/>
          <w:sz w:val="24"/>
          <w:szCs w:val="24"/>
        </w:rPr>
        <w:t>和测试</w:t>
      </w:r>
      <w:bookmarkEnd w:id="153"/>
      <w:bookmarkEnd w:id="154"/>
      <w:bookmarkEnd w:id="155"/>
    </w:p>
    <w:p>
      <w:pPr>
        <w:ind w:firstLine="480" w:firstLineChars="200"/>
        <w:rPr>
          <w:rFonts w:ascii="宋体"/>
          <w:sz w:val="24"/>
          <w:szCs w:val="24"/>
        </w:rPr>
      </w:pPr>
      <w:r>
        <w:rPr>
          <w:rFonts w:ascii="宋体" w:hAnsi="宋体"/>
          <w:sz w:val="24"/>
          <w:szCs w:val="24"/>
        </w:rPr>
        <w:t>10.1</w:t>
      </w:r>
      <w:r>
        <w:rPr>
          <w:rFonts w:hint="eastAsia" w:ascii="宋体" w:hAnsi="宋体"/>
          <w:sz w:val="24"/>
          <w:szCs w:val="24"/>
        </w:rPr>
        <w:t>采购人有权检验和测试本供货合同约定货物，以确认符合合同文件的要求，除非合同文件另有约定，此费用已包含在合同价款内。</w:t>
      </w:r>
    </w:p>
    <w:p>
      <w:pPr>
        <w:ind w:firstLine="480" w:firstLineChars="200"/>
        <w:rPr>
          <w:rFonts w:ascii="宋体"/>
          <w:sz w:val="24"/>
          <w:szCs w:val="24"/>
        </w:rPr>
      </w:pPr>
      <w:r>
        <w:rPr>
          <w:rFonts w:ascii="宋体" w:hAnsi="宋体"/>
          <w:sz w:val="24"/>
          <w:szCs w:val="24"/>
        </w:rPr>
        <w:t>10.2</w:t>
      </w:r>
      <w:r>
        <w:rPr>
          <w:rFonts w:hint="eastAsia" w:ascii="宋体" w:hAnsi="宋体"/>
          <w:sz w:val="24"/>
          <w:szCs w:val="24"/>
        </w:rPr>
        <w:t>检验和测试的方法及标准应符合本合同文件“技术标准和要求”的约定，检验和测试时间、地点见合同条款专用部分。</w:t>
      </w:r>
    </w:p>
    <w:p>
      <w:pPr>
        <w:ind w:firstLine="480" w:firstLineChars="200"/>
        <w:rPr>
          <w:rFonts w:ascii="宋体"/>
          <w:sz w:val="24"/>
          <w:szCs w:val="24"/>
        </w:rPr>
      </w:pPr>
      <w:r>
        <w:rPr>
          <w:rFonts w:ascii="宋体" w:hAnsi="宋体"/>
          <w:sz w:val="24"/>
          <w:szCs w:val="24"/>
        </w:rPr>
        <w:t>10.3</w:t>
      </w:r>
      <w:r>
        <w:rPr>
          <w:rFonts w:hint="eastAsia" w:ascii="宋体" w:hAnsi="宋体"/>
          <w:sz w:val="24"/>
          <w:szCs w:val="24"/>
        </w:rPr>
        <w:t>如果任何被检验和测试的货物不能满足技术要求的，采购人可以拒绝接受该货物，供货人应更换被拒绝的货物，或者免费进行必要的修改以满足技术要求。</w:t>
      </w:r>
    </w:p>
    <w:p>
      <w:pPr>
        <w:ind w:firstLine="480" w:firstLineChars="200"/>
        <w:rPr>
          <w:rFonts w:ascii="宋体"/>
          <w:sz w:val="24"/>
          <w:szCs w:val="24"/>
        </w:rPr>
      </w:pPr>
      <w:r>
        <w:rPr>
          <w:rFonts w:ascii="宋体" w:hAnsi="宋体"/>
          <w:sz w:val="24"/>
          <w:szCs w:val="24"/>
        </w:rPr>
        <w:t>10.4</w:t>
      </w:r>
      <w:r>
        <w:rPr>
          <w:rFonts w:hint="eastAsia" w:ascii="宋体" w:hAnsi="宋体"/>
          <w:sz w:val="24"/>
          <w:szCs w:val="24"/>
        </w:rPr>
        <w:t>发货前，供货人应对货物的质量、规格、性能、数量和重量等进行准确而全面的检验，并出具一份证明货物符合合同文件约定的证书。该证书将作为提交付款单据的一部分，但有关质量、规格、性能、数量或重要的检验不应视为最终检验。供货人检验的结果和详细要求应在质量证书中加以说明，并由采购人予以确认。</w:t>
      </w:r>
    </w:p>
    <w:p>
      <w:pPr>
        <w:ind w:firstLine="480" w:firstLineChars="200"/>
        <w:rPr>
          <w:rFonts w:ascii="宋体"/>
          <w:sz w:val="24"/>
          <w:szCs w:val="24"/>
        </w:rPr>
      </w:pPr>
      <w:r>
        <w:rPr>
          <w:rFonts w:ascii="宋体" w:hAnsi="宋体"/>
          <w:sz w:val="24"/>
          <w:szCs w:val="24"/>
        </w:rPr>
        <w:t>10.5</w:t>
      </w:r>
      <w:r>
        <w:rPr>
          <w:rFonts w:hint="eastAsia" w:ascii="宋体" w:hAnsi="宋体"/>
          <w:sz w:val="24"/>
          <w:szCs w:val="24"/>
        </w:rPr>
        <w:t>采购人在货物到达合同文件约定的供货地点后，对货物进行检验，检验应当有书面记录和专人签字，经检验合格并获得采购人批准后，方可用于永久工程。</w:t>
      </w:r>
    </w:p>
    <w:p>
      <w:pPr>
        <w:ind w:firstLine="480" w:firstLineChars="200"/>
        <w:rPr>
          <w:rFonts w:ascii="宋体"/>
          <w:sz w:val="24"/>
          <w:szCs w:val="24"/>
        </w:rPr>
      </w:pPr>
      <w:r>
        <w:rPr>
          <w:rFonts w:ascii="宋体" w:hAnsi="宋体"/>
          <w:sz w:val="24"/>
          <w:szCs w:val="24"/>
        </w:rPr>
        <w:t>10.6</w:t>
      </w:r>
      <w:r>
        <w:rPr>
          <w:rFonts w:hint="eastAsia" w:ascii="宋体" w:hAnsi="宋体"/>
          <w:sz w:val="24"/>
          <w:szCs w:val="24"/>
        </w:rPr>
        <w:t>采购人在货物到达合同文件约定的供货地点后，对货物进行检验的权利不会因为在启运前通过了采购人检验而受到限制或放弃。</w:t>
      </w:r>
    </w:p>
    <w:p>
      <w:pPr>
        <w:ind w:firstLine="480" w:firstLineChars="200"/>
        <w:rPr>
          <w:rFonts w:ascii="宋体"/>
          <w:sz w:val="24"/>
          <w:szCs w:val="24"/>
        </w:rPr>
      </w:pPr>
      <w:r>
        <w:rPr>
          <w:rFonts w:ascii="宋体" w:hAnsi="宋体"/>
          <w:sz w:val="24"/>
          <w:szCs w:val="24"/>
        </w:rPr>
        <w:t>10.7</w:t>
      </w:r>
      <w:r>
        <w:rPr>
          <w:rFonts w:hint="eastAsia" w:ascii="宋体" w:hAnsi="宋体"/>
          <w:sz w:val="24"/>
          <w:szCs w:val="24"/>
        </w:rPr>
        <w:t>其他检验和测试约定见合同条款专用部分。</w:t>
      </w:r>
    </w:p>
    <w:p>
      <w:pPr>
        <w:rPr>
          <w:rFonts w:ascii="宋体"/>
          <w:b/>
          <w:bCs/>
          <w:sz w:val="24"/>
          <w:szCs w:val="24"/>
        </w:rPr>
      </w:pPr>
      <w:bookmarkStart w:id="156" w:name="_Toc381358656"/>
      <w:bookmarkStart w:id="157" w:name="_Toc375218748"/>
      <w:bookmarkStart w:id="158" w:name="_Toc218048984"/>
      <w:bookmarkStart w:id="159" w:name="_Toc218048804"/>
      <w:bookmarkStart w:id="160" w:name="_Toc217443940"/>
      <w:bookmarkStart w:id="161" w:name="_Toc256955346"/>
      <w:r>
        <w:rPr>
          <w:rFonts w:ascii="宋体" w:hAnsi="宋体"/>
          <w:b/>
          <w:bCs/>
          <w:sz w:val="24"/>
          <w:szCs w:val="24"/>
        </w:rPr>
        <w:t>11.</w:t>
      </w:r>
      <w:r>
        <w:rPr>
          <w:rFonts w:hint="eastAsia" w:ascii="宋体" w:hAnsi="宋体"/>
          <w:b/>
          <w:bCs/>
          <w:sz w:val="24"/>
          <w:szCs w:val="24"/>
        </w:rPr>
        <w:t>样品</w:t>
      </w:r>
      <w:bookmarkEnd w:id="156"/>
      <w:bookmarkEnd w:id="157"/>
      <w:bookmarkEnd w:id="158"/>
      <w:bookmarkEnd w:id="159"/>
      <w:bookmarkEnd w:id="160"/>
      <w:bookmarkEnd w:id="161"/>
    </w:p>
    <w:p>
      <w:pPr>
        <w:rPr>
          <w:rFonts w:ascii="宋体"/>
          <w:b/>
          <w:sz w:val="24"/>
          <w:szCs w:val="24"/>
        </w:rPr>
      </w:pPr>
      <w:bookmarkStart w:id="162" w:name="_Toc375218749"/>
      <w:r>
        <w:rPr>
          <w:rFonts w:ascii="宋体" w:hAnsi="宋体"/>
          <w:b/>
          <w:sz w:val="24"/>
          <w:szCs w:val="24"/>
        </w:rPr>
        <w:t>11.1</w:t>
      </w:r>
      <w:r>
        <w:rPr>
          <w:rFonts w:hint="eastAsia" w:ascii="宋体" w:hAnsi="宋体"/>
          <w:b/>
          <w:sz w:val="24"/>
          <w:szCs w:val="24"/>
        </w:rPr>
        <w:t>样品费用</w:t>
      </w:r>
      <w:bookmarkEnd w:id="162"/>
    </w:p>
    <w:p>
      <w:pPr>
        <w:ind w:firstLine="480" w:firstLineChars="200"/>
        <w:rPr>
          <w:rFonts w:ascii="宋体"/>
          <w:sz w:val="24"/>
          <w:szCs w:val="24"/>
        </w:rPr>
      </w:pPr>
      <w:r>
        <w:rPr>
          <w:rFonts w:hint="eastAsia" w:ascii="宋体" w:hAnsi="宋体"/>
          <w:sz w:val="24"/>
          <w:szCs w:val="24"/>
        </w:rPr>
        <w:t>样品的提供应符合技术标准和要求的约定，并承担相应费用，此费用已包含在合同价款内。</w:t>
      </w:r>
    </w:p>
    <w:p>
      <w:pPr>
        <w:rPr>
          <w:rFonts w:ascii="宋体"/>
          <w:b/>
          <w:sz w:val="24"/>
          <w:szCs w:val="24"/>
        </w:rPr>
      </w:pPr>
      <w:bookmarkStart w:id="163" w:name="_Toc375218750"/>
      <w:r>
        <w:rPr>
          <w:rFonts w:ascii="宋体" w:hAnsi="宋体"/>
          <w:b/>
          <w:sz w:val="24"/>
          <w:szCs w:val="24"/>
        </w:rPr>
        <w:t>11.2</w:t>
      </w:r>
      <w:r>
        <w:rPr>
          <w:rFonts w:hint="eastAsia" w:ascii="宋体" w:hAnsi="宋体"/>
          <w:b/>
          <w:sz w:val="24"/>
          <w:szCs w:val="24"/>
        </w:rPr>
        <w:t>样品报送</w:t>
      </w:r>
      <w:bookmarkEnd w:id="163"/>
    </w:p>
    <w:p>
      <w:pPr>
        <w:ind w:firstLine="480" w:firstLineChars="200"/>
        <w:rPr>
          <w:rFonts w:ascii="宋体"/>
          <w:sz w:val="24"/>
          <w:szCs w:val="24"/>
        </w:rPr>
      </w:pPr>
      <w:r>
        <w:rPr>
          <w:rFonts w:ascii="宋体" w:hAnsi="宋体"/>
          <w:sz w:val="24"/>
          <w:szCs w:val="24"/>
        </w:rPr>
        <w:t>11.2.1</w:t>
      </w:r>
      <w:r>
        <w:rPr>
          <w:rFonts w:hint="eastAsia" w:ascii="宋体" w:hAnsi="宋体"/>
          <w:sz w:val="24"/>
          <w:szCs w:val="24"/>
        </w:rPr>
        <w:t>对于在合同文件中约定的所有需要报送样品的货物，供货人应按照“技术标准和要求”中约定的时间提交，向采购人提交样品并附上必要的说明书、证书、出厂报告、性能介绍、使用说明等相关资料供检验。</w:t>
      </w:r>
    </w:p>
    <w:p>
      <w:pPr>
        <w:ind w:firstLine="480" w:firstLineChars="200"/>
        <w:rPr>
          <w:rFonts w:ascii="宋体"/>
          <w:sz w:val="24"/>
          <w:szCs w:val="24"/>
        </w:rPr>
      </w:pPr>
      <w:r>
        <w:rPr>
          <w:rFonts w:ascii="宋体" w:hAnsi="宋体"/>
          <w:sz w:val="24"/>
          <w:szCs w:val="24"/>
        </w:rPr>
        <w:t>11.2.2</w:t>
      </w:r>
      <w:r>
        <w:rPr>
          <w:rFonts w:hint="eastAsia" w:ascii="宋体" w:hAnsi="宋体"/>
          <w:sz w:val="24"/>
          <w:szCs w:val="24"/>
        </w:rPr>
        <w:t>应当按照采购人要求报送样品送达的地点和样品的数量或尺寸。除非合同文件另有约定，供货人在报送样品时应当按照采购人同意的格式填写并递交样品报送单。采购人应当及时签收样品。</w:t>
      </w:r>
    </w:p>
    <w:p>
      <w:pPr>
        <w:rPr>
          <w:rFonts w:ascii="宋体"/>
          <w:b/>
          <w:sz w:val="24"/>
          <w:szCs w:val="24"/>
        </w:rPr>
      </w:pPr>
      <w:bookmarkStart w:id="164" w:name="_Toc375218751"/>
      <w:r>
        <w:rPr>
          <w:rFonts w:ascii="宋体" w:hAnsi="宋体"/>
          <w:b/>
          <w:sz w:val="24"/>
          <w:szCs w:val="24"/>
        </w:rPr>
        <w:t>11.3</w:t>
      </w:r>
      <w:r>
        <w:rPr>
          <w:rFonts w:hint="eastAsia" w:ascii="宋体" w:hAnsi="宋体"/>
          <w:b/>
          <w:sz w:val="24"/>
          <w:szCs w:val="24"/>
        </w:rPr>
        <w:t>样品批复</w:t>
      </w:r>
      <w:bookmarkEnd w:id="164"/>
    </w:p>
    <w:p>
      <w:pPr>
        <w:ind w:firstLine="480" w:firstLineChars="200"/>
        <w:rPr>
          <w:rFonts w:ascii="宋体"/>
          <w:sz w:val="24"/>
          <w:szCs w:val="24"/>
        </w:rPr>
      </w:pPr>
      <w:r>
        <w:rPr>
          <w:rFonts w:ascii="宋体" w:hAnsi="宋体"/>
          <w:sz w:val="24"/>
          <w:szCs w:val="24"/>
        </w:rPr>
        <w:t>11.3.1</w:t>
      </w:r>
      <w:r>
        <w:rPr>
          <w:rFonts w:hint="eastAsia" w:ascii="宋体" w:hAnsi="宋体"/>
          <w:sz w:val="24"/>
          <w:szCs w:val="24"/>
        </w:rPr>
        <w:t>采购人应当在收到供货人报送的样品后，经采购人批准后，就此样品给出书面批复，通知供货人对此样品所做出的决定或指令。供货人应当根据采购人的书面批复和指令进行下一步工作。</w:t>
      </w:r>
    </w:p>
    <w:p>
      <w:pPr>
        <w:ind w:firstLine="480" w:firstLineChars="200"/>
        <w:rPr>
          <w:rFonts w:ascii="宋体"/>
          <w:sz w:val="24"/>
          <w:szCs w:val="24"/>
        </w:rPr>
      </w:pPr>
      <w:r>
        <w:rPr>
          <w:rFonts w:ascii="宋体" w:hAnsi="宋体"/>
          <w:sz w:val="24"/>
          <w:szCs w:val="24"/>
        </w:rPr>
        <w:t>11.3.2</w:t>
      </w:r>
      <w:r>
        <w:rPr>
          <w:rFonts w:hint="eastAsia" w:ascii="宋体" w:hAnsi="宋体"/>
          <w:sz w:val="24"/>
          <w:szCs w:val="24"/>
        </w:rPr>
        <w:t>如果采购人未能在收到样品后给出书面批复或指令，供货人应当就此以书面形式通知采购人尽快批复。如果采购人在收到此类通知后在合同条款专用部分约定的时间内仍未对样品进行批复，则视为采购人已批准。</w:t>
      </w:r>
      <w:bookmarkStart w:id="165" w:name="_Toc255490784"/>
      <w:bookmarkEnd w:id="165"/>
      <w:bookmarkStart w:id="166" w:name="_Toc256955358"/>
      <w:bookmarkEnd w:id="166"/>
      <w:bookmarkStart w:id="167" w:name="_Toc255490768"/>
      <w:bookmarkEnd w:id="167"/>
      <w:bookmarkStart w:id="168" w:name="_Toc256955359"/>
      <w:bookmarkEnd w:id="168"/>
      <w:bookmarkStart w:id="169" w:name="_Toc256955373"/>
      <w:bookmarkEnd w:id="169"/>
      <w:bookmarkStart w:id="170" w:name="_Toc255490786"/>
      <w:bookmarkEnd w:id="170"/>
      <w:bookmarkStart w:id="171" w:name="_Toc255490792"/>
      <w:bookmarkEnd w:id="171"/>
      <w:bookmarkStart w:id="172" w:name="_Toc256434244"/>
      <w:bookmarkEnd w:id="172"/>
      <w:bookmarkStart w:id="173" w:name="_Toc255490790"/>
      <w:bookmarkEnd w:id="173"/>
      <w:bookmarkStart w:id="174" w:name="_Toc256955355"/>
      <w:bookmarkEnd w:id="174"/>
      <w:bookmarkStart w:id="175" w:name="_Toc256955371"/>
      <w:bookmarkEnd w:id="175"/>
      <w:bookmarkStart w:id="176" w:name="_Toc256955372"/>
      <w:bookmarkEnd w:id="176"/>
      <w:bookmarkStart w:id="177" w:name="_Toc256955377"/>
      <w:bookmarkEnd w:id="177"/>
      <w:bookmarkStart w:id="178" w:name="_Toc256434236"/>
      <w:bookmarkEnd w:id="178"/>
      <w:bookmarkStart w:id="179" w:name="_Toc255490752"/>
      <w:bookmarkEnd w:id="179"/>
      <w:bookmarkStart w:id="180" w:name="_Toc256434254"/>
      <w:bookmarkEnd w:id="180"/>
      <w:bookmarkStart w:id="181" w:name="_Toc256955363"/>
      <w:bookmarkEnd w:id="181"/>
      <w:bookmarkStart w:id="182" w:name="_Toc255490803"/>
      <w:bookmarkEnd w:id="182"/>
      <w:bookmarkStart w:id="183" w:name="_Toc255490766"/>
      <w:bookmarkEnd w:id="183"/>
      <w:bookmarkStart w:id="184" w:name="_Toc256955375"/>
      <w:bookmarkEnd w:id="184"/>
      <w:bookmarkStart w:id="185" w:name="_Toc256955376"/>
      <w:bookmarkEnd w:id="185"/>
      <w:bookmarkStart w:id="186" w:name="_Toc256955362"/>
      <w:bookmarkEnd w:id="186"/>
      <w:bookmarkStart w:id="187" w:name="_Toc256434245"/>
      <w:bookmarkEnd w:id="187"/>
      <w:bookmarkStart w:id="188" w:name="_Toc256955364"/>
      <w:bookmarkEnd w:id="188"/>
      <w:bookmarkStart w:id="189" w:name="_Toc256955367"/>
      <w:bookmarkEnd w:id="189"/>
      <w:bookmarkStart w:id="190" w:name="_Toc256955374"/>
      <w:bookmarkEnd w:id="190"/>
      <w:bookmarkStart w:id="191" w:name="_Toc256955357"/>
      <w:bookmarkEnd w:id="191"/>
      <w:bookmarkStart w:id="192" w:name="_Toc256434251"/>
      <w:bookmarkEnd w:id="192"/>
      <w:bookmarkStart w:id="193" w:name="_Toc256434262"/>
      <w:bookmarkEnd w:id="193"/>
      <w:bookmarkStart w:id="194" w:name="_Toc255490761"/>
      <w:bookmarkEnd w:id="194"/>
      <w:bookmarkStart w:id="195" w:name="_Toc256434260"/>
      <w:bookmarkEnd w:id="195"/>
      <w:bookmarkStart w:id="196" w:name="_Toc256434247"/>
      <w:bookmarkEnd w:id="196"/>
      <w:bookmarkStart w:id="197" w:name="_Toc256955370"/>
      <w:bookmarkEnd w:id="197"/>
      <w:bookmarkStart w:id="198" w:name="_Toc255490696"/>
      <w:bookmarkEnd w:id="198"/>
      <w:bookmarkStart w:id="199" w:name="_Toc255490728"/>
      <w:bookmarkEnd w:id="199"/>
      <w:bookmarkStart w:id="200" w:name="_Toc255490711"/>
      <w:bookmarkEnd w:id="200"/>
      <w:bookmarkStart w:id="201" w:name="_Toc255490736"/>
      <w:bookmarkEnd w:id="201"/>
      <w:bookmarkStart w:id="202" w:name="_Toc255490703"/>
      <w:bookmarkEnd w:id="202"/>
      <w:bookmarkStart w:id="203" w:name="_Toc256434241"/>
      <w:bookmarkEnd w:id="203"/>
      <w:bookmarkStart w:id="204" w:name="_Toc255490691"/>
      <w:bookmarkEnd w:id="204"/>
      <w:bookmarkStart w:id="205" w:name="_Toc256434240"/>
      <w:bookmarkEnd w:id="205"/>
      <w:bookmarkStart w:id="206" w:name="_Toc255490717"/>
      <w:bookmarkEnd w:id="206"/>
      <w:bookmarkStart w:id="207" w:name="_Toc256434237"/>
      <w:bookmarkEnd w:id="207"/>
      <w:bookmarkStart w:id="208" w:name="_Toc256955368"/>
      <w:bookmarkEnd w:id="208"/>
      <w:bookmarkStart w:id="209" w:name="_Toc255490799"/>
      <w:bookmarkEnd w:id="209"/>
      <w:bookmarkStart w:id="210" w:name="_Toc256955366"/>
      <w:bookmarkEnd w:id="210"/>
      <w:bookmarkStart w:id="211" w:name="_Toc256434238"/>
      <w:bookmarkEnd w:id="211"/>
      <w:bookmarkStart w:id="212" w:name="_Toc255490791"/>
      <w:bookmarkEnd w:id="212"/>
      <w:bookmarkStart w:id="213" w:name="_Toc255490789"/>
      <w:bookmarkEnd w:id="213"/>
      <w:bookmarkStart w:id="214" w:name="_Toc255490709"/>
      <w:bookmarkEnd w:id="214"/>
      <w:bookmarkStart w:id="215" w:name="_Toc255490743"/>
      <w:bookmarkEnd w:id="215"/>
      <w:bookmarkStart w:id="216" w:name="_Toc255490778"/>
      <w:bookmarkEnd w:id="216"/>
      <w:bookmarkStart w:id="217" w:name="_Toc255490785"/>
      <w:bookmarkEnd w:id="217"/>
      <w:bookmarkStart w:id="218" w:name="_Toc255490746"/>
      <w:bookmarkEnd w:id="218"/>
      <w:bookmarkStart w:id="219" w:name="_Toc255490756"/>
      <w:bookmarkEnd w:id="219"/>
      <w:bookmarkStart w:id="220" w:name="_Toc255490795"/>
      <w:bookmarkEnd w:id="220"/>
      <w:bookmarkStart w:id="221" w:name="_Toc255490776"/>
      <w:bookmarkEnd w:id="221"/>
      <w:bookmarkStart w:id="222" w:name="_Toc255490685"/>
      <w:bookmarkEnd w:id="222"/>
      <w:bookmarkStart w:id="223" w:name="_Toc256955361"/>
      <w:bookmarkEnd w:id="223"/>
      <w:bookmarkStart w:id="224" w:name="_Toc256434253"/>
      <w:bookmarkEnd w:id="224"/>
      <w:bookmarkStart w:id="225" w:name="_Toc256955369"/>
      <w:bookmarkEnd w:id="225"/>
      <w:bookmarkStart w:id="226" w:name="_Toc256955352"/>
      <w:bookmarkEnd w:id="226"/>
      <w:bookmarkStart w:id="227" w:name="_Toc255490788"/>
      <w:bookmarkEnd w:id="227"/>
      <w:bookmarkStart w:id="228" w:name="_Toc255490699"/>
      <w:bookmarkEnd w:id="228"/>
      <w:bookmarkStart w:id="229" w:name="_Toc255490723"/>
      <w:bookmarkEnd w:id="229"/>
      <w:bookmarkStart w:id="230" w:name="_Toc255490762"/>
      <w:bookmarkEnd w:id="230"/>
      <w:bookmarkStart w:id="231" w:name="_Toc255490747"/>
      <w:bookmarkEnd w:id="231"/>
      <w:bookmarkStart w:id="232" w:name="_Toc255490727"/>
      <w:bookmarkEnd w:id="232"/>
      <w:bookmarkStart w:id="233" w:name="_Toc256955347"/>
      <w:bookmarkEnd w:id="233"/>
      <w:bookmarkStart w:id="234" w:name="_Toc256434263"/>
      <w:bookmarkEnd w:id="234"/>
      <w:bookmarkStart w:id="235" w:name="_Toc255490801"/>
      <w:bookmarkEnd w:id="235"/>
      <w:bookmarkStart w:id="236" w:name="_Toc255490710"/>
      <w:bookmarkEnd w:id="236"/>
      <w:bookmarkStart w:id="237" w:name="_Toc255490702"/>
      <w:bookmarkEnd w:id="237"/>
      <w:bookmarkStart w:id="238" w:name="_Toc255490742"/>
      <w:bookmarkEnd w:id="238"/>
      <w:bookmarkStart w:id="239" w:name="_Toc255490689"/>
      <w:bookmarkEnd w:id="239"/>
      <w:bookmarkStart w:id="240" w:name="_Toc255490704"/>
      <w:bookmarkEnd w:id="240"/>
      <w:bookmarkStart w:id="241" w:name="_Toc255490708"/>
      <w:bookmarkEnd w:id="241"/>
      <w:bookmarkStart w:id="242" w:name="_Toc256434261"/>
      <w:bookmarkEnd w:id="242"/>
      <w:bookmarkStart w:id="243" w:name="_Toc256434255"/>
      <w:bookmarkEnd w:id="243"/>
      <w:bookmarkStart w:id="244" w:name="_Toc255490794"/>
      <w:bookmarkEnd w:id="244"/>
      <w:bookmarkStart w:id="245" w:name="_Toc255490712"/>
      <w:bookmarkEnd w:id="245"/>
      <w:bookmarkStart w:id="246" w:name="_Toc255490715"/>
      <w:bookmarkEnd w:id="246"/>
      <w:bookmarkStart w:id="247" w:name="_Toc255490713"/>
      <w:bookmarkEnd w:id="247"/>
      <w:bookmarkStart w:id="248" w:name="_Toc255490734"/>
      <w:bookmarkEnd w:id="248"/>
      <w:bookmarkStart w:id="249" w:name="_Toc255490725"/>
      <w:bookmarkEnd w:id="249"/>
      <w:bookmarkStart w:id="250" w:name="_Toc255490686"/>
      <w:bookmarkEnd w:id="250"/>
      <w:bookmarkStart w:id="251" w:name="_Toc255490687"/>
      <w:bookmarkEnd w:id="251"/>
      <w:bookmarkStart w:id="252" w:name="_Toc256434235"/>
      <w:bookmarkEnd w:id="252"/>
      <w:bookmarkStart w:id="253" w:name="_Toc255490745"/>
      <w:bookmarkEnd w:id="253"/>
      <w:bookmarkStart w:id="254" w:name="_Toc255490772"/>
      <w:bookmarkEnd w:id="254"/>
      <w:bookmarkStart w:id="255" w:name="_Toc255490714"/>
      <w:bookmarkEnd w:id="255"/>
      <w:bookmarkStart w:id="256" w:name="_Toc255490707"/>
      <w:bookmarkEnd w:id="256"/>
      <w:bookmarkStart w:id="257" w:name="_Toc255490701"/>
      <w:bookmarkEnd w:id="257"/>
      <w:bookmarkStart w:id="258" w:name="_Toc255490705"/>
      <w:bookmarkEnd w:id="258"/>
      <w:bookmarkStart w:id="259" w:name="_Toc256955360"/>
      <w:bookmarkEnd w:id="259"/>
      <w:bookmarkStart w:id="260" w:name="_Toc255490719"/>
      <w:bookmarkEnd w:id="260"/>
      <w:bookmarkStart w:id="261" w:name="_Toc255490698"/>
      <w:bookmarkEnd w:id="261"/>
      <w:bookmarkStart w:id="262" w:name="_Toc255490692"/>
      <w:bookmarkEnd w:id="262"/>
      <w:bookmarkStart w:id="263" w:name="_Toc255490726"/>
      <w:bookmarkEnd w:id="263"/>
      <w:bookmarkStart w:id="264" w:name="_Toc255490757"/>
      <w:bookmarkEnd w:id="264"/>
      <w:bookmarkStart w:id="265" w:name="_Toc255490724"/>
      <w:bookmarkEnd w:id="265"/>
      <w:bookmarkStart w:id="266" w:name="_Toc255490695"/>
      <w:bookmarkEnd w:id="266"/>
      <w:bookmarkStart w:id="267" w:name="_Toc256434249"/>
      <w:bookmarkEnd w:id="267"/>
      <w:bookmarkStart w:id="268" w:name="_Toc256955350"/>
      <w:bookmarkEnd w:id="268"/>
      <w:bookmarkStart w:id="269" w:name="_Toc255490796"/>
      <w:bookmarkEnd w:id="269"/>
      <w:bookmarkStart w:id="270" w:name="_Toc255490763"/>
      <w:bookmarkEnd w:id="270"/>
      <w:bookmarkStart w:id="271" w:name="_Toc256955351"/>
      <w:bookmarkEnd w:id="271"/>
      <w:bookmarkStart w:id="272" w:name="_Toc256434265"/>
      <w:bookmarkEnd w:id="272"/>
      <w:bookmarkStart w:id="273" w:name="_Toc255490732"/>
      <w:bookmarkEnd w:id="273"/>
      <w:bookmarkStart w:id="274" w:name="_Toc255490793"/>
      <w:bookmarkEnd w:id="274"/>
      <w:bookmarkStart w:id="275" w:name="_Toc255490759"/>
      <w:bookmarkEnd w:id="275"/>
      <w:bookmarkStart w:id="276" w:name="_Toc255490777"/>
      <w:bookmarkEnd w:id="276"/>
      <w:bookmarkStart w:id="277" w:name="_Toc256434257"/>
      <w:bookmarkEnd w:id="277"/>
      <w:bookmarkStart w:id="278" w:name="_Toc255490721"/>
      <w:bookmarkEnd w:id="278"/>
      <w:bookmarkStart w:id="279" w:name="_Toc256955354"/>
      <w:bookmarkEnd w:id="279"/>
      <w:bookmarkStart w:id="280" w:name="_Toc256434264"/>
      <w:bookmarkEnd w:id="280"/>
      <w:bookmarkStart w:id="281" w:name="_Toc255490754"/>
      <w:bookmarkEnd w:id="281"/>
      <w:bookmarkStart w:id="282" w:name="_Toc255490738"/>
      <w:bookmarkEnd w:id="282"/>
      <w:bookmarkStart w:id="283" w:name="_Toc256434248"/>
      <w:bookmarkEnd w:id="283"/>
      <w:bookmarkStart w:id="284" w:name="_Toc255490751"/>
      <w:bookmarkEnd w:id="284"/>
      <w:bookmarkStart w:id="285" w:name="_Toc255490765"/>
      <w:bookmarkEnd w:id="285"/>
      <w:bookmarkStart w:id="286" w:name="_Toc255490773"/>
      <w:bookmarkEnd w:id="286"/>
      <w:bookmarkStart w:id="287" w:name="_Toc255490770"/>
      <w:bookmarkEnd w:id="287"/>
      <w:bookmarkStart w:id="288" w:name="_Toc255490694"/>
      <w:bookmarkEnd w:id="288"/>
      <w:bookmarkStart w:id="289" w:name="_Toc256434239"/>
      <w:bookmarkEnd w:id="289"/>
      <w:bookmarkStart w:id="290" w:name="_Toc255490774"/>
      <w:bookmarkEnd w:id="290"/>
      <w:bookmarkStart w:id="291" w:name="_Toc255490769"/>
      <w:bookmarkEnd w:id="291"/>
      <w:bookmarkStart w:id="292" w:name="_Toc255490781"/>
      <w:bookmarkEnd w:id="292"/>
      <w:bookmarkStart w:id="293" w:name="_Toc256434246"/>
      <w:bookmarkEnd w:id="293"/>
      <w:bookmarkStart w:id="294" w:name="_Toc256434250"/>
      <w:bookmarkEnd w:id="294"/>
      <w:bookmarkStart w:id="295" w:name="_Toc256434256"/>
      <w:bookmarkEnd w:id="295"/>
      <w:bookmarkStart w:id="296" w:name="_Toc255490800"/>
      <w:bookmarkEnd w:id="296"/>
      <w:bookmarkStart w:id="297" w:name="_Toc255490797"/>
      <w:bookmarkEnd w:id="297"/>
      <w:bookmarkStart w:id="298" w:name="_Toc255490688"/>
      <w:bookmarkEnd w:id="298"/>
      <w:bookmarkStart w:id="299" w:name="_Toc255490758"/>
      <w:bookmarkEnd w:id="299"/>
      <w:bookmarkStart w:id="300" w:name="_Toc255490771"/>
      <w:bookmarkEnd w:id="300"/>
      <w:bookmarkStart w:id="301" w:name="_Toc255490733"/>
      <w:bookmarkEnd w:id="301"/>
      <w:bookmarkStart w:id="302" w:name="_Toc255490780"/>
      <w:bookmarkEnd w:id="302"/>
      <w:bookmarkStart w:id="303" w:name="_Toc255490802"/>
      <w:bookmarkEnd w:id="303"/>
      <w:bookmarkStart w:id="304" w:name="_Toc255490722"/>
      <w:bookmarkEnd w:id="304"/>
      <w:bookmarkStart w:id="305" w:name="_Toc255490731"/>
      <w:bookmarkEnd w:id="305"/>
      <w:bookmarkStart w:id="306" w:name="_Toc256434242"/>
      <w:bookmarkEnd w:id="306"/>
      <w:bookmarkStart w:id="307" w:name="_Toc255490748"/>
      <w:bookmarkEnd w:id="307"/>
      <w:bookmarkStart w:id="308" w:name="_Toc255490730"/>
      <w:bookmarkEnd w:id="308"/>
      <w:bookmarkStart w:id="309" w:name="_Toc255490700"/>
      <w:bookmarkEnd w:id="309"/>
      <w:bookmarkStart w:id="310" w:name="_Toc255490744"/>
      <w:bookmarkEnd w:id="310"/>
      <w:bookmarkStart w:id="311" w:name="_Toc255490740"/>
      <w:bookmarkEnd w:id="311"/>
      <w:bookmarkStart w:id="312" w:name="_Toc255490718"/>
      <w:bookmarkEnd w:id="312"/>
      <w:bookmarkStart w:id="313" w:name="_Toc255490716"/>
      <w:bookmarkEnd w:id="313"/>
      <w:bookmarkStart w:id="314" w:name="_Toc255490775"/>
      <w:bookmarkEnd w:id="314"/>
      <w:bookmarkStart w:id="315" w:name="_Toc255490720"/>
      <w:bookmarkEnd w:id="315"/>
      <w:bookmarkStart w:id="316" w:name="_Toc255490764"/>
      <w:bookmarkEnd w:id="316"/>
      <w:bookmarkStart w:id="317" w:name="_Toc255490749"/>
      <w:bookmarkEnd w:id="317"/>
      <w:bookmarkStart w:id="318" w:name="_Toc255490750"/>
      <w:bookmarkEnd w:id="318"/>
      <w:bookmarkStart w:id="319" w:name="_Toc255490735"/>
      <w:bookmarkEnd w:id="319"/>
      <w:bookmarkStart w:id="320" w:name="_Toc255490729"/>
      <w:bookmarkEnd w:id="320"/>
      <w:bookmarkStart w:id="321" w:name="_Toc255490760"/>
      <w:bookmarkEnd w:id="321"/>
      <w:bookmarkStart w:id="322" w:name="_Toc255490782"/>
      <w:bookmarkEnd w:id="322"/>
      <w:bookmarkStart w:id="323" w:name="_Toc256955356"/>
      <w:bookmarkEnd w:id="323"/>
      <w:bookmarkStart w:id="324" w:name="_Toc255490739"/>
      <w:bookmarkEnd w:id="324"/>
      <w:bookmarkStart w:id="325" w:name="_Toc255490804"/>
      <w:bookmarkEnd w:id="325"/>
      <w:bookmarkStart w:id="326" w:name="_Toc256955348"/>
      <w:bookmarkEnd w:id="326"/>
      <w:bookmarkStart w:id="327" w:name="_Toc256955349"/>
      <w:bookmarkEnd w:id="327"/>
      <w:bookmarkStart w:id="328" w:name="_Toc255490697"/>
      <w:bookmarkEnd w:id="328"/>
      <w:bookmarkStart w:id="329" w:name="_Toc255490779"/>
      <w:bookmarkEnd w:id="329"/>
      <w:bookmarkStart w:id="330" w:name="_Toc255490737"/>
      <w:bookmarkEnd w:id="330"/>
      <w:bookmarkStart w:id="331" w:name="_Toc255490767"/>
      <w:bookmarkEnd w:id="331"/>
      <w:bookmarkStart w:id="332" w:name="_Toc255490741"/>
      <w:bookmarkEnd w:id="332"/>
      <w:bookmarkStart w:id="333" w:name="_Toc256434243"/>
      <w:bookmarkEnd w:id="333"/>
      <w:bookmarkStart w:id="334" w:name="_Toc255490753"/>
      <w:bookmarkEnd w:id="334"/>
      <w:bookmarkStart w:id="335" w:name="_Toc256955353"/>
      <w:bookmarkEnd w:id="335"/>
      <w:bookmarkStart w:id="336" w:name="_Toc255490755"/>
      <w:bookmarkEnd w:id="336"/>
      <w:bookmarkStart w:id="337" w:name="_Toc256955365"/>
      <w:bookmarkEnd w:id="337"/>
      <w:bookmarkStart w:id="338" w:name="_Toc255490783"/>
      <w:bookmarkEnd w:id="338"/>
      <w:bookmarkStart w:id="339" w:name="_Toc256434252"/>
      <w:bookmarkEnd w:id="339"/>
      <w:bookmarkStart w:id="340" w:name="_Toc256434259"/>
      <w:bookmarkEnd w:id="340"/>
      <w:bookmarkStart w:id="341" w:name="_Toc255490787"/>
      <w:bookmarkEnd w:id="341"/>
      <w:bookmarkStart w:id="342" w:name="_Toc255490693"/>
      <w:bookmarkEnd w:id="342"/>
      <w:bookmarkStart w:id="343" w:name="_Toc255490798"/>
      <w:bookmarkEnd w:id="343"/>
      <w:bookmarkStart w:id="344" w:name="_Toc256434258"/>
      <w:bookmarkEnd w:id="344"/>
      <w:bookmarkStart w:id="345" w:name="_Toc218048812"/>
      <w:bookmarkStart w:id="346" w:name="_Toc256955378"/>
      <w:bookmarkStart w:id="347" w:name="_Toc217443948"/>
      <w:bookmarkStart w:id="348" w:name="_Toc381358657"/>
      <w:bookmarkStart w:id="349" w:name="_Toc375218752"/>
      <w:bookmarkStart w:id="350" w:name="_Toc218048992"/>
    </w:p>
    <w:p>
      <w:pPr>
        <w:rPr>
          <w:rFonts w:ascii="宋体"/>
          <w:b/>
          <w:sz w:val="24"/>
          <w:szCs w:val="24"/>
        </w:rPr>
      </w:pPr>
      <w:r>
        <w:rPr>
          <w:rFonts w:ascii="宋体" w:hAnsi="宋体"/>
          <w:b/>
          <w:sz w:val="24"/>
          <w:szCs w:val="24"/>
        </w:rPr>
        <w:t>12.</w:t>
      </w:r>
      <w:r>
        <w:rPr>
          <w:rFonts w:hint="eastAsia" w:ascii="宋体" w:hAnsi="宋体"/>
          <w:b/>
          <w:sz w:val="24"/>
          <w:szCs w:val="24"/>
        </w:rPr>
        <w:t>合同价款</w:t>
      </w:r>
      <w:bookmarkEnd w:id="345"/>
      <w:bookmarkEnd w:id="346"/>
      <w:bookmarkEnd w:id="347"/>
      <w:bookmarkEnd w:id="348"/>
      <w:bookmarkEnd w:id="349"/>
      <w:bookmarkEnd w:id="350"/>
    </w:p>
    <w:p>
      <w:pPr>
        <w:rPr>
          <w:rFonts w:ascii="宋体"/>
          <w:b/>
          <w:sz w:val="24"/>
          <w:szCs w:val="24"/>
        </w:rPr>
      </w:pPr>
      <w:bookmarkStart w:id="351" w:name="_Toc375218753"/>
      <w:r>
        <w:rPr>
          <w:rFonts w:ascii="宋体" w:hAnsi="宋体"/>
          <w:b/>
          <w:sz w:val="24"/>
          <w:szCs w:val="24"/>
        </w:rPr>
        <w:t>12.1</w:t>
      </w:r>
      <w:r>
        <w:rPr>
          <w:rFonts w:hint="eastAsia" w:ascii="宋体" w:hAnsi="宋体"/>
          <w:b/>
          <w:sz w:val="24"/>
          <w:szCs w:val="24"/>
        </w:rPr>
        <w:t>计价和支付货币</w:t>
      </w:r>
      <w:bookmarkEnd w:id="351"/>
    </w:p>
    <w:p>
      <w:pPr>
        <w:ind w:firstLine="480" w:firstLineChars="200"/>
        <w:rPr>
          <w:rFonts w:ascii="宋体"/>
          <w:sz w:val="24"/>
          <w:szCs w:val="24"/>
        </w:rPr>
      </w:pPr>
      <w:r>
        <w:rPr>
          <w:rFonts w:hint="eastAsia" w:ascii="宋体" w:hAnsi="宋体"/>
          <w:sz w:val="24"/>
          <w:szCs w:val="24"/>
        </w:rPr>
        <w:t>除非合同文件另有约定，本供货合同下的计价、支付和结算均以人民币为计价货币。</w:t>
      </w:r>
    </w:p>
    <w:p>
      <w:pPr>
        <w:rPr>
          <w:rFonts w:ascii="宋体"/>
          <w:b/>
          <w:sz w:val="24"/>
          <w:szCs w:val="24"/>
        </w:rPr>
      </w:pPr>
      <w:bookmarkStart w:id="352" w:name="_Toc375218754"/>
      <w:r>
        <w:rPr>
          <w:rFonts w:ascii="宋体" w:hAnsi="宋体"/>
          <w:b/>
          <w:sz w:val="24"/>
          <w:szCs w:val="24"/>
        </w:rPr>
        <w:t>12.2</w:t>
      </w:r>
      <w:r>
        <w:rPr>
          <w:rFonts w:hint="eastAsia" w:ascii="宋体" w:hAnsi="宋体"/>
          <w:b/>
          <w:sz w:val="24"/>
          <w:szCs w:val="24"/>
        </w:rPr>
        <w:t>合同价款</w:t>
      </w:r>
      <w:bookmarkEnd w:id="352"/>
    </w:p>
    <w:p>
      <w:pPr>
        <w:ind w:firstLine="480" w:firstLineChars="200"/>
        <w:rPr>
          <w:rFonts w:ascii="宋体"/>
          <w:sz w:val="24"/>
          <w:szCs w:val="24"/>
        </w:rPr>
      </w:pPr>
      <w:r>
        <w:rPr>
          <w:rFonts w:hint="eastAsia" w:ascii="宋体" w:hAnsi="宋体"/>
          <w:sz w:val="24"/>
          <w:szCs w:val="24"/>
        </w:rPr>
        <w:t>本供货合同采用的合同价款的约定方式见合同条款专用部分。</w:t>
      </w:r>
    </w:p>
    <w:p>
      <w:pPr>
        <w:rPr>
          <w:rFonts w:ascii="宋体"/>
          <w:b/>
          <w:sz w:val="24"/>
          <w:szCs w:val="24"/>
        </w:rPr>
      </w:pPr>
      <w:bookmarkStart w:id="353" w:name="_Toc375218755"/>
      <w:r>
        <w:rPr>
          <w:rFonts w:ascii="宋体" w:hAnsi="宋体"/>
          <w:b/>
          <w:sz w:val="24"/>
          <w:szCs w:val="24"/>
        </w:rPr>
        <w:t>12.3</w:t>
      </w:r>
      <w:r>
        <w:rPr>
          <w:rFonts w:hint="eastAsia" w:ascii="宋体" w:hAnsi="宋体"/>
          <w:b/>
          <w:sz w:val="24"/>
          <w:szCs w:val="24"/>
        </w:rPr>
        <w:t>合同价款的调整</w:t>
      </w:r>
      <w:bookmarkEnd w:id="353"/>
    </w:p>
    <w:p>
      <w:pPr>
        <w:ind w:firstLine="480" w:firstLineChars="200"/>
        <w:rPr>
          <w:rFonts w:ascii="宋体"/>
          <w:sz w:val="24"/>
          <w:szCs w:val="24"/>
        </w:rPr>
      </w:pPr>
      <w:r>
        <w:rPr>
          <w:rFonts w:hint="eastAsia" w:ascii="宋体" w:hAnsi="宋体"/>
          <w:sz w:val="24"/>
          <w:szCs w:val="24"/>
        </w:rPr>
        <w:t>合同协议书中约定的签约合同价款在下述因素影响下可按照下述规定予以调整：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）本供货合同签订后，法律、法规、规章和规范性文件发生变化，且这种变化对合同价款具有强制性调整作用时，合同价款按照相关法律、法规、规章和规范性文件予以调整；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）发生变更时，按照第</w:t>
      </w:r>
      <w:r>
        <w:rPr>
          <w:rFonts w:ascii="宋体" w:hAnsi="宋体"/>
          <w:sz w:val="24"/>
          <w:szCs w:val="24"/>
        </w:rPr>
        <w:t>13</w:t>
      </w:r>
      <w:r>
        <w:rPr>
          <w:rFonts w:hint="eastAsia" w:ascii="宋体" w:hAnsi="宋体"/>
          <w:sz w:val="24"/>
          <w:szCs w:val="24"/>
        </w:rPr>
        <w:t>条和</w:t>
      </w:r>
      <w:r>
        <w:rPr>
          <w:rFonts w:ascii="宋体" w:hAnsi="宋体"/>
          <w:sz w:val="24"/>
          <w:szCs w:val="24"/>
        </w:rPr>
        <w:t>14</w:t>
      </w:r>
      <w:r>
        <w:rPr>
          <w:rFonts w:hint="eastAsia" w:ascii="宋体" w:hAnsi="宋体"/>
          <w:sz w:val="24"/>
          <w:szCs w:val="24"/>
        </w:rPr>
        <w:t>条约定调整合同价款。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）其他调整因素及方法见合同条款专用部分。</w:t>
      </w:r>
    </w:p>
    <w:p>
      <w:pPr>
        <w:rPr>
          <w:rFonts w:ascii="宋体"/>
          <w:b/>
          <w:sz w:val="24"/>
          <w:szCs w:val="24"/>
        </w:rPr>
      </w:pPr>
      <w:bookmarkStart w:id="354" w:name="_Toc217443949"/>
      <w:bookmarkStart w:id="355" w:name="_Toc218048993"/>
      <w:bookmarkStart w:id="356" w:name="_Toc381358658"/>
      <w:bookmarkStart w:id="357" w:name="_Toc218048813"/>
      <w:bookmarkStart w:id="358" w:name="_Toc375218756"/>
      <w:bookmarkStart w:id="359" w:name="_Toc256955379"/>
      <w:r>
        <w:rPr>
          <w:rFonts w:ascii="宋体" w:hAnsi="宋体"/>
          <w:b/>
          <w:sz w:val="24"/>
          <w:szCs w:val="24"/>
        </w:rPr>
        <w:t>13</w:t>
      </w:r>
      <w:r>
        <w:rPr>
          <w:rFonts w:hint="eastAsia" w:ascii="宋体" w:hAnsi="宋体"/>
          <w:b/>
          <w:sz w:val="24"/>
          <w:szCs w:val="24"/>
        </w:rPr>
        <w:t>变更</w:t>
      </w:r>
      <w:bookmarkEnd w:id="354"/>
      <w:bookmarkEnd w:id="355"/>
      <w:bookmarkEnd w:id="356"/>
      <w:bookmarkEnd w:id="357"/>
      <w:bookmarkEnd w:id="358"/>
      <w:bookmarkEnd w:id="359"/>
    </w:p>
    <w:p>
      <w:pPr>
        <w:rPr>
          <w:rFonts w:ascii="宋体"/>
          <w:b/>
          <w:sz w:val="24"/>
          <w:szCs w:val="24"/>
        </w:rPr>
      </w:pPr>
      <w:bookmarkStart w:id="360" w:name="_Toc375218757"/>
      <w:r>
        <w:rPr>
          <w:rFonts w:ascii="宋体" w:hAnsi="宋体"/>
          <w:b/>
          <w:sz w:val="24"/>
          <w:szCs w:val="24"/>
        </w:rPr>
        <w:t>13.1</w:t>
      </w:r>
      <w:r>
        <w:rPr>
          <w:rFonts w:hint="eastAsia" w:ascii="宋体" w:hAnsi="宋体"/>
          <w:b/>
          <w:sz w:val="24"/>
          <w:szCs w:val="24"/>
        </w:rPr>
        <w:t>变更</w:t>
      </w:r>
      <w:bookmarkEnd w:id="360"/>
    </w:p>
    <w:p>
      <w:pPr>
        <w:ind w:firstLine="480" w:firstLineChars="200"/>
        <w:rPr>
          <w:rFonts w:ascii="宋体"/>
          <w:sz w:val="24"/>
          <w:szCs w:val="24"/>
        </w:rPr>
      </w:pPr>
      <w:r>
        <w:rPr>
          <w:rFonts w:hint="eastAsia" w:ascii="宋体" w:hAnsi="宋体"/>
          <w:sz w:val="24"/>
          <w:szCs w:val="24"/>
        </w:rPr>
        <w:t>如果采购人认为有必要对本采购项目做出变更，则采购人有权发出指令要求供货人进行下述工作，供货人应当遵照执行：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）增加或减少本供货合同中所包括的任何货物的数量；</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）改变本供货合同中所包括的任何货物的性质、质量、规格或类型；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）改变本供货合同中所包括的任何货物的供货地点；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）改变本供货合同中所包括的任何货物的供货安装周期及供货计划；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）改变本供货合同中所包括的任何货物的服务；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）其他指令要求见合同条款专用部分。</w:t>
      </w:r>
    </w:p>
    <w:p>
      <w:pPr>
        <w:rPr>
          <w:rFonts w:ascii="宋体"/>
          <w:b/>
          <w:sz w:val="24"/>
          <w:szCs w:val="24"/>
        </w:rPr>
      </w:pPr>
      <w:bookmarkStart w:id="361" w:name="_Toc375218758"/>
      <w:r>
        <w:rPr>
          <w:rFonts w:ascii="宋体" w:hAnsi="宋体"/>
          <w:b/>
          <w:sz w:val="24"/>
          <w:szCs w:val="24"/>
        </w:rPr>
        <w:t>13.2</w:t>
      </w:r>
      <w:r>
        <w:rPr>
          <w:rFonts w:hint="eastAsia" w:ascii="宋体" w:hAnsi="宋体"/>
          <w:b/>
          <w:sz w:val="24"/>
          <w:szCs w:val="24"/>
        </w:rPr>
        <w:t>变更的影响</w:t>
      </w:r>
      <w:bookmarkEnd w:id="361"/>
    </w:p>
    <w:p>
      <w:pPr>
        <w:ind w:firstLine="480" w:firstLineChars="200"/>
        <w:rPr>
          <w:rFonts w:ascii="宋体"/>
          <w:sz w:val="24"/>
          <w:szCs w:val="24"/>
        </w:rPr>
      </w:pPr>
      <w:r>
        <w:rPr>
          <w:rFonts w:hint="eastAsia" w:ascii="宋体" w:hAnsi="宋体"/>
          <w:sz w:val="24"/>
          <w:szCs w:val="24"/>
        </w:rPr>
        <w:t>变更不应当以任何方式使合同失效，但所有变更对项目合同价款的影响应当按照本供货合同约定进行变更计价。如果采购人发出指令进行供货变更完全是因为：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）供货人的违约或毁约；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）供货人自身的方便；</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）供货人其他的原因。</w:t>
      </w:r>
    </w:p>
    <w:p>
      <w:pPr>
        <w:ind w:firstLine="480" w:firstLineChars="200"/>
        <w:rPr>
          <w:rFonts w:ascii="宋体"/>
          <w:sz w:val="24"/>
          <w:szCs w:val="24"/>
        </w:rPr>
      </w:pPr>
      <w:r>
        <w:rPr>
          <w:rFonts w:hint="eastAsia" w:ascii="宋体" w:hAnsi="宋体"/>
          <w:sz w:val="24"/>
          <w:szCs w:val="24"/>
        </w:rPr>
        <w:t>则由于上述原因引起的变更的费用应当由供货人承担。</w:t>
      </w:r>
    </w:p>
    <w:p>
      <w:pPr>
        <w:rPr>
          <w:rFonts w:ascii="宋体"/>
          <w:b/>
          <w:sz w:val="24"/>
          <w:szCs w:val="24"/>
        </w:rPr>
      </w:pPr>
      <w:bookmarkStart w:id="362" w:name="_Toc375218759"/>
      <w:r>
        <w:rPr>
          <w:rFonts w:ascii="宋体" w:hAnsi="宋体"/>
          <w:b/>
          <w:sz w:val="24"/>
          <w:szCs w:val="24"/>
        </w:rPr>
        <w:t>13.3</w:t>
      </w:r>
      <w:r>
        <w:rPr>
          <w:rFonts w:hint="eastAsia" w:ascii="宋体" w:hAnsi="宋体"/>
          <w:b/>
          <w:sz w:val="24"/>
          <w:szCs w:val="24"/>
        </w:rPr>
        <w:t>变更的指令</w:t>
      </w:r>
      <w:bookmarkEnd w:id="362"/>
    </w:p>
    <w:p>
      <w:pPr>
        <w:ind w:firstLine="480" w:firstLineChars="200"/>
        <w:rPr>
          <w:rFonts w:ascii="宋体"/>
          <w:sz w:val="24"/>
          <w:szCs w:val="24"/>
        </w:rPr>
      </w:pPr>
      <w:r>
        <w:rPr>
          <w:rFonts w:ascii="宋体" w:hAnsi="宋体"/>
          <w:sz w:val="24"/>
          <w:szCs w:val="24"/>
        </w:rPr>
        <w:t>13.3.1</w:t>
      </w:r>
      <w:r>
        <w:rPr>
          <w:rFonts w:hint="eastAsia" w:ascii="宋体" w:hAnsi="宋体"/>
          <w:sz w:val="24"/>
          <w:szCs w:val="24"/>
        </w:rPr>
        <w:t>无采购人发出的书面指令，供货人不得做出任何供货变更。因供货人擅自变更设计发生的费用和由此导致采购人的直接损失，由供货人承担，延误的供货安装周期不予顺延。</w:t>
      </w:r>
    </w:p>
    <w:p>
      <w:pPr>
        <w:ind w:firstLine="480" w:firstLineChars="200"/>
        <w:rPr>
          <w:rFonts w:ascii="宋体"/>
          <w:sz w:val="24"/>
          <w:szCs w:val="24"/>
        </w:rPr>
      </w:pPr>
      <w:r>
        <w:rPr>
          <w:rFonts w:ascii="宋体" w:hAnsi="宋体"/>
          <w:sz w:val="24"/>
          <w:szCs w:val="24"/>
        </w:rPr>
        <w:t>13.3.2</w:t>
      </w:r>
      <w:r>
        <w:rPr>
          <w:rFonts w:hint="eastAsia" w:ascii="宋体" w:hAnsi="宋体"/>
          <w:sz w:val="24"/>
          <w:szCs w:val="24"/>
        </w:rPr>
        <w:t>如果工作内容的增加或减少不是由于变更造成，而是由于工作内容与招标时存在差异，则采购人不必为此发出增加或减少工作内容的指令，该情况不属于本条所指的变更。</w:t>
      </w:r>
    </w:p>
    <w:p>
      <w:pPr>
        <w:rPr>
          <w:rFonts w:ascii="宋体"/>
          <w:b/>
          <w:sz w:val="24"/>
          <w:szCs w:val="24"/>
        </w:rPr>
      </w:pPr>
      <w:bookmarkStart w:id="363" w:name="_Toc375218760"/>
      <w:r>
        <w:rPr>
          <w:rFonts w:ascii="宋体" w:hAnsi="宋体"/>
          <w:b/>
          <w:sz w:val="24"/>
          <w:szCs w:val="24"/>
        </w:rPr>
        <w:t>13.4</w:t>
      </w:r>
      <w:r>
        <w:rPr>
          <w:rFonts w:hint="eastAsia" w:ascii="宋体" w:hAnsi="宋体"/>
          <w:b/>
          <w:sz w:val="24"/>
          <w:szCs w:val="24"/>
        </w:rPr>
        <w:t>供货人提出的合理化建议</w:t>
      </w:r>
      <w:bookmarkEnd w:id="363"/>
    </w:p>
    <w:p>
      <w:pPr>
        <w:ind w:firstLine="480" w:firstLineChars="200"/>
        <w:rPr>
          <w:rFonts w:ascii="宋体"/>
          <w:sz w:val="24"/>
          <w:szCs w:val="24"/>
        </w:rPr>
      </w:pPr>
      <w:r>
        <w:rPr>
          <w:rFonts w:ascii="宋体" w:hAnsi="宋体"/>
          <w:sz w:val="24"/>
          <w:szCs w:val="24"/>
        </w:rPr>
        <w:t>13.4.1</w:t>
      </w:r>
      <w:r>
        <w:rPr>
          <w:rFonts w:hint="eastAsia" w:ascii="宋体" w:hAnsi="宋体"/>
          <w:sz w:val="24"/>
          <w:szCs w:val="24"/>
        </w:rPr>
        <w:t>除非合同文件另有约定，在合同履行过程中供货人可以书面形式向采购人提出合理化建议。采购人发出的对供货人的合理化建议的批准或认可，并不表示供货人的合理化建议构成本供货合同下所指的变更，也不表明采购人将承担任何责任。只有在下列条件全部满足的前提下，供货人的合理化建议才能构成本条所指的变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）供货人的合理化建议被证明是出于有利于采购人实现其本供货合同的目的和利益，或者是由于技术标准和要求及相关设计图纸等有合同约束力的文件中错误或明显不合理或明显不可行；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）供货人的合理化建议所涉及的工作并非供货人自身的质量缺陷、材料采购不力、技术力量不足、或供货安装周期延误等原因。</w:t>
      </w:r>
    </w:p>
    <w:p>
      <w:pPr>
        <w:ind w:firstLine="480" w:firstLineChars="200"/>
        <w:rPr>
          <w:rFonts w:ascii="宋体"/>
          <w:sz w:val="24"/>
          <w:szCs w:val="24"/>
        </w:rPr>
      </w:pPr>
      <w:r>
        <w:rPr>
          <w:rFonts w:hint="eastAsia" w:ascii="宋体" w:hAnsi="宋体"/>
          <w:sz w:val="24"/>
          <w:szCs w:val="24"/>
        </w:rPr>
        <w:t>按照上述规定，由采购人发出的书面形式确认为变更的合理化建议将构成合同条款约定的变更，其计价应当按照第</w:t>
      </w:r>
      <w:r>
        <w:rPr>
          <w:rFonts w:ascii="宋体" w:hAnsi="宋体"/>
          <w:sz w:val="24"/>
          <w:szCs w:val="24"/>
        </w:rPr>
        <w:t>14</w:t>
      </w:r>
      <w:r>
        <w:rPr>
          <w:rFonts w:hint="eastAsia" w:ascii="宋体" w:hAnsi="宋体"/>
          <w:sz w:val="24"/>
          <w:szCs w:val="24"/>
        </w:rPr>
        <w:t>条的有关约定执行。</w:t>
      </w:r>
    </w:p>
    <w:p>
      <w:pPr>
        <w:ind w:firstLine="480" w:firstLineChars="200"/>
        <w:rPr>
          <w:rFonts w:ascii="宋体"/>
          <w:sz w:val="24"/>
          <w:szCs w:val="24"/>
        </w:rPr>
      </w:pPr>
      <w:r>
        <w:rPr>
          <w:rFonts w:ascii="宋体" w:hAnsi="宋体"/>
          <w:sz w:val="24"/>
          <w:szCs w:val="24"/>
        </w:rPr>
        <w:t>13.4.2</w:t>
      </w:r>
      <w:r>
        <w:rPr>
          <w:rFonts w:hint="eastAsia" w:ascii="宋体" w:hAnsi="宋体"/>
          <w:sz w:val="24"/>
          <w:szCs w:val="24"/>
        </w:rPr>
        <w:t>在供货人的合理化建议为采购人带来额外经济效益的情况下，此类经济效益应当由采购人和供货人按照合同文件约定的比例进行分享，约定的比例见合同条款专用部分。</w:t>
      </w:r>
    </w:p>
    <w:p>
      <w:pPr>
        <w:rPr>
          <w:rFonts w:ascii="宋体"/>
          <w:b/>
          <w:sz w:val="24"/>
          <w:szCs w:val="24"/>
        </w:rPr>
      </w:pPr>
      <w:bookmarkStart w:id="364" w:name="_Toc375218761"/>
      <w:r>
        <w:rPr>
          <w:rFonts w:ascii="宋体" w:hAnsi="宋体"/>
          <w:b/>
          <w:sz w:val="24"/>
          <w:szCs w:val="24"/>
        </w:rPr>
        <w:t>13.5</w:t>
      </w:r>
      <w:r>
        <w:rPr>
          <w:rFonts w:hint="eastAsia" w:ascii="宋体" w:hAnsi="宋体"/>
          <w:b/>
          <w:sz w:val="24"/>
          <w:szCs w:val="24"/>
        </w:rPr>
        <w:t>其他要求</w:t>
      </w:r>
      <w:bookmarkEnd w:id="364"/>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65" w:name="_Toc375218762"/>
      <w:bookmarkStart w:id="366" w:name="_Toc256955380"/>
      <w:bookmarkStart w:id="367" w:name="_Toc217443950"/>
      <w:bookmarkStart w:id="368" w:name="_Toc218048994"/>
      <w:bookmarkStart w:id="369" w:name="_Toc381358659"/>
      <w:bookmarkStart w:id="370" w:name="_Toc218048814"/>
      <w:r>
        <w:rPr>
          <w:rFonts w:ascii="宋体" w:hAnsi="宋体"/>
          <w:b/>
          <w:sz w:val="24"/>
          <w:szCs w:val="24"/>
        </w:rPr>
        <w:t>14.</w:t>
      </w:r>
      <w:r>
        <w:rPr>
          <w:rFonts w:hint="eastAsia" w:ascii="宋体" w:hAnsi="宋体"/>
          <w:b/>
          <w:sz w:val="24"/>
          <w:szCs w:val="24"/>
        </w:rPr>
        <w:t>变更的计价</w:t>
      </w:r>
      <w:bookmarkEnd w:id="365"/>
      <w:bookmarkEnd w:id="366"/>
      <w:bookmarkEnd w:id="367"/>
      <w:bookmarkEnd w:id="368"/>
      <w:bookmarkEnd w:id="369"/>
      <w:bookmarkEnd w:id="370"/>
    </w:p>
    <w:p>
      <w:pPr>
        <w:rPr>
          <w:rFonts w:ascii="宋体"/>
          <w:b/>
          <w:sz w:val="24"/>
          <w:szCs w:val="24"/>
        </w:rPr>
      </w:pPr>
      <w:bookmarkStart w:id="371" w:name="_Toc375218763"/>
      <w:r>
        <w:rPr>
          <w:rFonts w:ascii="宋体" w:hAnsi="宋体"/>
          <w:b/>
          <w:sz w:val="24"/>
          <w:szCs w:val="24"/>
        </w:rPr>
        <w:t>14.1</w:t>
      </w:r>
      <w:r>
        <w:rPr>
          <w:rFonts w:hint="eastAsia" w:ascii="宋体" w:hAnsi="宋体"/>
          <w:b/>
          <w:sz w:val="24"/>
          <w:szCs w:val="24"/>
        </w:rPr>
        <w:t>变更的计价</w:t>
      </w:r>
      <w:bookmarkEnd w:id="371"/>
    </w:p>
    <w:p>
      <w:pPr>
        <w:ind w:firstLine="480" w:firstLineChars="200"/>
        <w:rPr>
          <w:rFonts w:ascii="宋体"/>
          <w:sz w:val="24"/>
          <w:szCs w:val="24"/>
        </w:rPr>
      </w:pPr>
      <w:r>
        <w:rPr>
          <w:rFonts w:hint="eastAsia" w:ascii="宋体" w:hAnsi="宋体"/>
          <w:sz w:val="24"/>
          <w:szCs w:val="24"/>
        </w:rPr>
        <w:t>除非合同文件另有约定，上述的所有变更需要按照本条要求予以确定其价格的追加或扣减项目，按照以下原则进行计价：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）对合同中已有适用项目的，按合同已列明的单价计算调整合同价格；</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）对与合同中已有类似项目的，参照已有项目在合同中列明的单价确定单价；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）合同中没有相同或类似项目的，合同双方另行协商确定单价；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）其他要求见合同条款专用部分。</w:t>
      </w:r>
    </w:p>
    <w:p>
      <w:pPr>
        <w:rPr>
          <w:rFonts w:ascii="宋体"/>
          <w:b/>
          <w:sz w:val="24"/>
          <w:szCs w:val="24"/>
        </w:rPr>
      </w:pPr>
      <w:bookmarkStart w:id="372" w:name="_Toc375218764"/>
      <w:r>
        <w:rPr>
          <w:rFonts w:ascii="宋体" w:hAnsi="宋体"/>
          <w:b/>
          <w:sz w:val="24"/>
          <w:szCs w:val="24"/>
        </w:rPr>
        <w:t>14.2</w:t>
      </w:r>
      <w:r>
        <w:rPr>
          <w:rFonts w:hint="eastAsia" w:ascii="宋体" w:hAnsi="宋体"/>
          <w:b/>
          <w:sz w:val="24"/>
          <w:szCs w:val="24"/>
        </w:rPr>
        <w:t>变更计价的程序</w:t>
      </w:r>
      <w:bookmarkEnd w:id="372"/>
    </w:p>
    <w:p>
      <w:pPr>
        <w:ind w:firstLine="480" w:firstLineChars="200"/>
        <w:rPr>
          <w:rFonts w:ascii="宋体"/>
          <w:sz w:val="24"/>
          <w:szCs w:val="24"/>
        </w:rPr>
      </w:pPr>
      <w:r>
        <w:rPr>
          <w:rFonts w:ascii="宋体" w:hAnsi="宋体"/>
          <w:sz w:val="24"/>
          <w:szCs w:val="24"/>
        </w:rPr>
        <w:t>14.2.1</w:t>
      </w:r>
      <w:r>
        <w:rPr>
          <w:rFonts w:hint="eastAsia" w:ascii="宋体" w:hAnsi="宋体"/>
          <w:sz w:val="24"/>
          <w:szCs w:val="24"/>
        </w:rPr>
        <w:t>在变更工作确定后，供货人认为变更工作涉及合同价款调整的，应在合同条款专用部分约定的时间内，向采购人提出调整合同价款的申请并附相关证明文件。采购人收到该申请后，应在合同条款专用部分约定的时间内确认或提出协商意见，否则视为该变更合同价款申请已被确认。</w:t>
      </w:r>
    </w:p>
    <w:p>
      <w:pPr>
        <w:ind w:firstLine="480" w:firstLineChars="200"/>
        <w:rPr>
          <w:rFonts w:ascii="宋体"/>
          <w:sz w:val="24"/>
          <w:szCs w:val="24"/>
        </w:rPr>
      </w:pPr>
      <w:r>
        <w:rPr>
          <w:rFonts w:ascii="宋体" w:hAnsi="宋体"/>
          <w:sz w:val="24"/>
          <w:szCs w:val="24"/>
        </w:rPr>
        <w:t>14.2.2</w:t>
      </w:r>
      <w:r>
        <w:rPr>
          <w:rFonts w:hint="eastAsia" w:ascii="宋体" w:hAnsi="宋体"/>
          <w:sz w:val="24"/>
          <w:szCs w:val="24"/>
        </w:rPr>
        <w:t>变更工作确定后，若供货人未在第</w:t>
      </w:r>
      <w:r>
        <w:rPr>
          <w:rFonts w:ascii="宋体" w:hAnsi="宋体"/>
          <w:sz w:val="24"/>
          <w:szCs w:val="24"/>
        </w:rPr>
        <w:t>14.2.1</w:t>
      </w:r>
      <w:r>
        <w:rPr>
          <w:rFonts w:hint="eastAsia" w:ascii="宋体" w:hAnsi="宋体"/>
          <w:sz w:val="24"/>
          <w:szCs w:val="24"/>
        </w:rPr>
        <w:t>项约定的时间内提出调整合同价款申请，则采购人可根据自己所掌握资料和信息自行确定是否调整合同价款和调整的具体金额。</w:t>
      </w:r>
    </w:p>
    <w:p>
      <w:pPr>
        <w:ind w:firstLine="480" w:firstLineChars="200"/>
        <w:rPr>
          <w:rFonts w:ascii="宋体"/>
          <w:sz w:val="24"/>
          <w:szCs w:val="24"/>
        </w:rPr>
      </w:pPr>
      <w:r>
        <w:rPr>
          <w:rFonts w:ascii="宋体" w:hAnsi="宋体"/>
          <w:sz w:val="24"/>
          <w:szCs w:val="24"/>
        </w:rPr>
        <w:t>14.2.3</w:t>
      </w:r>
      <w:r>
        <w:rPr>
          <w:rFonts w:hint="eastAsia" w:ascii="宋体" w:hAnsi="宋体"/>
          <w:sz w:val="24"/>
          <w:szCs w:val="24"/>
        </w:rPr>
        <w:t>确认的变更价款按照第</w:t>
      </w:r>
      <w:r>
        <w:rPr>
          <w:rFonts w:ascii="宋体" w:hAnsi="宋体"/>
          <w:sz w:val="24"/>
          <w:szCs w:val="24"/>
        </w:rPr>
        <w:t>15.2.3</w:t>
      </w:r>
      <w:r>
        <w:rPr>
          <w:rFonts w:hint="eastAsia" w:ascii="宋体" w:hAnsi="宋体"/>
          <w:sz w:val="24"/>
          <w:szCs w:val="24"/>
        </w:rPr>
        <w:t>项规定随货款一并支付。</w:t>
      </w:r>
    </w:p>
    <w:p>
      <w:pPr>
        <w:ind w:firstLine="480" w:firstLineChars="200"/>
        <w:rPr>
          <w:rFonts w:ascii="宋体"/>
          <w:sz w:val="24"/>
          <w:szCs w:val="24"/>
        </w:rPr>
      </w:pPr>
      <w:r>
        <w:rPr>
          <w:rFonts w:ascii="宋体" w:hAnsi="宋体"/>
          <w:sz w:val="24"/>
          <w:szCs w:val="24"/>
        </w:rPr>
        <w:t>14.2.4</w:t>
      </w:r>
      <w:r>
        <w:rPr>
          <w:rFonts w:hint="eastAsia" w:ascii="宋体" w:hAnsi="宋体"/>
          <w:sz w:val="24"/>
          <w:szCs w:val="24"/>
        </w:rPr>
        <w:t>按照指令完成变更及调整合同价款不得影响工程的连续供货。在合同价款结算时双方仍有争议，则按照第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14.2.5</w:t>
      </w:r>
      <w:r>
        <w:rPr>
          <w:rFonts w:hint="eastAsia" w:ascii="宋体" w:hAnsi="宋体"/>
          <w:sz w:val="24"/>
          <w:szCs w:val="24"/>
        </w:rPr>
        <w:t>除非合同文件另有约定，供货人不得以采购人和供货人之间未能就变更工作的计价达成一致而拒绝实施变更工作。</w:t>
      </w:r>
    </w:p>
    <w:p>
      <w:pPr>
        <w:rPr>
          <w:rFonts w:ascii="宋体"/>
          <w:b/>
          <w:sz w:val="24"/>
          <w:szCs w:val="24"/>
        </w:rPr>
      </w:pPr>
      <w:bookmarkStart w:id="373" w:name="_Toc375218765"/>
      <w:r>
        <w:rPr>
          <w:rFonts w:ascii="宋体" w:hAnsi="宋体"/>
          <w:b/>
          <w:sz w:val="24"/>
          <w:szCs w:val="24"/>
        </w:rPr>
        <w:t>14.3</w:t>
      </w:r>
      <w:r>
        <w:rPr>
          <w:rFonts w:hint="eastAsia" w:ascii="宋体" w:hAnsi="宋体"/>
          <w:b/>
          <w:sz w:val="24"/>
          <w:szCs w:val="24"/>
        </w:rPr>
        <w:t>其他要求</w:t>
      </w:r>
      <w:bookmarkEnd w:id="373"/>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74" w:name="_Toc375218766"/>
      <w:bookmarkStart w:id="375" w:name="_Toc256955381"/>
      <w:bookmarkStart w:id="376" w:name="_Toc381358660"/>
      <w:bookmarkStart w:id="377" w:name="_Toc217443951"/>
      <w:bookmarkStart w:id="378" w:name="_Toc218048815"/>
      <w:bookmarkStart w:id="379" w:name="_Toc218048995"/>
      <w:r>
        <w:rPr>
          <w:rFonts w:ascii="宋体" w:hAnsi="宋体"/>
          <w:b/>
          <w:sz w:val="24"/>
          <w:szCs w:val="24"/>
        </w:rPr>
        <w:t>15.</w:t>
      </w:r>
      <w:r>
        <w:rPr>
          <w:rFonts w:hint="eastAsia" w:ascii="宋体" w:hAnsi="宋体"/>
          <w:b/>
          <w:sz w:val="24"/>
          <w:szCs w:val="24"/>
        </w:rPr>
        <w:t>支付</w:t>
      </w:r>
      <w:bookmarkEnd w:id="374"/>
      <w:bookmarkEnd w:id="375"/>
      <w:bookmarkEnd w:id="376"/>
      <w:bookmarkEnd w:id="377"/>
      <w:bookmarkEnd w:id="378"/>
      <w:bookmarkEnd w:id="379"/>
    </w:p>
    <w:p>
      <w:pPr>
        <w:rPr>
          <w:rFonts w:ascii="宋体"/>
          <w:b/>
          <w:sz w:val="24"/>
          <w:szCs w:val="24"/>
        </w:rPr>
      </w:pPr>
      <w:bookmarkStart w:id="380" w:name="_Toc375218767"/>
      <w:r>
        <w:rPr>
          <w:rFonts w:ascii="宋体" w:hAnsi="宋体"/>
          <w:b/>
          <w:sz w:val="24"/>
          <w:szCs w:val="24"/>
        </w:rPr>
        <w:t>15.1</w:t>
      </w:r>
      <w:r>
        <w:rPr>
          <w:rFonts w:hint="eastAsia" w:ascii="宋体" w:hAnsi="宋体"/>
          <w:b/>
          <w:sz w:val="24"/>
          <w:szCs w:val="24"/>
        </w:rPr>
        <w:t>预付款</w:t>
      </w:r>
      <w:bookmarkEnd w:id="380"/>
    </w:p>
    <w:p>
      <w:pPr>
        <w:ind w:firstLine="480" w:firstLineChars="200"/>
        <w:rPr>
          <w:rFonts w:ascii="宋体"/>
          <w:sz w:val="24"/>
          <w:szCs w:val="24"/>
        </w:rPr>
      </w:pPr>
      <w:r>
        <w:rPr>
          <w:rFonts w:ascii="宋体" w:hAnsi="宋体"/>
          <w:sz w:val="24"/>
          <w:szCs w:val="24"/>
        </w:rPr>
        <w:t>15.1.1</w:t>
      </w:r>
      <w:r>
        <w:rPr>
          <w:rFonts w:hint="eastAsia" w:ascii="宋体" w:hAnsi="宋体"/>
          <w:sz w:val="24"/>
          <w:szCs w:val="24"/>
        </w:rPr>
        <w:t>除非合同文件另有约定，采购人应当在本供货合同签订后在合同文件约定的时间内，由采购人向供货人以无息的方式预付合同文件约定的预付款，预付额度和支付时间见合同条款专用部分。</w:t>
      </w:r>
    </w:p>
    <w:p>
      <w:pPr>
        <w:ind w:firstLine="480" w:firstLineChars="200"/>
        <w:rPr>
          <w:rFonts w:ascii="宋体"/>
          <w:sz w:val="24"/>
          <w:szCs w:val="24"/>
        </w:rPr>
      </w:pPr>
      <w:r>
        <w:rPr>
          <w:rFonts w:ascii="宋体" w:hAnsi="宋体"/>
          <w:sz w:val="24"/>
          <w:szCs w:val="24"/>
        </w:rPr>
        <w:t>15.1.2</w:t>
      </w:r>
      <w:r>
        <w:rPr>
          <w:rFonts w:hint="eastAsia" w:ascii="宋体" w:hAnsi="宋体"/>
          <w:sz w:val="24"/>
          <w:szCs w:val="24"/>
        </w:rPr>
        <w:t>预付款的抵扣起始时间和方式见合同条款专用部分。</w:t>
      </w:r>
    </w:p>
    <w:p>
      <w:pPr>
        <w:rPr>
          <w:rFonts w:ascii="宋体"/>
          <w:b/>
          <w:sz w:val="24"/>
          <w:szCs w:val="24"/>
        </w:rPr>
      </w:pPr>
      <w:bookmarkStart w:id="381" w:name="_Toc375218768"/>
      <w:r>
        <w:rPr>
          <w:rFonts w:ascii="宋体" w:hAnsi="宋体"/>
          <w:b/>
          <w:sz w:val="24"/>
          <w:szCs w:val="24"/>
        </w:rPr>
        <w:t>15.2</w:t>
      </w:r>
      <w:r>
        <w:rPr>
          <w:rFonts w:hint="eastAsia" w:ascii="宋体" w:hAnsi="宋体"/>
          <w:b/>
          <w:sz w:val="24"/>
          <w:szCs w:val="24"/>
        </w:rPr>
        <w:t>货款</w:t>
      </w:r>
      <w:bookmarkEnd w:id="381"/>
    </w:p>
    <w:p>
      <w:pPr>
        <w:ind w:firstLine="480" w:firstLineChars="200"/>
        <w:rPr>
          <w:rFonts w:ascii="宋体"/>
          <w:sz w:val="24"/>
          <w:szCs w:val="24"/>
        </w:rPr>
      </w:pPr>
      <w:r>
        <w:rPr>
          <w:rFonts w:ascii="宋体" w:hAnsi="宋体"/>
          <w:sz w:val="24"/>
          <w:szCs w:val="24"/>
        </w:rPr>
        <w:t>15.2.1</w:t>
      </w:r>
      <w:r>
        <w:rPr>
          <w:rFonts w:hint="eastAsia" w:ascii="宋体" w:hAnsi="宋体"/>
          <w:sz w:val="24"/>
          <w:szCs w:val="24"/>
        </w:rPr>
        <w:t>货款的付款周期、条件和金额</w:t>
      </w:r>
    </w:p>
    <w:p>
      <w:pPr>
        <w:ind w:firstLine="480" w:firstLineChars="200"/>
        <w:rPr>
          <w:rFonts w:ascii="宋体"/>
          <w:sz w:val="24"/>
          <w:szCs w:val="24"/>
        </w:rPr>
      </w:pPr>
      <w:r>
        <w:rPr>
          <w:rFonts w:hint="eastAsia" w:ascii="宋体" w:hAnsi="宋体"/>
          <w:sz w:val="24"/>
          <w:szCs w:val="24"/>
        </w:rPr>
        <w:t>货款的付款周期、条件和金额见合同条款专用部分。</w:t>
      </w:r>
    </w:p>
    <w:p>
      <w:pPr>
        <w:ind w:firstLine="480" w:firstLineChars="200"/>
        <w:rPr>
          <w:rFonts w:ascii="宋体"/>
          <w:sz w:val="24"/>
          <w:szCs w:val="24"/>
        </w:rPr>
      </w:pPr>
      <w:r>
        <w:rPr>
          <w:rFonts w:ascii="宋体" w:hAnsi="宋体"/>
          <w:sz w:val="24"/>
          <w:szCs w:val="24"/>
        </w:rPr>
        <w:t>15.2.2</w:t>
      </w:r>
      <w:r>
        <w:rPr>
          <w:rFonts w:hint="eastAsia" w:ascii="宋体" w:hAnsi="宋体"/>
          <w:sz w:val="24"/>
          <w:szCs w:val="24"/>
        </w:rPr>
        <w:t>货款申请</w:t>
      </w:r>
    </w:p>
    <w:p>
      <w:pPr>
        <w:ind w:firstLine="480" w:firstLineChars="200"/>
        <w:rPr>
          <w:rFonts w:ascii="宋体"/>
          <w:sz w:val="24"/>
          <w:szCs w:val="24"/>
        </w:rPr>
      </w:pPr>
      <w:r>
        <w:rPr>
          <w:rFonts w:hint="eastAsia" w:ascii="宋体" w:hAnsi="宋体"/>
          <w:sz w:val="24"/>
          <w:szCs w:val="24"/>
        </w:rPr>
        <w:t>供货人应根据</w:t>
      </w:r>
      <w:r>
        <w:rPr>
          <w:rFonts w:ascii="宋体" w:hAnsi="宋体"/>
          <w:sz w:val="24"/>
          <w:szCs w:val="24"/>
        </w:rPr>
        <w:t>15.2.1</w:t>
      </w:r>
      <w:r>
        <w:rPr>
          <w:rFonts w:hint="eastAsia" w:ascii="宋体" w:hAnsi="宋体"/>
          <w:sz w:val="24"/>
          <w:szCs w:val="24"/>
        </w:rPr>
        <w:t>项规定的付款周期和条件，按照采购人同意的格式，向采购人提交货款申请，说明供货人认为其有权得到的款额，同时提交必要的证明文件。</w:t>
      </w:r>
    </w:p>
    <w:p>
      <w:pPr>
        <w:ind w:firstLine="480" w:firstLineChars="200"/>
        <w:rPr>
          <w:rFonts w:ascii="宋体"/>
          <w:sz w:val="24"/>
          <w:szCs w:val="24"/>
        </w:rPr>
      </w:pPr>
      <w:r>
        <w:rPr>
          <w:rFonts w:ascii="宋体" w:hAnsi="宋体"/>
          <w:sz w:val="24"/>
          <w:szCs w:val="24"/>
        </w:rPr>
        <w:t>15.2.3</w:t>
      </w:r>
      <w:r>
        <w:rPr>
          <w:rFonts w:hint="eastAsia" w:ascii="宋体" w:hAnsi="宋体"/>
          <w:sz w:val="24"/>
          <w:szCs w:val="24"/>
        </w:rPr>
        <w:t>货款支付</w:t>
      </w:r>
    </w:p>
    <w:p>
      <w:pPr>
        <w:ind w:firstLine="480" w:firstLineChars="200"/>
        <w:rPr>
          <w:rFonts w:ascii="宋体"/>
          <w:sz w:val="24"/>
          <w:szCs w:val="24"/>
        </w:rPr>
      </w:pPr>
      <w:r>
        <w:rPr>
          <w:rFonts w:hint="eastAsia" w:ascii="宋体" w:hAnsi="宋体"/>
          <w:sz w:val="24"/>
          <w:szCs w:val="24"/>
        </w:rPr>
        <w:t>采购人在收到供货人按照</w:t>
      </w:r>
      <w:r>
        <w:rPr>
          <w:rFonts w:ascii="宋体" w:hAnsi="宋体"/>
          <w:sz w:val="24"/>
          <w:szCs w:val="24"/>
        </w:rPr>
        <w:t>15.2.2</w:t>
      </w:r>
      <w:r>
        <w:rPr>
          <w:rFonts w:hint="eastAsia" w:ascii="宋体" w:hAnsi="宋体"/>
          <w:sz w:val="24"/>
          <w:szCs w:val="24"/>
        </w:rPr>
        <w:t>项提交的货款申请后，采购人应在合同条款专用部分约定的期限内并采用合同条款专用部分约定的方式，按照其审核确认的应付货款和应当抵扣的货款（如有）向供货人进行支付。</w:t>
      </w:r>
    </w:p>
    <w:p>
      <w:pPr>
        <w:rPr>
          <w:rFonts w:ascii="宋体"/>
          <w:b/>
          <w:sz w:val="24"/>
          <w:szCs w:val="24"/>
        </w:rPr>
      </w:pPr>
      <w:bookmarkStart w:id="382" w:name="_Toc375218769"/>
      <w:r>
        <w:rPr>
          <w:rFonts w:ascii="宋体" w:hAnsi="宋体"/>
          <w:b/>
          <w:sz w:val="24"/>
          <w:szCs w:val="24"/>
        </w:rPr>
        <w:t>15.3</w:t>
      </w:r>
      <w:r>
        <w:rPr>
          <w:rFonts w:hint="eastAsia" w:ascii="宋体" w:hAnsi="宋体"/>
          <w:b/>
          <w:sz w:val="24"/>
          <w:szCs w:val="24"/>
        </w:rPr>
        <w:t>质量保证金</w:t>
      </w:r>
      <w:bookmarkEnd w:id="382"/>
    </w:p>
    <w:p>
      <w:pPr>
        <w:ind w:firstLine="480" w:firstLineChars="200"/>
        <w:rPr>
          <w:rFonts w:ascii="宋体"/>
          <w:sz w:val="24"/>
          <w:szCs w:val="24"/>
        </w:rPr>
      </w:pPr>
      <w:r>
        <w:rPr>
          <w:rFonts w:ascii="宋体" w:hAnsi="宋体"/>
          <w:sz w:val="24"/>
          <w:szCs w:val="24"/>
        </w:rPr>
        <w:t>15.3.1</w:t>
      </w:r>
      <w:r>
        <w:rPr>
          <w:rFonts w:hint="eastAsia" w:ascii="宋体" w:hAnsi="宋体"/>
          <w:sz w:val="24"/>
          <w:szCs w:val="24"/>
        </w:rPr>
        <w:t>在按照本供货合同约定做合同价款结算支付时，采购人将从结算尾款中扣留出一笔金额作为整体工程的“质量保证金”。</w:t>
      </w:r>
    </w:p>
    <w:p>
      <w:pPr>
        <w:ind w:firstLine="480" w:firstLineChars="200"/>
        <w:rPr>
          <w:rFonts w:ascii="宋体"/>
          <w:sz w:val="24"/>
          <w:szCs w:val="24"/>
        </w:rPr>
      </w:pPr>
      <w:r>
        <w:rPr>
          <w:rFonts w:ascii="宋体" w:hAnsi="宋体"/>
          <w:sz w:val="24"/>
          <w:szCs w:val="24"/>
        </w:rPr>
        <w:t>15.3.2</w:t>
      </w:r>
      <w:r>
        <w:rPr>
          <w:rFonts w:hint="eastAsia" w:ascii="宋体" w:hAnsi="宋体"/>
          <w:sz w:val="24"/>
          <w:szCs w:val="24"/>
        </w:rPr>
        <w:t>质量保证金的额度、支付时间和方式见合同条款专用部分。</w:t>
      </w:r>
    </w:p>
    <w:p>
      <w:pPr>
        <w:rPr>
          <w:rFonts w:ascii="宋体"/>
          <w:b/>
          <w:sz w:val="24"/>
          <w:szCs w:val="24"/>
        </w:rPr>
      </w:pPr>
      <w:bookmarkStart w:id="383" w:name="_Toc375218770"/>
      <w:r>
        <w:rPr>
          <w:rFonts w:ascii="宋体" w:hAnsi="宋体"/>
          <w:b/>
          <w:sz w:val="24"/>
          <w:szCs w:val="24"/>
        </w:rPr>
        <w:t>15.4</w:t>
      </w:r>
      <w:r>
        <w:rPr>
          <w:rFonts w:hint="eastAsia" w:ascii="宋体" w:hAnsi="宋体"/>
          <w:b/>
          <w:sz w:val="24"/>
          <w:szCs w:val="24"/>
        </w:rPr>
        <w:t>延期支付</w:t>
      </w:r>
      <w:bookmarkEnd w:id="383"/>
    </w:p>
    <w:p>
      <w:pPr>
        <w:ind w:firstLine="480" w:firstLineChars="200"/>
        <w:rPr>
          <w:rFonts w:ascii="宋体"/>
          <w:sz w:val="24"/>
          <w:szCs w:val="24"/>
        </w:rPr>
      </w:pPr>
      <w:r>
        <w:rPr>
          <w:rFonts w:ascii="宋体" w:hAnsi="宋体"/>
          <w:sz w:val="24"/>
          <w:szCs w:val="24"/>
        </w:rPr>
        <w:t>15.4.1</w:t>
      </w:r>
      <w:r>
        <w:rPr>
          <w:rFonts w:hint="eastAsia" w:ascii="宋体" w:hAnsi="宋体"/>
          <w:sz w:val="24"/>
          <w:szCs w:val="24"/>
        </w:rPr>
        <w:t>采购人未按照第</w:t>
      </w:r>
      <w:r>
        <w:rPr>
          <w:rFonts w:ascii="宋体" w:hAnsi="宋体"/>
          <w:sz w:val="24"/>
          <w:szCs w:val="24"/>
        </w:rPr>
        <w:t>15.1</w:t>
      </w:r>
      <w:r>
        <w:rPr>
          <w:rFonts w:hint="eastAsia" w:ascii="宋体" w:hAnsi="宋体"/>
          <w:sz w:val="24"/>
          <w:szCs w:val="24"/>
        </w:rPr>
        <w:t>款的约定支付预付款，供货人应当及时向采购人发出书面催款通知，采购人收到通知后仍不能按照要求预付，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15.4.2</w:t>
      </w:r>
      <w:r>
        <w:rPr>
          <w:rFonts w:hint="eastAsia" w:ascii="宋体" w:hAnsi="宋体"/>
          <w:sz w:val="24"/>
          <w:szCs w:val="24"/>
        </w:rPr>
        <w:t>采购人未按照第</w:t>
      </w:r>
      <w:r>
        <w:rPr>
          <w:rFonts w:ascii="宋体" w:hAnsi="宋体"/>
          <w:sz w:val="24"/>
          <w:szCs w:val="24"/>
        </w:rPr>
        <w:t>15.2</w:t>
      </w:r>
      <w:r>
        <w:rPr>
          <w:rFonts w:hint="eastAsia" w:ascii="宋体" w:hAnsi="宋体"/>
          <w:sz w:val="24"/>
          <w:szCs w:val="24"/>
        </w:rPr>
        <w:t>款的约定支付货款，供货人应当及时向采购人发出书面催款通知，采购人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15.4.3</w:t>
      </w:r>
      <w:r>
        <w:rPr>
          <w:rFonts w:hint="eastAsia" w:ascii="宋体" w:hAnsi="宋体"/>
          <w:sz w:val="24"/>
          <w:szCs w:val="24"/>
        </w:rPr>
        <w:t>采购人未按照第</w:t>
      </w:r>
      <w:r>
        <w:rPr>
          <w:rFonts w:ascii="宋体" w:hAnsi="宋体"/>
          <w:sz w:val="24"/>
          <w:szCs w:val="24"/>
        </w:rPr>
        <w:t>15.3</w:t>
      </w:r>
      <w:r>
        <w:rPr>
          <w:rFonts w:hint="eastAsia" w:ascii="宋体" w:hAnsi="宋体"/>
          <w:sz w:val="24"/>
          <w:szCs w:val="24"/>
        </w:rPr>
        <w:t>款的约定支付质量保证金，供货人应当及时向采购人发出书面催款通知，采购人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w:t>
      </w:r>
    </w:p>
    <w:p>
      <w:pPr>
        <w:rPr>
          <w:rFonts w:ascii="宋体"/>
          <w:b/>
          <w:sz w:val="24"/>
          <w:szCs w:val="24"/>
        </w:rPr>
      </w:pPr>
      <w:bookmarkStart w:id="384" w:name="_Toc381358661"/>
      <w:bookmarkStart w:id="385" w:name="_Toc375218772"/>
      <w:bookmarkStart w:id="386" w:name="_Toc256955382"/>
      <w:r>
        <w:rPr>
          <w:rFonts w:ascii="宋体" w:hAnsi="宋体"/>
          <w:b/>
          <w:sz w:val="24"/>
          <w:szCs w:val="24"/>
        </w:rPr>
        <w:t>16</w:t>
      </w:r>
      <w:r>
        <w:rPr>
          <w:rFonts w:hint="eastAsia" w:ascii="宋体" w:hAnsi="宋体"/>
          <w:b/>
          <w:sz w:val="24"/>
          <w:szCs w:val="24"/>
        </w:rPr>
        <w:t>．质量保证</w:t>
      </w:r>
      <w:bookmarkEnd w:id="384"/>
      <w:bookmarkEnd w:id="385"/>
      <w:bookmarkEnd w:id="386"/>
    </w:p>
    <w:p>
      <w:pPr>
        <w:rPr>
          <w:rFonts w:ascii="宋体" w:hAnsi="宋体"/>
          <w:b/>
          <w:sz w:val="24"/>
          <w:szCs w:val="24"/>
        </w:rPr>
      </w:pPr>
      <w:bookmarkStart w:id="387" w:name="_Toc375218773"/>
      <w:r>
        <w:rPr>
          <w:rFonts w:ascii="宋体" w:hAnsi="宋体"/>
          <w:b/>
          <w:sz w:val="24"/>
          <w:szCs w:val="24"/>
        </w:rPr>
        <w:t>16.1</w:t>
      </w:r>
      <w:r>
        <w:rPr>
          <w:rFonts w:hint="eastAsia" w:ascii="宋体" w:hAnsi="宋体"/>
          <w:b/>
          <w:sz w:val="24"/>
          <w:szCs w:val="24"/>
        </w:rPr>
        <w:t>正常质量保证期</w:t>
      </w:r>
      <w:bookmarkEnd w:id="387"/>
    </w:p>
    <w:p>
      <w:pPr>
        <w:ind w:firstLine="480" w:firstLineChars="200"/>
        <w:rPr>
          <w:rFonts w:ascii="宋体"/>
          <w:sz w:val="24"/>
          <w:szCs w:val="24"/>
        </w:rPr>
      </w:pPr>
      <w:r>
        <w:rPr>
          <w:rFonts w:ascii="宋体" w:hAnsi="宋体"/>
          <w:sz w:val="24"/>
          <w:szCs w:val="24"/>
        </w:rPr>
        <w:t>16.1.1</w:t>
      </w:r>
      <w:r>
        <w:rPr>
          <w:rFonts w:hint="eastAsia" w:ascii="宋体" w:hAnsi="宋体"/>
          <w:sz w:val="24"/>
          <w:szCs w:val="24"/>
        </w:rPr>
        <w:t>正常质量保证期的期限见合同条款专用部分。</w:t>
      </w:r>
    </w:p>
    <w:p>
      <w:pPr>
        <w:ind w:firstLine="480" w:firstLineChars="200"/>
        <w:rPr>
          <w:rFonts w:ascii="宋体"/>
          <w:sz w:val="24"/>
          <w:szCs w:val="24"/>
        </w:rPr>
      </w:pPr>
      <w:r>
        <w:rPr>
          <w:rFonts w:ascii="宋体" w:hAnsi="宋体"/>
          <w:sz w:val="24"/>
          <w:szCs w:val="24"/>
        </w:rPr>
        <w:t>16.1.2</w:t>
      </w:r>
      <w:r>
        <w:rPr>
          <w:rFonts w:hint="eastAsia" w:ascii="宋体" w:hAnsi="宋体"/>
          <w:sz w:val="24"/>
          <w:szCs w:val="24"/>
        </w:rPr>
        <w:t>在正常质量保证期内，供货人应对在正常质量保证期内出现或产生的缺陷，根据本供货合同第</w:t>
      </w:r>
      <w:r>
        <w:rPr>
          <w:rFonts w:ascii="宋体" w:hAnsi="宋体"/>
          <w:sz w:val="24"/>
          <w:szCs w:val="24"/>
        </w:rPr>
        <w:t>17.2.1</w:t>
      </w:r>
      <w:r>
        <w:rPr>
          <w:rFonts w:hint="eastAsia" w:ascii="宋体" w:hAnsi="宋体"/>
          <w:sz w:val="24"/>
          <w:szCs w:val="24"/>
        </w:rPr>
        <w:t>项的规定向采购人承担责任，并满足采购人的要求，除非该缺陷是由于采购人不遵守供货人的说明而操作及保养货物造成的。</w:t>
      </w:r>
    </w:p>
    <w:p>
      <w:pPr>
        <w:ind w:firstLine="480" w:firstLineChars="200"/>
        <w:rPr>
          <w:rFonts w:ascii="宋体"/>
          <w:sz w:val="24"/>
          <w:szCs w:val="24"/>
        </w:rPr>
      </w:pPr>
      <w:r>
        <w:rPr>
          <w:rFonts w:ascii="宋体" w:hAnsi="宋体"/>
          <w:sz w:val="24"/>
          <w:szCs w:val="24"/>
        </w:rPr>
        <w:t>16.1.3</w:t>
      </w:r>
      <w:r>
        <w:rPr>
          <w:rFonts w:hint="eastAsia" w:ascii="宋体" w:hAnsi="宋体"/>
          <w:sz w:val="24"/>
          <w:szCs w:val="24"/>
        </w:rPr>
        <w:t>若部分货物在保证期内需要更换、重新设计、修改或更新，这部分货物的保证期自双方确认的修复完成日起重新计算。</w:t>
      </w:r>
    </w:p>
    <w:p>
      <w:pPr>
        <w:rPr>
          <w:rFonts w:ascii="宋体"/>
          <w:b/>
          <w:sz w:val="24"/>
          <w:szCs w:val="24"/>
        </w:rPr>
      </w:pPr>
      <w:bookmarkStart w:id="388" w:name="_Toc375218774"/>
      <w:r>
        <w:rPr>
          <w:rFonts w:ascii="宋体" w:hAnsi="宋体"/>
          <w:b/>
          <w:sz w:val="24"/>
          <w:szCs w:val="24"/>
        </w:rPr>
        <w:t>16.2</w:t>
      </w:r>
      <w:r>
        <w:rPr>
          <w:rFonts w:hint="eastAsia" w:ascii="宋体" w:hAnsi="宋体"/>
          <w:b/>
          <w:sz w:val="24"/>
          <w:szCs w:val="24"/>
        </w:rPr>
        <w:t>质量保证延长期</w:t>
      </w:r>
      <w:bookmarkEnd w:id="388"/>
    </w:p>
    <w:p>
      <w:pPr>
        <w:ind w:firstLine="480" w:firstLineChars="200"/>
        <w:rPr>
          <w:rFonts w:ascii="宋体"/>
          <w:sz w:val="24"/>
          <w:szCs w:val="24"/>
        </w:rPr>
      </w:pPr>
      <w:r>
        <w:rPr>
          <w:rFonts w:hint="eastAsia" w:ascii="宋体" w:hAnsi="宋体"/>
          <w:sz w:val="24"/>
          <w:szCs w:val="24"/>
        </w:rPr>
        <w:t>除依照本供货合同第</w:t>
      </w:r>
      <w:r>
        <w:rPr>
          <w:rFonts w:ascii="宋体" w:hAnsi="宋体"/>
          <w:sz w:val="24"/>
          <w:szCs w:val="24"/>
        </w:rPr>
        <w:t>16.1</w:t>
      </w:r>
      <w:r>
        <w:rPr>
          <w:rFonts w:hint="eastAsia" w:ascii="宋体" w:hAnsi="宋体"/>
          <w:sz w:val="24"/>
          <w:szCs w:val="24"/>
        </w:rPr>
        <w:t>款规定的正常保证期责任外，供货人应对主要部件在其相应的质量保证延长期内提供延长质量保证，并对之承担责任。具体要求见合同条款专用部分。</w:t>
      </w:r>
    </w:p>
    <w:p>
      <w:pPr>
        <w:rPr>
          <w:rFonts w:ascii="宋体"/>
          <w:sz w:val="24"/>
          <w:szCs w:val="24"/>
        </w:rPr>
      </w:pPr>
      <w:r>
        <w:rPr>
          <w:rFonts w:ascii="宋体" w:hAnsi="宋体"/>
          <w:b/>
          <w:sz w:val="24"/>
          <w:szCs w:val="24"/>
        </w:rPr>
        <w:t>16.3</w:t>
      </w:r>
      <w:r>
        <w:rPr>
          <w:rFonts w:hint="eastAsia" w:ascii="宋体" w:hAnsi="宋体"/>
          <w:sz w:val="24"/>
          <w:szCs w:val="24"/>
        </w:rPr>
        <w:t>供货人收到通知后应按照合同文件约定的时间内以合理的速度免费维修或更换有缺陷的货物，使系统、设备和材料的相应部分恢复到合同文件约定的状态和规格。被修理或更换的货物或部件从出厂地至最终目的地的运保费由供货人承担。供货人收到通知后进行免费维修或更换有缺陷的货物的时间约定见合同条款专用部分。</w:t>
      </w:r>
    </w:p>
    <w:p>
      <w:pPr>
        <w:rPr>
          <w:rFonts w:ascii="宋体"/>
          <w:sz w:val="24"/>
          <w:szCs w:val="24"/>
        </w:rPr>
      </w:pPr>
      <w:r>
        <w:rPr>
          <w:rFonts w:ascii="宋体" w:hAnsi="宋体"/>
          <w:b/>
          <w:sz w:val="24"/>
          <w:szCs w:val="24"/>
        </w:rPr>
        <w:t>16.4</w:t>
      </w:r>
      <w:r>
        <w:rPr>
          <w:rFonts w:hint="eastAsia" w:ascii="宋体" w:hAnsi="宋体"/>
          <w:sz w:val="24"/>
          <w:szCs w:val="24"/>
        </w:rPr>
        <w:t>如果供货人收到通知后应按照第</w:t>
      </w:r>
      <w:r>
        <w:rPr>
          <w:rFonts w:ascii="宋体" w:hAnsi="宋体"/>
          <w:sz w:val="24"/>
          <w:szCs w:val="24"/>
        </w:rPr>
        <w:t>16.3</w:t>
      </w:r>
      <w:r>
        <w:rPr>
          <w:rFonts w:hint="eastAsia" w:ascii="宋体" w:hAnsi="宋体"/>
          <w:sz w:val="24"/>
          <w:szCs w:val="24"/>
        </w:rPr>
        <w:t>款规定的时间内没有以合理的速度弥补缺陷，采购人可采取必要的补救措施，但其风险和费用将由供货人承担，采购人根据合同文件的约定对供货人行使的其他权力不受影响。</w:t>
      </w:r>
    </w:p>
    <w:p>
      <w:pPr>
        <w:rPr>
          <w:rFonts w:ascii="宋体"/>
          <w:sz w:val="24"/>
          <w:szCs w:val="24"/>
        </w:rPr>
      </w:pPr>
      <w:r>
        <w:rPr>
          <w:rFonts w:ascii="宋体" w:hAnsi="宋体"/>
          <w:b/>
          <w:sz w:val="24"/>
          <w:szCs w:val="24"/>
        </w:rPr>
        <w:t>16.5</w:t>
      </w:r>
      <w:r>
        <w:rPr>
          <w:rFonts w:hint="eastAsia" w:ascii="宋体" w:hAnsi="宋体"/>
          <w:sz w:val="24"/>
          <w:szCs w:val="24"/>
        </w:rPr>
        <w:t>如果任何缺损部分供货人不能按照第</w:t>
      </w:r>
      <w:r>
        <w:rPr>
          <w:rFonts w:ascii="宋体" w:hAnsi="宋体"/>
          <w:sz w:val="24"/>
          <w:szCs w:val="24"/>
        </w:rPr>
        <w:t>16.3</w:t>
      </w:r>
      <w:r>
        <w:rPr>
          <w:rFonts w:hint="eastAsia" w:ascii="宋体" w:hAnsi="宋体"/>
          <w:sz w:val="24"/>
          <w:szCs w:val="24"/>
        </w:rPr>
        <w:t>款规定的期限或双方商定的合理期限内修补，则采购人可在通知供货人后自行修补缺损，其费用和风险由供货人承担，但不影响合同文件约定的供货人责任；经供货人认可，采购人可对细小缺陷进行修理或调整，但由此产生的全部费用由供货人承担。</w:t>
      </w:r>
    </w:p>
    <w:p>
      <w:pPr>
        <w:rPr>
          <w:rFonts w:ascii="宋体"/>
          <w:sz w:val="24"/>
          <w:szCs w:val="24"/>
        </w:rPr>
      </w:pPr>
      <w:r>
        <w:rPr>
          <w:rFonts w:ascii="宋体" w:hAnsi="宋体"/>
          <w:b/>
          <w:sz w:val="24"/>
          <w:szCs w:val="24"/>
        </w:rPr>
        <w:t>16.6</w:t>
      </w:r>
      <w:r>
        <w:rPr>
          <w:rFonts w:hint="eastAsia" w:ascii="宋体" w:hAnsi="宋体"/>
          <w:sz w:val="24"/>
          <w:szCs w:val="24"/>
        </w:rPr>
        <w:t>供货人保证在现场现有条件下，合同项下的货物在正常操作情况下不会因供货人在设计和制造过程中的缺陷、错误或材料选用及制造工艺上的缺陷而产生故障。若由于货物在设计制造工艺上的缺陷（包括潜在缺陷）而导致安全事故，给采购人造成所有的损失应由供货人赔偿。</w:t>
      </w:r>
    </w:p>
    <w:p>
      <w:pPr>
        <w:rPr>
          <w:rFonts w:ascii="宋体"/>
          <w:sz w:val="24"/>
          <w:szCs w:val="24"/>
        </w:rPr>
      </w:pPr>
      <w:r>
        <w:rPr>
          <w:rFonts w:ascii="宋体" w:hAnsi="宋体"/>
          <w:b/>
          <w:sz w:val="24"/>
          <w:szCs w:val="24"/>
        </w:rPr>
        <w:t>16.7</w:t>
      </w:r>
      <w:r>
        <w:rPr>
          <w:rFonts w:hint="eastAsia" w:ascii="宋体" w:hAnsi="宋体"/>
          <w:sz w:val="24"/>
          <w:szCs w:val="24"/>
        </w:rPr>
        <w:t>供货人还应保证合同项下所提供的服务，应按合同文件约定进行并保证不存在因供货人的过失、错误或疏忽而产生的缺陷。</w:t>
      </w:r>
    </w:p>
    <w:p>
      <w:pPr>
        <w:rPr>
          <w:rFonts w:ascii="宋体"/>
          <w:sz w:val="24"/>
          <w:szCs w:val="24"/>
        </w:rPr>
      </w:pPr>
      <w:r>
        <w:rPr>
          <w:rFonts w:ascii="宋体" w:hAnsi="宋体"/>
          <w:b/>
          <w:sz w:val="24"/>
          <w:szCs w:val="24"/>
        </w:rPr>
        <w:t>16.8</w:t>
      </w:r>
      <w:r>
        <w:rPr>
          <w:rFonts w:hint="eastAsia" w:ascii="宋体" w:hAnsi="宋体"/>
          <w:sz w:val="24"/>
          <w:szCs w:val="24"/>
        </w:rPr>
        <w:t>供货人所供的货物必须已得到中华人民共和国有关部门授予的在中华人民共和国使用的许可，否则，一切责任由供货人负责。</w:t>
      </w:r>
    </w:p>
    <w:p>
      <w:pPr>
        <w:rPr>
          <w:rFonts w:ascii="宋体"/>
          <w:b/>
          <w:sz w:val="24"/>
          <w:szCs w:val="24"/>
        </w:rPr>
      </w:pPr>
      <w:bookmarkStart w:id="389" w:name="_Toc381358662"/>
      <w:bookmarkStart w:id="390" w:name="_Toc375218775"/>
      <w:bookmarkStart w:id="391" w:name="_Toc256955383"/>
      <w:bookmarkStart w:id="392" w:name="_Toc217443956"/>
      <w:bookmarkStart w:id="393" w:name="_Toc218049000"/>
      <w:bookmarkStart w:id="394" w:name="_Toc218048820"/>
      <w:r>
        <w:rPr>
          <w:rFonts w:ascii="宋体" w:hAnsi="宋体"/>
          <w:b/>
          <w:sz w:val="24"/>
          <w:szCs w:val="24"/>
        </w:rPr>
        <w:t>17.</w:t>
      </w:r>
      <w:r>
        <w:rPr>
          <w:rFonts w:hint="eastAsia" w:ascii="宋体" w:hAnsi="宋体"/>
          <w:b/>
          <w:sz w:val="24"/>
          <w:szCs w:val="24"/>
        </w:rPr>
        <w:t>违约</w:t>
      </w:r>
      <w:bookmarkEnd w:id="389"/>
      <w:bookmarkEnd w:id="390"/>
      <w:bookmarkEnd w:id="391"/>
    </w:p>
    <w:p>
      <w:pPr>
        <w:rPr>
          <w:rFonts w:ascii="宋体"/>
          <w:b/>
          <w:sz w:val="24"/>
          <w:szCs w:val="24"/>
        </w:rPr>
      </w:pPr>
      <w:bookmarkStart w:id="395" w:name="_Toc375218776"/>
      <w:r>
        <w:rPr>
          <w:rFonts w:ascii="宋体" w:hAnsi="宋体"/>
          <w:b/>
          <w:sz w:val="24"/>
          <w:szCs w:val="24"/>
        </w:rPr>
        <w:t>17.1</w:t>
      </w:r>
      <w:r>
        <w:rPr>
          <w:rFonts w:hint="eastAsia" w:ascii="宋体" w:hAnsi="宋体"/>
          <w:b/>
          <w:sz w:val="24"/>
          <w:szCs w:val="24"/>
        </w:rPr>
        <w:t>采购人违约</w:t>
      </w:r>
      <w:bookmarkEnd w:id="395"/>
    </w:p>
    <w:p>
      <w:pPr>
        <w:ind w:firstLine="480" w:firstLineChars="200"/>
        <w:rPr>
          <w:rFonts w:ascii="宋体"/>
          <w:sz w:val="24"/>
          <w:szCs w:val="24"/>
        </w:rPr>
      </w:pPr>
      <w:r>
        <w:rPr>
          <w:rFonts w:ascii="宋体" w:hAnsi="宋体"/>
          <w:sz w:val="24"/>
          <w:szCs w:val="24"/>
        </w:rPr>
        <w:t>17.1.1</w:t>
      </w:r>
      <w:r>
        <w:rPr>
          <w:rFonts w:hint="eastAsia" w:ascii="宋体" w:hAnsi="宋体"/>
          <w:sz w:val="24"/>
          <w:szCs w:val="24"/>
        </w:rPr>
        <w:t>供货人有权暂停供货</w:t>
      </w:r>
    </w:p>
    <w:p>
      <w:pPr>
        <w:ind w:firstLine="480" w:firstLineChars="200"/>
        <w:rPr>
          <w:rFonts w:ascii="宋体"/>
          <w:sz w:val="24"/>
          <w:szCs w:val="24"/>
        </w:rPr>
      </w:pPr>
      <w:r>
        <w:rPr>
          <w:rFonts w:ascii="宋体" w:hAnsi="宋体"/>
          <w:sz w:val="24"/>
          <w:szCs w:val="24"/>
        </w:rPr>
        <w:t>17.1.1.1</w:t>
      </w:r>
      <w:r>
        <w:rPr>
          <w:rFonts w:hint="eastAsia" w:ascii="宋体" w:hAnsi="宋体"/>
          <w:sz w:val="24"/>
          <w:szCs w:val="24"/>
        </w:rPr>
        <w:t>在合同文件约定的时间内，如果采购人未能按第</w:t>
      </w:r>
      <w:r>
        <w:rPr>
          <w:rFonts w:ascii="宋体" w:hAnsi="宋体"/>
          <w:sz w:val="24"/>
          <w:szCs w:val="24"/>
        </w:rPr>
        <w:t>15</w:t>
      </w:r>
      <w:r>
        <w:rPr>
          <w:rFonts w:hint="eastAsia" w:ascii="宋体" w:hAnsi="宋体"/>
          <w:sz w:val="24"/>
          <w:szCs w:val="24"/>
        </w:rPr>
        <w:t>条约定向供货人支付按照本供货合同应当支付的款项，供货人可向采购人发出催款通知，并有权在通知发出后暂停本采购项目或减缓供货，由此而发生的全部增加费用，均由采购人承担，供货安装周期相应顺延。</w:t>
      </w:r>
    </w:p>
    <w:p>
      <w:pPr>
        <w:ind w:firstLine="480" w:firstLineChars="200"/>
        <w:rPr>
          <w:rFonts w:ascii="宋体"/>
          <w:sz w:val="24"/>
          <w:szCs w:val="24"/>
        </w:rPr>
      </w:pPr>
      <w:r>
        <w:rPr>
          <w:rFonts w:ascii="宋体" w:hAnsi="宋体"/>
          <w:sz w:val="24"/>
          <w:szCs w:val="24"/>
        </w:rPr>
        <w:t>17.1.1.2</w:t>
      </w:r>
      <w:r>
        <w:rPr>
          <w:rFonts w:hint="eastAsia" w:ascii="宋体" w:hAnsi="宋体"/>
          <w:sz w:val="24"/>
          <w:szCs w:val="24"/>
        </w:rPr>
        <w:t>如果采购人在收到供货人发出的催款通知后，随后即支付包括约定利息在内的应当支付的款项，而供货人尚未发出解除合同的通知，则供货人依据第</w:t>
      </w:r>
      <w:r>
        <w:rPr>
          <w:rFonts w:ascii="宋体" w:hAnsi="宋体"/>
          <w:sz w:val="24"/>
          <w:szCs w:val="24"/>
        </w:rPr>
        <w:t>17.1.2</w:t>
      </w:r>
      <w:r>
        <w:rPr>
          <w:rFonts w:hint="eastAsia" w:ascii="宋体" w:hAnsi="宋体"/>
          <w:sz w:val="24"/>
          <w:szCs w:val="24"/>
        </w:rPr>
        <w:t>项所享有的解除合同的权利即告失效，供货人应当尽快恢复正常供货。</w:t>
      </w:r>
    </w:p>
    <w:p>
      <w:pPr>
        <w:ind w:firstLine="360" w:firstLineChars="150"/>
        <w:rPr>
          <w:rFonts w:ascii="宋体"/>
          <w:sz w:val="24"/>
          <w:szCs w:val="24"/>
        </w:rPr>
      </w:pPr>
      <w:r>
        <w:rPr>
          <w:rFonts w:ascii="宋体" w:hAnsi="宋体"/>
          <w:sz w:val="24"/>
          <w:szCs w:val="24"/>
        </w:rPr>
        <w:t xml:space="preserve"> 17.1.1.3</w:t>
      </w:r>
      <w:r>
        <w:rPr>
          <w:rFonts w:hint="eastAsia" w:ascii="宋体" w:hAnsi="宋体"/>
          <w:sz w:val="24"/>
          <w:szCs w:val="24"/>
        </w:rPr>
        <w:t>本款的约定并不影响供货人依据第</w:t>
      </w:r>
      <w:r>
        <w:rPr>
          <w:rFonts w:ascii="宋体" w:hAnsi="宋体"/>
          <w:sz w:val="24"/>
          <w:szCs w:val="24"/>
        </w:rPr>
        <w:t>17.1.2</w:t>
      </w:r>
      <w:r>
        <w:rPr>
          <w:rFonts w:hint="eastAsia" w:ascii="宋体" w:hAnsi="宋体"/>
          <w:sz w:val="24"/>
          <w:szCs w:val="24"/>
        </w:rPr>
        <w:t>项应当享有的其他权利。</w:t>
      </w:r>
    </w:p>
    <w:p>
      <w:pPr>
        <w:ind w:firstLine="480" w:firstLineChars="200"/>
        <w:rPr>
          <w:rFonts w:ascii="宋体"/>
          <w:sz w:val="24"/>
          <w:szCs w:val="24"/>
        </w:rPr>
      </w:pPr>
      <w:r>
        <w:rPr>
          <w:rFonts w:ascii="宋体" w:hAnsi="宋体"/>
          <w:sz w:val="24"/>
          <w:szCs w:val="24"/>
        </w:rPr>
        <w:t>17.1.1.4</w:t>
      </w:r>
      <w:r>
        <w:rPr>
          <w:rFonts w:hint="eastAsia" w:ascii="宋体" w:hAnsi="宋体"/>
          <w:sz w:val="24"/>
          <w:szCs w:val="24"/>
        </w:rPr>
        <w:t>采购人未按合同约定支付相应款项，供货人有权暂停本采购项目或减缓供货的时间见合同条款专用部分。</w:t>
      </w:r>
    </w:p>
    <w:p>
      <w:pPr>
        <w:ind w:firstLine="480" w:firstLineChars="200"/>
        <w:rPr>
          <w:rFonts w:ascii="宋体"/>
          <w:sz w:val="24"/>
          <w:szCs w:val="24"/>
        </w:rPr>
      </w:pPr>
      <w:r>
        <w:rPr>
          <w:rFonts w:ascii="宋体" w:hAnsi="宋体"/>
          <w:sz w:val="24"/>
          <w:szCs w:val="24"/>
        </w:rPr>
        <w:t>17.1.2</w:t>
      </w:r>
      <w:r>
        <w:rPr>
          <w:rFonts w:hint="eastAsia" w:ascii="宋体" w:hAnsi="宋体"/>
          <w:sz w:val="24"/>
          <w:szCs w:val="24"/>
        </w:rPr>
        <w:t>供货人有权解除合同</w:t>
      </w:r>
    </w:p>
    <w:p>
      <w:pPr>
        <w:ind w:firstLine="480" w:firstLineChars="200"/>
        <w:rPr>
          <w:rFonts w:ascii="宋体"/>
          <w:sz w:val="24"/>
          <w:szCs w:val="24"/>
        </w:rPr>
      </w:pPr>
      <w:r>
        <w:rPr>
          <w:rFonts w:ascii="宋体" w:hAnsi="宋体"/>
          <w:sz w:val="24"/>
          <w:szCs w:val="24"/>
        </w:rPr>
        <w:t>17.1.2.1</w:t>
      </w:r>
      <w:r>
        <w:rPr>
          <w:rFonts w:hint="eastAsia" w:ascii="宋体" w:hAnsi="宋体"/>
          <w:sz w:val="24"/>
          <w:szCs w:val="24"/>
        </w:rPr>
        <w:t>如果采购人发生下述情况之一，供货人可向采购人发出拟解除合同的书面形式通知。如果采购人在收到供货人发出的上述通知后，按合同文件约定的时间内仍然持续该等过失，则供货人有权解除本供货合同：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）在收到供货人按照第</w:t>
      </w:r>
      <w:r>
        <w:rPr>
          <w:rFonts w:ascii="宋体" w:hAnsi="宋体"/>
          <w:sz w:val="24"/>
          <w:szCs w:val="24"/>
        </w:rPr>
        <w:t>17.1.1</w:t>
      </w:r>
      <w:r>
        <w:rPr>
          <w:rFonts w:hint="eastAsia" w:ascii="宋体" w:hAnsi="宋体"/>
          <w:sz w:val="24"/>
          <w:szCs w:val="24"/>
        </w:rPr>
        <w:t>项发出的催款通知后，在合同条款专用部分约定的期限内仍未能向供货人支付本供货合同约定应当支付的款项，供货人有权解除本供货合同。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）采购人采购的货物不符合强制性标准，致使供货人无法供货，且在催告后仍未履行相应义务。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）采购人破产或无力偿还债务或发生非重组、重建或合并时，则供货人有权立即解除本供货合同。</w:t>
      </w:r>
    </w:p>
    <w:p>
      <w:pPr>
        <w:ind w:firstLine="480" w:firstLineChars="200"/>
        <w:rPr>
          <w:rFonts w:ascii="宋体"/>
          <w:sz w:val="24"/>
          <w:szCs w:val="24"/>
        </w:rPr>
      </w:pPr>
      <w:r>
        <w:rPr>
          <w:rFonts w:ascii="宋体" w:hAnsi="宋体"/>
          <w:sz w:val="24"/>
          <w:szCs w:val="24"/>
        </w:rPr>
        <w:t>17.1.3</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rPr>
        <w:t>根据第</w:t>
      </w:r>
      <w:r>
        <w:rPr>
          <w:rFonts w:ascii="宋体" w:hAnsi="宋体"/>
          <w:sz w:val="24"/>
          <w:szCs w:val="24"/>
        </w:rPr>
        <w:t>17.1.2</w:t>
      </w:r>
      <w:r>
        <w:rPr>
          <w:rFonts w:hint="eastAsia" w:ascii="宋体" w:hAnsi="宋体"/>
          <w:sz w:val="24"/>
          <w:szCs w:val="24"/>
        </w:rPr>
        <w:t>项合同解除后，采购人应当退还履约保函，并支付给供货人按照第</w:t>
      </w:r>
      <w:r>
        <w:rPr>
          <w:rFonts w:ascii="宋体" w:hAnsi="宋体"/>
          <w:sz w:val="24"/>
          <w:szCs w:val="24"/>
        </w:rPr>
        <w:t>15</w:t>
      </w:r>
      <w:r>
        <w:rPr>
          <w:rFonts w:hint="eastAsia" w:ascii="宋体" w:hAnsi="宋体"/>
          <w:sz w:val="24"/>
          <w:szCs w:val="24"/>
        </w:rPr>
        <w:t>条应当支付的所有款项，及由于合同解除而使供货人蒙受的任何损失。</w:t>
      </w:r>
    </w:p>
    <w:p>
      <w:pPr>
        <w:rPr>
          <w:rFonts w:ascii="宋体"/>
          <w:b/>
          <w:sz w:val="24"/>
          <w:szCs w:val="24"/>
        </w:rPr>
      </w:pPr>
      <w:bookmarkStart w:id="396" w:name="_Toc375218777"/>
      <w:r>
        <w:rPr>
          <w:rFonts w:ascii="宋体" w:hAnsi="宋体"/>
          <w:b/>
          <w:sz w:val="24"/>
          <w:szCs w:val="24"/>
        </w:rPr>
        <w:t>17.2</w:t>
      </w:r>
      <w:r>
        <w:rPr>
          <w:rFonts w:hint="eastAsia" w:ascii="宋体" w:hAnsi="宋体"/>
          <w:b/>
          <w:sz w:val="24"/>
          <w:szCs w:val="24"/>
        </w:rPr>
        <w:t>供货人违约</w:t>
      </w:r>
      <w:bookmarkEnd w:id="396"/>
    </w:p>
    <w:p>
      <w:pPr>
        <w:ind w:firstLine="480" w:firstLineChars="200"/>
        <w:rPr>
          <w:rFonts w:ascii="宋体"/>
          <w:sz w:val="24"/>
          <w:szCs w:val="24"/>
        </w:rPr>
      </w:pPr>
      <w:r>
        <w:rPr>
          <w:rFonts w:ascii="宋体" w:hAnsi="宋体"/>
          <w:sz w:val="24"/>
          <w:szCs w:val="24"/>
        </w:rPr>
        <w:t>17.2.1</w:t>
      </w:r>
      <w:r>
        <w:rPr>
          <w:rFonts w:hint="eastAsia" w:ascii="宋体" w:hAnsi="宋体"/>
          <w:sz w:val="24"/>
          <w:szCs w:val="24"/>
        </w:rPr>
        <w:t>采购人有权解除合同</w:t>
      </w:r>
    </w:p>
    <w:p>
      <w:pPr>
        <w:ind w:firstLine="480" w:firstLineChars="200"/>
        <w:rPr>
          <w:rFonts w:ascii="宋体"/>
          <w:sz w:val="24"/>
          <w:szCs w:val="24"/>
        </w:rPr>
      </w:pPr>
      <w:r>
        <w:rPr>
          <w:rFonts w:hint="eastAsia" w:ascii="宋体" w:hAnsi="宋体"/>
          <w:sz w:val="24"/>
          <w:szCs w:val="24"/>
        </w:rPr>
        <w:t>如果供货人发生下述情况之一，采购人可向供货人发出拟解除合同的书面形式通知。如果在供货人收到采购人发出的上述通知后，按合同文件约定的时间内仍然持续该等过失，则采购人有权解除本供货合同：</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）明确表示或者以行为表明不履行合同主要义务，又不遵照采购人的要求在约定的合理时间内改正此类过失或违约行为；</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）将本供货合同进行转包、分包的；</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）已供货物的质量不合格，并拒绝修复的。</w:t>
      </w:r>
    </w:p>
    <w:p>
      <w:pPr>
        <w:ind w:firstLine="480" w:firstLineChars="200"/>
        <w:rPr>
          <w:rFonts w:ascii="宋体"/>
          <w:sz w:val="24"/>
          <w:szCs w:val="24"/>
        </w:rPr>
      </w:pPr>
      <w:r>
        <w:rPr>
          <w:rFonts w:hint="eastAsia" w:ascii="宋体" w:hAnsi="宋体"/>
          <w:sz w:val="24"/>
          <w:szCs w:val="24"/>
        </w:rPr>
        <w:t>如果供货人破产、无力偿还债务、发生非重组重建或合并时、失去政府所颁发的实施本供货合同工作所必须的资质或资格，则采购人有权立即解除本供货合同。</w:t>
      </w:r>
    </w:p>
    <w:p>
      <w:pPr>
        <w:ind w:firstLine="480" w:firstLineChars="200"/>
        <w:rPr>
          <w:rFonts w:ascii="宋体"/>
          <w:sz w:val="24"/>
          <w:szCs w:val="24"/>
        </w:rPr>
      </w:pPr>
      <w:r>
        <w:rPr>
          <w:rFonts w:ascii="宋体" w:hAnsi="宋体"/>
          <w:sz w:val="24"/>
          <w:szCs w:val="24"/>
        </w:rPr>
        <w:t>17.2.2</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rPr>
        <w:t>采购人根据第</w:t>
      </w:r>
      <w:r>
        <w:rPr>
          <w:rFonts w:ascii="宋体" w:hAnsi="宋体"/>
          <w:sz w:val="24"/>
          <w:szCs w:val="24"/>
        </w:rPr>
        <w:t>17.2.1</w:t>
      </w:r>
      <w:r>
        <w:rPr>
          <w:rFonts w:hint="eastAsia" w:ascii="宋体" w:hAnsi="宋体"/>
          <w:sz w:val="24"/>
          <w:szCs w:val="24"/>
        </w:rPr>
        <w:t>项解除合同后，应与供货人协商确定：在上述解除合同时，供货人就其按照合同文件约定实际供货货值，已合理得到或理应得到的款额；供货人应当赔偿采购人因终止合同所导致的任何直接损失；当上述供货人合理得到或理应得到款额扣除其应赔偿采购人的直接损失后的金额超过了采购人已经向供货人累计支付的全部款额时，超出部分金额成为供货人归还给采购人的债权；未超出时，不足部分金额成为采购人应当补充支付给供货人的款项。采购人行使终止合同的权利，并不影响其拥有的其他权利或补偿。</w:t>
      </w:r>
    </w:p>
    <w:bookmarkEnd w:id="392"/>
    <w:bookmarkEnd w:id="393"/>
    <w:bookmarkEnd w:id="394"/>
    <w:p>
      <w:pPr>
        <w:rPr>
          <w:rFonts w:ascii="宋体"/>
          <w:b/>
          <w:sz w:val="24"/>
          <w:szCs w:val="24"/>
        </w:rPr>
      </w:pPr>
      <w:bookmarkStart w:id="397" w:name="_Toc255490832"/>
      <w:bookmarkEnd w:id="397"/>
      <w:bookmarkStart w:id="398" w:name="_Toc255490834"/>
      <w:bookmarkEnd w:id="398"/>
      <w:bookmarkStart w:id="399" w:name="_Toc255490820"/>
      <w:bookmarkEnd w:id="399"/>
      <w:bookmarkStart w:id="400" w:name="_Toc255490838"/>
      <w:bookmarkEnd w:id="400"/>
      <w:bookmarkStart w:id="401" w:name="_Toc255490824"/>
      <w:bookmarkEnd w:id="401"/>
      <w:bookmarkStart w:id="402" w:name="_Toc255490849"/>
      <w:bookmarkEnd w:id="402"/>
      <w:bookmarkStart w:id="403" w:name="_Toc255490813"/>
      <w:bookmarkEnd w:id="403"/>
      <w:bookmarkStart w:id="404" w:name="_Toc255490816"/>
      <w:bookmarkEnd w:id="404"/>
      <w:bookmarkStart w:id="405" w:name="_Toc255490850"/>
      <w:bookmarkEnd w:id="405"/>
      <w:bookmarkStart w:id="406" w:name="_Toc255490822"/>
      <w:bookmarkEnd w:id="406"/>
      <w:bookmarkStart w:id="407" w:name="_Toc255490853"/>
      <w:bookmarkEnd w:id="407"/>
      <w:bookmarkStart w:id="408" w:name="_Toc255490833"/>
      <w:bookmarkEnd w:id="408"/>
      <w:bookmarkStart w:id="409" w:name="_Toc255490815"/>
      <w:bookmarkEnd w:id="409"/>
      <w:bookmarkStart w:id="410" w:name="_Toc255490836"/>
      <w:bookmarkEnd w:id="410"/>
      <w:bookmarkStart w:id="411" w:name="_Toc255490842"/>
      <w:bookmarkEnd w:id="411"/>
      <w:bookmarkStart w:id="412" w:name="_Toc255490839"/>
      <w:bookmarkEnd w:id="412"/>
      <w:bookmarkStart w:id="413" w:name="_Toc255490823"/>
      <w:bookmarkEnd w:id="413"/>
      <w:bookmarkStart w:id="414" w:name="_Toc255490831"/>
      <w:bookmarkEnd w:id="414"/>
      <w:bookmarkStart w:id="415" w:name="_Toc255490848"/>
      <w:bookmarkEnd w:id="415"/>
      <w:bookmarkStart w:id="416" w:name="_Toc255490814"/>
      <w:bookmarkEnd w:id="416"/>
      <w:bookmarkStart w:id="417" w:name="_Toc255490851"/>
      <w:bookmarkEnd w:id="417"/>
      <w:bookmarkStart w:id="418" w:name="_Toc255490818"/>
      <w:bookmarkEnd w:id="418"/>
      <w:bookmarkStart w:id="419" w:name="_Toc255490845"/>
      <w:bookmarkEnd w:id="419"/>
      <w:bookmarkStart w:id="420" w:name="_Toc255490830"/>
      <w:bookmarkEnd w:id="420"/>
      <w:bookmarkStart w:id="421" w:name="_Toc255490847"/>
      <w:bookmarkEnd w:id="421"/>
      <w:bookmarkStart w:id="422" w:name="_Toc255490829"/>
      <w:bookmarkEnd w:id="422"/>
      <w:bookmarkStart w:id="423" w:name="_Toc255490852"/>
      <w:bookmarkEnd w:id="423"/>
      <w:bookmarkStart w:id="424" w:name="_Toc255490843"/>
      <w:bookmarkEnd w:id="424"/>
      <w:bookmarkStart w:id="425" w:name="_Toc255490827"/>
      <w:bookmarkEnd w:id="425"/>
      <w:bookmarkStart w:id="426" w:name="_Toc255490840"/>
      <w:bookmarkEnd w:id="426"/>
      <w:bookmarkStart w:id="427" w:name="_Toc255490828"/>
      <w:bookmarkEnd w:id="427"/>
      <w:bookmarkStart w:id="428" w:name="_Toc255490844"/>
      <w:bookmarkEnd w:id="428"/>
      <w:bookmarkStart w:id="429" w:name="_Toc255490821"/>
      <w:bookmarkEnd w:id="429"/>
      <w:bookmarkStart w:id="430" w:name="_Toc255490826"/>
      <w:bookmarkEnd w:id="430"/>
      <w:bookmarkStart w:id="431" w:name="_Toc255490819"/>
      <w:bookmarkEnd w:id="431"/>
      <w:bookmarkStart w:id="432" w:name="_Toc255490825"/>
      <w:bookmarkEnd w:id="432"/>
      <w:bookmarkStart w:id="433" w:name="_Toc255490817"/>
      <w:bookmarkEnd w:id="433"/>
      <w:bookmarkStart w:id="434" w:name="_Toc255490835"/>
      <w:bookmarkEnd w:id="434"/>
      <w:bookmarkStart w:id="435" w:name="_Toc255490846"/>
      <w:bookmarkEnd w:id="435"/>
      <w:bookmarkStart w:id="436" w:name="_Toc255490841"/>
      <w:bookmarkEnd w:id="436"/>
      <w:bookmarkStart w:id="437" w:name="_Toc256955384"/>
      <w:bookmarkStart w:id="438" w:name="_Toc375218778"/>
      <w:bookmarkStart w:id="439" w:name="_Toc381358663"/>
      <w:r>
        <w:rPr>
          <w:rFonts w:ascii="宋体" w:hAnsi="宋体"/>
          <w:b/>
          <w:sz w:val="24"/>
          <w:szCs w:val="24"/>
        </w:rPr>
        <w:t>18.</w:t>
      </w:r>
      <w:r>
        <w:rPr>
          <w:rFonts w:hint="eastAsia" w:ascii="宋体" w:hAnsi="宋体"/>
          <w:b/>
          <w:sz w:val="24"/>
          <w:szCs w:val="24"/>
        </w:rPr>
        <w:t>索赔</w:t>
      </w:r>
      <w:bookmarkEnd w:id="437"/>
      <w:bookmarkEnd w:id="438"/>
      <w:bookmarkEnd w:id="439"/>
    </w:p>
    <w:p>
      <w:pPr>
        <w:rPr>
          <w:rFonts w:ascii="宋体"/>
          <w:b/>
          <w:sz w:val="24"/>
          <w:szCs w:val="24"/>
        </w:rPr>
      </w:pPr>
      <w:bookmarkStart w:id="440" w:name="_Toc375218779"/>
      <w:r>
        <w:rPr>
          <w:rFonts w:ascii="宋体" w:hAnsi="宋体"/>
          <w:b/>
          <w:sz w:val="24"/>
          <w:szCs w:val="24"/>
        </w:rPr>
        <w:t>18.1</w:t>
      </w:r>
      <w:r>
        <w:rPr>
          <w:rFonts w:hint="eastAsia" w:ascii="宋体" w:hAnsi="宋体"/>
          <w:b/>
          <w:sz w:val="24"/>
          <w:szCs w:val="24"/>
        </w:rPr>
        <w:t>供货人索赔</w:t>
      </w:r>
      <w:bookmarkEnd w:id="440"/>
    </w:p>
    <w:p>
      <w:pPr>
        <w:ind w:firstLine="480" w:firstLineChars="200"/>
        <w:rPr>
          <w:rFonts w:ascii="宋体"/>
          <w:sz w:val="24"/>
          <w:szCs w:val="24"/>
        </w:rPr>
      </w:pPr>
      <w:r>
        <w:rPr>
          <w:rFonts w:ascii="宋体" w:hAnsi="宋体"/>
          <w:sz w:val="24"/>
          <w:szCs w:val="24"/>
        </w:rPr>
        <w:t>18.1.1</w:t>
      </w:r>
      <w:r>
        <w:rPr>
          <w:rFonts w:hint="eastAsia" w:ascii="宋体" w:hAnsi="宋体"/>
          <w:sz w:val="24"/>
          <w:szCs w:val="24"/>
        </w:rPr>
        <w:t>如果采购人未能履行合同文件约定的义务或如果采购人履行的义务存在错误给供货人造成损失，供货人可按照以下约定向采购人提出索赔。</w:t>
      </w:r>
    </w:p>
    <w:p>
      <w:pPr>
        <w:ind w:firstLine="480" w:firstLineChars="200"/>
        <w:rPr>
          <w:rFonts w:ascii="宋体" w:hAnsi="宋体"/>
          <w:sz w:val="24"/>
          <w:szCs w:val="24"/>
        </w:rPr>
      </w:pPr>
      <w:r>
        <w:rPr>
          <w:rFonts w:ascii="宋体" w:hAnsi="宋体"/>
          <w:sz w:val="24"/>
          <w:szCs w:val="24"/>
        </w:rPr>
        <w:t>18.1.2</w:t>
      </w:r>
      <w:r>
        <w:rPr>
          <w:rFonts w:hint="eastAsia" w:ascii="宋体" w:hAnsi="宋体"/>
          <w:sz w:val="24"/>
          <w:szCs w:val="24"/>
        </w:rPr>
        <w:t>供货人索赔的提出：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应当在知道或应当知道索赔事件发生后，按照合同文件时间约定的时间内，向采购人提交索赔报告。索赔报告应当详细说明索赔理由以及要求追加的付款金额和（或）延长的供货安装周期，并附必要的记录和证明材料；供货人向采购人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）索赔事件具有连续影响的，供货人应当按照合理时间间隔继续递交延续索赔报告，说明连续影响的实际情况和记录，列出累计的追加付款金额和（或）供货安装周期延长天数；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供货人应当向采购人提交最终索赔报告，说明最终要求索赔的追加付款金额和延长的供货安装周期，并附必要的记录和证明材料。供货人向采购人提交最终索赔报告的时间约定见合同条款专用部分。</w:t>
      </w:r>
    </w:p>
    <w:p>
      <w:pPr>
        <w:ind w:firstLine="480" w:firstLineChars="200"/>
        <w:rPr>
          <w:rFonts w:ascii="宋体"/>
          <w:sz w:val="24"/>
          <w:szCs w:val="24"/>
        </w:rPr>
      </w:pPr>
      <w:r>
        <w:rPr>
          <w:rFonts w:ascii="宋体" w:hAnsi="宋体"/>
          <w:sz w:val="24"/>
          <w:szCs w:val="24"/>
        </w:rPr>
        <w:t>18.1.3</w:t>
      </w:r>
      <w:r>
        <w:rPr>
          <w:rFonts w:hint="eastAsia" w:ascii="宋体" w:hAnsi="宋体"/>
          <w:sz w:val="24"/>
          <w:szCs w:val="24"/>
        </w:rPr>
        <w:t>供货人索赔的处理：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）采购人收到供货人提交的索赔报告后，应当及时审查索赔报告的内容、查验供货人的记录和证明材料，必要时采购人可要求供货人提交全部原始记录复印件。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采购人应当按照合同文件约定对供货人提出的追加付款和（或）延长供货安装周期的要求进行审核和确认，并在收到上述索赔报告或有关索赔的进一步证明材料后，按照合同文件时间约定的时间内，将索赔处理结果答复供货人。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）如果采购人在收到上述索赔报告或有关索赔的进一步证明材料后，按照第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）目约定的时间内未答复供货人处理结果的，则视同采购人接受了供货人的索赔要求。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）供货人接受索赔处理结果的，按照第</w:t>
      </w:r>
      <w:r>
        <w:rPr>
          <w:rFonts w:ascii="宋体" w:hAnsi="宋体"/>
          <w:sz w:val="24"/>
          <w:szCs w:val="24"/>
        </w:rPr>
        <w:t>18</w:t>
      </w:r>
      <w:r>
        <w:rPr>
          <w:rFonts w:ascii="宋体"/>
          <w:sz w:val="24"/>
          <w:szCs w:val="24"/>
        </w:rPr>
        <w:t>.</w:t>
      </w:r>
      <w:r>
        <w:rPr>
          <w:rFonts w:ascii="宋体" w:hAnsi="宋体"/>
          <w:sz w:val="24"/>
          <w:szCs w:val="24"/>
        </w:rPr>
        <w:t>1.5</w:t>
      </w:r>
      <w:r>
        <w:rPr>
          <w:rFonts w:hint="eastAsia" w:ascii="宋体" w:hAnsi="宋体"/>
          <w:sz w:val="24"/>
          <w:szCs w:val="24"/>
        </w:rPr>
        <w:t>项完成赔付。供货人不接受索赔处理结果的，按照第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18.1.4</w:t>
      </w:r>
      <w:r>
        <w:rPr>
          <w:rFonts w:hint="eastAsia" w:ascii="宋体" w:hAnsi="宋体"/>
          <w:sz w:val="24"/>
          <w:szCs w:val="24"/>
        </w:rPr>
        <w:t>供货人提出索赔的期限：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）如果供货人未按照第</w:t>
      </w:r>
      <w:r>
        <w:rPr>
          <w:rFonts w:ascii="宋体" w:hAnsi="宋体"/>
          <w:sz w:val="24"/>
          <w:szCs w:val="24"/>
        </w:rPr>
        <w:t>18.1.2</w:t>
      </w:r>
      <w:r>
        <w:rPr>
          <w:rFonts w:hint="eastAsia" w:ascii="宋体" w:hAnsi="宋体"/>
          <w:sz w:val="24"/>
          <w:szCs w:val="24"/>
        </w:rPr>
        <w:t>项的时间要求提出索赔，视为供货人已放弃了对相关事件的索赔。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）如果供货人以书面形式确认了采购人审定的合同价款结算报告后，应当被认为已无权再提出合同价款结算前所发生的任何索赔。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）供货人提交的最终合同价款结清申请单中，只限于提出供货人书面形式确认了采购人审定的合同价款结算报告后发生的索赔。提出索赔的期限自办理完合同价款最终结清手续之日止。</w:t>
      </w:r>
    </w:p>
    <w:p>
      <w:pPr>
        <w:ind w:firstLine="480" w:firstLineChars="200"/>
        <w:rPr>
          <w:rFonts w:ascii="宋体"/>
          <w:sz w:val="24"/>
          <w:szCs w:val="24"/>
        </w:rPr>
      </w:pPr>
      <w:r>
        <w:rPr>
          <w:rFonts w:ascii="宋体" w:hAnsi="宋体"/>
          <w:sz w:val="24"/>
          <w:szCs w:val="24"/>
        </w:rPr>
        <w:t>18.1.5</w:t>
      </w:r>
      <w:r>
        <w:rPr>
          <w:rFonts w:hint="eastAsia" w:ascii="宋体" w:hAnsi="宋体"/>
          <w:sz w:val="24"/>
          <w:szCs w:val="24"/>
        </w:rPr>
        <w:t>供货人的索赔要求被批准后，其应当获得的索赔款由采购人随货款支付。</w:t>
      </w:r>
    </w:p>
    <w:p>
      <w:pPr>
        <w:rPr>
          <w:rFonts w:ascii="宋体"/>
          <w:b/>
          <w:sz w:val="24"/>
          <w:szCs w:val="24"/>
        </w:rPr>
      </w:pPr>
      <w:bookmarkStart w:id="441" w:name="_Toc375218780"/>
      <w:r>
        <w:rPr>
          <w:rFonts w:ascii="宋体" w:hAnsi="宋体"/>
          <w:b/>
          <w:sz w:val="24"/>
          <w:szCs w:val="24"/>
        </w:rPr>
        <w:t>18.2</w:t>
      </w:r>
      <w:r>
        <w:rPr>
          <w:rFonts w:hint="eastAsia" w:ascii="宋体" w:hAnsi="宋体"/>
          <w:b/>
          <w:sz w:val="24"/>
          <w:szCs w:val="24"/>
        </w:rPr>
        <w:t>采购人的索赔</w:t>
      </w:r>
      <w:bookmarkEnd w:id="441"/>
    </w:p>
    <w:p>
      <w:pPr>
        <w:ind w:firstLine="480" w:firstLineChars="200"/>
        <w:rPr>
          <w:rFonts w:ascii="宋体"/>
          <w:sz w:val="24"/>
          <w:szCs w:val="24"/>
        </w:rPr>
      </w:pPr>
      <w:r>
        <w:rPr>
          <w:rFonts w:ascii="宋体" w:hAnsi="宋体"/>
          <w:sz w:val="24"/>
          <w:szCs w:val="24"/>
        </w:rPr>
        <w:t>18.2.1</w:t>
      </w:r>
      <w:r>
        <w:rPr>
          <w:rFonts w:hint="eastAsia" w:ascii="宋体" w:hAnsi="宋体"/>
          <w:sz w:val="24"/>
          <w:szCs w:val="24"/>
        </w:rPr>
        <w:t>如果供货人未能按照本合同约定履行义务或供货人所履行的义务存在错误给采购人造成损失，采购人可按照以下约定向供货人提出索赔。</w:t>
      </w:r>
    </w:p>
    <w:p>
      <w:pPr>
        <w:ind w:firstLine="480" w:firstLineChars="200"/>
        <w:rPr>
          <w:rFonts w:ascii="宋体"/>
          <w:sz w:val="24"/>
          <w:szCs w:val="24"/>
        </w:rPr>
      </w:pPr>
      <w:r>
        <w:rPr>
          <w:rFonts w:ascii="宋体" w:hAnsi="宋体"/>
          <w:sz w:val="24"/>
          <w:szCs w:val="24"/>
        </w:rPr>
        <w:t>18.2.2</w:t>
      </w:r>
      <w:r>
        <w:rPr>
          <w:rFonts w:hint="eastAsia" w:ascii="宋体" w:hAnsi="宋体"/>
          <w:sz w:val="24"/>
          <w:szCs w:val="24"/>
        </w:rPr>
        <w:t>采购人索赔的提出：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采购人应当在知道或应当知道索赔事件发生后，按照合同文件时间约定的时间内，向供货人提交索赔报告，索赔报告应当详细说明索赔理由以及有权得到的索赔金额和（或）延长的缺陷责任期，并附必要的记录和证明材料；采购人向供货人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）索赔事件具有连续影响的，采购人应当按照合理时间间隔继续提交延续索赔报告，说明连续影响的实际情况和记录，列出累计的索赔金额和（或）缺陷责任期延长天数。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采购人应当向供货人提交最终索赔报告，说明最终要求索赔的金额和延长的缺陷责任期，并附必要的记录和证明材料。采购人向供货人提交最终索赔报告的时间约定见合同条款专用部分。</w:t>
      </w:r>
    </w:p>
    <w:p>
      <w:pPr>
        <w:ind w:firstLine="480" w:firstLineChars="200"/>
        <w:rPr>
          <w:rFonts w:ascii="宋体"/>
          <w:sz w:val="24"/>
          <w:szCs w:val="24"/>
        </w:rPr>
      </w:pPr>
      <w:r>
        <w:rPr>
          <w:rFonts w:ascii="宋体" w:hAnsi="宋体"/>
          <w:sz w:val="24"/>
          <w:szCs w:val="24"/>
        </w:rPr>
        <w:t>18.2.3</w:t>
      </w:r>
      <w:r>
        <w:rPr>
          <w:rFonts w:hint="eastAsia" w:ascii="宋体" w:hAnsi="宋体"/>
          <w:sz w:val="24"/>
          <w:szCs w:val="24"/>
        </w:rPr>
        <w:t>采购人索赔的处理：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）供货人收到采购人提交的索赔报告后，应当及时审查索赔报告的内容、查验采购人的记录和证明材料，必要时供货人可要求采购人提交全部原始记录副本。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应当按照合同文件约定对采购人提出的索赔金额和（或）延长的缺陷责任期的要求进行审核和确认，并在收到上述索赔报告或有关索赔的进一步证明材料后，按照合同文件时间约定的时间内，将索赔处理结果答复采购人。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）如果供货人在收到上述索赔报告或有关索赔的进一步证明材料后，按照第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）目约定的时间内未答复采购人处理结果的，则视同供货人接受了采购人的索赔要求。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）采购人接受索赔处理结果的，按照第</w:t>
      </w:r>
      <w:r>
        <w:rPr>
          <w:rFonts w:ascii="宋体" w:hAnsi="宋体"/>
          <w:sz w:val="24"/>
          <w:szCs w:val="24"/>
        </w:rPr>
        <w:t>18.2.5</w:t>
      </w:r>
      <w:r>
        <w:rPr>
          <w:rFonts w:hint="eastAsia" w:ascii="宋体" w:hAnsi="宋体"/>
          <w:sz w:val="24"/>
          <w:szCs w:val="24"/>
        </w:rPr>
        <w:t>项的约定完成赔付，采购人不接受索赔处理结果的，按照第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18.2.4</w:t>
      </w:r>
      <w:r>
        <w:rPr>
          <w:rFonts w:hint="eastAsia" w:ascii="宋体" w:hAnsi="宋体"/>
          <w:sz w:val="24"/>
          <w:szCs w:val="24"/>
        </w:rPr>
        <w:t>采购人提出索赔的期限：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）如果采购人未按照第</w:t>
      </w:r>
      <w:r>
        <w:rPr>
          <w:rFonts w:ascii="宋体" w:hAnsi="宋体"/>
          <w:sz w:val="24"/>
          <w:szCs w:val="24"/>
        </w:rPr>
        <w:t>18.2.2</w:t>
      </w:r>
      <w:r>
        <w:rPr>
          <w:rFonts w:hint="eastAsia" w:ascii="宋体" w:hAnsi="宋体"/>
          <w:sz w:val="24"/>
          <w:szCs w:val="24"/>
        </w:rPr>
        <w:t>项的时间要求提出索赔，视为采购人已放弃了对相关事件的索赔。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）当采购人开具了合同价款结算报告后，应当被认为已无权再提出合同价款结算前所发生的任何索赔。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）采购人在开具合同价款结算报告后，所提出的索赔要求，只限于开具合同价款结算报告至办理合同价款最终结清手续期间所发生的索赔事件。提出索赔的期限至办理完合同价款最终结清手续之日止。</w:t>
      </w:r>
    </w:p>
    <w:p>
      <w:pPr>
        <w:ind w:firstLine="480" w:firstLineChars="200"/>
        <w:rPr>
          <w:rFonts w:ascii="宋体"/>
          <w:sz w:val="24"/>
          <w:szCs w:val="24"/>
        </w:rPr>
      </w:pPr>
      <w:r>
        <w:rPr>
          <w:rFonts w:ascii="宋体" w:hAnsi="宋体"/>
          <w:sz w:val="24"/>
          <w:szCs w:val="24"/>
        </w:rPr>
        <w:t xml:space="preserve"> 18.2.5</w:t>
      </w:r>
      <w:r>
        <w:rPr>
          <w:rFonts w:hint="eastAsia" w:ascii="宋体" w:hAnsi="宋体"/>
          <w:sz w:val="24"/>
          <w:szCs w:val="24"/>
        </w:rPr>
        <w:t>供货人应当付给采购人的索赔金额可从采购人拟支付给供货人的合同价款中扣除，或由供货人以其他方式支付给采购人。当拟支付给供货人的合同价款已不足以满足索赔金额时，供货人应当在接受索赔处理结果后，按照合同文件时间约定的时间内，将其差额赔偿给采购人。差额赔偿时间见合同条款专用部分。</w:t>
      </w:r>
    </w:p>
    <w:p>
      <w:pPr>
        <w:rPr>
          <w:rFonts w:ascii="宋体"/>
          <w:b/>
          <w:sz w:val="24"/>
          <w:szCs w:val="24"/>
        </w:rPr>
      </w:pPr>
      <w:bookmarkStart w:id="442" w:name="_Toc375218781"/>
      <w:r>
        <w:rPr>
          <w:rFonts w:ascii="宋体" w:hAnsi="宋体"/>
          <w:b/>
          <w:sz w:val="24"/>
          <w:szCs w:val="24"/>
        </w:rPr>
        <w:t>18.3</w:t>
      </w:r>
      <w:r>
        <w:rPr>
          <w:rFonts w:hint="eastAsia" w:ascii="宋体" w:hAnsi="宋体"/>
          <w:b/>
          <w:sz w:val="24"/>
          <w:szCs w:val="24"/>
        </w:rPr>
        <w:t>非索赔事项</w:t>
      </w:r>
      <w:bookmarkEnd w:id="442"/>
    </w:p>
    <w:p>
      <w:pPr>
        <w:ind w:firstLine="480" w:firstLineChars="200"/>
        <w:rPr>
          <w:rFonts w:ascii="宋体"/>
          <w:sz w:val="24"/>
          <w:szCs w:val="24"/>
        </w:rPr>
      </w:pPr>
      <w:r>
        <w:rPr>
          <w:rFonts w:hint="eastAsia" w:ascii="宋体" w:hAnsi="宋体"/>
          <w:sz w:val="24"/>
          <w:szCs w:val="24"/>
        </w:rPr>
        <w:t>以下事项按照相关条款处理，并不视作本条款所述之索赔：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）变更对合同价款的增减按照第</w:t>
      </w:r>
      <w:r>
        <w:rPr>
          <w:rFonts w:ascii="宋体" w:hAnsi="宋体"/>
          <w:sz w:val="24"/>
          <w:szCs w:val="24"/>
        </w:rPr>
        <w:t>13</w:t>
      </w:r>
      <w:r>
        <w:rPr>
          <w:rFonts w:hint="eastAsia" w:ascii="宋体" w:hAnsi="宋体"/>
          <w:sz w:val="24"/>
          <w:szCs w:val="24"/>
        </w:rPr>
        <w:t>条和第</w:t>
      </w:r>
      <w:r>
        <w:rPr>
          <w:rFonts w:ascii="宋体" w:hAnsi="宋体"/>
          <w:sz w:val="24"/>
          <w:szCs w:val="24"/>
        </w:rPr>
        <w:t>14</w:t>
      </w:r>
      <w:r>
        <w:rPr>
          <w:rFonts w:hint="eastAsia" w:ascii="宋体" w:hAnsi="宋体"/>
          <w:sz w:val="24"/>
          <w:szCs w:val="24"/>
        </w:rPr>
        <w:t>条的约定办理；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）保险事宜索赔按照保险条款处理。</w:t>
      </w:r>
    </w:p>
    <w:p>
      <w:pPr>
        <w:rPr>
          <w:rFonts w:ascii="宋体"/>
          <w:b/>
          <w:sz w:val="24"/>
          <w:szCs w:val="24"/>
        </w:rPr>
      </w:pPr>
      <w:bookmarkStart w:id="443" w:name="_Toc256434310"/>
      <w:bookmarkEnd w:id="443"/>
      <w:bookmarkStart w:id="444" w:name="_Toc256955427"/>
      <w:bookmarkEnd w:id="444"/>
      <w:bookmarkStart w:id="445" w:name="_Toc256434282"/>
      <w:bookmarkEnd w:id="445"/>
      <w:bookmarkStart w:id="446" w:name="_Toc256434299"/>
      <w:bookmarkEnd w:id="446"/>
      <w:bookmarkStart w:id="447" w:name="_Toc256955407"/>
      <w:bookmarkEnd w:id="447"/>
      <w:bookmarkStart w:id="448" w:name="_Toc256434308"/>
      <w:bookmarkEnd w:id="448"/>
      <w:bookmarkStart w:id="449" w:name="_Toc256955422"/>
      <w:bookmarkEnd w:id="449"/>
      <w:bookmarkStart w:id="450" w:name="_Toc256434306"/>
      <w:bookmarkEnd w:id="450"/>
      <w:bookmarkStart w:id="451" w:name="_Toc256955418"/>
      <w:bookmarkEnd w:id="451"/>
      <w:bookmarkStart w:id="452" w:name="_Toc256434314"/>
      <w:bookmarkEnd w:id="452"/>
      <w:bookmarkStart w:id="453" w:name="_Toc256434302"/>
      <w:bookmarkEnd w:id="453"/>
      <w:bookmarkStart w:id="454" w:name="_Toc256955413"/>
      <w:bookmarkEnd w:id="454"/>
      <w:bookmarkStart w:id="455" w:name="_Toc256955386"/>
      <w:bookmarkEnd w:id="455"/>
      <w:bookmarkStart w:id="456" w:name="_Toc256955424"/>
      <w:bookmarkEnd w:id="456"/>
      <w:bookmarkStart w:id="457" w:name="_Toc256955403"/>
      <w:bookmarkEnd w:id="457"/>
      <w:bookmarkStart w:id="458" w:name="_Toc256955385"/>
      <w:bookmarkEnd w:id="458"/>
      <w:bookmarkStart w:id="459" w:name="_Toc256434286"/>
      <w:bookmarkEnd w:id="459"/>
      <w:bookmarkStart w:id="460" w:name="_Toc256955419"/>
      <w:bookmarkEnd w:id="460"/>
      <w:bookmarkStart w:id="461" w:name="_Toc256955421"/>
      <w:bookmarkEnd w:id="461"/>
      <w:bookmarkStart w:id="462" w:name="_Toc256434294"/>
      <w:bookmarkEnd w:id="462"/>
      <w:bookmarkStart w:id="463" w:name="_Toc256955387"/>
      <w:bookmarkEnd w:id="463"/>
      <w:bookmarkStart w:id="464" w:name="_Toc256434307"/>
      <w:bookmarkEnd w:id="464"/>
      <w:bookmarkStart w:id="465" w:name="_Toc256955420"/>
      <w:bookmarkEnd w:id="465"/>
      <w:bookmarkStart w:id="466" w:name="_Toc256955409"/>
      <w:bookmarkEnd w:id="466"/>
      <w:bookmarkStart w:id="467" w:name="_Toc256955425"/>
      <w:bookmarkEnd w:id="467"/>
      <w:bookmarkStart w:id="468" w:name="_Toc256955426"/>
      <w:bookmarkEnd w:id="468"/>
      <w:bookmarkStart w:id="469" w:name="_Toc256434298"/>
      <w:bookmarkEnd w:id="469"/>
      <w:bookmarkStart w:id="470" w:name="_Toc256434301"/>
      <w:bookmarkEnd w:id="470"/>
      <w:bookmarkStart w:id="471" w:name="_Toc256434296"/>
      <w:bookmarkEnd w:id="471"/>
      <w:bookmarkStart w:id="472" w:name="_Toc256434274"/>
      <w:bookmarkEnd w:id="472"/>
      <w:bookmarkStart w:id="473" w:name="_Toc256434312"/>
      <w:bookmarkEnd w:id="473"/>
      <w:bookmarkStart w:id="474" w:name="_Toc256434304"/>
      <w:bookmarkEnd w:id="474"/>
      <w:bookmarkStart w:id="475" w:name="_Toc256955416"/>
      <w:bookmarkEnd w:id="475"/>
      <w:bookmarkStart w:id="476" w:name="_Toc256434300"/>
      <w:bookmarkEnd w:id="476"/>
      <w:bookmarkStart w:id="477" w:name="_Toc256434293"/>
      <w:bookmarkEnd w:id="477"/>
      <w:bookmarkStart w:id="478" w:name="_Toc256955408"/>
      <w:bookmarkEnd w:id="478"/>
      <w:bookmarkStart w:id="479" w:name="_Toc256955406"/>
      <w:bookmarkEnd w:id="479"/>
      <w:bookmarkStart w:id="480" w:name="_Toc256955411"/>
      <w:bookmarkEnd w:id="480"/>
      <w:bookmarkStart w:id="481" w:name="_Toc256955405"/>
      <w:bookmarkEnd w:id="481"/>
      <w:bookmarkStart w:id="482" w:name="_Toc256955410"/>
      <w:bookmarkEnd w:id="482"/>
      <w:bookmarkStart w:id="483" w:name="_Toc256434292"/>
      <w:bookmarkEnd w:id="483"/>
      <w:bookmarkStart w:id="484" w:name="_Toc256434295"/>
      <w:bookmarkEnd w:id="484"/>
      <w:bookmarkStart w:id="485" w:name="_Toc256955412"/>
      <w:bookmarkEnd w:id="485"/>
      <w:bookmarkStart w:id="486" w:name="_Toc256955402"/>
      <w:bookmarkEnd w:id="486"/>
      <w:bookmarkStart w:id="487" w:name="_Toc256434297"/>
      <w:bookmarkEnd w:id="487"/>
      <w:bookmarkStart w:id="488" w:name="_Toc256434275"/>
      <w:bookmarkEnd w:id="488"/>
      <w:bookmarkStart w:id="489" w:name="_Toc256955391"/>
      <w:bookmarkEnd w:id="489"/>
      <w:bookmarkStart w:id="490" w:name="_Toc256434276"/>
      <w:bookmarkEnd w:id="490"/>
      <w:bookmarkStart w:id="491" w:name="_Toc256434278"/>
      <w:bookmarkEnd w:id="491"/>
      <w:bookmarkStart w:id="492" w:name="_Toc256434311"/>
      <w:bookmarkEnd w:id="492"/>
      <w:bookmarkStart w:id="493" w:name="_Toc256955398"/>
      <w:bookmarkEnd w:id="493"/>
      <w:bookmarkStart w:id="494" w:name="_Toc256955395"/>
      <w:bookmarkEnd w:id="494"/>
      <w:bookmarkStart w:id="495" w:name="_Toc256434284"/>
      <w:bookmarkEnd w:id="495"/>
      <w:bookmarkStart w:id="496" w:name="_Toc256434273"/>
      <w:bookmarkEnd w:id="496"/>
      <w:bookmarkStart w:id="497" w:name="_Toc256955388"/>
      <w:bookmarkEnd w:id="497"/>
      <w:bookmarkStart w:id="498" w:name="_Toc256955394"/>
      <w:bookmarkEnd w:id="498"/>
      <w:bookmarkStart w:id="499" w:name="_Toc256955393"/>
      <w:bookmarkEnd w:id="499"/>
      <w:bookmarkStart w:id="500" w:name="_Toc256434277"/>
      <w:bookmarkEnd w:id="500"/>
      <w:bookmarkStart w:id="501" w:name="_Toc256434283"/>
      <w:bookmarkEnd w:id="501"/>
      <w:bookmarkStart w:id="502" w:name="_Toc256434285"/>
      <w:bookmarkEnd w:id="502"/>
      <w:bookmarkStart w:id="503" w:name="_Toc256955396"/>
      <w:bookmarkEnd w:id="503"/>
      <w:bookmarkStart w:id="504" w:name="_Toc256955400"/>
      <w:bookmarkEnd w:id="504"/>
      <w:bookmarkStart w:id="505" w:name="_Toc256434287"/>
      <w:bookmarkEnd w:id="505"/>
      <w:bookmarkStart w:id="506" w:name="_Toc256434291"/>
      <w:bookmarkEnd w:id="506"/>
      <w:bookmarkStart w:id="507" w:name="_Toc256955390"/>
      <w:bookmarkEnd w:id="507"/>
      <w:bookmarkStart w:id="508" w:name="_Toc256955389"/>
      <w:bookmarkEnd w:id="508"/>
      <w:bookmarkStart w:id="509" w:name="_Toc256955397"/>
      <w:bookmarkEnd w:id="509"/>
      <w:bookmarkStart w:id="510" w:name="_Toc256434315"/>
      <w:bookmarkEnd w:id="510"/>
      <w:bookmarkStart w:id="511" w:name="_Toc256434280"/>
      <w:bookmarkEnd w:id="511"/>
      <w:bookmarkStart w:id="512" w:name="_Toc256434288"/>
      <w:bookmarkEnd w:id="512"/>
      <w:bookmarkStart w:id="513" w:name="_Toc256434290"/>
      <w:bookmarkEnd w:id="513"/>
      <w:bookmarkStart w:id="514" w:name="_Toc256955401"/>
      <w:bookmarkEnd w:id="514"/>
      <w:bookmarkStart w:id="515" w:name="_Toc256434279"/>
      <w:bookmarkEnd w:id="515"/>
      <w:bookmarkStart w:id="516" w:name="_Toc256955404"/>
      <w:bookmarkEnd w:id="516"/>
      <w:bookmarkStart w:id="517" w:name="_Toc256434281"/>
      <w:bookmarkEnd w:id="517"/>
      <w:bookmarkStart w:id="518" w:name="_Toc256434313"/>
      <w:bookmarkEnd w:id="518"/>
      <w:bookmarkStart w:id="519" w:name="_Toc256434303"/>
      <w:bookmarkEnd w:id="519"/>
      <w:bookmarkStart w:id="520" w:name="_Toc256434305"/>
      <w:bookmarkEnd w:id="520"/>
      <w:bookmarkStart w:id="521" w:name="_Toc256955415"/>
      <w:bookmarkEnd w:id="521"/>
      <w:bookmarkStart w:id="522" w:name="_Toc256955414"/>
      <w:bookmarkEnd w:id="522"/>
      <w:bookmarkStart w:id="523" w:name="_Toc256955417"/>
      <w:bookmarkEnd w:id="523"/>
      <w:bookmarkStart w:id="524" w:name="_Toc256434309"/>
      <w:bookmarkEnd w:id="524"/>
      <w:bookmarkStart w:id="525" w:name="_Toc256955399"/>
      <w:bookmarkEnd w:id="525"/>
      <w:bookmarkStart w:id="526" w:name="_Toc256955392"/>
      <w:bookmarkEnd w:id="526"/>
      <w:bookmarkStart w:id="527" w:name="_Toc256955423"/>
      <w:bookmarkEnd w:id="527"/>
      <w:bookmarkStart w:id="528" w:name="_Toc256434289"/>
      <w:bookmarkEnd w:id="528"/>
      <w:bookmarkStart w:id="529" w:name="_Toc218048822"/>
      <w:bookmarkStart w:id="530" w:name="_Toc218049002"/>
      <w:bookmarkStart w:id="531" w:name="_Toc381358664"/>
      <w:bookmarkStart w:id="532" w:name="_Toc375218782"/>
      <w:bookmarkStart w:id="533" w:name="_Toc256955428"/>
      <w:bookmarkStart w:id="534" w:name="_Toc217443958"/>
      <w:r>
        <w:rPr>
          <w:rFonts w:ascii="宋体" w:hAnsi="宋体"/>
          <w:b/>
          <w:sz w:val="24"/>
          <w:szCs w:val="24"/>
        </w:rPr>
        <w:t>19.</w:t>
      </w:r>
      <w:r>
        <w:rPr>
          <w:rFonts w:hint="eastAsia" w:ascii="宋体" w:hAnsi="宋体"/>
          <w:b/>
          <w:sz w:val="24"/>
          <w:szCs w:val="24"/>
        </w:rPr>
        <w:t>保险</w:t>
      </w:r>
      <w:bookmarkEnd w:id="529"/>
      <w:bookmarkEnd w:id="530"/>
      <w:bookmarkEnd w:id="531"/>
      <w:bookmarkEnd w:id="532"/>
      <w:bookmarkEnd w:id="533"/>
      <w:bookmarkEnd w:id="534"/>
    </w:p>
    <w:p>
      <w:pPr>
        <w:rPr>
          <w:rFonts w:ascii="宋体"/>
          <w:b/>
          <w:sz w:val="24"/>
          <w:szCs w:val="24"/>
        </w:rPr>
      </w:pPr>
      <w:bookmarkStart w:id="535" w:name="_Toc375218783"/>
      <w:r>
        <w:rPr>
          <w:rFonts w:ascii="宋体" w:hAnsi="宋体"/>
          <w:b/>
          <w:sz w:val="24"/>
          <w:szCs w:val="24"/>
        </w:rPr>
        <w:t>19.1</w:t>
      </w:r>
      <w:r>
        <w:rPr>
          <w:rFonts w:hint="eastAsia" w:ascii="宋体" w:hAnsi="宋体"/>
          <w:b/>
          <w:sz w:val="24"/>
          <w:szCs w:val="24"/>
        </w:rPr>
        <w:t>人身财产损伤和采购人的保障</w:t>
      </w:r>
      <w:bookmarkEnd w:id="535"/>
    </w:p>
    <w:p>
      <w:pPr>
        <w:ind w:firstLine="480" w:firstLineChars="200"/>
        <w:rPr>
          <w:rFonts w:ascii="宋体"/>
          <w:sz w:val="24"/>
          <w:szCs w:val="24"/>
        </w:rPr>
      </w:pPr>
      <w:r>
        <w:rPr>
          <w:rFonts w:hint="eastAsia" w:ascii="宋体" w:hAnsi="宋体"/>
          <w:sz w:val="24"/>
          <w:szCs w:val="24"/>
        </w:rPr>
        <w:t>供货人应当对与本采购项目实施期间发生的因本供货合同履行过程中所导致的人身伤亡及财产损坏承担费用、责任、损失、索赔或诉讼的法律责任，并应当保障采购人免于承担该等责任，除非有关伤亡是采购人或其应当负责人士所导致。</w:t>
      </w:r>
    </w:p>
    <w:p>
      <w:pPr>
        <w:rPr>
          <w:rFonts w:ascii="宋体"/>
          <w:b/>
          <w:sz w:val="24"/>
          <w:szCs w:val="24"/>
        </w:rPr>
      </w:pPr>
      <w:bookmarkStart w:id="536" w:name="_Toc375218784"/>
      <w:r>
        <w:rPr>
          <w:rFonts w:ascii="宋体" w:hAnsi="宋体"/>
          <w:b/>
          <w:sz w:val="24"/>
          <w:szCs w:val="24"/>
        </w:rPr>
        <w:t>19.2</w:t>
      </w:r>
      <w:r>
        <w:rPr>
          <w:rFonts w:hint="eastAsia" w:ascii="宋体" w:hAnsi="宋体"/>
          <w:b/>
          <w:sz w:val="24"/>
          <w:szCs w:val="24"/>
        </w:rPr>
        <w:t>运输险及存仓保险</w:t>
      </w:r>
      <w:bookmarkEnd w:id="536"/>
    </w:p>
    <w:p>
      <w:pPr>
        <w:ind w:firstLine="480" w:firstLineChars="200"/>
        <w:rPr>
          <w:rFonts w:ascii="宋体"/>
          <w:sz w:val="24"/>
          <w:szCs w:val="24"/>
        </w:rPr>
      </w:pPr>
      <w:r>
        <w:rPr>
          <w:rFonts w:hint="eastAsia" w:ascii="宋体" w:hAnsi="宋体"/>
          <w:sz w:val="24"/>
          <w:szCs w:val="24"/>
        </w:rPr>
        <w:t>供货人应当负责其供应的货物在运送途中直至运抵现场的安全；如果认为有需要，供货人应当自行购买有关保险。</w:t>
      </w:r>
    </w:p>
    <w:p>
      <w:pPr>
        <w:rPr>
          <w:rFonts w:ascii="宋体"/>
          <w:b/>
          <w:sz w:val="24"/>
          <w:szCs w:val="24"/>
        </w:rPr>
      </w:pPr>
      <w:bookmarkStart w:id="537" w:name="_Toc375218785"/>
      <w:r>
        <w:rPr>
          <w:rFonts w:ascii="宋体" w:hAnsi="宋体"/>
          <w:b/>
          <w:sz w:val="24"/>
          <w:szCs w:val="24"/>
        </w:rPr>
        <w:t>19.3</w:t>
      </w:r>
      <w:r>
        <w:rPr>
          <w:rFonts w:hint="eastAsia" w:ascii="宋体" w:hAnsi="宋体"/>
          <w:b/>
          <w:sz w:val="24"/>
          <w:szCs w:val="24"/>
        </w:rPr>
        <w:t>第三者责任险</w:t>
      </w:r>
      <w:bookmarkEnd w:id="537"/>
    </w:p>
    <w:p>
      <w:pPr>
        <w:ind w:firstLine="480" w:firstLineChars="200"/>
        <w:rPr>
          <w:rFonts w:ascii="宋体"/>
          <w:sz w:val="24"/>
          <w:szCs w:val="24"/>
        </w:rPr>
      </w:pPr>
      <w:r>
        <w:rPr>
          <w:rFonts w:ascii="宋体" w:hAnsi="宋体"/>
          <w:sz w:val="24"/>
          <w:szCs w:val="24"/>
        </w:rPr>
        <w:t>19.3.1</w:t>
      </w:r>
      <w:r>
        <w:rPr>
          <w:rFonts w:hint="eastAsia" w:ascii="宋体" w:hAnsi="宋体"/>
          <w:sz w:val="24"/>
          <w:szCs w:val="24"/>
        </w:rPr>
        <w:t>采购人负责办理第三者责任险，并将一份保险单复印件转交供货人，但供货人按照本合同所承担的义务及责任并不会因采购人办理保险及供货人是否已阅读及了解保单内容而受到影响。</w:t>
      </w:r>
    </w:p>
    <w:p>
      <w:pPr>
        <w:ind w:firstLine="480" w:firstLineChars="200"/>
        <w:rPr>
          <w:rFonts w:ascii="宋体"/>
          <w:sz w:val="24"/>
          <w:szCs w:val="24"/>
        </w:rPr>
      </w:pPr>
      <w:r>
        <w:rPr>
          <w:rFonts w:ascii="宋体" w:hAnsi="宋体"/>
          <w:sz w:val="24"/>
          <w:szCs w:val="24"/>
        </w:rPr>
        <w:t>19.3.2</w:t>
      </w:r>
      <w:r>
        <w:rPr>
          <w:rFonts w:hint="eastAsia" w:ascii="宋体" w:hAnsi="宋体"/>
          <w:sz w:val="24"/>
          <w:szCs w:val="24"/>
        </w:rPr>
        <w:t>供货人应当自行决定采购人提供保单之保险范围、赔额、类别等是否能满足供货人的要求，如果供货人认为不足保障其风险，供货人应当自费补充投保。如果供货人另外增加保险，供货人应当将生效后的投保保险单和收据的复印件立即交给采购人备案。</w:t>
      </w:r>
    </w:p>
    <w:p>
      <w:pPr>
        <w:ind w:firstLine="480" w:firstLineChars="200"/>
        <w:rPr>
          <w:rFonts w:ascii="宋体"/>
          <w:sz w:val="24"/>
          <w:szCs w:val="24"/>
        </w:rPr>
      </w:pPr>
      <w:r>
        <w:rPr>
          <w:rFonts w:ascii="宋体" w:hAnsi="宋体"/>
          <w:sz w:val="24"/>
          <w:szCs w:val="24"/>
        </w:rPr>
        <w:t>19.3.3</w:t>
      </w:r>
      <w:r>
        <w:rPr>
          <w:rFonts w:hint="eastAsia" w:ascii="宋体" w:hAnsi="宋体"/>
          <w:sz w:val="24"/>
          <w:szCs w:val="24"/>
        </w:rPr>
        <w:t>供货人被视为已清楚明确保险单内的一切条款，并会积极遵循保险条款和承保人关于解决索赔、追讨损失和防止意外的一切合理要求，和自费负责因其未能遵循所导致的后果。供货人应当尊重保险索赔的结果，并放弃对采购人因处理保险事宜所引起的一切赔偿及责任的追讨。</w:t>
      </w:r>
    </w:p>
    <w:p>
      <w:pPr>
        <w:ind w:firstLine="480" w:firstLineChars="200"/>
        <w:rPr>
          <w:rFonts w:ascii="宋体"/>
          <w:sz w:val="24"/>
          <w:szCs w:val="24"/>
        </w:rPr>
      </w:pPr>
      <w:r>
        <w:rPr>
          <w:rFonts w:ascii="宋体" w:hAnsi="宋体"/>
          <w:sz w:val="24"/>
          <w:szCs w:val="24"/>
        </w:rPr>
        <w:t>19.3.4</w:t>
      </w:r>
      <w:r>
        <w:rPr>
          <w:rFonts w:hint="eastAsia" w:ascii="宋体" w:hAnsi="宋体"/>
          <w:sz w:val="24"/>
          <w:szCs w:val="24"/>
        </w:rPr>
        <w:t>保险期如果因供货人的过失而需延长，由此而增加的保险费均由供货人负担。</w:t>
      </w:r>
    </w:p>
    <w:p>
      <w:pPr>
        <w:ind w:firstLine="480" w:firstLineChars="200"/>
        <w:rPr>
          <w:rFonts w:ascii="宋体"/>
          <w:sz w:val="24"/>
          <w:szCs w:val="24"/>
        </w:rPr>
      </w:pPr>
      <w:r>
        <w:rPr>
          <w:rFonts w:ascii="宋体" w:hAnsi="宋体"/>
          <w:sz w:val="24"/>
          <w:szCs w:val="24"/>
        </w:rPr>
        <w:t>19.3.5</w:t>
      </w:r>
      <w:r>
        <w:rPr>
          <w:rFonts w:hint="eastAsia" w:ascii="宋体" w:hAnsi="宋体"/>
          <w:sz w:val="24"/>
          <w:szCs w:val="24"/>
        </w:rPr>
        <w:t>如果本采购项目或与本采购项目有关的人员或第三者受到损伤或发生事故，供货人应当立即通知采购人，并以书面形式详述经过。</w:t>
      </w:r>
    </w:p>
    <w:p>
      <w:pPr>
        <w:rPr>
          <w:rFonts w:ascii="宋体"/>
          <w:b/>
          <w:sz w:val="24"/>
          <w:szCs w:val="24"/>
        </w:rPr>
      </w:pPr>
      <w:bookmarkStart w:id="538" w:name="_Toc375218786"/>
      <w:r>
        <w:rPr>
          <w:rFonts w:ascii="宋体" w:hAnsi="宋体"/>
          <w:b/>
          <w:sz w:val="24"/>
          <w:szCs w:val="24"/>
        </w:rPr>
        <w:t>19.4</w:t>
      </w:r>
      <w:r>
        <w:rPr>
          <w:rFonts w:hint="eastAsia" w:ascii="宋体" w:hAnsi="宋体"/>
          <w:b/>
          <w:sz w:val="24"/>
          <w:szCs w:val="24"/>
        </w:rPr>
        <w:t>其他商业保险</w:t>
      </w:r>
      <w:bookmarkEnd w:id="538"/>
    </w:p>
    <w:p>
      <w:pPr>
        <w:ind w:firstLine="480" w:firstLineChars="200"/>
        <w:rPr>
          <w:rFonts w:ascii="宋体"/>
          <w:sz w:val="24"/>
          <w:szCs w:val="24"/>
        </w:rPr>
      </w:pPr>
      <w:r>
        <w:rPr>
          <w:rFonts w:hint="eastAsia" w:ascii="宋体" w:hAnsi="宋体"/>
          <w:sz w:val="24"/>
          <w:szCs w:val="24"/>
        </w:rPr>
        <w:t>供货人必须为从事危险作业的职工办理意外伤害保险，支付保险费。为了分散或降低风险，供货人可办理其他商业保险，其费用由供货人自行负担。</w:t>
      </w:r>
    </w:p>
    <w:p>
      <w:pPr>
        <w:rPr>
          <w:rFonts w:ascii="宋体"/>
          <w:sz w:val="24"/>
          <w:szCs w:val="24"/>
        </w:rPr>
      </w:pPr>
      <w:r>
        <w:rPr>
          <w:rFonts w:ascii="宋体" w:hAnsi="宋体"/>
          <w:b/>
          <w:sz w:val="24"/>
          <w:szCs w:val="24"/>
        </w:rPr>
        <w:t>19.5</w:t>
      </w:r>
      <w:r>
        <w:rPr>
          <w:rFonts w:hint="eastAsia" w:ascii="宋体" w:hAnsi="宋体"/>
          <w:sz w:val="24"/>
          <w:szCs w:val="24"/>
        </w:rPr>
        <w:t>保险事故发生时，供货人有义务采取必要的控制措施，防止损失扩大和蔓延，并应第一时间内通知采购人及投保的保险公司，积极配合采购人办理相关保险索赔事宜。</w:t>
      </w:r>
    </w:p>
    <w:p>
      <w:pPr>
        <w:rPr>
          <w:rFonts w:ascii="宋体"/>
          <w:sz w:val="24"/>
          <w:szCs w:val="24"/>
        </w:rPr>
      </w:pPr>
      <w:r>
        <w:rPr>
          <w:rFonts w:ascii="宋体" w:hAnsi="宋体"/>
          <w:b/>
          <w:sz w:val="24"/>
          <w:szCs w:val="24"/>
        </w:rPr>
        <w:t>19.6</w:t>
      </w:r>
      <w:r>
        <w:rPr>
          <w:rFonts w:hint="eastAsia" w:ascii="宋体" w:hAnsi="宋体"/>
          <w:sz w:val="24"/>
          <w:szCs w:val="24"/>
        </w:rPr>
        <w:t>保险事故发生时，供货人有义务妥善保管受损的货物。如因供货人保管不善造成受损的货物缺失或加剧损坏，从而导致保险公司拒赔或减少赔付时，供货人应向采购人赔偿该拒赔或减赔部分的财产损失。</w:t>
      </w:r>
    </w:p>
    <w:p>
      <w:pPr>
        <w:rPr>
          <w:rFonts w:ascii="宋体"/>
          <w:b/>
          <w:sz w:val="24"/>
          <w:szCs w:val="24"/>
        </w:rPr>
      </w:pPr>
      <w:r>
        <w:rPr>
          <w:rFonts w:ascii="宋体" w:hAnsi="宋体"/>
          <w:b/>
          <w:sz w:val="24"/>
          <w:szCs w:val="24"/>
        </w:rPr>
        <w:t>19.7</w:t>
      </w:r>
      <w:r>
        <w:rPr>
          <w:rFonts w:hint="eastAsia" w:ascii="宋体" w:hAnsi="宋体"/>
          <w:b/>
          <w:sz w:val="24"/>
          <w:szCs w:val="24"/>
        </w:rPr>
        <w:t>关于保险的其他要求</w:t>
      </w:r>
    </w:p>
    <w:p>
      <w:pPr>
        <w:rPr>
          <w:rFonts w:ascii="宋体"/>
          <w:sz w:val="24"/>
          <w:szCs w:val="24"/>
        </w:rPr>
      </w:pPr>
      <w:r>
        <w:rPr>
          <w:rFonts w:hint="eastAsia" w:ascii="宋体" w:hAnsi="宋体"/>
          <w:sz w:val="24"/>
          <w:szCs w:val="24"/>
        </w:rPr>
        <w:t>见合同条款专用部分。</w:t>
      </w:r>
      <w:bookmarkStart w:id="539" w:name="_Toc218048823"/>
      <w:bookmarkStart w:id="540" w:name="_Toc256955429"/>
      <w:bookmarkStart w:id="541" w:name="_Toc217443959"/>
      <w:bookmarkStart w:id="542" w:name="_Toc218049003"/>
      <w:bookmarkStart w:id="543" w:name="_Toc381358665"/>
      <w:bookmarkStart w:id="544" w:name="_Toc375218787"/>
    </w:p>
    <w:p>
      <w:pPr>
        <w:rPr>
          <w:rFonts w:ascii="宋体"/>
          <w:b/>
          <w:sz w:val="24"/>
          <w:szCs w:val="24"/>
        </w:rPr>
      </w:pPr>
      <w:r>
        <w:rPr>
          <w:rFonts w:ascii="宋体" w:hAnsi="宋体"/>
          <w:b/>
          <w:sz w:val="24"/>
          <w:szCs w:val="24"/>
        </w:rPr>
        <w:t>20.</w:t>
      </w:r>
      <w:r>
        <w:rPr>
          <w:rFonts w:hint="eastAsia" w:ascii="宋体" w:hAnsi="宋体"/>
          <w:b/>
          <w:sz w:val="24"/>
          <w:szCs w:val="24"/>
        </w:rPr>
        <w:t>保证担保</w:t>
      </w:r>
      <w:bookmarkEnd w:id="539"/>
      <w:bookmarkEnd w:id="540"/>
      <w:bookmarkEnd w:id="541"/>
      <w:bookmarkEnd w:id="542"/>
      <w:bookmarkEnd w:id="543"/>
      <w:bookmarkEnd w:id="544"/>
    </w:p>
    <w:p>
      <w:pPr>
        <w:rPr>
          <w:rFonts w:ascii="宋体"/>
          <w:b/>
          <w:sz w:val="24"/>
          <w:szCs w:val="24"/>
        </w:rPr>
      </w:pPr>
      <w:bookmarkStart w:id="545" w:name="_Toc375218788"/>
      <w:r>
        <w:rPr>
          <w:rFonts w:ascii="宋体" w:hAnsi="宋体"/>
          <w:b/>
          <w:sz w:val="24"/>
          <w:szCs w:val="24"/>
        </w:rPr>
        <w:t>20.1</w:t>
      </w:r>
      <w:r>
        <w:rPr>
          <w:rFonts w:hint="eastAsia" w:ascii="宋体" w:hAnsi="宋体"/>
          <w:b/>
          <w:sz w:val="24"/>
          <w:szCs w:val="24"/>
        </w:rPr>
        <w:t>预付款保证担保</w:t>
      </w:r>
      <w:bookmarkEnd w:id="545"/>
    </w:p>
    <w:p>
      <w:pPr>
        <w:ind w:firstLine="480" w:firstLineChars="200"/>
        <w:rPr>
          <w:rFonts w:ascii="宋体"/>
          <w:sz w:val="24"/>
          <w:szCs w:val="24"/>
        </w:rPr>
      </w:pPr>
      <w:r>
        <w:rPr>
          <w:rFonts w:ascii="宋体" w:hAnsi="宋体"/>
          <w:sz w:val="24"/>
          <w:szCs w:val="24"/>
        </w:rPr>
        <w:t>20.1.1</w:t>
      </w:r>
      <w:r>
        <w:rPr>
          <w:rFonts w:hint="eastAsia" w:ascii="宋体" w:hAnsi="宋体"/>
          <w:sz w:val="24"/>
          <w:szCs w:val="24"/>
        </w:rPr>
        <w:t>如果合同文件约定，采购人向供货人支付预付款时，供货人应当向采购人提交同等金额的预付款保证担保，供货人应当在采购人支付预付款的同时向采购人提交预付款保证担保。供货人办理预付款保证担保的费用已包括在合同价款内。采购人是否要求供货人提交预付款保证担保见合同条款专用部分。</w:t>
      </w:r>
    </w:p>
    <w:p>
      <w:pPr>
        <w:ind w:firstLine="480" w:firstLineChars="200"/>
        <w:rPr>
          <w:rFonts w:ascii="宋体"/>
          <w:sz w:val="24"/>
          <w:szCs w:val="24"/>
        </w:rPr>
      </w:pPr>
      <w:r>
        <w:rPr>
          <w:rFonts w:ascii="宋体" w:hAnsi="宋体"/>
          <w:sz w:val="24"/>
          <w:szCs w:val="24"/>
        </w:rPr>
        <w:t>20.1.2</w:t>
      </w:r>
      <w:r>
        <w:rPr>
          <w:rFonts w:hint="eastAsia" w:ascii="宋体" w:hAnsi="宋体"/>
          <w:sz w:val="24"/>
          <w:szCs w:val="24"/>
        </w:rPr>
        <w:t>供货人不能按照合同文件约定使用预付款的，采购人有权要求保证人承担保证担保责任。</w:t>
      </w:r>
    </w:p>
    <w:p>
      <w:pPr>
        <w:ind w:firstLine="480" w:firstLineChars="200"/>
        <w:rPr>
          <w:rFonts w:ascii="宋体"/>
          <w:sz w:val="24"/>
          <w:szCs w:val="24"/>
        </w:rPr>
      </w:pPr>
      <w:r>
        <w:rPr>
          <w:rFonts w:ascii="宋体" w:hAnsi="宋体"/>
          <w:sz w:val="24"/>
          <w:szCs w:val="24"/>
        </w:rPr>
        <w:t>20.1.3</w:t>
      </w:r>
      <w:r>
        <w:rPr>
          <w:rFonts w:hint="eastAsia" w:ascii="宋体" w:hAnsi="宋体"/>
          <w:sz w:val="24"/>
          <w:szCs w:val="24"/>
        </w:rPr>
        <w:t>预付款保证担保的有效期截至预付款全额返还或抵扣完之日。</w:t>
      </w:r>
    </w:p>
    <w:p>
      <w:pPr>
        <w:rPr>
          <w:rFonts w:ascii="宋体"/>
          <w:b/>
          <w:sz w:val="24"/>
          <w:szCs w:val="24"/>
        </w:rPr>
      </w:pPr>
      <w:bookmarkStart w:id="546" w:name="_Toc375218789"/>
      <w:r>
        <w:rPr>
          <w:rFonts w:ascii="宋体" w:hAnsi="宋体"/>
          <w:b/>
          <w:sz w:val="24"/>
          <w:szCs w:val="24"/>
        </w:rPr>
        <w:t>20.2</w:t>
      </w:r>
      <w:r>
        <w:rPr>
          <w:rFonts w:hint="eastAsia" w:ascii="宋体" w:hAnsi="宋体"/>
          <w:b/>
          <w:sz w:val="24"/>
          <w:szCs w:val="24"/>
        </w:rPr>
        <w:t>履约保证担保</w:t>
      </w:r>
      <w:bookmarkEnd w:id="546"/>
    </w:p>
    <w:p>
      <w:pPr>
        <w:ind w:firstLine="480" w:firstLineChars="200"/>
        <w:rPr>
          <w:rFonts w:ascii="宋体"/>
          <w:sz w:val="24"/>
          <w:szCs w:val="24"/>
        </w:rPr>
      </w:pPr>
      <w:r>
        <w:rPr>
          <w:rFonts w:ascii="宋体" w:hAnsi="宋体"/>
          <w:sz w:val="24"/>
          <w:szCs w:val="24"/>
        </w:rPr>
        <w:t>20.2.1</w:t>
      </w:r>
      <w:r>
        <w:rPr>
          <w:rFonts w:hint="eastAsia" w:ascii="宋体" w:hAnsi="宋体"/>
          <w:sz w:val="24"/>
          <w:szCs w:val="24"/>
        </w:rPr>
        <w:t>如果合同文件约定，供货人应当向采购人提交履约保证担保，供货人应当在签订合同时，向采购人提交履约保证担保。供货人办理履约保证担保的费用已包括在签约合同价款内。采购人是否要求供货人提交履约保证担保及其额度见合同条款专用部分。</w:t>
      </w:r>
    </w:p>
    <w:p>
      <w:pPr>
        <w:ind w:firstLine="480" w:firstLineChars="200"/>
        <w:rPr>
          <w:rFonts w:ascii="宋体"/>
          <w:sz w:val="24"/>
          <w:szCs w:val="24"/>
        </w:rPr>
      </w:pPr>
      <w:r>
        <w:rPr>
          <w:rFonts w:ascii="宋体" w:hAnsi="宋体"/>
          <w:sz w:val="24"/>
          <w:szCs w:val="24"/>
        </w:rPr>
        <w:t>20.2.2</w:t>
      </w:r>
      <w:r>
        <w:rPr>
          <w:rFonts w:hint="eastAsia" w:ascii="宋体" w:hAnsi="宋体"/>
          <w:sz w:val="24"/>
          <w:szCs w:val="24"/>
        </w:rPr>
        <w:t>履约保证担保有效期应当截止至本合同文件约定的截止日期内。即便本采购项目的供货安装周期延长，供货人也应当延长担保有效期，但采购人应当承担增加了的担保费用。履约保证担保有效期的截止时间见合同条款专用部分。</w:t>
      </w:r>
    </w:p>
    <w:p>
      <w:pPr>
        <w:ind w:firstLine="480" w:firstLineChars="200"/>
        <w:rPr>
          <w:rFonts w:ascii="宋体"/>
          <w:sz w:val="24"/>
          <w:szCs w:val="24"/>
        </w:rPr>
      </w:pPr>
      <w:r>
        <w:rPr>
          <w:rFonts w:ascii="宋体" w:hAnsi="宋体"/>
          <w:sz w:val="24"/>
          <w:szCs w:val="24"/>
        </w:rPr>
        <w:t>20.2.3</w:t>
      </w:r>
      <w:r>
        <w:rPr>
          <w:rFonts w:hint="eastAsia" w:ascii="宋体" w:hAnsi="宋体"/>
          <w:sz w:val="24"/>
          <w:szCs w:val="24"/>
        </w:rPr>
        <w:t>供货人不能按照合同文件履行其义务的，采购人有权要求保证人承担保证担保责任。采购人向保证人提出索赔之前，应当以书面形式通知供货人，说明其违约情况。如果采购人索赔的理由是因货物质量问题，采购人还应当同时提交供货人出具的确认货物质量问题的证明文件，或者具有法定资质的检测机构出具的检测报告。</w:t>
      </w:r>
    </w:p>
    <w:p>
      <w:pPr>
        <w:ind w:firstLine="480" w:firstLineChars="200"/>
        <w:rPr>
          <w:rFonts w:ascii="宋体"/>
          <w:sz w:val="24"/>
          <w:szCs w:val="24"/>
        </w:rPr>
      </w:pPr>
      <w:r>
        <w:rPr>
          <w:rFonts w:ascii="宋体" w:hAnsi="宋体"/>
          <w:sz w:val="24"/>
          <w:szCs w:val="24"/>
        </w:rPr>
        <w:t>20.2.4</w:t>
      </w:r>
      <w:r>
        <w:rPr>
          <w:rFonts w:hint="eastAsia" w:ascii="宋体" w:hAnsi="宋体"/>
          <w:sz w:val="24"/>
          <w:szCs w:val="24"/>
        </w:rPr>
        <w:t>其他约定见合同条款专用部分。</w:t>
      </w:r>
    </w:p>
    <w:p>
      <w:pPr>
        <w:rPr>
          <w:rFonts w:ascii="宋体"/>
          <w:b/>
          <w:sz w:val="24"/>
          <w:szCs w:val="24"/>
        </w:rPr>
      </w:pPr>
      <w:bookmarkStart w:id="547" w:name="_Toc375218790"/>
      <w:r>
        <w:rPr>
          <w:rFonts w:ascii="宋体" w:hAnsi="宋体"/>
          <w:b/>
          <w:sz w:val="24"/>
          <w:szCs w:val="24"/>
        </w:rPr>
        <w:t>20.3</w:t>
      </w:r>
      <w:r>
        <w:rPr>
          <w:rFonts w:hint="eastAsia" w:ascii="宋体" w:hAnsi="宋体"/>
          <w:b/>
          <w:sz w:val="24"/>
          <w:szCs w:val="24"/>
        </w:rPr>
        <w:t>支付保证担保</w:t>
      </w:r>
      <w:bookmarkEnd w:id="547"/>
    </w:p>
    <w:p>
      <w:pPr>
        <w:ind w:firstLine="480" w:firstLineChars="200"/>
        <w:rPr>
          <w:rFonts w:ascii="宋体"/>
          <w:sz w:val="24"/>
          <w:szCs w:val="24"/>
        </w:rPr>
      </w:pPr>
      <w:r>
        <w:rPr>
          <w:rFonts w:ascii="宋体" w:hAnsi="宋体"/>
          <w:sz w:val="24"/>
          <w:szCs w:val="24"/>
        </w:rPr>
        <w:t>20.3.1</w:t>
      </w:r>
      <w:r>
        <w:rPr>
          <w:rFonts w:hint="eastAsia" w:ascii="宋体" w:hAnsi="宋体"/>
          <w:sz w:val="24"/>
          <w:szCs w:val="24"/>
        </w:rPr>
        <w:t>采购人要求供货人提交履约保证担保的，采购人应当同时向供货人提交与履约保证担保等额的货款支付保证担保。</w:t>
      </w:r>
    </w:p>
    <w:p>
      <w:pPr>
        <w:ind w:firstLine="480" w:firstLineChars="200"/>
        <w:rPr>
          <w:rFonts w:ascii="宋体"/>
          <w:sz w:val="24"/>
          <w:szCs w:val="24"/>
        </w:rPr>
      </w:pPr>
      <w:r>
        <w:rPr>
          <w:rFonts w:ascii="宋体" w:hAnsi="宋体"/>
          <w:sz w:val="24"/>
          <w:szCs w:val="24"/>
        </w:rPr>
        <w:t>20.3.2</w:t>
      </w:r>
      <w:r>
        <w:rPr>
          <w:rFonts w:hint="eastAsia" w:ascii="宋体" w:hAnsi="宋体"/>
          <w:sz w:val="24"/>
          <w:szCs w:val="24"/>
        </w:rPr>
        <w:t>货款支付保证担保有效期至采购人根据本供货合同约定完成了除货物质量保证金以外的全部合同价款支付完毕之日起至本合同文件约定的截止日期内。货款支付保证担保有效期的截止时间见合同条款专用部分。</w:t>
      </w:r>
    </w:p>
    <w:p>
      <w:pPr>
        <w:ind w:firstLine="480" w:firstLineChars="200"/>
        <w:rPr>
          <w:rFonts w:ascii="宋体"/>
          <w:sz w:val="24"/>
          <w:szCs w:val="24"/>
        </w:rPr>
      </w:pPr>
      <w:r>
        <w:rPr>
          <w:rFonts w:ascii="宋体" w:hAnsi="宋体"/>
          <w:sz w:val="24"/>
          <w:szCs w:val="24"/>
        </w:rPr>
        <w:t>20.3.3</w:t>
      </w:r>
      <w:r>
        <w:rPr>
          <w:rFonts w:hint="eastAsia" w:ascii="宋体" w:hAnsi="宋体"/>
          <w:sz w:val="24"/>
          <w:szCs w:val="24"/>
        </w:rPr>
        <w:t>供货人向保证人提出索赔之前，应当以书面形式通知采购人，说明其违约情况并提交采购人未按照本供货合同约定支付货款的证明。</w:t>
      </w:r>
    </w:p>
    <w:p>
      <w:pPr>
        <w:ind w:firstLine="480" w:firstLineChars="200"/>
        <w:rPr>
          <w:rFonts w:ascii="宋体"/>
          <w:sz w:val="24"/>
          <w:szCs w:val="24"/>
        </w:rPr>
      </w:pPr>
      <w:r>
        <w:rPr>
          <w:rFonts w:ascii="宋体" w:hAnsi="宋体"/>
          <w:sz w:val="24"/>
          <w:szCs w:val="24"/>
        </w:rPr>
        <w:t>20.3.4</w:t>
      </w:r>
      <w:r>
        <w:rPr>
          <w:rFonts w:hint="eastAsia" w:ascii="宋体" w:hAnsi="宋体"/>
          <w:sz w:val="24"/>
          <w:szCs w:val="24"/>
        </w:rPr>
        <w:t>其他约定见合同条款专用部分。</w:t>
      </w:r>
      <w:bookmarkStart w:id="548" w:name="_Toc375218791"/>
    </w:p>
    <w:p>
      <w:pPr>
        <w:rPr>
          <w:rFonts w:ascii="宋体"/>
          <w:b/>
          <w:sz w:val="24"/>
          <w:szCs w:val="24"/>
        </w:rPr>
      </w:pPr>
      <w:r>
        <w:rPr>
          <w:rFonts w:ascii="宋体" w:hAnsi="宋体"/>
          <w:b/>
          <w:sz w:val="24"/>
          <w:szCs w:val="24"/>
        </w:rPr>
        <w:t>20.4</w:t>
      </w:r>
      <w:r>
        <w:rPr>
          <w:rFonts w:hint="eastAsia" w:ascii="宋体" w:hAnsi="宋体"/>
          <w:b/>
          <w:sz w:val="24"/>
          <w:szCs w:val="24"/>
        </w:rPr>
        <w:t>质量保证金保证担保</w:t>
      </w:r>
      <w:bookmarkEnd w:id="548"/>
    </w:p>
    <w:p>
      <w:pPr>
        <w:ind w:firstLine="480" w:firstLineChars="200"/>
        <w:rPr>
          <w:rFonts w:ascii="宋体"/>
          <w:sz w:val="24"/>
          <w:szCs w:val="24"/>
        </w:rPr>
      </w:pPr>
      <w:r>
        <w:rPr>
          <w:rFonts w:ascii="宋体" w:hAnsi="宋体"/>
          <w:sz w:val="24"/>
          <w:szCs w:val="24"/>
        </w:rPr>
        <w:t>20.4.1</w:t>
      </w:r>
      <w:r>
        <w:rPr>
          <w:rFonts w:hint="eastAsia" w:ascii="宋体" w:hAnsi="宋体"/>
          <w:sz w:val="24"/>
          <w:szCs w:val="24"/>
        </w:rPr>
        <w:t>如果合同文件约定，采购人要求供货人向采购人出具质量保证金保证担保的方式来取代在合同价款结算付款中扣留一定比例质量保证金的方式，供货人应当向采购人提交为供货人开具的质量保证金保证担保。采购人是否要求供货人提交质量保证金保证担保及其保证担保期限见合同条款专用部分。</w:t>
      </w:r>
    </w:p>
    <w:p>
      <w:pPr>
        <w:ind w:firstLine="480" w:firstLineChars="200"/>
        <w:rPr>
          <w:rFonts w:ascii="宋体"/>
          <w:sz w:val="24"/>
          <w:szCs w:val="24"/>
        </w:rPr>
      </w:pPr>
      <w:r>
        <w:rPr>
          <w:rFonts w:ascii="宋体" w:hAnsi="宋体"/>
          <w:sz w:val="24"/>
          <w:szCs w:val="24"/>
        </w:rPr>
        <w:t>20.4.2</w:t>
      </w:r>
      <w:r>
        <w:rPr>
          <w:rFonts w:hint="eastAsia" w:ascii="宋体" w:hAnsi="宋体"/>
          <w:sz w:val="24"/>
          <w:szCs w:val="24"/>
        </w:rPr>
        <w:t>供货人不履行质量保证责任时，采购人有权要求保证人承担质量保证担保责任。</w:t>
      </w:r>
    </w:p>
    <w:p>
      <w:pPr>
        <w:rPr>
          <w:rFonts w:ascii="宋体"/>
          <w:b/>
          <w:sz w:val="24"/>
          <w:szCs w:val="24"/>
        </w:rPr>
      </w:pPr>
      <w:bookmarkStart w:id="549" w:name="_Toc375218792"/>
      <w:r>
        <w:rPr>
          <w:rFonts w:ascii="宋体" w:hAnsi="宋体"/>
          <w:b/>
          <w:sz w:val="24"/>
          <w:szCs w:val="24"/>
        </w:rPr>
        <w:t>20.5</w:t>
      </w:r>
      <w:r>
        <w:rPr>
          <w:rFonts w:hint="eastAsia" w:ascii="宋体" w:hAnsi="宋体"/>
          <w:b/>
          <w:sz w:val="24"/>
          <w:szCs w:val="24"/>
        </w:rPr>
        <w:t>相关约定</w:t>
      </w:r>
      <w:bookmarkEnd w:id="549"/>
    </w:p>
    <w:p>
      <w:pPr>
        <w:ind w:firstLine="480" w:firstLineChars="200"/>
        <w:rPr>
          <w:rFonts w:ascii="宋体"/>
          <w:sz w:val="24"/>
          <w:szCs w:val="24"/>
        </w:rPr>
      </w:pPr>
      <w:r>
        <w:rPr>
          <w:rFonts w:ascii="宋体" w:hAnsi="宋体"/>
          <w:sz w:val="24"/>
          <w:szCs w:val="24"/>
        </w:rPr>
        <w:t>20.5.1</w:t>
      </w:r>
      <w:r>
        <w:rPr>
          <w:rFonts w:hint="eastAsia" w:ascii="宋体" w:hAnsi="宋体"/>
          <w:sz w:val="24"/>
          <w:szCs w:val="24"/>
        </w:rPr>
        <w:t>保证人应当是依法设立的有资格的银行业金融机构或者专业担保公司。</w:t>
      </w:r>
    </w:p>
    <w:p>
      <w:pPr>
        <w:ind w:firstLine="480" w:firstLineChars="200"/>
        <w:rPr>
          <w:rFonts w:ascii="宋体"/>
          <w:sz w:val="24"/>
          <w:szCs w:val="24"/>
        </w:rPr>
      </w:pPr>
      <w:r>
        <w:rPr>
          <w:rFonts w:ascii="宋体" w:hAnsi="宋体"/>
          <w:sz w:val="24"/>
          <w:szCs w:val="24"/>
        </w:rPr>
        <w:t>20.5.2</w:t>
      </w:r>
      <w:r>
        <w:rPr>
          <w:rFonts w:hint="eastAsia" w:ascii="宋体" w:hAnsi="宋体"/>
          <w:sz w:val="24"/>
          <w:szCs w:val="24"/>
        </w:rPr>
        <w:t>货款支付保证担保和履约保证担保、货款支付保证担保和预付款保证担保不得为同一保证人。</w:t>
      </w:r>
    </w:p>
    <w:p>
      <w:pPr>
        <w:ind w:firstLine="480" w:firstLineChars="200"/>
        <w:rPr>
          <w:rFonts w:ascii="宋体"/>
          <w:sz w:val="24"/>
          <w:szCs w:val="24"/>
        </w:rPr>
      </w:pPr>
      <w:r>
        <w:rPr>
          <w:rFonts w:ascii="宋体" w:hAnsi="宋体"/>
          <w:sz w:val="24"/>
          <w:szCs w:val="24"/>
        </w:rPr>
        <w:t>20.5.3</w:t>
      </w:r>
      <w:r>
        <w:rPr>
          <w:rFonts w:hint="eastAsia" w:ascii="宋体" w:hAnsi="宋体"/>
          <w:sz w:val="24"/>
          <w:szCs w:val="24"/>
        </w:rPr>
        <w:t>保证担保均以保函的形式出具。保证人应当在保函中明确赔付方及期限。</w:t>
      </w:r>
    </w:p>
    <w:p>
      <w:pPr>
        <w:ind w:firstLine="480" w:firstLineChars="200"/>
        <w:rPr>
          <w:rFonts w:ascii="宋体"/>
          <w:sz w:val="24"/>
          <w:szCs w:val="24"/>
        </w:rPr>
      </w:pPr>
      <w:r>
        <w:rPr>
          <w:rFonts w:ascii="宋体" w:hAnsi="宋体"/>
          <w:sz w:val="24"/>
          <w:szCs w:val="24"/>
        </w:rPr>
        <w:t>20.5.4</w:t>
      </w:r>
      <w:r>
        <w:rPr>
          <w:rFonts w:hint="eastAsia" w:ascii="宋体" w:hAnsi="宋体"/>
          <w:sz w:val="24"/>
          <w:szCs w:val="24"/>
        </w:rPr>
        <w:t>保证担保的保证方式为连带保证担保，责任条件为有条件担保。</w:t>
      </w:r>
    </w:p>
    <w:p>
      <w:pPr>
        <w:ind w:firstLine="480" w:firstLineChars="200"/>
        <w:rPr>
          <w:rFonts w:ascii="宋体"/>
          <w:sz w:val="24"/>
          <w:szCs w:val="24"/>
        </w:rPr>
      </w:pPr>
      <w:r>
        <w:rPr>
          <w:rFonts w:ascii="宋体" w:hAnsi="宋体"/>
          <w:sz w:val="24"/>
          <w:szCs w:val="24"/>
        </w:rPr>
        <w:t>20.5.5</w:t>
      </w:r>
      <w:r>
        <w:rPr>
          <w:rFonts w:hint="eastAsia" w:ascii="宋体" w:hAnsi="宋体"/>
          <w:sz w:val="24"/>
          <w:szCs w:val="24"/>
        </w:rPr>
        <w:t>保函应当为不可撤销保函，在保函约定的有效期届满之前，除因本供货合同中止执行、解除或法律法规规定的情况外，保证人、债务人和债权人不得以任何理由撤保。</w:t>
      </w:r>
    </w:p>
    <w:p>
      <w:pPr>
        <w:ind w:firstLine="480" w:firstLineChars="200"/>
        <w:rPr>
          <w:rFonts w:ascii="宋体"/>
          <w:sz w:val="24"/>
          <w:szCs w:val="24"/>
        </w:rPr>
      </w:pPr>
      <w:r>
        <w:rPr>
          <w:rFonts w:ascii="宋体" w:hAnsi="宋体"/>
          <w:sz w:val="24"/>
          <w:szCs w:val="24"/>
        </w:rPr>
        <w:t>20.5.6</w:t>
      </w:r>
      <w:r>
        <w:rPr>
          <w:rFonts w:hint="eastAsia" w:ascii="宋体" w:hAnsi="宋体"/>
          <w:sz w:val="24"/>
          <w:szCs w:val="24"/>
        </w:rPr>
        <w:t>保函约定的有效期已届满，或保函约定的担保金额已被债权人全部索赔，但债务人尚未实际履行完合同约定的义务时，债务人应当按照约定重新提交保函。</w:t>
      </w:r>
    </w:p>
    <w:p>
      <w:pPr>
        <w:rPr>
          <w:rFonts w:ascii="宋体"/>
          <w:b/>
          <w:sz w:val="24"/>
          <w:szCs w:val="24"/>
        </w:rPr>
      </w:pPr>
      <w:bookmarkStart w:id="550" w:name="_Toc217443960"/>
      <w:bookmarkStart w:id="551" w:name="_Toc381358666"/>
      <w:bookmarkStart w:id="552" w:name="_Toc218049004"/>
      <w:bookmarkStart w:id="553" w:name="_Toc256955430"/>
      <w:bookmarkStart w:id="554" w:name="_Toc218048824"/>
      <w:bookmarkStart w:id="555" w:name="_Toc375218793"/>
      <w:r>
        <w:rPr>
          <w:rFonts w:ascii="宋体" w:hAnsi="宋体"/>
          <w:b/>
          <w:sz w:val="24"/>
          <w:szCs w:val="24"/>
        </w:rPr>
        <w:t>21.</w:t>
      </w:r>
      <w:r>
        <w:rPr>
          <w:rFonts w:hint="eastAsia" w:ascii="宋体" w:hAnsi="宋体"/>
          <w:b/>
          <w:sz w:val="24"/>
          <w:szCs w:val="24"/>
        </w:rPr>
        <w:t>不可抗力</w:t>
      </w:r>
      <w:bookmarkEnd w:id="550"/>
      <w:bookmarkEnd w:id="551"/>
      <w:bookmarkEnd w:id="552"/>
      <w:bookmarkEnd w:id="553"/>
      <w:bookmarkEnd w:id="554"/>
      <w:bookmarkEnd w:id="555"/>
    </w:p>
    <w:p>
      <w:pPr>
        <w:rPr>
          <w:rFonts w:ascii="宋体"/>
          <w:b/>
          <w:sz w:val="24"/>
          <w:szCs w:val="24"/>
        </w:rPr>
      </w:pPr>
      <w:bookmarkStart w:id="556" w:name="_Toc375218794"/>
      <w:r>
        <w:rPr>
          <w:rFonts w:ascii="宋体" w:hAnsi="宋体"/>
          <w:b/>
          <w:sz w:val="24"/>
          <w:szCs w:val="24"/>
        </w:rPr>
        <w:t>21.1</w:t>
      </w:r>
      <w:r>
        <w:rPr>
          <w:rFonts w:hint="eastAsia" w:ascii="宋体" w:hAnsi="宋体"/>
          <w:b/>
          <w:sz w:val="24"/>
          <w:szCs w:val="24"/>
        </w:rPr>
        <w:t>不可抗力</w:t>
      </w:r>
      <w:bookmarkEnd w:id="556"/>
    </w:p>
    <w:p>
      <w:pPr>
        <w:ind w:firstLine="480" w:firstLineChars="200"/>
        <w:rPr>
          <w:rFonts w:ascii="宋体" w:hAnsi="宋体"/>
          <w:sz w:val="24"/>
          <w:szCs w:val="24"/>
        </w:rPr>
      </w:pPr>
      <w:r>
        <w:rPr>
          <w:rFonts w:ascii="宋体" w:hAnsi="宋体"/>
          <w:sz w:val="24"/>
          <w:szCs w:val="24"/>
        </w:rPr>
        <w:t>21.1.1</w:t>
      </w:r>
      <w:r>
        <w:rPr>
          <w:rFonts w:hint="eastAsia" w:ascii="宋体" w:hAnsi="宋体"/>
          <w:sz w:val="24"/>
          <w:szCs w:val="24"/>
        </w:rPr>
        <w:t>不可抗力一般包括以下的情况：</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）国家权威部门发布且被界定为灾害的瘟疫、地震、洪水、风灾、雪灾等；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）战争；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）离子辐射或放射性污染；</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）以音速或超音速飞行的飞机或其他飞行装置产生的压力波，飞行器坠落；</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）动乱、暴乱、骚乱或混乱，但完全局限在采购人及其供货人内部的事件除外；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）因适用法律的变更或任何适用的后继法律的颁布所导致本供货合同的履行不再合法。</w:t>
      </w:r>
    </w:p>
    <w:p>
      <w:pPr>
        <w:ind w:firstLine="480" w:firstLineChars="200"/>
        <w:rPr>
          <w:rFonts w:ascii="宋体"/>
          <w:sz w:val="24"/>
          <w:szCs w:val="24"/>
        </w:rPr>
      </w:pPr>
      <w:r>
        <w:rPr>
          <w:rFonts w:ascii="宋体" w:hAnsi="宋体"/>
          <w:sz w:val="24"/>
          <w:szCs w:val="24"/>
        </w:rPr>
        <w:t>21.1.1</w:t>
      </w:r>
      <w:r>
        <w:rPr>
          <w:rFonts w:hint="eastAsia" w:ascii="宋体" w:hAnsi="宋体"/>
          <w:sz w:val="24"/>
          <w:szCs w:val="24"/>
        </w:rPr>
        <w:t>如果在合同生效日期后发生不可抗力事件，从而阻止合同义务的履行，在该不可抗力影响的范围内，采购人和供货人均不应当被认为违约或毁约。但如果采购人或供货人延迟履行其合同义务以后发生不可抗力事件，则不能免除其相应的责任。</w:t>
      </w:r>
    </w:p>
    <w:p>
      <w:pPr>
        <w:rPr>
          <w:rFonts w:ascii="宋体"/>
          <w:b/>
          <w:sz w:val="24"/>
          <w:szCs w:val="24"/>
        </w:rPr>
      </w:pPr>
      <w:bookmarkStart w:id="557" w:name="_Toc375218795"/>
      <w:r>
        <w:rPr>
          <w:rFonts w:ascii="宋体" w:hAnsi="宋体"/>
          <w:b/>
          <w:sz w:val="24"/>
          <w:szCs w:val="24"/>
        </w:rPr>
        <w:t>21.2</w:t>
      </w:r>
      <w:r>
        <w:rPr>
          <w:rFonts w:hint="eastAsia" w:ascii="宋体" w:hAnsi="宋体"/>
          <w:b/>
          <w:sz w:val="24"/>
          <w:szCs w:val="24"/>
        </w:rPr>
        <w:t>采购人和供货人的义务</w:t>
      </w:r>
      <w:bookmarkEnd w:id="557"/>
    </w:p>
    <w:p>
      <w:pPr>
        <w:ind w:firstLine="480" w:firstLineChars="200"/>
        <w:rPr>
          <w:rFonts w:ascii="宋体"/>
          <w:sz w:val="24"/>
          <w:szCs w:val="24"/>
        </w:rPr>
      </w:pPr>
      <w:r>
        <w:rPr>
          <w:rFonts w:ascii="宋体" w:hAnsi="宋体"/>
          <w:sz w:val="24"/>
          <w:szCs w:val="24"/>
        </w:rPr>
        <w:t>21.2.1</w:t>
      </w:r>
      <w:r>
        <w:rPr>
          <w:rFonts w:hint="eastAsia" w:ascii="宋体" w:hAnsi="宋体"/>
          <w:sz w:val="24"/>
          <w:szCs w:val="24"/>
        </w:rPr>
        <w:t>如果采购人认为某一事件已构成不可抗力并可能影响其履行义务，则在此事件发生时，应当及时通知供货人，并且只要合理可行，应当尽力继续履行其合同中的义务。采购人还应当将他的建议通知供货人，目的在于完成供货以及减少采购人和供货人任何损失。</w:t>
      </w:r>
    </w:p>
    <w:p>
      <w:pPr>
        <w:ind w:firstLine="480" w:firstLineChars="200"/>
        <w:rPr>
          <w:rFonts w:ascii="宋体"/>
          <w:sz w:val="24"/>
          <w:szCs w:val="24"/>
        </w:rPr>
      </w:pPr>
      <w:r>
        <w:rPr>
          <w:rFonts w:ascii="宋体" w:hAnsi="宋体"/>
          <w:sz w:val="24"/>
          <w:szCs w:val="24"/>
        </w:rPr>
        <w:t>21.2.2</w:t>
      </w:r>
      <w:r>
        <w:rPr>
          <w:rFonts w:hint="eastAsia" w:ascii="宋体" w:hAnsi="宋体"/>
          <w:sz w:val="24"/>
          <w:szCs w:val="24"/>
        </w:rPr>
        <w:t>如果供货人认为某一事件已构成不可抗力并可能影响其履行义务，则在此事件发生时，应当及时通知采购人，并且只要合理可行，应当尽力继续履行其供货合同中的义务。供货人还应当将他的建议通知采购人，包括任何合理的履约替代方法。但未经采购人的同意，供货人不得实施此类建议。</w:t>
      </w:r>
    </w:p>
    <w:p>
      <w:pPr>
        <w:rPr>
          <w:rFonts w:ascii="宋体"/>
          <w:b/>
          <w:sz w:val="24"/>
          <w:szCs w:val="24"/>
        </w:rPr>
      </w:pPr>
      <w:bookmarkStart w:id="558" w:name="_Toc375218796"/>
      <w:r>
        <w:rPr>
          <w:rFonts w:ascii="宋体" w:hAnsi="宋体"/>
          <w:b/>
          <w:sz w:val="24"/>
          <w:szCs w:val="24"/>
        </w:rPr>
        <w:t>21.3</w:t>
      </w:r>
      <w:r>
        <w:rPr>
          <w:rFonts w:hint="eastAsia" w:ascii="宋体" w:hAnsi="宋体"/>
          <w:b/>
          <w:sz w:val="24"/>
          <w:szCs w:val="24"/>
        </w:rPr>
        <w:t>不可抗力发生情况下的付款</w:t>
      </w:r>
      <w:bookmarkEnd w:id="558"/>
    </w:p>
    <w:p>
      <w:pPr>
        <w:ind w:firstLine="480" w:firstLineChars="200"/>
        <w:rPr>
          <w:rFonts w:ascii="宋体"/>
          <w:sz w:val="24"/>
          <w:szCs w:val="24"/>
        </w:rPr>
      </w:pPr>
      <w:r>
        <w:rPr>
          <w:rFonts w:hint="eastAsia" w:ascii="宋体" w:hAnsi="宋体"/>
          <w:sz w:val="24"/>
          <w:szCs w:val="24"/>
        </w:rPr>
        <w:t>如果由于不可抗力的发生造成整体工程的损失和损害，供货人有权要求采购人将该事件发生前按照合同所完成的货款及时支付给供货人。</w:t>
      </w:r>
    </w:p>
    <w:p>
      <w:pPr>
        <w:rPr>
          <w:rFonts w:ascii="宋体"/>
          <w:b/>
          <w:sz w:val="24"/>
          <w:szCs w:val="24"/>
        </w:rPr>
      </w:pPr>
      <w:bookmarkStart w:id="559" w:name="_Toc375218797"/>
      <w:r>
        <w:rPr>
          <w:rFonts w:ascii="宋体" w:hAnsi="宋体"/>
          <w:b/>
          <w:sz w:val="24"/>
          <w:szCs w:val="24"/>
        </w:rPr>
        <w:t>21.4</w:t>
      </w:r>
      <w:r>
        <w:rPr>
          <w:rFonts w:hint="eastAsia" w:ascii="宋体" w:hAnsi="宋体"/>
          <w:b/>
          <w:sz w:val="24"/>
          <w:szCs w:val="24"/>
        </w:rPr>
        <w:t>不可抗力造成损害的责任划分</w:t>
      </w:r>
      <w:bookmarkEnd w:id="559"/>
    </w:p>
    <w:p>
      <w:pPr>
        <w:ind w:firstLine="480" w:firstLineChars="200"/>
        <w:rPr>
          <w:rFonts w:ascii="宋体"/>
          <w:sz w:val="24"/>
          <w:szCs w:val="24"/>
        </w:rPr>
      </w:pPr>
      <w:r>
        <w:rPr>
          <w:rFonts w:hint="eastAsia" w:ascii="宋体" w:hAnsi="宋体"/>
          <w:sz w:val="24"/>
          <w:szCs w:val="24"/>
        </w:rPr>
        <w:t>除非合同文件另有约定，不可抗力导致的人员伤亡、财产损失、费用增加和（或）供货安装周期延误等后果，由合同双方按照以下原则承担：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）已运至供货场地的货物的损害，以及因工程损害造成的第三者人员伤亡和财产损失由采购人承担；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）采购人和供货人各自承担其人员伤亡和其他财产损失及其相关费用；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）供货人的停工损失由供货人承担，但停工期间应供货人要求照管工程和清理、修复工程的费用由采购人承担；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）不能按期供货的，应当合理延长供货安装周期，供货人不需支付逾期违约金。采购人要求提前供货的，供货人应当采取提前供货措施，提前供货费用由采购人承担。</w:t>
      </w:r>
    </w:p>
    <w:p>
      <w:pPr>
        <w:rPr>
          <w:rFonts w:ascii="宋体"/>
          <w:b/>
          <w:sz w:val="24"/>
          <w:szCs w:val="24"/>
        </w:rPr>
      </w:pPr>
      <w:bookmarkStart w:id="560" w:name="_Toc375218798"/>
      <w:r>
        <w:rPr>
          <w:rFonts w:ascii="宋体" w:hAnsi="宋体"/>
          <w:b/>
          <w:sz w:val="24"/>
          <w:szCs w:val="24"/>
        </w:rPr>
        <w:t>21.5</w:t>
      </w:r>
      <w:r>
        <w:rPr>
          <w:rFonts w:hint="eastAsia" w:ascii="宋体" w:hAnsi="宋体"/>
          <w:b/>
          <w:sz w:val="24"/>
          <w:szCs w:val="24"/>
        </w:rPr>
        <w:t>避免和减少不可抗力损失</w:t>
      </w:r>
      <w:bookmarkEnd w:id="560"/>
    </w:p>
    <w:p>
      <w:pPr>
        <w:ind w:firstLine="480" w:firstLineChars="200"/>
        <w:rPr>
          <w:rFonts w:ascii="宋体"/>
          <w:sz w:val="24"/>
          <w:szCs w:val="24"/>
        </w:rPr>
      </w:pPr>
      <w:r>
        <w:rPr>
          <w:rFonts w:hint="eastAsia" w:ascii="宋体" w:hAnsi="宋体"/>
          <w:sz w:val="24"/>
          <w:szCs w:val="24"/>
        </w:rPr>
        <w:t>不可抗力发生后，采购人和供货人均应当采取措施尽量避免和减少损失的扩大，任何一方未采取有效措施导致损失扩大的，应当对扩大的损失承担责任。</w:t>
      </w:r>
    </w:p>
    <w:p>
      <w:pPr>
        <w:rPr>
          <w:rFonts w:ascii="宋体"/>
          <w:b/>
          <w:sz w:val="24"/>
          <w:szCs w:val="24"/>
        </w:rPr>
      </w:pPr>
      <w:bookmarkStart w:id="561" w:name="_Toc375218799"/>
      <w:r>
        <w:rPr>
          <w:rFonts w:ascii="宋体" w:hAnsi="宋体"/>
          <w:b/>
          <w:sz w:val="24"/>
          <w:szCs w:val="24"/>
        </w:rPr>
        <w:t>21.6</w:t>
      </w:r>
      <w:r>
        <w:rPr>
          <w:rFonts w:hint="eastAsia" w:ascii="宋体" w:hAnsi="宋体"/>
          <w:b/>
          <w:sz w:val="24"/>
          <w:szCs w:val="24"/>
        </w:rPr>
        <w:t>因不可抗力解除合同</w:t>
      </w:r>
      <w:bookmarkEnd w:id="561"/>
    </w:p>
    <w:p>
      <w:pPr>
        <w:ind w:firstLine="480" w:firstLineChars="200"/>
        <w:rPr>
          <w:rFonts w:ascii="宋体"/>
          <w:sz w:val="24"/>
          <w:szCs w:val="24"/>
        </w:rPr>
      </w:pPr>
      <w:r>
        <w:rPr>
          <w:rFonts w:ascii="宋体" w:hAnsi="宋体"/>
          <w:sz w:val="24"/>
          <w:szCs w:val="24"/>
        </w:rPr>
        <w:t>21.6.1</w:t>
      </w:r>
      <w:r>
        <w:rPr>
          <w:rFonts w:hint="eastAsia" w:ascii="宋体" w:hAnsi="宋体"/>
          <w:sz w:val="24"/>
          <w:szCs w:val="24"/>
        </w:rPr>
        <w:t>如果不可抗力事件的发生时间持续超过合同文件约定的时间，则尽管批准了供货安装周期延长，合同双方仍均可向对方发出解除合同的通知，在该通知送达对方时，本供货合同自动解除。不可抗力事件发生持续超过时间的具体约定见合同条款专用部分。</w:t>
      </w:r>
    </w:p>
    <w:p>
      <w:pPr>
        <w:ind w:firstLine="480" w:firstLineChars="200"/>
        <w:rPr>
          <w:rFonts w:ascii="宋体"/>
          <w:sz w:val="24"/>
          <w:szCs w:val="24"/>
        </w:rPr>
      </w:pPr>
      <w:r>
        <w:rPr>
          <w:rFonts w:ascii="宋体" w:hAnsi="宋体"/>
          <w:sz w:val="24"/>
          <w:szCs w:val="24"/>
        </w:rPr>
        <w:t>21.6.2</w:t>
      </w:r>
      <w:r>
        <w:rPr>
          <w:rFonts w:hint="eastAsia" w:ascii="宋体" w:hAnsi="宋体"/>
          <w:sz w:val="24"/>
          <w:szCs w:val="24"/>
        </w:rPr>
        <w:t>合同解除后，供货人应对已供货的货物由供货人负责退货或解除供货合同，不能退还的货款和因退货、解除供货合同发生的费用，由采购人承担，因未及时退货造成的损失由供货人承担。合同解除后的付款，采购人应当退还履约保函，并支付给供货人按照第</w:t>
      </w:r>
      <w:r>
        <w:rPr>
          <w:rFonts w:ascii="宋体" w:hAnsi="宋体"/>
          <w:sz w:val="24"/>
          <w:szCs w:val="24"/>
        </w:rPr>
        <w:t xml:space="preserve"> 25</w:t>
      </w:r>
      <w:r>
        <w:rPr>
          <w:rFonts w:hint="eastAsia" w:ascii="宋体" w:hAnsi="宋体"/>
          <w:sz w:val="24"/>
          <w:szCs w:val="24"/>
        </w:rPr>
        <w:t>条应当支付的所有款项。</w:t>
      </w:r>
    </w:p>
    <w:p>
      <w:pPr>
        <w:rPr>
          <w:rFonts w:ascii="宋体"/>
          <w:b/>
          <w:sz w:val="24"/>
          <w:szCs w:val="24"/>
        </w:rPr>
      </w:pPr>
      <w:bookmarkStart w:id="562" w:name="_Toc218048825"/>
      <w:bookmarkStart w:id="563" w:name="_Toc256955431"/>
      <w:bookmarkStart w:id="564" w:name="_Toc217443961"/>
      <w:bookmarkStart w:id="565" w:name="_Toc375218800"/>
      <w:bookmarkStart w:id="566" w:name="_Toc218049005"/>
      <w:bookmarkStart w:id="567" w:name="_Toc381358667"/>
      <w:r>
        <w:rPr>
          <w:rFonts w:ascii="宋体" w:hAnsi="宋体"/>
          <w:b/>
          <w:sz w:val="24"/>
          <w:szCs w:val="24"/>
        </w:rPr>
        <w:t>22.</w:t>
      </w:r>
      <w:r>
        <w:rPr>
          <w:rFonts w:hint="eastAsia" w:ascii="宋体" w:hAnsi="宋体"/>
          <w:b/>
          <w:sz w:val="24"/>
          <w:szCs w:val="24"/>
        </w:rPr>
        <w:t>争议</w:t>
      </w:r>
      <w:bookmarkEnd w:id="562"/>
      <w:bookmarkEnd w:id="563"/>
      <w:bookmarkEnd w:id="564"/>
      <w:bookmarkEnd w:id="565"/>
      <w:bookmarkEnd w:id="566"/>
      <w:bookmarkEnd w:id="567"/>
    </w:p>
    <w:p>
      <w:pPr>
        <w:rPr>
          <w:rFonts w:ascii="宋体"/>
          <w:b/>
          <w:sz w:val="24"/>
          <w:szCs w:val="24"/>
        </w:rPr>
      </w:pPr>
      <w:bookmarkStart w:id="568" w:name="_Toc375218801"/>
      <w:r>
        <w:rPr>
          <w:rFonts w:ascii="宋体" w:hAnsi="宋体"/>
          <w:b/>
          <w:sz w:val="24"/>
          <w:szCs w:val="24"/>
        </w:rPr>
        <w:t>22.1</w:t>
      </w:r>
      <w:r>
        <w:rPr>
          <w:rFonts w:hint="eastAsia" w:ascii="宋体" w:hAnsi="宋体"/>
          <w:b/>
          <w:sz w:val="24"/>
          <w:szCs w:val="24"/>
        </w:rPr>
        <w:t>争议解决方式</w:t>
      </w:r>
      <w:bookmarkEnd w:id="568"/>
    </w:p>
    <w:p>
      <w:pPr>
        <w:ind w:firstLine="480" w:firstLineChars="200"/>
        <w:rPr>
          <w:rFonts w:ascii="宋体" w:hAnsi="宋体"/>
          <w:sz w:val="24"/>
          <w:szCs w:val="24"/>
        </w:rPr>
      </w:pPr>
      <w:r>
        <w:rPr>
          <w:rFonts w:hint="eastAsia" w:ascii="宋体" w:hAnsi="宋体"/>
          <w:sz w:val="24"/>
          <w:szCs w:val="24"/>
        </w:rPr>
        <w:t>如果采购人和供货人由于本供货合同的履行而发生任何争议时，双方可先通过友好协商或者邀请第三方调解此类争议。任何一方不愿通过协商或调解解决争议或通过协商或调解仍不能解决争议，则双方中任何一方均可按照合同文件约定的以下一种方式解决争议：</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）第一种解决方式：双方达成仲裁协议，向约定的仲裁委员会申请仲裁；</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）第二种解决方式：向有管辖权的人民法院起诉。</w:t>
      </w:r>
    </w:p>
    <w:p>
      <w:pPr>
        <w:ind w:firstLine="480" w:firstLineChars="200"/>
        <w:rPr>
          <w:rFonts w:ascii="宋体"/>
          <w:sz w:val="24"/>
          <w:szCs w:val="24"/>
        </w:rPr>
      </w:pPr>
      <w:r>
        <w:rPr>
          <w:rFonts w:hint="eastAsia" w:ascii="宋体" w:hAnsi="宋体"/>
          <w:sz w:val="24"/>
          <w:szCs w:val="24"/>
        </w:rPr>
        <w:t>争议的解决方式见合同条款专用部分。</w:t>
      </w:r>
    </w:p>
    <w:p>
      <w:pPr>
        <w:rPr>
          <w:rFonts w:ascii="宋体"/>
          <w:b/>
          <w:sz w:val="24"/>
          <w:szCs w:val="24"/>
        </w:rPr>
      </w:pPr>
      <w:bookmarkStart w:id="569" w:name="_Toc375218802"/>
      <w:r>
        <w:rPr>
          <w:rFonts w:ascii="宋体" w:hAnsi="宋体"/>
          <w:b/>
          <w:sz w:val="24"/>
          <w:szCs w:val="24"/>
        </w:rPr>
        <w:t>22.2</w:t>
      </w:r>
      <w:r>
        <w:rPr>
          <w:rFonts w:hint="eastAsia" w:ascii="宋体" w:hAnsi="宋体"/>
          <w:b/>
          <w:sz w:val="24"/>
          <w:szCs w:val="24"/>
        </w:rPr>
        <w:t>发生争议时合同的履行</w:t>
      </w:r>
      <w:bookmarkEnd w:id="569"/>
    </w:p>
    <w:p>
      <w:pPr>
        <w:ind w:firstLine="480" w:firstLineChars="200"/>
        <w:rPr>
          <w:rFonts w:ascii="宋体"/>
          <w:sz w:val="24"/>
          <w:szCs w:val="24"/>
        </w:rPr>
      </w:pPr>
      <w:r>
        <w:rPr>
          <w:rFonts w:hint="eastAsia" w:ascii="宋体" w:hAnsi="宋体"/>
          <w:sz w:val="24"/>
          <w:szCs w:val="24"/>
        </w:rPr>
        <w:t>发生争议后，除非出现下列情况的，采购人和供货人都应当继续履行合同：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）单方违约导致本供货合同确已无法履行，双方协议停止供货；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）不可抗力导致本供货合同无法履行；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）调解要求停止供货，且为双方接受；</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）仲裁机构要求停止供货；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）法院要求停止供货。</w:t>
      </w:r>
    </w:p>
    <w:p>
      <w:pPr>
        <w:rPr>
          <w:rFonts w:ascii="宋体"/>
          <w:b/>
          <w:sz w:val="24"/>
          <w:szCs w:val="24"/>
        </w:rPr>
      </w:pPr>
      <w:bookmarkStart w:id="570" w:name="_Toc381358668"/>
      <w:bookmarkStart w:id="571" w:name="_Toc256955432"/>
      <w:bookmarkStart w:id="572" w:name="_Toc218048826"/>
      <w:bookmarkStart w:id="573" w:name="_Toc217443962"/>
      <w:bookmarkStart w:id="574" w:name="_Toc375218803"/>
      <w:bookmarkStart w:id="575" w:name="_Toc218049006"/>
      <w:r>
        <w:rPr>
          <w:rFonts w:ascii="宋体" w:hAnsi="宋体"/>
          <w:b/>
          <w:sz w:val="24"/>
          <w:szCs w:val="24"/>
        </w:rPr>
        <w:t>23.</w:t>
      </w:r>
      <w:r>
        <w:rPr>
          <w:rFonts w:hint="eastAsia" w:ascii="宋体" w:hAnsi="宋体"/>
          <w:b/>
          <w:sz w:val="24"/>
          <w:szCs w:val="24"/>
        </w:rPr>
        <w:t>专利权</w:t>
      </w:r>
      <w:bookmarkEnd w:id="570"/>
      <w:bookmarkEnd w:id="571"/>
      <w:bookmarkEnd w:id="572"/>
      <w:bookmarkEnd w:id="573"/>
      <w:bookmarkEnd w:id="574"/>
      <w:bookmarkEnd w:id="575"/>
    </w:p>
    <w:p>
      <w:pPr>
        <w:ind w:firstLine="480" w:firstLineChars="200"/>
        <w:rPr>
          <w:rFonts w:ascii="宋体"/>
          <w:sz w:val="24"/>
          <w:szCs w:val="24"/>
        </w:rPr>
      </w:pPr>
      <w:r>
        <w:rPr>
          <w:rFonts w:ascii="宋体" w:hAnsi="宋体"/>
          <w:sz w:val="24"/>
          <w:szCs w:val="24"/>
        </w:rPr>
        <w:t>23.1</w:t>
      </w:r>
      <w:r>
        <w:rPr>
          <w:rFonts w:hint="eastAsia" w:ascii="宋体" w:hAnsi="宋体"/>
          <w:sz w:val="24"/>
          <w:szCs w:val="24"/>
        </w:rPr>
        <w:t>供货人应保证其拥有货物及服务的知识产权，并保证采购人在中华人民共和国使用货物及服务或其任何一部分时，免受第三方提出侵犯其任何专利、注册的设计、版权、商标或商品名称或其他知识产权及工业设计权的起诉及索赔。但如果此种侵犯是由于遵照采购人提供的设计或技术规范引起者除外。</w:t>
      </w:r>
    </w:p>
    <w:p>
      <w:pPr>
        <w:ind w:firstLine="480" w:firstLineChars="200"/>
        <w:rPr>
          <w:rFonts w:ascii="宋体"/>
          <w:sz w:val="24"/>
          <w:szCs w:val="24"/>
        </w:rPr>
      </w:pPr>
      <w:r>
        <w:rPr>
          <w:rFonts w:ascii="宋体" w:hAnsi="宋体"/>
          <w:sz w:val="24"/>
          <w:szCs w:val="24"/>
        </w:rPr>
        <w:t>23.2</w:t>
      </w:r>
      <w:r>
        <w:rPr>
          <w:rFonts w:hint="eastAsia" w:ascii="宋体" w:hAnsi="宋体"/>
          <w:sz w:val="24"/>
          <w:szCs w:val="24"/>
        </w:rPr>
        <w:t>合同价已包括所有应支付的，对专利权、版权、使用权、设计或其他知识产权而需要向其他方支付的版税等费用。</w:t>
      </w:r>
    </w:p>
    <w:p>
      <w:pPr>
        <w:ind w:firstLine="480" w:firstLineChars="200"/>
        <w:rPr>
          <w:rFonts w:ascii="宋体"/>
          <w:sz w:val="24"/>
          <w:szCs w:val="24"/>
        </w:rPr>
      </w:pPr>
      <w:r>
        <w:rPr>
          <w:rFonts w:ascii="宋体" w:hAnsi="宋体"/>
          <w:sz w:val="24"/>
          <w:szCs w:val="24"/>
        </w:rPr>
        <w:t>23.3</w:t>
      </w:r>
      <w:r>
        <w:rPr>
          <w:rFonts w:hint="eastAsia" w:ascii="宋体" w:hAnsi="宋体"/>
          <w:sz w:val="24"/>
          <w:szCs w:val="24"/>
        </w:rPr>
        <w:t>应供货人要求并在由其承担费用的情况下，采购人应当协助供货人对任何上述索赔和诉讼进行争辩，供货人应当偿付给采购人由此而导致的全部合理的开支。</w:t>
      </w:r>
    </w:p>
    <w:p>
      <w:pPr>
        <w:rPr>
          <w:rFonts w:ascii="宋体"/>
          <w:b/>
          <w:sz w:val="24"/>
          <w:szCs w:val="24"/>
        </w:rPr>
      </w:pPr>
      <w:bookmarkStart w:id="576" w:name="_Toc375218804"/>
      <w:bookmarkStart w:id="577" w:name="_Toc381358669"/>
      <w:bookmarkStart w:id="578" w:name="_Toc256955433"/>
      <w:bookmarkStart w:id="579" w:name="_Toc218049008"/>
      <w:bookmarkStart w:id="580" w:name="_Toc217443964"/>
      <w:bookmarkStart w:id="581" w:name="_Toc218048828"/>
      <w:r>
        <w:rPr>
          <w:rFonts w:ascii="宋体" w:hAnsi="宋体"/>
          <w:b/>
          <w:sz w:val="24"/>
          <w:szCs w:val="24"/>
        </w:rPr>
        <w:t>24.</w:t>
      </w:r>
      <w:r>
        <w:rPr>
          <w:rFonts w:hint="eastAsia" w:ascii="宋体" w:hAnsi="宋体"/>
          <w:b/>
          <w:sz w:val="24"/>
          <w:szCs w:val="24"/>
        </w:rPr>
        <w:t>严禁贿赂</w:t>
      </w:r>
      <w:bookmarkEnd w:id="576"/>
      <w:bookmarkEnd w:id="577"/>
      <w:bookmarkEnd w:id="578"/>
      <w:bookmarkEnd w:id="579"/>
      <w:bookmarkEnd w:id="580"/>
      <w:bookmarkEnd w:id="581"/>
    </w:p>
    <w:p>
      <w:pPr>
        <w:ind w:firstLine="480" w:firstLineChars="200"/>
        <w:rPr>
          <w:rFonts w:ascii="宋体"/>
          <w:sz w:val="24"/>
          <w:szCs w:val="24"/>
        </w:rPr>
      </w:pPr>
      <w:r>
        <w:rPr>
          <w:rFonts w:hint="eastAsia" w:ascii="宋体" w:hAnsi="宋体"/>
          <w:sz w:val="24"/>
          <w:szCs w:val="24"/>
        </w:rPr>
        <w:t>如果采购人或供货人、代理人或服务人员给予或提出给予任何人以任何贿赂、礼品、小费或佣金作为引诱或报酬，以达到下列目的或企图：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）使该人员采取或不采取与该合同有关的任何行动；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）使该人员对与该合同有关的任何人员表示赞同或不赞同。</w:t>
      </w:r>
    </w:p>
    <w:p>
      <w:pPr>
        <w:ind w:firstLine="480" w:firstLineChars="200"/>
        <w:rPr>
          <w:rFonts w:ascii="宋体"/>
          <w:sz w:val="24"/>
          <w:szCs w:val="24"/>
        </w:rPr>
      </w:pPr>
      <w:r>
        <w:rPr>
          <w:rFonts w:hint="eastAsia" w:ascii="宋体" w:hAnsi="宋体"/>
          <w:sz w:val="24"/>
          <w:szCs w:val="24"/>
        </w:rPr>
        <w:t>在证据确凿的情况下，供货人或采购人可在向对方发出通知后</w:t>
      </w:r>
      <w:r>
        <w:rPr>
          <w:rFonts w:ascii="宋体" w:hAnsi="宋体"/>
          <w:sz w:val="24"/>
          <w:szCs w:val="24"/>
        </w:rPr>
        <w:t>14</w:t>
      </w:r>
      <w:r>
        <w:rPr>
          <w:rFonts w:hint="eastAsia" w:ascii="宋体" w:hAnsi="宋体"/>
          <w:sz w:val="24"/>
          <w:szCs w:val="24"/>
        </w:rPr>
        <w:t>天内终止合同。终止合同的决定并不影响提出终止合同的一方按照合同所拥有的所有其他权益。</w:t>
      </w:r>
    </w:p>
    <w:p>
      <w:pPr>
        <w:rPr>
          <w:rFonts w:ascii="宋体"/>
          <w:b/>
          <w:sz w:val="24"/>
          <w:szCs w:val="24"/>
        </w:rPr>
      </w:pPr>
      <w:bookmarkStart w:id="582" w:name="_Toc217443965"/>
      <w:bookmarkStart w:id="583" w:name="_Toc218049009"/>
      <w:bookmarkStart w:id="584" w:name="_Toc375218805"/>
      <w:bookmarkStart w:id="585" w:name="_Toc218048829"/>
      <w:bookmarkStart w:id="586" w:name="_Toc381358670"/>
      <w:bookmarkStart w:id="587" w:name="_Toc256955434"/>
      <w:r>
        <w:rPr>
          <w:rFonts w:ascii="宋体" w:hAnsi="宋体"/>
          <w:b/>
          <w:sz w:val="24"/>
          <w:szCs w:val="24"/>
        </w:rPr>
        <w:t>25.</w:t>
      </w:r>
      <w:r>
        <w:rPr>
          <w:rFonts w:hint="eastAsia" w:ascii="宋体" w:hAnsi="宋体"/>
          <w:b/>
          <w:sz w:val="24"/>
          <w:szCs w:val="24"/>
        </w:rPr>
        <w:t>保密</w:t>
      </w:r>
      <w:bookmarkEnd w:id="582"/>
      <w:bookmarkEnd w:id="583"/>
      <w:bookmarkEnd w:id="584"/>
      <w:bookmarkEnd w:id="585"/>
      <w:bookmarkEnd w:id="586"/>
      <w:bookmarkEnd w:id="587"/>
    </w:p>
    <w:p>
      <w:pPr>
        <w:ind w:firstLine="480" w:firstLineChars="200"/>
        <w:rPr>
          <w:rFonts w:ascii="宋体"/>
          <w:sz w:val="24"/>
          <w:szCs w:val="24"/>
        </w:rPr>
      </w:pPr>
      <w:r>
        <w:rPr>
          <w:rFonts w:hint="eastAsia" w:ascii="宋体" w:hAnsi="宋体"/>
          <w:sz w:val="24"/>
          <w:szCs w:val="24"/>
        </w:rPr>
        <w:t>合同双方都应当履行对本供货合同的保密义务，未征得对方事先的书面同意，另一方不得在任何经营活动中、技术文献或其他地方发表或披露本供货合同或其任何细节。更不得把全部或部分的与本供货合同有关的资料翻印外传。</w:t>
      </w:r>
    </w:p>
    <w:p>
      <w:pPr>
        <w:rPr>
          <w:rFonts w:ascii="宋体"/>
          <w:b/>
          <w:sz w:val="24"/>
          <w:szCs w:val="24"/>
        </w:rPr>
      </w:pPr>
      <w:bookmarkStart w:id="588" w:name="_Toc256955435"/>
      <w:bookmarkStart w:id="589" w:name="_Toc218049010"/>
      <w:bookmarkStart w:id="590" w:name="_Toc381358671"/>
      <w:bookmarkStart w:id="591" w:name="_Toc375218806"/>
      <w:bookmarkStart w:id="592" w:name="_Toc218048830"/>
      <w:bookmarkStart w:id="593" w:name="_Toc217443966"/>
      <w:r>
        <w:rPr>
          <w:rFonts w:ascii="宋体" w:hAnsi="宋体"/>
          <w:b/>
          <w:sz w:val="24"/>
          <w:szCs w:val="24"/>
        </w:rPr>
        <w:t>26.</w:t>
      </w:r>
      <w:r>
        <w:rPr>
          <w:rFonts w:hint="eastAsia" w:ascii="宋体" w:hAnsi="宋体"/>
          <w:b/>
          <w:sz w:val="24"/>
          <w:szCs w:val="24"/>
        </w:rPr>
        <w:t>合同文件的修改</w:t>
      </w:r>
      <w:bookmarkEnd w:id="588"/>
      <w:bookmarkEnd w:id="589"/>
      <w:bookmarkEnd w:id="590"/>
      <w:bookmarkEnd w:id="591"/>
      <w:bookmarkEnd w:id="592"/>
      <w:bookmarkEnd w:id="593"/>
    </w:p>
    <w:p>
      <w:pPr>
        <w:ind w:firstLine="480" w:firstLineChars="200"/>
        <w:rPr>
          <w:rFonts w:ascii="宋体"/>
          <w:sz w:val="24"/>
          <w:szCs w:val="24"/>
        </w:rPr>
      </w:pPr>
      <w:r>
        <w:rPr>
          <w:rFonts w:hint="eastAsia" w:ascii="宋体" w:hAnsi="宋体"/>
          <w:sz w:val="24"/>
          <w:szCs w:val="24"/>
        </w:rPr>
        <w:t>即使由于任何原因使得本供货合同中的某些条款或约定无效或无法履行，这种情况也不应当影响到本供货合同中其他条款或约定的有效性，也不应当在任何方面使得本供货合同完全失效。</w:t>
      </w:r>
    </w:p>
    <w:p>
      <w:pPr>
        <w:ind w:firstLine="480" w:firstLineChars="200"/>
        <w:rPr>
          <w:rFonts w:ascii="宋体"/>
          <w:sz w:val="24"/>
          <w:szCs w:val="24"/>
        </w:rPr>
      </w:pPr>
      <w:r>
        <w:rPr>
          <w:rFonts w:hint="eastAsia" w:ascii="宋体" w:hAnsi="宋体"/>
          <w:sz w:val="24"/>
          <w:szCs w:val="24"/>
        </w:rPr>
        <w:t>如果发生上述情况，并且合同双方均认为有必要对已无效或无法履行的条款或约定进行修改时，双方均应当本着不改变本供货合同的最终目的，并最大限度地保证本供货合同的最终目的不受影响的原则，完成相关条款的修订。任何情况下，双方修订合同时不得再行订立背离本供货合同实质性内容的其他协议。</w:t>
      </w:r>
    </w:p>
    <w:p>
      <w:pPr>
        <w:rPr>
          <w:rFonts w:ascii="宋体"/>
          <w:b/>
          <w:sz w:val="24"/>
          <w:szCs w:val="24"/>
        </w:rPr>
      </w:pPr>
      <w:bookmarkStart w:id="594" w:name="_Toc381358672"/>
      <w:bookmarkStart w:id="595" w:name="_Toc218048831"/>
      <w:bookmarkStart w:id="596" w:name="_Toc256955436"/>
      <w:bookmarkStart w:id="597" w:name="_Toc217443967"/>
      <w:bookmarkStart w:id="598" w:name="_Toc218049011"/>
      <w:bookmarkStart w:id="599" w:name="_Toc375218807"/>
      <w:r>
        <w:rPr>
          <w:rFonts w:ascii="宋体" w:hAnsi="宋体"/>
          <w:b/>
          <w:sz w:val="24"/>
          <w:szCs w:val="24"/>
        </w:rPr>
        <w:t>27.</w:t>
      </w:r>
      <w:r>
        <w:rPr>
          <w:rFonts w:hint="eastAsia" w:ascii="宋体" w:hAnsi="宋体"/>
          <w:b/>
          <w:sz w:val="24"/>
          <w:szCs w:val="24"/>
        </w:rPr>
        <w:t>文件版权</w:t>
      </w:r>
      <w:bookmarkEnd w:id="594"/>
      <w:bookmarkEnd w:id="595"/>
      <w:bookmarkEnd w:id="596"/>
      <w:bookmarkEnd w:id="597"/>
      <w:bookmarkEnd w:id="598"/>
      <w:bookmarkEnd w:id="599"/>
    </w:p>
    <w:p>
      <w:pPr>
        <w:ind w:firstLine="480" w:firstLineChars="200"/>
        <w:rPr>
          <w:rFonts w:ascii="宋体"/>
          <w:sz w:val="24"/>
          <w:szCs w:val="24"/>
        </w:rPr>
      </w:pPr>
      <w:r>
        <w:rPr>
          <w:rFonts w:hint="eastAsia" w:ascii="宋体" w:hAnsi="宋体"/>
          <w:sz w:val="24"/>
          <w:szCs w:val="24"/>
        </w:rPr>
        <w:t>采购人颁发给供货人的图纸、技术规范和反映采购人关于本供货合同的要求或其他类似性质的文件的版权属于采购人拥有，供货人可因实施本供货合同的目的而复制、使用此类文件，但不能用于与本供货合同无关的其他事项。在征得采购人书面同意前，供货人不得为了实施其他目的而复制、使用采购人的文件或将之提供给任何第三方。</w:t>
      </w:r>
    </w:p>
    <w:p>
      <w:pPr>
        <w:ind w:firstLine="480" w:firstLineChars="200"/>
        <w:rPr>
          <w:rFonts w:ascii="宋体"/>
          <w:sz w:val="24"/>
          <w:szCs w:val="24"/>
        </w:rPr>
      </w:pPr>
      <w:r>
        <w:rPr>
          <w:rFonts w:hint="eastAsia" w:ascii="宋体" w:hAnsi="宋体"/>
          <w:sz w:val="24"/>
          <w:szCs w:val="24"/>
        </w:rPr>
        <w:t>供货人为实施整体工程所编制的供货文件的版权属于供货人所拥有，采购人可因实施整体工程复制、使用此类文件，但不能用于其他无关的事项。在征得供货人书面同意前，采购人不得为了实施其他目的而复制、使用供货人的此类文件或将之提供给任何第三方。</w:t>
      </w:r>
    </w:p>
    <w:p>
      <w:pPr>
        <w:rPr>
          <w:rFonts w:ascii="宋体"/>
          <w:b/>
          <w:sz w:val="24"/>
          <w:szCs w:val="24"/>
        </w:rPr>
      </w:pPr>
      <w:bookmarkStart w:id="600" w:name="_Toc217443968"/>
      <w:bookmarkStart w:id="601" w:name="_Toc381358673"/>
      <w:bookmarkStart w:id="602" w:name="_Toc218048832"/>
      <w:bookmarkStart w:id="603" w:name="_Toc218049012"/>
      <w:bookmarkStart w:id="604" w:name="_Toc375218808"/>
      <w:bookmarkStart w:id="605" w:name="_Toc256955437"/>
      <w:r>
        <w:rPr>
          <w:rFonts w:ascii="宋体" w:hAnsi="宋体"/>
          <w:b/>
          <w:sz w:val="24"/>
          <w:szCs w:val="24"/>
        </w:rPr>
        <w:t>28.</w:t>
      </w:r>
      <w:r>
        <w:rPr>
          <w:rFonts w:hint="eastAsia" w:ascii="宋体" w:hAnsi="宋体"/>
          <w:b/>
          <w:sz w:val="24"/>
          <w:szCs w:val="24"/>
        </w:rPr>
        <w:t>合同效力及份数</w:t>
      </w:r>
      <w:bookmarkEnd w:id="600"/>
      <w:bookmarkEnd w:id="601"/>
      <w:bookmarkEnd w:id="602"/>
      <w:bookmarkEnd w:id="603"/>
      <w:bookmarkEnd w:id="604"/>
      <w:bookmarkEnd w:id="605"/>
    </w:p>
    <w:p>
      <w:pPr>
        <w:ind w:firstLine="480" w:firstLineChars="200"/>
        <w:rPr>
          <w:rFonts w:ascii="宋体"/>
          <w:sz w:val="24"/>
          <w:szCs w:val="24"/>
        </w:rPr>
      </w:pPr>
      <w:r>
        <w:rPr>
          <w:rFonts w:hint="eastAsia" w:ascii="宋体" w:hAnsi="宋体"/>
          <w:sz w:val="24"/>
          <w:szCs w:val="24"/>
        </w:rPr>
        <w:t>本供货合同自采购人和供货人的法定代表人或获授权代表于合同协议书签字盖章之日起成立，生效条件或期限见合同协议书相关约定。双方各自履行完合同义务后自动失效。</w:t>
      </w:r>
    </w:p>
    <w:p>
      <w:pPr>
        <w:ind w:firstLine="480" w:firstLineChars="200"/>
        <w:rPr>
          <w:rFonts w:ascii="宋体"/>
          <w:sz w:val="24"/>
          <w:szCs w:val="24"/>
        </w:rPr>
      </w:pPr>
      <w:r>
        <w:rPr>
          <w:rFonts w:hint="eastAsia" w:ascii="宋体" w:hAnsi="宋体"/>
          <w:bCs/>
          <w:sz w:val="24"/>
          <w:szCs w:val="24"/>
        </w:rPr>
        <w:t>合同正本贰份，采购人和供货人各执一份；副本份</w:t>
      </w:r>
      <w:r>
        <w:rPr>
          <w:rFonts w:hint="eastAsia" w:ascii="宋体" w:hAnsi="宋体"/>
          <w:sz w:val="24"/>
          <w:szCs w:val="24"/>
        </w:rPr>
        <w:t>数的约定见合同条款专用部分。</w:t>
      </w:r>
      <w:bookmarkEnd w:id="63"/>
    </w:p>
    <w:p>
      <w:pPr>
        <w:tabs>
          <w:tab w:val="center" w:pos="4832"/>
          <w:tab w:val="left" w:pos="7140"/>
        </w:tabs>
        <w:jc w:val="center"/>
        <w:outlineLvl w:val="1"/>
        <w:rPr>
          <w:rFonts w:ascii="宋体" w:cs="宋体"/>
          <w:b/>
          <w:bCs/>
          <w:sz w:val="24"/>
          <w:szCs w:val="24"/>
        </w:rPr>
      </w:pPr>
      <w:r>
        <w:rPr>
          <w:rFonts w:ascii="宋体" w:cs="宋体"/>
          <w:b/>
          <w:sz w:val="24"/>
          <w:szCs w:val="24"/>
        </w:rPr>
        <w:br w:type="page"/>
      </w:r>
      <w:bookmarkStart w:id="606" w:name="_Toc524376877"/>
      <w:bookmarkStart w:id="607" w:name="_Toc485312289"/>
      <w:bookmarkStart w:id="608" w:name="_Toc41061013"/>
      <w:bookmarkStart w:id="609" w:name="_Toc30606"/>
      <w:r>
        <w:rPr>
          <w:rFonts w:hint="eastAsia" w:ascii="宋体" w:hAnsi="宋体" w:cs="宋体"/>
          <w:b/>
          <w:sz w:val="24"/>
          <w:szCs w:val="24"/>
        </w:rPr>
        <w:t>三、合同条款专用部分</w:t>
      </w:r>
      <w:bookmarkEnd w:id="606"/>
      <w:bookmarkEnd w:id="607"/>
      <w:bookmarkEnd w:id="608"/>
      <w:bookmarkEnd w:id="609"/>
    </w:p>
    <w:p>
      <w:pPr>
        <w:widowControl/>
        <w:spacing w:after="120"/>
        <w:ind w:left="420"/>
        <w:rPr>
          <w:rFonts w:ascii="宋体" w:hAnsi="??" w:cs="Arial"/>
          <w:b/>
          <w:kern w:val="0"/>
          <w:sz w:val="24"/>
          <w:szCs w:val="24"/>
        </w:rPr>
      </w:pPr>
      <w:bookmarkStart w:id="610" w:name="_Toc255494563"/>
      <w:bookmarkStart w:id="611" w:name="_Toc218048833"/>
      <w:bookmarkStart w:id="612" w:name="_Toc256955766"/>
      <w:bookmarkStart w:id="613" w:name="_Toc218049013"/>
      <w:bookmarkStart w:id="614" w:name="_Toc217443411"/>
      <w:bookmarkStart w:id="615" w:name="_Toc381358675"/>
      <w:bookmarkStart w:id="616" w:name="_Toc375218810"/>
      <w:r>
        <w:rPr>
          <w:rFonts w:ascii="宋体" w:hAnsi="宋体" w:cs="Arial"/>
          <w:b/>
          <w:kern w:val="0"/>
          <w:sz w:val="24"/>
          <w:szCs w:val="24"/>
        </w:rPr>
        <w:t>1.</w:t>
      </w:r>
      <w:r>
        <w:rPr>
          <w:rFonts w:hint="eastAsia" w:ascii="宋体" w:hAnsi="宋体" w:cs="Arial"/>
          <w:b/>
          <w:kern w:val="0"/>
          <w:sz w:val="24"/>
          <w:szCs w:val="24"/>
        </w:rPr>
        <w:t>一般规定</w:t>
      </w:r>
      <w:bookmarkEnd w:id="610"/>
      <w:bookmarkEnd w:id="611"/>
      <w:bookmarkEnd w:id="612"/>
      <w:bookmarkEnd w:id="613"/>
      <w:bookmarkEnd w:id="614"/>
      <w:bookmarkEnd w:id="615"/>
      <w:bookmarkEnd w:id="616"/>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1.1.5 </w:t>
      </w:r>
      <w:r>
        <w:rPr>
          <w:rFonts w:hint="eastAsia" w:ascii="宋体" w:hAnsi="宋体" w:cs="Arial"/>
          <w:kern w:val="0"/>
          <w:sz w:val="24"/>
          <w:szCs w:val="24"/>
        </w:rPr>
        <w:t>其他词语定义</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书面形式</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1.3.4</w:t>
      </w:r>
      <w:r>
        <w:rPr>
          <w:rFonts w:hint="eastAsia" w:ascii="宋体" w:hAnsi="宋体" w:cs="Arial"/>
          <w:kern w:val="0"/>
          <w:sz w:val="24"/>
          <w:szCs w:val="24"/>
        </w:rPr>
        <w:t>采购人书面形式接收地址、传真号码、邮寄地址和电子传送地址：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）传真号码：邮政编码：</w:t>
      </w:r>
      <w:r>
        <w:rPr>
          <w:rFonts w:ascii="宋体" w:hAnsi="宋体" w:cs="Arial"/>
          <w:kern w:val="0"/>
          <w:sz w:val="24"/>
          <w:szCs w:val="24"/>
          <w:u w:val="single"/>
        </w:rPr>
        <w:t>___________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       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___________        ___</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供货人书面形式接收地址、传真号码、邮寄地址和电子传送地址：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）传真号码：邮政编码：</w:t>
      </w:r>
      <w:bookmarkStart w:id="617" w:name="_Toc375218811"/>
      <w:r>
        <w:rPr>
          <w:rFonts w:ascii="宋体" w:hAnsi="宋体" w:cs="Arial"/>
          <w:kern w:val="0"/>
          <w:sz w:val="24"/>
          <w:szCs w:val="24"/>
          <w:u w:val="single"/>
        </w:rPr>
        <w:t>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 xml:space="preserve">___________    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合同文件的组成及解释顺序</w:t>
      </w:r>
      <w:bookmarkEnd w:id="617"/>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9</w:t>
      </w:r>
      <w:r>
        <w:rPr>
          <w:rFonts w:hint="eastAsia" w:ascii="宋体" w:hAnsi="宋体" w:cs="Arial"/>
          <w:kern w:val="0"/>
          <w:sz w:val="24"/>
          <w:szCs w:val="24"/>
        </w:rPr>
        <w:t>）其他合同文件：</w:t>
      </w:r>
      <w:bookmarkStart w:id="618" w:name="_Toc218048834"/>
      <w:bookmarkStart w:id="619" w:name="_Toc375218812"/>
      <w:bookmarkStart w:id="620" w:name="_Toc256955767"/>
      <w:bookmarkStart w:id="621" w:name="_Toc218049014"/>
      <w:bookmarkStart w:id="622" w:name="_Toc255494564"/>
      <w:bookmarkStart w:id="623" w:name="_Toc217443412"/>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1.8</w:t>
      </w:r>
      <w:r>
        <w:rPr>
          <w:rFonts w:hint="eastAsia" w:ascii="宋体" w:hAnsi="宋体" w:cs="Arial"/>
          <w:b/>
          <w:kern w:val="0"/>
          <w:sz w:val="24"/>
          <w:szCs w:val="24"/>
        </w:rPr>
        <w:t>图纸</w:t>
      </w:r>
      <w:bookmarkEnd w:id="618"/>
      <w:bookmarkEnd w:id="619"/>
      <w:bookmarkEnd w:id="620"/>
      <w:bookmarkEnd w:id="621"/>
      <w:bookmarkEnd w:id="622"/>
      <w:bookmarkEnd w:id="623"/>
    </w:p>
    <w:p>
      <w:pPr>
        <w:widowControl/>
        <w:spacing w:after="120"/>
        <w:ind w:left="420" w:firstLine="480" w:firstLineChars="200"/>
        <w:rPr>
          <w:rFonts w:ascii="宋体" w:hAnsi="??" w:cs="Arial"/>
          <w:kern w:val="0"/>
          <w:sz w:val="24"/>
          <w:szCs w:val="24"/>
        </w:rPr>
      </w:pPr>
      <w:r>
        <w:rPr>
          <w:rFonts w:ascii="宋体" w:hAnsi="宋体" w:cs="Arial"/>
          <w:kern w:val="0"/>
          <w:sz w:val="24"/>
          <w:szCs w:val="24"/>
        </w:rPr>
        <w:t>1.8.1</w:t>
      </w:r>
      <w:r>
        <w:rPr>
          <w:rFonts w:hint="eastAsia" w:ascii="宋体" w:hAnsi="宋体" w:cs="Arial"/>
          <w:kern w:val="0"/>
          <w:sz w:val="24"/>
          <w:szCs w:val="24"/>
        </w:rPr>
        <w:t>图纸</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采购人应当向供货人提供图纸的日期及图纸套数：</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）提供时间：</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）提供套数：</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1.8.3</w:t>
      </w:r>
      <w:r>
        <w:rPr>
          <w:rFonts w:hint="eastAsia" w:ascii="宋体" w:hAnsi="宋体" w:cs="Arial"/>
          <w:kern w:val="0"/>
          <w:sz w:val="24"/>
          <w:szCs w:val="24"/>
        </w:rPr>
        <w:t>其他规定：</w:t>
      </w:r>
      <w:bookmarkStart w:id="624" w:name="_Toc218048835"/>
      <w:bookmarkStart w:id="625" w:name="_Toc218049015"/>
      <w:bookmarkStart w:id="626" w:name="_Toc217443413"/>
      <w:bookmarkStart w:id="627" w:name="_Toc375218813"/>
      <w:bookmarkStart w:id="628" w:name="_Toc255494565"/>
      <w:bookmarkStart w:id="629" w:name="_Toc381358676"/>
      <w:bookmarkStart w:id="630" w:name="_Toc256955768"/>
      <w:r>
        <w:rPr>
          <w:rFonts w:ascii="宋体" w:hAnsi="宋体" w:cs="Arial"/>
          <w:kern w:val="0"/>
          <w:sz w:val="24"/>
          <w:szCs w:val="24"/>
          <w:u w:val="single"/>
        </w:rPr>
        <w:t xml:space="preserve">___________    ___/                                  </w:t>
      </w:r>
    </w:p>
    <w:p>
      <w:pPr>
        <w:widowControl/>
        <w:spacing w:after="120"/>
        <w:ind w:left="420"/>
        <w:rPr>
          <w:rFonts w:ascii="宋体" w:hAnsi="??" w:cs="Arial"/>
          <w:b/>
          <w:kern w:val="0"/>
          <w:sz w:val="24"/>
          <w:szCs w:val="24"/>
        </w:rPr>
      </w:pPr>
      <w:r>
        <w:rPr>
          <w:rFonts w:ascii="宋体" w:hAnsi="宋体" w:cs="Arial"/>
          <w:b/>
          <w:kern w:val="0"/>
          <w:sz w:val="24"/>
          <w:szCs w:val="24"/>
        </w:rPr>
        <w:t>2</w:t>
      </w:r>
      <w:r>
        <w:rPr>
          <w:rFonts w:hint="eastAsia" w:ascii="宋体" w:hAnsi="宋体" w:cs="Arial"/>
          <w:b/>
          <w:kern w:val="0"/>
          <w:sz w:val="24"/>
          <w:szCs w:val="24"/>
        </w:rPr>
        <w:t>．</w:t>
      </w:r>
      <w:bookmarkEnd w:id="624"/>
      <w:bookmarkEnd w:id="625"/>
      <w:bookmarkEnd w:id="626"/>
      <w:r>
        <w:rPr>
          <w:rFonts w:hint="eastAsia" w:ascii="宋体" w:hAnsi="宋体" w:cs="Arial"/>
          <w:b/>
          <w:kern w:val="0"/>
          <w:sz w:val="24"/>
          <w:szCs w:val="24"/>
        </w:rPr>
        <w:t>采购人义务</w:t>
      </w:r>
      <w:bookmarkEnd w:id="627"/>
      <w:bookmarkEnd w:id="628"/>
      <w:bookmarkEnd w:id="629"/>
      <w:bookmarkEnd w:id="630"/>
    </w:p>
    <w:p>
      <w:pPr>
        <w:widowControl/>
        <w:spacing w:after="120"/>
        <w:ind w:left="420" w:firstLine="480" w:firstLineChars="200"/>
        <w:rPr>
          <w:rFonts w:ascii="宋体" w:hAnsi="??" w:cs="Arial"/>
          <w:kern w:val="0"/>
          <w:sz w:val="24"/>
          <w:szCs w:val="24"/>
        </w:rPr>
      </w:pPr>
      <w:r>
        <w:rPr>
          <w:rFonts w:ascii="宋体" w:hAnsi="宋体" w:cs="Arial"/>
          <w:kern w:val="0"/>
          <w:sz w:val="24"/>
          <w:szCs w:val="24"/>
        </w:rPr>
        <w:t>2.</w:t>
      </w:r>
      <w:r>
        <w:rPr>
          <w:rFonts w:hint="eastAsia" w:ascii="宋体" w:hAnsi="宋体" w:cs="Arial"/>
          <w:kern w:val="0"/>
          <w:sz w:val="24"/>
          <w:szCs w:val="24"/>
        </w:rPr>
        <w:t>（</w:t>
      </w:r>
      <w:r>
        <w:rPr>
          <w:rFonts w:ascii="宋体" w:hAnsi="宋体" w:cs="Arial"/>
          <w:kern w:val="0"/>
          <w:sz w:val="24"/>
          <w:szCs w:val="24"/>
        </w:rPr>
        <w:t>5</w:t>
      </w:r>
      <w:r>
        <w:rPr>
          <w:rFonts w:hint="eastAsia" w:ascii="宋体" w:hAnsi="宋体" w:cs="Arial"/>
          <w:kern w:val="0"/>
          <w:sz w:val="24"/>
          <w:szCs w:val="24"/>
        </w:rPr>
        <w:t>）其他义务：</w:t>
      </w:r>
      <w:r>
        <w:rPr>
          <w:rFonts w:hint="eastAsia" w:ascii="宋体" w:hAnsi="宋体" w:cs="宋体"/>
          <w:kern w:val="0"/>
          <w:sz w:val="24"/>
          <w:szCs w:val="24"/>
          <w:u w:val="single"/>
        </w:rPr>
        <w:t>对双方协议价格承担保密义务</w:t>
      </w:r>
      <w:r>
        <w:rPr>
          <w:rFonts w:hint="eastAsia" w:ascii="宋体" w:hAnsi="宋体" w:cs="Arial"/>
          <w:kern w:val="0"/>
          <w:sz w:val="24"/>
          <w:szCs w:val="24"/>
          <w:u w:val="single"/>
        </w:rPr>
        <w:t>。</w:t>
      </w:r>
    </w:p>
    <w:p>
      <w:pPr>
        <w:widowControl/>
        <w:spacing w:after="120"/>
        <w:ind w:left="420"/>
        <w:rPr>
          <w:rFonts w:ascii="宋体" w:hAnsi="??" w:cs="Arial"/>
          <w:b/>
          <w:kern w:val="0"/>
          <w:sz w:val="24"/>
          <w:szCs w:val="24"/>
        </w:rPr>
      </w:pPr>
      <w:bookmarkStart w:id="631" w:name="_Toc218049016"/>
      <w:bookmarkStart w:id="632" w:name="_Toc217443414"/>
      <w:bookmarkStart w:id="633" w:name="_Toc218048836"/>
      <w:bookmarkStart w:id="634" w:name="_Toc256955769"/>
      <w:bookmarkStart w:id="635" w:name="_Toc381358677"/>
      <w:bookmarkStart w:id="636" w:name="_Toc255494566"/>
      <w:bookmarkStart w:id="637" w:name="_Toc375218814"/>
      <w:r>
        <w:rPr>
          <w:rFonts w:ascii="宋体" w:hAnsi="宋体" w:cs="Arial"/>
          <w:b/>
          <w:kern w:val="0"/>
          <w:sz w:val="24"/>
          <w:szCs w:val="24"/>
        </w:rPr>
        <w:t>3</w:t>
      </w:r>
      <w:r>
        <w:rPr>
          <w:rFonts w:hint="eastAsia" w:ascii="宋体" w:hAnsi="宋体" w:cs="Arial"/>
          <w:b/>
          <w:kern w:val="0"/>
          <w:sz w:val="24"/>
          <w:szCs w:val="24"/>
        </w:rPr>
        <w:t>．</w:t>
      </w:r>
      <w:bookmarkEnd w:id="631"/>
      <w:bookmarkEnd w:id="632"/>
      <w:bookmarkEnd w:id="633"/>
      <w:r>
        <w:rPr>
          <w:rFonts w:hint="eastAsia" w:ascii="宋体" w:hAnsi="宋体" w:cs="Arial"/>
          <w:b/>
          <w:kern w:val="0"/>
          <w:sz w:val="24"/>
          <w:szCs w:val="24"/>
        </w:rPr>
        <w:t>供货人义务</w:t>
      </w:r>
      <w:bookmarkEnd w:id="634"/>
      <w:bookmarkEnd w:id="635"/>
      <w:bookmarkEnd w:id="636"/>
      <w:bookmarkEnd w:id="637"/>
    </w:p>
    <w:p>
      <w:pPr>
        <w:widowControl/>
        <w:spacing w:after="120"/>
        <w:ind w:left="420" w:firstLine="480" w:firstLineChars="200"/>
        <w:rPr>
          <w:rFonts w:ascii="宋体" w:hAnsi="??" w:cs="Arial"/>
          <w:kern w:val="0"/>
          <w:sz w:val="24"/>
          <w:szCs w:val="24"/>
        </w:rPr>
      </w:pPr>
      <w:r>
        <w:rPr>
          <w:rFonts w:ascii="宋体" w:hAnsi="宋体" w:cs="Arial"/>
          <w:kern w:val="0"/>
          <w:sz w:val="24"/>
          <w:szCs w:val="24"/>
        </w:rPr>
        <w:t>3.</w:t>
      </w:r>
      <w:r>
        <w:rPr>
          <w:rFonts w:hint="eastAsia" w:ascii="宋体" w:hAnsi="宋体" w:cs="Arial"/>
          <w:kern w:val="0"/>
          <w:sz w:val="24"/>
          <w:szCs w:val="24"/>
        </w:rPr>
        <w:t>（</w:t>
      </w:r>
      <w:r>
        <w:rPr>
          <w:rFonts w:ascii="宋体" w:hAnsi="宋体" w:cs="Arial"/>
          <w:kern w:val="0"/>
          <w:sz w:val="24"/>
          <w:szCs w:val="24"/>
        </w:rPr>
        <w:t>10</w:t>
      </w:r>
      <w:r>
        <w:rPr>
          <w:rFonts w:hint="eastAsia" w:ascii="宋体" w:hAnsi="宋体" w:cs="Arial"/>
          <w:kern w:val="0"/>
          <w:sz w:val="24"/>
          <w:szCs w:val="24"/>
        </w:rPr>
        <w:t>）</w:t>
      </w:r>
      <w:bookmarkStart w:id="638" w:name="_Toc256955770"/>
      <w:r>
        <w:rPr>
          <w:rFonts w:hint="eastAsia" w:ascii="宋体" w:hAnsi="宋体" w:cs="Arial"/>
          <w:kern w:val="0"/>
          <w:sz w:val="24"/>
          <w:szCs w:val="24"/>
        </w:rPr>
        <w:t>其他义务：</w:t>
      </w:r>
      <w:r>
        <w:rPr>
          <w:rFonts w:hint="eastAsia" w:ascii="宋体" w:hAnsi="宋体" w:cs="Arial"/>
          <w:kern w:val="0"/>
          <w:sz w:val="24"/>
          <w:szCs w:val="24"/>
          <w:u w:val="single"/>
        </w:rPr>
        <w:t>A：采购人不定期对产品质量进行抽检，检测费用由供货人承担。B：供货人负责设备的运输，并承担运输费用及货物运输过程中的风险。</w:t>
      </w:r>
    </w:p>
    <w:p>
      <w:pPr>
        <w:widowControl/>
        <w:spacing w:after="120"/>
        <w:ind w:left="420"/>
        <w:rPr>
          <w:rFonts w:ascii="宋体" w:hAnsi="??" w:cs="Arial"/>
          <w:b/>
          <w:kern w:val="0"/>
          <w:sz w:val="24"/>
          <w:szCs w:val="24"/>
        </w:rPr>
      </w:pPr>
      <w:bookmarkStart w:id="639" w:name="_Toc381358678"/>
      <w:bookmarkStart w:id="640" w:name="_Toc375218815"/>
      <w:r>
        <w:rPr>
          <w:rFonts w:ascii="宋体" w:hAnsi="宋体" w:cs="Arial"/>
          <w:b/>
          <w:kern w:val="0"/>
          <w:sz w:val="24"/>
          <w:szCs w:val="24"/>
        </w:rPr>
        <w:t xml:space="preserve">4. </w:t>
      </w:r>
      <w:r>
        <w:rPr>
          <w:rFonts w:hint="eastAsia" w:ascii="宋体" w:hAnsi="宋体" w:cs="Arial"/>
          <w:b/>
          <w:kern w:val="0"/>
          <w:sz w:val="24"/>
          <w:szCs w:val="24"/>
        </w:rPr>
        <w:t>采购项目供货计划</w:t>
      </w:r>
      <w:bookmarkEnd w:id="638"/>
      <w:bookmarkEnd w:id="639"/>
      <w:bookmarkEnd w:id="640"/>
    </w:p>
    <w:p>
      <w:pPr>
        <w:widowControl/>
        <w:spacing w:after="120"/>
        <w:ind w:left="420" w:firstLine="482" w:firstLineChars="200"/>
        <w:rPr>
          <w:rFonts w:ascii="宋体" w:hAnsi="??" w:cs="Arial"/>
          <w:kern w:val="0"/>
          <w:sz w:val="24"/>
          <w:szCs w:val="24"/>
          <w:u w:val="single"/>
        </w:rPr>
      </w:pPr>
      <w:bookmarkStart w:id="641" w:name="_Toc375218816"/>
      <w:r>
        <w:rPr>
          <w:rFonts w:ascii="宋体" w:hAnsi="宋体" w:cs="Arial"/>
          <w:b/>
          <w:kern w:val="0"/>
          <w:sz w:val="24"/>
          <w:szCs w:val="24"/>
        </w:rPr>
        <w:t>4.1.2</w:t>
      </w:r>
      <w:r>
        <w:rPr>
          <w:rFonts w:hint="eastAsia" w:ascii="宋体" w:hAnsi="宋体" w:cs="Arial"/>
          <w:b/>
          <w:kern w:val="0"/>
          <w:sz w:val="24"/>
          <w:szCs w:val="24"/>
        </w:rPr>
        <w:t>供货计划提交时间</w:t>
      </w:r>
      <w:bookmarkEnd w:id="641"/>
      <w:r>
        <w:rPr>
          <w:rFonts w:hint="eastAsia" w:ascii="宋体" w:hAnsi="宋体" w:cs="Arial"/>
          <w:b/>
          <w:kern w:val="0"/>
          <w:sz w:val="24"/>
          <w:szCs w:val="24"/>
        </w:rPr>
        <w:t>：</w:t>
      </w:r>
      <w:bookmarkStart w:id="642" w:name="_Toc218049018"/>
      <w:bookmarkStart w:id="643" w:name="_Toc218048838"/>
      <w:bookmarkStart w:id="644" w:name="_Toc217443416"/>
      <w:bookmarkStart w:id="645" w:name="_Toc255494568"/>
      <w:bookmarkStart w:id="646" w:name="_Toc256955771"/>
      <w:bookmarkStart w:id="647" w:name="_Toc375218817"/>
      <w:bookmarkStart w:id="648" w:name="_Toc381358679"/>
      <w:r>
        <w:rPr>
          <w:rFonts w:hint="eastAsia" w:ascii="宋体" w:hAnsi="??" w:cs="Arial"/>
          <w:kern w:val="0"/>
          <w:sz w:val="24"/>
          <w:szCs w:val="24"/>
          <w:u w:val="single"/>
        </w:rPr>
        <w:t>收到成交通知书之日起3日内</w:t>
      </w:r>
    </w:p>
    <w:p>
      <w:pPr>
        <w:widowControl/>
        <w:spacing w:after="120"/>
        <w:ind w:left="420"/>
        <w:rPr>
          <w:rFonts w:ascii="宋体" w:hAnsi="宋体" w:cs="Arial"/>
          <w:b/>
          <w:kern w:val="0"/>
          <w:sz w:val="24"/>
          <w:szCs w:val="24"/>
        </w:rPr>
      </w:pPr>
      <w:r>
        <w:rPr>
          <w:rFonts w:ascii="宋体" w:hAnsi="宋体" w:cs="Arial"/>
          <w:b/>
          <w:kern w:val="0"/>
          <w:sz w:val="24"/>
          <w:szCs w:val="24"/>
        </w:rPr>
        <w:t>5</w:t>
      </w:r>
      <w:r>
        <w:rPr>
          <w:rFonts w:hint="eastAsia" w:ascii="宋体" w:hAnsi="宋体" w:cs="Arial"/>
          <w:b/>
          <w:kern w:val="0"/>
          <w:sz w:val="24"/>
          <w:szCs w:val="24"/>
        </w:rPr>
        <w:t>．</w:t>
      </w:r>
      <w:bookmarkEnd w:id="642"/>
      <w:bookmarkEnd w:id="643"/>
      <w:bookmarkEnd w:id="644"/>
      <w:r>
        <w:rPr>
          <w:rFonts w:hint="eastAsia" w:ascii="宋体" w:hAnsi="宋体" w:cs="Arial"/>
          <w:b/>
          <w:kern w:val="0"/>
          <w:sz w:val="24"/>
          <w:szCs w:val="24"/>
        </w:rPr>
        <w:t>供货安装周期</w:t>
      </w:r>
      <w:bookmarkEnd w:id="645"/>
      <w:bookmarkEnd w:id="646"/>
      <w:bookmarkEnd w:id="647"/>
      <w:bookmarkEnd w:id="648"/>
    </w:p>
    <w:p>
      <w:pPr>
        <w:widowControl/>
        <w:spacing w:after="120"/>
        <w:ind w:left="420" w:firstLine="480" w:firstLineChars="200"/>
        <w:rPr>
          <w:rFonts w:ascii="宋体" w:hAnsi="??" w:cs="Arial"/>
          <w:kern w:val="0"/>
          <w:sz w:val="24"/>
          <w:szCs w:val="24"/>
        </w:rPr>
      </w:pPr>
      <w:bookmarkStart w:id="649" w:name="_Toc375218818"/>
      <w:r>
        <w:rPr>
          <w:rFonts w:hint="eastAsia" w:ascii="宋体" w:hAnsi="宋体" w:cs="Arial"/>
          <w:kern w:val="0"/>
          <w:sz w:val="24"/>
          <w:szCs w:val="24"/>
        </w:rPr>
        <w:t>具体供货安装周期</w:t>
      </w:r>
      <w:bookmarkEnd w:id="649"/>
      <w:bookmarkStart w:id="650" w:name="_Toc375218819"/>
      <w:bookmarkStart w:id="651" w:name="_Toc217443419"/>
      <w:bookmarkStart w:id="652" w:name="_Toc256955772"/>
      <w:bookmarkStart w:id="653" w:name="_Toc255494569"/>
      <w:bookmarkStart w:id="654" w:name="_Toc218049021"/>
      <w:bookmarkStart w:id="655" w:name="_Toc218048841"/>
      <w:bookmarkStart w:id="656" w:name="_Toc381358680"/>
      <w:r>
        <w:rPr>
          <w:rFonts w:hint="eastAsia" w:ascii="宋体" w:hAnsi="??" w:cs="Arial"/>
          <w:kern w:val="0"/>
          <w:sz w:val="24"/>
          <w:szCs w:val="24"/>
        </w:rPr>
        <w:t>：</w:t>
      </w:r>
      <w:r>
        <w:rPr>
          <w:rFonts w:hint="eastAsia" w:ascii="宋体" w:hAnsi="??" w:cs="Arial"/>
          <w:kern w:val="0"/>
          <w:sz w:val="24"/>
          <w:szCs w:val="24"/>
          <w:u w:val="single"/>
        </w:rPr>
        <w:t>按采购人要求</w:t>
      </w:r>
    </w:p>
    <w:p>
      <w:pPr>
        <w:widowControl/>
        <w:spacing w:after="120"/>
        <w:ind w:left="420"/>
        <w:rPr>
          <w:rFonts w:ascii="宋体" w:hAnsi="??" w:cs="Arial"/>
          <w:b/>
          <w:kern w:val="0"/>
          <w:sz w:val="24"/>
          <w:szCs w:val="24"/>
        </w:rPr>
      </w:pPr>
      <w:r>
        <w:rPr>
          <w:rFonts w:ascii="宋体" w:hAnsi="宋体" w:cs="Arial"/>
          <w:b/>
          <w:kern w:val="0"/>
          <w:sz w:val="24"/>
          <w:szCs w:val="24"/>
        </w:rPr>
        <w:t>6</w:t>
      </w:r>
      <w:r>
        <w:rPr>
          <w:rFonts w:hint="eastAsia" w:ascii="宋体" w:hAnsi="宋体" w:cs="Arial"/>
          <w:b/>
          <w:kern w:val="0"/>
          <w:sz w:val="24"/>
          <w:szCs w:val="24"/>
        </w:rPr>
        <w:t>．供货安装周期延误</w:t>
      </w:r>
      <w:bookmarkEnd w:id="650"/>
      <w:bookmarkEnd w:id="651"/>
      <w:bookmarkEnd w:id="652"/>
      <w:bookmarkEnd w:id="653"/>
      <w:bookmarkEnd w:id="654"/>
      <w:bookmarkEnd w:id="655"/>
      <w:bookmarkEnd w:id="656"/>
    </w:p>
    <w:p>
      <w:pPr>
        <w:widowControl/>
        <w:spacing w:after="120"/>
        <w:ind w:left="420" w:firstLine="482" w:firstLineChars="200"/>
        <w:rPr>
          <w:rFonts w:ascii="宋体" w:hAnsi="??" w:cs="Arial"/>
          <w:b/>
          <w:kern w:val="0"/>
          <w:sz w:val="24"/>
          <w:szCs w:val="24"/>
        </w:rPr>
      </w:pPr>
      <w:bookmarkStart w:id="657" w:name="_Toc375218820"/>
      <w:r>
        <w:rPr>
          <w:rFonts w:ascii="宋体" w:hAnsi="宋体" w:cs="Arial"/>
          <w:b/>
          <w:kern w:val="0"/>
          <w:sz w:val="24"/>
          <w:szCs w:val="24"/>
        </w:rPr>
        <w:t>6.1</w:t>
      </w:r>
      <w:r>
        <w:rPr>
          <w:rFonts w:hint="eastAsia" w:ascii="宋体" w:hAnsi="宋体" w:cs="Arial"/>
          <w:b/>
          <w:kern w:val="0"/>
          <w:sz w:val="24"/>
          <w:szCs w:val="24"/>
        </w:rPr>
        <w:t>非供货人造成的延误</w:t>
      </w:r>
      <w:bookmarkEnd w:id="657"/>
    </w:p>
    <w:p>
      <w:pPr>
        <w:widowControl/>
        <w:spacing w:after="120"/>
        <w:ind w:left="420" w:firstLine="480" w:firstLineChars="200"/>
        <w:rPr>
          <w:rFonts w:ascii="宋体" w:hAnsi="??" w:cs="Arial"/>
          <w:kern w:val="0"/>
          <w:sz w:val="24"/>
          <w:szCs w:val="24"/>
        </w:rPr>
      </w:pPr>
      <w:r>
        <w:rPr>
          <w:rFonts w:ascii="宋体" w:hAnsi="宋体" w:cs="Arial"/>
          <w:kern w:val="0"/>
          <w:sz w:val="24"/>
          <w:szCs w:val="24"/>
        </w:rPr>
        <w:t>6.1.1</w:t>
      </w:r>
      <w:r>
        <w:rPr>
          <w:rFonts w:hint="eastAsia" w:ascii="宋体" w:hAnsi="宋体" w:cs="Arial"/>
          <w:kern w:val="0"/>
          <w:sz w:val="24"/>
          <w:szCs w:val="24"/>
        </w:rPr>
        <w:t>（</w:t>
      </w:r>
      <w:r>
        <w:rPr>
          <w:rFonts w:ascii="宋体" w:hAnsi="宋体" w:cs="Arial"/>
          <w:kern w:val="0"/>
          <w:sz w:val="24"/>
          <w:szCs w:val="24"/>
        </w:rPr>
        <w:t>6</w:t>
      </w:r>
      <w:r>
        <w:rPr>
          <w:rFonts w:hint="eastAsia" w:ascii="宋体" w:hAnsi="宋体" w:cs="Arial"/>
          <w:kern w:val="0"/>
          <w:sz w:val="24"/>
          <w:szCs w:val="24"/>
        </w:rPr>
        <w:t>）其他允许延长供货安装周期的情况：</w:t>
      </w:r>
      <w:r>
        <w:rPr>
          <w:rFonts w:hint="eastAsia" w:ascii="宋体" w:hAnsi="宋体" w:cs="Arial"/>
          <w:kern w:val="0"/>
          <w:sz w:val="24"/>
          <w:szCs w:val="24"/>
          <w:u w:val="single"/>
        </w:rPr>
        <w:t>由于不可抗力的原因，但供货人应在不可抗力情形发生后2小时内通知采购人。</w:t>
      </w:r>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6.1.2</w:t>
      </w:r>
      <w:r>
        <w:rPr>
          <w:rFonts w:hint="eastAsia" w:ascii="宋体" w:hAnsi="宋体" w:cs="Arial"/>
          <w:kern w:val="0"/>
          <w:sz w:val="24"/>
          <w:szCs w:val="24"/>
        </w:rPr>
        <w:t>提交书面报告的时间：</w:t>
      </w:r>
      <w:r>
        <w:rPr>
          <w:rFonts w:hint="eastAsia" w:ascii="宋体" w:hAnsi="宋体" w:cs="Arial"/>
          <w:kern w:val="0"/>
          <w:sz w:val="24"/>
          <w:szCs w:val="24"/>
          <w:u w:val="single"/>
        </w:rPr>
        <w:t>应在</w:t>
      </w:r>
      <w:r>
        <w:rPr>
          <w:rFonts w:ascii="宋体" w:hAnsi="宋体" w:cs="Arial"/>
          <w:kern w:val="0"/>
          <w:sz w:val="24"/>
          <w:szCs w:val="24"/>
          <w:u w:val="single"/>
        </w:rPr>
        <w:t>24</w:t>
      </w:r>
      <w:r>
        <w:rPr>
          <w:rFonts w:hint="eastAsia" w:ascii="宋体" w:hAnsi="宋体" w:cs="Arial"/>
          <w:kern w:val="0"/>
          <w:sz w:val="24"/>
          <w:szCs w:val="24"/>
          <w:u w:val="single"/>
        </w:rPr>
        <w:t>小时内提交书面报告。</w:t>
      </w:r>
    </w:p>
    <w:p>
      <w:pPr>
        <w:widowControl/>
        <w:spacing w:after="120"/>
        <w:ind w:left="420" w:firstLine="482" w:firstLineChars="200"/>
        <w:rPr>
          <w:rFonts w:ascii="宋体" w:hAnsi="??" w:cs="Arial"/>
          <w:b/>
          <w:kern w:val="0"/>
          <w:sz w:val="24"/>
          <w:szCs w:val="24"/>
        </w:rPr>
      </w:pPr>
      <w:bookmarkStart w:id="658" w:name="_Toc375218821"/>
      <w:r>
        <w:rPr>
          <w:rFonts w:ascii="宋体" w:hAnsi="宋体" w:cs="Arial"/>
          <w:b/>
          <w:kern w:val="0"/>
          <w:sz w:val="24"/>
          <w:szCs w:val="24"/>
        </w:rPr>
        <w:t xml:space="preserve">6.3 </w:t>
      </w:r>
      <w:r>
        <w:rPr>
          <w:rFonts w:hint="eastAsia" w:ascii="宋体" w:hAnsi="宋体" w:cs="Arial"/>
          <w:b/>
          <w:kern w:val="0"/>
          <w:sz w:val="24"/>
          <w:szCs w:val="24"/>
        </w:rPr>
        <w:t>供货安装周期延误的违约处理</w:t>
      </w:r>
      <w:bookmarkEnd w:id="658"/>
    </w:p>
    <w:p>
      <w:pPr>
        <w:widowControl/>
        <w:spacing w:after="120"/>
        <w:ind w:left="420" w:firstLine="480" w:firstLineChars="200"/>
        <w:rPr>
          <w:rFonts w:ascii="宋体" w:hAnsi="??" w:cs="Arial"/>
          <w:kern w:val="0"/>
          <w:sz w:val="24"/>
          <w:szCs w:val="24"/>
        </w:rPr>
      </w:pPr>
      <w:r>
        <w:rPr>
          <w:rFonts w:ascii="宋体" w:hAnsi="宋体" w:cs="Arial"/>
          <w:kern w:val="0"/>
          <w:sz w:val="24"/>
          <w:szCs w:val="24"/>
        </w:rPr>
        <w:t>6.3.1</w:t>
      </w:r>
      <w:r>
        <w:rPr>
          <w:rFonts w:hint="eastAsia" w:ascii="宋体" w:hAnsi="宋体" w:cs="Arial"/>
          <w:kern w:val="0"/>
          <w:sz w:val="24"/>
          <w:szCs w:val="24"/>
        </w:rPr>
        <w:t>误期违约金及误期违约金的最高限额：</w:t>
      </w:r>
    </w:p>
    <w:p>
      <w:pPr>
        <w:widowControl/>
        <w:spacing w:after="120"/>
        <w:ind w:left="420" w:firstLine="482" w:firstLineChars="200"/>
        <w:rPr>
          <w:rFonts w:ascii="宋体" w:hAnsi="??" w:cs="Arial"/>
          <w:b/>
          <w:bCs/>
          <w:kern w:val="0"/>
          <w:sz w:val="24"/>
          <w:szCs w:val="24"/>
          <w:u w:val="single"/>
        </w:rPr>
      </w:pPr>
      <w:bookmarkStart w:id="659" w:name="_Toc218048842"/>
      <w:bookmarkStart w:id="660" w:name="_Toc217443420"/>
      <w:bookmarkStart w:id="661" w:name="_Toc218049022"/>
      <w:bookmarkStart w:id="662" w:name="_Toc255494570"/>
      <w:bookmarkStart w:id="663" w:name="_Toc381358681"/>
      <w:bookmarkStart w:id="664" w:name="_Toc375218822"/>
      <w:bookmarkStart w:id="665" w:name="_Toc256955773"/>
      <w:r>
        <w:rPr>
          <w:rFonts w:hint="eastAsia" w:ascii="宋体" w:hAnsi="宋体" w:cs="Arial"/>
          <w:b/>
          <w:bCs/>
          <w:kern w:val="0"/>
          <w:sz w:val="24"/>
          <w:szCs w:val="24"/>
          <w:u w:val="single"/>
        </w:rPr>
        <w:t>每延期一天供货方赔偿采购人误期违约金为合同鉴定价款千分之二，误期违约金最高限额为合同价款的20%</w:t>
      </w:r>
    </w:p>
    <w:p>
      <w:pPr>
        <w:widowControl/>
        <w:spacing w:after="120"/>
        <w:ind w:left="420"/>
        <w:rPr>
          <w:rFonts w:ascii="宋体" w:hAnsi="??" w:cs="Arial"/>
          <w:b/>
          <w:kern w:val="0"/>
          <w:sz w:val="24"/>
          <w:szCs w:val="24"/>
        </w:rPr>
      </w:pPr>
      <w:r>
        <w:rPr>
          <w:rFonts w:ascii="宋体" w:hAnsi="宋体" w:cs="Arial"/>
          <w:b/>
          <w:kern w:val="0"/>
          <w:sz w:val="24"/>
          <w:szCs w:val="24"/>
        </w:rPr>
        <w:t>7</w:t>
      </w:r>
      <w:r>
        <w:rPr>
          <w:rFonts w:hint="eastAsia" w:ascii="宋体" w:hAnsi="宋体" w:cs="Arial"/>
          <w:b/>
          <w:kern w:val="0"/>
          <w:sz w:val="24"/>
          <w:szCs w:val="24"/>
        </w:rPr>
        <w:t>．</w:t>
      </w:r>
      <w:bookmarkEnd w:id="659"/>
      <w:bookmarkEnd w:id="660"/>
      <w:bookmarkEnd w:id="661"/>
      <w:r>
        <w:rPr>
          <w:rFonts w:hint="eastAsia" w:ascii="宋体" w:hAnsi="宋体" w:cs="Arial"/>
          <w:b/>
          <w:kern w:val="0"/>
          <w:sz w:val="24"/>
          <w:szCs w:val="24"/>
        </w:rPr>
        <w:t>包装</w:t>
      </w:r>
      <w:bookmarkEnd w:id="662"/>
      <w:bookmarkEnd w:id="663"/>
      <w:bookmarkEnd w:id="664"/>
      <w:bookmarkEnd w:id="665"/>
    </w:p>
    <w:p>
      <w:pPr>
        <w:widowControl/>
        <w:spacing w:after="120"/>
        <w:ind w:left="420" w:firstLine="482" w:firstLineChars="200"/>
        <w:rPr>
          <w:rFonts w:ascii="宋体" w:hAnsi="??" w:cs="Arial"/>
          <w:b/>
          <w:kern w:val="0"/>
          <w:sz w:val="24"/>
          <w:szCs w:val="24"/>
        </w:rPr>
      </w:pPr>
      <w:bookmarkStart w:id="666" w:name="_Toc375218823"/>
      <w:r>
        <w:rPr>
          <w:rFonts w:ascii="宋体" w:hAnsi="宋体" w:cs="Arial"/>
          <w:b/>
          <w:kern w:val="0"/>
          <w:sz w:val="24"/>
          <w:szCs w:val="24"/>
        </w:rPr>
        <w:t>7.4</w:t>
      </w:r>
      <w:r>
        <w:rPr>
          <w:rFonts w:hint="eastAsia" w:ascii="宋体" w:hAnsi="宋体" w:cs="Arial"/>
          <w:b/>
          <w:kern w:val="0"/>
          <w:sz w:val="24"/>
          <w:szCs w:val="24"/>
        </w:rPr>
        <w:t>其他包装约定</w:t>
      </w:r>
      <w:bookmarkEnd w:id="666"/>
    </w:p>
    <w:p>
      <w:pPr>
        <w:widowControl/>
        <w:spacing w:after="120"/>
        <w:ind w:left="420" w:firstLine="480" w:firstLineChars="200"/>
        <w:rPr>
          <w:rFonts w:ascii="宋体" w:hAnsi="??" w:cs="Arial"/>
          <w:kern w:val="0"/>
          <w:sz w:val="24"/>
          <w:szCs w:val="24"/>
          <w:u w:val="single"/>
        </w:rPr>
      </w:pPr>
      <w:bookmarkStart w:id="667" w:name="_Toc218048844"/>
      <w:bookmarkStart w:id="668" w:name="_Toc218049024"/>
      <w:bookmarkStart w:id="669" w:name="_Toc217443422"/>
      <w:bookmarkStart w:id="670" w:name="_Toc256955774"/>
      <w:bookmarkStart w:id="671" w:name="_Toc381358682"/>
      <w:bookmarkStart w:id="672" w:name="_Toc375218824"/>
      <w:bookmarkStart w:id="673" w:name="_Toc255494572"/>
      <w:r>
        <w:rPr>
          <w:rFonts w:ascii="宋体" w:hAnsi="宋体" w:cs="Arial"/>
          <w:kern w:val="0"/>
          <w:sz w:val="24"/>
          <w:szCs w:val="24"/>
          <w:u w:val="single"/>
        </w:rPr>
        <w:t>__</w:t>
      </w:r>
      <w:r>
        <w:rPr>
          <w:rFonts w:hint="eastAsia" w:ascii="宋体" w:hAnsi="宋体" w:cs="Arial"/>
          <w:kern w:val="0"/>
          <w:sz w:val="24"/>
          <w:szCs w:val="24"/>
          <w:u w:val="single"/>
        </w:rPr>
        <w:t>设备包装适应长途公路或铁路运输，并有良好的防湿、防潮、防震、防腐蚀的能力，其它备品备件可以采用妥善保护的软包装达到成品保护要求。</w:t>
      </w:r>
    </w:p>
    <w:p>
      <w:pPr>
        <w:widowControl/>
        <w:spacing w:after="120"/>
        <w:ind w:left="420"/>
        <w:rPr>
          <w:rFonts w:ascii="宋体" w:hAnsi="??" w:cs="Arial"/>
          <w:b/>
          <w:kern w:val="0"/>
          <w:sz w:val="24"/>
          <w:szCs w:val="24"/>
        </w:rPr>
      </w:pPr>
      <w:r>
        <w:rPr>
          <w:rFonts w:ascii="宋体" w:hAnsi="宋体" w:cs="Arial"/>
          <w:b/>
          <w:kern w:val="0"/>
          <w:sz w:val="24"/>
          <w:szCs w:val="24"/>
        </w:rPr>
        <w:t>8</w:t>
      </w:r>
      <w:r>
        <w:rPr>
          <w:rFonts w:hint="eastAsia" w:ascii="宋体" w:hAnsi="宋体" w:cs="Arial"/>
          <w:b/>
          <w:kern w:val="0"/>
          <w:sz w:val="24"/>
          <w:szCs w:val="24"/>
        </w:rPr>
        <w:t>．</w:t>
      </w:r>
      <w:bookmarkEnd w:id="667"/>
      <w:bookmarkEnd w:id="668"/>
      <w:bookmarkEnd w:id="669"/>
      <w:r>
        <w:rPr>
          <w:rFonts w:hint="eastAsia" w:ascii="宋体" w:hAnsi="宋体" w:cs="Arial"/>
          <w:b/>
          <w:kern w:val="0"/>
          <w:sz w:val="24"/>
          <w:szCs w:val="24"/>
        </w:rPr>
        <w:t>服务</w:t>
      </w:r>
      <w:bookmarkEnd w:id="670"/>
      <w:bookmarkEnd w:id="671"/>
      <w:bookmarkEnd w:id="672"/>
      <w:bookmarkEnd w:id="673"/>
    </w:p>
    <w:p>
      <w:pPr>
        <w:widowControl/>
        <w:spacing w:after="120"/>
        <w:ind w:left="420" w:firstLine="482" w:firstLineChars="200"/>
        <w:rPr>
          <w:rFonts w:ascii="宋体" w:hAnsi="??" w:cs="Arial"/>
          <w:b/>
          <w:kern w:val="0"/>
          <w:sz w:val="24"/>
          <w:szCs w:val="24"/>
        </w:rPr>
      </w:pPr>
      <w:bookmarkStart w:id="674" w:name="_Toc375218825"/>
      <w:r>
        <w:rPr>
          <w:rFonts w:ascii="宋体" w:hAnsi="宋体" w:cs="Arial"/>
          <w:b/>
          <w:kern w:val="0"/>
          <w:sz w:val="24"/>
          <w:szCs w:val="24"/>
        </w:rPr>
        <w:t>8.4</w:t>
      </w:r>
      <w:r>
        <w:rPr>
          <w:rFonts w:hint="eastAsia" w:ascii="宋体" w:hAnsi="宋体" w:cs="Arial"/>
          <w:b/>
          <w:kern w:val="0"/>
          <w:sz w:val="24"/>
          <w:szCs w:val="24"/>
        </w:rPr>
        <w:t>其他约定</w:t>
      </w:r>
      <w:bookmarkEnd w:id="674"/>
    </w:p>
    <w:p>
      <w:pPr>
        <w:tabs>
          <w:tab w:val="left" w:pos="8145"/>
        </w:tabs>
        <w:spacing w:line="360" w:lineRule="auto"/>
        <w:ind w:firstLine="537" w:firstLineChars="224"/>
        <w:rPr>
          <w:rFonts w:ascii="宋体" w:hAnsi="宋体" w:cs="Arial"/>
          <w:kern w:val="0"/>
          <w:sz w:val="24"/>
          <w:szCs w:val="24"/>
          <w:u w:val="single"/>
        </w:rPr>
      </w:pPr>
      <w:bookmarkStart w:id="675" w:name="_Toc256955775"/>
      <w:bookmarkStart w:id="676" w:name="_Toc255490682"/>
      <w:bookmarkStart w:id="677" w:name="_Toc381358683"/>
      <w:bookmarkStart w:id="678" w:name="_Toc375218826"/>
      <w:r>
        <w:rPr>
          <w:rFonts w:hint="eastAsia" w:ascii="宋体" w:hAnsi="宋体" w:cs="Arial"/>
          <w:kern w:val="0"/>
          <w:sz w:val="24"/>
          <w:szCs w:val="24"/>
          <w:u w:val="single"/>
        </w:rPr>
        <w:t>技术资料：</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1、乙方必须向甲方提供所有资料六套，包括验收资料。</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2、乙方应准备与设备相符的技术资料，并随货到现场一起发送到甲方，包括：⑴系统组设备安装图；⑵货物及系统原理图；⑶构件、机械安装图；⑷操作手册；⑸维修、保养手册；⑹制造、安装标准和技术规范；⑺安装及验收报告；⑻零部件目录；(9)规范规定和行业惯例等须提供的相关资料。如本条款所述资料有不完整或丢失，乙方应收到甲方通知后3天内免费另寄。</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3、一套完整的上述资料还应妥善包装随每批货物一同发运。乙方应派出专业技术人员到现场负责监督安装、调试。</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4、如技术资料为外文，均需同时提供中文技术资料。</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质量保证：</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1、乙方应严格按照制造图纸、技术要求和有关标准生产和检验，确保产品质量。若设备材料制造质量出现问题，乙方应负责三包（即包修、包换、包退），所产生的费用由乙方承担。</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2、乙方应保证其提供的货物是全新的、未使用过的、合格的合同设备，技术等方面是本公司最先进的、成熟的，并符合合同规定的质量、规格和性能。</w:t>
      </w:r>
    </w:p>
    <w:p>
      <w:pPr>
        <w:spacing w:line="360" w:lineRule="auto"/>
        <w:ind w:right="178" w:rightChars="85" w:firstLine="537" w:firstLineChars="224"/>
        <w:rPr>
          <w:rFonts w:ascii="宋体" w:hAnsi="宋体"/>
          <w:sz w:val="24"/>
          <w:u w:val="single"/>
        </w:rPr>
      </w:pPr>
      <w:r>
        <w:rPr>
          <w:rFonts w:hint="eastAsia" w:ascii="宋体" w:hAnsi="宋体"/>
          <w:bCs/>
          <w:iCs/>
          <w:sz w:val="24"/>
          <w:u w:val="single"/>
        </w:rPr>
        <w:t>3、</w:t>
      </w:r>
      <w:r>
        <w:rPr>
          <w:rFonts w:hint="eastAsia" w:ascii="宋体" w:hAnsi="宋体"/>
          <w:sz w:val="24"/>
          <w:u w:val="single"/>
        </w:rPr>
        <w:t>乙方所提供的材料、设备必须具有其厂家产品质量检验证书和产品合格证书，乙方应备有相应的有关质量证明文件，并符合设计要求和磋商文件技术条件的规定，确保该材料设备质量为合格。同时在设备明显位置装有固定金属铭牌，铭牌至少应载明以下内容：</w:t>
      </w:r>
    </w:p>
    <w:p>
      <w:pPr>
        <w:spacing w:line="360" w:lineRule="auto"/>
        <w:ind w:right="178" w:rightChars="85" w:firstLine="537" w:firstLineChars="224"/>
        <w:rPr>
          <w:rFonts w:ascii="宋体" w:hAnsi="宋体"/>
          <w:sz w:val="24"/>
          <w:u w:val="single"/>
        </w:rPr>
      </w:pPr>
      <w:r>
        <w:rPr>
          <w:rFonts w:hint="eastAsia" w:ascii="宋体" w:hAnsi="宋体"/>
          <w:sz w:val="24"/>
          <w:u w:val="single"/>
        </w:rPr>
        <w:t>A、制造厂名称</w:t>
      </w:r>
    </w:p>
    <w:p>
      <w:pPr>
        <w:spacing w:line="360" w:lineRule="auto"/>
        <w:ind w:right="178" w:rightChars="85" w:firstLine="537" w:firstLineChars="224"/>
        <w:rPr>
          <w:rFonts w:ascii="宋体" w:hAnsi="宋体"/>
          <w:sz w:val="24"/>
          <w:u w:val="single"/>
        </w:rPr>
      </w:pPr>
      <w:r>
        <w:rPr>
          <w:rFonts w:hint="eastAsia" w:ascii="宋体" w:hAnsi="宋体"/>
          <w:sz w:val="24"/>
          <w:u w:val="single"/>
        </w:rPr>
        <w:t>B、设备名称和型号规格</w:t>
      </w:r>
    </w:p>
    <w:p>
      <w:pPr>
        <w:spacing w:line="360" w:lineRule="auto"/>
        <w:ind w:right="178" w:rightChars="85" w:firstLine="537" w:firstLineChars="224"/>
        <w:rPr>
          <w:rFonts w:ascii="宋体" w:hAnsi="宋体"/>
          <w:sz w:val="24"/>
          <w:u w:val="single"/>
        </w:rPr>
      </w:pPr>
      <w:r>
        <w:rPr>
          <w:rFonts w:hint="eastAsia" w:ascii="宋体" w:hAnsi="宋体"/>
          <w:sz w:val="24"/>
          <w:u w:val="single"/>
        </w:rPr>
        <w:t>C、制造厂产品编号</w:t>
      </w:r>
    </w:p>
    <w:p>
      <w:pPr>
        <w:spacing w:line="360" w:lineRule="auto"/>
        <w:ind w:right="178" w:rightChars="85" w:firstLine="537" w:firstLineChars="224"/>
        <w:rPr>
          <w:rFonts w:ascii="宋体" w:hAnsi="宋体"/>
          <w:sz w:val="24"/>
          <w:u w:val="single"/>
        </w:rPr>
      </w:pPr>
      <w:r>
        <w:rPr>
          <w:rFonts w:hint="eastAsia" w:ascii="宋体" w:hAnsi="宋体"/>
          <w:sz w:val="24"/>
          <w:u w:val="single"/>
        </w:rPr>
        <w:t>D、出厂日期</w:t>
      </w:r>
    </w:p>
    <w:p>
      <w:pPr>
        <w:tabs>
          <w:tab w:val="left" w:pos="8145"/>
        </w:tabs>
        <w:spacing w:line="360" w:lineRule="auto"/>
        <w:ind w:firstLine="537" w:firstLineChars="224"/>
        <w:rPr>
          <w:rFonts w:ascii="宋体" w:hAnsi="宋体"/>
          <w:sz w:val="24"/>
          <w:u w:val="single"/>
        </w:rPr>
      </w:pPr>
      <w:r>
        <w:rPr>
          <w:rFonts w:hint="eastAsia" w:ascii="宋体" w:hAnsi="宋体"/>
          <w:sz w:val="24"/>
          <w:u w:val="single"/>
        </w:rPr>
        <w:t>4、为了确保工程质量，乙方在合同履行过程中应无条件配合甲方和有相应资质的检测部门按设计要求和有关标准、规范，对该工程范围内的所用材料设备进行测试、检验，并符合国家、地方现行有关规定和安全性能的要求，确保该工程验收合格，所发生的一切测试、检验费用全部由乙方承担。</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5、乙方保证其货物经过正确安装、正常操作和保养，在货物寿命期内运转良好。在规定的质量保证期内，乙方应保证自设备安装、调试、试运行、验收合格，消缺全部完成之日起两年内提供在正常使用情况下，因设计、工艺或设备材料、服务及质量问题发生的故障，提供免费服务。出现上述情况，乙方应在3天内免费负责修理或更换有缺陷的零部件或整机，并相应延长此保修期。</w:t>
      </w:r>
    </w:p>
    <w:p>
      <w:pPr>
        <w:spacing w:line="360" w:lineRule="auto"/>
        <w:ind w:firstLine="537" w:firstLineChars="224"/>
        <w:rPr>
          <w:rFonts w:ascii="宋体" w:hAnsi="宋体"/>
          <w:sz w:val="24"/>
          <w:u w:val="single"/>
        </w:rPr>
      </w:pPr>
      <w:r>
        <w:rPr>
          <w:rFonts w:hint="eastAsia" w:ascii="宋体" w:hAnsi="宋体"/>
          <w:sz w:val="24"/>
          <w:u w:val="single"/>
        </w:rPr>
        <w:t>6、设备产地及质量</w:t>
      </w:r>
    </w:p>
    <w:p>
      <w:pPr>
        <w:widowControl/>
        <w:spacing w:after="120"/>
        <w:ind w:firstLine="480" w:firstLineChars="200"/>
        <w:rPr>
          <w:rFonts w:ascii="宋体" w:hAnsi="宋体" w:cs="HiddenHorzOCR"/>
          <w:sz w:val="24"/>
          <w:u w:val="single"/>
        </w:rPr>
      </w:pPr>
      <w:r>
        <w:rPr>
          <w:rFonts w:hint="eastAsia" w:ascii="宋体" w:hAnsi="宋体"/>
          <w:sz w:val="24"/>
          <w:u w:val="single"/>
        </w:rPr>
        <w:t>（1）本合同设备的合资或进口件，</w:t>
      </w:r>
      <w:r>
        <w:rPr>
          <w:rFonts w:ascii="宋体" w:hAnsi="宋体" w:cs="HiddenHorzOCR"/>
          <w:sz w:val="24"/>
          <w:u w:val="single"/>
        </w:rPr>
        <w:t>必须</w:t>
      </w:r>
      <w:r>
        <w:rPr>
          <w:rFonts w:hint="eastAsia" w:ascii="宋体" w:hAnsi="宋体" w:cs="HiddenHorzOCR"/>
          <w:sz w:val="24"/>
          <w:u w:val="single"/>
        </w:rPr>
        <w:t>具备并提供</w:t>
      </w:r>
      <w:r>
        <w:rPr>
          <w:rFonts w:hint="eastAsia" w:ascii="宋体" w:hAnsi="宋体"/>
          <w:sz w:val="24"/>
          <w:u w:val="single"/>
        </w:rPr>
        <w:t>有关国际标准进行相应检验和验收合格的</w:t>
      </w:r>
      <w:r>
        <w:rPr>
          <w:rFonts w:ascii="宋体" w:hAnsi="宋体" w:cs="HiddenHorzOCR"/>
          <w:sz w:val="24"/>
          <w:u w:val="single"/>
        </w:rPr>
        <w:t>质量管理体系认证证书。</w:t>
      </w:r>
    </w:p>
    <w:p>
      <w:pPr>
        <w:spacing w:line="360" w:lineRule="auto"/>
        <w:ind w:firstLine="537" w:firstLineChars="224"/>
        <w:rPr>
          <w:rFonts w:ascii="宋体" w:hAnsi="宋体"/>
          <w:sz w:val="24"/>
          <w:u w:val="single"/>
        </w:rPr>
      </w:pPr>
      <w:r>
        <w:rPr>
          <w:rFonts w:hint="eastAsia" w:ascii="宋体" w:hAnsi="宋体"/>
          <w:sz w:val="24"/>
          <w:u w:val="single"/>
        </w:rPr>
        <w:t>（2）进口件系属国外原厂生产，产品性能可靠先进成熟，造型结构合理新颖，品质档次较高，且在近几年内被更新换代的可能性较小的产品。进口件必须注明产地，并提供国际质量认证书、商检证、报关单、产地证、装箱清单或安全质量许可证和相应的产品检测报告复印件。</w:t>
      </w:r>
    </w:p>
    <w:p>
      <w:pPr>
        <w:spacing w:line="360" w:lineRule="auto"/>
        <w:ind w:firstLine="537" w:firstLineChars="224"/>
        <w:rPr>
          <w:rFonts w:ascii="宋体" w:hAnsi="宋体"/>
          <w:sz w:val="24"/>
          <w:u w:val="single"/>
        </w:rPr>
      </w:pPr>
      <w:r>
        <w:rPr>
          <w:rFonts w:hint="eastAsia" w:ascii="宋体" w:hAnsi="宋体"/>
          <w:sz w:val="24"/>
          <w:u w:val="single"/>
        </w:rPr>
        <w:t>（3）国产部件达到出口标准认证的不能按进口部件对待。不要求进口的零部件，乙方也须注明产地。国产件在功能、质量等方面都不影响整机的安全使用，并达到应有的质量标准。</w:t>
      </w:r>
    </w:p>
    <w:p>
      <w:pPr>
        <w:widowControl/>
        <w:spacing w:after="120"/>
        <w:ind w:firstLine="480" w:firstLineChars="200"/>
        <w:rPr>
          <w:rFonts w:ascii="宋体" w:hAnsi="宋体"/>
          <w:sz w:val="24"/>
          <w:u w:val="single"/>
        </w:rPr>
      </w:pPr>
      <w:r>
        <w:rPr>
          <w:rFonts w:hint="eastAsia" w:ascii="宋体" w:hAnsi="宋体"/>
          <w:sz w:val="24"/>
          <w:u w:val="single"/>
        </w:rPr>
        <w:t xml:space="preserve">（4）乙方提供设备产品的生产企业必须是具备质量认证的厂家。             </w:t>
      </w:r>
    </w:p>
    <w:p>
      <w:pPr>
        <w:widowControl/>
        <w:spacing w:after="120"/>
        <w:ind w:firstLine="480" w:firstLineChars="200"/>
        <w:rPr>
          <w:rFonts w:ascii="宋体" w:hAnsi="宋体"/>
          <w:sz w:val="24"/>
          <w:u w:val="single"/>
        </w:rPr>
      </w:pPr>
      <w:r>
        <w:rPr>
          <w:rFonts w:hint="eastAsia" w:ascii="宋体" w:hAnsi="宋体"/>
          <w:sz w:val="24"/>
          <w:u w:val="single"/>
        </w:rPr>
        <w:t xml:space="preserve">7、乙方进场后须服从建设单位、总承包单位、监理单位的现场管理规定。     </w:t>
      </w:r>
    </w:p>
    <w:p>
      <w:pPr>
        <w:pStyle w:val="2"/>
        <w:ind w:firstLine="480" w:firstLineChars="200"/>
      </w:pPr>
      <w:r>
        <w:rPr>
          <w:rFonts w:hint="eastAsia" w:ascii="宋体" w:hAnsi="宋体"/>
          <w:u w:val="single"/>
        </w:rPr>
        <w:t xml:space="preserve">8、乙方所提供货物标准需符合甲方要求。                                 </w:t>
      </w:r>
    </w:p>
    <w:p>
      <w:pPr>
        <w:widowControl/>
        <w:spacing w:after="120"/>
        <w:ind w:left="420"/>
        <w:rPr>
          <w:rFonts w:ascii="宋体" w:hAnsi="??" w:cs="Arial"/>
          <w:b/>
          <w:kern w:val="0"/>
          <w:sz w:val="24"/>
          <w:szCs w:val="24"/>
        </w:rPr>
      </w:pPr>
      <w:r>
        <w:rPr>
          <w:rFonts w:ascii="宋体" w:hAnsi="宋体" w:cs="Arial"/>
          <w:b/>
          <w:kern w:val="0"/>
          <w:sz w:val="24"/>
          <w:szCs w:val="24"/>
        </w:rPr>
        <w:t>9.</w:t>
      </w:r>
      <w:r>
        <w:rPr>
          <w:rFonts w:hint="eastAsia" w:ascii="宋体" w:hAnsi="宋体" w:cs="Arial"/>
          <w:b/>
          <w:kern w:val="0"/>
          <w:sz w:val="24"/>
          <w:szCs w:val="24"/>
        </w:rPr>
        <w:t>备品备件、易损件</w:t>
      </w:r>
      <w:r>
        <w:rPr>
          <w:rFonts w:ascii="宋体" w:hAnsi="宋体" w:cs="Arial"/>
          <w:b/>
          <w:kern w:val="0"/>
          <w:sz w:val="24"/>
          <w:szCs w:val="24"/>
        </w:rPr>
        <w:t>/</w:t>
      </w:r>
      <w:r>
        <w:rPr>
          <w:rFonts w:hint="eastAsia" w:ascii="宋体" w:hAnsi="宋体" w:cs="Arial"/>
          <w:b/>
          <w:kern w:val="0"/>
          <w:sz w:val="24"/>
          <w:szCs w:val="24"/>
        </w:rPr>
        <w:t>消耗性材料</w:t>
      </w:r>
      <w:bookmarkEnd w:id="675"/>
      <w:bookmarkEnd w:id="676"/>
      <w:bookmarkEnd w:id="677"/>
      <w:bookmarkEnd w:id="678"/>
    </w:p>
    <w:p>
      <w:pPr>
        <w:widowControl/>
        <w:spacing w:after="120"/>
        <w:ind w:left="420" w:firstLine="482" w:firstLineChars="200"/>
        <w:rPr>
          <w:rFonts w:ascii="宋体" w:hAnsi="??" w:cs="Arial"/>
          <w:b/>
          <w:kern w:val="0"/>
          <w:sz w:val="24"/>
          <w:szCs w:val="24"/>
        </w:rPr>
      </w:pPr>
      <w:bookmarkStart w:id="679" w:name="_Toc375218827"/>
      <w:r>
        <w:rPr>
          <w:rFonts w:ascii="宋体" w:hAnsi="宋体" w:cs="Arial"/>
          <w:b/>
          <w:kern w:val="0"/>
          <w:sz w:val="24"/>
          <w:szCs w:val="24"/>
        </w:rPr>
        <w:t>9.2</w:t>
      </w:r>
      <w:r>
        <w:rPr>
          <w:rFonts w:hint="eastAsia" w:ascii="宋体" w:hAnsi="宋体" w:cs="Arial"/>
          <w:b/>
          <w:kern w:val="0"/>
          <w:sz w:val="24"/>
          <w:szCs w:val="24"/>
        </w:rPr>
        <w:t>其他约定</w:t>
      </w:r>
      <w:bookmarkEnd w:id="679"/>
    </w:p>
    <w:p>
      <w:pPr>
        <w:widowControl/>
        <w:spacing w:after="120"/>
        <w:ind w:firstLine="600" w:firstLineChars="250"/>
        <w:rPr>
          <w:rFonts w:ascii="宋体" w:hAnsi="??" w:cs="Arial"/>
          <w:kern w:val="0"/>
          <w:sz w:val="24"/>
          <w:szCs w:val="24"/>
          <w:u w:val="single"/>
        </w:rPr>
      </w:pPr>
      <w:bookmarkStart w:id="680" w:name="_Toc218048845"/>
      <w:bookmarkStart w:id="681" w:name="_Toc217443424"/>
      <w:bookmarkStart w:id="682" w:name="_Toc218049025"/>
      <w:bookmarkStart w:id="683" w:name="_Toc375218828"/>
      <w:bookmarkStart w:id="684" w:name="_Toc256955776"/>
      <w:bookmarkStart w:id="685" w:name="_Toc381358684"/>
      <w:bookmarkStart w:id="686" w:name="_Toc255494573"/>
      <w:r>
        <w:rPr>
          <w:rFonts w:hint="eastAsia" w:ascii="宋体" w:hAnsi="宋体" w:cs="Arial"/>
          <w:kern w:val="0"/>
          <w:sz w:val="24"/>
          <w:szCs w:val="24"/>
          <w:u w:val="single"/>
        </w:rPr>
        <w:t>须免费</w:t>
      </w:r>
      <w:r>
        <w:rPr>
          <w:rFonts w:ascii="宋体" w:hAnsi="宋体" w:cs="Arial"/>
          <w:kern w:val="0"/>
          <w:sz w:val="24"/>
          <w:szCs w:val="24"/>
          <w:u w:val="single"/>
        </w:rPr>
        <w:t>提供调试</w:t>
      </w:r>
      <w:r>
        <w:rPr>
          <w:rFonts w:hint="eastAsia" w:ascii="宋体" w:hAnsi="宋体" w:cs="Arial"/>
          <w:kern w:val="0"/>
          <w:sz w:val="24"/>
          <w:szCs w:val="24"/>
          <w:u w:val="single"/>
        </w:rPr>
        <w:t>、</w:t>
      </w:r>
      <w:r>
        <w:rPr>
          <w:rFonts w:ascii="宋体" w:hAnsi="宋体" w:cs="Arial"/>
          <w:kern w:val="0"/>
          <w:sz w:val="24"/>
          <w:szCs w:val="24"/>
          <w:u w:val="single"/>
        </w:rPr>
        <w:t>测试</w:t>
      </w:r>
      <w:r>
        <w:rPr>
          <w:rFonts w:hint="eastAsia" w:ascii="宋体" w:hAnsi="宋体" w:cs="Arial"/>
          <w:kern w:val="0"/>
          <w:sz w:val="24"/>
          <w:szCs w:val="24"/>
          <w:u w:val="single"/>
        </w:rPr>
        <w:t>、</w:t>
      </w:r>
      <w:r>
        <w:rPr>
          <w:rFonts w:ascii="宋体" w:hAnsi="宋体" w:cs="Arial"/>
          <w:kern w:val="0"/>
          <w:sz w:val="24"/>
          <w:szCs w:val="24"/>
          <w:u w:val="single"/>
        </w:rPr>
        <w:t>试运行等相关的备品备件</w:t>
      </w:r>
      <w:r>
        <w:rPr>
          <w:rFonts w:hint="eastAsia" w:ascii="宋体" w:hAnsi="宋体" w:cs="Arial"/>
          <w:kern w:val="0"/>
          <w:sz w:val="24"/>
          <w:szCs w:val="24"/>
          <w:u w:val="single"/>
        </w:rPr>
        <w:t>、易损件</w:t>
      </w:r>
      <w:r>
        <w:rPr>
          <w:rFonts w:ascii="宋体" w:hAnsi="宋体" w:cs="Arial"/>
          <w:kern w:val="0"/>
          <w:sz w:val="24"/>
          <w:szCs w:val="24"/>
          <w:u w:val="single"/>
        </w:rPr>
        <w:t>/</w:t>
      </w:r>
      <w:r>
        <w:rPr>
          <w:rFonts w:hint="eastAsia" w:ascii="宋体" w:hAnsi="宋体" w:cs="Arial"/>
          <w:kern w:val="0"/>
          <w:sz w:val="24"/>
          <w:szCs w:val="24"/>
          <w:u w:val="single"/>
        </w:rPr>
        <w:t>消耗性材料。</w:t>
      </w:r>
    </w:p>
    <w:p>
      <w:pPr>
        <w:widowControl/>
        <w:spacing w:after="120"/>
        <w:ind w:left="420"/>
        <w:rPr>
          <w:rFonts w:ascii="宋体" w:hAnsi="??" w:cs="Arial"/>
          <w:b/>
          <w:kern w:val="0"/>
          <w:sz w:val="24"/>
          <w:szCs w:val="24"/>
        </w:rPr>
      </w:pPr>
      <w:r>
        <w:rPr>
          <w:rFonts w:ascii="宋体" w:hAnsi="宋体" w:cs="Arial"/>
          <w:b/>
          <w:kern w:val="0"/>
          <w:sz w:val="24"/>
          <w:szCs w:val="24"/>
        </w:rPr>
        <w:t>10</w:t>
      </w:r>
      <w:r>
        <w:rPr>
          <w:rFonts w:hint="eastAsia" w:ascii="宋体" w:hAnsi="宋体" w:cs="Arial"/>
          <w:b/>
          <w:kern w:val="0"/>
          <w:sz w:val="24"/>
          <w:szCs w:val="24"/>
        </w:rPr>
        <w:t>．</w:t>
      </w:r>
      <w:bookmarkEnd w:id="680"/>
      <w:bookmarkEnd w:id="681"/>
      <w:bookmarkEnd w:id="682"/>
      <w:r>
        <w:rPr>
          <w:rFonts w:hint="eastAsia" w:ascii="宋体" w:hAnsi="宋体" w:cs="Arial"/>
          <w:b/>
          <w:kern w:val="0"/>
          <w:sz w:val="24"/>
          <w:szCs w:val="24"/>
        </w:rPr>
        <w:t>检验和测试</w:t>
      </w:r>
      <w:bookmarkEnd w:id="683"/>
      <w:bookmarkEnd w:id="684"/>
      <w:bookmarkEnd w:id="685"/>
      <w:bookmarkEnd w:id="686"/>
    </w:p>
    <w:p>
      <w:pPr>
        <w:widowControl/>
        <w:spacing w:after="120"/>
        <w:ind w:left="420" w:firstLine="482" w:firstLineChars="200"/>
        <w:rPr>
          <w:rFonts w:ascii="宋体" w:hAnsi="??" w:cs="Arial"/>
          <w:b/>
          <w:kern w:val="0"/>
          <w:sz w:val="24"/>
          <w:szCs w:val="24"/>
        </w:rPr>
      </w:pPr>
      <w:bookmarkStart w:id="687" w:name="_Toc375218829"/>
      <w:r>
        <w:rPr>
          <w:rFonts w:ascii="宋体" w:hAnsi="宋体" w:cs="Arial"/>
          <w:b/>
          <w:kern w:val="0"/>
          <w:sz w:val="24"/>
          <w:szCs w:val="24"/>
        </w:rPr>
        <w:t>10.2</w:t>
      </w:r>
      <w:r>
        <w:rPr>
          <w:rFonts w:hint="eastAsia" w:ascii="宋体" w:hAnsi="宋体" w:cs="Arial"/>
          <w:b/>
          <w:kern w:val="0"/>
          <w:sz w:val="24"/>
          <w:szCs w:val="24"/>
        </w:rPr>
        <w:t>检验和测试时间和地点</w:t>
      </w:r>
      <w:bookmarkEnd w:id="687"/>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检验和测试时间：</w:t>
      </w:r>
      <w:r>
        <w:rPr>
          <w:rFonts w:hint="eastAsia" w:ascii="宋体" w:hAnsi="宋体" w:cs="Arial"/>
          <w:kern w:val="0"/>
          <w:sz w:val="24"/>
          <w:szCs w:val="24"/>
          <w:u w:val="single"/>
        </w:rPr>
        <w:t>采购人不定期对产品质量进行抽检，检测费用由供货人承担。</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检验和测试地点：</w:t>
      </w:r>
      <w:r>
        <w:rPr>
          <w:rFonts w:hint="eastAsia" w:ascii="宋体" w:hAnsi="宋体" w:cs="Arial"/>
          <w:kern w:val="0"/>
          <w:sz w:val="24"/>
          <w:szCs w:val="24"/>
          <w:u w:val="single"/>
        </w:rPr>
        <w:t>委托相关专业专家组进行检测验收。</w:t>
      </w:r>
    </w:p>
    <w:p>
      <w:pPr>
        <w:widowControl/>
        <w:spacing w:after="120"/>
        <w:ind w:left="420" w:firstLine="482" w:firstLineChars="200"/>
        <w:rPr>
          <w:rFonts w:ascii="宋体" w:hAnsi="??" w:cs="Arial"/>
          <w:b/>
          <w:kern w:val="0"/>
          <w:sz w:val="24"/>
          <w:szCs w:val="24"/>
        </w:rPr>
      </w:pPr>
      <w:bookmarkStart w:id="688" w:name="_Toc375218830"/>
      <w:r>
        <w:rPr>
          <w:rFonts w:ascii="宋体" w:hAnsi="宋体" w:cs="Arial"/>
          <w:b/>
          <w:kern w:val="0"/>
          <w:sz w:val="24"/>
          <w:szCs w:val="24"/>
        </w:rPr>
        <w:t>10.7</w:t>
      </w:r>
      <w:r>
        <w:rPr>
          <w:rFonts w:hint="eastAsia" w:ascii="宋体" w:hAnsi="宋体" w:cs="Arial"/>
          <w:b/>
          <w:kern w:val="0"/>
          <w:sz w:val="24"/>
          <w:szCs w:val="24"/>
        </w:rPr>
        <w:t>其他检验和测试约定</w:t>
      </w:r>
      <w:bookmarkEnd w:id="688"/>
    </w:p>
    <w:p>
      <w:pPr>
        <w:widowControl/>
        <w:spacing w:after="120"/>
        <w:ind w:left="420" w:firstLine="480" w:firstLineChars="200"/>
        <w:rPr>
          <w:rFonts w:ascii="宋体" w:hAnsi="??" w:cs="Arial"/>
          <w:kern w:val="0"/>
          <w:sz w:val="24"/>
          <w:szCs w:val="24"/>
          <w:u w:val="single"/>
        </w:rPr>
      </w:pPr>
      <w:bookmarkStart w:id="689" w:name="_Toc381358685"/>
      <w:bookmarkStart w:id="690" w:name="_Toc218049027"/>
      <w:bookmarkStart w:id="691" w:name="_Toc375218831"/>
      <w:bookmarkStart w:id="692" w:name="_Toc256955777"/>
      <w:bookmarkStart w:id="693" w:name="_Toc255494574"/>
      <w:bookmarkStart w:id="694" w:name="_Toc217443426"/>
      <w:bookmarkStart w:id="695" w:name="_Toc218048847"/>
      <w:r>
        <w:rPr>
          <w:rFonts w:ascii="宋体" w:hAnsi="宋体" w:cs="Arial"/>
          <w:kern w:val="0"/>
          <w:sz w:val="24"/>
          <w:szCs w:val="24"/>
          <w:u w:val="single"/>
        </w:rPr>
        <w:t>___________    ___</w:t>
      </w:r>
    </w:p>
    <w:p>
      <w:pPr>
        <w:widowControl/>
        <w:spacing w:after="120"/>
        <w:ind w:left="420"/>
        <w:rPr>
          <w:rFonts w:ascii="宋体" w:hAnsi="??" w:cs="Arial"/>
          <w:b/>
          <w:kern w:val="0"/>
          <w:sz w:val="24"/>
          <w:szCs w:val="24"/>
        </w:rPr>
      </w:pPr>
      <w:r>
        <w:rPr>
          <w:rFonts w:ascii="宋体" w:hAnsi="宋体" w:cs="Arial"/>
          <w:b/>
          <w:kern w:val="0"/>
          <w:sz w:val="24"/>
          <w:szCs w:val="24"/>
        </w:rPr>
        <w:t>12</w:t>
      </w:r>
      <w:r>
        <w:rPr>
          <w:rFonts w:hint="eastAsia" w:ascii="宋体" w:hAnsi="宋体" w:cs="Arial"/>
          <w:b/>
          <w:kern w:val="0"/>
          <w:sz w:val="24"/>
          <w:szCs w:val="24"/>
        </w:rPr>
        <w:t>．合同价款</w:t>
      </w:r>
      <w:bookmarkEnd w:id="689"/>
      <w:bookmarkEnd w:id="690"/>
      <w:bookmarkEnd w:id="691"/>
      <w:bookmarkEnd w:id="692"/>
      <w:bookmarkEnd w:id="693"/>
      <w:bookmarkEnd w:id="694"/>
      <w:bookmarkEnd w:id="695"/>
    </w:p>
    <w:p>
      <w:pPr>
        <w:widowControl/>
        <w:spacing w:after="120"/>
        <w:ind w:left="420" w:firstLine="482" w:firstLineChars="200"/>
        <w:rPr>
          <w:rFonts w:ascii="宋体" w:hAnsi="??" w:cs="Arial"/>
          <w:b/>
          <w:kern w:val="0"/>
          <w:sz w:val="24"/>
          <w:szCs w:val="24"/>
        </w:rPr>
      </w:pPr>
      <w:bookmarkStart w:id="696" w:name="_Toc375218832"/>
      <w:r>
        <w:rPr>
          <w:rFonts w:ascii="宋体" w:hAnsi="宋体" w:cs="Arial"/>
          <w:b/>
          <w:kern w:val="0"/>
          <w:sz w:val="24"/>
          <w:szCs w:val="24"/>
        </w:rPr>
        <w:t>12.2</w:t>
      </w:r>
      <w:r>
        <w:rPr>
          <w:rFonts w:hint="eastAsia" w:ascii="宋体" w:hAnsi="宋体" w:cs="Arial"/>
          <w:b/>
          <w:kern w:val="0"/>
          <w:sz w:val="24"/>
          <w:szCs w:val="24"/>
        </w:rPr>
        <w:t>合同价款</w:t>
      </w:r>
      <w:bookmarkEnd w:id="696"/>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本供货合同采用的合同价款约定方式为：</w:t>
      </w:r>
      <w:bookmarkStart w:id="697" w:name="_Toc375218833"/>
      <w:r>
        <w:rPr>
          <w:rFonts w:ascii="宋体" w:hAnsi="宋体" w:cs="Arial"/>
          <w:kern w:val="0"/>
          <w:sz w:val="24"/>
          <w:szCs w:val="24"/>
          <w:u w:val="single"/>
        </w:rPr>
        <w:t>_</w:t>
      </w:r>
      <w:r>
        <w:rPr>
          <w:rFonts w:hint="eastAsia" w:ascii="宋体" w:hAnsi="宋体" w:cs="Arial"/>
          <w:kern w:val="0"/>
          <w:sz w:val="24"/>
          <w:szCs w:val="24"/>
          <w:u w:val="single"/>
        </w:rPr>
        <w:t>固定总价（在功能需求不做调整的前提下，合同价款不变）</w:t>
      </w:r>
      <w:r>
        <w:rPr>
          <w:rFonts w:ascii="宋体" w:hAnsi="宋体" w:cs="Arial"/>
          <w:kern w:val="0"/>
          <w:sz w:val="24"/>
          <w:szCs w:val="24"/>
          <w:u w:val="single"/>
        </w:rPr>
        <w:t>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12.3</w:t>
      </w:r>
      <w:r>
        <w:rPr>
          <w:rFonts w:hint="eastAsia" w:ascii="宋体" w:hAnsi="宋体" w:cs="Arial"/>
          <w:b/>
          <w:kern w:val="0"/>
          <w:sz w:val="24"/>
          <w:szCs w:val="24"/>
        </w:rPr>
        <w:t>合同价款的调整</w:t>
      </w:r>
      <w:bookmarkEnd w:id="697"/>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）其他调整因素及方法：</w:t>
      </w:r>
    </w:p>
    <w:p>
      <w:pPr>
        <w:widowControl/>
        <w:spacing w:after="120"/>
        <w:ind w:left="420" w:firstLine="480" w:firstLineChars="200"/>
        <w:rPr>
          <w:rFonts w:ascii="宋体" w:hAnsi="??" w:cs="Arial"/>
          <w:kern w:val="0"/>
          <w:sz w:val="24"/>
          <w:szCs w:val="24"/>
          <w:u w:val="single"/>
        </w:rPr>
      </w:pPr>
      <w:bookmarkStart w:id="698" w:name="_Toc256955778"/>
      <w:bookmarkStart w:id="699" w:name="_Toc375218834"/>
      <w:bookmarkStart w:id="700" w:name="_Toc217443427"/>
      <w:bookmarkStart w:id="701" w:name="_Toc255494575"/>
      <w:bookmarkStart w:id="702" w:name="_Toc218049028"/>
      <w:bookmarkStart w:id="703" w:name="_Toc381358686"/>
      <w:bookmarkStart w:id="704" w:name="_Toc218048848"/>
      <w:r>
        <w:rPr>
          <w:rFonts w:ascii="宋体" w:hAnsi="宋体" w:cs="Arial"/>
          <w:kern w:val="0"/>
          <w:sz w:val="24"/>
          <w:szCs w:val="24"/>
          <w:u w:val="single"/>
        </w:rPr>
        <w:t>_________</w:t>
      </w:r>
      <w:r>
        <w:rPr>
          <w:rFonts w:hint="eastAsia" w:ascii="宋体" w:hAnsi="宋体" w:cs="Arial"/>
          <w:kern w:val="0"/>
          <w:sz w:val="24"/>
          <w:szCs w:val="24"/>
          <w:u w:val="single"/>
        </w:rPr>
        <w:t>根据招标方采购数量变化进行调整</w:t>
      </w:r>
      <w:r>
        <w:rPr>
          <w:rFonts w:ascii="宋体" w:hAnsi="宋体" w:cs="Arial"/>
          <w:kern w:val="0"/>
          <w:sz w:val="24"/>
          <w:szCs w:val="24"/>
          <w:u w:val="single"/>
        </w:rPr>
        <w:t>__    ___</w:t>
      </w:r>
    </w:p>
    <w:p>
      <w:pPr>
        <w:widowControl/>
        <w:spacing w:after="120"/>
        <w:ind w:left="420"/>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．变更</w:t>
      </w:r>
      <w:bookmarkEnd w:id="698"/>
      <w:bookmarkEnd w:id="699"/>
      <w:bookmarkEnd w:id="700"/>
      <w:bookmarkEnd w:id="701"/>
      <w:bookmarkEnd w:id="702"/>
      <w:bookmarkEnd w:id="703"/>
      <w:bookmarkEnd w:id="704"/>
    </w:p>
    <w:p>
      <w:pPr>
        <w:widowControl/>
        <w:spacing w:after="120"/>
        <w:ind w:left="420" w:firstLine="482" w:firstLineChars="200"/>
        <w:rPr>
          <w:rFonts w:ascii="宋体" w:hAnsi="??" w:cs="Arial"/>
          <w:b/>
          <w:kern w:val="0"/>
          <w:sz w:val="24"/>
          <w:szCs w:val="24"/>
        </w:rPr>
      </w:pPr>
      <w:bookmarkStart w:id="705" w:name="_Toc375218835"/>
      <w:r>
        <w:rPr>
          <w:rFonts w:ascii="宋体" w:hAnsi="宋体" w:cs="Arial"/>
          <w:b/>
          <w:kern w:val="0"/>
          <w:sz w:val="24"/>
          <w:szCs w:val="24"/>
        </w:rPr>
        <w:t>13.1</w:t>
      </w:r>
      <w:r>
        <w:rPr>
          <w:rFonts w:hint="eastAsia" w:ascii="宋体" w:hAnsi="宋体" w:cs="Arial"/>
          <w:b/>
          <w:kern w:val="0"/>
          <w:sz w:val="24"/>
          <w:szCs w:val="24"/>
        </w:rPr>
        <w:t>变更</w:t>
      </w:r>
      <w:bookmarkEnd w:id="705"/>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(6) </w:t>
      </w:r>
      <w:r>
        <w:rPr>
          <w:rFonts w:hint="eastAsia" w:ascii="宋体" w:hAnsi="宋体" w:cs="Arial"/>
          <w:kern w:val="0"/>
          <w:sz w:val="24"/>
          <w:szCs w:val="24"/>
        </w:rPr>
        <w:t>其他指令要求：</w:t>
      </w:r>
      <w:bookmarkStart w:id="706" w:name="_Toc375218836"/>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13.4</w:t>
      </w:r>
      <w:r>
        <w:rPr>
          <w:rFonts w:hint="eastAsia" w:ascii="宋体" w:hAnsi="宋体" w:cs="Arial"/>
          <w:b/>
          <w:kern w:val="0"/>
          <w:sz w:val="24"/>
          <w:szCs w:val="24"/>
        </w:rPr>
        <w:t>供货人提出的合理化建议</w:t>
      </w:r>
      <w:bookmarkEnd w:id="706"/>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13.4.2</w:t>
      </w:r>
      <w:r>
        <w:rPr>
          <w:rFonts w:hint="eastAsia" w:ascii="宋体" w:hAnsi="宋体" w:cs="Arial"/>
          <w:kern w:val="0"/>
          <w:sz w:val="24"/>
          <w:szCs w:val="24"/>
        </w:rPr>
        <w:t>约定的比例：</w:t>
      </w:r>
      <w:bookmarkStart w:id="707" w:name="_Toc375218837"/>
      <w:r>
        <w:rPr>
          <w:rFonts w:ascii="宋体" w:hAnsi="宋体" w:cs="Arial"/>
          <w:kern w:val="0"/>
          <w:sz w:val="24"/>
          <w:szCs w:val="24"/>
          <w:u w:val="single"/>
        </w:rPr>
        <w:t>___________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13.5</w:t>
      </w:r>
      <w:r>
        <w:rPr>
          <w:rFonts w:hint="eastAsia" w:ascii="宋体" w:hAnsi="宋体" w:cs="Arial"/>
          <w:b/>
          <w:kern w:val="0"/>
          <w:sz w:val="24"/>
          <w:szCs w:val="24"/>
        </w:rPr>
        <w:t>其他要求</w:t>
      </w:r>
      <w:bookmarkEnd w:id="707"/>
    </w:p>
    <w:p>
      <w:pPr>
        <w:widowControl/>
        <w:spacing w:after="120"/>
        <w:ind w:left="420" w:firstLine="480" w:firstLineChars="200"/>
        <w:rPr>
          <w:rFonts w:ascii="宋体" w:hAnsi="宋体" w:cs="Arial"/>
          <w:kern w:val="0"/>
          <w:sz w:val="24"/>
          <w:szCs w:val="24"/>
          <w:u w:val="single"/>
        </w:rPr>
      </w:pPr>
      <w:bookmarkStart w:id="708" w:name="_Toc255494576"/>
      <w:bookmarkStart w:id="709" w:name="_Toc256955779"/>
      <w:bookmarkStart w:id="710" w:name="_Toc217443428"/>
      <w:bookmarkStart w:id="711" w:name="_Toc375218838"/>
      <w:bookmarkStart w:id="712" w:name="_Toc218049029"/>
      <w:bookmarkStart w:id="713" w:name="_Toc381358687"/>
      <w:bookmarkStart w:id="714" w:name="_Toc218048849"/>
      <w:r>
        <w:rPr>
          <w:rFonts w:ascii="宋体" w:hAnsi="宋体" w:cs="Arial"/>
          <w:kern w:val="0"/>
          <w:sz w:val="24"/>
          <w:szCs w:val="24"/>
          <w:u w:val="single"/>
        </w:rPr>
        <w:t>___________    ___                                          ______</w:t>
      </w:r>
    </w:p>
    <w:p>
      <w:pPr>
        <w:widowControl/>
        <w:spacing w:after="120"/>
        <w:ind w:left="420"/>
        <w:rPr>
          <w:rFonts w:ascii="宋体" w:hAnsi="??" w:cs="Arial"/>
          <w:b/>
          <w:kern w:val="0"/>
          <w:sz w:val="24"/>
          <w:szCs w:val="24"/>
        </w:rPr>
      </w:pPr>
      <w:r>
        <w:rPr>
          <w:rFonts w:ascii="宋体" w:hAnsi="宋体" w:cs="Arial"/>
          <w:b/>
          <w:kern w:val="0"/>
          <w:sz w:val="24"/>
          <w:szCs w:val="24"/>
        </w:rPr>
        <w:t>14.</w:t>
      </w:r>
      <w:r>
        <w:rPr>
          <w:rFonts w:hint="eastAsia" w:ascii="宋体" w:hAnsi="宋体" w:cs="Arial"/>
          <w:b/>
          <w:kern w:val="0"/>
          <w:sz w:val="24"/>
          <w:szCs w:val="24"/>
        </w:rPr>
        <w:t>变更的计价</w:t>
      </w:r>
      <w:bookmarkEnd w:id="708"/>
      <w:bookmarkEnd w:id="709"/>
      <w:bookmarkEnd w:id="710"/>
      <w:bookmarkEnd w:id="711"/>
      <w:bookmarkEnd w:id="712"/>
      <w:bookmarkEnd w:id="713"/>
      <w:bookmarkEnd w:id="714"/>
    </w:p>
    <w:p>
      <w:pPr>
        <w:widowControl/>
        <w:spacing w:after="120"/>
        <w:ind w:left="420" w:firstLine="482" w:firstLineChars="200"/>
        <w:rPr>
          <w:rFonts w:ascii="宋体" w:hAnsi="??" w:cs="Arial"/>
          <w:b/>
          <w:kern w:val="0"/>
          <w:sz w:val="24"/>
          <w:szCs w:val="24"/>
        </w:rPr>
      </w:pPr>
      <w:bookmarkStart w:id="715" w:name="_Toc375218839"/>
      <w:r>
        <w:rPr>
          <w:rFonts w:ascii="宋体" w:hAnsi="宋体" w:cs="Arial"/>
          <w:b/>
          <w:kern w:val="0"/>
          <w:sz w:val="24"/>
          <w:szCs w:val="24"/>
        </w:rPr>
        <w:t>14.1</w:t>
      </w:r>
      <w:r>
        <w:rPr>
          <w:rFonts w:hint="eastAsia" w:ascii="宋体" w:hAnsi="宋体" w:cs="Arial"/>
          <w:b/>
          <w:kern w:val="0"/>
          <w:sz w:val="24"/>
          <w:szCs w:val="24"/>
        </w:rPr>
        <w:t>变更的计价</w:t>
      </w:r>
      <w:bookmarkEnd w:id="715"/>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(4) </w:t>
      </w:r>
      <w:r>
        <w:rPr>
          <w:rFonts w:hint="eastAsia" w:ascii="宋体" w:hAnsi="宋体" w:cs="Arial"/>
          <w:kern w:val="0"/>
          <w:sz w:val="24"/>
          <w:szCs w:val="24"/>
        </w:rPr>
        <w:t>其他要求：</w:t>
      </w:r>
      <w:bookmarkStart w:id="716" w:name="_Toc375218840"/>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14.2</w:t>
      </w:r>
      <w:r>
        <w:rPr>
          <w:rFonts w:hint="eastAsia" w:ascii="宋体" w:hAnsi="宋体" w:cs="Arial"/>
          <w:b/>
          <w:kern w:val="0"/>
          <w:sz w:val="24"/>
          <w:szCs w:val="24"/>
        </w:rPr>
        <w:t>变更计价的程序</w:t>
      </w:r>
      <w:bookmarkEnd w:id="716"/>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14.2.1</w:t>
      </w:r>
      <w:r>
        <w:rPr>
          <w:rFonts w:hint="eastAsia" w:ascii="宋体" w:hAnsi="宋体" w:cs="Arial"/>
          <w:kern w:val="0"/>
          <w:sz w:val="24"/>
          <w:szCs w:val="24"/>
        </w:rPr>
        <w:t>供货人提出调整合同价申请及相关证明文件的时间：</w:t>
      </w:r>
      <w:r>
        <w:rPr>
          <w:rFonts w:ascii="宋体" w:hAnsi="宋体" w:cs="Arial"/>
          <w:kern w:val="0"/>
          <w:sz w:val="24"/>
          <w:szCs w:val="24"/>
          <w:u w:val="single"/>
        </w:rPr>
        <w:t>________ ______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采购人针对调整合同价款申请进行确认或提出协商意见的时间：</w:t>
      </w:r>
      <w:bookmarkStart w:id="717" w:name="_Toc375218841"/>
      <w:r>
        <w:rPr>
          <w:rFonts w:ascii="宋体" w:hAnsi="宋体" w:cs="Arial"/>
          <w:kern w:val="0"/>
          <w:sz w:val="24"/>
          <w:szCs w:val="24"/>
          <w:u w:val="single"/>
        </w:rPr>
        <w:t>_____ 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14.3</w:t>
      </w:r>
      <w:r>
        <w:rPr>
          <w:rFonts w:hint="eastAsia" w:ascii="宋体" w:hAnsi="宋体" w:cs="Arial"/>
          <w:b/>
          <w:kern w:val="0"/>
          <w:sz w:val="24"/>
          <w:szCs w:val="24"/>
        </w:rPr>
        <w:t>其他要求</w:t>
      </w:r>
      <w:bookmarkEnd w:id="717"/>
    </w:p>
    <w:p>
      <w:pPr>
        <w:widowControl/>
        <w:spacing w:after="120"/>
        <w:ind w:left="420" w:firstLine="480" w:firstLineChars="200"/>
        <w:rPr>
          <w:rFonts w:ascii="宋体" w:hAnsi="??" w:cs="Arial"/>
          <w:kern w:val="0"/>
          <w:sz w:val="24"/>
          <w:szCs w:val="24"/>
          <w:u w:val="single"/>
        </w:rPr>
      </w:pPr>
      <w:bookmarkStart w:id="718" w:name="_Toc217443429"/>
      <w:bookmarkStart w:id="719" w:name="_Toc256955780"/>
      <w:bookmarkStart w:id="720" w:name="_Toc218048850"/>
      <w:bookmarkStart w:id="721" w:name="_Toc375218842"/>
      <w:bookmarkStart w:id="722" w:name="_Toc218049030"/>
      <w:bookmarkStart w:id="723" w:name="_Toc255494577"/>
      <w:bookmarkStart w:id="724" w:name="_Toc381358688"/>
      <w:r>
        <w:rPr>
          <w:rFonts w:ascii="宋体" w:hAnsi="宋体" w:cs="Arial"/>
          <w:kern w:val="0"/>
          <w:sz w:val="24"/>
          <w:szCs w:val="24"/>
          <w:u w:val="single"/>
        </w:rPr>
        <w:t>___________    ___</w:t>
      </w:r>
    </w:p>
    <w:p>
      <w:pPr>
        <w:widowControl/>
        <w:spacing w:after="120"/>
        <w:ind w:left="420"/>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．支付</w:t>
      </w:r>
      <w:bookmarkEnd w:id="718"/>
      <w:bookmarkEnd w:id="719"/>
      <w:bookmarkEnd w:id="720"/>
      <w:bookmarkEnd w:id="721"/>
      <w:bookmarkEnd w:id="722"/>
      <w:bookmarkEnd w:id="723"/>
      <w:bookmarkEnd w:id="724"/>
    </w:p>
    <w:p>
      <w:pPr>
        <w:widowControl/>
        <w:spacing w:after="120"/>
        <w:ind w:left="420" w:firstLine="482" w:firstLineChars="200"/>
        <w:rPr>
          <w:rFonts w:ascii="宋体" w:hAnsi="宋体" w:cs="Arial"/>
          <w:b/>
          <w:kern w:val="0"/>
          <w:sz w:val="24"/>
          <w:szCs w:val="24"/>
        </w:rPr>
      </w:pPr>
      <w:bookmarkStart w:id="725" w:name="_Toc375218843"/>
      <w:r>
        <w:rPr>
          <w:rFonts w:ascii="宋体" w:hAnsi="宋体" w:cs="Arial"/>
          <w:b/>
          <w:kern w:val="0"/>
          <w:sz w:val="24"/>
          <w:szCs w:val="24"/>
        </w:rPr>
        <w:t>15.</w:t>
      </w:r>
      <w:bookmarkEnd w:id="725"/>
      <w:r>
        <w:rPr>
          <w:rFonts w:ascii="宋体" w:hAnsi="宋体" w:cs="Arial"/>
          <w:b/>
          <w:kern w:val="0"/>
          <w:sz w:val="24"/>
          <w:szCs w:val="24"/>
        </w:rPr>
        <w:t>1</w:t>
      </w:r>
      <w:r>
        <w:rPr>
          <w:rFonts w:hint="eastAsia" w:ascii="宋体" w:hAnsi="宋体" w:cs="Arial"/>
          <w:b/>
          <w:kern w:val="0"/>
          <w:sz w:val="24"/>
          <w:szCs w:val="24"/>
        </w:rPr>
        <w:t>付款方式</w:t>
      </w:r>
    </w:p>
    <w:p>
      <w:pPr>
        <w:widowControl/>
        <w:spacing w:after="120"/>
        <w:ind w:left="420"/>
        <w:rPr>
          <w:rFonts w:ascii="宋体" w:hAnsi="宋体" w:cs="Arial"/>
          <w:b/>
          <w:kern w:val="0"/>
          <w:sz w:val="24"/>
          <w:szCs w:val="24"/>
        </w:rPr>
      </w:pPr>
      <w:bookmarkStart w:id="726" w:name="_Toc375218845"/>
      <w:r>
        <w:rPr>
          <w:rFonts w:ascii="宋体" w:hAnsi="宋体" w:cs="Arial"/>
          <w:b/>
          <w:kern w:val="0"/>
          <w:sz w:val="24"/>
          <w:szCs w:val="24"/>
        </w:rPr>
        <w:t>15.</w:t>
      </w:r>
      <w:r>
        <w:rPr>
          <w:rFonts w:hint="eastAsia" w:ascii="宋体" w:hAnsi="宋体" w:cs="Arial"/>
          <w:b/>
          <w:kern w:val="0"/>
          <w:sz w:val="24"/>
          <w:szCs w:val="24"/>
        </w:rPr>
        <w:t>1</w:t>
      </w:r>
      <w:r>
        <w:rPr>
          <w:rFonts w:ascii="宋体" w:hAnsi="宋体" w:cs="Arial"/>
          <w:b/>
          <w:kern w:val="0"/>
          <w:sz w:val="24"/>
          <w:szCs w:val="24"/>
        </w:rPr>
        <w:t>.</w:t>
      </w:r>
      <w:r>
        <w:rPr>
          <w:rFonts w:hint="eastAsia" w:ascii="宋体" w:hAnsi="宋体" w:cs="Arial"/>
          <w:b/>
          <w:kern w:val="0"/>
          <w:sz w:val="24"/>
          <w:szCs w:val="24"/>
        </w:rPr>
        <w:t>1合同签订后，施工进场后15个工作日内支付合同总价的30%，作为预付款。</w:t>
      </w:r>
    </w:p>
    <w:p>
      <w:pPr>
        <w:widowControl/>
        <w:spacing w:after="120"/>
        <w:ind w:left="420"/>
        <w:rPr>
          <w:rFonts w:ascii="宋体" w:hAnsi="宋体" w:cs="Arial"/>
          <w:b/>
          <w:kern w:val="0"/>
          <w:sz w:val="24"/>
          <w:szCs w:val="24"/>
        </w:rPr>
      </w:pPr>
      <w:r>
        <w:rPr>
          <w:rFonts w:ascii="宋体" w:hAnsi="宋体" w:cs="Arial"/>
          <w:b/>
          <w:kern w:val="0"/>
          <w:sz w:val="24"/>
          <w:szCs w:val="24"/>
        </w:rPr>
        <w:t>15.</w:t>
      </w:r>
      <w:r>
        <w:rPr>
          <w:rFonts w:hint="eastAsia" w:ascii="宋体" w:hAnsi="宋体" w:cs="Arial"/>
          <w:b/>
          <w:kern w:val="0"/>
          <w:sz w:val="24"/>
          <w:szCs w:val="24"/>
        </w:rPr>
        <w:t>1</w:t>
      </w:r>
      <w:r>
        <w:rPr>
          <w:rFonts w:ascii="宋体" w:hAnsi="宋体" w:cs="Arial"/>
          <w:b/>
          <w:kern w:val="0"/>
          <w:sz w:val="24"/>
          <w:szCs w:val="24"/>
        </w:rPr>
        <w:t>.</w:t>
      </w:r>
      <w:r>
        <w:rPr>
          <w:rFonts w:hint="eastAsia" w:ascii="宋体" w:hAnsi="宋体" w:cs="Arial"/>
          <w:b/>
          <w:kern w:val="0"/>
          <w:sz w:val="24"/>
          <w:szCs w:val="24"/>
        </w:rPr>
        <w:t>2产品安装调试验收合格移交使用单位后支付至合同总价的95</w:t>
      </w:r>
      <w:r>
        <w:rPr>
          <w:rFonts w:ascii="宋体" w:hAnsi="宋体" w:cs="Arial"/>
          <w:b/>
          <w:kern w:val="0"/>
          <w:sz w:val="24"/>
          <w:szCs w:val="24"/>
        </w:rPr>
        <w:t>%</w:t>
      </w:r>
      <w:r>
        <w:rPr>
          <w:rFonts w:hint="eastAsia" w:ascii="宋体" w:hAnsi="宋体" w:cs="Arial"/>
          <w:b/>
          <w:kern w:val="0"/>
          <w:sz w:val="24"/>
          <w:szCs w:val="24"/>
        </w:rPr>
        <w:t>。</w:t>
      </w:r>
    </w:p>
    <w:p>
      <w:pPr>
        <w:widowControl/>
        <w:spacing w:after="120"/>
        <w:ind w:left="420"/>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1</w:t>
      </w:r>
      <w:r>
        <w:rPr>
          <w:rFonts w:ascii="宋体" w:hAnsi="宋体" w:cs="Arial"/>
          <w:b/>
          <w:kern w:val="0"/>
          <w:sz w:val="24"/>
          <w:szCs w:val="24"/>
        </w:rPr>
        <w:t>.</w:t>
      </w:r>
      <w:r>
        <w:rPr>
          <w:rFonts w:hint="eastAsia" w:ascii="宋体" w:hAnsi="宋体" w:cs="Arial"/>
          <w:b/>
          <w:kern w:val="0"/>
          <w:sz w:val="24"/>
          <w:szCs w:val="24"/>
        </w:rPr>
        <w:t>3留合同总价款的5％作为质量保证金，质保期满三年且使用单位确认无质量问题后一次性无息付清。</w:t>
      </w:r>
    </w:p>
    <w:p>
      <w:pPr>
        <w:widowControl/>
        <w:spacing w:after="120"/>
        <w:ind w:left="420"/>
        <w:rPr>
          <w:rFonts w:ascii="宋体" w:hAnsi="宋体" w:cs="Arial"/>
          <w:bCs/>
          <w:kern w:val="0"/>
          <w:sz w:val="24"/>
          <w:szCs w:val="24"/>
        </w:rPr>
      </w:pPr>
      <w:r>
        <w:rPr>
          <w:rFonts w:ascii="宋体" w:hAnsi="宋体" w:cs="Arial"/>
          <w:bCs/>
          <w:kern w:val="0"/>
          <w:sz w:val="24"/>
          <w:szCs w:val="24"/>
        </w:rPr>
        <w:t>15.</w:t>
      </w:r>
      <w:r>
        <w:rPr>
          <w:rFonts w:hint="eastAsia" w:ascii="宋体" w:hAnsi="宋体" w:cs="Arial"/>
          <w:bCs/>
          <w:kern w:val="0"/>
          <w:sz w:val="24"/>
          <w:szCs w:val="24"/>
        </w:rPr>
        <w:t>1</w:t>
      </w:r>
      <w:r>
        <w:rPr>
          <w:rFonts w:ascii="宋体" w:hAnsi="宋体" w:cs="Arial"/>
          <w:bCs/>
          <w:kern w:val="0"/>
          <w:sz w:val="24"/>
          <w:szCs w:val="24"/>
        </w:rPr>
        <w:t>.</w:t>
      </w:r>
      <w:r>
        <w:rPr>
          <w:rFonts w:hint="eastAsia" w:ascii="宋体" w:hAnsi="宋体" w:cs="Arial"/>
          <w:bCs/>
          <w:kern w:val="0"/>
          <w:sz w:val="24"/>
          <w:szCs w:val="24"/>
        </w:rPr>
        <w:t>4 采购人采用电汇方式向中标人支付货款。</w:t>
      </w:r>
    </w:p>
    <w:p>
      <w:pPr>
        <w:widowControl/>
        <w:spacing w:after="120"/>
        <w:ind w:left="420"/>
        <w:rPr>
          <w:rFonts w:ascii="宋体" w:hAnsi="??" w:cs="Arial"/>
          <w:bCs/>
          <w:kern w:val="0"/>
          <w:sz w:val="24"/>
          <w:szCs w:val="24"/>
        </w:rPr>
      </w:pPr>
      <w:r>
        <w:rPr>
          <w:rFonts w:hint="eastAsia" w:ascii="宋体" w:hAnsi="宋体" w:cs="Arial"/>
          <w:bCs/>
          <w:kern w:val="0"/>
          <w:sz w:val="24"/>
          <w:szCs w:val="24"/>
        </w:rPr>
        <w:t>15.1.5 每次付款前须提供等额有效的增值税普通发票。</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15.2</w:t>
      </w:r>
      <w:r>
        <w:rPr>
          <w:rFonts w:hint="eastAsia" w:ascii="宋体" w:hAnsi="宋体" w:cs="Arial"/>
          <w:b/>
          <w:kern w:val="0"/>
          <w:sz w:val="24"/>
          <w:szCs w:val="24"/>
        </w:rPr>
        <w:t>质量保证金</w:t>
      </w:r>
      <w:bookmarkEnd w:id="726"/>
    </w:p>
    <w:p>
      <w:pPr>
        <w:widowControl/>
        <w:spacing w:after="120"/>
        <w:ind w:left="420" w:firstLine="480" w:firstLineChars="200"/>
        <w:rPr>
          <w:rFonts w:ascii="宋体" w:hAnsi="??" w:cs="Arial"/>
          <w:kern w:val="0"/>
          <w:sz w:val="24"/>
          <w:szCs w:val="24"/>
        </w:rPr>
      </w:pPr>
      <w:r>
        <w:rPr>
          <w:rFonts w:ascii="宋体" w:hAnsi="宋体" w:cs="Arial"/>
          <w:kern w:val="0"/>
          <w:sz w:val="24"/>
          <w:szCs w:val="24"/>
        </w:rPr>
        <w:t>15.2.1</w:t>
      </w:r>
      <w:r>
        <w:rPr>
          <w:rFonts w:hint="eastAsia" w:ascii="宋体" w:hAnsi="宋体" w:cs="Arial"/>
          <w:kern w:val="0"/>
          <w:sz w:val="24"/>
          <w:szCs w:val="24"/>
        </w:rPr>
        <w:t>质量保证金：</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）质量保证金的额度：</w:t>
      </w:r>
      <w:r>
        <w:rPr>
          <w:rFonts w:ascii="宋体" w:hAnsi="宋体" w:cs="Arial"/>
          <w:kern w:val="0"/>
          <w:sz w:val="24"/>
          <w:szCs w:val="24"/>
          <w:u w:val="single"/>
        </w:rPr>
        <w:t>___________</w:t>
      </w:r>
      <w:r>
        <w:rPr>
          <w:rFonts w:hint="eastAsia" w:ascii="宋体" w:hAnsi="宋体" w:cs="Arial"/>
          <w:bCs/>
          <w:kern w:val="0"/>
          <w:sz w:val="24"/>
          <w:szCs w:val="24"/>
          <w:u w:val="single"/>
        </w:rPr>
        <w:t>总价款的5％</w:t>
      </w:r>
      <w:r>
        <w:rPr>
          <w:rFonts w:ascii="宋体" w:hAnsi="宋体" w:cs="Arial"/>
          <w:kern w:val="0"/>
          <w:sz w:val="24"/>
          <w:szCs w:val="24"/>
          <w:u w:val="single"/>
        </w:rPr>
        <w:t xml:space="preserve">            ______</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）质量保证金的支付时间：</w:t>
      </w:r>
      <w:r>
        <w:rPr>
          <w:rFonts w:ascii="宋体" w:hAnsi="宋体" w:cs="Arial"/>
          <w:kern w:val="0"/>
          <w:sz w:val="24"/>
          <w:szCs w:val="24"/>
          <w:u w:val="single"/>
        </w:rPr>
        <w:t>______________/                 _______</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）质量保证金的支付方式</w:t>
      </w:r>
      <w:r>
        <w:rPr>
          <w:rFonts w:ascii="宋体" w:hAnsi="宋体" w:cs="Arial"/>
          <w:kern w:val="0"/>
          <w:sz w:val="24"/>
          <w:szCs w:val="24"/>
        </w:rPr>
        <w:t>:</w:t>
      </w:r>
      <w:r>
        <w:rPr>
          <w:rFonts w:ascii="宋体" w:hAnsi="宋体" w:cs="Arial"/>
          <w:kern w:val="0"/>
          <w:sz w:val="24"/>
          <w:szCs w:val="24"/>
          <w:u w:val="single"/>
        </w:rPr>
        <w:t xml:space="preserve"> ______________/               __ ______</w:t>
      </w:r>
    </w:p>
    <w:p>
      <w:pPr>
        <w:widowControl/>
        <w:spacing w:after="120"/>
        <w:ind w:left="420"/>
        <w:rPr>
          <w:rFonts w:ascii="宋体" w:hAnsi="宋体" w:cs="Arial"/>
          <w:b/>
          <w:kern w:val="0"/>
          <w:sz w:val="24"/>
          <w:szCs w:val="24"/>
        </w:rPr>
      </w:pPr>
      <w:bookmarkStart w:id="727" w:name="_Toc218048851"/>
      <w:bookmarkStart w:id="728" w:name="_Toc218049031"/>
      <w:bookmarkStart w:id="729" w:name="_Toc217443430"/>
      <w:bookmarkStart w:id="730" w:name="_Toc255494578"/>
      <w:bookmarkStart w:id="731" w:name="_Toc381358689"/>
      <w:bookmarkStart w:id="732" w:name="_Toc256955781"/>
      <w:bookmarkStart w:id="733" w:name="_Toc375218847"/>
      <w:r>
        <w:rPr>
          <w:rFonts w:ascii="宋体" w:hAnsi="宋体" w:cs="Arial"/>
          <w:b/>
          <w:kern w:val="0"/>
          <w:sz w:val="24"/>
          <w:szCs w:val="24"/>
        </w:rPr>
        <w:t>16</w:t>
      </w:r>
      <w:r>
        <w:rPr>
          <w:rFonts w:hint="eastAsia" w:ascii="宋体" w:hAnsi="宋体" w:cs="Arial"/>
          <w:b/>
          <w:kern w:val="0"/>
          <w:sz w:val="24"/>
          <w:szCs w:val="24"/>
        </w:rPr>
        <w:t>．</w:t>
      </w:r>
      <w:bookmarkEnd w:id="727"/>
      <w:bookmarkEnd w:id="728"/>
      <w:bookmarkEnd w:id="729"/>
      <w:r>
        <w:rPr>
          <w:rFonts w:hint="eastAsia" w:ascii="宋体" w:hAnsi="宋体" w:cs="Arial"/>
          <w:b/>
          <w:kern w:val="0"/>
          <w:sz w:val="24"/>
          <w:szCs w:val="24"/>
        </w:rPr>
        <w:t>质量保证</w:t>
      </w:r>
      <w:bookmarkEnd w:id="730"/>
      <w:bookmarkEnd w:id="731"/>
      <w:bookmarkEnd w:id="732"/>
      <w:bookmarkEnd w:id="733"/>
    </w:p>
    <w:p>
      <w:pPr>
        <w:widowControl/>
        <w:spacing w:after="120"/>
        <w:ind w:left="420" w:firstLine="482" w:firstLineChars="200"/>
        <w:rPr>
          <w:rFonts w:ascii="宋体" w:hAnsi="??" w:cs="Arial"/>
          <w:b/>
          <w:kern w:val="0"/>
          <w:sz w:val="24"/>
          <w:szCs w:val="24"/>
        </w:rPr>
      </w:pPr>
      <w:bookmarkStart w:id="734" w:name="_Toc375218848"/>
      <w:r>
        <w:rPr>
          <w:rFonts w:ascii="宋体" w:hAnsi="宋体" w:cs="Arial"/>
          <w:b/>
          <w:kern w:val="0"/>
          <w:sz w:val="24"/>
          <w:szCs w:val="24"/>
        </w:rPr>
        <w:t>16.1</w:t>
      </w:r>
      <w:r>
        <w:rPr>
          <w:rFonts w:hint="eastAsia" w:ascii="宋体" w:hAnsi="宋体" w:cs="Arial"/>
          <w:b/>
          <w:kern w:val="0"/>
          <w:sz w:val="24"/>
          <w:szCs w:val="24"/>
        </w:rPr>
        <w:t>正常质量保证期</w:t>
      </w:r>
      <w:bookmarkEnd w:id="734"/>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16.1.1</w:t>
      </w:r>
      <w:r>
        <w:rPr>
          <w:rFonts w:hint="eastAsia" w:ascii="宋体" w:hAnsi="宋体" w:cs="Arial"/>
          <w:kern w:val="0"/>
          <w:sz w:val="24"/>
          <w:szCs w:val="24"/>
        </w:rPr>
        <w:t>正常质量保证期的期限：</w:t>
      </w:r>
      <w:r>
        <w:rPr>
          <w:rFonts w:hint="eastAsia" w:ascii="宋体" w:hAnsi="宋体" w:cs="Arial"/>
          <w:kern w:val="0"/>
          <w:sz w:val="24"/>
          <w:szCs w:val="24"/>
          <w:u w:val="single"/>
        </w:rPr>
        <w:t xml:space="preserve">    三年     </w:t>
      </w:r>
      <w:bookmarkStart w:id="735" w:name="_Toc375218849"/>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16.2</w:t>
      </w:r>
      <w:r>
        <w:rPr>
          <w:rFonts w:hint="eastAsia" w:ascii="宋体" w:hAnsi="宋体" w:cs="Arial"/>
          <w:b/>
          <w:kern w:val="0"/>
          <w:sz w:val="24"/>
          <w:szCs w:val="24"/>
        </w:rPr>
        <w:t>质量保证延长期</w:t>
      </w:r>
      <w:bookmarkEnd w:id="735"/>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具体要求：</w:t>
      </w:r>
      <w:r>
        <w:rPr>
          <w:rFonts w:ascii="宋体" w:hAnsi="宋体" w:cs="Arial"/>
          <w:kern w:val="0"/>
          <w:sz w:val="24"/>
          <w:szCs w:val="24"/>
          <w:u w:val="single"/>
        </w:rPr>
        <w:t>______________/                             _____      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16.3 </w:t>
      </w:r>
      <w:r>
        <w:rPr>
          <w:rFonts w:hint="eastAsia" w:ascii="宋体" w:hAnsi="宋体" w:cs="Arial"/>
          <w:kern w:val="0"/>
          <w:sz w:val="24"/>
          <w:szCs w:val="24"/>
        </w:rPr>
        <w:t>供货人收到通知后进行免费维修或更换有缺陷的货物的时间：</w:t>
      </w:r>
      <w:bookmarkStart w:id="736" w:name="_Toc256955782"/>
      <w:bookmarkStart w:id="737" w:name="_Toc381358690"/>
      <w:bookmarkStart w:id="738" w:name="_Toc375218850"/>
      <w:bookmarkStart w:id="739" w:name="_Toc218048852"/>
      <w:bookmarkStart w:id="740" w:name="_Toc218049032"/>
      <w:bookmarkStart w:id="741" w:name="_Toc255494579"/>
      <w:bookmarkStart w:id="742" w:name="_Toc217443431"/>
      <w:r>
        <w:rPr>
          <w:rFonts w:ascii="宋体" w:hAnsi="宋体" w:cs="Arial"/>
          <w:kern w:val="0"/>
          <w:sz w:val="24"/>
          <w:szCs w:val="24"/>
          <w:u w:val="single"/>
        </w:rPr>
        <w:t>_</w:t>
      </w:r>
      <w:r>
        <w:rPr>
          <w:rFonts w:hint="eastAsia" w:ascii="宋体" w:hAnsi="宋体" w:cs="Arial"/>
          <w:kern w:val="0"/>
          <w:sz w:val="24"/>
          <w:szCs w:val="24"/>
          <w:u w:val="single"/>
        </w:rPr>
        <w:t>24小时</w:t>
      </w:r>
      <w:r>
        <w:rPr>
          <w:rFonts w:ascii="宋体" w:hAnsi="宋体" w:cs="Arial"/>
          <w:kern w:val="0"/>
          <w:sz w:val="24"/>
          <w:szCs w:val="24"/>
          <w:u w:val="single"/>
        </w:rPr>
        <w:t>_</w:t>
      </w:r>
    </w:p>
    <w:p>
      <w:pPr>
        <w:widowControl/>
        <w:spacing w:after="120"/>
        <w:ind w:left="420"/>
        <w:rPr>
          <w:rFonts w:ascii="宋体" w:hAnsi="??" w:cs="Arial"/>
          <w:b/>
          <w:kern w:val="0"/>
          <w:sz w:val="24"/>
          <w:szCs w:val="24"/>
        </w:rPr>
      </w:pPr>
      <w:r>
        <w:rPr>
          <w:rFonts w:ascii="宋体" w:hAnsi="宋体" w:cs="Arial"/>
          <w:b/>
          <w:kern w:val="0"/>
          <w:sz w:val="24"/>
          <w:szCs w:val="24"/>
        </w:rPr>
        <w:t>17.</w:t>
      </w:r>
      <w:r>
        <w:rPr>
          <w:rFonts w:hint="eastAsia" w:ascii="宋体" w:hAnsi="宋体" w:cs="Arial"/>
          <w:b/>
          <w:kern w:val="0"/>
          <w:sz w:val="24"/>
          <w:szCs w:val="24"/>
        </w:rPr>
        <w:t>违约</w:t>
      </w:r>
      <w:bookmarkEnd w:id="736"/>
      <w:bookmarkEnd w:id="737"/>
      <w:bookmarkEnd w:id="738"/>
    </w:p>
    <w:p>
      <w:pPr>
        <w:widowControl/>
        <w:spacing w:after="120"/>
        <w:ind w:left="420" w:firstLine="482" w:firstLineChars="200"/>
        <w:rPr>
          <w:rFonts w:ascii="宋体" w:hAnsi="??" w:cs="Arial"/>
          <w:b/>
          <w:kern w:val="0"/>
          <w:sz w:val="24"/>
          <w:szCs w:val="24"/>
        </w:rPr>
      </w:pPr>
      <w:bookmarkStart w:id="743" w:name="_Toc375218851"/>
      <w:r>
        <w:rPr>
          <w:rFonts w:ascii="宋体" w:hAnsi="宋体" w:cs="Arial"/>
          <w:b/>
          <w:kern w:val="0"/>
          <w:sz w:val="24"/>
          <w:szCs w:val="24"/>
        </w:rPr>
        <w:t>17.1</w:t>
      </w:r>
      <w:r>
        <w:rPr>
          <w:rFonts w:hint="eastAsia" w:ascii="宋体" w:hAnsi="宋体" w:cs="Arial"/>
          <w:b/>
          <w:kern w:val="0"/>
          <w:sz w:val="24"/>
          <w:szCs w:val="24"/>
        </w:rPr>
        <w:t>采购人违约</w:t>
      </w:r>
      <w:bookmarkEnd w:id="743"/>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17.1.1.4</w:t>
      </w:r>
      <w:r>
        <w:rPr>
          <w:rFonts w:hint="eastAsia" w:ascii="宋体" w:hAnsi="宋体" w:cs="Arial"/>
          <w:kern w:val="0"/>
          <w:sz w:val="24"/>
          <w:szCs w:val="24"/>
        </w:rPr>
        <w:t>采购人未按合同约定支付相应款项，供货人有权暂停本供应项目或减缓供货的时限</w:t>
      </w:r>
      <w:r>
        <w:rPr>
          <w:rFonts w:ascii="宋体" w:hAnsi="宋体" w:cs="Arial"/>
          <w:kern w:val="0"/>
          <w:sz w:val="24"/>
          <w:szCs w:val="24"/>
        </w:rPr>
        <w:t>:</w:t>
      </w:r>
      <w:r>
        <w:rPr>
          <w:rFonts w:ascii="宋体" w:hAnsi="宋体" w:cs="Arial"/>
          <w:kern w:val="0"/>
          <w:sz w:val="24"/>
          <w:szCs w:val="24"/>
          <w:u w:val="single"/>
        </w:rPr>
        <w:t xml:space="preserve">/  </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17.1.2</w:t>
      </w:r>
      <w:r>
        <w:rPr>
          <w:rFonts w:hint="eastAsia" w:ascii="宋体" w:hAnsi="宋体" w:cs="Arial"/>
          <w:kern w:val="0"/>
          <w:sz w:val="24"/>
          <w:szCs w:val="24"/>
        </w:rPr>
        <w:t>供货人有权解除合同</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）采购人未按合同约定支付相应款项，供货人有权解除本供应项目的时限：</w:t>
      </w:r>
      <w:r>
        <w:rPr>
          <w:rFonts w:ascii="宋体" w:hAnsi="宋体" w:cs="Arial"/>
          <w:kern w:val="0"/>
          <w:sz w:val="24"/>
          <w:szCs w:val="24"/>
          <w:u w:val="single"/>
        </w:rPr>
        <w:t>_</w:t>
      </w:r>
      <w:r>
        <w:rPr>
          <w:rFonts w:hint="eastAsia" w:ascii="宋体" w:hAnsi="宋体" w:cs="Arial"/>
          <w:kern w:val="0"/>
          <w:sz w:val="24"/>
          <w:szCs w:val="24"/>
          <w:u w:val="single"/>
        </w:rPr>
        <w:t>自本合同约定的付款条件成就，且收到付款申请之日起6个月</w:t>
      </w:r>
    </w:p>
    <w:p>
      <w:pPr>
        <w:widowControl/>
        <w:spacing w:after="120"/>
        <w:ind w:left="420"/>
        <w:rPr>
          <w:rFonts w:ascii="宋体" w:hAnsi="??" w:cs="Arial"/>
          <w:b/>
          <w:kern w:val="0"/>
          <w:sz w:val="24"/>
          <w:szCs w:val="24"/>
        </w:rPr>
      </w:pPr>
      <w:bookmarkStart w:id="744" w:name="_Toc256955783"/>
      <w:bookmarkStart w:id="745" w:name="_Toc375218852"/>
      <w:bookmarkStart w:id="746" w:name="_Toc381358691"/>
      <w:r>
        <w:rPr>
          <w:rFonts w:ascii="宋体" w:hAnsi="宋体" w:cs="Arial"/>
          <w:b/>
          <w:kern w:val="0"/>
          <w:sz w:val="24"/>
          <w:szCs w:val="24"/>
        </w:rPr>
        <w:t>18.</w:t>
      </w:r>
      <w:r>
        <w:rPr>
          <w:rFonts w:hint="eastAsia" w:ascii="宋体" w:hAnsi="宋体" w:cs="Arial"/>
          <w:b/>
          <w:kern w:val="0"/>
          <w:sz w:val="24"/>
          <w:szCs w:val="24"/>
        </w:rPr>
        <w:t>索赔</w:t>
      </w:r>
      <w:bookmarkEnd w:id="744"/>
      <w:bookmarkEnd w:id="745"/>
      <w:bookmarkEnd w:id="746"/>
    </w:p>
    <w:p>
      <w:pPr>
        <w:widowControl/>
        <w:spacing w:after="120"/>
        <w:ind w:left="420" w:firstLine="482" w:firstLineChars="200"/>
        <w:rPr>
          <w:rFonts w:ascii="宋体" w:hAnsi="??" w:cs="Arial"/>
          <w:b/>
          <w:kern w:val="0"/>
          <w:sz w:val="24"/>
          <w:szCs w:val="24"/>
        </w:rPr>
      </w:pPr>
      <w:bookmarkStart w:id="747" w:name="_Toc375218853"/>
      <w:r>
        <w:rPr>
          <w:rFonts w:ascii="宋体" w:hAnsi="宋体" w:cs="Arial"/>
          <w:b/>
          <w:kern w:val="0"/>
          <w:sz w:val="24"/>
          <w:szCs w:val="24"/>
        </w:rPr>
        <w:t>18.1</w:t>
      </w:r>
      <w:r>
        <w:rPr>
          <w:rFonts w:hint="eastAsia" w:ascii="宋体" w:hAnsi="宋体" w:cs="Arial"/>
          <w:b/>
          <w:kern w:val="0"/>
          <w:sz w:val="24"/>
          <w:szCs w:val="24"/>
        </w:rPr>
        <w:t>供货人索赔</w:t>
      </w:r>
      <w:bookmarkEnd w:id="747"/>
    </w:p>
    <w:p>
      <w:pPr>
        <w:widowControl/>
        <w:spacing w:after="120"/>
        <w:ind w:left="420" w:firstLine="480" w:firstLineChars="200"/>
        <w:rPr>
          <w:rFonts w:ascii="宋体" w:hAnsi="??" w:cs="Arial"/>
          <w:kern w:val="0"/>
          <w:sz w:val="24"/>
          <w:szCs w:val="24"/>
        </w:rPr>
      </w:pPr>
      <w:r>
        <w:rPr>
          <w:rFonts w:ascii="宋体" w:hAnsi="宋体" w:cs="Arial"/>
          <w:kern w:val="0"/>
          <w:sz w:val="24"/>
          <w:szCs w:val="24"/>
        </w:rPr>
        <w:t>18.1.2</w:t>
      </w:r>
      <w:r>
        <w:rPr>
          <w:rFonts w:hint="eastAsia" w:ascii="宋体" w:hAnsi="宋体" w:cs="Arial"/>
          <w:kern w:val="0"/>
          <w:sz w:val="24"/>
          <w:szCs w:val="24"/>
        </w:rPr>
        <w:t>供货人索赔的提出：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）供货人向采购人提交索赔报告的时间：</w:t>
      </w:r>
      <w:r>
        <w:rPr>
          <w:rFonts w:ascii="宋体" w:hAnsi="宋体" w:cs="Arial"/>
          <w:kern w:val="0"/>
          <w:sz w:val="24"/>
          <w:szCs w:val="24"/>
          <w:u w:val="single"/>
        </w:rPr>
        <w:t>____</w:t>
      </w:r>
      <w:r>
        <w:rPr>
          <w:rFonts w:hint="eastAsia" w:ascii="宋体" w:hAnsi="宋体" w:cs="Arial"/>
          <w:kern w:val="0"/>
          <w:sz w:val="24"/>
          <w:szCs w:val="24"/>
          <w:u w:val="single"/>
        </w:rPr>
        <w:t>7日</w:t>
      </w:r>
      <w:r>
        <w:rPr>
          <w:rFonts w:ascii="宋体" w:hAnsi="宋体" w:cs="Arial"/>
          <w:kern w:val="0"/>
          <w:sz w:val="24"/>
          <w:szCs w:val="24"/>
          <w:u w:val="single"/>
        </w:rPr>
        <w:t xml:space="preserve">    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）供货人向采购人提交最终索赔报告的时间：</w:t>
      </w:r>
      <w:r>
        <w:rPr>
          <w:rFonts w:ascii="宋体" w:hAnsi="宋体" w:cs="Arial"/>
          <w:kern w:val="0"/>
          <w:sz w:val="24"/>
          <w:szCs w:val="24"/>
          <w:u w:val="single"/>
        </w:rPr>
        <w:t>_______</w:t>
      </w:r>
      <w:r>
        <w:rPr>
          <w:rFonts w:hint="eastAsia" w:ascii="宋体" w:hAnsi="宋体" w:cs="Arial"/>
          <w:kern w:val="0"/>
          <w:sz w:val="24"/>
          <w:szCs w:val="24"/>
          <w:u w:val="single"/>
        </w:rPr>
        <w:t>15日</w:t>
      </w:r>
      <w:r>
        <w:rPr>
          <w:rFonts w:ascii="宋体" w:hAnsi="宋体" w:cs="Arial"/>
          <w:kern w:val="0"/>
          <w:sz w:val="24"/>
          <w:szCs w:val="24"/>
          <w:u w:val="single"/>
        </w:rPr>
        <w:t xml:space="preserve">    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18.1.3</w:t>
      </w:r>
      <w:r>
        <w:rPr>
          <w:rFonts w:hint="eastAsia" w:ascii="宋体" w:hAnsi="宋体" w:cs="Arial"/>
          <w:kern w:val="0"/>
          <w:sz w:val="24"/>
          <w:szCs w:val="24"/>
        </w:rPr>
        <w:t>供货人索赔的处理：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18.2.2</w:t>
      </w:r>
      <w:r>
        <w:rPr>
          <w:rFonts w:hint="eastAsia" w:ascii="宋体" w:hAnsi="宋体" w:cs="Arial"/>
          <w:kern w:val="0"/>
          <w:sz w:val="24"/>
          <w:szCs w:val="24"/>
        </w:rPr>
        <w:t>采购人索赔的提出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）采购人向供货人提交索赔报告的时间：</w:t>
      </w:r>
      <w:r>
        <w:rPr>
          <w:rFonts w:ascii="宋体" w:hAnsi="宋体" w:cs="Arial"/>
          <w:kern w:val="0"/>
          <w:sz w:val="24"/>
          <w:szCs w:val="24"/>
          <w:u w:val="single"/>
        </w:rPr>
        <w:t>____________</w:t>
      </w:r>
      <w:r>
        <w:rPr>
          <w:rFonts w:hint="eastAsia" w:ascii="宋体" w:hAnsi="宋体" w:cs="Arial"/>
          <w:kern w:val="0"/>
          <w:sz w:val="24"/>
          <w:szCs w:val="24"/>
          <w:u w:val="single"/>
        </w:rPr>
        <w:t>7日</w:t>
      </w:r>
      <w:r>
        <w:rPr>
          <w:rFonts w:ascii="宋体" w:hAnsi="宋体" w:cs="Arial"/>
          <w:kern w:val="0"/>
          <w:sz w:val="24"/>
          <w:szCs w:val="24"/>
          <w:u w:val="single"/>
        </w:rPr>
        <w:t xml:space="preserve">        ____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）采购人向供货人提交最终索赔报告的时间：</w:t>
      </w:r>
      <w:r>
        <w:rPr>
          <w:rFonts w:ascii="宋体" w:hAnsi="宋体" w:cs="Arial"/>
          <w:kern w:val="0"/>
          <w:sz w:val="24"/>
          <w:szCs w:val="24"/>
          <w:u w:val="single"/>
        </w:rPr>
        <w:t>____________</w:t>
      </w:r>
      <w:r>
        <w:rPr>
          <w:rFonts w:hint="eastAsia" w:ascii="宋体" w:hAnsi="宋体" w:cs="Arial"/>
          <w:kern w:val="0"/>
          <w:sz w:val="24"/>
          <w:szCs w:val="24"/>
          <w:u w:val="single"/>
        </w:rPr>
        <w:t>15日</w:t>
      </w:r>
      <w:r>
        <w:rPr>
          <w:rFonts w:ascii="宋体" w:hAnsi="宋体" w:cs="Arial"/>
          <w:kern w:val="0"/>
          <w:sz w:val="24"/>
          <w:szCs w:val="24"/>
          <w:u w:val="single"/>
        </w:rPr>
        <w:t xml:space="preserve">        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18.2.3</w:t>
      </w:r>
      <w:r>
        <w:rPr>
          <w:rFonts w:hint="eastAsia" w:ascii="宋体" w:hAnsi="宋体" w:cs="Arial"/>
          <w:kern w:val="0"/>
          <w:sz w:val="24"/>
          <w:szCs w:val="24"/>
        </w:rPr>
        <w:t>采购人索赔的处理：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______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18.2.5</w:t>
      </w:r>
      <w:r>
        <w:rPr>
          <w:rFonts w:hint="eastAsia" w:ascii="宋体" w:hAnsi="宋体" w:cs="Arial"/>
          <w:kern w:val="0"/>
          <w:sz w:val="24"/>
          <w:szCs w:val="24"/>
        </w:rPr>
        <w:t>差额赔偿时间：</w:t>
      </w:r>
      <w:r>
        <w:rPr>
          <w:rFonts w:ascii="宋体" w:hAnsi="宋体" w:cs="Arial"/>
          <w:kern w:val="0"/>
          <w:sz w:val="24"/>
          <w:szCs w:val="24"/>
          <w:u w:val="single"/>
        </w:rPr>
        <w:t>_________      ____</w:t>
      </w:r>
      <w:r>
        <w:rPr>
          <w:rFonts w:hint="eastAsia" w:ascii="宋体" w:hAnsi="宋体" w:cs="Arial"/>
          <w:kern w:val="0"/>
          <w:sz w:val="24"/>
          <w:szCs w:val="24"/>
          <w:u w:val="single"/>
        </w:rPr>
        <w:t>15日</w:t>
      </w:r>
      <w:r>
        <w:rPr>
          <w:rFonts w:ascii="宋体" w:hAnsi="宋体" w:cs="Arial"/>
          <w:kern w:val="0"/>
          <w:sz w:val="24"/>
          <w:szCs w:val="24"/>
          <w:u w:val="single"/>
        </w:rPr>
        <w:t xml:space="preserve">               _______</w:t>
      </w:r>
    </w:p>
    <w:bookmarkEnd w:id="739"/>
    <w:bookmarkEnd w:id="740"/>
    <w:bookmarkEnd w:id="741"/>
    <w:bookmarkEnd w:id="742"/>
    <w:p>
      <w:pPr>
        <w:widowControl/>
        <w:spacing w:after="120"/>
        <w:ind w:left="420"/>
        <w:rPr>
          <w:rFonts w:ascii="宋体" w:hAnsi="??" w:cs="Arial"/>
          <w:b/>
          <w:kern w:val="0"/>
          <w:sz w:val="24"/>
          <w:szCs w:val="24"/>
        </w:rPr>
      </w:pPr>
      <w:bookmarkStart w:id="748" w:name="_Toc381358692"/>
      <w:bookmarkStart w:id="749" w:name="_Toc255494581"/>
      <w:bookmarkStart w:id="750" w:name="_Toc217443434"/>
      <w:bookmarkStart w:id="751" w:name="_Toc256955784"/>
      <w:bookmarkStart w:id="752" w:name="_Toc375218854"/>
      <w:bookmarkStart w:id="753" w:name="_Toc218049035"/>
      <w:bookmarkStart w:id="754" w:name="_Toc218048855"/>
      <w:r>
        <w:rPr>
          <w:rFonts w:ascii="宋体" w:hAnsi="宋体" w:cs="Arial"/>
          <w:b/>
          <w:kern w:val="0"/>
          <w:sz w:val="24"/>
          <w:szCs w:val="24"/>
        </w:rPr>
        <w:t>19</w:t>
      </w:r>
      <w:r>
        <w:rPr>
          <w:rFonts w:hint="eastAsia" w:ascii="宋体" w:hAnsi="宋体" w:cs="Arial"/>
          <w:b/>
          <w:kern w:val="0"/>
          <w:sz w:val="24"/>
          <w:szCs w:val="24"/>
        </w:rPr>
        <w:t>．保险</w:t>
      </w:r>
      <w:bookmarkEnd w:id="748"/>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 xml:space="preserve">19.7 </w:t>
      </w:r>
      <w:r>
        <w:rPr>
          <w:rFonts w:hint="eastAsia" w:ascii="宋体" w:hAnsi="宋体" w:cs="Arial"/>
          <w:b/>
          <w:kern w:val="0"/>
          <w:sz w:val="24"/>
          <w:szCs w:val="24"/>
        </w:rPr>
        <w:t>关于保险的其他要求</w:t>
      </w:r>
    </w:p>
    <w:p>
      <w:pPr>
        <w:widowControl/>
        <w:spacing w:after="120"/>
        <w:ind w:left="420" w:firstLine="480" w:firstLineChars="200"/>
        <w:rPr>
          <w:rFonts w:ascii="宋体" w:hAnsi="宋体" w:cs="Arial"/>
          <w:kern w:val="0"/>
          <w:sz w:val="24"/>
          <w:szCs w:val="24"/>
          <w:u w:val="single"/>
        </w:rPr>
      </w:pPr>
      <w:bookmarkStart w:id="755" w:name="_Toc381358693"/>
      <w:r>
        <w:rPr>
          <w:rFonts w:ascii="宋体" w:hAnsi="宋体" w:cs="Arial"/>
          <w:kern w:val="0"/>
          <w:sz w:val="24"/>
          <w:szCs w:val="24"/>
          <w:u w:val="single"/>
        </w:rPr>
        <w:t>____________   __/                                        __ ______</w:t>
      </w:r>
    </w:p>
    <w:p>
      <w:pPr>
        <w:widowControl/>
        <w:spacing w:after="120"/>
        <w:ind w:left="420"/>
        <w:rPr>
          <w:rFonts w:ascii="宋体" w:hAnsi="??" w:cs="Arial"/>
          <w:b/>
          <w:kern w:val="0"/>
          <w:sz w:val="24"/>
          <w:szCs w:val="24"/>
        </w:rPr>
      </w:pPr>
      <w:r>
        <w:rPr>
          <w:rFonts w:ascii="宋体" w:hAnsi="宋体" w:cs="Arial"/>
          <w:b/>
          <w:kern w:val="0"/>
          <w:sz w:val="24"/>
          <w:szCs w:val="24"/>
        </w:rPr>
        <w:t>20</w:t>
      </w:r>
      <w:r>
        <w:rPr>
          <w:rFonts w:hint="eastAsia" w:ascii="宋体" w:hAnsi="宋体" w:cs="Arial"/>
          <w:b/>
          <w:kern w:val="0"/>
          <w:sz w:val="24"/>
          <w:szCs w:val="24"/>
        </w:rPr>
        <w:t>．保证担保</w:t>
      </w:r>
      <w:bookmarkEnd w:id="749"/>
      <w:bookmarkEnd w:id="750"/>
      <w:bookmarkEnd w:id="751"/>
      <w:bookmarkEnd w:id="752"/>
      <w:bookmarkEnd w:id="753"/>
      <w:bookmarkEnd w:id="754"/>
      <w:bookmarkEnd w:id="755"/>
    </w:p>
    <w:p>
      <w:pPr>
        <w:widowControl/>
        <w:spacing w:after="120"/>
        <w:ind w:left="420" w:firstLine="482" w:firstLineChars="200"/>
        <w:rPr>
          <w:rFonts w:ascii="宋体" w:hAnsi="??" w:cs="Arial"/>
          <w:b/>
          <w:kern w:val="0"/>
          <w:sz w:val="24"/>
          <w:szCs w:val="24"/>
        </w:rPr>
      </w:pPr>
      <w:bookmarkStart w:id="756" w:name="_Toc375218855"/>
      <w:r>
        <w:rPr>
          <w:rFonts w:ascii="宋体" w:hAnsi="宋体" w:cs="Arial"/>
          <w:b/>
          <w:kern w:val="0"/>
          <w:sz w:val="24"/>
          <w:szCs w:val="24"/>
        </w:rPr>
        <w:t>20.1</w:t>
      </w:r>
      <w:r>
        <w:rPr>
          <w:rFonts w:hint="eastAsia" w:ascii="宋体" w:hAnsi="宋体" w:cs="Arial"/>
          <w:b/>
          <w:kern w:val="0"/>
          <w:sz w:val="24"/>
          <w:szCs w:val="24"/>
        </w:rPr>
        <w:t>预付款保证担保</w:t>
      </w:r>
      <w:bookmarkEnd w:id="756"/>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20.1.1</w:t>
      </w:r>
      <w:r>
        <w:rPr>
          <w:rFonts w:hint="eastAsia" w:ascii="宋体" w:hAnsi="宋体" w:cs="Arial"/>
          <w:kern w:val="0"/>
          <w:sz w:val="24"/>
          <w:szCs w:val="24"/>
        </w:rPr>
        <w:t>采购人向供货人支付预付款时，采购人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不要求）供货人同时提交预付款保证担保。</w:t>
      </w:r>
    </w:p>
    <w:p>
      <w:pPr>
        <w:widowControl/>
        <w:spacing w:after="120"/>
        <w:ind w:left="420" w:firstLine="472" w:firstLineChars="196"/>
        <w:rPr>
          <w:rFonts w:ascii="宋体" w:hAnsi="??" w:cs="Arial"/>
          <w:b/>
          <w:kern w:val="0"/>
          <w:sz w:val="24"/>
          <w:szCs w:val="24"/>
        </w:rPr>
      </w:pPr>
      <w:bookmarkStart w:id="757" w:name="_Toc375218856"/>
      <w:r>
        <w:rPr>
          <w:rFonts w:ascii="宋体" w:hAnsi="宋体" w:cs="Arial"/>
          <w:b/>
          <w:kern w:val="0"/>
          <w:sz w:val="24"/>
          <w:szCs w:val="24"/>
        </w:rPr>
        <w:t>20.2</w:t>
      </w:r>
      <w:r>
        <w:rPr>
          <w:rFonts w:hint="eastAsia" w:ascii="宋体" w:hAnsi="宋体" w:cs="Arial"/>
          <w:b/>
          <w:kern w:val="0"/>
          <w:sz w:val="24"/>
          <w:szCs w:val="24"/>
        </w:rPr>
        <w:t>履约保证担保</w:t>
      </w:r>
      <w:bookmarkEnd w:id="757"/>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20.2.1 </w:t>
      </w:r>
      <w:r>
        <w:rPr>
          <w:rFonts w:hint="eastAsia" w:ascii="宋体" w:hAnsi="宋体" w:cs="Arial"/>
          <w:kern w:val="0"/>
          <w:sz w:val="24"/>
          <w:szCs w:val="24"/>
        </w:rPr>
        <w:t>采购人</w:t>
      </w:r>
      <w:r>
        <w:rPr>
          <w:rFonts w:ascii="宋体" w:hAnsi="宋体" w:cs="Arial"/>
          <w:kern w:val="0"/>
          <w:sz w:val="24"/>
          <w:szCs w:val="24"/>
          <w:u w:val="single"/>
        </w:rPr>
        <w:t>___</w:t>
      </w:r>
      <w:r>
        <w:rPr>
          <w:rFonts w:hint="eastAsia" w:ascii="宋体" w:hAnsi="宋体" w:cs="Arial"/>
          <w:kern w:val="0"/>
          <w:sz w:val="24"/>
          <w:szCs w:val="24"/>
          <w:u w:val="single"/>
        </w:rPr>
        <w:t>要求</w:t>
      </w:r>
      <w:r>
        <w:rPr>
          <w:rFonts w:ascii="宋体" w:hAnsi="宋体" w:cs="Arial"/>
          <w:kern w:val="0"/>
          <w:sz w:val="24"/>
          <w:szCs w:val="24"/>
          <w:u w:val="single"/>
        </w:rPr>
        <w:t>__</w:t>
      </w:r>
      <w:r>
        <w:rPr>
          <w:rFonts w:hint="eastAsia" w:ascii="宋体" w:hAnsi="宋体" w:cs="Arial"/>
          <w:kern w:val="0"/>
          <w:sz w:val="24"/>
          <w:szCs w:val="24"/>
        </w:rPr>
        <w:t>供货人提交履约保证担保，要求供货人提交履约保证担保时，履约保证担保的金额：</w:t>
      </w:r>
      <w:r>
        <w:rPr>
          <w:rFonts w:ascii="宋体" w:hAnsi="宋体" w:cs="Arial"/>
          <w:kern w:val="0"/>
          <w:sz w:val="24"/>
          <w:szCs w:val="24"/>
          <w:u w:val="single"/>
        </w:rPr>
        <w:t>__</w:t>
      </w:r>
      <w:r>
        <w:rPr>
          <w:rFonts w:hint="eastAsia" w:ascii="宋体" w:hAnsi="宋体" w:cs="Arial"/>
          <w:kern w:val="0"/>
          <w:sz w:val="24"/>
          <w:szCs w:val="24"/>
          <w:u w:val="single"/>
        </w:rPr>
        <w:t>签约合同价款的10%，</w:t>
      </w:r>
      <w:r>
        <w:rPr>
          <w:rFonts w:ascii="宋体" w:hAnsi="宋体" w:cs="Arial"/>
          <w:kern w:val="0"/>
          <w:sz w:val="24"/>
          <w:szCs w:val="24"/>
          <w:u w:val="single"/>
        </w:rPr>
        <w:t>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20.2.2 </w:t>
      </w:r>
      <w:r>
        <w:rPr>
          <w:rFonts w:hint="eastAsia" w:ascii="宋体" w:hAnsi="宋体" w:cs="Arial"/>
          <w:kern w:val="0"/>
          <w:sz w:val="24"/>
          <w:szCs w:val="24"/>
        </w:rPr>
        <w:t>履约保证担保有效期的截止时间：</w:t>
      </w:r>
      <w:r>
        <w:rPr>
          <w:rFonts w:ascii="宋体" w:hAnsi="宋体" w:cs="Arial"/>
          <w:kern w:val="0"/>
          <w:sz w:val="24"/>
          <w:szCs w:val="24"/>
          <w:u w:val="single"/>
        </w:rPr>
        <w:t>___________/___________________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20.2.4 </w:t>
      </w:r>
      <w:r>
        <w:rPr>
          <w:rFonts w:hint="eastAsia" w:ascii="宋体" w:hAnsi="宋体" w:cs="Arial"/>
          <w:kern w:val="0"/>
          <w:sz w:val="24"/>
          <w:szCs w:val="24"/>
        </w:rPr>
        <w:t>其他约定：</w:t>
      </w:r>
      <w:r>
        <w:rPr>
          <w:rFonts w:ascii="宋体" w:hAnsi="宋体" w:cs="Arial"/>
          <w:kern w:val="0"/>
          <w:sz w:val="24"/>
          <w:szCs w:val="24"/>
          <w:u w:val="single"/>
        </w:rPr>
        <w:t>_</w:t>
      </w:r>
      <w:r>
        <w:rPr>
          <w:rFonts w:hint="eastAsia" w:ascii="宋体" w:hAnsi="宋体" w:cs="Arial"/>
          <w:kern w:val="0"/>
          <w:sz w:val="24"/>
          <w:szCs w:val="24"/>
          <w:u w:val="single"/>
        </w:rPr>
        <w:t>采用形式为：银行保函，银行保函期限为验收合格，并提供相关资料、结算资料后28天一直有效。</w:t>
      </w:r>
      <w:r>
        <w:rPr>
          <w:rFonts w:ascii="宋体" w:hAnsi="宋体" w:cs="Arial"/>
          <w:kern w:val="0"/>
          <w:sz w:val="24"/>
          <w:szCs w:val="24"/>
          <w:u w:val="single"/>
        </w:rPr>
        <w:t>__</w:t>
      </w:r>
    </w:p>
    <w:p>
      <w:pPr>
        <w:widowControl/>
        <w:spacing w:after="120"/>
        <w:ind w:left="420" w:firstLine="482" w:firstLineChars="200"/>
        <w:rPr>
          <w:rFonts w:ascii="宋体" w:hAnsi="宋体" w:cs="Arial"/>
          <w:b/>
          <w:kern w:val="0"/>
          <w:sz w:val="24"/>
          <w:szCs w:val="24"/>
        </w:rPr>
      </w:pPr>
      <w:bookmarkStart w:id="758" w:name="_Toc375218857"/>
      <w:r>
        <w:rPr>
          <w:rFonts w:ascii="宋体" w:hAnsi="宋体" w:cs="Arial"/>
          <w:b/>
          <w:kern w:val="0"/>
          <w:sz w:val="24"/>
          <w:szCs w:val="24"/>
        </w:rPr>
        <w:t>20.3</w:t>
      </w:r>
      <w:r>
        <w:rPr>
          <w:rFonts w:hint="eastAsia" w:ascii="宋体" w:hAnsi="宋体" w:cs="Arial"/>
          <w:b/>
          <w:kern w:val="0"/>
          <w:sz w:val="24"/>
          <w:szCs w:val="24"/>
        </w:rPr>
        <w:t>货款支付保证担保</w:t>
      </w:r>
      <w:bookmarkEnd w:id="758"/>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20.3.2 </w:t>
      </w:r>
      <w:r>
        <w:rPr>
          <w:rFonts w:hint="eastAsia" w:ascii="宋体" w:hAnsi="宋体" w:cs="Arial"/>
          <w:kern w:val="0"/>
          <w:sz w:val="24"/>
          <w:szCs w:val="24"/>
        </w:rPr>
        <w:t>货款支付保证担保有效期的截止时间：</w:t>
      </w:r>
      <w:r>
        <w:rPr>
          <w:rFonts w:ascii="宋体" w:hAnsi="宋体" w:cs="Arial"/>
          <w:kern w:val="0"/>
          <w:sz w:val="24"/>
          <w:szCs w:val="24"/>
          <w:u w:val="single"/>
        </w:rPr>
        <w:t>_____________/_____________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20.3.4 </w:t>
      </w:r>
      <w:r>
        <w:rPr>
          <w:rFonts w:hint="eastAsia" w:ascii="宋体" w:hAnsi="宋体" w:cs="Arial"/>
          <w:kern w:val="0"/>
          <w:sz w:val="24"/>
          <w:szCs w:val="24"/>
        </w:rPr>
        <w:t>其他约定：</w:t>
      </w:r>
      <w:r>
        <w:rPr>
          <w:rFonts w:ascii="宋体" w:hAnsi="宋体" w:cs="Arial"/>
          <w:kern w:val="0"/>
          <w:sz w:val="24"/>
          <w:szCs w:val="24"/>
          <w:u w:val="single"/>
        </w:rPr>
        <w:t>_________________________/_________________ _______</w:t>
      </w:r>
    </w:p>
    <w:p>
      <w:pPr>
        <w:widowControl/>
        <w:spacing w:after="120"/>
        <w:ind w:left="420" w:firstLine="482" w:firstLineChars="200"/>
        <w:rPr>
          <w:rFonts w:ascii="宋体" w:hAnsi="??" w:cs="Arial"/>
          <w:b/>
          <w:kern w:val="0"/>
          <w:sz w:val="24"/>
          <w:szCs w:val="24"/>
        </w:rPr>
      </w:pPr>
      <w:bookmarkStart w:id="759" w:name="_Toc375218858"/>
      <w:r>
        <w:rPr>
          <w:rFonts w:ascii="宋体" w:hAnsi="宋体" w:cs="Arial"/>
          <w:b/>
          <w:kern w:val="0"/>
          <w:sz w:val="24"/>
          <w:szCs w:val="24"/>
        </w:rPr>
        <w:t>20.4</w:t>
      </w:r>
      <w:r>
        <w:rPr>
          <w:rFonts w:hint="eastAsia" w:ascii="宋体" w:hAnsi="宋体" w:cs="Arial"/>
          <w:b/>
          <w:kern w:val="0"/>
          <w:sz w:val="24"/>
          <w:szCs w:val="24"/>
        </w:rPr>
        <w:t>质量保证金保证担保</w:t>
      </w:r>
      <w:bookmarkEnd w:id="759"/>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20.4.1 </w:t>
      </w:r>
      <w:r>
        <w:rPr>
          <w:rFonts w:hint="eastAsia" w:ascii="宋体" w:hAnsi="宋体" w:cs="Arial"/>
          <w:kern w:val="0"/>
          <w:sz w:val="24"/>
          <w:szCs w:val="24"/>
        </w:rPr>
        <w:t>采购人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不要求）供货人提交质量保证金保证担保，要求供货人提交质量保证金保证担保时，保证金保证担保的期限：</w:t>
      </w:r>
      <w:bookmarkStart w:id="760" w:name="_Toc375218859"/>
      <w:bookmarkStart w:id="761" w:name="_Toc381358694"/>
      <w:bookmarkStart w:id="762" w:name="_Toc256955785"/>
      <w:bookmarkStart w:id="763" w:name="_Toc255494582"/>
      <w:bookmarkStart w:id="764" w:name="_Toc217443435"/>
      <w:bookmarkStart w:id="765" w:name="_Toc218049036"/>
      <w:bookmarkStart w:id="766" w:name="_Toc218048856"/>
      <w:r>
        <w:rPr>
          <w:rFonts w:ascii="宋体" w:hAnsi="宋体" w:cs="Arial"/>
          <w:kern w:val="0"/>
          <w:sz w:val="24"/>
          <w:szCs w:val="24"/>
          <w:u w:val="single"/>
        </w:rPr>
        <w:t>_______ __/ ____</w:t>
      </w:r>
    </w:p>
    <w:p>
      <w:pPr>
        <w:widowControl/>
        <w:spacing w:after="120"/>
        <w:ind w:left="420"/>
        <w:rPr>
          <w:rFonts w:ascii="宋体" w:hAnsi="??" w:cs="Arial"/>
          <w:b/>
          <w:kern w:val="0"/>
          <w:sz w:val="24"/>
          <w:szCs w:val="24"/>
        </w:rPr>
      </w:pPr>
      <w:r>
        <w:rPr>
          <w:rFonts w:ascii="宋体" w:hAnsi="宋体" w:cs="Arial"/>
          <w:b/>
          <w:kern w:val="0"/>
          <w:sz w:val="24"/>
          <w:szCs w:val="24"/>
        </w:rPr>
        <w:t>21.</w:t>
      </w:r>
      <w:r>
        <w:rPr>
          <w:rFonts w:hint="eastAsia" w:ascii="宋体" w:hAnsi="宋体" w:cs="Arial"/>
          <w:b/>
          <w:kern w:val="0"/>
          <w:sz w:val="24"/>
          <w:szCs w:val="24"/>
        </w:rPr>
        <w:t>不可抗力</w:t>
      </w:r>
      <w:bookmarkEnd w:id="760"/>
      <w:bookmarkEnd w:id="761"/>
      <w:bookmarkEnd w:id="762"/>
    </w:p>
    <w:p>
      <w:pPr>
        <w:widowControl/>
        <w:spacing w:after="120"/>
        <w:ind w:left="420" w:firstLine="482" w:firstLineChars="200"/>
        <w:rPr>
          <w:rFonts w:ascii="宋体" w:hAnsi="??" w:cs="Arial"/>
          <w:b/>
          <w:kern w:val="0"/>
          <w:sz w:val="24"/>
          <w:szCs w:val="24"/>
        </w:rPr>
      </w:pPr>
      <w:bookmarkStart w:id="767" w:name="_Toc375218860"/>
      <w:r>
        <w:rPr>
          <w:rFonts w:ascii="宋体" w:hAnsi="宋体" w:cs="Arial"/>
          <w:b/>
          <w:kern w:val="0"/>
          <w:sz w:val="24"/>
          <w:szCs w:val="24"/>
        </w:rPr>
        <w:t>21.6</w:t>
      </w:r>
      <w:r>
        <w:rPr>
          <w:rFonts w:hint="eastAsia" w:ascii="宋体" w:hAnsi="宋体" w:cs="Arial"/>
          <w:b/>
          <w:kern w:val="0"/>
          <w:sz w:val="24"/>
          <w:szCs w:val="24"/>
        </w:rPr>
        <w:t>因不可抗力解除合同</w:t>
      </w:r>
      <w:bookmarkEnd w:id="767"/>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21.6.1</w:t>
      </w:r>
      <w:r>
        <w:rPr>
          <w:rFonts w:hint="eastAsia" w:ascii="宋体" w:hAnsi="宋体" w:cs="Arial"/>
          <w:kern w:val="0"/>
          <w:sz w:val="24"/>
          <w:szCs w:val="24"/>
        </w:rPr>
        <w:t>不可抗力事件发生持续超过时间的具体约定：</w:t>
      </w:r>
      <w:bookmarkStart w:id="768" w:name="_Toc381358695"/>
      <w:bookmarkStart w:id="769" w:name="_Toc375218861"/>
      <w:bookmarkStart w:id="770" w:name="_Toc256955786"/>
      <w:r>
        <w:rPr>
          <w:rFonts w:ascii="宋体" w:hAnsi="宋体" w:cs="Arial"/>
          <w:kern w:val="0"/>
          <w:sz w:val="24"/>
          <w:szCs w:val="24"/>
          <w:u w:val="single"/>
        </w:rPr>
        <w:t>_______ ___/    ______</w:t>
      </w:r>
    </w:p>
    <w:p>
      <w:pPr>
        <w:widowControl/>
        <w:spacing w:after="120"/>
        <w:ind w:left="420"/>
        <w:rPr>
          <w:rFonts w:ascii="宋体" w:hAnsi="??" w:cs="Arial"/>
          <w:b/>
          <w:kern w:val="0"/>
          <w:sz w:val="24"/>
          <w:szCs w:val="24"/>
        </w:rPr>
      </w:pPr>
      <w:r>
        <w:rPr>
          <w:rFonts w:ascii="宋体" w:hAnsi="宋体" w:cs="Arial"/>
          <w:b/>
          <w:kern w:val="0"/>
          <w:sz w:val="24"/>
          <w:szCs w:val="24"/>
        </w:rPr>
        <w:t>22</w:t>
      </w:r>
      <w:r>
        <w:rPr>
          <w:rFonts w:hint="eastAsia" w:ascii="宋体" w:hAnsi="宋体" w:cs="Arial"/>
          <w:b/>
          <w:kern w:val="0"/>
          <w:sz w:val="24"/>
          <w:szCs w:val="24"/>
        </w:rPr>
        <w:t>．争议</w:t>
      </w:r>
      <w:bookmarkEnd w:id="763"/>
      <w:bookmarkEnd w:id="764"/>
      <w:bookmarkEnd w:id="765"/>
      <w:bookmarkEnd w:id="766"/>
      <w:bookmarkEnd w:id="768"/>
      <w:bookmarkEnd w:id="769"/>
      <w:bookmarkEnd w:id="770"/>
    </w:p>
    <w:p>
      <w:pPr>
        <w:widowControl/>
        <w:spacing w:after="120"/>
        <w:ind w:left="420" w:firstLine="482" w:firstLineChars="200"/>
        <w:rPr>
          <w:rFonts w:ascii="宋体" w:hAnsi="??" w:cs="Arial"/>
          <w:b/>
          <w:kern w:val="0"/>
          <w:sz w:val="24"/>
          <w:szCs w:val="24"/>
        </w:rPr>
      </w:pPr>
      <w:bookmarkStart w:id="771" w:name="_Toc375218862"/>
      <w:r>
        <w:rPr>
          <w:rFonts w:ascii="宋体" w:hAnsi="宋体" w:cs="Arial"/>
          <w:b/>
          <w:kern w:val="0"/>
          <w:sz w:val="24"/>
          <w:szCs w:val="24"/>
        </w:rPr>
        <w:t>22.1</w:t>
      </w:r>
      <w:r>
        <w:rPr>
          <w:rFonts w:hint="eastAsia" w:ascii="宋体" w:hAnsi="宋体" w:cs="Arial"/>
          <w:b/>
          <w:kern w:val="0"/>
          <w:sz w:val="24"/>
          <w:szCs w:val="24"/>
        </w:rPr>
        <w:t>争议解决方式</w:t>
      </w:r>
      <w:bookmarkEnd w:id="771"/>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本供货合同的争议解决方式约定采用如下第（3）种方式：</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）向乌鲁木齐仲裁委员会申请仲裁；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）向</w:t>
      </w:r>
      <w:r>
        <w:rPr>
          <w:rFonts w:ascii="宋体" w:hAnsi="宋体" w:cs="Arial"/>
          <w:kern w:val="0"/>
          <w:sz w:val="24"/>
          <w:szCs w:val="24"/>
          <w:u w:val="single"/>
        </w:rPr>
        <w:t xml:space="preserve">        /      </w:t>
      </w:r>
      <w:r>
        <w:rPr>
          <w:rFonts w:hint="eastAsia" w:ascii="宋体" w:hAnsi="宋体" w:cs="Arial"/>
          <w:kern w:val="0"/>
          <w:sz w:val="24"/>
          <w:szCs w:val="24"/>
        </w:rPr>
        <w:t>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）向</w:t>
      </w:r>
      <w:r>
        <w:rPr>
          <w:rFonts w:hint="eastAsia" w:ascii="宋体" w:hAnsi="宋体" w:cs="Arial"/>
          <w:kern w:val="0"/>
          <w:sz w:val="24"/>
          <w:szCs w:val="24"/>
          <w:u w:val="single"/>
        </w:rPr>
        <w:t>项目所在地</w:t>
      </w:r>
      <w:r>
        <w:rPr>
          <w:rFonts w:hint="eastAsia" w:ascii="宋体" w:hAnsi="宋体" w:cs="Arial"/>
          <w:kern w:val="0"/>
          <w:sz w:val="24"/>
          <w:szCs w:val="24"/>
        </w:rPr>
        <w:t>人民法院起诉。</w:t>
      </w:r>
    </w:p>
    <w:p>
      <w:pPr>
        <w:widowControl/>
        <w:spacing w:after="120"/>
        <w:ind w:left="420"/>
        <w:rPr>
          <w:rFonts w:ascii="宋体" w:hAnsi="??" w:cs="Arial"/>
          <w:b/>
          <w:kern w:val="0"/>
          <w:sz w:val="24"/>
          <w:szCs w:val="24"/>
        </w:rPr>
      </w:pPr>
      <w:bookmarkStart w:id="772" w:name="_Toc217443436"/>
      <w:bookmarkStart w:id="773" w:name="_Toc218048857"/>
      <w:bookmarkStart w:id="774" w:name="_Toc256955787"/>
      <w:bookmarkStart w:id="775" w:name="_Toc218049037"/>
      <w:bookmarkStart w:id="776" w:name="_Toc255494583"/>
      <w:bookmarkStart w:id="777" w:name="_Toc375218863"/>
      <w:bookmarkStart w:id="778" w:name="_Toc381358696"/>
      <w:r>
        <w:rPr>
          <w:rFonts w:ascii="宋体" w:hAnsi="宋体" w:cs="Arial"/>
          <w:b/>
          <w:kern w:val="0"/>
          <w:sz w:val="24"/>
          <w:szCs w:val="24"/>
        </w:rPr>
        <w:t>28</w:t>
      </w:r>
      <w:r>
        <w:rPr>
          <w:rFonts w:hint="eastAsia" w:ascii="宋体" w:hAnsi="宋体" w:cs="Arial"/>
          <w:b/>
          <w:kern w:val="0"/>
          <w:sz w:val="24"/>
          <w:szCs w:val="24"/>
        </w:rPr>
        <w:t>．合同效力及份数</w:t>
      </w:r>
      <w:bookmarkEnd w:id="772"/>
      <w:bookmarkEnd w:id="773"/>
      <w:bookmarkEnd w:id="774"/>
      <w:bookmarkEnd w:id="775"/>
      <w:bookmarkEnd w:id="776"/>
      <w:bookmarkEnd w:id="777"/>
      <w:bookmarkEnd w:id="778"/>
      <w:bookmarkStart w:id="779" w:name="_Toc218048858"/>
    </w:p>
    <w:p>
      <w:pPr>
        <w:ind w:firstLine="723" w:firstLineChars="300"/>
        <w:rPr>
          <w:rFonts w:ascii="宋体" w:cs="宋体"/>
          <w:b/>
          <w:sz w:val="24"/>
          <w:szCs w:val="24"/>
        </w:rPr>
      </w:pPr>
      <w:bookmarkStart w:id="780" w:name="_Toc381358697"/>
      <w:bookmarkStart w:id="781" w:name="_Toc256955788"/>
      <w:bookmarkStart w:id="782" w:name="_Toc255494584"/>
      <w:bookmarkStart w:id="783" w:name="_Toc375218864"/>
      <w:r>
        <w:rPr>
          <w:rFonts w:hint="eastAsia" w:ascii="宋体" w:hAnsi="宋体" w:cs="宋体"/>
          <w:b/>
          <w:sz w:val="24"/>
          <w:szCs w:val="24"/>
        </w:rPr>
        <w:t>本协议书连同其他合同文件一式陆份，其中，采购人</w:t>
      </w:r>
      <w:r>
        <w:rPr>
          <w:rFonts w:hint="eastAsia" w:ascii="宋体" w:hAnsi="宋体" w:cs="宋体"/>
          <w:b/>
          <w:sz w:val="24"/>
          <w:szCs w:val="24"/>
          <w:u w:val="single"/>
        </w:rPr>
        <w:t xml:space="preserve"> 肆 </w:t>
      </w:r>
      <w:r>
        <w:rPr>
          <w:rFonts w:hint="eastAsia" w:ascii="宋体" w:hAnsi="宋体" w:cs="宋体"/>
          <w:b/>
          <w:sz w:val="24"/>
          <w:szCs w:val="24"/>
        </w:rPr>
        <w:t>份，供货人</w:t>
      </w:r>
      <w:r>
        <w:rPr>
          <w:rFonts w:hint="eastAsia" w:ascii="宋体" w:hAnsi="宋体" w:cs="宋体"/>
          <w:b/>
          <w:sz w:val="24"/>
          <w:szCs w:val="24"/>
          <w:u w:val="single"/>
        </w:rPr>
        <w:t xml:space="preserve"> 贰 </w:t>
      </w:r>
      <w:r>
        <w:rPr>
          <w:rFonts w:hint="eastAsia" w:ascii="宋体" w:hAnsi="宋体" w:cs="宋体"/>
          <w:b/>
          <w:sz w:val="24"/>
          <w:szCs w:val="24"/>
        </w:rPr>
        <w:t>份。</w:t>
      </w:r>
    </w:p>
    <w:p>
      <w:pPr>
        <w:widowControl/>
        <w:spacing w:after="120"/>
        <w:ind w:left="420" w:firstLine="480" w:firstLineChars="200"/>
        <w:rPr>
          <w:rFonts w:ascii="宋体" w:hAnsi="??" w:eastAsia="宋体" w:cs="Arial"/>
          <w:kern w:val="0"/>
          <w:sz w:val="24"/>
          <w:szCs w:val="24"/>
        </w:rPr>
      </w:pPr>
      <w:r>
        <w:rPr>
          <w:rFonts w:hint="eastAsia" w:ascii="宋体" w:hAnsi="宋体" w:cs="Arial"/>
          <w:kern w:val="0"/>
          <w:sz w:val="24"/>
          <w:szCs w:val="24"/>
        </w:rPr>
        <w:t>合同补充条款</w:t>
      </w:r>
      <w:bookmarkEnd w:id="779"/>
      <w:bookmarkEnd w:id="780"/>
      <w:bookmarkEnd w:id="781"/>
      <w:bookmarkEnd w:id="782"/>
      <w:bookmarkEnd w:id="783"/>
      <w:r>
        <w:rPr>
          <w:rFonts w:ascii="宋体" w:hAnsi="宋体" w:cs="Arial"/>
          <w:kern w:val="0"/>
          <w:sz w:val="24"/>
          <w:szCs w:val="24"/>
          <w:u w:val="single"/>
        </w:rPr>
        <w:t xml:space="preserve">      __/                               </w:t>
      </w:r>
    </w:p>
    <w:p>
      <w:pPr>
        <w:spacing w:line="440" w:lineRule="exact"/>
        <w:jc w:val="both"/>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br w:type="page"/>
      </w:r>
    </w:p>
    <w:p>
      <w:pPr>
        <w:spacing w:line="440" w:lineRule="exact"/>
        <w:jc w:val="center"/>
        <w:outlineLvl w:val="0"/>
        <w:rPr>
          <w:rFonts w:ascii="宋体" w:hAnsi="宋体" w:eastAsia="宋体" w:cs="宋体"/>
          <w:b/>
          <w:sz w:val="24"/>
          <w:szCs w:val="24"/>
        </w:rPr>
      </w:pPr>
      <w:bookmarkStart w:id="784" w:name="_Toc2107"/>
      <w:r>
        <w:rPr>
          <w:rFonts w:hint="eastAsia" w:ascii="宋体" w:hAnsi="宋体" w:eastAsia="宋体" w:cs="宋体"/>
          <w:b/>
          <w:sz w:val="24"/>
          <w:szCs w:val="24"/>
        </w:rPr>
        <w:t>第四章 采购标准和要求</w:t>
      </w:r>
      <w:bookmarkEnd w:id="784"/>
      <w:bookmarkStart w:id="785" w:name="_Toc138638718"/>
      <w:bookmarkEnd w:id="785"/>
      <w:bookmarkStart w:id="786" w:name="_合同文件的组成及解释顺序"/>
      <w:bookmarkEnd w:id="786"/>
      <w:bookmarkStart w:id="787" w:name="_Toc138638535"/>
      <w:bookmarkEnd w:id="787"/>
      <w:bookmarkStart w:id="788" w:name="_Toc138638884"/>
      <w:bookmarkEnd w:id="788"/>
      <w:bookmarkStart w:id="789" w:name="_Toc138638906"/>
      <w:bookmarkEnd w:id="789"/>
      <w:bookmarkStart w:id="790" w:name="_Toc138639090"/>
      <w:bookmarkEnd w:id="790"/>
      <w:bookmarkStart w:id="791" w:name="_Toc138638910"/>
      <w:bookmarkEnd w:id="791"/>
      <w:bookmarkStart w:id="792" w:name="_Toc138639145"/>
      <w:bookmarkEnd w:id="792"/>
      <w:bookmarkStart w:id="793" w:name="_Toc138638534"/>
      <w:bookmarkEnd w:id="793"/>
      <w:bookmarkStart w:id="794" w:name="_Toc138638719"/>
      <w:bookmarkEnd w:id="794"/>
      <w:bookmarkStart w:id="795" w:name="_Toc138638538"/>
      <w:bookmarkEnd w:id="795"/>
      <w:bookmarkStart w:id="796" w:name="_Toc138639074"/>
      <w:bookmarkEnd w:id="796"/>
      <w:bookmarkStart w:id="797" w:name="_Toc138638510"/>
      <w:bookmarkEnd w:id="797"/>
      <w:bookmarkStart w:id="798" w:name="_Toc138638509"/>
      <w:bookmarkEnd w:id="798"/>
      <w:bookmarkStart w:id="799" w:name="_Toc138638773"/>
      <w:bookmarkEnd w:id="799"/>
      <w:bookmarkStart w:id="800" w:name="_Toc138638702"/>
      <w:bookmarkEnd w:id="800"/>
      <w:bookmarkStart w:id="801" w:name="_Toc138639091"/>
      <w:bookmarkEnd w:id="801"/>
      <w:bookmarkStart w:id="802" w:name="_Toc138638883"/>
      <w:bookmarkEnd w:id="802"/>
      <w:bookmarkStart w:id="803" w:name="_Toc138638907"/>
      <w:bookmarkEnd w:id="803"/>
    </w:p>
    <w:p>
      <w:pPr>
        <w:jc w:val="center"/>
        <w:rPr>
          <w:rFonts w:hint="eastAsia" w:cs="Times New Roman" w:asciiTheme="minorEastAsia" w:hAnsiTheme="minorEastAsia" w:eastAsiaTheme="minorEastAsia"/>
          <w:sz w:val="24"/>
          <w:szCs w:val="24"/>
          <w:u w:val="single"/>
          <w:lang w:eastAsia="zh-CN"/>
        </w:rPr>
      </w:pPr>
      <w:r>
        <w:rPr>
          <w:rFonts w:hint="eastAsia" w:cs="Times New Roman" w:asciiTheme="minorEastAsia" w:hAnsiTheme="minorEastAsia"/>
          <w:sz w:val="24"/>
          <w:szCs w:val="24"/>
          <w:u w:val="single"/>
          <w:lang w:eastAsia="zh-CN"/>
        </w:rPr>
        <w:t>新疆维吾尔自治区工会干部学校新建教学楼宿舍配套用品采购项目清单</w:t>
      </w:r>
    </w:p>
    <w:tbl>
      <w:tblPr>
        <w:tblStyle w:val="43"/>
        <w:tblW w:w="9688" w:type="dxa"/>
        <w:tblInd w:w="93" w:type="dxa"/>
        <w:tblLayout w:type="fixed"/>
        <w:tblCellMar>
          <w:top w:w="0" w:type="dxa"/>
          <w:left w:w="108" w:type="dxa"/>
          <w:bottom w:w="0" w:type="dxa"/>
          <w:right w:w="108" w:type="dxa"/>
        </w:tblCellMar>
      </w:tblPr>
      <w:tblGrid>
        <w:gridCol w:w="681"/>
        <w:gridCol w:w="1320"/>
        <w:gridCol w:w="697"/>
        <w:gridCol w:w="1140"/>
        <w:gridCol w:w="3278"/>
        <w:gridCol w:w="2572"/>
      </w:tblGrid>
      <w:tr>
        <w:tblPrEx>
          <w:tblCellMar>
            <w:top w:w="0" w:type="dxa"/>
            <w:left w:w="108" w:type="dxa"/>
            <w:bottom w:w="0" w:type="dxa"/>
            <w:right w:w="108" w:type="dxa"/>
          </w:tblCellMar>
        </w:tblPrEx>
        <w:trPr>
          <w:trHeight w:val="600" w:hRule="atLeast"/>
        </w:trPr>
        <w:tc>
          <w:tcPr>
            <w:tcW w:w="968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2"/>
                <w:szCs w:val="32"/>
              </w:rPr>
            </w:pPr>
            <w:r>
              <w:rPr>
                <w:rFonts w:hint="eastAsia" w:ascii="宋体" w:hAnsi="宋体" w:eastAsia="宋体" w:cs="宋体"/>
                <w:b/>
                <w:bCs/>
                <w:color w:val="000000"/>
                <w:kern w:val="0"/>
                <w:sz w:val="28"/>
                <w:szCs w:val="28"/>
              </w:rPr>
              <w:t>一、客房用具</w:t>
            </w:r>
          </w:p>
        </w:tc>
      </w:tr>
      <w:tr>
        <w:tblPrEx>
          <w:tblCellMar>
            <w:top w:w="0" w:type="dxa"/>
            <w:left w:w="108" w:type="dxa"/>
            <w:bottom w:w="0" w:type="dxa"/>
            <w:right w:w="108" w:type="dxa"/>
          </w:tblCellMar>
        </w:tblPrEx>
        <w:trPr>
          <w:trHeight w:val="600" w:hRule="atLeast"/>
        </w:trPr>
        <w:tc>
          <w:tcPr>
            <w:tcW w:w="68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序号</w:t>
            </w:r>
          </w:p>
        </w:tc>
        <w:tc>
          <w:tcPr>
            <w:tcW w:w="132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品名</w:t>
            </w:r>
          </w:p>
        </w:tc>
        <w:tc>
          <w:tcPr>
            <w:tcW w:w="6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单位</w:t>
            </w:r>
          </w:p>
        </w:tc>
        <w:tc>
          <w:tcPr>
            <w:tcW w:w="114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数量</w:t>
            </w:r>
          </w:p>
        </w:tc>
        <w:tc>
          <w:tcPr>
            <w:tcW w:w="3278"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备注</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图样</w:t>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请勿吸烟提示牌</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100%亚克力，手工印丝，激光切割，尺寸120*115*25mm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227455" cy="723265"/>
                  <wp:effectExtent l="0" t="0" r="10795" b="635"/>
                  <wp:docPr id="34" name="图片_29"/>
                  <wp:cNvGraphicFramePr/>
                  <a:graphic xmlns:a="http://schemas.openxmlformats.org/drawingml/2006/main">
                    <a:graphicData uri="http://schemas.openxmlformats.org/drawingml/2006/picture">
                      <pic:pic xmlns:pic="http://schemas.openxmlformats.org/drawingml/2006/picture">
                        <pic:nvPicPr>
                          <pic:cNvPr id="34" name="图片_29"/>
                          <pic:cNvPicPr/>
                        </pic:nvPicPr>
                        <pic:blipFill>
                          <a:blip r:embed="rId10" cstate="print"/>
                          <a:stretch>
                            <a:fillRect/>
                          </a:stretch>
                        </pic:blipFill>
                        <pic:spPr>
                          <a:xfrm>
                            <a:off x="0" y="0"/>
                            <a:ext cx="1227455" cy="7232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皂碟</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磨砂树脂，尺寸：100*80*20mm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62050" cy="581025"/>
                  <wp:effectExtent l="0" t="0" r="0" b="9525"/>
                  <wp:docPr id="33" name="图片_7"/>
                  <wp:cNvGraphicFramePr/>
                  <a:graphic xmlns:a="http://schemas.openxmlformats.org/drawingml/2006/main">
                    <a:graphicData uri="http://schemas.openxmlformats.org/drawingml/2006/picture">
                      <pic:pic xmlns:pic="http://schemas.openxmlformats.org/drawingml/2006/picture">
                        <pic:nvPicPr>
                          <pic:cNvPr id="33" name="图片_7"/>
                          <pic:cNvPicPr/>
                        </pic:nvPicPr>
                        <pic:blipFill>
                          <a:blip r:embed="rId11" cstate="print"/>
                          <a:stretch>
                            <a:fillRect/>
                          </a:stretch>
                        </pic:blipFill>
                        <pic:spPr>
                          <a:xfrm>
                            <a:off x="0" y="0"/>
                            <a:ext cx="1162050" cy="5810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洗漱托盘</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材质:塑料，尺寸：42*30cm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21410" cy="730250"/>
                  <wp:effectExtent l="0" t="0" r="2540" b="12700"/>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12" cstate="print"/>
                          <a:stretch>
                            <a:fillRect/>
                          </a:stretch>
                        </pic:blipFill>
                        <pic:spPr>
                          <a:xfrm>
                            <a:off x="0" y="0"/>
                            <a:ext cx="1121410" cy="7302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茶水托盘</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材质：防滑橡胶+钢化纤维，尺寸：355*250mm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46810" cy="666750"/>
                  <wp:effectExtent l="0" t="0" r="15240" b="0"/>
                  <wp:docPr id="36" name="图片_1"/>
                  <wp:cNvGraphicFramePr/>
                  <a:graphic xmlns:a="http://schemas.openxmlformats.org/drawingml/2006/main">
                    <a:graphicData uri="http://schemas.openxmlformats.org/drawingml/2006/picture">
                      <pic:pic xmlns:pic="http://schemas.openxmlformats.org/drawingml/2006/picture">
                        <pic:nvPicPr>
                          <pic:cNvPr id="36" name="图片_1"/>
                          <pic:cNvPicPr/>
                        </pic:nvPicPr>
                        <pic:blipFill>
                          <a:blip r:embed="rId13" cstate="print"/>
                          <a:stretch>
                            <a:fillRect/>
                          </a:stretch>
                        </pic:blipFill>
                        <pic:spPr>
                          <a:xfrm>
                            <a:off x="0" y="0"/>
                            <a:ext cx="1146810" cy="666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服务指南</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皮料：耐磨，耐刮，易清洁，产品接口处细节处理精细，原木材质自然环保，结实耐用，结合PU皮质感细腻，手感舒适，尺寸：297*210mm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36015" cy="1026160"/>
                  <wp:effectExtent l="0" t="0" r="6985" b="2540"/>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14" cstate="print"/>
                          <a:stretch>
                            <a:fillRect/>
                          </a:stretch>
                        </pic:blipFill>
                        <pic:spPr>
                          <a:xfrm>
                            <a:off x="0" y="0"/>
                            <a:ext cx="1136015" cy="1026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便签夹</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皮料：耐磨，耐刮，易清洁，产品接口处细节处理精细，原木材质自然环保，结实耐用，结合PU皮质感细腻，手感舒适，尺寸：130*195</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811530" cy="1073785"/>
                  <wp:effectExtent l="0" t="0" r="7620" b="12065"/>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15" cstate="print"/>
                          <a:stretch>
                            <a:fillRect/>
                          </a:stretch>
                        </pic:blipFill>
                        <pic:spPr>
                          <a:xfrm>
                            <a:off x="0" y="0"/>
                            <a:ext cx="811530" cy="10737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highlight w:val="none"/>
                <w:lang w:val="en-US" w:eastAsia="zh-CN"/>
              </w:rPr>
            </w:pPr>
            <w:r>
              <w:rPr>
                <w:rFonts w:hint="eastAsia" w:ascii="宋体" w:hAnsi="宋体" w:eastAsia="宋体" w:cs="宋体"/>
                <w:color w:val="000000"/>
                <w:sz w:val="26"/>
                <w:szCs w:val="26"/>
                <w:highlight w:val="none"/>
                <w:lang w:val="en-US" w:eastAsia="zh-CN"/>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sz w:val="26"/>
                <w:szCs w:val="26"/>
                <w:highlight w:val="none"/>
              </w:rPr>
              <w:t>公卫擦手纸巾盒</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304"/>
              </w:tabs>
              <w:jc w:val="left"/>
              <w:textAlignment w:val="center"/>
              <w:rPr>
                <w:rFonts w:ascii="宋体" w:hAnsi="宋体" w:eastAsia="宋体" w:cs="宋体"/>
                <w:color w:val="000000"/>
                <w:sz w:val="26"/>
                <w:szCs w:val="26"/>
                <w:highlight w:val="none"/>
              </w:rPr>
            </w:pPr>
            <w:r>
              <w:rPr>
                <w:rFonts w:hint="eastAsia" w:ascii="宋体" w:hAnsi="宋体" w:eastAsia="宋体" w:cs="宋体"/>
                <w:color w:val="000000"/>
                <w:sz w:val="26"/>
                <w:szCs w:val="26"/>
                <w:highlight w:val="none"/>
              </w:rPr>
              <w:tab/>
            </w:r>
            <w:r>
              <w:rPr>
                <w:rFonts w:hint="eastAsia" w:ascii="宋体" w:hAnsi="宋体" w:eastAsia="宋体" w:cs="宋体"/>
                <w:color w:val="000000"/>
                <w:sz w:val="26"/>
                <w:szCs w:val="26"/>
                <w:highlight w:val="none"/>
              </w:rPr>
              <w:t>材质：塑料，免打孔，内部尺寸：230mm*175mm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yellow"/>
              </w:rPr>
            </w:pPr>
            <w:r>
              <w:rPr>
                <w:rFonts w:hint="eastAsia" w:ascii="宋体" w:hAnsi="宋体" w:eastAsia="宋体" w:cs="宋体"/>
                <w:color w:val="000000"/>
                <w:sz w:val="26"/>
                <w:szCs w:val="26"/>
                <w:highlight w:val="yellow"/>
              </w:rPr>
              <w:drawing>
                <wp:inline distT="0" distB="0" distL="114300" distR="114300">
                  <wp:extent cx="926465" cy="985520"/>
                  <wp:effectExtent l="0" t="0" r="6985" b="5080"/>
                  <wp:docPr id="2" name="图片 2" descr="1640007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0007600(1)"/>
                          <pic:cNvPicPr>
                            <a:picLocks noChangeAspect="1"/>
                          </pic:cNvPicPr>
                        </pic:nvPicPr>
                        <pic:blipFill>
                          <a:blip r:embed="rId16" cstate="print"/>
                          <a:stretch>
                            <a:fillRect/>
                          </a:stretch>
                        </pic:blipFill>
                        <pic:spPr>
                          <a:xfrm>
                            <a:off x="0" y="0"/>
                            <a:ext cx="926465" cy="985520"/>
                          </a:xfrm>
                          <a:prstGeom prst="rect">
                            <a:avLst/>
                          </a:prstGeom>
                        </pic:spPr>
                      </pic:pic>
                    </a:graphicData>
                  </a:graphic>
                </wp:inline>
              </w:drawing>
            </w:r>
          </w:p>
        </w:tc>
      </w:tr>
      <w:tr>
        <w:tblPrEx>
          <w:tblCellMar>
            <w:top w:w="0" w:type="dxa"/>
            <w:left w:w="108" w:type="dxa"/>
            <w:bottom w:w="0" w:type="dxa"/>
            <w:right w:w="108" w:type="dxa"/>
          </w:tblCellMar>
        </w:tblPrEx>
        <w:trPr>
          <w:trHeight w:val="156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sz w:val="26"/>
                <w:szCs w:val="26"/>
                <w:lang w:val="en-US" w:eastAsia="zh-CN"/>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毛巾筐</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采用仿藤线材手工编织而成，防腐防霉，内设置金属骨架坚固不易变形，尺寸：380*400mm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033145" cy="1156970"/>
                  <wp:effectExtent l="0" t="0" r="14605" b="5080"/>
                  <wp:docPr id="40" name="图片_6"/>
                  <wp:cNvGraphicFramePr/>
                  <a:graphic xmlns:a="http://schemas.openxmlformats.org/drawingml/2006/main">
                    <a:graphicData uri="http://schemas.openxmlformats.org/drawingml/2006/picture">
                      <pic:pic xmlns:pic="http://schemas.openxmlformats.org/drawingml/2006/picture">
                        <pic:nvPicPr>
                          <pic:cNvPr id="40" name="图片_6"/>
                          <pic:cNvPicPr/>
                        </pic:nvPicPr>
                        <pic:blipFill>
                          <a:blip r:embed="rId17" cstate="print"/>
                          <a:stretch>
                            <a:fillRect/>
                          </a:stretch>
                        </pic:blipFill>
                        <pic:spPr>
                          <a:xfrm>
                            <a:off x="0" y="0"/>
                            <a:ext cx="1033145" cy="11569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sz w:val="26"/>
                <w:szCs w:val="26"/>
                <w:lang w:val="en-US" w:eastAsia="zh-CN"/>
              </w:rPr>
              <w:t>9</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电开水壶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120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材质：304不锈钢，容量：1.7L，最大功率:1800W</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09295" cy="810895"/>
                  <wp:effectExtent l="0" t="0" r="14605" b="8255"/>
                  <wp:docPr id="41" name="图片_20"/>
                  <wp:cNvGraphicFramePr/>
                  <a:graphic xmlns:a="http://schemas.openxmlformats.org/drawingml/2006/main">
                    <a:graphicData uri="http://schemas.openxmlformats.org/drawingml/2006/picture">
                      <pic:pic xmlns:pic="http://schemas.openxmlformats.org/drawingml/2006/picture">
                        <pic:nvPicPr>
                          <pic:cNvPr id="41" name="图片_20"/>
                          <pic:cNvPicPr/>
                        </pic:nvPicPr>
                        <pic:blipFill>
                          <a:blip r:embed="rId18" cstate="print"/>
                          <a:stretch>
                            <a:fillRect/>
                          </a:stretch>
                        </pic:blipFill>
                        <pic:spPr>
                          <a:xfrm>
                            <a:off x="0" y="0"/>
                            <a:ext cx="709295" cy="8108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92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防火面具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134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1套*1*1.符合GB21976.7-2012《建筑火灾逃生避难器材第7部分:过滤式消防自救呼吸器》标准，提供国家消防装备质量监督检验中心出具的检验报告及3C认证证书复印件;2.可有效防护火灾时产生的一氧化碳（CO )、氰化氢.(HCN)、有毒烟露对人体的伤害﹔具有阻燃性能﹔3.防护时间≥30min ;4.吸气阻力≤800Pa，呼气阻力≤300Pa ;5.微粒过滤性能≥95%;6.重量≤1000g.，尺寸：220*150*120mm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42365" cy="1163955"/>
                  <wp:effectExtent l="0" t="0" r="635" b="17145"/>
                  <wp:docPr id="42" name="图片_13"/>
                  <wp:cNvGraphicFramePr/>
                  <a:graphic xmlns:a="http://schemas.openxmlformats.org/drawingml/2006/main">
                    <a:graphicData uri="http://schemas.openxmlformats.org/drawingml/2006/picture">
                      <pic:pic xmlns:pic="http://schemas.openxmlformats.org/drawingml/2006/picture">
                        <pic:nvPicPr>
                          <pic:cNvPr id="42" name="图片_13"/>
                          <pic:cNvPicPr/>
                        </pic:nvPicPr>
                        <pic:blipFill>
                          <a:blip r:embed="rId19" cstate="print"/>
                          <a:stretch>
                            <a:fillRect/>
                          </a:stretch>
                        </pic:blipFill>
                        <pic:spPr>
                          <a:xfrm>
                            <a:off x="0" y="0"/>
                            <a:ext cx="1142365" cy="11639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衬衣架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材质：木制，尺寸：440*240，无痕防脱落</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78560" cy="675640"/>
                  <wp:effectExtent l="0" t="0" r="2540" b="10160"/>
                  <wp:docPr id="43" name="图片_62"/>
                  <wp:cNvGraphicFramePr/>
                  <a:graphic xmlns:a="http://schemas.openxmlformats.org/drawingml/2006/main">
                    <a:graphicData uri="http://schemas.openxmlformats.org/drawingml/2006/picture">
                      <pic:pic xmlns:pic="http://schemas.openxmlformats.org/drawingml/2006/picture">
                        <pic:nvPicPr>
                          <pic:cNvPr id="43" name="图片_62"/>
                          <pic:cNvPicPr/>
                        </pic:nvPicPr>
                        <pic:blipFill>
                          <a:blip r:embed="rId20" cstate="print"/>
                          <a:stretch>
                            <a:fillRect/>
                          </a:stretch>
                        </pic:blipFill>
                        <pic:spPr>
                          <a:xfrm>
                            <a:off x="0" y="0"/>
                            <a:ext cx="1178560" cy="6756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烟灰缸</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w:t>
            </w:r>
          </w:p>
        </w:tc>
        <w:tc>
          <w:tcPr>
            <w:tcW w:w="3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陶瓷，3.5寸</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47445" cy="780415"/>
                  <wp:effectExtent l="0" t="0" r="14605" b="635"/>
                  <wp:docPr id="44" name="图片_10"/>
                  <wp:cNvGraphicFramePr/>
                  <a:graphic xmlns:a="http://schemas.openxmlformats.org/drawingml/2006/main">
                    <a:graphicData uri="http://schemas.openxmlformats.org/drawingml/2006/picture">
                      <pic:pic xmlns:pic="http://schemas.openxmlformats.org/drawingml/2006/picture">
                        <pic:nvPicPr>
                          <pic:cNvPr id="44" name="图片_10"/>
                          <pic:cNvPicPr/>
                        </pic:nvPicPr>
                        <pic:blipFill>
                          <a:blip r:embed="rId21" cstate="print"/>
                          <a:stretch>
                            <a:fillRect/>
                          </a:stretch>
                        </pic:blipFill>
                        <pic:spPr>
                          <a:xfrm>
                            <a:off x="0" y="0"/>
                            <a:ext cx="1147445" cy="7804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小茶叶罐</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材质：马口铁罐，工艺特种纸，烫金。尺寸:100*100*130mm，容量：约120g</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62050" cy="892175"/>
                  <wp:effectExtent l="0" t="0" r="0" b="3175"/>
                  <wp:docPr id="45" name="图片_11"/>
                  <wp:cNvGraphicFramePr/>
                  <a:graphic xmlns:a="http://schemas.openxmlformats.org/drawingml/2006/main">
                    <a:graphicData uri="http://schemas.openxmlformats.org/drawingml/2006/picture">
                      <pic:pic xmlns:pic="http://schemas.openxmlformats.org/drawingml/2006/picture">
                        <pic:nvPicPr>
                          <pic:cNvPr id="45" name="图片_11"/>
                          <pic:cNvPicPr/>
                        </pic:nvPicPr>
                        <pic:blipFill>
                          <a:blip r:embed="rId22" cstate="print"/>
                          <a:stretch>
                            <a:fillRect/>
                          </a:stretch>
                        </pic:blipFill>
                        <pic:spPr>
                          <a:xfrm>
                            <a:off x="0" y="0"/>
                            <a:ext cx="1162050" cy="8921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highlight w:val="none"/>
                <w:lang w:val="en-US" w:eastAsia="zh-CN"/>
              </w:rPr>
            </w:pPr>
            <w:r>
              <w:rPr>
                <w:rFonts w:hint="eastAsia" w:ascii="宋体" w:hAnsi="宋体" w:eastAsia="宋体" w:cs="宋体"/>
                <w:color w:val="000000"/>
                <w:kern w:val="0"/>
                <w:sz w:val="26"/>
                <w:szCs w:val="26"/>
                <w:highlight w:val="none"/>
              </w:rPr>
              <w:t>1</w:t>
            </w:r>
            <w:r>
              <w:rPr>
                <w:rFonts w:hint="eastAsia" w:ascii="宋体" w:hAnsi="宋体" w:eastAsia="宋体" w:cs="宋体"/>
                <w:color w:val="000000"/>
                <w:kern w:val="0"/>
                <w:sz w:val="26"/>
                <w:szCs w:val="26"/>
                <w:highlight w:val="none"/>
                <w:lang w:val="en-US" w:eastAsia="zh-CN"/>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sz w:val="26"/>
                <w:szCs w:val="26"/>
                <w:highlight w:val="none"/>
              </w:rPr>
              <w:t>落地衣架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6</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6"/>
                <w:szCs w:val="26"/>
                <w:highlight w:val="none"/>
                <w:lang w:eastAsia="zh-CN"/>
              </w:rPr>
            </w:pPr>
            <w:r>
              <w:rPr>
                <w:rStyle w:val="163"/>
                <w:rFonts w:hint="default"/>
                <w:color w:val="auto"/>
                <w:highlight w:val="none"/>
              </w:rPr>
              <w:t>材质：</w:t>
            </w:r>
            <w:r>
              <w:rPr>
                <w:rStyle w:val="163"/>
                <w:color w:val="auto"/>
                <w:highlight w:val="none"/>
              </w:rPr>
              <w:t>实木</w:t>
            </w:r>
            <w:r>
              <w:rPr>
                <w:rStyle w:val="163"/>
                <w:rFonts w:hint="default"/>
                <w:color w:val="auto"/>
                <w:highlight w:val="none"/>
              </w:rPr>
              <w:t>，</w:t>
            </w:r>
            <w:r>
              <w:rPr>
                <w:rStyle w:val="163"/>
                <w:color w:val="auto"/>
                <w:highlight w:val="none"/>
              </w:rPr>
              <w:t>厚重地盘，稳重不晃。尺寸：</w:t>
            </w:r>
            <w:r>
              <w:rPr>
                <w:rStyle w:val="163"/>
                <w:rFonts w:hint="default"/>
                <w:color w:val="auto"/>
                <w:highlight w:val="none"/>
              </w:rPr>
              <w:t xml:space="preserve"> *</w:t>
            </w:r>
            <w:r>
              <w:rPr>
                <w:rFonts w:ascii="宋体" w:hAnsi="宋体" w:eastAsia="宋体" w:cs="宋体"/>
                <w:sz w:val="26"/>
                <w:szCs w:val="26"/>
                <w:highlight w:val="none"/>
              </w:rPr>
              <w:t xml:space="preserve"> </w:t>
            </w:r>
            <w:r>
              <w:rPr>
                <w:rFonts w:hint="eastAsia" w:ascii="宋体" w:hAnsi="宋体" w:eastAsia="宋体" w:cs="宋体"/>
                <w:sz w:val="26"/>
                <w:szCs w:val="26"/>
                <w:highlight w:val="none"/>
              </w:rPr>
              <w:t>长80CM*宽30CM*</w:t>
            </w:r>
            <w:r>
              <w:rPr>
                <w:rStyle w:val="163"/>
                <w:rFonts w:hint="default"/>
                <w:color w:val="auto"/>
                <w:highlight w:val="none"/>
              </w:rPr>
              <w:t>高180CM（矮边150CM）</w:t>
            </w:r>
            <w:r>
              <w:rPr>
                <w:rStyle w:val="163"/>
                <w:rFonts w:hint="eastAsia" w:eastAsia="宋体"/>
                <w:color w:val="auto"/>
                <w:highlight w:val="none"/>
                <w:lang w:eastAsia="zh-CN"/>
              </w:rPr>
              <w:t>配同款衣架</w:t>
            </w:r>
            <w:r>
              <w:rPr>
                <w:rStyle w:val="163"/>
                <w:rFonts w:hint="eastAsia" w:eastAsia="宋体"/>
                <w:color w:val="auto"/>
                <w:highlight w:val="none"/>
                <w:lang w:val="en-US" w:eastAsia="zh-CN"/>
              </w:rPr>
              <w:t>5个</w:t>
            </w:r>
            <w:r>
              <w:rPr>
                <w:rStyle w:val="163"/>
                <w:rFonts w:hint="eastAsia" w:eastAsia="宋体"/>
                <w:color w:val="auto"/>
                <w:highlight w:val="none"/>
                <w:lang w:eastAsia="zh-CN"/>
              </w:rPr>
              <w:t>，颜色可选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eastAsia="zh-CN"/>
              </w:rPr>
            </w:pPr>
            <w:r>
              <w:rPr>
                <w:rFonts w:hint="eastAsia" w:ascii="宋体" w:hAnsi="宋体" w:eastAsia="宋体" w:cs="宋体"/>
                <w:color w:val="000000"/>
                <w:sz w:val="26"/>
                <w:szCs w:val="26"/>
                <w:lang w:eastAsia="zh-CN"/>
              </w:rPr>
              <w:drawing>
                <wp:inline distT="0" distB="0" distL="114300" distR="114300">
                  <wp:extent cx="1077595" cy="1235710"/>
                  <wp:effectExtent l="0" t="0" r="8255" b="2540"/>
                  <wp:docPr id="3" name="图片 3" descr="1640233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0233151(1)"/>
                          <pic:cNvPicPr>
                            <a:picLocks noChangeAspect="1"/>
                          </pic:cNvPicPr>
                        </pic:nvPicPr>
                        <pic:blipFill>
                          <a:blip r:embed="rId23"/>
                          <a:stretch>
                            <a:fillRect/>
                          </a:stretch>
                        </pic:blipFill>
                        <pic:spPr>
                          <a:xfrm>
                            <a:off x="0" y="0"/>
                            <a:ext cx="1077595" cy="1235710"/>
                          </a:xfrm>
                          <a:prstGeom prst="rect">
                            <a:avLst/>
                          </a:prstGeom>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highlight w:val="none"/>
                <w:lang w:val="en-US" w:eastAsia="zh-CN"/>
              </w:rPr>
            </w:pPr>
            <w:r>
              <w:rPr>
                <w:rFonts w:hint="eastAsia" w:ascii="宋体" w:hAnsi="宋体" w:eastAsia="宋体" w:cs="宋体"/>
                <w:color w:val="000000"/>
                <w:kern w:val="0"/>
                <w:sz w:val="26"/>
                <w:szCs w:val="26"/>
                <w:highlight w:val="none"/>
              </w:rPr>
              <w:t>1</w:t>
            </w:r>
            <w:r>
              <w:rPr>
                <w:rFonts w:hint="eastAsia" w:ascii="宋体" w:hAnsi="宋体" w:eastAsia="宋体" w:cs="宋体"/>
                <w:color w:val="000000"/>
                <w:kern w:val="0"/>
                <w:sz w:val="26"/>
                <w:szCs w:val="26"/>
                <w:highlight w:val="none"/>
                <w:lang w:val="en-US" w:eastAsia="zh-CN"/>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sz w:val="26"/>
                <w:szCs w:val="26"/>
                <w:highlight w:val="none"/>
              </w:rPr>
              <w:t>客房挂画</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67</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6"/>
                <w:szCs w:val="26"/>
                <w:highlight w:val="none"/>
              </w:rPr>
            </w:pPr>
            <w:r>
              <w:rPr>
                <w:rFonts w:hint="eastAsia" w:ascii="宋体" w:hAnsi="宋体" w:eastAsia="宋体" w:cs="宋体"/>
                <w:sz w:val="26"/>
                <w:szCs w:val="26"/>
                <w:highlight w:val="none"/>
              </w:rPr>
              <w:t>尺寸：50cm*40cm，材质：外框木制覆膜</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drawing>
                <wp:inline distT="0" distB="0" distL="114300" distR="114300">
                  <wp:extent cx="1077595" cy="1061720"/>
                  <wp:effectExtent l="0" t="0" r="825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cstate="print"/>
                          <a:stretch>
                            <a:fillRect/>
                          </a:stretch>
                        </pic:blipFill>
                        <pic:spPr>
                          <a:xfrm>
                            <a:off x="0" y="0"/>
                            <a:ext cx="1077595" cy="10617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4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吹风机</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电机：AC大交流机芯，性能：风力强劲，十字金属出风口，不锈钢后网，颜色可选，最大功率：1800W，负离子吹风机4档位。</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46760" cy="1038860"/>
                  <wp:effectExtent l="0" t="0" r="15240" b="8890"/>
                  <wp:docPr id="48" name="图片_9"/>
                  <wp:cNvGraphicFramePr/>
                  <a:graphic xmlns:a="http://schemas.openxmlformats.org/drawingml/2006/main">
                    <a:graphicData uri="http://schemas.openxmlformats.org/drawingml/2006/picture">
                      <pic:pic xmlns:pic="http://schemas.openxmlformats.org/drawingml/2006/picture">
                        <pic:nvPicPr>
                          <pic:cNvPr id="48" name="图片_9"/>
                          <pic:cNvPicPr/>
                        </pic:nvPicPr>
                        <pic:blipFill>
                          <a:blip r:embed="rId25" cstate="print"/>
                          <a:stretch>
                            <a:fillRect/>
                          </a:stretch>
                        </pic:blipFill>
                        <pic:spPr>
                          <a:xfrm>
                            <a:off x="0" y="0"/>
                            <a:ext cx="746760" cy="10388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客房垃圾桶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不锈钢垃圾桶，10L黑色加厚款，尺寸：303*245mm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12140" cy="772160"/>
                  <wp:effectExtent l="0" t="0" r="16510" b="8890"/>
                  <wp:docPr id="49" name="图片_15"/>
                  <wp:cNvGraphicFramePr/>
                  <a:graphic xmlns:a="http://schemas.openxmlformats.org/drawingml/2006/main">
                    <a:graphicData uri="http://schemas.openxmlformats.org/drawingml/2006/picture">
                      <pic:pic xmlns:pic="http://schemas.openxmlformats.org/drawingml/2006/picture">
                        <pic:nvPicPr>
                          <pic:cNvPr id="49" name="图片_15"/>
                          <pic:cNvPicPr/>
                        </pic:nvPicPr>
                        <pic:blipFill>
                          <a:blip r:embed="rId26" cstate="print"/>
                          <a:stretch>
                            <a:fillRect/>
                          </a:stretch>
                        </pic:blipFill>
                        <pic:spPr>
                          <a:xfrm>
                            <a:off x="0" y="0"/>
                            <a:ext cx="612140" cy="772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1</w:t>
            </w:r>
            <w:r>
              <w:rPr>
                <w:rFonts w:hint="eastAsia" w:ascii="宋体" w:hAnsi="宋体" w:eastAsia="宋体" w:cs="宋体"/>
                <w:color w:val="000000"/>
                <w:kern w:val="0"/>
                <w:sz w:val="26"/>
                <w:szCs w:val="26"/>
                <w:lang w:val="en-US" w:eastAsia="zh-CN"/>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浴室垃圾桶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材质：阻燃塑料，尺寸：14L,阻燃标准：GB/T 30403-2013</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31520" cy="785495"/>
                  <wp:effectExtent l="0" t="0" r="11430" b="14605"/>
                  <wp:docPr id="50" name="图片_16"/>
                  <wp:cNvGraphicFramePr/>
                  <a:graphic xmlns:a="http://schemas.openxmlformats.org/drawingml/2006/main">
                    <a:graphicData uri="http://schemas.openxmlformats.org/drawingml/2006/picture">
                      <pic:pic xmlns:pic="http://schemas.openxmlformats.org/drawingml/2006/picture">
                        <pic:nvPicPr>
                          <pic:cNvPr id="50" name="图片_16"/>
                          <pic:cNvPicPr/>
                        </pic:nvPicPr>
                        <pic:blipFill>
                          <a:blip r:embed="rId27" cstate="print"/>
                          <a:stretch>
                            <a:fillRect/>
                          </a:stretch>
                        </pic:blipFill>
                        <pic:spPr>
                          <a:xfrm>
                            <a:off x="0" y="0"/>
                            <a:ext cx="731520" cy="785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95"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6"/>
                <w:szCs w:val="26"/>
                <w:lang w:val="en-US" w:eastAsia="zh-CN"/>
              </w:rPr>
            </w:pPr>
            <w:r>
              <w:rPr>
                <w:rFonts w:hint="eastAsia" w:ascii="宋体" w:hAnsi="宋体" w:eastAsia="宋体" w:cs="宋体"/>
                <w:color w:val="000000"/>
                <w:sz w:val="26"/>
                <w:szCs w:val="26"/>
                <w:lang w:val="en-US" w:eastAsia="zh-CN"/>
              </w:rPr>
              <w:t>19</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公区垃圾桶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30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材质：不锈钢，尺寸：290*290*720mm，顶部有落烟区，可拆装</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844550" cy="1216025"/>
                  <wp:effectExtent l="0" t="0" r="12700" b="3175"/>
                  <wp:docPr id="51" name="图片_17"/>
                  <wp:cNvGraphicFramePr/>
                  <a:graphic xmlns:a="http://schemas.openxmlformats.org/drawingml/2006/main">
                    <a:graphicData uri="http://schemas.openxmlformats.org/drawingml/2006/picture">
                      <pic:pic xmlns:pic="http://schemas.openxmlformats.org/drawingml/2006/picture">
                        <pic:nvPicPr>
                          <pic:cNvPr id="51" name="图片_17"/>
                          <pic:cNvPicPr/>
                        </pic:nvPicPr>
                        <pic:blipFill>
                          <a:blip r:embed="rId28" cstate="print"/>
                          <a:stretch>
                            <a:fillRect/>
                          </a:stretch>
                        </pic:blipFill>
                        <pic:spPr>
                          <a:xfrm>
                            <a:off x="0" y="0"/>
                            <a:ext cx="844550" cy="12160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小心地滑提示牌</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100%亚克力，手工印丝，激光切割，尺寸：245*120mmm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10615" cy="589280"/>
                  <wp:effectExtent l="0" t="0" r="13335" b="1270"/>
                  <wp:docPr id="52" name="图片_18"/>
                  <wp:cNvGraphicFramePr/>
                  <a:graphic xmlns:a="http://schemas.openxmlformats.org/drawingml/2006/main">
                    <a:graphicData uri="http://schemas.openxmlformats.org/drawingml/2006/picture">
                      <pic:pic xmlns:pic="http://schemas.openxmlformats.org/drawingml/2006/picture">
                        <pic:nvPicPr>
                          <pic:cNvPr id="52" name="图片_18"/>
                          <pic:cNvPicPr/>
                        </pic:nvPicPr>
                        <pic:blipFill>
                          <a:blip r:embed="rId29" cstate="print"/>
                          <a:stretch>
                            <a:fillRect/>
                          </a:stretch>
                        </pic:blipFill>
                        <pic:spPr>
                          <a:xfrm>
                            <a:off x="0" y="0"/>
                            <a:ext cx="1110615" cy="5892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漱口杯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材质：玻璃，尺寸：低径58mm，高84mm，口径80mm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15315" cy="808355"/>
                  <wp:effectExtent l="0" t="0" r="13335" b="10795"/>
                  <wp:docPr id="53" name="图片_60"/>
                  <wp:cNvGraphicFramePr/>
                  <a:graphic xmlns:a="http://schemas.openxmlformats.org/drawingml/2006/main">
                    <a:graphicData uri="http://schemas.openxmlformats.org/drawingml/2006/picture">
                      <pic:pic xmlns:pic="http://schemas.openxmlformats.org/drawingml/2006/picture">
                        <pic:nvPicPr>
                          <pic:cNvPr id="53" name="图片_60"/>
                          <pic:cNvPicPr/>
                        </pic:nvPicPr>
                        <pic:blipFill>
                          <a:blip r:embed="rId30" cstate="print"/>
                          <a:stretch>
                            <a:fillRect/>
                          </a:stretch>
                        </pic:blipFill>
                        <pic:spPr>
                          <a:xfrm>
                            <a:off x="0" y="0"/>
                            <a:ext cx="615315" cy="8083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双色茶杯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200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材质：玻璃，尺寸：高73mm，口径72mm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595630" cy="738505"/>
                  <wp:effectExtent l="0" t="0" r="13970" b="4445"/>
                  <wp:docPr id="54" name="图片_61"/>
                  <wp:cNvGraphicFramePr/>
                  <a:graphic xmlns:a="http://schemas.openxmlformats.org/drawingml/2006/main">
                    <a:graphicData uri="http://schemas.openxmlformats.org/drawingml/2006/picture">
                      <pic:pic xmlns:pic="http://schemas.openxmlformats.org/drawingml/2006/picture">
                        <pic:nvPicPr>
                          <pic:cNvPr id="54" name="图片_61"/>
                          <pic:cNvPicPr/>
                        </pic:nvPicPr>
                        <pic:blipFill>
                          <a:blip r:embed="rId31" cstate="print"/>
                          <a:stretch>
                            <a:fillRect/>
                          </a:stretch>
                        </pic:blipFill>
                        <pic:spPr>
                          <a:xfrm>
                            <a:off x="0" y="0"/>
                            <a:ext cx="595630" cy="7385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05"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皂液器</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安装方式：壁挂式，出液方式：手动按压，材质：ABS，单个产品容量：400ml</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21665" cy="1083945"/>
                  <wp:effectExtent l="0" t="0" r="6985" b="1905"/>
                  <wp:docPr id="55" name="图片_21"/>
                  <wp:cNvGraphicFramePr/>
                  <a:graphic xmlns:a="http://schemas.openxmlformats.org/drawingml/2006/main">
                    <a:graphicData uri="http://schemas.openxmlformats.org/drawingml/2006/picture">
                      <pic:pic xmlns:pic="http://schemas.openxmlformats.org/drawingml/2006/picture">
                        <pic:nvPicPr>
                          <pic:cNvPr id="55" name="图片_21"/>
                          <pic:cNvPicPr/>
                        </pic:nvPicPr>
                        <pic:blipFill>
                          <a:blip r:embed="rId32" cstate="print"/>
                          <a:stretch>
                            <a:fillRect/>
                          </a:stretch>
                        </pic:blipFill>
                        <pic:spPr>
                          <a:xfrm>
                            <a:off x="0" y="0"/>
                            <a:ext cx="621665" cy="10839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拖鞋</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双</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材质：塑料，尺寸：长270*40mm，颜色可选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84860" cy="638175"/>
                  <wp:effectExtent l="0" t="0" r="15240" b="9525"/>
                  <wp:docPr id="56" name="图片_22"/>
                  <wp:cNvGraphicFramePr/>
                  <a:graphic xmlns:a="http://schemas.openxmlformats.org/drawingml/2006/main">
                    <a:graphicData uri="http://schemas.openxmlformats.org/drawingml/2006/picture">
                      <pic:pic xmlns:pic="http://schemas.openxmlformats.org/drawingml/2006/picture">
                        <pic:nvPicPr>
                          <pic:cNvPr id="56" name="图片_22"/>
                          <pic:cNvPicPr/>
                        </pic:nvPicPr>
                        <pic:blipFill>
                          <a:blip r:embed="rId33" cstate="print"/>
                          <a:stretch>
                            <a:fillRect/>
                          </a:stretch>
                        </pic:blipFill>
                        <pic:spPr>
                          <a:xfrm>
                            <a:off x="0" y="0"/>
                            <a:ext cx="784860" cy="6381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25"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行李车(手推式)</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辆</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材质：不锈钢，尺寸：1100*650*1860，轮子：6寸常规轮，承重：500公斤</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93750" cy="1069975"/>
                  <wp:effectExtent l="0" t="0" r="6350" b="15875"/>
                  <wp:docPr id="57" name="图片_23"/>
                  <wp:cNvGraphicFramePr/>
                  <a:graphic xmlns:a="http://schemas.openxmlformats.org/drawingml/2006/main">
                    <a:graphicData uri="http://schemas.openxmlformats.org/drawingml/2006/picture">
                      <pic:pic xmlns:pic="http://schemas.openxmlformats.org/drawingml/2006/picture">
                        <pic:nvPicPr>
                          <pic:cNvPr id="57" name="图片_23"/>
                          <pic:cNvPicPr/>
                        </pic:nvPicPr>
                        <pic:blipFill>
                          <a:blip r:embed="rId34" cstate="print"/>
                          <a:stretch>
                            <a:fillRect/>
                          </a:stretch>
                        </pic:blipFill>
                        <pic:spPr>
                          <a:xfrm>
                            <a:off x="0" y="0"/>
                            <a:ext cx="793750" cy="1069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1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客房工作车</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辆</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材质：铁烤漆、牛津布，尺寸：1320*460*1100mm（含轮子）</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039495" cy="1049655"/>
                  <wp:effectExtent l="0" t="0" r="8255" b="17145"/>
                  <wp:docPr id="58" name="图片_24"/>
                  <wp:cNvGraphicFramePr/>
                  <a:graphic xmlns:a="http://schemas.openxmlformats.org/drawingml/2006/main">
                    <a:graphicData uri="http://schemas.openxmlformats.org/drawingml/2006/picture">
                      <pic:pic xmlns:pic="http://schemas.openxmlformats.org/drawingml/2006/picture">
                        <pic:nvPicPr>
                          <pic:cNvPr id="58" name="图片_24"/>
                          <pic:cNvPicPr/>
                        </pic:nvPicPr>
                        <pic:blipFill>
                          <a:blip r:embed="rId35" cstate="print"/>
                          <a:stretch>
                            <a:fillRect/>
                          </a:stretch>
                        </pic:blipFill>
                        <pic:spPr>
                          <a:xfrm>
                            <a:off x="0" y="0"/>
                            <a:ext cx="1039495" cy="10496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85"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布草车</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辆</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材质：不锈钢、牛津布，尺寸：1160*650*940mm（含轮子）</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019175" cy="1071880"/>
                  <wp:effectExtent l="0" t="0" r="9525" b="13970"/>
                  <wp:docPr id="59" name="图片_25"/>
                  <wp:cNvGraphicFramePr/>
                  <a:graphic xmlns:a="http://schemas.openxmlformats.org/drawingml/2006/main">
                    <a:graphicData uri="http://schemas.openxmlformats.org/drawingml/2006/picture">
                      <pic:pic xmlns:pic="http://schemas.openxmlformats.org/drawingml/2006/picture">
                        <pic:nvPicPr>
                          <pic:cNvPr id="59" name="图片_25"/>
                          <pic:cNvPicPr/>
                        </pic:nvPicPr>
                        <pic:blipFill>
                          <a:blip r:embed="rId36" cstate="print"/>
                          <a:stretch>
                            <a:fillRect/>
                          </a:stretch>
                        </pic:blipFill>
                        <pic:spPr>
                          <a:xfrm>
                            <a:off x="0" y="0"/>
                            <a:ext cx="1019175" cy="10718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2</w:t>
            </w:r>
            <w:r>
              <w:rPr>
                <w:rFonts w:hint="eastAsia" w:ascii="宋体" w:hAnsi="宋体" w:eastAsia="宋体" w:cs="宋体"/>
                <w:color w:val="000000"/>
                <w:kern w:val="0"/>
                <w:sz w:val="26"/>
                <w:szCs w:val="26"/>
                <w:lang w:val="en-US" w:eastAsia="zh-CN"/>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防滑垫</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100%天然橡胶防滑垫，尺寸：700*400mm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991235" cy="719455"/>
                  <wp:effectExtent l="0" t="0" r="18415" b="4445"/>
                  <wp:docPr id="60" name="图片_31"/>
                  <wp:cNvGraphicFramePr/>
                  <a:graphic xmlns:a="http://schemas.openxmlformats.org/drawingml/2006/main">
                    <a:graphicData uri="http://schemas.openxmlformats.org/drawingml/2006/picture">
                      <pic:pic xmlns:pic="http://schemas.openxmlformats.org/drawingml/2006/picture">
                        <pic:nvPicPr>
                          <pic:cNvPr id="60" name="图片_31"/>
                          <pic:cNvPicPr/>
                        </pic:nvPicPr>
                        <pic:blipFill>
                          <a:blip r:embed="rId37" cstate="print"/>
                          <a:stretch>
                            <a:fillRect/>
                          </a:stretch>
                        </pic:blipFill>
                        <pic:spPr>
                          <a:xfrm>
                            <a:off x="0" y="0"/>
                            <a:ext cx="991235" cy="7194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01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6"/>
                <w:szCs w:val="26"/>
                <w:lang w:val="en-US" w:eastAsia="zh-CN"/>
              </w:rPr>
            </w:pPr>
            <w:r>
              <w:rPr>
                <w:rFonts w:hint="eastAsia" w:ascii="宋体" w:hAnsi="宋体" w:eastAsia="宋体" w:cs="宋体"/>
                <w:color w:val="000000"/>
                <w:sz w:val="26"/>
                <w:szCs w:val="26"/>
                <w:lang w:val="en-US" w:eastAsia="zh-CN"/>
              </w:rPr>
              <w:t>29</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吸尘器</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功率：1200W，线长：10m，附加功能：消毒 除菌，可清洁500-2000平方米</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55955" cy="1079500"/>
                  <wp:effectExtent l="0" t="0" r="10795" b="6350"/>
                  <wp:docPr id="61" name="图片_32"/>
                  <wp:cNvGraphicFramePr/>
                  <a:graphic xmlns:a="http://schemas.openxmlformats.org/drawingml/2006/main">
                    <a:graphicData uri="http://schemas.openxmlformats.org/drawingml/2006/picture">
                      <pic:pic xmlns:pic="http://schemas.openxmlformats.org/drawingml/2006/picture">
                        <pic:nvPicPr>
                          <pic:cNvPr id="61" name="图片_32"/>
                          <pic:cNvPicPr/>
                        </pic:nvPicPr>
                        <pic:blipFill>
                          <a:blip r:embed="rId38" cstate="print"/>
                          <a:stretch>
                            <a:fillRect/>
                          </a:stretch>
                        </pic:blipFill>
                        <pic:spPr>
                          <a:xfrm>
                            <a:off x="0" y="0"/>
                            <a:ext cx="655955" cy="10795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擦鞋机</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2</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电压：100V，尺寸：500*350*850mm，全自动感应，中间带鞋油储存器</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710565" cy="1094740"/>
                  <wp:effectExtent l="0" t="0" r="13335" b="10160"/>
                  <wp:docPr id="62" name="图片_33"/>
                  <wp:cNvGraphicFramePr/>
                  <a:graphic xmlns:a="http://schemas.openxmlformats.org/drawingml/2006/main">
                    <a:graphicData uri="http://schemas.openxmlformats.org/drawingml/2006/picture">
                      <pic:pic xmlns:pic="http://schemas.openxmlformats.org/drawingml/2006/picture">
                        <pic:nvPicPr>
                          <pic:cNvPr id="62" name="图片_33"/>
                          <pic:cNvPicPr/>
                        </pic:nvPicPr>
                        <pic:blipFill>
                          <a:blip r:embed="rId39" cstate="print"/>
                          <a:stretch>
                            <a:fillRect/>
                          </a:stretch>
                        </pic:blipFill>
                        <pic:spPr>
                          <a:xfrm>
                            <a:off x="0" y="0"/>
                            <a:ext cx="710565" cy="10947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雨伞架</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2</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材质：烤漆工艺，防水防锈，尺寸：560*450*870mm，20孔</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861695" cy="1066165"/>
                  <wp:effectExtent l="0" t="0" r="14605" b="635"/>
                  <wp:docPr id="63" name="图片_34"/>
                  <wp:cNvGraphicFramePr/>
                  <a:graphic xmlns:a="http://schemas.openxmlformats.org/drawingml/2006/main">
                    <a:graphicData uri="http://schemas.openxmlformats.org/drawingml/2006/picture">
                      <pic:pic xmlns:pic="http://schemas.openxmlformats.org/drawingml/2006/picture">
                        <pic:nvPicPr>
                          <pic:cNvPr id="63" name="图片_34"/>
                          <pic:cNvPicPr/>
                        </pic:nvPicPr>
                        <pic:blipFill>
                          <a:blip r:embed="rId40" cstate="print"/>
                          <a:stretch>
                            <a:fillRect/>
                          </a:stretch>
                        </pic:blipFill>
                        <pic:spPr>
                          <a:xfrm>
                            <a:off x="0" y="0"/>
                            <a:ext cx="861695" cy="10661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雨伞</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40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直柄伞，全纤维架，尺寸：长950mm。伞下105mm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202565" cy="832485"/>
                  <wp:effectExtent l="0" t="0" r="6985" b="5715"/>
                  <wp:docPr id="64" name="图片_35"/>
                  <wp:cNvGraphicFramePr/>
                  <a:graphic xmlns:a="http://schemas.openxmlformats.org/drawingml/2006/main">
                    <a:graphicData uri="http://schemas.openxmlformats.org/drawingml/2006/picture">
                      <pic:pic xmlns:pic="http://schemas.openxmlformats.org/drawingml/2006/picture">
                        <pic:nvPicPr>
                          <pic:cNvPr id="64" name="图片_35"/>
                          <pic:cNvPicPr/>
                        </pic:nvPicPr>
                        <pic:blipFill>
                          <a:blip r:embed="rId41" cstate="print"/>
                          <a:stretch>
                            <a:fillRect/>
                          </a:stretch>
                        </pic:blipFill>
                        <pic:spPr>
                          <a:xfrm>
                            <a:off x="0" y="0"/>
                            <a:ext cx="202565" cy="8324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榨水车</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材质：塑料，容量：32L</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97865" cy="895350"/>
                  <wp:effectExtent l="0" t="0" r="6985" b="0"/>
                  <wp:docPr id="65" name="图片_36"/>
                  <wp:cNvGraphicFramePr/>
                  <a:graphic xmlns:a="http://schemas.openxmlformats.org/drawingml/2006/main">
                    <a:graphicData uri="http://schemas.openxmlformats.org/drawingml/2006/picture">
                      <pic:pic xmlns:pic="http://schemas.openxmlformats.org/drawingml/2006/picture">
                        <pic:nvPicPr>
                          <pic:cNvPr id="65" name="图片_36"/>
                          <pic:cNvPicPr/>
                        </pic:nvPicPr>
                        <pic:blipFill>
                          <a:blip r:embed="rId42" cstate="print"/>
                          <a:stretch>
                            <a:fillRect/>
                          </a:stretch>
                        </pic:blipFill>
                        <pic:spPr>
                          <a:xfrm>
                            <a:off x="0" y="0"/>
                            <a:ext cx="697865" cy="8953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90厘米尘推</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牛津布加棉线，拖把宽90厘米</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956945" cy="688975"/>
                  <wp:effectExtent l="0" t="0" r="14605" b="15875"/>
                  <wp:docPr id="66" name="图片_37"/>
                  <wp:cNvGraphicFramePr/>
                  <a:graphic xmlns:a="http://schemas.openxmlformats.org/drawingml/2006/main">
                    <a:graphicData uri="http://schemas.openxmlformats.org/drawingml/2006/picture">
                      <pic:pic xmlns:pic="http://schemas.openxmlformats.org/drawingml/2006/picture">
                        <pic:nvPicPr>
                          <pic:cNvPr id="66" name="图片_37"/>
                          <pic:cNvPicPr/>
                        </pic:nvPicPr>
                        <pic:blipFill>
                          <a:blip r:embed="rId43" cstate="print"/>
                          <a:stretch>
                            <a:fillRect/>
                          </a:stretch>
                        </pic:blipFill>
                        <pic:spPr>
                          <a:xfrm>
                            <a:off x="0" y="0"/>
                            <a:ext cx="956945" cy="688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7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保洁工具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双向擦，带伸缩杆，可擦5-35mm厚玻璃，雨刮器同款刮条。材质：PC+ADS，尺寸：190*100*50mm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815975" cy="934720"/>
                  <wp:effectExtent l="0" t="0" r="3175" b="17780"/>
                  <wp:docPr id="67" name="图片_38"/>
                  <wp:cNvGraphicFramePr/>
                  <a:graphic xmlns:a="http://schemas.openxmlformats.org/drawingml/2006/main">
                    <a:graphicData uri="http://schemas.openxmlformats.org/drawingml/2006/picture">
                      <pic:pic xmlns:pic="http://schemas.openxmlformats.org/drawingml/2006/picture">
                        <pic:nvPicPr>
                          <pic:cNvPr id="67" name="图片_38"/>
                          <pic:cNvPicPr/>
                        </pic:nvPicPr>
                        <pic:blipFill>
                          <a:blip r:embed="rId44" cstate="print"/>
                          <a:stretch>
                            <a:fillRect/>
                          </a:stretch>
                        </pic:blipFill>
                        <pic:spPr>
                          <a:xfrm>
                            <a:off x="0" y="0"/>
                            <a:ext cx="815975" cy="9347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公区烘手器</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红外感应，降噪高速风道，快速干手，进气过滤。加热功率：1200W，尺寸：248*170*250mm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946785" cy="1060450"/>
                  <wp:effectExtent l="0" t="0" r="5715" b="6350"/>
                  <wp:docPr id="68" name="图片_39"/>
                  <wp:cNvGraphicFramePr/>
                  <a:graphic xmlns:a="http://schemas.openxmlformats.org/drawingml/2006/main">
                    <a:graphicData uri="http://schemas.openxmlformats.org/drawingml/2006/picture">
                      <pic:pic xmlns:pic="http://schemas.openxmlformats.org/drawingml/2006/picture">
                        <pic:nvPicPr>
                          <pic:cNvPr id="68" name="图片_39"/>
                          <pic:cNvPicPr/>
                        </pic:nvPicPr>
                        <pic:blipFill>
                          <a:blip r:embed="rId45" cstate="print"/>
                          <a:stretch>
                            <a:fillRect/>
                          </a:stretch>
                        </pic:blipFill>
                        <pic:spPr>
                          <a:xfrm>
                            <a:off x="0" y="0"/>
                            <a:ext cx="946785" cy="10604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卫生间卷纸盒</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材质：塑料，免打孔，尺寸：285*285*115mm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678815" cy="793115"/>
                  <wp:effectExtent l="0" t="0" r="6985" b="6985"/>
                  <wp:docPr id="69" name="图片_40"/>
                  <wp:cNvGraphicFramePr/>
                  <a:graphic xmlns:a="http://schemas.openxmlformats.org/drawingml/2006/main">
                    <a:graphicData uri="http://schemas.openxmlformats.org/drawingml/2006/picture">
                      <pic:pic xmlns:pic="http://schemas.openxmlformats.org/drawingml/2006/picture">
                        <pic:nvPicPr>
                          <pic:cNvPr id="69" name="图片_40"/>
                          <pic:cNvPicPr/>
                        </pic:nvPicPr>
                        <pic:blipFill>
                          <a:blip r:embed="rId46" cstate="print"/>
                          <a:stretch>
                            <a:fillRect/>
                          </a:stretch>
                        </pic:blipFill>
                        <pic:spPr>
                          <a:xfrm>
                            <a:off x="0" y="0"/>
                            <a:ext cx="678815" cy="7931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3</w:t>
            </w:r>
            <w:r>
              <w:rPr>
                <w:rFonts w:hint="eastAsia" w:ascii="宋体" w:hAnsi="宋体" w:eastAsia="宋体" w:cs="宋体"/>
                <w:color w:val="000000"/>
                <w:kern w:val="0"/>
                <w:sz w:val="26"/>
                <w:szCs w:val="26"/>
                <w:lang w:val="en-US" w:eastAsia="zh-CN"/>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拖把</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材质：采用超细纤维，拖把头长36cm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368300" cy="758190"/>
                  <wp:effectExtent l="0" t="0" r="12700" b="3810"/>
                  <wp:docPr id="70" name="图片_41"/>
                  <wp:cNvGraphicFramePr/>
                  <a:graphic xmlns:a="http://schemas.openxmlformats.org/drawingml/2006/main">
                    <a:graphicData uri="http://schemas.openxmlformats.org/drawingml/2006/picture">
                      <pic:pic xmlns:pic="http://schemas.openxmlformats.org/drawingml/2006/picture">
                        <pic:nvPicPr>
                          <pic:cNvPr id="70" name="图片_41"/>
                          <pic:cNvPicPr/>
                        </pic:nvPicPr>
                        <pic:blipFill>
                          <a:blip r:embed="rId47" cstate="print"/>
                          <a:stretch>
                            <a:fillRect/>
                          </a:stretch>
                        </pic:blipFill>
                        <pic:spPr>
                          <a:xfrm>
                            <a:off x="0" y="0"/>
                            <a:ext cx="368300" cy="7581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6"/>
                <w:szCs w:val="26"/>
                <w:lang w:val="en-US" w:eastAsia="zh-CN"/>
              </w:rPr>
            </w:pPr>
            <w:r>
              <w:rPr>
                <w:rFonts w:hint="eastAsia" w:ascii="宋体" w:hAnsi="宋体" w:eastAsia="宋体" w:cs="宋体"/>
                <w:color w:val="000000"/>
                <w:sz w:val="26"/>
                <w:szCs w:val="26"/>
                <w:lang w:val="en-US" w:eastAsia="zh-CN"/>
              </w:rPr>
              <w:t>39</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电话机</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电话类别：有绳电话，定制LOGO，6组一键拨号，高清免提</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 xml:space="preserve"> </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832485" cy="732790"/>
                  <wp:effectExtent l="0" t="0" r="5715" b="10160"/>
                  <wp:docPr id="71" name="图片_42"/>
                  <wp:cNvGraphicFramePr/>
                  <a:graphic xmlns:a="http://schemas.openxmlformats.org/drawingml/2006/main">
                    <a:graphicData uri="http://schemas.openxmlformats.org/drawingml/2006/picture">
                      <pic:pic xmlns:pic="http://schemas.openxmlformats.org/drawingml/2006/picture">
                        <pic:nvPicPr>
                          <pic:cNvPr id="71" name="图片_42"/>
                          <pic:cNvPicPr/>
                        </pic:nvPicPr>
                        <pic:blipFill>
                          <a:blip r:embed="rId48" cstate="print"/>
                          <a:stretch>
                            <a:fillRect/>
                          </a:stretch>
                        </pic:blipFill>
                        <pic:spPr>
                          <a:xfrm>
                            <a:off x="0" y="0"/>
                            <a:ext cx="832485" cy="7327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台灯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75</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光源类型：led灯，工艺：电镀，灯身材质：铁，电压：111V-240V，尺寸：底座长340mm，高600mm，灯罩直径650mm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553085" cy="1049655"/>
                  <wp:effectExtent l="0" t="0" r="18415" b="17145"/>
                  <wp:docPr id="72" name="图片_43"/>
                  <wp:cNvGraphicFramePr/>
                  <a:graphic xmlns:a="http://schemas.openxmlformats.org/drawingml/2006/main">
                    <a:graphicData uri="http://schemas.openxmlformats.org/drawingml/2006/picture">
                      <pic:pic xmlns:pic="http://schemas.openxmlformats.org/drawingml/2006/picture">
                        <pic:nvPicPr>
                          <pic:cNvPr id="72" name="图片_43"/>
                          <pic:cNvPicPr/>
                        </pic:nvPicPr>
                        <pic:blipFill>
                          <a:blip r:embed="rId49" cstate="print"/>
                          <a:stretch>
                            <a:fillRect/>
                          </a:stretch>
                        </pic:blipFill>
                        <pic:spPr>
                          <a:xfrm>
                            <a:off x="0" y="0"/>
                            <a:ext cx="553085" cy="10496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各种指示牌</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材质：100%亚克力，手工印丝，激光切割</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937260" cy="855345"/>
                  <wp:effectExtent l="0" t="0" r="15240" b="1905"/>
                  <wp:docPr id="73" name="图片_44"/>
                  <wp:cNvGraphicFramePr/>
                  <a:graphic xmlns:a="http://schemas.openxmlformats.org/drawingml/2006/main">
                    <a:graphicData uri="http://schemas.openxmlformats.org/drawingml/2006/picture">
                      <pic:pic xmlns:pic="http://schemas.openxmlformats.org/drawingml/2006/picture">
                        <pic:nvPicPr>
                          <pic:cNvPr id="73" name="图片_44"/>
                          <pic:cNvPicPr/>
                        </pic:nvPicPr>
                        <pic:blipFill>
                          <a:blip r:embed="rId50" cstate="print"/>
                          <a:stretch>
                            <a:fillRect/>
                          </a:stretch>
                        </pic:blipFill>
                        <pic:spPr>
                          <a:xfrm>
                            <a:off x="0" y="0"/>
                            <a:ext cx="937260" cy="8553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房号指示牌</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6</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材质：100%亚克力，手工印丝，激光切割</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28395" cy="642620"/>
                  <wp:effectExtent l="0" t="0" r="14605" b="5080"/>
                  <wp:docPr id="74" name="图片_45"/>
                  <wp:cNvGraphicFramePr/>
                  <a:graphic xmlns:a="http://schemas.openxmlformats.org/drawingml/2006/main">
                    <a:graphicData uri="http://schemas.openxmlformats.org/drawingml/2006/picture">
                      <pic:pic xmlns:pic="http://schemas.openxmlformats.org/drawingml/2006/picture">
                        <pic:nvPicPr>
                          <pic:cNvPr id="74" name="图片_45"/>
                          <pic:cNvPicPr/>
                        </pic:nvPicPr>
                        <pic:blipFill>
                          <a:blip r:embed="rId51" cstate="print"/>
                          <a:stretch>
                            <a:fillRect/>
                          </a:stretch>
                        </pic:blipFill>
                        <pic:spPr>
                          <a:xfrm>
                            <a:off x="0" y="0"/>
                            <a:ext cx="1128395" cy="6426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消防楼层牌</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16</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光源类型: led灯，3C认证，尺寸：330*145*25mm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08710" cy="720090"/>
                  <wp:effectExtent l="0" t="0" r="15240" b="3810"/>
                  <wp:docPr id="75" name="图片_46"/>
                  <wp:cNvGraphicFramePr/>
                  <a:graphic xmlns:a="http://schemas.openxmlformats.org/drawingml/2006/main">
                    <a:graphicData uri="http://schemas.openxmlformats.org/drawingml/2006/picture">
                      <pic:pic xmlns:pic="http://schemas.openxmlformats.org/drawingml/2006/picture">
                        <pic:nvPicPr>
                          <pic:cNvPr id="75" name="图片_46"/>
                          <pic:cNvPicPr/>
                        </pic:nvPicPr>
                        <pic:blipFill>
                          <a:blip r:embed="rId52" cstate="print"/>
                          <a:stretch>
                            <a:fillRect/>
                          </a:stretch>
                        </pic:blipFill>
                        <pic:spPr>
                          <a:xfrm>
                            <a:off x="0" y="0"/>
                            <a:ext cx="1108710" cy="7200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1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客房防火图</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67</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材质：进口亚克力（透明）手工印丝，激光切割，尺寸：300*200mmm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565910" cy="1042035"/>
                  <wp:effectExtent l="0" t="0" r="15240" b="5715"/>
                  <wp:docPr id="76" name="图片_47"/>
                  <wp:cNvGraphicFramePr/>
                  <a:graphic xmlns:a="http://schemas.openxmlformats.org/drawingml/2006/main">
                    <a:graphicData uri="http://schemas.openxmlformats.org/drawingml/2006/picture">
                      <pic:pic xmlns:pic="http://schemas.openxmlformats.org/drawingml/2006/picture">
                        <pic:nvPicPr>
                          <pic:cNvPr id="76" name="图片_47"/>
                          <pic:cNvPicPr/>
                        </pic:nvPicPr>
                        <pic:blipFill>
                          <a:blip r:embed="rId53" cstate="print"/>
                          <a:stretch>
                            <a:fillRect/>
                          </a:stretch>
                        </pic:blipFill>
                        <pic:spPr>
                          <a:xfrm>
                            <a:off x="0" y="0"/>
                            <a:ext cx="1565910" cy="10420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6"/>
                <w:szCs w:val="26"/>
                <w:lang w:val="en-US" w:eastAsia="zh-CN"/>
              </w:rPr>
            </w:pPr>
            <w:r>
              <w:rPr>
                <w:rFonts w:hint="eastAsia" w:ascii="宋体" w:hAnsi="宋体" w:eastAsia="宋体" w:cs="宋体"/>
                <w:color w:val="000000"/>
                <w:kern w:val="0"/>
                <w:sz w:val="26"/>
                <w:szCs w:val="26"/>
              </w:rPr>
              <w:t>4</w:t>
            </w:r>
            <w:r>
              <w:rPr>
                <w:rFonts w:hint="eastAsia" w:ascii="宋体" w:hAnsi="宋体" w:eastAsia="宋体" w:cs="宋体"/>
                <w:color w:val="000000"/>
                <w:kern w:val="0"/>
                <w:sz w:val="26"/>
                <w:szCs w:val="26"/>
                <w:lang w:val="en-US" w:eastAsia="zh-CN"/>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公共防火图</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highlight w:val="none"/>
              </w:rPr>
            </w:pPr>
            <w:r>
              <w:rPr>
                <w:rFonts w:hint="eastAsia" w:ascii="宋体" w:hAnsi="宋体" w:eastAsia="宋体" w:cs="宋体"/>
                <w:color w:val="000000"/>
                <w:kern w:val="0"/>
                <w:sz w:val="26"/>
                <w:szCs w:val="26"/>
                <w:highlight w:val="none"/>
              </w:rPr>
              <w:t>6</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材质：进口亚克力，手工印丝，激光切割，尺寸：300*400mm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80820" cy="963930"/>
                  <wp:effectExtent l="0" t="0" r="5080" b="7620"/>
                  <wp:docPr id="77" name="图片_48"/>
                  <wp:cNvGraphicFramePr/>
                  <a:graphic xmlns:a="http://schemas.openxmlformats.org/drawingml/2006/main">
                    <a:graphicData uri="http://schemas.openxmlformats.org/drawingml/2006/picture">
                      <pic:pic xmlns:pic="http://schemas.openxmlformats.org/drawingml/2006/picture">
                        <pic:nvPicPr>
                          <pic:cNvPr id="77" name="图片_48"/>
                          <pic:cNvPicPr/>
                        </pic:nvPicPr>
                        <pic:blipFill>
                          <a:blip r:embed="rId54" cstate="print"/>
                          <a:stretch>
                            <a:fillRect/>
                          </a:stretch>
                        </pic:blipFill>
                        <pic:spPr>
                          <a:xfrm>
                            <a:off x="0" y="0"/>
                            <a:ext cx="1480820" cy="9639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40" w:hRule="atLeast"/>
        </w:trPr>
        <w:tc>
          <w:tcPr>
            <w:tcW w:w="9688" w:type="dxa"/>
            <w:gridSpan w:val="6"/>
            <w:tcBorders>
              <w:top w:val="nil"/>
              <w:left w:val="nil"/>
              <w:bottom w:val="nil"/>
              <w:right w:val="nil"/>
            </w:tcBorders>
            <w:shd w:val="clear" w:color="auto" w:fill="auto"/>
            <w:noWrap/>
            <w:vAlign w:val="center"/>
          </w:tcPr>
          <w:p>
            <w:pPr>
              <w:widowControl/>
              <w:jc w:val="left"/>
              <w:textAlignment w:val="center"/>
              <w:rPr>
                <w:rFonts w:ascii="宋体" w:hAnsi="宋体" w:eastAsia="宋体" w:cs="宋体"/>
                <w:color w:val="000000"/>
                <w:sz w:val="32"/>
                <w:szCs w:val="32"/>
              </w:rPr>
            </w:pPr>
            <w:r>
              <w:rPr>
                <w:rFonts w:hint="eastAsia" w:ascii="宋体" w:hAnsi="宋体" w:eastAsia="宋体" w:cs="宋体"/>
                <w:b/>
                <w:bCs/>
                <w:color w:val="000000"/>
                <w:kern w:val="0"/>
                <w:sz w:val="28"/>
                <w:szCs w:val="28"/>
              </w:rPr>
              <w:t>二、窗帘</w:t>
            </w:r>
          </w:p>
        </w:tc>
      </w:tr>
      <w:tr>
        <w:tblPrEx>
          <w:tblCellMar>
            <w:top w:w="0" w:type="dxa"/>
            <w:left w:w="108" w:type="dxa"/>
            <w:bottom w:w="0" w:type="dxa"/>
            <w:right w:w="108" w:type="dxa"/>
          </w:tblCellMar>
        </w:tblPrEx>
        <w:trPr>
          <w:trHeight w:val="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品名</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数量</w:t>
            </w:r>
          </w:p>
        </w:tc>
        <w:tc>
          <w:tcPr>
            <w:tcW w:w="3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图样</w:t>
            </w:r>
          </w:p>
        </w:tc>
      </w:tr>
      <w:tr>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窗帘布料</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6"/>
                <w:szCs w:val="26"/>
                <w:highlight w:val="none"/>
              </w:rPr>
            </w:pPr>
            <w:r>
              <w:rPr>
                <w:rFonts w:hint="eastAsia" w:ascii="宋体" w:hAnsi="宋体" w:eastAsia="宋体" w:cs="宋体"/>
                <w:color w:val="auto"/>
                <w:kern w:val="0"/>
                <w:sz w:val="26"/>
                <w:szCs w:val="26"/>
                <w:highlight w:val="none"/>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6"/>
                <w:szCs w:val="26"/>
                <w:highlight w:val="none"/>
              </w:rPr>
            </w:pPr>
            <w:r>
              <w:rPr>
                <w:rFonts w:hint="eastAsia" w:ascii="宋体" w:hAnsi="宋体" w:eastAsia="宋体" w:cs="宋体"/>
                <w:color w:val="auto"/>
                <w:kern w:val="0"/>
                <w:sz w:val="26"/>
                <w:szCs w:val="26"/>
                <w:highlight w:val="none"/>
              </w:rPr>
              <w:t>3.1*950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100%polyester  提花色织  经密度：62；纬密度：36.</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524000" cy="821055"/>
                  <wp:effectExtent l="0" t="0" r="0" b="17145"/>
                  <wp:docPr id="78" name="图片_49"/>
                  <wp:cNvGraphicFramePr/>
                  <a:graphic xmlns:a="http://schemas.openxmlformats.org/drawingml/2006/main">
                    <a:graphicData uri="http://schemas.openxmlformats.org/drawingml/2006/picture">
                      <pic:pic xmlns:pic="http://schemas.openxmlformats.org/drawingml/2006/picture">
                        <pic:nvPicPr>
                          <pic:cNvPr id="78" name="图片_49"/>
                          <pic:cNvPicPr/>
                        </pic:nvPicPr>
                        <pic:blipFill>
                          <a:blip r:embed="rId55" cstate="print"/>
                          <a:stretch>
                            <a:fillRect/>
                          </a:stretch>
                        </pic:blipFill>
                        <pic:spPr>
                          <a:xfrm>
                            <a:off x="0" y="0"/>
                            <a:ext cx="1524000" cy="8210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窗帘纱料</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6"/>
                <w:szCs w:val="26"/>
                <w:highlight w:val="none"/>
              </w:rPr>
            </w:pPr>
            <w:r>
              <w:rPr>
                <w:rFonts w:hint="eastAsia" w:ascii="宋体" w:hAnsi="宋体" w:eastAsia="宋体" w:cs="宋体"/>
                <w:color w:val="auto"/>
                <w:kern w:val="0"/>
                <w:sz w:val="26"/>
                <w:szCs w:val="26"/>
                <w:highlight w:val="none"/>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6"/>
                <w:szCs w:val="26"/>
                <w:highlight w:val="none"/>
              </w:rPr>
            </w:pPr>
            <w:r>
              <w:rPr>
                <w:rFonts w:hint="eastAsia" w:ascii="宋体" w:hAnsi="宋体" w:eastAsia="宋体" w:cs="宋体"/>
                <w:color w:val="auto"/>
                <w:kern w:val="0"/>
                <w:sz w:val="26"/>
                <w:szCs w:val="26"/>
                <w:highlight w:val="none"/>
              </w:rPr>
              <w:t>3.1*950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原料成分: 50%涤纶，50%混纺</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525905" cy="908685"/>
                  <wp:effectExtent l="0" t="0" r="17145" b="5715"/>
                  <wp:docPr id="79" name="图片_50"/>
                  <wp:cNvGraphicFramePr/>
                  <a:graphic xmlns:a="http://schemas.openxmlformats.org/drawingml/2006/main">
                    <a:graphicData uri="http://schemas.openxmlformats.org/drawingml/2006/picture">
                      <pic:pic xmlns:pic="http://schemas.openxmlformats.org/drawingml/2006/picture">
                        <pic:nvPicPr>
                          <pic:cNvPr id="79" name="图片_50"/>
                          <pic:cNvPicPr/>
                        </pic:nvPicPr>
                        <pic:blipFill>
                          <a:blip r:embed="rId56" cstate="print"/>
                          <a:stretch>
                            <a:fillRect/>
                          </a:stretch>
                        </pic:blipFill>
                        <pic:spPr>
                          <a:xfrm>
                            <a:off x="0" y="0"/>
                            <a:ext cx="1525905" cy="9086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窗帘布带</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950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原料成分: 聚酯纤维，聚酰胺塑料,尺寸：宽720mm</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533525" cy="567690"/>
                  <wp:effectExtent l="0" t="0" r="9525" b="3810"/>
                  <wp:docPr id="80" name="图片_51"/>
                  <wp:cNvGraphicFramePr/>
                  <a:graphic xmlns:a="http://schemas.openxmlformats.org/drawingml/2006/main">
                    <a:graphicData uri="http://schemas.openxmlformats.org/drawingml/2006/picture">
                      <pic:pic xmlns:pic="http://schemas.openxmlformats.org/drawingml/2006/picture">
                        <pic:nvPicPr>
                          <pic:cNvPr id="80" name="图片_51"/>
                          <pic:cNvPicPr/>
                        </pic:nvPicPr>
                        <pic:blipFill>
                          <a:blip r:embed="rId57" cstate="print"/>
                          <a:stretch>
                            <a:fillRect/>
                          </a:stretch>
                        </pic:blipFill>
                        <pic:spPr>
                          <a:xfrm>
                            <a:off x="0" y="0"/>
                            <a:ext cx="1533525" cy="5676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双轨道</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470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滑动装置: 钠米消音，材质：铝材</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71930" cy="820420"/>
                  <wp:effectExtent l="0" t="0" r="13970" b="17780"/>
                  <wp:docPr id="81" name="图片_52"/>
                  <wp:cNvGraphicFramePr/>
                  <a:graphic xmlns:a="http://schemas.openxmlformats.org/drawingml/2006/main">
                    <a:graphicData uri="http://schemas.openxmlformats.org/drawingml/2006/picture">
                      <pic:pic xmlns:pic="http://schemas.openxmlformats.org/drawingml/2006/picture">
                        <pic:nvPicPr>
                          <pic:cNvPr id="81" name="图片_52"/>
                          <pic:cNvPicPr/>
                        </pic:nvPicPr>
                        <pic:blipFill>
                          <a:blip r:embed="rId58" cstate="print"/>
                          <a:stretch>
                            <a:fillRect/>
                          </a:stretch>
                        </pic:blipFill>
                        <pic:spPr>
                          <a:xfrm>
                            <a:off x="0" y="0"/>
                            <a:ext cx="1471930" cy="8204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0" w:hRule="atLeast"/>
        </w:trPr>
        <w:tc>
          <w:tcPr>
            <w:tcW w:w="968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2"/>
                <w:szCs w:val="32"/>
              </w:rPr>
            </w:pPr>
            <w:r>
              <w:rPr>
                <w:rFonts w:hint="eastAsia" w:ascii="宋体" w:hAnsi="宋体" w:eastAsia="宋体" w:cs="宋体"/>
                <w:b/>
                <w:bCs/>
                <w:color w:val="000000"/>
                <w:kern w:val="0"/>
                <w:sz w:val="28"/>
                <w:szCs w:val="28"/>
              </w:rPr>
              <w:t>三、1.1米床（67间134床）</w:t>
            </w:r>
          </w:p>
        </w:tc>
      </w:tr>
      <w:tr>
        <w:tblPrEx>
          <w:tblCellMar>
            <w:top w:w="0" w:type="dxa"/>
            <w:left w:w="108" w:type="dxa"/>
            <w:bottom w:w="0" w:type="dxa"/>
            <w:right w:w="108" w:type="dxa"/>
          </w:tblCellMar>
        </w:tblPrEx>
        <w:trPr>
          <w:trHeight w:val="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品名</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数量</w:t>
            </w:r>
          </w:p>
        </w:tc>
        <w:tc>
          <w:tcPr>
            <w:tcW w:w="3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图样</w:t>
            </w:r>
          </w:p>
        </w:tc>
      </w:tr>
      <w:tr>
        <w:tblPrEx>
          <w:tblCellMar>
            <w:top w:w="0" w:type="dxa"/>
            <w:left w:w="108" w:type="dxa"/>
            <w:bottom w:w="0" w:type="dxa"/>
            <w:right w:w="108" w:type="dxa"/>
          </w:tblCellMar>
        </w:tblPrEx>
        <w:trPr>
          <w:trHeight w:val="1400" w:hRule="atLeast"/>
        </w:trPr>
        <w:tc>
          <w:tcPr>
            <w:tcW w:w="68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w:t>
            </w:r>
          </w:p>
        </w:tc>
        <w:tc>
          <w:tcPr>
            <w:tcW w:w="132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床单</w:t>
            </w:r>
          </w:p>
        </w:tc>
        <w:tc>
          <w:tcPr>
            <w:tcW w:w="6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400</w:t>
            </w:r>
          </w:p>
        </w:tc>
        <w:tc>
          <w:tcPr>
            <w:tcW w:w="3278"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尺寸：190*280厘米，100%全棉，80*80s 400T，白色。</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22400" cy="859155"/>
                  <wp:effectExtent l="0" t="0" r="6350" b="17145"/>
                  <wp:docPr id="82" name="图片_53"/>
                  <wp:cNvGraphicFramePr/>
                  <a:graphic xmlns:a="http://schemas.openxmlformats.org/drawingml/2006/main">
                    <a:graphicData uri="http://schemas.openxmlformats.org/drawingml/2006/picture">
                      <pic:pic xmlns:pic="http://schemas.openxmlformats.org/drawingml/2006/picture">
                        <pic:nvPicPr>
                          <pic:cNvPr id="82" name="图片_53"/>
                          <pic:cNvPicPr/>
                        </pic:nvPicPr>
                        <pic:blipFill>
                          <a:blip r:embed="rId59" cstate="print"/>
                          <a:stretch>
                            <a:fillRect/>
                          </a:stretch>
                        </pic:blipFill>
                        <pic:spPr>
                          <a:xfrm>
                            <a:off x="0" y="0"/>
                            <a:ext cx="1422400" cy="8591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被套</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600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尺寸：170*240，100%全棉，80*80s 400T, 风车花提花。</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377950" cy="762000"/>
                  <wp:effectExtent l="0" t="0" r="12700" b="0"/>
                  <wp:docPr id="83" name="图片_54"/>
                  <wp:cNvGraphicFramePr/>
                  <a:graphic xmlns:a="http://schemas.openxmlformats.org/drawingml/2006/main">
                    <a:graphicData uri="http://schemas.openxmlformats.org/drawingml/2006/picture">
                      <pic:pic xmlns:pic="http://schemas.openxmlformats.org/drawingml/2006/picture">
                        <pic:nvPicPr>
                          <pic:cNvPr id="83" name="图片_54"/>
                          <pic:cNvPicPr/>
                        </pic:nvPicPr>
                        <pic:blipFill>
                          <a:blip r:embed="rId60" cstate="print"/>
                          <a:stretch>
                            <a:fillRect/>
                          </a:stretch>
                        </pic:blipFill>
                        <pic:spPr>
                          <a:xfrm>
                            <a:off x="0" y="0"/>
                            <a:ext cx="1377950" cy="762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枕套</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800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尺寸：60*90厘米，100%全棉，80*80s 400T，白色。</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14145" cy="740410"/>
                  <wp:effectExtent l="0" t="0" r="14605" b="2540"/>
                  <wp:docPr id="84" name="图片_55"/>
                  <wp:cNvGraphicFramePr/>
                  <a:graphic xmlns:a="http://schemas.openxmlformats.org/drawingml/2006/main">
                    <a:graphicData uri="http://schemas.openxmlformats.org/drawingml/2006/picture">
                      <pic:pic xmlns:pic="http://schemas.openxmlformats.org/drawingml/2006/picture">
                        <pic:nvPicPr>
                          <pic:cNvPr id="84" name="图片_55"/>
                          <pic:cNvPicPr/>
                        </pic:nvPicPr>
                        <pic:blipFill>
                          <a:blip r:embed="rId61" cstate="print"/>
                          <a:stretch>
                            <a:fillRect/>
                          </a:stretch>
                        </pic:blipFill>
                        <pic:spPr>
                          <a:xfrm>
                            <a:off x="0" y="0"/>
                            <a:ext cx="1414145" cy="7404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150*220被芯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面料： 100%棉, 233T</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填充： 欧标1级， 90%白鹅绒10%白鹅毛</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填充重量: 164g/m2</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简单方格/切穿工艺;缝约25x25cm方格， 所有接缝处需加密封带； 双缝</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边，红色牙条区分                                                                                       尺寸：150*220厘米</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353820" cy="1304290"/>
                  <wp:effectExtent l="0" t="0" r="17780" b="10160"/>
                  <wp:docPr id="85" name="图片_58"/>
                  <wp:cNvGraphicFramePr/>
                  <a:graphic xmlns:a="http://schemas.openxmlformats.org/drawingml/2006/main">
                    <a:graphicData uri="http://schemas.openxmlformats.org/drawingml/2006/picture">
                      <pic:pic xmlns:pic="http://schemas.openxmlformats.org/drawingml/2006/picture">
                        <pic:nvPicPr>
                          <pic:cNvPr id="85" name="图片_58"/>
                          <pic:cNvPicPr/>
                        </pic:nvPicPr>
                        <pic:blipFill>
                          <a:blip r:embed="rId62" cstate="print"/>
                          <a:stretch>
                            <a:fillRect/>
                          </a:stretch>
                        </pic:blipFill>
                        <pic:spPr>
                          <a:xfrm>
                            <a:off x="0" y="0"/>
                            <a:ext cx="1353820" cy="13042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枕芯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面料： 100%棉, 233T， 双层面料；</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填充物：欧标1级， 50%白鹅绒，50%白鹅毛，无夹层，填充重量 :1600g</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尺寸：50 x 80厘米</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290320" cy="845820"/>
                  <wp:effectExtent l="0" t="0" r="5080" b="11430"/>
                  <wp:docPr id="86" name="图片_56"/>
                  <wp:cNvGraphicFramePr/>
                  <a:graphic xmlns:a="http://schemas.openxmlformats.org/drawingml/2006/main">
                    <a:graphicData uri="http://schemas.openxmlformats.org/drawingml/2006/picture">
                      <pic:pic xmlns:pic="http://schemas.openxmlformats.org/drawingml/2006/picture">
                        <pic:nvPicPr>
                          <pic:cNvPr id="86" name="图片_56"/>
                          <pic:cNvPicPr/>
                        </pic:nvPicPr>
                        <pic:blipFill>
                          <a:blip r:embed="rId61" cstate="print"/>
                          <a:stretch>
                            <a:fillRect/>
                          </a:stretch>
                        </pic:blipFill>
                        <pic:spPr>
                          <a:xfrm>
                            <a:off x="0" y="0"/>
                            <a:ext cx="1290320" cy="8458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6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荞麦枕芯</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全棉40s/T-230白色防羽布面料，三层枕，上下层分管充荞麦皮；中间层充短纤维1.2D与3D混配；1400g；双线车缝；经过防虫蛀、防菌、防过敏处理</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08430" cy="1026160"/>
                  <wp:effectExtent l="0" t="0" r="1270" b="2540"/>
                  <wp:docPr id="87" name="图片_57"/>
                  <wp:cNvGraphicFramePr/>
                  <a:graphic xmlns:a="http://schemas.openxmlformats.org/drawingml/2006/main">
                    <a:graphicData uri="http://schemas.openxmlformats.org/drawingml/2006/picture">
                      <pic:pic xmlns:pic="http://schemas.openxmlformats.org/drawingml/2006/picture">
                        <pic:nvPicPr>
                          <pic:cNvPr id="87" name="图片_57"/>
                          <pic:cNvPicPr/>
                        </pic:nvPicPr>
                        <pic:blipFill>
                          <a:blip r:embed="rId63" cstate="print"/>
                          <a:stretch>
                            <a:fillRect/>
                          </a:stretch>
                        </pic:blipFill>
                        <pic:spPr>
                          <a:xfrm>
                            <a:off x="0" y="0"/>
                            <a:ext cx="1408430" cy="1026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02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保护垫</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150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面料： 100%棉, 233TC</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填充：欧标1级， 90%白鹅毛， 10%白鹅绒</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填充重量：1550g/sqm</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立衬式工艺，高度7cm，间隔成四个主要区块；羽绒舒适垫必须加内层</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面料以防止钻绒，双缝边，                                                                        尺寸：110*200厘米</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493520" cy="1273175"/>
                  <wp:effectExtent l="0" t="0" r="11430" b="3175"/>
                  <wp:docPr id="88" name="图片_59"/>
                  <wp:cNvGraphicFramePr/>
                  <a:graphic xmlns:a="http://schemas.openxmlformats.org/drawingml/2006/main">
                    <a:graphicData uri="http://schemas.openxmlformats.org/drawingml/2006/picture">
                      <pic:pic xmlns:pic="http://schemas.openxmlformats.org/drawingml/2006/picture">
                        <pic:nvPicPr>
                          <pic:cNvPr id="88" name="图片_59"/>
                          <pic:cNvPicPr/>
                        </pic:nvPicPr>
                        <pic:blipFill>
                          <a:blip r:embed="rId64" cstate="print"/>
                          <a:stretch>
                            <a:fillRect/>
                          </a:stretch>
                        </pic:blipFill>
                        <pic:spPr>
                          <a:xfrm>
                            <a:off x="0" y="0"/>
                            <a:ext cx="1493520" cy="12731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品名</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数量</w:t>
            </w:r>
          </w:p>
        </w:tc>
        <w:tc>
          <w:tcPr>
            <w:tcW w:w="3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材质</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6"/>
                <w:szCs w:val="26"/>
              </w:rPr>
            </w:pPr>
            <w:r>
              <w:rPr>
                <w:rFonts w:hint="eastAsia" w:ascii="宋体" w:hAnsi="宋体" w:eastAsia="宋体" w:cs="宋体"/>
                <w:color w:val="000000"/>
                <w:sz w:val="26"/>
                <w:szCs w:val="26"/>
              </w:rPr>
              <w:t>图样</w:t>
            </w:r>
          </w:p>
        </w:tc>
      </w:tr>
      <w:tr>
        <w:tblPrEx>
          <w:tblCellMar>
            <w:top w:w="0" w:type="dxa"/>
            <w:left w:w="108" w:type="dxa"/>
            <w:bottom w:w="0" w:type="dxa"/>
            <w:right w:w="108" w:type="dxa"/>
          </w:tblCellMar>
        </w:tblPrEx>
        <w:trPr>
          <w:trHeight w:val="1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方巾32*32CM/</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60"/>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尺寸：32×32厘米</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重量：60克/条 16S</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颜色：白色平织</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成分：100%棉。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334135" cy="922020"/>
                  <wp:effectExtent l="0" t="0" r="18415" b="11430"/>
                  <wp:docPr id="89" name="图片_26"/>
                  <wp:cNvGraphicFramePr/>
                  <a:graphic xmlns:a="http://schemas.openxmlformats.org/drawingml/2006/main">
                    <a:graphicData uri="http://schemas.openxmlformats.org/drawingml/2006/picture">
                      <pic:pic xmlns:pic="http://schemas.openxmlformats.org/drawingml/2006/picture">
                        <pic:nvPicPr>
                          <pic:cNvPr id="89" name="图片_26"/>
                          <pic:cNvPicPr/>
                        </pic:nvPicPr>
                        <pic:blipFill>
                          <a:blip r:embed="rId65" cstate="print"/>
                          <a:stretch>
                            <a:fillRect/>
                          </a:stretch>
                        </pic:blipFill>
                        <pic:spPr>
                          <a:xfrm>
                            <a:off x="0" y="0"/>
                            <a:ext cx="1334135" cy="9220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面巾45*75CM/</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60"/>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尺寸：45×75厘米</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重量：180克/条 16S</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颜色：白色平织</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成分：100%棉。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198245" cy="894080"/>
                  <wp:effectExtent l="0" t="0" r="1905" b="1270"/>
                  <wp:docPr id="90" name="图片_27"/>
                  <wp:cNvGraphicFramePr/>
                  <a:graphic xmlns:a="http://schemas.openxmlformats.org/drawingml/2006/main">
                    <a:graphicData uri="http://schemas.openxmlformats.org/drawingml/2006/picture">
                      <pic:pic xmlns:pic="http://schemas.openxmlformats.org/drawingml/2006/picture">
                        <pic:nvPicPr>
                          <pic:cNvPr id="90" name="图片_27"/>
                          <pic:cNvPicPr/>
                        </pic:nvPicPr>
                        <pic:blipFill>
                          <a:blip r:embed="rId66" cstate="print"/>
                          <a:stretch>
                            <a:fillRect/>
                          </a:stretch>
                        </pic:blipFill>
                        <pic:spPr>
                          <a:xfrm>
                            <a:off x="0" y="0"/>
                            <a:ext cx="1198245" cy="894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浴巾150*80CM/</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400</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60"/>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rPr>
              <w:t>尺寸：150×80厘米</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重量：800克/条 16S</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颜色：白色平织</w:t>
            </w:r>
            <w:r>
              <w:rPr>
                <w:rFonts w:hint="eastAsia" w:ascii="宋体" w:hAnsi="宋体" w:eastAsia="宋体" w:cs="宋体"/>
                <w:color w:val="000000"/>
                <w:kern w:val="0"/>
                <w:sz w:val="26"/>
                <w:szCs w:val="26"/>
              </w:rPr>
              <w:br w:type="textWrapping"/>
            </w:r>
            <w:r>
              <w:rPr>
                <w:rFonts w:hint="eastAsia" w:ascii="宋体" w:hAnsi="宋体" w:eastAsia="宋体" w:cs="宋体"/>
                <w:color w:val="000000"/>
                <w:kern w:val="0"/>
                <w:sz w:val="26"/>
                <w:szCs w:val="26"/>
              </w:rPr>
              <w:t>成分：100%棉。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6"/>
                <w:szCs w:val="26"/>
              </w:rPr>
            </w:pPr>
            <w:r>
              <w:rPr>
                <w:rFonts w:hint="eastAsia" w:ascii="宋体" w:hAnsi="宋体" w:eastAsia="宋体" w:cs="宋体"/>
                <w:color w:val="000000"/>
                <w:kern w:val="0"/>
                <w:sz w:val="26"/>
                <w:szCs w:val="26"/>
                <w:bdr w:val="single" w:color="000000" w:sz="4" w:space="0"/>
              </w:rPr>
              <w:drawing>
                <wp:inline distT="0" distB="0" distL="114300" distR="114300">
                  <wp:extent cx="1240155" cy="889635"/>
                  <wp:effectExtent l="0" t="0" r="17145" b="5715"/>
                  <wp:docPr id="91" name="图片_28"/>
                  <wp:cNvGraphicFramePr/>
                  <a:graphic xmlns:a="http://schemas.openxmlformats.org/drawingml/2006/main">
                    <a:graphicData uri="http://schemas.openxmlformats.org/drawingml/2006/picture">
                      <pic:pic xmlns:pic="http://schemas.openxmlformats.org/drawingml/2006/picture">
                        <pic:nvPicPr>
                          <pic:cNvPr id="91" name="图片_28"/>
                          <pic:cNvPicPr/>
                        </pic:nvPicPr>
                        <pic:blipFill>
                          <a:blip r:embed="rId67" cstate="print"/>
                          <a:stretch>
                            <a:fillRect/>
                          </a:stretch>
                        </pic:blipFill>
                        <pic:spPr>
                          <a:xfrm>
                            <a:off x="0" y="0"/>
                            <a:ext cx="1240155" cy="8896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6"/>
                <w:szCs w:val="26"/>
              </w:rPr>
            </w:pPr>
            <w:r>
              <w:rPr>
                <w:rFonts w:hint="eastAsia" w:ascii="宋体" w:hAnsi="宋体" w:eastAsia="宋体" w:cs="宋体"/>
                <w:color w:val="000000"/>
                <w:kern w:val="0"/>
                <w:sz w:val="26"/>
                <w:szCs w:val="26"/>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6"/>
                <w:szCs w:val="26"/>
              </w:rPr>
            </w:pPr>
            <w:r>
              <w:rPr>
                <w:rFonts w:hint="eastAsia" w:ascii="宋体" w:hAnsi="宋体" w:eastAsia="宋体" w:cs="宋体"/>
                <w:color w:val="000000"/>
                <w:kern w:val="0"/>
                <w:sz w:val="26"/>
                <w:szCs w:val="26"/>
                <w:highlight w:val="none"/>
              </w:rPr>
              <w:t>床围</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6"/>
                <w:szCs w:val="26"/>
              </w:rPr>
            </w:pPr>
            <w:r>
              <w:rPr>
                <w:rFonts w:hint="eastAsia" w:ascii="宋体" w:hAnsi="宋体" w:eastAsia="宋体" w:cs="宋体"/>
                <w:color w:val="000000"/>
                <w:kern w:val="0"/>
                <w:sz w:val="26"/>
                <w:szCs w:val="26"/>
              </w:rPr>
              <w:t>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6"/>
                <w:szCs w:val="26"/>
              </w:rPr>
            </w:pPr>
            <w:r>
              <w:rPr>
                <w:rFonts w:hint="eastAsia" w:ascii="宋体" w:hAnsi="宋体" w:eastAsia="宋体" w:cs="宋体"/>
                <w:color w:val="000000"/>
                <w:kern w:val="0"/>
                <w:sz w:val="26"/>
                <w:szCs w:val="26"/>
              </w:rPr>
              <w:t>134</w:t>
            </w:r>
          </w:p>
        </w:tc>
        <w:tc>
          <w:tcPr>
            <w:tcW w:w="32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60"/>
              <w:jc w:val="center"/>
              <w:textAlignment w:val="center"/>
              <w:rPr>
                <w:rFonts w:ascii="宋体" w:hAnsi="宋体" w:eastAsia="宋体" w:cs="宋体"/>
                <w:color w:val="000000"/>
                <w:kern w:val="0"/>
                <w:sz w:val="26"/>
                <w:szCs w:val="26"/>
              </w:rPr>
            </w:pPr>
            <w:r>
              <w:rPr>
                <w:rFonts w:hint="eastAsia" w:ascii="宋体" w:hAnsi="宋体" w:eastAsia="宋体" w:cs="宋体"/>
                <w:color w:val="000000"/>
                <w:kern w:val="0"/>
                <w:sz w:val="26"/>
                <w:szCs w:val="26"/>
              </w:rPr>
              <w:t>尺寸:200*110+25厘米，布料：加密面料，不起球，耐脏，耐磨。颜色：可选</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6"/>
                <w:szCs w:val="26"/>
                <w:bdr w:val="single" w:color="000000" w:sz="4" w:space="0"/>
              </w:rPr>
            </w:pPr>
            <w:r>
              <w:drawing>
                <wp:inline distT="0" distB="0" distL="114300" distR="114300">
                  <wp:extent cx="1342390" cy="792480"/>
                  <wp:effectExtent l="0" t="0" r="1016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8" cstate="print"/>
                          <a:stretch>
                            <a:fillRect/>
                          </a:stretch>
                        </pic:blipFill>
                        <pic:spPr>
                          <a:xfrm>
                            <a:off x="0" y="0"/>
                            <a:ext cx="1342390" cy="792480"/>
                          </a:xfrm>
                          <a:prstGeom prst="rect">
                            <a:avLst/>
                          </a:prstGeom>
                          <a:noFill/>
                          <a:ln>
                            <a:noFill/>
                          </a:ln>
                        </pic:spPr>
                      </pic:pic>
                    </a:graphicData>
                  </a:graphic>
                </wp:inline>
              </w:drawing>
            </w:r>
          </w:p>
        </w:tc>
      </w:tr>
    </w:tbl>
    <w:p>
      <w:pPr>
        <w:pStyle w:val="2"/>
        <w:rPr>
          <w:rFonts w:hint="eastAsia" w:cs="Times New Roman" w:asciiTheme="minorEastAsia" w:hAnsiTheme="minorEastAsia"/>
          <w:sz w:val="24"/>
          <w:szCs w:val="24"/>
          <w:u w:val="single"/>
        </w:rPr>
      </w:pPr>
    </w:p>
    <w:p>
      <w:pPr>
        <w:spacing w:line="440" w:lineRule="exact"/>
        <w:jc w:val="both"/>
        <w:rPr>
          <w:rFonts w:ascii="宋体" w:hAnsi="宋体" w:eastAsia="宋体" w:cs="宋体"/>
          <w:b/>
          <w:sz w:val="24"/>
          <w:szCs w:val="24"/>
        </w:rPr>
      </w:pPr>
    </w:p>
    <w:p>
      <w:pPr>
        <w:rPr>
          <w:rFonts w:hint="eastAsia" w:ascii="宋体" w:hAnsi="宋体" w:eastAsia="宋体" w:cs="宋体"/>
          <w:b/>
          <w:sz w:val="24"/>
          <w:szCs w:val="24"/>
        </w:rPr>
      </w:pPr>
      <w:bookmarkStart w:id="804" w:name="_Toc5387"/>
      <w:r>
        <w:rPr>
          <w:rFonts w:hint="eastAsia" w:ascii="宋体" w:hAnsi="宋体" w:eastAsia="宋体" w:cs="宋体"/>
          <w:b/>
          <w:sz w:val="24"/>
          <w:szCs w:val="24"/>
        </w:rPr>
        <w:br w:type="page"/>
      </w:r>
    </w:p>
    <w:p>
      <w:pPr>
        <w:jc w:val="center"/>
        <w:outlineLvl w:val="0"/>
        <w:rPr>
          <w:rFonts w:ascii="宋体" w:hAnsi="宋体" w:eastAsia="宋体" w:cs="宋体"/>
          <w:b/>
          <w:sz w:val="24"/>
          <w:szCs w:val="24"/>
        </w:rPr>
      </w:pPr>
      <w:r>
        <w:rPr>
          <w:rFonts w:hint="eastAsia" w:ascii="宋体" w:hAnsi="宋体" w:eastAsia="宋体" w:cs="宋体"/>
          <w:b/>
          <w:sz w:val="24"/>
          <w:szCs w:val="24"/>
        </w:rPr>
        <w:t>第五章 竞争性磋商响应文件格式</w:t>
      </w:r>
      <w:bookmarkEnd w:id="804"/>
    </w:p>
    <w:p>
      <w:pPr>
        <w:outlineLvl w:val="9"/>
        <w:rPr>
          <w:rFonts w:ascii="宋体" w:hAnsi="Calibri" w:eastAsia="宋体" w:cs="宋体"/>
          <w:b/>
          <w:sz w:val="24"/>
          <w:szCs w:val="24"/>
        </w:rPr>
      </w:pPr>
    </w:p>
    <w:p>
      <w:pPr>
        <w:rPr>
          <w:rFonts w:ascii="宋体" w:hAnsi="Calibri" w:eastAsia="宋体" w:cs="宋体"/>
          <w:b/>
          <w:sz w:val="24"/>
          <w:szCs w:val="24"/>
        </w:rPr>
      </w:pPr>
    </w:p>
    <w:p>
      <w:pPr>
        <w:rPr>
          <w:rFonts w:ascii="宋体" w:hAnsi="Calibri" w:eastAsia="宋体" w:cs="宋体"/>
          <w:sz w:val="24"/>
          <w:szCs w:val="24"/>
          <w:u w:val="single"/>
        </w:rPr>
      </w:pPr>
      <w:r>
        <w:rPr>
          <w:rFonts w:hint="eastAsia" w:ascii="宋体" w:hAnsi="宋体" w:eastAsia="宋体" w:cs="宋体"/>
          <w:sz w:val="24"/>
          <w:szCs w:val="24"/>
          <w:u w:val="single"/>
        </w:rPr>
        <w:t>竞争性磋商响应文件封面示例</w:t>
      </w:r>
    </w:p>
    <w:p>
      <w:pPr>
        <w:spacing w:line="720" w:lineRule="auto"/>
        <w:ind w:right="315"/>
        <w:jc w:val="right"/>
        <w:rPr>
          <w:rFonts w:ascii="宋体" w:hAnsi="Calibri" w:eastAsia="宋体" w:cs="宋体"/>
          <w:b/>
          <w:sz w:val="24"/>
          <w:szCs w:val="24"/>
          <w:bdr w:val="single" w:color="auto" w:sz="4" w:space="0"/>
        </w:rPr>
      </w:pPr>
      <w:r>
        <w:rPr>
          <w:rFonts w:hint="eastAsia" w:ascii="宋体" w:hAnsi="宋体" w:eastAsia="宋体" w:cs="宋体"/>
          <w:b/>
          <w:sz w:val="24"/>
          <w:szCs w:val="24"/>
          <w:bdr w:val="single" w:color="auto" w:sz="4" w:space="0"/>
        </w:rPr>
        <w:t>正本</w:t>
      </w:r>
    </w:p>
    <w:p>
      <w:pPr>
        <w:autoSpaceDE w:val="0"/>
        <w:autoSpaceDN w:val="0"/>
        <w:adjustRightInd w:val="0"/>
        <w:spacing w:line="360" w:lineRule="auto"/>
        <w:jc w:val="center"/>
        <w:rPr>
          <w:rFonts w:cs="宋体" w:asciiTheme="minorEastAsia" w:hAnsiTheme="minorEastAsia"/>
          <w:kern w:val="0"/>
          <w:sz w:val="32"/>
          <w:szCs w:val="32"/>
          <w:u w:val="single"/>
        </w:rPr>
      </w:pPr>
      <w:r>
        <w:rPr>
          <w:rFonts w:hint="eastAsia" w:cs="宋体" w:asciiTheme="minorEastAsia" w:hAnsiTheme="minorEastAsia"/>
          <w:kern w:val="0"/>
          <w:sz w:val="32"/>
          <w:szCs w:val="32"/>
          <w:u w:val="single"/>
        </w:rPr>
        <w:t>项目名称：</w:t>
      </w:r>
    </w:p>
    <w:p>
      <w:pPr>
        <w:autoSpaceDE w:val="0"/>
        <w:autoSpaceDN w:val="0"/>
        <w:adjustRightInd w:val="0"/>
        <w:spacing w:line="360" w:lineRule="auto"/>
        <w:jc w:val="center"/>
        <w:rPr>
          <w:rFonts w:cs="宋体" w:asciiTheme="minorEastAsia" w:hAnsiTheme="minorEastAsia"/>
          <w:kern w:val="0"/>
          <w:sz w:val="24"/>
          <w:szCs w:val="32"/>
        </w:rPr>
      </w:pPr>
    </w:p>
    <w:p>
      <w:pPr>
        <w:autoSpaceDE w:val="0"/>
        <w:autoSpaceDN w:val="0"/>
        <w:adjustRightInd w:val="0"/>
        <w:spacing w:line="360" w:lineRule="auto"/>
        <w:jc w:val="center"/>
        <w:rPr>
          <w:rFonts w:cs="宋体" w:asciiTheme="minorEastAsia" w:hAnsiTheme="minorEastAsia"/>
          <w:kern w:val="0"/>
          <w:sz w:val="32"/>
          <w:szCs w:val="32"/>
        </w:rPr>
      </w:pPr>
    </w:p>
    <w:p>
      <w:pPr>
        <w:autoSpaceDE w:val="0"/>
        <w:autoSpaceDN w:val="0"/>
        <w:adjustRightInd w:val="0"/>
        <w:spacing w:line="360" w:lineRule="auto"/>
        <w:jc w:val="center"/>
        <w:rPr>
          <w:rFonts w:cs="宋体" w:asciiTheme="minorEastAsia" w:hAnsiTheme="minorEastAsia"/>
          <w:kern w:val="0"/>
          <w:sz w:val="32"/>
          <w:szCs w:val="32"/>
        </w:rPr>
      </w:pPr>
    </w:p>
    <w:p>
      <w:pPr>
        <w:autoSpaceDE w:val="0"/>
        <w:autoSpaceDN w:val="0"/>
        <w:adjustRightInd w:val="0"/>
        <w:spacing w:line="360" w:lineRule="auto"/>
        <w:jc w:val="center"/>
        <w:rPr>
          <w:rFonts w:cs="宋体" w:asciiTheme="minorEastAsia" w:hAnsiTheme="minorEastAsia"/>
          <w:kern w:val="0"/>
          <w:sz w:val="32"/>
          <w:szCs w:val="32"/>
        </w:rPr>
      </w:pPr>
    </w:p>
    <w:p>
      <w:pPr>
        <w:autoSpaceDE w:val="0"/>
        <w:autoSpaceDN w:val="0"/>
        <w:adjustRightInd w:val="0"/>
        <w:spacing w:line="360" w:lineRule="auto"/>
        <w:jc w:val="center"/>
        <w:rPr>
          <w:rFonts w:cs="宋体" w:asciiTheme="minorEastAsia" w:hAnsiTheme="minorEastAsia"/>
          <w:kern w:val="0"/>
          <w:sz w:val="32"/>
          <w:szCs w:val="32"/>
        </w:rPr>
      </w:pPr>
      <w:r>
        <w:rPr>
          <w:rFonts w:hint="eastAsia" w:cs="宋体" w:asciiTheme="minorEastAsia" w:hAnsiTheme="minorEastAsia"/>
          <w:kern w:val="0"/>
          <w:sz w:val="32"/>
          <w:szCs w:val="32"/>
        </w:rPr>
        <w:t>竞争性磋商响应文件</w:t>
      </w:r>
    </w:p>
    <w:p>
      <w:pPr>
        <w:autoSpaceDE w:val="0"/>
        <w:autoSpaceDN w:val="0"/>
        <w:adjustRightInd w:val="0"/>
        <w:spacing w:line="360" w:lineRule="auto"/>
        <w:jc w:val="center"/>
        <w:rPr>
          <w:rFonts w:cs="宋体" w:asciiTheme="minorEastAsia" w:hAnsiTheme="minorEastAsia"/>
          <w:kern w:val="0"/>
          <w:sz w:val="32"/>
          <w:szCs w:val="32"/>
        </w:rPr>
      </w:pPr>
    </w:p>
    <w:p>
      <w:pPr>
        <w:autoSpaceDE w:val="0"/>
        <w:autoSpaceDN w:val="0"/>
        <w:adjustRightInd w:val="0"/>
        <w:spacing w:line="360" w:lineRule="auto"/>
        <w:jc w:val="center"/>
        <w:rPr>
          <w:rFonts w:ascii="宋体" w:cs="宋体"/>
          <w:kern w:val="0"/>
          <w:sz w:val="32"/>
          <w:szCs w:val="32"/>
        </w:rPr>
      </w:pPr>
    </w:p>
    <w:p>
      <w:pPr>
        <w:autoSpaceDE w:val="0"/>
        <w:autoSpaceDN w:val="0"/>
        <w:adjustRightInd w:val="0"/>
        <w:spacing w:line="360" w:lineRule="auto"/>
        <w:jc w:val="center"/>
        <w:rPr>
          <w:rFonts w:ascii="宋体" w:cs="宋体"/>
          <w:kern w:val="0"/>
          <w:sz w:val="32"/>
          <w:szCs w:val="32"/>
        </w:rPr>
      </w:pPr>
    </w:p>
    <w:p>
      <w:pPr>
        <w:autoSpaceDE w:val="0"/>
        <w:autoSpaceDN w:val="0"/>
        <w:adjustRightInd w:val="0"/>
        <w:spacing w:line="360" w:lineRule="auto"/>
        <w:jc w:val="center"/>
        <w:rPr>
          <w:rFonts w:ascii="宋体" w:cs="宋体"/>
          <w:kern w:val="0"/>
          <w:sz w:val="32"/>
          <w:szCs w:val="32"/>
        </w:rPr>
      </w:pPr>
    </w:p>
    <w:p>
      <w:pPr>
        <w:autoSpaceDE w:val="0"/>
        <w:autoSpaceDN w:val="0"/>
        <w:adjustRightInd w:val="0"/>
        <w:spacing w:line="360" w:lineRule="auto"/>
        <w:jc w:val="center"/>
        <w:rPr>
          <w:rFonts w:ascii="宋体" w:cs="宋体"/>
          <w:kern w:val="0"/>
          <w:sz w:val="32"/>
          <w:szCs w:val="32"/>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项目编号：</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采购人：</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单位地址：</w:t>
      </w:r>
    </w:p>
    <w:p>
      <w:pPr>
        <w:autoSpaceDE w:val="0"/>
        <w:autoSpaceDN w:val="0"/>
        <w:adjustRightInd w:val="0"/>
        <w:spacing w:line="360" w:lineRule="auto"/>
        <w:jc w:val="left"/>
        <w:rPr>
          <w:rFonts w:hint="eastAsia" w:ascii="宋体" w:hAnsi="宋体" w:cs="宋体"/>
          <w:kern w:val="0"/>
          <w:sz w:val="24"/>
          <w:szCs w:val="24"/>
          <w:lang w:eastAsia="zh-CN"/>
        </w:rPr>
      </w:pPr>
      <w:r>
        <w:rPr>
          <w:rFonts w:hint="eastAsia" w:ascii="宋体" w:hAnsi="宋体" w:cs="宋体"/>
          <w:kern w:val="0"/>
          <w:sz w:val="24"/>
          <w:szCs w:val="24"/>
        </w:rPr>
        <w:t>联系人</w:t>
      </w:r>
      <w:r>
        <w:rPr>
          <w:rFonts w:hint="eastAsia" w:ascii="宋体" w:hAnsi="宋体" w:cs="宋体"/>
          <w:kern w:val="0"/>
          <w:sz w:val="24"/>
          <w:szCs w:val="24"/>
          <w:lang w:eastAsia="zh-CN"/>
        </w:rPr>
        <w:t>：</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lang w:eastAsia="zh-CN"/>
        </w:rPr>
        <w:t>联系电话</w:t>
      </w:r>
      <w:r>
        <w:rPr>
          <w:rFonts w:hint="eastAsia" w:ascii="宋体" w:hAnsi="宋体" w:cs="宋体"/>
          <w:kern w:val="0"/>
          <w:sz w:val="24"/>
          <w:szCs w:val="24"/>
        </w:rPr>
        <w:t>：</w:t>
      </w:r>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center"/>
        <w:rPr>
          <w:rFonts w:ascii="宋体" w:hAnsi="宋体" w:cs="宋体"/>
          <w:b/>
          <w:bCs/>
          <w:kern w:val="0"/>
          <w:sz w:val="24"/>
          <w:szCs w:val="24"/>
        </w:rPr>
      </w:pPr>
      <w:r>
        <w:rPr>
          <w:rFonts w:ascii="宋体" w:hAnsi="Calibri" w:eastAsia="宋体" w:cs="宋体"/>
          <w:b/>
          <w:sz w:val="24"/>
          <w:szCs w:val="24"/>
        </w:rPr>
        <w:br w:type="page"/>
      </w:r>
      <w:r>
        <w:rPr>
          <w:rFonts w:hint="eastAsia" w:ascii="宋体" w:hAnsi="宋体" w:cs="宋体"/>
          <w:b/>
          <w:bCs/>
          <w:kern w:val="0"/>
          <w:sz w:val="24"/>
          <w:szCs w:val="24"/>
        </w:rPr>
        <w:t>目录</w:t>
      </w:r>
    </w:p>
    <w:p>
      <w:pPr>
        <w:numPr>
          <w:ilvl w:val="0"/>
          <w:numId w:val="4"/>
        </w:num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投标函；</w:t>
      </w:r>
    </w:p>
    <w:p>
      <w:pPr>
        <w:numPr>
          <w:ilvl w:val="0"/>
          <w:numId w:val="4"/>
        </w:num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法定代表人身份证明或法定代表人授权委托书；</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开标一览表；</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偏离表；</w:t>
      </w:r>
    </w:p>
    <w:p>
      <w:pPr>
        <w:numPr>
          <w:ilvl w:val="0"/>
          <w:numId w:val="4"/>
        </w:num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投标保证金提交证明；</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供应商资格证明文件</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 xml:space="preserve">项目整体服务方案； </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售后服务承诺书；</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其他需要提交的资料；</w:t>
      </w:r>
    </w:p>
    <w:p>
      <w:pPr>
        <w:numPr>
          <w:ilvl w:val="0"/>
          <w:numId w:val="4"/>
        </w:num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投标单位反商业贿赂承诺书。</w:t>
      </w:r>
    </w:p>
    <w:p>
      <w:pPr>
        <w:autoSpaceDE w:val="0"/>
        <w:autoSpaceDN w:val="0"/>
        <w:adjustRightInd w:val="0"/>
        <w:spacing w:line="360" w:lineRule="auto"/>
        <w:jc w:val="left"/>
        <w:rPr>
          <w:rFonts w:ascii="宋体" w:cs="宋体"/>
          <w:kern w:val="0"/>
          <w:sz w:val="24"/>
          <w:szCs w:val="24"/>
        </w:rPr>
      </w:pPr>
    </w:p>
    <w:p>
      <w:pPr>
        <w:spacing w:line="360" w:lineRule="auto"/>
        <w:rPr>
          <w:rFonts w:ascii="宋体" w:hAnsi="Calibri" w:eastAsia="宋体" w:cs="Times New Roman"/>
          <w:bCs/>
          <w:sz w:val="24"/>
          <w:szCs w:val="24"/>
        </w:rPr>
      </w:pPr>
      <w:r>
        <w:rPr>
          <w:rFonts w:hint="eastAsia" w:ascii="宋体" w:hAnsi="宋体" w:eastAsia="宋体" w:cs="Times New Roman"/>
          <w:bCs/>
          <w:sz w:val="24"/>
          <w:szCs w:val="24"/>
        </w:rPr>
        <w:t>注：为了便于查找，请按上述顺序编制竞争性磋商响应文件内容，并在目录中标明每项内容的起始页码。</w:t>
      </w:r>
    </w:p>
    <w:p>
      <w:pPr>
        <w:pStyle w:val="2"/>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rPr>
          <w:rFonts w:ascii="宋体" w:hAnsi="宋体" w:cs="宋体"/>
          <w:b/>
          <w:kern w:val="0"/>
          <w:sz w:val="24"/>
          <w:szCs w:val="24"/>
        </w:rPr>
      </w:pPr>
      <w:r>
        <w:rPr>
          <w:rFonts w:hint="eastAsia" w:ascii="宋体" w:hAnsi="宋体" w:cs="宋体"/>
          <w:b/>
          <w:kern w:val="0"/>
          <w:sz w:val="24"/>
          <w:szCs w:val="24"/>
        </w:rPr>
        <w:br w:type="page"/>
      </w:r>
    </w:p>
    <w:p>
      <w:pPr>
        <w:autoSpaceDE w:val="0"/>
        <w:autoSpaceDN w:val="0"/>
        <w:adjustRightInd w:val="0"/>
        <w:spacing w:line="360" w:lineRule="auto"/>
        <w:jc w:val="center"/>
        <w:outlineLvl w:val="1"/>
        <w:rPr>
          <w:rFonts w:ascii="宋体" w:cs="宋体"/>
          <w:b/>
          <w:kern w:val="0"/>
          <w:sz w:val="24"/>
          <w:szCs w:val="24"/>
        </w:rPr>
      </w:pPr>
      <w:bookmarkStart w:id="805" w:name="_Toc11972"/>
      <w:r>
        <w:rPr>
          <w:rFonts w:hint="eastAsia" w:ascii="宋体" w:hAnsi="宋体" w:cs="宋体"/>
          <w:b/>
          <w:kern w:val="0"/>
          <w:sz w:val="24"/>
          <w:szCs w:val="24"/>
        </w:rPr>
        <w:t>（一）投标函</w:t>
      </w:r>
      <w:bookmarkEnd w:id="805"/>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致：</w:t>
      </w:r>
      <w:r>
        <w:rPr>
          <w:rFonts w:hint="eastAsia" w:ascii="宋体" w:hAnsi="宋体" w:cs="宋体"/>
          <w:kern w:val="0"/>
          <w:sz w:val="24"/>
          <w:szCs w:val="24"/>
          <w:u w:val="single"/>
        </w:rPr>
        <w:t>（采购人名称）</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根据贵方为</w:t>
      </w:r>
      <w:r>
        <w:rPr>
          <w:rFonts w:hint="eastAsia" w:ascii="宋体" w:hAnsi="宋体" w:cs="宋体"/>
          <w:kern w:val="0"/>
          <w:sz w:val="24"/>
          <w:szCs w:val="24"/>
          <w:u w:val="single"/>
        </w:rPr>
        <w:t>（项目名称）</w:t>
      </w:r>
      <w:r>
        <w:rPr>
          <w:rFonts w:hint="eastAsia" w:ascii="宋体" w:hAnsi="宋体" w:cs="宋体"/>
          <w:kern w:val="0"/>
          <w:sz w:val="24"/>
          <w:szCs w:val="24"/>
        </w:rPr>
        <w:t>项目的磋商文件</w:t>
      </w:r>
      <w:r>
        <w:rPr>
          <w:rFonts w:hint="eastAsia" w:ascii="宋体" w:hAnsi="宋体" w:cs="宋体"/>
          <w:kern w:val="0"/>
          <w:sz w:val="24"/>
          <w:szCs w:val="24"/>
          <w:u w:val="single"/>
        </w:rPr>
        <w:t>（项目编号）</w:t>
      </w:r>
      <w:r>
        <w:rPr>
          <w:rFonts w:hint="eastAsia" w:ascii="宋体" w:hAnsi="宋体" w:cs="宋体"/>
          <w:kern w:val="0"/>
          <w:sz w:val="24"/>
          <w:szCs w:val="24"/>
        </w:rPr>
        <w:t>，签字代表</w:t>
      </w:r>
      <w:r>
        <w:rPr>
          <w:rFonts w:hint="eastAsia" w:ascii="宋体" w:hAnsi="宋体" w:cs="宋体"/>
          <w:kern w:val="0"/>
          <w:sz w:val="24"/>
          <w:szCs w:val="24"/>
          <w:u w:val="single"/>
        </w:rPr>
        <w:t>（姓名、职务）</w:t>
      </w:r>
      <w:r>
        <w:rPr>
          <w:rFonts w:hint="eastAsia" w:ascii="宋体" w:hAnsi="宋体" w:cs="宋体"/>
          <w:kern w:val="0"/>
          <w:sz w:val="24"/>
          <w:szCs w:val="24"/>
        </w:rPr>
        <w:t>经正式授权并代表供应商</w:t>
      </w:r>
      <w:r>
        <w:rPr>
          <w:rFonts w:hint="eastAsia" w:ascii="宋体" w:hAnsi="宋体" w:cs="宋体"/>
          <w:kern w:val="0"/>
          <w:sz w:val="24"/>
          <w:szCs w:val="24"/>
          <w:u w:val="single"/>
        </w:rPr>
        <w:t>（供应商名称、地址）</w:t>
      </w:r>
      <w:r>
        <w:rPr>
          <w:rFonts w:hint="eastAsia" w:ascii="宋体" w:hAnsi="宋体" w:cs="宋体"/>
          <w:kern w:val="0"/>
          <w:sz w:val="24"/>
          <w:szCs w:val="24"/>
        </w:rPr>
        <w:t>提交下述文件正本</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份和副本</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份。</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、开标一览表</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、按磋商文件供应商须知、技术规格要求及其他要求提供有关文件</w:t>
      </w:r>
    </w:p>
    <w:p>
      <w:pPr>
        <w:autoSpaceDE w:val="0"/>
        <w:autoSpaceDN w:val="0"/>
        <w:adjustRightInd w:val="0"/>
        <w:spacing w:line="360" w:lineRule="auto"/>
        <w:jc w:val="left"/>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、投标保证金，形式</w:t>
      </w:r>
      <w:r>
        <w:rPr>
          <w:rFonts w:hint="eastAsia" w:ascii="宋体" w:hAnsi="宋体" w:cs="宋体"/>
          <w:color w:val="000000" w:themeColor="text1"/>
          <w:kern w:val="0"/>
          <w:sz w:val="24"/>
          <w:szCs w:val="24"/>
          <w:u w:val="single"/>
          <w14:textFill>
            <w14:solidFill>
              <w14:schemeClr w14:val="tx1"/>
            </w14:solidFill>
          </w14:textFill>
        </w:rPr>
        <w:t>（电汇、网银等）</w:t>
      </w:r>
      <w:r>
        <w:rPr>
          <w:rFonts w:hint="eastAsia" w:ascii="宋体" w:hAnsi="宋体" w:cs="宋体"/>
          <w:color w:val="000000" w:themeColor="text1"/>
          <w:kern w:val="0"/>
          <w:sz w:val="24"/>
          <w:szCs w:val="24"/>
          <w14:textFill>
            <w14:solidFill>
              <w14:schemeClr w14:val="tx1"/>
            </w14:solidFill>
          </w14:textFill>
        </w:rPr>
        <w:t>，金额为</w:t>
      </w:r>
      <w:r>
        <w:rPr>
          <w:rFonts w:hint="eastAsia" w:ascii="宋体" w:hAnsi="宋体" w:cs="宋体"/>
          <w:color w:val="000000" w:themeColor="text1"/>
          <w:kern w:val="0"/>
          <w:sz w:val="24"/>
          <w:szCs w:val="24"/>
          <w:u w:val="single"/>
          <w:lang w:val="en-US" w:eastAsia="zh-CN"/>
          <w14:textFill>
            <w14:solidFill>
              <w14:schemeClr w14:val="tx1"/>
            </w14:solidFill>
          </w14:textFill>
        </w:rPr>
        <w:t xml:space="preserve">    </w:t>
      </w:r>
      <w:r>
        <w:rPr>
          <w:rFonts w:hint="eastAsia" w:ascii="宋体" w:hAnsi="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firstLine="360" w:firstLineChars="150"/>
        <w:jc w:val="left"/>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据此函，签字代表宣布并同意如下：</w:t>
      </w:r>
    </w:p>
    <w:p>
      <w:pPr>
        <w:numPr>
          <w:ilvl w:val="0"/>
          <w:numId w:val="5"/>
        </w:numPr>
        <w:autoSpaceDE w:val="0"/>
        <w:autoSpaceDN w:val="0"/>
        <w:adjustRightInd w:val="0"/>
        <w:spacing w:line="360" w:lineRule="auto"/>
        <w:ind w:firstLine="360" w:firstLineChars="150"/>
        <w:jc w:val="left"/>
        <w:rPr>
          <w:color w:val="000000" w:themeColor="text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所附投标报价表中规定的应提交和交付的货物和服务投标总报价为</w:t>
      </w:r>
      <w:r>
        <w:rPr>
          <w:rFonts w:hint="eastAsia" w:ascii="宋体" w:hAnsi="宋体" w:cs="宋体"/>
          <w:color w:val="000000" w:themeColor="text1"/>
          <w:kern w:val="0"/>
          <w:sz w:val="24"/>
          <w:szCs w:val="24"/>
          <w:u w:val="single"/>
          <w14:textFill>
            <w14:solidFill>
              <w14:schemeClr w14:val="tx1"/>
            </w14:solidFill>
          </w14:textFill>
        </w:rPr>
        <w:t>（注明币种，并用文字和数字表示的投标总价）。</w:t>
      </w:r>
    </w:p>
    <w:p>
      <w:pPr>
        <w:pStyle w:val="2"/>
        <w:rPr>
          <w:color w:val="auto"/>
        </w:rPr>
      </w:pPr>
      <w:r>
        <w:rPr>
          <w:rFonts w:hint="eastAsia" w:ascii="宋体" w:hAnsi="宋体" w:cs="宋体"/>
          <w:color w:val="000000" w:themeColor="text1"/>
          <w:szCs w:val="24"/>
          <w14:textFill>
            <w14:solidFill>
              <w14:schemeClr w14:val="tx1"/>
            </w14:solidFill>
          </w14:textFill>
        </w:rPr>
        <w:t xml:space="preserve">   2、</w:t>
      </w:r>
      <w:r>
        <w:rPr>
          <w:rFonts w:hint="eastAsia" w:cs="Arial" w:asciiTheme="minorEastAsia" w:hAnsiTheme="minorEastAsia"/>
          <w:color w:val="000000" w:themeColor="text1"/>
          <w:szCs w:val="24"/>
          <w14:textFill>
            <w14:solidFill>
              <w14:schemeClr w14:val="tx1"/>
            </w14:solidFill>
          </w14:textFill>
        </w:rPr>
        <w:t>供货安装周期：</w:t>
      </w:r>
      <w:r>
        <w:rPr>
          <w:rFonts w:hint="eastAsia" w:eastAsia="宋体" w:cs="Arial" w:asciiTheme="minorEastAsia" w:hAnsiTheme="minorEastAsia"/>
          <w:color w:val="auto"/>
          <w:kern w:val="0"/>
          <w:sz w:val="24"/>
          <w:szCs w:val="24"/>
        </w:rPr>
        <w:t>自接到采购人通知之日起</w:t>
      </w:r>
      <w:r>
        <w:rPr>
          <w:rFonts w:hint="eastAsia" w:cs="Arial" w:asciiTheme="minorEastAsia" w:hAnsiTheme="minorEastAsia"/>
          <w:color w:val="auto"/>
          <w:kern w:val="0"/>
          <w:sz w:val="24"/>
          <w:szCs w:val="24"/>
          <w:u w:val="single"/>
          <w:lang w:val="en-US" w:eastAsia="zh-CN"/>
        </w:rPr>
        <w:t xml:space="preserve">    </w:t>
      </w:r>
      <w:r>
        <w:rPr>
          <w:rFonts w:hint="eastAsia" w:eastAsia="宋体" w:cs="Arial" w:asciiTheme="minorEastAsia" w:hAnsiTheme="minorEastAsia"/>
          <w:color w:val="auto"/>
          <w:kern w:val="0"/>
          <w:sz w:val="24"/>
          <w:szCs w:val="24"/>
        </w:rPr>
        <w:t>日历日内完成。</w:t>
      </w:r>
    </w:p>
    <w:p>
      <w:pPr>
        <w:autoSpaceDE w:val="0"/>
        <w:autoSpaceDN w:val="0"/>
        <w:adjustRightInd w:val="0"/>
        <w:spacing w:line="360" w:lineRule="auto"/>
        <w:ind w:firstLine="360" w:firstLineChars="150"/>
        <w:jc w:val="left"/>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3、供应商将按磋商文件的规定履行合同责任和义务；</w:t>
      </w:r>
    </w:p>
    <w:p>
      <w:pPr>
        <w:autoSpaceDE w:val="0"/>
        <w:autoSpaceDN w:val="0"/>
        <w:adjustRightInd w:val="0"/>
        <w:spacing w:line="360" w:lineRule="auto"/>
        <w:ind w:firstLine="360" w:firstLineChars="150"/>
        <w:jc w:val="left"/>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4、供应商已详细阅读并理解了磋商文件的全部，包括修改文件（如有的话）。我们完全理解并同意放弃对这方面有不明及误解的权利。</w:t>
      </w:r>
    </w:p>
    <w:p>
      <w:pPr>
        <w:autoSpaceDE w:val="0"/>
        <w:autoSpaceDN w:val="0"/>
        <w:adjustRightInd w:val="0"/>
        <w:spacing w:line="360" w:lineRule="auto"/>
        <w:ind w:firstLine="360" w:firstLineChars="150"/>
        <w:jc w:val="left"/>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5、本投标有效期自响应文件递交截止起个</w:t>
      </w:r>
      <w:r>
        <w:rPr>
          <w:rFonts w:hint="eastAsia" w:ascii="宋体" w:hAnsi="宋体" w:cs="宋体"/>
          <w:color w:val="000000" w:themeColor="text1"/>
          <w:kern w:val="0"/>
          <w:sz w:val="24"/>
          <w:szCs w:val="24"/>
          <w:u w:val="single"/>
          <w14:textFill>
            <w14:solidFill>
              <w14:schemeClr w14:val="tx1"/>
            </w14:solidFill>
          </w14:textFill>
        </w:rPr>
        <w:t>30</w:t>
      </w:r>
      <w:r>
        <w:rPr>
          <w:rFonts w:hint="eastAsia" w:ascii="宋体" w:hAnsi="宋体" w:cs="宋体"/>
          <w:color w:val="000000" w:themeColor="text1"/>
          <w:kern w:val="0"/>
          <w:sz w:val="24"/>
          <w:szCs w:val="24"/>
          <w14:textFill>
            <w14:solidFill>
              <w14:schemeClr w14:val="tx1"/>
            </w14:solidFill>
          </w14:textFill>
        </w:rPr>
        <w:t>日历日。</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6、在规定的开标时间后，如果在投标有效期内撤回投标，同意投标保证金将被</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贵方没收。</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7、供应商同意提供按照贵方可能要求的与其投标有关的一切数据或资料，完全</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理解贵方不一定接受最低价的投标或收到的任何投标的约定。</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8、与本投标有关的一切正式往来信函请寄：</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地址：邮编：</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电话：传真：</w:t>
      </w:r>
    </w:p>
    <w:p>
      <w:pPr>
        <w:autoSpaceDE w:val="0"/>
        <w:autoSpaceDN w:val="0"/>
        <w:adjustRightInd w:val="0"/>
        <w:spacing w:line="360" w:lineRule="auto"/>
        <w:ind w:firstLine="240" w:firstLineChars="100"/>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 xml:space="preserve">   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 xml:space="preserve">   日期：</w:t>
      </w:r>
      <w:r>
        <w:rPr>
          <w:sz w:val="24"/>
          <w:szCs w:val="24"/>
        </w:rPr>
        <w:t>年月日</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center"/>
        <w:outlineLvl w:val="1"/>
        <w:rPr>
          <w:rFonts w:ascii="宋体" w:hAnsi="宋体" w:cs="宋体"/>
          <w:b/>
          <w:kern w:val="0"/>
          <w:sz w:val="24"/>
          <w:szCs w:val="24"/>
        </w:rPr>
      </w:pPr>
      <w:bookmarkStart w:id="806" w:name="_Toc27403"/>
      <w:r>
        <w:rPr>
          <w:rFonts w:hint="eastAsia" w:ascii="宋体" w:hAnsi="宋体" w:cs="宋体"/>
          <w:b/>
          <w:kern w:val="0"/>
          <w:sz w:val="24"/>
          <w:szCs w:val="24"/>
        </w:rPr>
        <w:t>（二）法定人代表身份证明及法定代表人授权委托书</w:t>
      </w:r>
      <w:bookmarkEnd w:id="806"/>
    </w:p>
    <w:p>
      <w:pPr>
        <w:autoSpaceDE w:val="0"/>
        <w:autoSpaceDN w:val="0"/>
        <w:adjustRightInd w:val="0"/>
        <w:spacing w:line="360" w:lineRule="auto"/>
        <w:jc w:val="center"/>
        <w:rPr>
          <w:rFonts w:ascii="宋体" w:cs="宋体"/>
          <w:b/>
          <w:kern w:val="0"/>
          <w:sz w:val="24"/>
          <w:szCs w:val="24"/>
        </w:rPr>
      </w:pPr>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、法定代表人身份证明</w:t>
      </w:r>
    </w:p>
    <w:p>
      <w:pPr>
        <w:autoSpaceDE w:val="0"/>
        <w:autoSpaceDN w:val="0"/>
        <w:adjustRightInd w:val="0"/>
        <w:spacing w:line="360" w:lineRule="auto"/>
        <w:ind w:firstLine="360" w:firstLineChars="150"/>
        <w:rPr>
          <w:rFonts w:ascii="宋体" w:cs="宋体"/>
          <w:kern w:val="0"/>
          <w:sz w:val="24"/>
          <w:szCs w:val="24"/>
          <w:u w:val="single"/>
        </w:rPr>
      </w:pPr>
      <w:r>
        <w:rPr>
          <w:rFonts w:hint="eastAsia" w:ascii="宋体" w:hAnsi="宋体" w:cs="宋体"/>
          <w:kern w:val="0"/>
          <w:sz w:val="24"/>
          <w:szCs w:val="24"/>
        </w:rPr>
        <w:t>采购人：</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兹证明同志在我单位任</w:t>
      </w:r>
      <w:r>
        <w:rPr>
          <w:rFonts w:hint="eastAsia" w:ascii="宋体" w:hAnsi="宋体" w:cs="宋体"/>
          <w:kern w:val="0"/>
          <w:sz w:val="24"/>
          <w:szCs w:val="24"/>
          <w:u w:val="single"/>
        </w:rPr>
        <w:t>（职务）</w:t>
      </w:r>
      <w:r>
        <w:rPr>
          <w:rFonts w:hint="eastAsia" w:ascii="宋体" w:hAnsi="宋体" w:cs="宋体"/>
          <w:kern w:val="0"/>
          <w:sz w:val="24"/>
          <w:szCs w:val="24"/>
        </w:rPr>
        <w:t>，是我单位的法定代表人。</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附法定代表人基本情况：</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姓名性别年龄</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身份证号码：</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通讯地址：</w:t>
      </w:r>
    </w:p>
    <w:p>
      <w:pPr>
        <w:autoSpaceDE w:val="0"/>
        <w:autoSpaceDN w:val="0"/>
        <w:adjustRightInd w:val="0"/>
        <w:spacing w:line="360" w:lineRule="auto"/>
        <w:ind w:firstLine="360" w:firstLineChars="150"/>
        <w:jc w:val="left"/>
        <w:rPr>
          <w:rFonts w:ascii="宋体" w:cs="宋体"/>
          <w:kern w:val="0"/>
          <w:sz w:val="24"/>
          <w:szCs w:val="24"/>
          <w:u w:val="single"/>
        </w:rPr>
      </w:pPr>
      <w:r>
        <w:rPr>
          <w:rFonts w:hint="eastAsia" w:ascii="宋体" w:hAnsi="宋体" w:cs="宋体"/>
          <w:kern w:val="0"/>
          <w:sz w:val="24"/>
          <w:szCs w:val="24"/>
        </w:rPr>
        <w:t>电话号码：邮编：</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autoSpaceDE w:val="0"/>
        <w:autoSpaceDN w:val="0"/>
        <w:adjustRightInd w:val="0"/>
        <w:spacing w:line="360" w:lineRule="auto"/>
        <w:ind w:firstLine="361" w:firstLineChars="150"/>
        <w:jc w:val="left"/>
        <w:rPr>
          <w:rFonts w:ascii="宋体" w:cs="宋体"/>
          <w:b/>
          <w:kern w:val="0"/>
          <w:sz w:val="24"/>
          <w:szCs w:val="24"/>
        </w:rPr>
      </w:pPr>
      <w:r>
        <w:rPr>
          <w:rFonts w:hint="eastAsia" w:ascii="宋体" w:hAnsi="宋体" w:cs="宋体"/>
          <w:b/>
          <w:kern w:val="0"/>
          <w:sz w:val="24"/>
          <w:szCs w:val="24"/>
        </w:rPr>
        <w:t>附：法定代表人《居民身份证》复印件正反面</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法定代表人盖章必须是相关主管行政部门备案的法定代表人印章。不得使用其他印章或是电子版签名。</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2.供应商的法定代表人作为公司代理人前来参加投标的，须提供此项证明文件，并携带法定代表人的身份证原件（本证明书原件除制作在响应文件中，另备一份原件现场查验）。</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、法定代表人授权委托书</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本授权书声明：注册于</w:t>
      </w:r>
      <w:r>
        <w:rPr>
          <w:rFonts w:hint="eastAsia" w:ascii="宋体" w:hAnsi="宋体" w:cs="宋体"/>
          <w:kern w:val="0"/>
          <w:sz w:val="24"/>
          <w:szCs w:val="24"/>
          <w:u w:val="single"/>
        </w:rPr>
        <w:t>（地区的名称）</w:t>
      </w:r>
      <w:r>
        <w:rPr>
          <w:rFonts w:hint="eastAsia" w:ascii="宋体" w:hAnsi="宋体" w:cs="宋体"/>
          <w:kern w:val="0"/>
          <w:sz w:val="24"/>
          <w:szCs w:val="24"/>
        </w:rPr>
        <w:t>的</w:t>
      </w:r>
      <w:r>
        <w:rPr>
          <w:rFonts w:hint="eastAsia" w:ascii="宋体" w:hAnsi="宋体" w:cs="宋体"/>
          <w:kern w:val="0"/>
          <w:sz w:val="24"/>
          <w:szCs w:val="24"/>
          <w:u w:val="single"/>
        </w:rPr>
        <w:t>（公司名称）</w:t>
      </w:r>
      <w:r>
        <w:rPr>
          <w:rFonts w:hint="eastAsia" w:ascii="宋体" w:hAnsi="宋体" w:cs="宋体"/>
          <w:kern w:val="0"/>
          <w:sz w:val="24"/>
          <w:szCs w:val="24"/>
        </w:rPr>
        <w:t>，在下面盖章的法定代表人</w:t>
      </w:r>
      <w:r>
        <w:rPr>
          <w:rFonts w:hint="eastAsia" w:ascii="宋体" w:hAnsi="宋体" w:cs="宋体"/>
          <w:kern w:val="0"/>
          <w:sz w:val="24"/>
          <w:szCs w:val="24"/>
          <w:u w:val="single"/>
        </w:rPr>
        <w:t>（姓名、职务）</w:t>
      </w:r>
      <w:r>
        <w:rPr>
          <w:rFonts w:hint="eastAsia" w:ascii="宋体" w:hAnsi="宋体" w:cs="宋体"/>
          <w:kern w:val="0"/>
          <w:sz w:val="24"/>
          <w:szCs w:val="24"/>
        </w:rPr>
        <w:t>，代表本公司委托在下面签字的</w:t>
      </w:r>
      <w:r>
        <w:rPr>
          <w:rFonts w:hint="eastAsia" w:ascii="宋体" w:hAnsi="宋体" w:cs="宋体"/>
          <w:kern w:val="0"/>
          <w:sz w:val="24"/>
          <w:szCs w:val="24"/>
          <w:u w:val="single"/>
        </w:rPr>
        <w:t>（被授权人的姓名、职务）</w:t>
      </w:r>
      <w:r>
        <w:rPr>
          <w:rFonts w:hint="eastAsia" w:ascii="宋体" w:hAnsi="宋体" w:cs="宋体"/>
          <w:kern w:val="0"/>
          <w:sz w:val="24"/>
          <w:szCs w:val="24"/>
        </w:rPr>
        <w:t>为本公司的合法代理人，就</w:t>
      </w:r>
      <w:r>
        <w:rPr>
          <w:rFonts w:hint="eastAsia" w:ascii="宋体" w:hAnsi="宋体" w:cs="宋体"/>
          <w:kern w:val="0"/>
          <w:sz w:val="24"/>
          <w:szCs w:val="24"/>
          <w:u w:val="single"/>
        </w:rPr>
        <w:t>（项目名称）</w:t>
      </w:r>
      <w:r>
        <w:rPr>
          <w:rFonts w:hint="eastAsia" w:ascii="宋体" w:hAnsi="宋体" w:cs="宋体"/>
          <w:kern w:val="0"/>
          <w:sz w:val="24"/>
          <w:szCs w:val="24"/>
        </w:rPr>
        <w:t>的投标，以本公司的名义处理一切与之有关的事务。</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本授权书于年月日签字生效，代理人无转委托权，特此声明。</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附：委托代理人的身份证复印件（加盖单位公章）</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身份证号码：</w:t>
      </w: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委托代理人签字：</w:t>
      </w: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身份证号码：</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授权日期：</w:t>
      </w:r>
      <w:r>
        <w:rPr>
          <w:sz w:val="24"/>
          <w:szCs w:val="24"/>
        </w:rPr>
        <w:t>年月日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法定代表人盖章必须是相关主管行政部门备案的法定代表人印章。不得使用其他印章或是电子版签名。</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、本授权书原件除制作在响应文件中，另备一份原件现场查验。</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、供应商的委托代理人作为公司的代表前来参加投标的供应商，须提供此项证明文件。</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outlineLvl w:val="1"/>
        <w:rPr>
          <w:rFonts w:ascii="宋体" w:cs="宋体"/>
          <w:b/>
          <w:kern w:val="0"/>
          <w:sz w:val="24"/>
          <w:szCs w:val="24"/>
        </w:rPr>
      </w:pPr>
      <w:bookmarkStart w:id="807" w:name="_Toc31758"/>
      <w:r>
        <w:rPr>
          <w:rFonts w:hint="eastAsia" w:ascii="宋体" w:hAnsi="宋体" w:cs="宋体"/>
          <w:b/>
          <w:kern w:val="0"/>
          <w:sz w:val="24"/>
          <w:szCs w:val="24"/>
        </w:rPr>
        <w:t>（三）开标一览表</w:t>
      </w:r>
      <w:bookmarkEnd w:id="807"/>
    </w:p>
    <w:p>
      <w:pPr>
        <w:autoSpaceDE w:val="0"/>
        <w:autoSpaceDN w:val="0"/>
        <w:adjustRightInd w:val="0"/>
        <w:spacing w:line="360" w:lineRule="auto"/>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项目名称：</w:t>
      </w:r>
    </w:p>
    <w:tbl>
      <w:tblPr>
        <w:tblStyle w:val="43"/>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205"/>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序号</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项目</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1</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投标总报价（元）</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小写：；</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ascii="宋体" w:cs="宋体"/>
                <w:kern w:val="0"/>
                <w:sz w:val="24"/>
                <w:szCs w:val="24"/>
                <w:u w:val="single"/>
              </w:rPr>
            </w:pPr>
            <w:r>
              <w:rPr>
                <w:rFonts w:hint="eastAsia" w:ascii="宋体" w:hAnsi="宋体" w:cs="宋体"/>
                <w:kern w:val="0"/>
                <w:sz w:val="24"/>
                <w:szCs w:val="24"/>
              </w:rPr>
              <w:t>供货</w:t>
            </w:r>
            <w:r>
              <w:rPr>
                <w:rFonts w:hint="eastAsia" w:ascii="宋体" w:hAnsi="宋体" w:cs="宋体"/>
                <w:kern w:val="0"/>
                <w:sz w:val="24"/>
                <w:szCs w:val="24"/>
                <w:lang w:eastAsia="zh-CN"/>
              </w:rPr>
              <w:t>安装</w:t>
            </w:r>
            <w:r>
              <w:rPr>
                <w:rFonts w:hint="eastAsia" w:ascii="宋体" w:hAnsi="宋体" w:cs="宋体"/>
                <w:kern w:val="0"/>
                <w:sz w:val="24"/>
                <w:szCs w:val="24"/>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ascii="宋体" w:hAnsi="宋体" w:cs="宋体"/>
                <w:kern w:val="0"/>
                <w:sz w:val="24"/>
                <w:szCs w:val="24"/>
                <w:u w:val="single"/>
              </w:rPr>
            </w:pPr>
            <w:r>
              <w:rPr>
                <w:rFonts w:hint="eastAsia" w:ascii="宋体" w:hAnsi="宋体" w:cs="宋体"/>
                <w:kern w:val="0"/>
                <w:sz w:val="24"/>
                <w:szCs w:val="24"/>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138" w:type="dxa"/>
            <w:gridSpan w:val="3"/>
            <w:vAlign w:val="center"/>
          </w:tcPr>
          <w:p>
            <w:pPr>
              <w:autoSpaceDE w:val="0"/>
              <w:autoSpaceDN w:val="0"/>
              <w:adjustRightInd w:val="0"/>
              <w:spacing w:line="360" w:lineRule="auto"/>
              <w:rPr>
                <w:rFonts w:ascii="宋体" w:cs="宋体"/>
                <w:kern w:val="0"/>
                <w:sz w:val="24"/>
                <w:szCs w:val="24"/>
              </w:rPr>
            </w:pPr>
            <w:r>
              <w:rPr>
                <w:rFonts w:hint="eastAsia" w:ascii="宋体" w:hAnsi="宋体" w:cs="宋体"/>
                <w:kern w:val="0"/>
                <w:sz w:val="24"/>
                <w:szCs w:val="24"/>
              </w:rPr>
              <w:t>备注：</w:t>
            </w: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表中大小写不一致时，以大写为准。</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此表除在响应文件中，另备一份用信封单独密封，两个表须内容必须一致。</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投标报价为完成本次采购项目内的所有内容的一切相关费用。可根据需要附报价明细。</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本表中“投标总报价”必须与《投标函》中的“投标总报价”均保持一致，如不一致，以《开标一览表》为准。</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附表</w:t>
      </w:r>
      <w:r>
        <w:rPr>
          <w:rFonts w:ascii="宋体" w:hAnsi="宋体" w:cs="宋体"/>
          <w:kern w:val="0"/>
          <w:sz w:val="24"/>
          <w:szCs w:val="24"/>
        </w:rPr>
        <w:t xml:space="preserve">3-1 </w:t>
      </w:r>
      <w:r>
        <w:rPr>
          <w:rFonts w:hint="eastAsia" w:ascii="宋体" w:hAnsi="宋体" w:cs="宋体"/>
          <w:kern w:val="0"/>
          <w:sz w:val="24"/>
          <w:szCs w:val="24"/>
        </w:rPr>
        <w:t>报价明细表</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项目名称：                                                    单位：元</w:t>
      </w:r>
    </w:p>
    <w:tbl>
      <w:tblPr>
        <w:tblStyle w:val="43"/>
        <w:tblW w:w="95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2128"/>
        <w:gridCol w:w="856"/>
        <w:gridCol w:w="1274"/>
        <w:gridCol w:w="1276"/>
        <w:gridCol w:w="1139"/>
        <w:gridCol w:w="1134"/>
        <w:gridCol w:w="1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序号</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名称</w:t>
            </w: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品牌</w:t>
            </w: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生产厂家</w:t>
            </w: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规格型号</w:t>
            </w:r>
          </w:p>
        </w:tc>
        <w:tc>
          <w:tcPr>
            <w:tcW w:w="1139" w:type="dxa"/>
            <w:tcBorders>
              <w:top w:val="single" w:color="000000" w:sz="4" w:space="0"/>
              <w:left w:val="nil"/>
              <w:bottom w:val="single" w:color="000000" w:sz="4" w:space="0"/>
              <w:right w:val="single" w:color="000000" w:sz="4" w:space="0"/>
            </w:tcBorders>
            <w:vAlign w:val="center"/>
          </w:tcPr>
          <w:p>
            <w:pPr>
              <w:jc w:val="center"/>
            </w:pPr>
            <w:r>
              <w:rPr>
                <w:rFonts w:hint="eastAsia"/>
              </w:rPr>
              <w:t>单价</w:t>
            </w:r>
          </w:p>
        </w:tc>
        <w:tc>
          <w:tcPr>
            <w:tcW w:w="1134" w:type="dxa"/>
            <w:tcBorders>
              <w:top w:val="single" w:color="000000" w:sz="4" w:space="0"/>
              <w:left w:val="nil"/>
              <w:bottom w:val="single" w:color="000000" w:sz="4" w:space="0"/>
              <w:right w:val="single" w:color="000000" w:sz="4" w:space="0"/>
            </w:tcBorders>
            <w:vAlign w:val="center"/>
          </w:tcPr>
          <w:p>
            <w:pPr>
              <w:jc w:val="center"/>
            </w:pPr>
            <w:r>
              <w:rPr>
                <w:rFonts w:hint="eastAsia"/>
              </w:rPr>
              <w:t>数量</w:t>
            </w:r>
          </w:p>
        </w:tc>
        <w:tc>
          <w:tcPr>
            <w:tcW w:w="1067" w:type="dxa"/>
            <w:tcBorders>
              <w:top w:val="single" w:color="000000" w:sz="4" w:space="0"/>
              <w:left w:val="nil"/>
              <w:bottom w:val="single" w:color="000000" w:sz="4" w:space="0"/>
              <w:right w:val="single" w:color="000000" w:sz="4" w:space="0"/>
            </w:tcBorders>
            <w:vAlign w:val="center"/>
          </w:tcPr>
          <w:p>
            <w:pPr>
              <w:jc w:val="center"/>
            </w:pPr>
            <w:r>
              <w:rPr>
                <w:rFonts w:hint="eastAsia"/>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3</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4</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5</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w:t>
            </w:r>
          </w:p>
        </w:tc>
        <w:tc>
          <w:tcPr>
            <w:tcW w:w="2128" w:type="dxa"/>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w:t>
            </w:r>
          </w:p>
        </w:tc>
        <w:tc>
          <w:tcPr>
            <w:tcW w:w="85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4"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276" w:type="dxa"/>
            <w:tcBorders>
              <w:top w:val="single" w:color="000000" w:sz="4" w:space="0"/>
              <w:left w:val="nil"/>
              <w:bottom w:val="single" w:color="000000" w:sz="4" w:space="0"/>
              <w:right w:val="single" w:color="000000" w:sz="4" w:space="0"/>
            </w:tcBorders>
            <w:vAlign w:val="center"/>
          </w:tcPr>
          <w:p>
            <w:pPr>
              <w:jc w:val="center"/>
              <w:rPr>
                <w:sz w:val="24"/>
                <w:szCs w:val="24"/>
              </w:rPr>
            </w:pPr>
          </w:p>
        </w:tc>
        <w:tc>
          <w:tcPr>
            <w:tcW w:w="1139"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134"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c>
          <w:tcPr>
            <w:tcW w:w="1067" w:type="dxa"/>
            <w:tcBorders>
              <w:top w:val="single" w:color="000000" w:sz="4" w:space="0"/>
              <w:left w:val="nil"/>
              <w:bottom w:val="single" w:color="000000" w:sz="4" w:space="0"/>
              <w:right w:val="single" w:color="000000" w:sz="4" w:space="0"/>
            </w:tcBorders>
            <w:vAlign w:val="center"/>
          </w:tcPr>
          <w:p>
            <w:pPr>
              <w:pStyle w:val="270"/>
              <w:autoSpaceDE w:val="0"/>
              <w:autoSpaceDN w:val="0"/>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282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合计</w:t>
            </w:r>
          </w:p>
        </w:tc>
        <w:tc>
          <w:tcPr>
            <w:tcW w:w="6746" w:type="dxa"/>
            <w:gridSpan w:val="6"/>
            <w:tcBorders>
              <w:top w:val="single" w:color="000000" w:sz="4" w:space="0"/>
              <w:left w:val="nil"/>
              <w:bottom w:val="single" w:color="000000" w:sz="4" w:space="0"/>
              <w:right w:val="single" w:color="000000" w:sz="4" w:space="0"/>
            </w:tcBorders>
            <w:vAlign w:val="center"/>
          </w:tcPr>
          <w:p>
            <w:pPr>
              <w:jc w:val="center"/>
              <w:rPr>
                <w:sz w:val="24"/>
                <w:szCs w:val="24"/>
              </w:rPr>
            </w:pPr>
            <w:r>
              <w:rPr>
                <w:rFonts w:hint="eastAsia"/>
                <w:sz w:val="24"/>
                <w:szCs w:val="24"/>
              </w:rPr>
              <w:t>大写：人民币 </w:t>
            </w:r>
            <w:r>
              <w:rPr>
                <w:rFonts w:hint="eastAsia"/>
                <w:sz w:val="24"/>
                <w:szCs w:val="24"/>
              </w:rPr>
              <w:tab/>
            </w:r>
            <w:r>
              <w:rPr>
                <w:rFonts w:hint="eastAsia"/>
                <w:sz w:val="24"/>
                <w:szCs w:val="24"/>
              </w:rPr>
              <w:tab/>
            </w:r>
            <w:r>
              <w:rPr>
                <w:rFonts w:hint="eastAsia"/>
                <w:sz w:val="24"/>
                <w:szCs w:val="24"/>
              </w:rPr>
              <w:t>元小写：￥ 元</w:t>
            </w: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注：</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1、货物名称和数量应按照第三部分采购内容及技术服务要求内容填写。</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2、供应商填报价格合计应与投标函载明价格一致，若不一致，应按照第六章响应文件计算错误的修正进行修正。</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3、以上报价应一次性报定，应包括：货物、外购件、外协件、配套件、备品备件、全套设备全部内容、专用工具、原材料及生产制造、检验、油漆、包装、专利费、保险、利税（各种税费）、管理、运输、装卸、运杂费、设备的安装调试（含辅材、开箱费）、配合费、检验验收、技术资料（含中文与外文的翻译费）、</w:t>
      </w:r>
      <w:r>
        <w:rPr>
          <w:rFonts w:hint="eastAsia" w:ascii="宋体" w:hAnsi="宋体" w:cs="宋体"/>
          <w:kern w:val="0"/>
          <w:sz w:val="24"/>
          <w:szCs w:val="24"/>
          <w:lang w:eastAsia="zh-CN"/>
        </w:rPr>
        <w:t>防疫费用、</w:t>
      </w:r>
      <w:r>
        <w:rPr>
          <w:rFonts w:hint="eastAsia" w:ascii="宋体" w:hAnsi="宋体" w:cs="宋体"/>
          <w:kern w:val="0"/>
          <w:sz w:val="24"/>
          <w:szCs w:val="24"/>
        </w:rPr>
        <w:t>售后服务、技术指导、维保、磋商文件所要求的其它服务事项及与合同有关的交钥匙工程等全部费用。中标单位在项目实施、调试过程中，要做到安全文明施工，如发生任何意外、伤亡责任事故，造成的经济损失和人员伤亡由中标人自行负责。</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widowControl/>
        <w:jc w:val="left"/>
        <w:rPr>
          <w:rFonts w:ascii="宋体" w:cs="宋体"/>
          <w:kern w:val="0"/>
          <w:sz w:val="24"/>
          <w:szCs w:val="24"/>
        </w:rPr>
      </w:pPr>
      <w:r>
        <w:rPr>
          <w:rFonts w:ascii="宋体" w:cs="宋体"/>
          <w:kern w:val="0"/>
          <w:sz w:val="24"/>
          <w:szCs w:val="24"/>
        </w:rPr>
        <w:br w:type="page"/>
      </w:r>
    </w:p>
    <w:p>
      <w:pPr>
        <w:ind w:firstLine="480" w:firstLineChars="200"/>
        <w:jc w:val="left"/>
        <w:rPr>
          <w:rFonts w:ascii="宋体" w:cs="宋体"/>
          <w:color w:val="auto"/>
          <w:kern w:val="0"/>
          <w:sz w:val="24"/>
          <w:szCs w:val="24"/>
        </w:rPr>
      </w:pPr>
      <w:r>
        <w:rPr>
          <w:rFonts w:hint="eastAsia" w:ascii="宋体" w:hAnsi="宋体"/>
          <w:sz w:val="24"/>
          <w:szCs w:val="24"/>
        </w:rPr>
        <w:t xml:space="preserve">附表3-2         </w:t>
      </w:r>
      <w:r>
        <w:rPr>
          <w:rFonts w:hint="eastAsia" w:ascii="宋体" w:hAnsi="宋体"/>
          <w:color w:val="auto"/>
          <w:sz w:val="24"/>
          <w:szCs w:val="24"/>
        </w:rPr>
        <w:t xml:space="preserve"> 节能、环境标志产品明细表</w:t>
      </w:r>
    </w:p>
    <w:p>
      <w:pPr>
        <w:spacing w:line="440" w:lineRule="exact"/>
        <w:ind w:firstLine="480" w:firstLineChars="200"/>
        <w:jc w:val="center"/>
        <w:rPr>
          <w:rFonts w:ascii="宋体" w:hAnsi="宋体"/>
          <w:color w:val="auto"/>
          <w:sz w:val="24"/>
          <w:szCs w:val="24"/>
        </w:rPr>
      </w:pPr>
      <w:r>
        <w:rPr>
          <w:rFonts w:hint="eastAsia" w:ascii="宋体" w:hAnsi="宋体"/>
          <w:color w:val="auto"/>
          <w:sz w:val="24"/>
          <w:szCs w:val="24"/>
        </w:rPr>
        <w:t>(若有，请如实填写)</w:t>
      </w:r>
    </w:p>
    <w:p>
      <w:pPr>
        <w:spacing w:line="440" w:lineRule="exact"/>
        <w:rPr>
          <w:rFonts w:ascii="宋体" w:hAnsi="宋体"/>
          <w:sz w:val="24"/>
          <w:szCs w:val="24"/>
        </w:rPr>
      </w:pPr>
      <w:r>
        <w:rPr>
          <w:rFonts w:hint="eastAsia" w:ascii="宋体" w:hAnsi="宋体"/>
          <w:sz w:val="24"/>
          <w:szCs w:val="24"/>
        </w:rPr>
        <w:t xml:space="preserve">（1）节能产品明细清单                       </w:t>
      </w:r>
    </w:p>
    <w:p>
      <w:pPr>
        <w:spacing w:line="440" w:lineRule="exact"/>
        <w:rPr>
          <w:rFonts w:ascii="宋体" w:hAnsi="宋体" w:cs="Calibri"/>
          <w:sz w:val="24"/>
          <w:szCs w:val="24"/>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928"/>
        <w:gridCol w:w="929"/>
        <w:gridCol w:w="929"/>
        <w:gridCol w:w="929"/>
        <w:gridCol w:w="929"/>
        <w:gridCol w:w="929"/>
        <w:gridCol w:w="929"/>
        <w:gridCol w:w="9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28"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序号</w:t>
            </w:r>
          </w:p>
        </w:tc>
        <w:tc>
          <w:tcPr>
            <w:tcW w:w="928"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产品名称</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制造商</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品牌</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规格型号</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节能标志认证证书编号</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认证证书有效截止日期</w:t>
            </w:r>
          </w:p>
        </w:tc>
        <w:tc>
          <w:tcPr>
            <w:tcW w:w="2787" w:type="dxa"/>
            <w:gridSpan w:val="3"/>
            <w:vAlign w:val="center"/>
          </w:tcPr>
          <w:p>
            <w:pPr>
              <w:jc w:val="center"/>
              <w:rPr>
                <w:rFonts w:ascii="宋体" w:hAnsi="宋体" w:eastAsia="宋体" w:cs="Calibri"/>
                <w:sz w:val="18"/>
                <w:szCs w:val="24"/>
              </w:rPr>
            </w:pPr>
            <w:r>
              <w:rPr>
                <w:rFonts w:hint="eastAsia" w:ascii="宋体" w:hAnsi="宋体" w:eastAsia="宋体" w:cs="Calibri"/>
                <w:sz w:val="18"/>
                <w:szCs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28" w:type="dxa"/>
            <w:vMerge w:val="continue"/>
            <w:vAlign w:val="center"/>
          </w:tcPr>
          <w:p>
            <w:pPr>
              <w:jc w:val="center"/>
              <w:rPr>
                <w:rFonts w:ascii="宋体" w:hAnsi="宋体" w:eastAsia="宋体" w:cs="Calibri"/>
                <w:sz w:val="18"/>
                <w:szCs w:val="24"/>
              </w:rPr>
            </w:pPr>
          </w:p>
        </w:tc>
        <w:tc>
          <w:tcPr>
            <w:tcW w:w="928"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单价</w:t>
            </w: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数量</w:t>
            </w: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9"/>
          </w:tcPr>
          <w:p>
            <w:pPr>
              <w:spacing w:line="440" w:lineRule="exact"/>
              <w:jc w:val="center"/>
              <w:rPr>
                <w:rFonts w:ascii="宋体" w:hAnsi="宋体" w:eastAsia="宋体" w:cs="Calibri"/>
                <w:sz w:val="24"/>
                <w:szCs w:val="24"/>
              </w:rPr>
            </w:pPr>
            <w:r>
              <w:rPr>
                <w:rFonts w:hint="eastAsia" w:ascii="宋体" w:hAnsi="宋体" w:eastAsia="宋体" w:cs="Calibri"/>
                <w:sz w:val="18"/>
                <w:szCs w:val="24"/>
              </w:rPr>
              <w:t>合计</w:t>
            </w:r>
          </w:p>
        </w:tc>
        <w:tc>
          <w:tcPr>
            <w:tcW w:w="929" w:type="dxa"/>
          </w:tcPr>
          <w:p>
            <w:pPr>
              <w:spacing w:line="440" w:lineRule="exact"/>
              <w:rPr>
                <w:rFonts w:ascii="宋体" w:hAnsi="宋体" w:eastAsia="宋体" w:cs="Calibri"/>
                <w:sz w:val="24"/>
                <w:szCs w:val="24"/>
              </w:rPr>
            </w:pPr>
          </w:p>
        </w:tc>
      </w:tr>
    </w:tbl>
    <w:p>
      <w:pPr>
        <w:spacing w:line="440" w:lineRule="exact"/>
        <w:rPr>
          <w:rFonts w:ascii="宋体" w:hAnsi="宋体" w:cs="Calibri"/>
          <w:sz w:val="24"/>
          <w:szCs w:val="24"/>
        </w:rPr>
      </w:pPr>
    </w:p>
    <w:p>
      <w:pPr>
        <w:spacing w:line="440" w:lineRule="exact"/>
        <w:rPr>
          <w:rFonts w:ascii="宋体" w:hAnsi="宋体"/>
          <w:sz w:val="24"/>
          <w:szCs w:val="24"/>
        </w:rPr>
      </w:pPr>
      <w:r>
        <w:rPr>
          <w:rFonts w:hint="eastAsia" w:ascii="宋体" w:hAnsi="宋体"/>
          <w:sz w:val="24"/>
          <w:szCs w:val="24"/>
        </w:rPr>
        <w:t xml:space="preserve">（2）环保产品明细清单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928"/>
        <w:gridCol w:w="929"/>
        <w:gridCol w:w="929"/>
        <w:gridCol w:w="929"/>
        <w:gridCol w:w="929"/>
        <w:gridCol w:w="929"/>
        <w:gridCol w:w="929"/>
        <w:gridCol w:w="9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28"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序号</w:t>
            </w:r>
          </w:p>
        </w:tc>
        <w:tc>
          <w:tcPr>
            <w:tcW w:w="928"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产品名称</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制造商</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品牌</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规格型号</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中国环境标志认证证书编号</w:t>
            </w:r>
          </w:p>
        </w:tc>
        <w:tc>
          <w:tcPr>
            <w:tcW w:w="929" w:type="dxa"/>
            <w:vMerge w:val="restart"/>
            <w:vAlign w:val="center"/>
          </w:tcPr>
          <w:p>
            <w:pPr>
              <w:jc w:val="center"/>
              <w:rPr>
                <w:rFonts w:ascii="宋体" w:hAnsi="宋体" w:eastAsia="宋体" w:cs="Calibri"/>
                <w:sz w:val="18"/>
                <w:szCs w:val="24"/>
              </w:rPr>
            </w:pPr>
            <w:r>
              <w:rPr>
                <w:rFonts w:hint="eastAsia" w:ascii="宋体" w:hAnsi="宋体" w:eastAsia="宋体" w:cs="Calibri"/>
                <w:sz w:val="18"/>
                <w:szCs w:val="24"/>
              </w:rPr>
              <w:t>认证证书有效截止日期</w:t>
            </w:r>
          </w:p>
        </w:tc>
        <w:tc>
          <w:tcPr>
            <w:tcW w:w="2787" w:type="dxa"/>
            <w:gridSpan w:val="3"/>
            <w:vAlign w:val="center"/>
          </w:tcPr>
          <w:p>
            <w:pPr>
              <w:jc w:val="center"/>
              <w:rPr>
                <w:rFonts w:ascii="宋体" w:hAnsi="宋体" w:eastAsia="宋体" w:cs="Calibri"/>
                <w:sz w:val="18"/>
                <w:szCs w:val="24"/>
              </w:rPr>
            </w:pPr>
            <w:r>
              <w:rPr>
                <w:rFonts w:hint="eastAsia" w:ascii="宋体" w:hAnsi="宋体" w:eastAsia="宋体" w:cs="Calibri"/>
                <w:sz w:val="18"/>
                <w:szCs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28" w:type="dxa"/>
            <w:vMerge w:val="continue"/>
            <w:vAlign w:val="center"/>
          </w:tcPr>
          <w:p>
            <w:pPr>
              <w:jc w:val="center"/>
              <w:rPr>
                <w:rFonts w:ascii="宋体" w:hAnsi="宋体" w:eastAsia="宋体" w:cs="Calibri"/>
                <w:sz w:val="18"/>
                <w:szCs w:val="24"/>
              </w:rPr>
            </w:pPr>
          </w:p>
        </w:tc>
        <w:tc>
          <w:tcPr>
            <w:tcW w:w="928"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Merge w:val="continue"/>
            <w:vAlign w:val="center"/>
          </w:tcPr>
          <w:p>
            <w:pPr>
              <w:jc w:val="center"/>
              <w:rPr>
                <w:rFonts w:ascii="宋体" w:hAnsi="宋体" w:eastAsia="宋体" w:cs="Calibri"/>
                <w:sz w:val="18"/>
                <w:szCs w:val="24"/>
              </w:rPr>
            </w:pP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单价</w:t>
            </w: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数量</w:t>
            </w:r>
          </w:p>
        </w:tc>
        <w:tc>
          <w:tcPr>
            <w:tcW w:w="929" w:type="dxa"/>
            <w:vAlign w:val="center"/>
          </w:tcPr>
          <w:p>
            <w:pPr>
              <w:jc w:val="center"/>
              <w:rPr>
                <w:rFonts w:ascii="宋体" w:hAnsi="宋体" w:eastAsia="宋体" w:cs="Calibri"/>
                <w:sz w:val="18"/>
                <w:szCs w:val="24"/>
              </w:rPr>
            </w:pPr>
            <w:r>
              <w:rPr>
                <w:rFonts w:hint="eastAsia" w:ascii="宋体" w:hAnsi="宋体" w:eastAsia="宋体" w:cs="Calibri"/>
                <w:sz w:val="18"/>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pPr>
              <w:spacing w:line="440" w:lineRule="exact"/>
              <w:rPr>
                <w:rFonts w:ascii="宋体" w:hAnsi="宋体" w:eastAsia="宋体" w:cs="Calibri"/>
                <w:sz w:val="24"/>
                <w:szCs w:val="24"/>
              </w:rPr>
            </w:pPr>
          </w:p>
        </w:tc>
        <w:tc>
          <w:tcPr>
            <w:tcW w:w="928"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c>
          <w:tcPr>
            <w:tcW w:w="929" w:type="dxa"/>
          </w:tcPr>
          <w:p>
            <w:pPr>
              <w:spacing w:line="440" w:lineRule="exact"/>
              <w:rPr>
                <w:rFonts w:ascii="宋体" w:hAnsi="宋体" w:eastAsia="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9"/>
          </w:tcPr>
          <w:p>
            <w:pPr>
              <w:spacing w:line="440" w:lineRule="exact"/>
              <w:jc w:val="center"/>
              <w:rPr>
                <w:rFonts w:ascii="宋体" w:hAnsi="宋体" w:eastAsia="宋体" w:cs="Calibri"/>
                <w:sz w:val="24"/>
                <w:szCs w:val="24"/>
              </w:rPr>
            </w:pPr>
            <w:r>
              <w:rPr>
                <w:rFonts w:hint="eastAsia" w:ascii="宋体" w:hAnsi="宋体" w:eastAsia="宋体" w:cs="Calibri"/>
                <w:sz w:val="18"/>
                <w:szCs w:val="24"/>
              </w:rPr>
              <w:t>合计</w:t>
            </w:r>
          </w:p>
        </w:tc>
        <w:tc>
          <w:tcPr>
            <w:tcW w:w="929" w:type="dxa"/>
          </w:tcPr>
          <w:p>
            <w:pPr>
              <w:spacing w:line="440" w:lineRule="exact"/>
              <w:rPr>
                <w:rFonts w:ascii="宋体" w:hAnsi="宋体" w:eastAsia="宋体" w:cs="Calibri"/>
                <w:sz w:val="24"/>
                <w:szCs w:val="24"/>
              </w:rPr>
            </w:pPr>
          </w:p>
        </w:tc>
      </w:tr>
    </w:tbl>
    <w:p>
      <w:pPr>
        <w:spacing w:line="440" w:lineRule="exact"/>
        <w:rPr>
          <w:rFonts w:ascii="宋体" w:hAnsi="宋体" w:cs="Calibri"/>
          <w:sz w:val="24"/>
          <w:szCs w:val="24"/>
        </w:rPr>
      </w:pPr>
      <w:r>
        <w:rPr>
          <w:rFonts w:hint="eastAsia" w:ascii="宋体" w:hAnsi="宋体"/>
          <w:sz w:val="24"/>
          <w:szCs w:val="24"/>
        </w:rPr>
        <w:t>注：</w:t>
      </w:r>
    </w:p>
    <w:p>
      <w:pPr>
        <w:spacing w:line="440" w:lineRule="exact"/>
        <w:rPr>
          <w:rFonts w:ascii="宋体" w:hAnsi="宋体"/>
          <w:sz w:val="24"/>
          <w:szCs w:val="24"/>
        </w:rPr>
      </w:pPr>
      <w:r>
        <w:rPr>
          <w:rFonts w:hint="eastAsia" w:ascii="宋体" w:hAnsi="宋体"/>
          <w:sz w:val="24"/>
          <w:szCs w:val="24"/>
        </w:rPr>
        <w:t>1、</w:t>
      </w:r>
      <w:r>
        <w:rPr>
          <w:rFonts w:hint="eastAsia" w:ascii="宋体" w:hAnsi="宋体" w:cs="宋体"/>
          <w:kern w:val="0"/>
          <w:sz w:val="24"/>
          <w:szCs w:val="24"/>
        </w:rPr>
        <w:t>执行《财政部 发展改革委 生态环境部 市场监管总局关于调整优化节能产品、环境标志产品政府采购执行机制的通知》(财库〔2019〕9号)、《市场监管总局办公厅关于扩大参与实施政府采购节能产品、环境标志产品认证机构范围的通知》（市监认证函〔2019〕513号）及市场监管总局最新关于发布参与实施政府采购节能产品、环境标志产品认证机构名录。附《国家节能产品认证证书》复印件、《中国环境标志产品认证证书》复印件；</w:t>
      </w:r>
    </w:p>
    <w:p>
      <w:pPr>
        <w:adjustRightInd w:val="0"/>
        <w:snapToGrid w:val="0"/>
        <w:spacing w:line="440" w:lineRule="exact"/>
        <w:rPr>
          <w:rFonts w:ascii="宋体" w:hAnsi="宋体"/>
          <w:sz w:val="24"/>
          <w:szCs w:val="24"/>
        </w:rPr>
      </w:pPr>
      <w:r>
        <w:rPr>
          <w:rFonts w:hint="eastAsia" w:ascii="宋体" w:hAnsi="宋体"/>
          <w:sz w:val="24"/>
          <w:szCs w:val="24"/>
        </w:rPr>
        <w:t>2、若无货物属于优先采购节能、环境标志产品的，则不填写此表。</w:t>
      </w:r>
    </w:p>
    <w:p>
      <w:pPr>
        <w:autoSpaceDE w:val="0"/>
        <w:autoSpaceDN w:val="0"/>
        <w:adjustRightInd w:val="0"/>
        <w:spacing w:line="360" w:lineRule="auto"/>
        <w:jc w:val="left"/>
        <w:rPr>
          <w:rFonts w:ascii="宋体" w:hAnsi="宋体" w:cs="宋体"/>
          <w:kern w:val="0"/>
          <w:sz w:val="24"/>
          <w:szCs w:val="24"/>
        </w:rPr>
      </w:pPr>
    </w:p>
    <w:p>
      <w:pPr>
        <w:autoSpaceDE w:val="0"/>
        <w:autoSpaceDN w:val="0"/>
        <w:adjustRightInd w:val="0"/>
        <w:spacing w:line="360" w:lineRule="auto"/>
        <w:jc w:val="left"/>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rPr>
          <w:rFonts w:ascii="宋体" w:hAnsi="宋体" w:cs="宋体"/>
          <w:b/>
          <w:kern w:val="0"/>
          <w:sz w:val="24"/>
          <w:szCs w:val="24"/>
        </w:rPr>
      </w:pPr>
      <w:r>
        <w:rPr>
          <w:rFonts w:hint="eastAsia" w:ascii="宋体" w:hAnsi="宋体" w:cs="宋体"/>
          <w:b/>
          <w:kern w:val="0"/>
          <w:sz w:val="24"/>
          <w:szCs w:val="24"/>
        </w:rPr>
        <w:br w:type="page"/>
      </w:r>
    </w:p>
    <w:p>
      <w:pPr>
        <w:autoSpaceDE w:val="0"/>
        <w:autoSpaceDN w:val="0"/>
        <w:adjustRightInd w:val="0"/>
        <w:spacing w:line="360" w:lineRule="auto"/>
        <w:jc w:val="center"/>
        <w:outlineLvl w:val="1"/>
        <w:rPr>
          <w:rFonts w:ascii="宋体" w:cs="宋体"/>
          <w:b/>
          <w:kern w:val="0"/>
          <w:sz w:val="24"/>
          <w:szCs w:val="24"/>
        </w:rPr>
      </w:pPr>
      <w:bookmarkStart w:id="808" w:name="_Toc4335"/>
      <w:r>
        <w:rPr>
          <w:rFonts w:hint="eastAsia" w:ascii="宋体" w:hAnsi="宋体" w:cs="宋体"/>
          <w:b/>
          <w:kern w:val="0"/>
          <w:sz w:val="24"/>
          <w:szCs w:val="24"/>
        </w:rPr>
        <w:t>（四）偏离表</w:t>
      </w:r>
      <w:bookmarkEnd w:id="808"/>
    </w:p>
    <w:p>
      <w:pPr>
        <w:autoSpaceDE w:val="0"/>
        <w:autoSpaceDN w:val="0"/>
        <w:adjustRightInd w:val="0"/>
        <w:spacing w:line="360" w:lineRule="auto"/>
        <w:jc w:val="left"/>
        <w:rPr>
          <w:rFonts w:ascii="宋体" w:cs="CourierNewPSMT"/>
          <w:kern w:val="0"/>
          <w:sz w:val="24"/>
          <w:szCs w:val="24"/>
          <w:u w:val="single"/>
        </w:rPr>
      </w:pPr>
      <w:r>
        <w:rPr>
          <w:rFonts w:hint="eastAsia" w:ascii="宋体" w:hAnsi="宋体" w:cs="宋体"/>
          <w:kern w:val="0"/>
          <w:sz w:val="24"/>
          <w:szCs w:val="24"/>
        </w:rPr>
        <w:t>项目名称：                                        项目编号</w:t>
      </w:r>
      <w:r>
        <w:rPr>
          <w:rFonts w:ascii="宋体" w:hAnsi="宋体" w:cs="宋体"/>
          <w:kern w:val="0"/>
          <w:sz w:val="24"/>
          <w:szCs w:val="24"/>
        </w:rPr>
        <w:t>/</w:t>
      </w:r>
      <w:r>
        <w:rPr>
          <w:rFonts w:hint="eastAsia" w:ascii="宋体" w:hAnsi="宋体" w:cs="宋体"/>
          <w:kern w:val="0"/>
          <w:sz w:val="24"/>
          <w:szCs w:val="24"/>
        </w:rPr>
        <w:t>合同包号：</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r>
              <w:rPr>
                <w:rFonts w:hint="eastAsia" w:ascii="宋体" w:hAnsi="宋体" w:cs="宋体"/>
                <w:kern w:val="0"/>
                <w:sz w:val="24"/>
                <w:szCs w:val="24"/>
              </w:rPr>
              <w:t>序号</w:t>
            </w:r>
          </w:p>
        </w:tc>
        <w:tc>
          <w:tcPr>
            <w:tcW w:w="1857"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磋商文件条目号</w:t>
            </w:r>
          </w:p>
        </w:tc>
        <w:tc>
          <w:tcPr>
            <w:tcW w:w="185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磋商文件的条款</w:t>
            </w:r>
          </w:p>
        </w:tc>
        <w:tc>
          <w:tcPr>
            <w:tcW w:w="185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响应文件的条款</w:t>
            </w:r>
          </w:p>
        </w:tc>
        <w:tc>
          <w:tcPr>
            <w:tcW w:w="185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7"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c>
          <w:tcPr>
            <w:tcW w:w="1858" w:type="dxa"/>
            <w:vAlign w:val="center"/>
          </w:tcPr>
          <w:p>
            <w:pPr>
              <w:autoSpaceDE w:val="0"/>
              <w:autoSpaceDN w:val="0"/>
              <w:adjustRightInd w:val="0"/>
              <w:spacing w:line="360" w:lineRule="auto"/>
              <w:jc w:val="center"/>
              <w:rPr>
                <w:rFonts w:ascii="宋体" w:cs="CourierNewPSMT"/>
                <w:kern w:val="0"/>
                <w:sz w:val="24"/>
                <w:szCs w:val="24"/>
                <w:u w:val="single"/>
              </w:rPr>
            </w:pPr>
          </w:p>
        </w:tc>
      </w:tr>
    </w:tbl>
    <w:p>
      <w:pPr>
        <w:autoSpaceDE w:val="0"/>
        <w:autoSpaceDN w:val="0"/>
        <w:adjustRightInd w:val="0"/>
        <w:spacing w:line="360" w:lineRule="auto"/>
        <w:jc w:val="left"/>
        <w:rPr>
          <w:rFonts w:ascii="宋体" w:cs="CourierNewPSMT"/>
          <w:kern w:val="0"/>
          <w:sz w:val="24"/>
          <w:szCs w:val="24"/>
          <w:u w:val="single"/>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注：供应商要将响应文件与磋商文件在商务及技术部分的差异之处汇集成此表。供应商必须详细填写偏离表，偏离表未声明事项视为认同磋商文件标准。</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center"/>
        <w:outlineLvl w:val="1"/>
        <w:rPr>
          <w:rFonts w:ascii="宋体" w:cs="宋体"/>
          <w:b/>
          <w:kern w:val="0"/>
          <w:sz w:val="24"/>
          <w:szCs w:val="24"/>
        </w:rPr>
      </w:pPr>
      <w:bookmarkStart w:id="809" w:name="_Toc28224"/>
      <w:r>
        <w:rPr>
          <w:rFonts w:hint="eastAsia" w:ascii="宋体" w:hAnsi="宋体" w:cs="宋体"/>
          <w:b/>
          <w:kern w:val="0"/>
          <w:sz w:val="24"/>
          <w:szCs w:val="24"/>
        </w:rPr>
        <w:t>（五）投标保证金提交证明</w:t>
      </w:r>
      <w:bookmarkEnd w:id="809"/>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4" w:hRule="atLeast"/>
        </w:trPr>
        <w:tc>
          <w:tcPr>
            <w:tcW w:w="9288" w:type="dxa"/>
            <w:vAlign w:val="center"/>
          </w:tcPr>
          <w:p>
            <w:pPr>
              <w:autoSpaceDE w:val="0"/>
              <w:autoSpaceDN w:val="0"/>
              <w:adjustRightInd w:val="0"/>
              <w:spacing w:line="360" w:lineRule="auto"/>
              <w:jc w:val="center"/>
              <w:rPr>
                <w:rFonts w:ascii="宋体" w:cs="宋体"/>
                <w:kern w:val="0"/>
                <w:sz w:val="24"/>
                <w:szCs w:val="24"/>
              </w:rPr>
            </w:pPr>
            <w:bookmarkStart w:id="810" w:name="OLE_LINK1"/>
            <w:bookmarkStart w:id="811" w:name="OLE_LINK2"/>
            <w:r>
              <w:rPr>
                <w:rFonts w:hint="eastAsia" w:ascii="宋体" w:hAnsi="宋体" w:cs="宋体"/>
                <w:kern w:val="0"/>
                <w:sz w:val="24"/>
                <w:szCs w:val="24"/>
              </w:rPr>
              <w:t>投标保证金电汇、网银等非现金形式缴纳凭证复印件</w:t>
            </w:r>
            <w:bookmarkEnd w:id="810"/>
            <w:bookmarkEnd w:id="811"/>
            <w:r>
              <w:rPr>
                <w:rFonts w:hint="eastAsia" w:ascii="宋体" w:hAnsi="宋体" w:cs="宋体"/>
                <w:kern w:val="0"/>
                <w:sz w:val="24"/>
                <w:szCs w:val="24"/>
              </w:rPr>
              <w:t>或采购代理机构出具的投标保证金收据复印件</w:t>
            </w:r>
          </w:p>
        </w:tc>
      </w:tr>
    </w:tbl>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（供应商须将投标保证金电汇、网银等非现金形式缴纳凭证复印件或采购代理机构出具的投标保证金收据复印件附在此处，同时在开标时提交加盖公章复印件至开标现场以备查验）</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outlineLvl w:val="1"/>
        <w:rPr>
          <w:rFonts w:ascii="宋体" w:cs="宋体"/>
          <w:b/>
          <w:kern w:val="0"/>
          <w:sz w:val="24"/>
          <w:szCs w:val="24"/>
        </w:rPr>
      </w:pPr>
      <w:bookmarkStart w:id="812" w:name="_Toc26463"/>
      <w:r>
        <w:rPr>
          <w:rFonts w:hint="eastAsia" w:ascii="宋体" w:hAnsi="宋体" w:cs="宋体"/>
          <w:b/>
          <w:kern w:val="0"/>
          <w:sz w:val="24"/>
          <w:szCs w:val="24"/>
        </w:rPr>
        <w:t>（六）供应商资格证明文件</w:t>
      </w:r>
      <w:bookmarkEnd w:id="812"/>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、关于资格的声明函</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致：</w:t>
      </w:r>
      <w:r>
        <w:rPr>
          <w:rFonts w:hint="eastAsia" w:ascii="宋体" w:hAnsi="宋体" w:cs="宋体"/>
          <w:kern w:val="0"/>
          <w:sz w:val="24"/>
          <w:szCs w:val="24"/>
          <w:u w:val="single"/>
        </w:rPr>
        <w:t>（采购人名称）</w:t>
      </w:r>
    </w:p>
    <w:p>
      <w:pPr>
        <w:autoSpaceDE w:val="0"/>
        <w:autoSpaceDN w:val="0"/>
        <w:adjustRightInd w:val="0"/>
        <w:spacing w:line="360" w:lineRule="auto"/>
        <w:ind w:firstLine="360" w:firstLineChars="150"/>
        <w:jc w:val="left"/>
        <w:rPr>
          <w:rFonts w:ascii="宋体" w:cs="宋体"/>
          <w:kern w:val="0"/>
          <w:sz w:val="24"/>
          <w:szCs w:val="24"/>
        </w:rPr>
      </w:pPr>
      <w:r>
        <w:rPr>
          <w:rFonts w:hint="eastAsia" w:ascii="宋体" w:hAnsi="宋体" w:cs="宋体"/>
          <w:kern w:val="0"/>
          <w:sz w:val="24"/>
          <w:szCs w:val="24"/>
        </w:rPr>
        <w:t>关于贵方</w:t>
      </w:r>
      <w:r>
        <w:rPr>
          <w:rFonts w:ascii="宋体" w:hAnsi="宋体" w:cs="宋体"/>
          <w:kern w:val="0"/>
          <w:sz w:val="24"/>
          <w:szCs w:val="24"/>
          <w:u w:val="single"/>
        </w:rPr>
        <w:t xml:space="preserve">20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日第</w:t>
      </w:r>
      <w:r>
        <w:rPr>
          <w:rFonts w:hint="eastAsia" w:ascii="宋体" w:hAnsi="宋体" w:cs="宋体"/>
          <w:kern w:val="0"/>
          <w:sz w:val="24"/>
          <w:szCs w:val="24"/>
          <w:u w:val="single"/>
        </w:rPr>
        <w:t>（项目编号）</w:t>
      </w:r>
      <w:r>
        <w:rPr>
          <w:rFonts w:hint="eastAsia" w:ascii="宋体" w:hAnsi="宋体" w:cs="宋体"/>
          <w:kern w:val="0"/>
          <w:sz w:val="24"/>
          <w:szCs w:val="24"/>
        </w:rPr>
        <w:t>招标公告关于“</w:t>
      </w:r>
      <w:r>
        <w:rPr>
          <w:rFonts w:hint="eastAsia" w:ascii="宋体" w:hAnsi="宋体" w:cs="宋体"/>
          <w:kern w:val="0"/>
          <w:sz w:val="24"/>
          <w:szCs w:val="24"/>
          <w:u w:val="single"/>
        </w:rPr>
        <w:t>（项目名称）</w:t>
      </w:r>
      <w:r>
        <w:rPr>
          <w:rFonts w:hint="eastAsia" w:ascii="宋体" w:hAnsi="宋体" w:cs="宋体"/>
          <w:kern w:val="0"/>
          <w:sz w:val="24"/>
          <w:szCs w:val="24"/>
        </w:rPr>
        <w:t>”的采购项目，本公司愿意参加投标，并有能力提供</w:t>
      </w:r>
      <w:r>
        <w:rPr>
          <w:rFonts w:hint="eastAsia" w:ascii="宋体" w:hAnsi="宋体" w:cs="宋体"/>
          <w:kern w:val="0"/>
          <w:sz w:val="24"/>
          <w:szCs w:val="24"/>
          <w:u w:val="single"/>
        </w:rPr>
        <w:t>（项目名称）</w:t>
      </w:r>
      <w:r>
        <w:rPr>
          <w:rFonts w:hint="eastAsia" w:ascii="宋体" w:hAnsi="宋体" w:cs="宋体"/>
          <w:kern w:val="0"/>
          <w:sz w:val="24"/>
          <w:szCs w:val="24"/>
        </w:rPr>
        <w:t>项目中的全部货物、服务内容，并保证所提交的所有文件和说明是真实和准确的。</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地址：</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传真：</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邮编：</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电话：</w:t>
      </w:r>
    </w:p>
    <w:p>
      <w:pPr>
        <w:autoSpaceDE w:val="0"/>
        <w:autoSpaceDN w:val="0"/>
        <w:adjustRightInd w:val="0"/>
        <w:spacing w:line="360" w:lineRule="auto"/>
        <w:jc w:val="right"/>
        <w:rPr>
          <w:rFonts w:ascii="宋体" w:cs="宋体"/>
          <w:kern w:val="0"/>
          <w:sz w:val="24"/>
          <w:szCs w:val="24"/>
        </w:rPr>
      </w:pPr>
      <w:r>
        <w:rPr>
          <w:sz w:val="24"/>
          <w:szCs w:val="24"/>
        </w:rPr>
        <w:t>年月日</w:t>
      </w: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、供应商基本情况表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3811"/>
        <w:gridCol w:w="1925"/>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名称</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注册地址</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办公地址</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法定代表人</w:t>
            </w:r>
          </w:p>
        </w:tc>
        <w:tc>
          <w:tcPr>
            <w:tcW w:w="1991" w:type="pct"/>
            <w:vAlign w:val="center"/>
          </w:tcPr>
          <w:p>
            <w:pPr>
              <w:autoSpaceDE w:val="0"/>
              <w:autoSpaceDN w:val="0"/>
              <w:adjustRightInd w:val="0"/>
              <w:spacing w:line="360" w:lineRule="auto"/>
              <w:jc w:val="center"/>
              <w:rPr>
                <w:rFonts w:ascii="宋体" w:cs="宋体"/>
                <w:kern w:val="0"/>
                <w:sz w:val="24"/>
                <w:szCs w:val="24"/>
              </w:rPr>
            </w:pPr>
          </w:p>
        </w:tc>
        <w:tc>
          <w:tcPr>
            <w:tcW w:w="1006"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联系人</w:t>
            </w:r>
          </w:p>
        </w:tc>
        <w:tc>
          <w:tcPr>
            <w:tcW w:w="998" w:type="pct"/>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电话</w:t>
            </w:r>
          </w:p>
        </w:tc>
        <w:tc>
          <w:tcPr>
            <w:tcW w:w="1991" w:type="pct"/>
            <w:vAlign w:val="center"/>
          </w:tcPr>
          <w:p>
            <w:pPr>
              <w:autoSpaceDE w:val="0"/>
              <w:autoSpaceDN w:val="0"/>
              <w:adjustRightInd w:val="0"/>
              <w:spacing w:line="360" w:lineRule="auto"/>
              <w:jc w:val="center"/>
              <w:rPr>
                <w:rFonts w:ascii="宋体" w:cs="宋体"/>
                <w:kern w:val="0"/>
                <w:sz w:val="24"/>
                <w:szCs w:val="24"/>
              </w:rPr>
            </w:pPr>
          </w:p>
        </w:tc>
        <w:tc>
          <w:tcPr>
            <w:tcW w:w="1006"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传真</w:t>
            </w:r>
          </w:p>
        </w:tc>
        <w:tc>
          <w:tcPr>
            <w:tcW w:w="998" w:type="pct"/>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邮政编码</w:t>
            </w:r>
          </w:p>
        </w:tc>
        <w:tc>
          <w:tcPr>
            <w:tcW w:w="1991" w:type="pct"/>
            <w:vAlign w:val="center"/>
          </w:tcPr>
          <w:p>
            <w:pPr>
              <w:autoSpaceDE w:val="0"/>
              <w:autoSpaceDN w:val="0"/>
              <w:adjustRightInd w:val="0"/>
              <w:spacing w:line="360" w:lineRule="auto"/>
              <w:jc w:val="center"/>
              <w:rPr>
                <w:rFonts w:ascii="宋体" w:cs="宋体"/>
                <w:kern w:val="0"/>
                <w:sz w:val="24"/>
                <w:szCs w:val="24"/>
              </w:rPr>
            </w:pPr>
          </w:p>
        </w:tc>
        <w:tc>
          <w:tcPr>
            <w:tcW w:w="1006" w:type="pct"/>
            <w:vAlign w:val="center"/>
          </w:tcPr>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E-Mail</w:t>
            </w:r>
          </w:p>
        </w:tc>
        <w:tc>
          <w:tcPr>
            <w:tcW w:w="998" w:type="pct"/>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社会统一信用代码</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资质等级</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注册资金（万元）</w:t>
            </w:r>
          </w:p>
        </w:tc>
        <w:tc>
          <w:tcPr>
            <w:tcW w:w="1991" w:type="pct"/>
            <w:vAlign w:val="center"/>
          </w:tcPr>
          <w:p>
            <w:pPr>
              <w:autoSpaceDE w:val="0"/>
              <w:autoSpaceDN w:val="0"/>
              <w:adjustRightInd w:val="0"/>
              <w:spacing w:line="360" w:lineRule="auto"/>
              <w:jc w:val="center"/>
              <w:rPr>
                <w:rFonts w:ascii="宋体" w:cs="宋体"/>
                <w:kern w:val="0"/>
                <w:sz w:val="24"/>
                <w:szCs w:val="24"/>
              </w:rPr>
            </w:pPr>
          </w:p>
        </w:tc>
        <w:tc>
          <w:tcPr>
            <w:tcW w:w="1006"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专业人员数量</w:t>
            </w:r>
          </w:p>
        </w:tc>
        <w:tc>
          <w:tcPr>
            <w:tcW w:w="998" w:type="pct"/>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经营范围</w:t>
            </w:r>
          </w:p>
        </w:tc>
        <w:tc>
          <w:tcPr>
            <w:tcW w:w="3995" w:type="pct"/>
            <w:gridSpan w:val="3"/>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trPr>
        <w:tc>
          <w:tcPr>
            <w:tcW w:w="5000" w:type="pct"/>
            <w:gridSpan w:val="4"/>
          </w:tcPr>
          <w:p>
            <w:pPr>
              <w:autoSpaceDE w:val="0"/>
              <w:autoSpaceDN w:val="0"/>
              <w:adjustRightInd w:val="0"/>
              <w:spacing w:line="360" w:lineRule="auto"/>
              <w:rPr>
                <w:rFonts w:ascii="宋体" w:cs="宋体"/>
                <w:kern w:val="0"/>
                <w:sz w:val="24"/>
                <w:szCs w:val="24"/>
              </w:rPr>
            </w:pPr>
            <w:r>
              <w:rPr>
                <w:rFonts w:hint="eastAsia" w:ascii="宋体" w:hAnsi="宋体" w:cs="宋体"/>
                <w:kern w:val="0"/>
                <w:sz w:val="24"/>
                <w:szCs w:val="24"/>
              </w:rPr>
              <w:t>机构简况：</w:t>
            </w:r>
          </w:p>
        </w:tc>
      </w:tr>
    </w:tbl>
    <w:p>
      <w:pPr>
        <w:pStyle w:val="202"/>
        <w:rPr>
          <w:rFonts w:ascii="宋体" w:hAnsi="宋体"/>
          <w:sz w:val="24"/>
          <w:szCs w:val="24"/>
        </w:rPr>
      </w:pPr>
      <w:r>
        <w:rPr>
          <w:rFonts w:hint="eastAsia" w:ascii="宋体" w:hAnsi="宋体"/>
          <w:sz w:val="24"/>
          <w:szCs w:val="24"/>
        </w:rPr>
        <w:t>附件2-1法人或者其他组织的营业执照等证明文件，自然人的身份证明；</w:t>
      </w:r>
    </w:p>
    <w:p>
      <w:pPr>
        <w:pStyle w:val="21"/>
        <w:ind w:firstLine="480" w:firstLineChars="200"/>
        <w:rPr>
          <w:rFonts w:hAnsi="宋体"/>
          <w:sz w:val="24"/>
          <w:szCs w:val="24"/>
        </w:rPr>
      </w:pPr>
      <w:r>
        <w:rPr>
          <w:rFonts w:hint="eastAsia" w:hAnsi="宋体"/>
          <w:sz w:val="24"/>
          <w:szCs w:val="24"/>
        </w:rPr>
        <w:t xml:space="preserve"> 2-2 财务状况报告、依法缴纳税收和社会保障资金的相关证明</w:t>
      </w:r>
    </w:p>
    <w:p>
      <w:pPr>
        <w:pStyle w:val="21"/>
        <w:ind w:firstLine="480" w:firstLineChars="200"/>
        <w:rPr>
          <w:rFonts w:hAnsi="宋体"/>
          <w:sz w:val="24"/>
          <w:szCs w:val="24"/>
        </w:rPr>
      </w:pPr>
      <w:r>
        <w:rPr>
          <w:rFonts w:hint="eastAsia" w:hAnsi="宋体"/>
          <w:sz w:val="24"/>
          <w:szCs w:val="24"/>
        </w:rPr>
        <w:t xml:space="preserve"> 2-3具备履行合同所必需的设备和专业技术能力的证明材料(由供应商根据项目需求提供说明材料)</w:t>
      </w:r>
    </w:p>
    <w:p>
      <w:pPr>
        <w:pStyle w:val="21"/>
        <w:ind w:firstLine="480" w:firstLineChars="200"/>
        <w:rPr>
          <w:rFonts w:hAnsi="宋体"/>
          <w:sz w:val="24"/>
          <w:szCs w:val="24"/>
        </w:rPr>
      </w:pPr>
      <w:r>
        <w:rPr>
          <w:rFonts w:hint="eastAsia" w:hAnsi="宋体"/>
          <w:sz w:val="24"/>
          <w:szCs w:val="24"/>
        </w:rPr>
        <w:t>备注：1）.供应商提供的财务状况报告，包括资产负债表等复印件。 (如供应商为新成立公司的，应提供公司成立之日后的财务报表)</w:t>
      </w:r>
    </w:p>
    <w:p>
      <w:pPr>
        <w:pStyle w:val="21"/>
        <w:ind w:firstLine="480" w:firstLineChars="200"/>
        <w:rPr>
          <w:rFonts w:hAnsi="宋体"/>
          <w:sz w:val="24"/>
          <w:szCs w:val="24"/>
        </w:rPr>
      </w:pPr>
      <w:r>
        <w:rPr>
          <w:rFonts w:hint="eastAsia" w:hAnsi="宋体"/>
          <w:sz w:val="24"/>
          <w:szCs w:val="24"/>
        </w:rPr>
        <w:t xml:space="preserve">      2）.提供依法缴纳税收和社会保障资金证明材料的复印件。</w:t>
      </w:r>
    </w:p>
    <w:p>
      <w:pPr>
        <w:pStyle w:val="21"/>
        <w:ind w:firstLine="400" w:firstLineChars="200"/>
        <w:rPr>
          <w:rFonts w:hAnsi="宋体"/>
          <w:sz w:val="20"/>
        </w:rPr>
      </w:pPr>
    </w:p>
    <w:p>
      <w:pPr>
        <w:pStyle w:val="21"/>
        <w:spacing w:line="360" w:lineRule="auto"/>
        <w:ind w:firstLine="420" w:firstLineChars="200"/>
        <w:rPr>
          <w:rFonts w:hAnsi="Calibri"/>
        </w:rPr>
      </w:pPr>
      <w:r>
        <w:rPr>
          <w:rFonts w:hint="eastAsia" w:hAnsi="宋体"/>
        </w:rPr>
        <w:br w:type="page"/>
      </w:r>
    </w:p>
    <w:p>
      <w:pPr>
        <w:autoSpaceDE w:val="0"/>
        <w:autoSpaceDN w:val="0"/>
        <w:adjustRightInd w:val="0"/>
        <w:spacing w:line="360" w:lineRule="auto"/>
        <w:jc w:val="cente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、中小微企业证明文件（如有）</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-1 </w:t>
      </w:r>
      <w:r>
        <w:rPr>
          <w:rFonts w:hint="eastAsia" w:ascii="宋体" w:hAnsi="宋体" w:cs="宋体"/>
          <w:kern w:val="0"/>
          <w:sz w:val="24"/>
          <w:szCs w:val="24"/>
        </w:rPr>
        <w:t>中小企业声明函</w:t>
      </w:r>
      <w:r>
        <w:rPr>
          <w:rFonts w:ascii="宋体" w:hAnsi="宋体" w:cs="宋体"/>
          <w:kern w:val="0"/>
          <w:sz w:val="24"/>
          <w:szCs w:val="24"/>
        </w:rPr>
        <w:t>（</w:t>
      </w:r>
      <w:r>
        <w:rPr>
          <w:rFonts w:hint="eastAsia" w:ascii="宋体" w:hAnsi="宋体" w:cs="宋体"/>
          <w:kern w:val="0"/>
          <w:sz w:val="24"/>
          <w:szCs w:val="24"/>
        </w:rPr>
        <w:t>工程、</w:t>
      </w:r>
      <w:r>
        <w:rPr>
          <w:rFonts w:ascii="宋体" w:hAnsi="宋体" w:cs="宋体"/>
          <w:kern w:val="0"/>
          <w:sz w:val="24"/>
          <w:szCs w:val="24"/>
        </w:rPr>
        <w:t>服务）</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本公司</w:t>
      </w:r>
      <w:r>
        <w:rPr>
          <w:rFonts w:hint="eastAsia" w:ascii="宋体" w:hAnsi="宋体" w:cs="宋体"/>
          <w:kern w:val="0"/>
          <w:sz w:val="24"/>
          <w:szCs w:val="24"/>
          <w:u w:val="single"/>
        </w:rPr>
        <w:t xml:space="preserve">        </w:t>
      </w:r>
      <w:r>
        <w:rPr>
          <w:rFonts w:ascii="宋体" w:hAnsi="宋体" w:cs="宋体"/>
          <w:kern w:val="0"/>
          <w:sz w:val="24"/>
          <w:szCs w:val="24"/>
        </w:rPr>
        <w:t>郑重声明，根据《政府采购促进中小企业发展管理办法》（财库</w:t>
      </w:r>
      <w:r>
        <w:rPr>
          <w:rFonts w:hint="eastAsia" w:ascii="宋体" w:hAnsi="宋体" w:cs="宋体"/>
          <w:kern w:val="0"/>
          <w:sz w:val="24"/>
          <w:szCs w:val="24"/>
        </w:rPr>
        <w:t>﹝</w:t>
      </w:r>
      <w:r>
        <w:rPr>
          <w:rFonts w:ascii="宋体" w:hAnsi="宋体" w:cs="宋体"/>
          <w:kern w:val="0"/>
          <w:sz w:val="24"/>
          <w:szCs w:val="24"/>
        </w:rPr>
        <w:t>2020</w:t>
      </w:r>
      <w:r>
        <w:rPr>
          <w:rFonts w:hint="eastAsia" w:ascii="宋体" w:hAnsi="宋体" w:cs="宋体"/>
          <w:kern w:val="0"/>
          <w:sz w:val="24"/>
          <w:szCs w:val="24"/>
        </w:rPr>
        <w:t>﹞</w:t>
      </w:r>
      <w:r>
        <w:rPr>
          <w:rFonts w:ascii="宋体" w:hAnsi="宋体" w:cs="宋体"/>
          <w:kern w:val="0"/>
          <w:sz w:val="24"/>
          <w:szCs w:val="24"/>
        </w:rPr>
        <w:t>46 号）的规定，本公司</w:t>
      </w:r>
      <w:r>
        <w:rPr>
          <w:rFonts w:hint="eastAsia" w:ascii="宋体" w:hAnsi="宋体" w:cs="宋体"/>
          <w:kern w:val="0"/>
          <w:sz w:val="24"/>
          <w:szCs w:val="24"/>
          <w:u w:val="single"/>
        </w:rPr>
        <w:t xml:space="preserve">          </w:t>
      </w:r>
      <w:r>
        <w:rPr>
          <w:rFonts w:ascii="宋体" w:hAnsi="宋体" w:cs="宋体"/>
          <w:kern w:val="0"/>
          <w:sz w:val="24"/>
          <w:szCs w:val="24"/>
        </w:rPr>
        <w:t>参加</w:t>
      </w:r>
      <w:r>
        <w:rPr>
          <w:rFonts w:ascii="宋体" w:hAnsi="宋体" w:cs="宋体"/>
          <w:kern w:val="0"/>
          <w:sz w:val="24"/>
          <w:szCs w:val="24"/>
          <w:u w:val="single"/>
        </w:rPr>
        <w:t>（单位名称）</w:t>
      </w:r>
      <w:r>
        <w:rPr>
          <w:rFonts w:ascii="宋体" w:hAnsi="宋体" w:cs="宋体"/>
          <w:kern w:val="0"/>
          <w:sz w:val="24"/>
          <w:szCs w:val="24"/>
        </w:rPr>
        <w:t>的</w:t>
      </w:r>
      <w:r>
        <w:rPr>
          <w:rFonts w:ascii="宋体" w:hAnsi="宋体" w:cs="宋体"/>
          <w:kern w:val="0"/>
          <w:sz w:val="24"/>
          <w:szCs w:val="24"/>
          <w:u w:val="single"/>
        </w:rPr>
        <w:t>（项目名称）</w:t>
      </w:r>
      <w:r>
        <w:rPr>
          <w:rFonts w:ascii="宋体" w:hAnsi="宋体" w:cs="宋体"/>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u w:val="single"/>
        </w:rPr>
        <w:t>（标的名称）</w:t>
      </w:r>
      <w:r>
        <w:rPr>
          <w:rFonts w:ascii="宋体" w:hAnsi="宋体" w:cs="宋体"/>
          <w:kern w:val="0"/>
          <w:sz w:val="24"/>
          <w:szCs w:val="24"/>
        </w:rPr>
        <w:t>，属于</w:t>
      </w:r>
      <w:r>
        <w:rPr>
          <w:rFonts w:ascii="宋体" w:hAnsi="宋体" w:cs="宋体"/>
          <w:kern w:val="0"/>
          <w:sz w:val="24"/>
          <w:szCs w:val="24"/>
          <w:u w:val="single"/>
        </w:rPr>
        <w:t>（采购文件中明确的所属行业）</w:t>
      </w:r>
      <w:r>
        <w:rPr>
          <w:rFonts w:ascii="宋体" w:hAnsi="宋体" w:cs="宋体"/>
          <w:kern w:val="0"/>
          <w:sz w:val="24"/>
          <w:szCs w:val="24"/>
        </w:rPr>
        <w:t>；承建（承接）企业为</w:t>
      </w:r>
      <w:r>
        <w:rPr>
          <w:rFonts w:ascii="宋体" w:hAnsi="宋体" w:cs="宋体"/>
          <w:kern w:val="0"/>
          <w:sz w:val="24"/>
          <w:szCs w:val="24"/>
          <w:u w:val="single"/>
        </w:rPr>
        <w:t>（企业名称）</w:t>
      </w:r>
      <w:r>
        <w:rPr>
          <w:rFonts w:ascii="宋体" w:hAnsi="宋体" w:cs="宋体"/>
          <w:kern w:val="0"/>
          <w:sz w:val="24"/>
          <w:szCs w:val="24"/>
        </w:rPr>
        <w:t>，从业人员</w:t>
      </w:r>
      <w:r>
        <w:rPr>
          <w:rFonts w:hint="eastAsia" w:ascii="宋体" w:hAnsi="宋体" w:cs="宋体"/>
          <w:kern w:val="0"/>
          <w:sz w:val="24"/>
          <w:szCs w:val="24"/>
          <w:u w:val="single"/>
        </w:rPr>
        <w:t xml:space="preserve">   </w:t>
      </w:r>
      <w:r>
        <w:rPr>
          <w:rFonts w:ascii="宋体" w:hAnsi="宋体" w:cs="宋体"/>
          <w:kern w:val="0"/>
          <w:sz w:val="24"/>
          <w:szCs w:val="24"/>
        </w:rPr>
        <w:t>人，营业收入为</w:t>
      </w:r>
      <w:r>
        <w:rPr>
          <w:rFonts w:hint="eastAsia" w:ascii="宋体" w:hAnsi="宋体" w:cs="宋体"/>
          <w:kern w:val="0"/>
          <w:sz w:val="24"/>
          <w:szCs w:val="24"/>
          <w:u w:val="single"/>
        </w:rPr>
        <w:t xml:space="preserve">   </w:t>
      </w:r>
      <w:r>
        <w:rPr>
          <w:rFonts w:ascii="宋体" w:hAnsi="宋体" w:cs="宋体"/>
          <w:kern w:val="0"/>
          <w:sz w:val="24"/>
          <w:szCs w:val="24"/>
        </w:rPr>
        <w:t>万元，资产总额为</w:t>
      </w:r>
      <w:r>
        <w:rPr>
          <w:rFonts w:hint="eastAsia" w:ascii="宋体" w:hAnsi="宋体" w:cs="宋体"/>
          <w:kern w:val="0"/>
          <w:sz w:val="24"/>
          <w:szCs w:val="24"/>
          <w:u w:val="single"/>
        </w:rPr>
        <w:t xml:space="preserve">   </w:t>
      </w:r>
      <w:r>
        <w:rPr>
          <w:rFonts w:ascii="宋体" w:hAnsi="宋体" w:cs="宋体"/>
          <w:kern w:val="0"/>
          <w:sz w:val="24"/>
          <w:szCs w:val="24"/>
        </w:rPr>
        <w:t>万元，属于</w:t>
      </w:r>
      <w:r>
        <w:rPr>
          <w:rFonts w:ascii="宋体" w:hAnsi="宋体" w:cs="宋体"/>
          <w:kern w:val="0"/>
          <w:sz w:val="24"/>
          <w:szCs w:val="24"/>
          <w:u w:val="single"/>
        </w:rPr>
        <w:t>（中型企业、小型企业、微型企业）</w:t>
      </w:r>
      <w:r>
        <w:rPr>
          <w:rFonts w:ascii="宋体" w:hAnsi="宋体" w:cs="宋体"/>
          <w:kern w:val="0"/>
          <w:sz w:val="24"/>
          <w:szCs w:val="24"/>
        </w:rPr>
        <w:t>；</w:t>
      </w:r>
    </w:p>
    <w:p>
      <w:pPr>
        <w:spacing w:line="360" w:lineRule="auto"/>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u w:val="single"/>
        </w:rPr>
        <w:t>（标的名称）</w:t>
      </w:r>
      <w:r>
        <w:rPr>
          <w:rFonts w:ascii="宋体" w:hAnsi="宋体" w:cs="宋体"/>
          <w:kern w:val="0"/>
          <w:sz w:val="24"/>
          <w:szCs w:val="24"/>
        </w:rPr>
        <w:t>，属于</w:t>
      </w:r>
      <w:r>
        <w:rPr>
          <w:rFonts w:ascii="宋体" w:hAnsi="宋体" w:cs="宋体"/>
          <w:kern w:val="0"/>
          <w:sz w:val="24"/>
          <w:szCs w:val="24"/>
          <w:u w:val="single"/>
        </w:rPr>
        <w:t>（采购文件中明确的所属行业）</w:t>
      </w:r>
      <w:r>
        <w:rPr>
          <w:rFonts w:ascii="宋体" w:hAnsi="宋体" w:cs="宋体"/>
          <w:kern w:val="0"/>
          <w:sz w:val="24"/>
          <w:szCs w:val="24"/>
        </w:rPr>
        <w:t>；承建（承接）企业为</w:t>
      </w:r>
      <w:r>
        <w:rPr>
          <w:rFonts w:ascii="宋体" w:hAnsi="宋体" w:cs="宋体"/>
          <w:kern w:val="0"/>
          <w:sz w:val="24"/>
          <w:szCs w:val="24"/>
          <w:u w:val="single"/>
        </w:rPr>
        <w:t>（企业名称）</w:t>
      </w:r>
      <w:r>
        <w:rPr>
          <w:rFonts w:ascii="宋体" w:hAnsi="宋体" w:cs="宋体"/>
          <w:kern w:val="0"/>
          <w:sz w:val="24"/>
          <w:szCs w:val="24"/>
        </w:rPr>
        <w:t>，从业人员</w:t>
      </w:r>
      <w:r>
        <w:rPr>
          <w:rFonts w:hint="eastAsia" w:ascii="宋体" w:hAnsi="宋体" w:cs="宋体"/>
          <w:kern w:val="0"/>
          <w:sz w:val="24"/>
          <w:szCs w:val="24"/>
          <w:u w:val="single"/>
        </w:rPr>
        <w:t xml:space="preserve">   </w:t>
      </w:r>
      <w:r>
        <w:rPr>
          <w:rFonts w:ascii="宋体" w:hAnsi="宋体" w:cs="宋体"/>
          <w:kern w:val="0"/>
          <w:sz w:val="24"/>
          <w:szCs w:val="24"/>
        </w:rPr>
        <w:t>人，营业收入为</w:t>
      </w:r>
      <w:r>
        <w:rPr>
          <w:rFonts w:hint="eastAsia" w:ascii="宋体" w:hAnsi="宋体" w:cs="宋体"/>
          <w:kern w:val="0"/>
          <w:sz w:val="24"/>
          <w:szCs w:val="24"/>
          <w:u w:val="single"/>
        </w:rPr>
        <w:t xml:space="preserve">   </w:t>
      </w:r>
      <w:r>
        <w:rPr>
          <w:rFonts w:ascii="宋体" w:hAnsi="宋体" w:cs="宋体"/>
          <w:kern w:val="0"/>
          <w:sz w:val="24"/>
          <w:szCs w:val="24"/>
        </w:rPr>
        <w:t>万元，资产总额为</w:t>
      </w:r>
      <w:r>
        <w:rPr>
          <w:rFonts w:hint="eastAsia" w:ascii="宋体" w:hAnsi="宋体" w:cs="宋体"/>
          <w:kern w:val="0"/>
          <w:sz w:val="24"/>
          <w:szCs w:val="24"/>
          <w:u w:val="single"/>
        </w:rPr>
        <w:t xml:space="preserve">   </w:t>
      </w:r>
      <w:r>
        <w:rPr>
          <w:rFonts w:ascii="宋体" w:hAnsi="宋体" w:cs="宋体"/>
          <w:kern w:val="0"/>
          <w:sz w:val="24"/>
          <w:szCs w:val="24"/>
        </w:rPr>
        <w:t>万元，属于</w:t>
      </w:r>
      <w:r>
        <w:rPr>
          <w:rFonts w:ascii="宋体" w:hAnsi="宋体" w:cs="宋体"/>
          <w:kern w:val="0"/>
          <w:sz w:val="24"/>
          <w:szCs w:val="24"/>
          <w:u w:val="single"/>
        </w:rPr>
        <w:t>（中型企业、小型企业、微型企业）</w:t>
      </w:r>
      <w:r>
        <w:rPr>
          <w:rFonts w:ascii="宋体" w:hAnsi="宋体" w:cs="宋体"/>
          <w:kern w:val="0"/>
          <w:sz w:val="24"/>
          <w:szCs w:val="24"/>
        </w:rPr>
        <w:t>；</w:t>
      </w:r>
    </w:p>
    <w:p>
      <w:pPr>
        <w:spacing w:line="360" w:lineRule="auto"/>
        <w:rPr>
          <w:rFonts w:ascii="宋体" w:hAnsi="宋体" w:cs="宋体"/>
          <w:kern w:val="0"/>
          <w:sz w:val="24"/>
          <w:szCs w:val="24"/>
        </w:rPr>
      </w:pPr>
      <w:r>
        <w:rPr>
          <w:rFonts w:ascii="宋体" w:hAnsi="宋体" w:cs="宋体"/>
          <w:kern w:val="0"/>
          <w:sz w:val="24"/>
          <w:szCs w:val="24"/>
        </w:rPr>
        <w:t>……</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以上企业，不属于大企业的分支机构，不存在控股股东为大企业的情形，也不存在与大企业的负责人为同一人的情形。</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本企业对上述声明内容的真实性负责。如有虚假，将依法承担相应责任。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hint="eastAsia" w:ascii="宋体" w:hAnsi="宋体" w:cs="宋体"/>
          <w:kern w:val="0"/>
          <w:sz w:val="24"/>
          <w:szCs w:val="24"/>
        </w:rPr>
        <w:t>供应商</w:t>
      </w:r>
      <w:r>
        <w:rPr>
          <w:rFonts w:ascii="宋体" w:hAnsi="宋体" w:cs="宋体"/>
          <w:kern w:val="0"/>
          <w:sz w:val="24"/>
          <w:szCs w:val="24"/>
        </w:rPr>
        <w:t>名称（盖章）：</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ascii="宋体" w:hAnsi="宋体" w:cs="宋体"/>
          <w:kern w:val="0"/>
          <w:sz w:val="24"/>
          <w:szCs w:val="24"/>
        </w:rPr>
        <w:t>日期：</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说明：</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、填写前请认真阅读《工业和信息化部、国家统计局、国家发展和改革委员会、财政部关于印发中小企业划型标准规定的通知》（工信部联企业</w:t>
      </w:r>
      <w:r>
        <w:rPr>
          <w:rFonts w:ascii="宋体" w:hAnsi="宋体" w:cs="宋体"/>
          <w:kern w:val="0"/>
          <w:sz w:val="24"/>
          <w:szCs w:val="24"/>
        </w:rPr>
        <w:t xml:space="preserve">[2011]300 </w:t>
      </w:r>
      <w:r>
        <w:rPr>
          <w:rFonts w:hint="eastAsia" w:ascii="宋体" w:hAnsi="宋体" w:cs="宋体"/>
          <w:kern w:val="0"/>
          <w:sz w:val="24"/>
          <w:szCs w:val="24"/>
        </w:rPr>
        <w:t>号）和《财政部工业和信息化部关于印发</w:t>
      </w:r>
      <w:r>
        <w:rPr>
          <w:rFonts w:ascii="宋体" w:hAnsi="宋体" w:cs="宋体"/>
          <w:kern w:val="0"/>
          <w:sz w:val="24"/>
          <w:szCs w:val="24"/>
        </w:rPr>
        <w:t>《政府采购促进中小企业发展管理办法》(</w:t>
      </w:r>
      <w:r>
        <w:rPr>
          <w:rFonts w:hint="eastAsia" w:ascii="宋体" w:hAnsi="宋体" w:cs="宋体"/>
          <w:kern w:val="0"/>
          <w:sz w:val="24"/>
          <w:szCs w:val="24"/>
        </w:rPr>
        <w:t>财库</w:t>
      </w:r>
      <w:r>
        <w:rPr>
          <w:rFonts w:ascii="宋体" w:hAnsi="宋体" w:cs="宋体"/>
          <w:kern w:val="0"/>
          <w:sz w:val="24"/>
          <w:szCs w:val="24"/>
        </w:rPr>
        <w:t>[20</w:t>
      </w:r>
      <w:r>
        <w:rPr>
          <w:rFonts w:hint="eastAsia" w:ascii="宋体" w:hAnsi="宋体" w:cs="宋体"/>
          <w:kern w:val="0"/>
          <w:sz w:val="24"/>
          <w:szCs w:val="24"/>
        </w:rPr>
        <w:t>20</w:t>
      </w:r>
      <w:r>
        <w:rPr>
          <w:rFonts w:ascii="宋体" w:hAnsi="宋体" w:cs="宋体"/>
          <w:kern w:val="0"/>
          <w:sz w:val="24"/>
          <w:szCs w:val="24"/>
        </w:rPr>
        <w:t>]</w:t>
      </w:r>
      <w:r>
        <w:rPr>
          <w:rFonts w:hint="eastAsia" w:ascii="宋体" w:hAnsi="宋体" w:cs="宋体"/>
          <w:kern w:val="0"/>
          <w:sz w:val="24"/>
          <w:szCs w:val="24"/>
        </w:rPr>
        <w:t>46号</w:t>
      </w:r>
      <w:r>
        <w:rPr>
          <w:rFonts w:ascii="宋体" w:hAnsi="宋体" w:cs="宋体"/>
          <w:kern w:val="0"/>
          <w:sz w:val="24"/>
          <w:szCs w:val="24"/>
        </w:rPr>
        <w:t>)</w:t>
      </w:r>
      <w:r>
        <w:rPr>
          <w:rFonts w:hint="eastAsia" w:ascii="宋体" w:hAnsi="宋体" w:cs="宋体"/>
          <w:kern w:val="0"/>
          <w:sz w:val="24"/>
          <w:szCs w:val="24"/>
        </w:rPr>
        <w:t>相关规定。</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、从业人员、营业收入、资产总额填报上一年度数据，无上一年度数据的新成立企业可不填报。</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-2 </w:t>
      </w:r>
      <w:r>
        <w:rPr>
          <w:rFonts w:hint="eastAsia" w:ascii="宋体" w:hAnsi="宋体" w:cs="宋体"/>
          <w:kern w:val="0"/>
          <w:sz w:val="24"/>
          <w:szCs w:val="24"/>
        </w:rPr>
        <w:t>残疾人福利性单位声明函</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本单位郑重声明，根据《财政部民政部中国残疾人联合会关于促进残疾人就业政府采购政策的通知》（财库〔</w:t>
      </w:r>
      <w:r>
        <w:rPr>
          <w:rFonts w:ascii="宋体" w:hAnsi="宋体" w:cs="宋体"/>
          <w:kern w:val="0"/>
          <w:sz w:val="24"/>
          <w:szCs w:val="24"/>
        </w:rPr>
        <w:t>2017</w:t>
      </w:r>
      <w:r>
        <w:rPr>
          <w:rFonts w:hint="eastAsia" w:ascii="宋体" w:hAnsi="宋体" w:cs="宋体"/>
          <w:kern w:val="0"/>
          <w:sz w:val="24"/>
          <w:szCs w:val="24"/>
        </w:rPr>
        <w:t>〕</w:t>
      </w:r>
      <w:r>
        <w:rPr>
          <w:rFonts w:ascii="宋体" w:hAnsi="宋体" w:cs="宋体"/>
          <w:kern w:val="0"/>
          <w:sz w:val="24"/>
          <w:szCs w:val="24"/>
        </w:rPr>
        <w:t>141</w:t>
      </w:r>
      <w:r>
        <w:rPr>
          <w:rFonts w:hint="eastAsia" w:ascii="宋体" w:hAnsi="宋体" w:cs="宋体"/>
          <w:kern w:val="0"/>
          <w:sz w:val="24"/>
          <w:szCs w:val="24"/>
        </w:rPr>
        <w:t>号）的规定，本单位为符合条件的残疾人福利性单位，且本单位参加</w:t>
      </w:r>
      <w:r>
        <w:rPr>
          <w:rFonts w:ascii="宋体" w:hAnsi="宋体" w:cs="宋体"/>
          <w:kern w:val="0"/>
          <w:sz w:val="24"/>
          <w:szCs w:val="24"/>
          <w:u w:val="single"/>
        </w:rPr>
        <w:t>______</w:t>
      </w:r>
      <w:r>
        <w:rPr>
          <w:rFonts w:hint="eastAsia" w:ascii="宋体" w:hAnsi="宋体" w:cs="宋体"/>
          <w:kern w:val="0"/>
          <w:sz w:val="24"/>
          <w:szCs w:val="24"/>
        </w:rPr>
        <w:t>单位的</w:t>
      </w:r>
      <w:r>
        <w:rPr>
          <w:rFonts w:ascii="宋体" w:hAnsi="宋体" w:cs="宋体"/>
          <w:kern w:val="0"/>
          <w:sz w:val="24"/>
          <w:szCs w:val="24"/>
          <w:u w:val="single"/>
        </w:rPr>
        <w:t>______</w:t>
      </w:r>
      <w:r>
        <w:rPr>
          <w:rFonts w:hint="eastAsia" w:ascii="宋体" w:hAnsi="宋体" w:cs="宋体"/>
          <w:kern w:val="0"/>
          <w:sz w:val="24"/>
          <w:szCs w:val="24"/>
        </w:rPr>
        <w:t>项目采购活动提供本单位制造的货物（由本单位承担工程</w:t>
      </w:r>
      <w:r>
        <w:rPr>
          <w:rFonts w:ascii="宋体" w:hAnsi="宋体" w:cs="宋体"/>
          <w:kern w:val="0"/>
          <w:sz w:val="24"/>
          <w:szCs w:val="24"/>
        </w:rPr>
        <w:t>/</w:t>
      </w:r>
      <w:r>
        <w:rPr>
          <w:rFonts w:hint="eastAsia" w:ascii="宋体" w:hAnsi="宋体" w:cs="宋体"/>
          <w:kern w:val="0"/>
          <w:sz w:val="24"/>
          <w:szCs w:val="24"/>
        </w:rPr>
        <w:t>提供服务），或者提供其他残疾人福利性单位制造的货物（不包括使用非残疾人福利性单位注册商标的货物）。</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本单位对上述声明的真实性负责。如有虚假，将依法承担相应责任。</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供应商名称：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spacing w:line="360" w:lineRule="auto"/>
        <w:ind w:firstLine="480" w:firstLineChars="200"/>
        <w:jc w:val="center"/>
        <w:rPr>
          <w:rFonts w:ascii="宋体" w:hAnsi="宋体"/>
          <w:kern w:val="0"/>
          <w:sz w:val="24"/>
          <w:szCs w:val="24"/>
        </w:rPr>
      </w:pPr>
      <w:r>
        <w:rPr>
          <w:rFonts w:hint="eastAsia" w:ascii="宋体" w:hAnsi="宋体" w:cs="宋体"/>
          <w:kern w:val="0"/>
          <w:sz w:val="24"/>
          <w:szCs w:val="24"/>
        </w:rPr>
        <w:t>3</w:t>
      </w:r>
      <w:r>
        <w:rPr>
          <w:rFonts w:ascii="宋体" w:hAnsi="宋体" w:cs="宋体"/>
          <w:kern w:val="0"/>
          <w:sz w:val="24"/>
          <w:szCs w:val="24"/>
        </w:rPr>
        <w:t>-</w:t>
      </w:r>
      <w:r>
        <w:rPr>
          <w:rFonts w:hint="eastAsia" w:ascii="宋体" w:hAnsi="宋体" w:cs="宋体"/>
          <w:kern w:val="0"/>
          <w:sz w:val="24"/>
          <w:szCs w:val="24"/>
        </w:rPr>
        <w:t>3</w:t>
      </w:r>
      <w:r>
        <w:rPr>
          <w:rFonts w:ascii="宋体" w:hAnsi="宋体" w:cs="宋体"/>
          <w:kern w:val="0"/>
          <w:sz w:val="24"/>
          <w:szCs w:val="24"/>
        </w:rPr>
        <w:t xml:space="preserve"> </w:t>
      </w:r>
      <w:r>
        <w:rPr>
          <w:rFonts w:hint="eastAsia" w:ascii="宋体" w:hAnsi="宋体"/>
          <w:kern w:val="0"/>
          <w:sz w:val="24"/>
          <w:szCs w:val="24"/>
        </w:rPr>
        <w:t>监狱企业声明函</w:t>
      </w:r>
    </w:p>
    <w:p>
      <w:pPr>
        <w:spacing w:line="360" w:lineRule="auto"/>
        <w:jc w:val="center"/>
        <w:rPr>
          <w:rFonts w:ascii="宋体" w:hAnsi="宋体"/>
          <w:kern w:val="0"/>
          <w:sz w:val="24"/>
          <w:szCs w:val="24"/>
        </w:rPr>
      </w:pPr>
      <w:r>
        <w:rPr>
          <w:rFonts w:hint="eastAsia" w:ascii="宋体" w:hAnsi="宋体"/>
          <w:kern w:val="0"/>
          <w:sz w:val="24"/>
          <w:szCs w:val="24"/>
        </w:rPr>
        <w:t>（监狱企业适用）</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本公司郑重声明，根据《关于政府采购支持监狱企业发展有关问题的通知》（财库[2014]68号）的规定，本公司为监狱企业。</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本公司参加______单位的______项目采购活动，采购活动提供本企业（填写制造的货物，由本企业承担工程、提供服务）。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本条所称货物不包括使用大型企业注册商标的货物和服务。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本公司对上述声明的真实性负责。如有虚假，将依法承担相应责任。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供应商名称：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4</w:t>
      </w:r>
      <w:r>
        <w:rPr>
          <w:rFonts w:hint="eastAsia" w:ascii="宋体" w:hAnsi="宋体" w:cs="宋体"/>
          <w:kern w:val="0"/>
          <w:sz w:val="24"/>
          <w:szCs w:val="24"/>
        </w:rPr>
        <w:t>、信用查询文件</w:t>
      </w:r>
    </w:p>
    <w:p>
      <w:pPr>
        <w:pStyle w:val="21"/>
        <w:spacing w:line="360" w:lineRule="auto"/>
        <w:ind w:firstLine="480" w:firstLineChars="200"/>
        <w:jc w:val="center"/>
        <w:rPr>
          <w:rFonts w:hAnsi="宋体" w:cs="宋体"/>
          <w:kern w:val="0"/>
          <w:sz w:val="24"/>
          <w:szCs w:val="24"/>
        </w:rPr>
      </w:pPr>
      <w:r>
        <w:rPr>
          <w:rFonts w:hint="eastAsia" w:hAnsi="宋体" w:cs="宋体"/>
          <w:kern w:val="0"/>
          <w:sz w:val="24"/>
          <w:szCs w:val="24"/>
        </w:rPr>
        <w:t>4.1参加政府采购活动前三年内在经营活动中</w:t>
      </w:r>
    </w:p>
    <w:p>
      <w:pPr>
        <w:pStyle w:val="21"/>
        <w:spacing w:line="360" w:lineRule="auto"/>
        <w:ind w:firstLine="480" w:firstLineChars="200"/>
        <w:jc w:val="center"/>
        <w:rPr>
          <w:rFonts w:hAnsi="宋体"/>
          <w:sz w:val="24"/>
          <w:szCs w:val="24"/>
        </w:rPr>
      </w:pPr>
      <w:r>
        <w:rPr>
          <w:rFonts w:hint="eastAsia" w:hAnsi="宋体" w:cs="宋体"/>
          <w:kern w:val="0"/>
          <w:sz w:val="24"/>
          <w:szCs w:val="24"/>
        </w:rPr>
        <w:t>没有重大违法记录</w:t>
      </w:r>
    </w:p>
    <w:p>
      <w:pPr>
        <w:pStyle w:val="21"/>
        <w:spacing w:line="360" w:lineRule="auto"/>
        <w:ind w:firstLine="480" w:firstLineChars="200"/>
        <w:rPr>
          <w:rFonts w:hAnsi="宋体"/>
          <w:sz w:val="24"/>
          <w:szCs w:val="24"/>
        </w:rPr>
      </w:pPr>
    </w:p>
    <w:p>
      <w:pPr>
        <w:pStyle w:val="21"/>
        <w:spacing w:line="360" w:lineRule="auto"/>
        <w:ind w:firstLine="400" w:firstLineChars="200"/>
        <w:rPr>
          <w:rFonts w:hAnsi="宋体"/>
          <w:sz w:val="20"/>
        </w:rPr>
      </w:pPr>
    </w:p>
    <w:p>
      <w:pPr>
        <w:pStyle w:val="21"/>
        <w:spacing w:line="360" w:lineRule="auto"/>
        <w:ind w:firstLine="480" w:firstLineChars="200"/>
        <w:rPr>
          <w:rFonts w:hAnsi="宋体"/>
        </w:rPr>
      </w:pPr>
      <w:r>
        <w:rPr>
          <w:rFonts w:hint="eastAsia" w:hAnsi="宋体" w:cs="宋体"/>
          <w:kern w:val="0"/>
          <w:sz w:val="24"/>
          <w:szCs w:val="24"/>
        </w:rPr>
        <w:t>注：附网页查询后的截图证明。</w:t>
      </w:r>
    </w:p>
    <w:p>
      <w:pPr>
        <w:autoSpaceDE w:val="0"/>
        <w:autoSpaceDN w:val="0"/>
        <w:adjustRightInd w:val="0"/>
        <w:spacing w:line="360" w:lineRule="auto"/>
        <w:ind w:firstLine="482" w:firstLineChars="200"/>
        <w:jc w:val="left"/>
        <w:rPr>
          <w:rFonts w:asci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中国政府采购网（</w:t>
      </w:r>
      <w:r>
        <w:rPr>
          <w:rFonts w:ascii="宋体" w:hAnsi="宋体" w:cs="宋体"/>
          <w:kern w:val="0"/>
          <w:sz w:val="24"/>
          <w:szCs w:val="24"/>
        </w:rPr>
        <w:t>www.ccgp.gov.cn</w:t>
      </w:r>
      <w:r>
        <w:rPr>
          <w:rFonts w:hint="eastAsia" w:ascii="宋体" w:hAnsi="宋体" w:cs="宋体"/>
          <w:kern w:val="0"/>
          <w:sz w:val="24"/>
          <w:szCs w:val="24"/>
        </w:rPr>
        <w:t>）。查询时间为自公告发布之日起至响应文件递交截止时间止（该时间段内任一时间）。</w:t>
      </w:r>
    </w:p>
    <w:p>
      <w:pPr>
        <w:autoSpaceDE w:val="0"/>
        <w:autoSpaceDN w:val="0"/>
        <w:adjustRightInd w:val="0"/>
        <w:spacing w:line="360" w:lineRule="auto"/>
        <w:ind w:firstLine="480" w:firstLineChars="200"/>
        <w:jc w:val="left"/>
        <w:rPr>
          <w:rFonts w:ascii="宋体" w:cs="宋体"/>
          <w:kern w:val="0"/>
          <w:sz w:val="24"/>
          <w:szCs w:val="24"/>
        </w:rPr>
      </w:pPr>
    </w:p>
    <w:p>
      <w:pPr>
        <w:pStyle w:val="21"/>
        <w:ind w:firstLine="420" w:firstLineChars="200"/>
        <w:rPr>
          <w:rFonts w:hAnsi="宋体"/>
        </w:rPr>
      </w:pPr>
    </w:p>
    <w:p>
      <w:pPr>
        <w:pStyle w:val="21"/>
        <w:rPr>
          <w:rFonts w:hAnsi="宋体"/>
        </w:rPr>
      </w:pPr>
    </w:p>
    <w:p>
      <w:pPr>
        <w:pStyle w:val="21"/>
        <w:spacing w:line="360" w:lineRule="auto"/>
        <w:jc w:val="center"/>
        <w:rPr>
          <w:rFonts w:hAnsi="宋体" w:cs="宋体"/>
          <w:kern w:val="0"/>
          <w:sz w:val="24"/>
          <w:szCs w:val="24"/>
        </w:rPr>
      </w:pPr>
      <w:r>
        <w:rPr>
          <w:rFonts w:hint="eastAsia" w:hAnsi="宋体" w:cs="宋体"/>
          <w:kern w:val="0"/>
          <w:sz w:val="24"/>
          <w:szCs w:val="24"/>
        </w:rPr>
        <w:t>4.2无不良信用记录</w:t>
      </w: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 xml:space="preserve">    注：</w:t>
      </w:r>
      <w:r>
        <w:rPr>
          <w:rFonts w:hint="eastAsia" w:ascii="宋体" w:hAnsi="宋体" w:cs="宋体"/>
          <w:kern w:val="0"/>
          <w:sz w:val="24"/>
          <w:szCs w:val="24"/>
        </w:rPr>
        <w:t>附网页查询后的截图证明</w:t>
      </w:r>
    </w:p>
    <w:p>
      <w:pPr>
        <w:autoSpaceDE w:val="0"/>
        <w:autoSpaceDN w:val="0"/>
        <w:adjustRightInd w:val="0"/>
        <w:spacing w:line="360" w:lineRule="auto"/>
        <w:ind w:firstLine="482" w:firstLineChars="200"/>
        <w:jc w:val="left"/>
        <w:rPr>
          <w:rFonts w:ascii="宋体" w:hAns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“信用中国”网站（</w:t>
      </w:r>
      <w:r>
        <w:rPr>
          <w:rFonts w:ascii="宋体" w:hAnsi="宋体" w:cs="宋体"/>
          <w:kern w:val="0"/>
          <w:sz w:val="24"/>
          <w:szCs w:val="24"/>
        </w:rPr>
        <w:t>www.creditchina.gov.cn</w:t>
      </w:r>
      <w:r>
        <w:rPr>
          <w:rFonts w:hint="eastAsia" w:ascii="宋体" w:hAnsi="宋体" w:cs="宋体"/>
          <w:kern w:val="0"/>
          <w:sz w:val="24"/>
          <w:szCs w:val="24"/>
        </w:rPr>
        <w:t>）查询时间为自公告发布之日起至响应文件递交截止时间止（该时间段内任一时间）。</w:t>
      </w:r>
    </w:p>
    <w:p>
      <w:pPr>
        <w:pStyle w:val="21"/>
        <w:spacing w:line="360" w:lineRule="auto"/>
        <w:jc w:val="center"/>
        <w:rPr>
          <w:rFonts w:hAnsi="宋体" w:cs="宋体"/>
          <w:kern w:val="0"/>
          <w:sz w:val="24"/>
          <w:szCs w:val="24"/>
        </w:rPr>
      </w:pPr>
    </w:p>
    <w:p>
      <w:pPr>
        <w:pStyle w:val="21"/>
        <w:spacing w:line="360" w:lineRule="auto"/>
        <w:jc w:val="center"/>
        <w:rPr>
          <w:rFonts w:hAnsi="宋体" w:cs="宋体"/>
          <w:kern w:val="0"/>
          <w:sz w:val="24"/>
          <w:szCs w:val="24"/>
        </w:rPr>
      </w:pPr>
    </w:p>
    <w:p>
      <w:pPr>
        <w:pStyle w:val="21"/>
        <w:spacing w:line="360" w:lineRule="auto"/>
        <w:jc w:val="center"/>
        <w:rPr>
          <w:rFonts w:hAnsi="宋体" w:cs="宋体"/>
          <w:kern w:val="0"/>
          <w:sz w:val="24"/>
          <w:szCs w:val="24"/>
        </w:rPr>
      </w:pPr>
    </w:p>
    <w:p>
      <w:pPr>
        <w:pStyle w:val="21"/>
        <w:spacing w:line="360" w:lineRule="auto"/>
        <w:jc w:val="center"/>
        <w:rPr>
          <w:rFonts w:hAnsi="宋体" w:cs="宋体"/>
          <w:kern w:val="0"/>
          <w:sz w:val="24"/>
          <w:szCs w:val="24"/>
        </w:rPr>
      </w:pPr>
      <w:r>
        <w:rPr>
          <w:rFonts w:hint="eastAsia" w:hAnsi="宋体" w:cs="宋体"/>
          <w:kern w:val="0"/>
          <w:sz w:val="24"/>
          <w:szCs w:val="24"/>
        </w:rPr>
        <w:t>4.3无行贿犯罪</w:t>
      </w:r>
    </w:p>
    <w:p>
      <w:pPr>
        <w:rPr>
          <w:rFonts w:ascii="宋体" w:cs="宋体"/>
          <w:kern w:val="0"/>
          <w:sz w:val="24"/>
          <w:szCs w:val="24"/>
        </w:rPr>
      </w:pPr>
    </w:p>
    <w:p>
      <w:pPr>
        <w:pStyle w:val="2"/>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注：</w:t>
      </w:r>
      <w:r>
        <w:rPr>
          <w:rFonts w:hint="eastAsia" w:ascii="宋体" w:hAnsi="宋体" w:cs="宋体"/>
          <w:kern w:val="0"/>
          <w:sz w:val="24"/>
          <w:szCs w:val="24"/>
        </w:rPr>
        <w:t>附网页查询后的截图证明</w:t>
      </w:r>
    </w:p>
    <w:p>
      <w:pPr>
        <w:pStyle w:val="2"/>
      </w:pPr>
      <w:r>
        <w:rPr>
          <w:rFonts w:hint="eastAsia" w:ascii="宋体" w:hAnsi="宋体" w:cs="宋体"/>
          <w:b/>
          <w:szCs w:val="24"/>
        </w:rPr>
        <w:t>查询渠道为：</w:t>
      </w:r>
      <w:r>
        <w:rPr>
          <w:rFonts w:hint="eastAsia" w:ascii="宋体" w:hAnsi="宋体" w:cs="宋体"/>
          <w:bCs/>
          <w:szCs w:val="24"/>
        </w:rPr>
        <w:t>“</w:t>
      </w:r>
      <w:r>
        <w:rPr>
          <w:rFonts w:hint="eastAsia" w:asciiTheme="minorEastAsia" w:hAnsiTheme="minorEastAsia"/>
          <w:bCs/>
          <w:szCs w:val="24"/>
        </w:rPr>
        <w:t>中国裁判文书网</w:t>
      </w:r>
      <w:r>
        <w:rPr>
          <w:rFonts w:hint="eastAsia" w:ascii="宋体" w:hAnsi="宋体" w:cs="宋体"/>
          <w:bCs/>
          <w:szCs w:val="24"/>
        </w:rPr>
        <w:t>”</w:t>
      </w:r>
      <w:r>
        <w:rPr>
          <w:rFonts w:hint="eastAsia" w:asciiTheme="minorEastAsia" w:hAnsiTheme="minorEastAsia"/>
          <w:szCs w:val="24"/>
        </w:rPr>
        <w:t>（http://wenshu.court.gov.cn）</w:t>
      </w:r>
      <w:r>
        <w:rPr>
          <w:rFonts w:hint="eastAsia" w:ascii="宋体" w:hAnsi="宋体" w:cs="宋体"/>
          <w:szCs w:val="24"/>
        </w:rPr>
        <w:t>查询时间为自公告发布之日起至响应文件递交截止时间止（该时间段内任一时间）。</w:t>
      </w:r>
    </w:p>
    <w:p>
      <w:pPr>
        <w:rPr>
          <w:rFonts w:ascii="宋体" w:hAnsi="宋体" w:cs="宋体"/>
          <w:kern w:val="0"/>
          <w:sz w:val="24"/>
          <w:szCs w:val="24"/>
        </w:rPr>
      </w:pPr>
      <w:r>
        <w:rPr>
          <w:rFonts w:ascii="宋体" w:hAnsi="宋体" w:cs="宋体"/>
          <w:kern w:val="0"/>
          <w:sz w:val="24"/>
          <w:szCs w:val="24"/>
        </w:rPr>
        <w:br w:type="page"/>
      </w:r>
    </w:p>
    <w:p>
      <w:pPr>
        <w:autoSpaceDE w:val="0"/>
        <w:autoSpaceDN w:val="0"/>
        <w:adjustRightInd w:val="0"/>
        <w:spacing w:line="360" w:lineRule="auto"/>
        <w:ind w:firstLine="120" w:firstLineChars="50"/>
        <w:jc w:val="center"/>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、近三年内已完成的类似项目业绩</w:t>
      </w:r>
    </w:p>
    <w:p>
      <w:pPr>
        <w:autoSpaceDE w:val="0"/>
        <w:autoSpaceDN w:val="0"/>
        <w:adjustRightInd w:val="0"/>
        <w:spacing w:line="360" w:lineRule="auto"/>
        <w:ind w:firstLine="120" w:firstLineChars="50"/>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供应商名称（公章）：                                        项目编号</w:t>
      </w:r>
      <w:r>
        <w:rPr>
          <w:rFonts w:ascii="宋体" w:hAnsi="宋体" w:cs="宋体"/>
          <w:kern w:val="0"/>
          <w:sz w:val="24"/>
          <w:szCs w:val="24"/>
        </w:rPr>
        <w:t>/</w:t>
      </w:r>
      <w:r>
        <w:rPr>
          <w:rFonts w:hint="eastAsia" w:ascii="宋体" w:hAnsi="宋体" w:cs="宋体"/>
          <w:kern w:val="0"/>
          <w:sz w:val="24"/>
          <w:szCs w:val="24"/>
        </w:rPr>
        <w:t>包号：</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序号</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项目名称</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发包人</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主要内容</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完工时间</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cs="宋体"/>
                <w:kern w:val="0"/>
                <w:sz w:val="24"/>
                <w:szCs w:val="24"/>
                <w:u w:val="single"/>
              </w:rPr>
              <w:t>…</w:t>
            </w:r>
          </w:p>
        </w:tc>
        <w:tc>
          <w:tcPr>
            <w:tcW w:w="1548" w:type="dxa"/>
          </w:tcPr>
          <w:p>
            <w:pPr>
              <w:autoSpaceDE w:val="0"/>
              <w:autoSpaceDN w:val="0"/>
              <w:adjustRightInd w:val="0"/>
              <w:spacing w:line="360" w:lineRule="auto"/>
              <w:jc w:val="left"/>
              <w:rPr>
                <w:rFonts w:ascii="宋体" w:cs="宋体"/>
                <w:kern w:val="0"/>
                <w:sz w:val="24"/>
                <w:szCs w:val="24"/>
                <w:u w:val="single"/>
              </w:rPr>
            </w:pP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cs="宋体"/>
                <w:kern w:val="0"/>
                <w:sz w:val="24"/>
                <w:szCs w:val="24"/>
                <w:u w:val="single"/>
              </w:rPr>
              <w:t>…</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cs="宋体"/>
                <w:kern w:val="0"/>
                <w:sz w:val="24"/>
                <w:szCs w:val="24"/>
                <w:u w:val="single"/>
              </w:rPr>
              <w:t>…</w:t>
            </w:r>
          </w:p>
        </w:tc>
        <w:tc>
          <w:tcPr>
            <w:tcW w:w="1548" w:type="dxa"/>
          </w:tcPr>
          <w:p>
            <w:pPr>
              <w:autoSpaceDE w:val="0"/>
              <w:autoSpaceDN w:val="0"/>
              <w:adjustRightInd w:val="0"/>
              <w:spacing w:line="360" w:lineRule="auto"/>
              <w:jc w:val="left"/>
              <w:rPr>
                <w:rFonts w:ascii="宋体" w:cs="宋体"/>
                <w:kern w:val="0"/>
                <w:sz w:val="24"/>
                <w:szCs w:val="24"/>
                <w:u w:val="single"/>
              </w:rPr>
            </w:pPr>
            <w:r>
              <w:rPr>
                <w:rFonts w:hint="eastAsia" w:ascii="宋体" w:cs="宋体"/>
                <w:kern w:val="0"/>
                <w:sz w:val="24"/>
                <w:szCs w:val="24"/>
                <w:u w:val="single"/>
              </w:rPr>
              <w:t>…</w:t>
            </w:r>
          </w:p>
        </w:tc>
        <w:tc>
          <w:tcPr>
            <w:tcW w:w="1548" w:type="dxa"/>
          </w:tcPr>
          <w:p>
            <w:pPr>
              <w:autoSpaceDE w:val="0"/>
              <w:autoSpaceDN w:val="0"/>
              <w:adjustRightInd w:val="0"/>
              <w:spacing w:line="360" w:lineRule="auto"/>
              <w:jc w:val="left"/>
              <w:rPr>
                <w:rFonts w:ascii="宋体" w:cs="宋体"/>
                <w:kern w:val="0"/>
                <w:sz w:val="24"/>
                <w:szCs w:val="24"/>
                <w:u w:val="single"/>
              </w:rPr>
            </w:pP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我单位承诺以上填报内容真实。如不真实，将按照有关规定接受处理。</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按采购人要求的内容及范围提供相关类型的业绩。</w:t>
      </w:r>
    </w:p>
    <w:p>
      <w:pPr>
        <w:autoSpaceDE w:val="0"/>
        <w:autoSpaceDN w:val="0"/>
        <w:adjustRightInd w:val="0"/>
        <w:spacing w:line="360" w:lineRule="auto"/>
        <w:ind w:firstLine="480" w:firstLineChars="20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本表后须附清晰可辨的、真实的合同或中标通知书相关的证明材料。如未附证明材料或工作内容模糊不清的，其业绩将不予认定。有效业绩的认定详见供应商须知前附表。</w:t>
      </w:r>
    </w:p>
    <w:p>
      <w:pPr>
        <w:autoSpaceDE w:val="0"/>
        <w:autoSpaceDN w:val="0"/>
        <w:adjustRightInd w:val="0"/>
        <w:spacing w:line="360" w:lineRule="auto"/>
        <w:ind w:firstLine="480" w:firstLineChars="200"/>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如近年来，供应商法人机构发生合法变更或重组或法人名称变更时，应提供相关部门的合法批件或其他相关证明材料来证明其所附业绩的继承性。</w:t>
      </w: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ind w:firstLine="480" w:firstLineChars="200"/>
        <w:jc w:val="center"/>
        <w:rPr>
          <w:rFonts w:hint="eastAsia" w:ascii="宋体" w:hAnsi="宋体" w:cs="宋体"/>
          <w:kern w:val="0"/>
          <w:sz w:val="24"/>
          <w:szCs w:val="24"/>
          <w:lang w:val="en-US" w:eastAsia="zh-CN"/>
        </w:rPr>
      </w:pPr>
      <w:bookmarkStart w:id="813" w:name="_Toc23034"/>
      <w:r>
        <w:rPr>
          <w:rFonts w:hint="eastAsia" w:ascii="宋体" w:hAnsi="宋体" w:cs="宋体"/>
          <w:kern w:val="0"/>
          <w:sz w:val="24"/>
          <w:szCs w:val="24"/>
          <w:lang w:val="en-US" w:eastAsia="zh-CN"/>
        </w:rPr>
        <w:t>6、检测报告</w:t>
      </w:r>
    </w:p>
    <w:p>
      <w:pPr>
        <w:rPr>
          <w:rFonts w:hint="eastAsia" w:ascii="宋体" w:hAnsi="宋体" w:cs="宋体"/>
          <w:b/>
          <w:kern w:val="0"/>
          <w:sz w:val="24"/>
          <w:szCs w:val="24"/>
          <w:lang w:val="en-US" w:eastAsia="zh-CN"/>
        </w:rPr>
      </w:pPr>
      <w:r>
        <w:rPr>
          <w:rFonts w:hint="eastAsia" w:ascii="宋体" w:hAnsi="宋体" w:cs="宋体"/>
          <w:b/>
          <w:kern w:val="0"/>
          <w:sz w:val="24"/>
          <w:szCs w:val="24"/>
          <w:lang w:val="en-US" w:eastAsia="zh-CN"/>
        </w:rPr>
        <w:br w:type="page"/>
      </w:r>
    </w:p>
    <w:p>
      <w:pPr>
        <w:autoSpaceDE w:val="0"/>
        <w:autoSpaceDN w:val="0"/>
        <w:adjustRightInd w:val="0"/>
        <w:spacing w:line="360" w:lineRule="auto"/>
        <w:jc w:val="center"/>
        <w:outlineLvl w:val="1"/>
        <w:rPr>
          <w:rFonts w:ascii="宋体" w:cs="宋体"/>
          <w:b/>
          <w:kern w:val="0"/>
          <w:sz w:val="24"/>
          <w:szCs w:val="24"/>
        </w:rPr>
      </w:pPr>
      <w:r>
        <w:rPr>
          <w:rFonts w:hint="eastAsia" w:ascii="宋体" w:hAnsi="宋体" w:cs="宋体"/>
          <w:b/>
          <w:kern w:val="0"/>
          <w:sz w:val="24"/>
          <w:szCs w:val="24"/>
        </w:rPr>
        <w:t>（七）项目整体服务方案</w:t>
      </w:r>
      <w:bookmarkEnd w:id="813"/>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对招标项目的需求分析和总体思路；</w:t>
      </w:r>
    </w:p>
    <w:p>
      <w:pPr>
        <w:spacing w:line="360" w:lineRule="auto"/>
      </w:pPr>
      <w:r>
        <w:rPr>
          <w:rFonts w:ascii="宋体" w:hAnsi="宋体" w:cs="宋体"/>
          <w:kern w:val="0"/>
          <w:sz w:val="24"/>
          <w:szCs w:val="24"/>
        </w:rPr>
        <w:t>2.</w:t>
      </w:r>
      <w:r>
        <w:rPr>
          <w:rFonts w:hint="eastAsia" w:ascii="宋体" w:hAnsi="宋体" w:cs="宋体"/>
          <w:kern w:val="0"/>
          <w:sz w:val="24"/>
          <w:szCs w:val="24"/>
        </w:rPr>
        <w:t>服务方案（</w:t>
      </w:r>
      <w:r>
        <w:rPr>
          <w:rFonts w:hint="eastAsia" w:ascii="宋体" w:hAnsi="宋体"/>
          <w:sz w:val="24"/>
          <w:szCs w:val="24"/>
        </w:rPr>
        <w:t>供货、安装、培训、售后等</w:t>
      </w:r>
      <w:r>
        <w:rPr>
          <w:rFonts w:hint="eastAsia" w:ascii="宋体" w:hAnsi="宋体" w:cs="宋体"/>
          <w:kern w:val="0"/>
          <w:sz w:val="24"/>
          <w:szCs w:val="24"/>
        </w:rPr>
        <w:t>）；</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工作量及计划安排；</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质量保证措施、进度保证措施等；</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 xml:space="preserve">5. </w:t>
      </w:r>
      <w:r>
        <w:rPr>
          <w:rFonts w:hint="eastAsia" w:ascii="宋体" w:hAnsi="宋体" w:cs="宋体"/>
          <w:kern w:val="0"/>
          <w:sz w:val="24"/>
          <w:szCs w:val="24"/>
        </w:rPr>
        <w:t>针对本项目的特点，提供完善和可操作性的项目售后技术服务工作保障，后续服务的安排及服务保证措施；</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拟投入的人员及主要人员的简历，可附表说明；</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7.</w:t>
      </w:r>
      <w:r>
        <w:rPr>
          <w:rFonts w:hint="eastAsia" w:ascii="宋体" w:hAnsi="宋体" w:cs="宋体"/>
          <w:kern w:val="0"/>
          <w:sz w:val="24"/>
          <w:szCs w:val="24"/>
        </w:rPr>
        <w:t>其他建议。</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上述内容仅供参考，如有不足，请自行补充提供。</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附表7</w:t>
      </w:r>
      <w:r>
        <w:rPr>
          <w:rFonts w:ascii="宋体" w:hAnsi="宋体" w:cs="宋体"/>
          <w:kern w:val="0"/>
          <w:sz w:val="24"/>
          <w:szCs w:val="24"/>
        </w:rPr>
        <w:t xml:space="preserve">-1 </w:t>
      </w:r>
      <w:r>
        <w:rPr>
          <w:rFonts w:hint="eastAsia" w:ascii="宋体" w:hAnsi="宋体" w:cs="宋体"/>
          <w:kern w:val="0"/>
          <w:sz w:val="24"/>
          <w:szCs w:val="24"/>
        </w:rPr>
        <w:t>拟投入本项目主要人员汇总表</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42"/>
        <w:gridCol w:w="1050"/>
        <w:gridCol w:w="735"/>
        <w:gridCol w:w="1161"/>
        <w:gridCol w:w="1161"/>
        <w:gridCol w:w="116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序号</w:t>
            </w:r>
          </w:p>
        </w:tc>
        <w:tc>
          <w:tcPr>
            <w:tcW w:w="942"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姓名</w:t>
            </w:r>
          </w:p>
        </w:tc>
        <w:tc>
          <w:tcPr>
            <w:tcW w:w="105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年龄</w:t>
            </w:r>
          </w:p>
        </w:tc>
        <w:tc>
          <w:tcPr>
            <w:tcW w:w="73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性别</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学历</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专业</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职称</w:t>
            </w:r>
          </w:p>
        </w:tc>
        <w:tc>
          <w:tcPr>
            <w:tcW w:w="1872"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注：我单位承诺以上填报内容真实。如不真实，将按照有关规定接受处理。</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特别要求：拟投入本项目的工作人员须满足本项目的工作要求，在合同履行过程中，中标人须根据本项目的实际需求或采购人的进度要求，对人员进行合理的增加，费用均包含在内。</w:t>
      </w:r>
    </w:p>
    <w:p>
      <w:pPr>
        <w:rPr>
          <w:rFonts w:ascii="宋体" w:hAnsi="宋体" w:cs="宋体"/>
          <w:kern w:val="0"/>
          <w:sz w:val="24"/>
          <w:szCs w:val="24"/>
        </w:rPr>
      </w:pPr>
      <w:r>
        <w:rPr>
          <w:rFonts w:hint="eastAsia" w:ascii="宋体" w:hAnsi="宋体" w:cs="宋体"/>
          <w:kern w:val="0"/>
          <w:sz w:val="24"/>
          <w:szCs w:val="24"/>
        </w:rPr>
        <w:br w:type="page"/>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附表7</w:t>
      </w:r>
      <w:r>
        <w:rPr>
          <w:rFonts w:ascii="宋体" w:hAnsi="宋体" w:cs="宋体"/>
          <w:kern w:val="0"/>
          <w:sz w:val="24"/>
          <w:szCs w:val="24"/>
        </w:rPr>
        <w:t xml:space="preserve">-2 </w:t>
      </w:r>
      <w:r>
        <w:rPr>
          <w:rFonts w:hint="eastAsia" w:ascii="宋体" w:hAnsi="宋体" w:cs="宋体"/>
          <w:kern w:val="0"/>
          <w:sz w:val="24"/>
          <w:szCs w:val="24"/>
        </w:rPr>
        <w:t>拟投入本项目的主要人员简历表</w:t>
      </w:r>
    </w:p>
    <w:tbl>
      <w:tblPr>
        <w:tblStyle w:val="43"/>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239"/>
        <w:gridCol w:w="1548"/>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姓名</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性别</w:t>
            </w:r>
          </w:p>
        </w:tc>
        <w:tc>
          <w:tcPr>
            <w:tcW w:w="1239" w:type="dxa"/>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出生日期</w:t>
            </w:r>
          </w:p>
        </w:tc>
        <w:tc>
          <w:tcPr>
            <w:tcW w:w="1917" w:type="dxa"/>
            <w:vAlign w:val="center"/>
          </w:tcPr>
          <w:p>
            <w:pPr>
              <w:autoSpaceDE w:val="0"/>
              <w:autoSpaceDN w:val="0"/>
              <w:adjustRightInd w:val="0"/>
              <w:spacing w:line="360" w:lineRule="auto"/>
              <w:ind w:left="120" w:leftChars="57" w:firstLine="240" w:firstLineChars="100"/>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毕业院校及专业</w:t>
            </w:r>
          </w:p>
        </w:tc>
        <w:tc>
          <w:tcPr>
            <w:tcW w:w="4335" w:type="dxa"/>
            <w:gridSpan w:val="3"/>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毕业时间</w:t>
            </w: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从事本专业时间</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为申请人服务时间</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执业注册</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职称</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8" w:type="dxa"/>
            <w:gridSpan w:val="6"/>
            <w:vAlign w:val="center"/>
          </w:tcPr>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主要经历</w:t>
            </w:r>
          </w:p>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时间</w:t>
            </w: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参加过的类似项目名称及主要内容等</w:t>
            </w:r>
          </w:p>
        </w:tc>
        <w:tc>
          <w:tcPr>
            <w:tcW w:w="3465"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3096" w:type="dxa"/>
            <w:gridSpan w:val="2"/>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p>
        </w:tc>
        <w:tc>
          <w:tcPr>
            <w:tcW w:w="3465" w:type="dxa"/>
            <w:gridSpan w:val="2"/>
            <w:vAlign w:val="center"/>
          </w:tcPr>
          <w:p>
            <w:pPr>
              <w:autoSpaceDE w:val="0"/>
              <w:autoSpaceDN w:val="0"/>
              <w:adjustRightInd w:val="0"/>
              <w:spacing w:line="360" w:lineRule="auto"/>
              <w:jc w:val="center"/>
              <w:rPr>
                <w:rFonts w:ascii="宋体" w:cs="宋体"/>
                <w:kern w:val="0"/>
                <w:sz w:val="24"/>
                <w:szCs w:val="24"/>
              </w:rPr>
            </w:pPr>
          </w:p>
        </w:tc>
      </w:tr>
    </w:tbl>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我单位承诺以上填报内容真实。如不真实，将按照有关规定接受处理。</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附注册类证书（如有）、职称证书（如有）、学历或学位等相关证件的复印件</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outlineLvl w:val="1"/>
        <w:rPr>
          <w:rFonts w:ascii="宋体" w:cs="宋体"/>
          <w:b/>
          <w:kern w:val="0"/>
          <w:sz w:val="24"/>
          <w:szCs w:val="24"/>
        </w:rPr>
      </w:pPr>
      <w:bookmarkStart w:id="814" w:name="_Toc29872"/>
      <w:r>
        <w:rPr>
          <w:rFonts w:hint="eastAsia" w:ascii="宋体" w:hAnsi="宋体" w:cs="宋体"/>
          <w:b/>
          <w:kern w:val="0"/>
          <w:sz w:val="24"/>
          <w:szCs w:val="24"/>
        </w:rPr>
        <w:t>（八）售后服务承诺书</w:t>
      </w:r>
      <w:bookmarkEnd w:id="814"/>
    </w:p>
    <w:p>
      <w:pPr>
        <w:autoSpaceDE w:val="0"/>
        <w:autoSpaceDN w:val="0"/>
        <w:adjustRightInd w:val="0"/>
        <w:spacing w:line="360" w:lineRule="auto"/>
        <w:ind w:firstLine="480" w:firstLineChars="200"/>
        <w:jc w:val="left"/>
        <w:rPr>
          <w:rFonts w:ascii="宋体" w:hAnsi="宋体"/>
          <w:kern w:val="0"/>
          <w:sz w:val="24"/>
          <w:szCs w:val="24"/>
        </w:rPr>
      </w:pPr>
      <w:r>
        <w:rPr>
          <w:rFonts w:hint="eastAsia" w:ascii="宋体" w:hAnsi="宋体"/>
          <w:kern w:val="0"/>
          <w:sz w:val="24"/>
          <w:szCs w:val="24"/>
        </w:rPr>
        <w:t xml:space="preserve">  请供应商针对不同服务内容详细编制满足本项目的《服务质量承诺书》。包括但不限于以下内容：供应商应说明如何保证各项工作标准，提出具体服务的服务质量保证办法；服务质量标准无法达到合同要求时的奖惩措施。</w:t>
      </w:r>
    </w:p>
    <w:p>
      <w:pPr>
        <w:spacing w:line="360" w:lineRule="auto"/>
        <w:ind w:firstLine="480" w:firstLineChars="200"/>
        <w:rPr>
          <w:rFonts w:ascii="宋体"/>
          <w:sz w:val="24"/>
          <w:szCs w:val="24"/>
        </w:rPr>
      </w:pPr>
    </w:p>
    <w:p>
      <w:pPr>
        <w:spacing w:line="360" w:lineRule="auto"/>
        <w:ind w:firstLine="480" w:firstLineChars="200"/>
        <w:rPr>
          <w:rFonts w:ascii="宋体"/>
          <w:sz w:val="24"/>
          <w:szCs w:val="24"/>
        </w:rPr>
      </w:pPr>
    </w:p>
    <w:p>
      <w:pPr>
        <w:spacing w:line="360" w:lineRule="auto"/>
        <w:ind w:firstLine="480" w:firstLineChars="200"/>
        <w:rPr>
          <w:rFonts w:ascii="宋体"/>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widowControl/>
        <w:shd w:val="clear" w:color="auto" w:fill="FFFFFF"/>
        <w:snapToGrid w:val="0"/>
        <w:spacing w:line="384" w:lineRule="auto"/>
        <w:jc w:val="left"/>
        <w:rPr>
          <w:rFonts w:ascii="宋体" w:cs="Arial"/>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center"/>
        <w:rPr>
          <w:rFonts w:ascii="宋体" w:hAnsi="宋体" w:cs="宋体"/>
          <w:b/>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outlineLvl w:val="1"/>
        <w:rPr>
          <w:rFonts w:ascii="宋体" w:cs="宋体"/>
          <w:b/>
          <w:kern w:val="0"/>
          <w:sz w:val="24"/>
          <w:szCs w:val="24"/>
        </w:rPr>
      </w:pPr>
      <w:bookmarkStart w:id="815" w:name="_Toc26539"/>
      <w:r>
        <w:rPr>
          <w:rFonts w:hint="eastAsia" w:ascii="宋体" w:hAnsi="宋体" w:cs="宋体"/>
          <w:b/>
          <w:kern w:val="0"/>
          <w:sz w:val="24"/>
          <w:szCs w:val="24"/>
        </w:rPr>
        <w:t>（九）</w:t>
      </w:r>
      <w:r>
        <w:rPr>
          <w:rFonts w:hint="eastAsia" w:ascii="宋体" w:hAnsi="宋体" w:cs="宋体"/>
          <w:b/>
          <w:sz w:val="24"/>
          <w:szCs w:val="24"/>
        </w:rPr>
        <w:t>其他需要提交的资料</w:t>
      </w:r>
      <w:bookmarkEnd w:id="815"/>
    </w:p>
    <w:p>
      <w:pPr>
        <w:spacing w:line="360" w:lineRule="auto"/>
        <w:ind w:firstLine="480" w:firstLineChars="200"/>
        <w:jc w:val="center"/>
        <w:rPr>
          <w:rFonts w:ascii="宋体" w:hAnsi="宋体" w:eastAsia="宋体" w:cs="Times New Roman"/>
          <w:sz w:val="24"/>
          <w:szCs w:val="24"/>
        </w:rPr>
      </w:pPr>
      <w:r>
        <w:rPr>
          <w:rFonts w:hint="eastAsia" w:ascii="宋体" w:hAnsi="宋体" w:eastAsia="宋体" w:cs="Times New Roman"/>
          <w:sz w:val="24"/>
          <w:szCs w:val="24"/>
        </w:rPr>
        <w:t>根据竞争性磋商文件的要求和供应商认为需要提供的资料</w:t>
      </w:r>
    </w:p>
    <w:p>
      <w:pPr>
        <w:widowControl/>
        <w:jc w:val="left"/>
        <w:rPr>
          <w:rFonts w:ascii="宋体" w:cs="宋体"/>
          <w:kern w:val="0"/>
          <w:sz w:val="24"/>
          <w:szCs w:val="24"/>
        </w:rPr>
      </w:pPr>
      <w:r>
        <w:rPr>
          <w:rFonts w:ascii="宋体" w:cs="宋体"/>
          <w:kern w:val="0"/>
          <w:sz w:val="24"/>
          <w:szCs w:val="24"/>
        </w:rPr>
        <w:br w:type="page"/>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outlineLvl w:val="1"/>
        <w:rPr>
          <w:rFonts w:ascii="宋体" w:cs="宋体"/>
          <w:b/>
          <w:kern w:val="0"/>
          <w:sz w:val="24"/>
          <w:szCs w:val="24"/>
        </w:rPr>
      </w:pPr>
      <w:bookmarkStart w:id="816" w:name="_Toc13655"/>
      <w:r>
        <w:rPr>
          <w:rFonts w:hint="eastAsia" w:ascii="宋体" w:hAnsi="宋体" w:cs="宋体"/>
          <w:b/>
          <w:kern w:val="0"/>
          <w:sz w:val="24"/>
          <w:szCs w:val="24"/>
        </w:rPr>
        <w:t>（十）投标单位反商业贿赂承诺书</w:t>
      </w:r>
      <w:bookmarkEnd w:id="816"/>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承诺书（</w:t>
      </w:r>
      <w:r>
        <w:rPr>
          <w:rFonts w:ascii="宋体" w:hAnsi="宋体" w:cs="宋体"/>
          <w:kern w:val="0"/>
          <w:sz w:val="24"/>
          <w:szCs w:val="24"/>
        </w:rPr>
        <w:t>1</w:t>
      </w:r>
      <w:r>
        <w:rPr>
          <w:rFonts w:hint="eastAsia" w:ascii="宋体" w:hAnsi="宋体" w:cs="宋体"/>
          <w:kern w:val="0"/>
          <w:sz w:val="24"/>
          <w:szCs w:val="24"/>
        </w:rPr>
        <w:t>）</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我公司承诺在</w:t>
      </w:r>
      <w:r>
        <w:rPr>
          <w:rFonts w:hint="eastAsia" w:ascii="宋体" w:hAnsi="宋体" w:cs="宋体"/>
          <w:kern w:val="0"/>
          <w:sz w:val="24"/>
          <w:szCs w:val="24"/>
          <w:u w:val="single"/>
        </w:rPr>
        <w:t>（项目编号、项目名称）</w:t>
      </w:r>
      <w:r>
        <w:rPr>
          <w:rFonts w:hint="eastAsia" w:ascii="宋体" w:hAnsi="宋体" w:cs="宋体"/>
          <w:kern w:val="0"/>
          <w:sz w:val="24"/>
          <w:szCs w:val="24"/>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pPr>
        <w:autoSpaceDE w:val="0"/>
        <w:autoSpaceDN w:val="0"/>
        <w:adjustRightInd w:val="0"/>
        <w:spacing w:line="360" w:lineRule="auto"/>
        <w:ind w:firstLine="480" w:firstLineChars="200"/>
        <w:jc w:val="left"/>
        <w:rPr>
          <w:rFonts w:ascii="宋体" w:cs="宋体"/>
          <w:kern w:val="0"/>
          <w:sz w:val="24"/>
          <w:szCs w:val="24"/>
        </w:rPr>
      </w:pPr>
    </w:p>
    <w:p>
      <w:pPr>
        <w:autoSpaceDE w:val="0"/>
        <w:autoSpaceDN w:val="0"/>
        <w:adjustRightInd w:val="0"/>
        <w:spacing w:line="360" w:lineRule="auto"/>
        <w:ind w:firstLine="480" w:firstLineChars="200"/>
        <w:jc w:val="left"/>
        <w:rPr>
          <w:rFonts w:ascii="宋体" w:cs="宋体"/>
          <w:kern w:val="0"/>
          <w:sz w:val="24"/>
          <w:szCs w:val="24"/>
        </w:rPr>
      </w:pPr>
    </w:p>
    <w:p>
      <w:pPr>
        <w:autoSpaceDE w:val="0"/>
        <w:autoSpaceDN w:val="0"/>
        <w:adjustRightInd w:val="0"/>
        <w:spacing w:line="360" w:lineRule="auto"/>
        <w:ind w:firstLine="480" w:firstLineChars="200"/>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供应商：</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sz w:val="24"/>
          <w:szCs w:val="24"/>
        </w:rPr>
        <w:t>年月日</w:t>
      </w:r>
    </w:p>
    <w:p>
      <w:pPr>
        <w:spacing w:line="360" w:lineRule="auto"/>
        <w:ind w:firstLine="420" w:firstLineChars="200"/>
        <w:jc w:val="center"/>
        <w:rPr>
          <w:rFonts w:ascii="Calibri" w:hAnsi="Calibri" w:eastAsia="宋体" w:cs="Times New Roman"/>
        </w:rPr>
      </w:pPr>
    </w:p>
    <w:p>
      <w:pPr>
        <w:widowControl/>
        <w:jc w:val="left"/>
        <w:rPr>
          <w:rFonts w:ascii="Calibri" w:hAnsi="Calibri" w:eastAsia="宋体" w:cs="Times New Roman"/>
        </w:rPr>
      </w:pPr>
    </w:p>
    <w:sectPr>
      <w:headerReference r:id="rId6" w:type="default"/>
      <w:footerReference r:id="rId7" w:type="default"/>
      <w:pgSz w:w="11906" w:h="16838"/>
      <w:pgMar w:top="1134" w:right="1134" w:bottom="1134" w:left="1418"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rebuchet MS">
    <w:panose1 w:val="020B0603020202020204"/>
    <w:charset w:val="00"/>
    <w:family w:val="swiss"/>
    <w:pitch w:val="default"/>
    <w:sig w:usb0="00000287" w:usb1="00000000" w:usb2="00000000" w:usb3="00000000" w:csb0="2000009F"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HiddenHorzOCR">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CourierNewPSMT">
    <w:altName w:val="方正兰亭超细黑简体"/>
    <w:panose1 w:val="00000000000000000000"/>
    <w:charset w:val="86"/>
    <w:family w:val="auto"/>
    <w:pitch w:val="default"/>
    <w:sig w:usb0="00000000" w:usb1="00000000" w:usb2="0000001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90"/>
      <w:jc w:val="right"/>
    </w:pP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rPr>
        <w:rStyle w:val="47"/>
      </w:rPr>
      <w:fldChar w:fldCharType="begin"/>
    </w:r>
    <w:r>
      <w:rPr>
        <w:rStyle w:val="47"/>
      </w:rPr>
      <w:instrText xml:space="preserve">PAGE  </w:instrText>
    </w:r>
    <w:r>
      <w:rPr>
        <w:rStyle w:val="47"/>
      </w:rPr>
      <w:fldChar w:fldCharType="separate"/>
    </w:r>
    <w:r>
      <w:rPr>
        <w:rStyle w:val="47"/>
      </w:rPr>
      <w:t>68</w:t>
    </w:r>
    <w:r>
      <w:rPr>
        <w:rStyle w:val="47"/>
      </w:rP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7532114"/>
    </w:sdtPr>
    <w:sdtEndPr>
      <w:rPr>
        <w:rFonts w:asciiTheme="minorEastAsia" w:hAnsiTheme="minorEastAsia" w:eastAsiaTheme="minorEastAsia"/>
        <w:sz w:val="30"/>
        <w:szCs w:val="30"/>
      </w:rPr>
    </w:sdtEndPr>
    <w:sdtContent>
      <w:p>
        <w:pPr>
          <w:pStyle w:val="26"/>
          <w:jc w:val="right"/>
          <w:rPr>
            <w:rFonts w:asciiTheme="minorEastAsia" w:hAnsiTheme="minorEastAsia" w:eastAsiaTheme="minorEastAsia"/>
            <w:sz w:val="30"/>
            <w:szCs w:val="30"/>
          </w:rPr>
        </w:pP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PAGE   \* MERGEFORMAT</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lang w:val="zh-CN"/>
          </w:rPr>
          <w:t>74</w:t>
        </w:r>
        <w:r>
          <w:rPr>
            <w:rFonts w:asciiTheme="minorEastAsia" w:hAnsiTheme="minorEastAsia" w:eastAsiaTheme="minorEastAsia"/>
            <w:sz w:val="30"/>
            <w:szCs w:val="30"/>
          </w:rPr>
          <w:fldChar w:fldCharType="end"/>
        </w:r>
      </w:p>
    </w:sdtContent>
  </w:sdt>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1F818"/>
    <w:multiLevelType w:val="singleLevel"/>
    <w:tmpl w:val="BA61F818"/>
    <w:lvl w:ilvl="0" w:tentative="0">
      <w:start w:val="1"/>
      <w:numFmt w:val="chineseCounting"/>
      <w:suff w:val="nothing"/>
      <w:lvlText w:val="（%1）"/>
      <w:lvlJc w:val="left"/>
      <w:rPr>
        <w:rFonts w:hint="eastAsia"/>
      </w:rPr>
    </w:lvl>
  </w:abstractNum>
  <w:abstractNum w:abstractNumId="1">
    <w:nsid w:val="CB11FD24"/>
    <w:multiLevelType w:val="singleLevel"/>
    <w:tmpl w:val="CB11FD24"/>
    <w:lvl w:ilvl="0" w:tentative="0">
      <w:start w:val="7"/>
      <w:numFmt w:val="decimal"/>
      <w:suff w:val="nothing"/>
      <w:lvlText w:val="%1．"/>
      <w:lvlJc w:val="left"/>
    </w:lvl>
  </w:abstractNum>
  <w:abstractNum w:abstractNumId="2">
    <w:nsid w:val="06D8F7FA"/>
    <w:multiLevelType w:val="singleLevel"/>
    <w:tmpl w:val="06D8F7FA"/>
    <w:lvl w:ilvl="0" w:tentative="0">
      <w:start w:val="1"/>
      <w:numFmt w:val="chineseCounting"/>
      <w:suff w:val="nothing"/>
      <w:lvlText w:val="（%1）"/>
      <w:lvlJc w:val="left"/>
      <w:rPr>
        <w:rFonts w:hint="eastAsia"/>
      </w:rPr>
    </w:lvl>
  </w:abstractNum>
  <w:abstractNum w:abstractNumId="3">
    <w:nsid w:val="40C17A87"/>
    <w:multiLevelType w:val="singleLevel"/>
    <w:tmpl w:val="40C17A87"/>
    <w:lvl w:ilvl="0" w:tentative="0">
      <w:start w:val="1"/>
      <w:numFmt w:val="decimal"/>
      <w:suff w:val="nothing"/>
      <w:lvlText w:val="%1、"/>
      <w:lvlJc w:val="left"/>
    </w:lvl>
  </w:abstractNum>
  <w:abstractNum w:abstractNumId="4">
    <w:nsid w:val="58A56851"/>
    <w:multiLevelType w:val="multilevel"/>
    <w:tmpl w:val="58A56851"/>
    <w:lvl w:ilvl="0" w:tentative="0">
      <w:start w:val="3"/>
      <w:numFmt w:val="decimal"/>
      <w:lvlText w:val="%1"/>
      <w:lvlJc w:val="left"/>
      <w:pPr>
        <w:ind w:left="360" w:hanging="360"/>
      </w:pPr>
      <w:rPr>
        <w:rFonts w:hint="default" w:hAnsi="宋体"/>
      </w:rPr>
    </w:lvl>
    <w:lvl w:ilvl="1" w:tentative="0">
      <w:start w:val="1"/>
      <w:numFmt w:val="decimal"/>
      <w:lvlText w:val="%1.%2"/>
      <w:lvlJc w:val="left"/>
      <w:pPr>
        <w:ind w:left="1069" w:hanging="360"/>
      </w:pPr>
      <w:rPr>
        <w:rFonts w:hint="default" w:hAnsi="宋体"/>
      </w:rPr>
    </w:lvl>
    <w:lvl w:ilvl="2" w:tentative="0">
      <w:start w:val="1"/>
      <w:numFmt w:val="decimal"/>
      <w:lvlText w:val="%1.%2.%3"/>
      <w:lvlJc w:val="left"/>
      <w:pPr>
        <w:ind w:left="1680" w:hanging="720"/>
      </w:pPr>
      <w:rPr>
        <w:rFonts w:hint="default" w:hAnsi="宋体"/>
      </w:rPr>
    </w:lvl>
    <w:lvl w:ilvl="3" w:tentative="0">
      <w:start w:val="1"/>
      <w:numFmt w:val="decimal"/>
      <w:lvlText w:val="%1.%2.%3.%4"/>
      <w:lvlJc w:val="left"/>
      <w:pPr>
        <w:ind w:left="2520" w:hanging="1080"/>
      </w:pPr>
      <w:rPr>
        <w:rFonts w:hint="default" w:hAnsi="宋体"/>
      </w:rPr>
    </w:lvl>
    <w:lvl w:ilvl="4" w:tentative="0">
      <w:start w:val="1"/>
      <w:numFmt w:val="decimal"/>
      <w:lvlText w:val="%1.%2.%3.%4.%5"/>
      <w:lvlJc w:val="left"/>
      <w:pPr>
        <w:ind w:left="3000" w:hanging="1080"/>
      </w:pPr>
      <w:rPr>
        <w:rFonts w:hint="default" w:hAnsi="宋体"/>
      </w:rPr>
    </w:lvl>
    <w:lvl w:ilvl="5" w:tentative="0">
      <w:start w:val="1"/>
      <w:numFmt w:val="decimal"/>
      <w:lvlText w:val="%1.%2.%3.%4.%5.%6"/>
      <w:lvlJc w:val="left"/>
      <w:pPr>
        <w:ind w:left="3840" w:hanging="1440"/>
      </w:pPr>
      <w:rPr>
        <w:rFonts w:hint="default" w:hAnsi="宋体"/>
      </w:rPr>
    </w:lvl>
    <w:lvl w:ilvl="6" w:tentative="0">
      <w:start w:val="1"/>
      <w:numFmt w:val="decimal"/>
      <w:lvlText w:val="%1.%2.%3.%4.%5.%6.%7"/>
      <w:lvlJc w:val="left"/>
      <w:pPr>
        <w:ind w:left="4680" w:hanging="1800"/>
      </w:pPr>
      <w:rPr>
        <w:rFonts w:hint="default" w:hAnsi="宋体"/>
      </w:rPr>
    </w:lvl>
    <w:lvl w:ilvl="7" w:tentative="0">
      <w:start w:val="1"/>
      <w:numFmt w:val="decimal"/>
      <w:lvlText w:val="%1.%2.%3.%4.%5.%6.%7.%8"/>
      <w:lvlJc w:val="left"/>
      <w:pPr>
        <w:ind w:left="5160" w:hanging="1800"/>
      </w:pPr>
      <w:rPr>
        <w:rFonts w:hint="default" w:hAnsi="宋体"/>
      </w:rPr>
    </w:lvl>
    <w:lvl w:ilvl="8" w:tentative="0">
      <w:start w:val="1"/>
      <w:numFmt w:val="decimal"/>
      <w:lvlText w:val="%1.%2.%3.%4.%5.%6.%7.%8.%9"/>
      <w:lvlJc w:val="left"/>
      <w:pPr>
        <w:ind w:left="6000" w:hanging="2160"/>
      </w:pPr>
      <w:rPr>
        <w:rFonts w:hint="default" w:hAnsi="宋体"/>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A4"/>
    <w:rsid w:val="00000ECF"/>
    <w:rsid w:val="00001340"/>
    <w:rsid w:val="00004DAA"/>
    <w:rsid w:val="00006BD9"/>
    <w:rsid w:val="00007BA8"/>
    <w:rsid w:val="00012112"/>
    <w:rsid w:val="00014F7D"/>
    <w:rsid w:val="000162FE"/>
    <w:rsid w:val="00022B8B"/>
    <w:rsid w:val="000244CA"/>
    <w:rsid w:val="00030171"/>
    <w:rsid w:val="00033566"/>
    <w:rsid w:val="00034FAB"/>
    <w:rsid w:val="00036B12"/>
    <w:rsid w:val="000400E8"/>
    <w:rsid w:val="00044B32"/>
    <w:rsid w:val="00046152"/>
    <w:rsid w:val="00047273"/>
    <w:rsid w:val="0005003E"/>
    <w:rsid w:val="0005428F"/>
    <w:rsid w:val="000604DE"/>
    <w:rsid w:val="000616F7"/>
    <w:rsid w:val="000641A9"/>
    <w:rsid w:val="000661C0"/>
    <w:rsid w:val="00070AF5"/>
    <w:rsid w:val="00073D96"/>
    <w:rsid w:val="00074821"/>
    <w:rsid w:val="000762D4"/>
    <w:rsid w:val="00077DB3"/>
    <w:rsid w:val="0008025F"/>
    <w:rsid w:val="00080E16"/>
    <w:rsid w:val="00082FC4"/>
    <w:rsid w:val="00085EB2"/>
    <w:rsid w:val="000904A3"/>
    <w:rsid w:val="00090F37"/>
    <w:rsid w:val="000916AB"/>
    <w:rsid w:val="000923E8"/>
    <w:rsid w:val="00094989"/>
    <w:rsid w:val="000A02F9"/>
    <w:rsid w:val="000A1C28"/>
    <w:rsid w:val="000A2823"/>
    <w:rsid w:val="000A32B9"/>
    <w:rsid w:val="000A3552"/>
    <w:rsid w:val="000A452A"/>
    <w:rsid w:val="000B060E"/>
    <w:rsid w:val="000B210F"/>
    <w:rsid w:val="000B318F"/>
    <w:rsid w:val="000B331B"/>
    <w:rsid w:val="000B4C6A"/>
    <w:rsid w:val="000D171A"/>
    <w:rsid w:val="000D5ABB"/>
    <w:rsid w:val="000D7CE7"/>
    <w:rsid w:val="000E5B9C"/>
    <w:rsid w:val="000E7461"/>
    <w:rsid w:val="00101AA4"/>
    <w:rsid w:val="001025BB"/>
    <w:rsid w:val="001063D0"/>
    <w:rsid w:val="0010650C"/>
    <w:rsid w:val="00120A37"/>
    <w:rsid w:val="00124C9E"/>
    <w:rsid w:val="00127B38"/>
    <w:rsid w:val="00127C9A"/>
    <w:rsid w:val="0013312B"/>
    <w:rsid w:val="00134F82"/>
    <w:rsid w:val="00141BC8"/>
    <w:rsid w:val="00142762"/>
    <w:rsid w:val="00142BB8"/>
    <w:rsid w:val="0014554F"/>
    <w:rsid w:val="00146E26"/>
    <w:rsid w:val="0015794E"/>
    <w:rsid w:val="00161961"/>
    <w:rsid w:val="001660D2"/>
    <w:rsid w:val="0016644B"/>
    <w:rsid w:val="00167F69"/>
    <w:rsid w:val="00172AA0"/>
    <w:rsid w:val="001733AF"/>
    <w:rsid w:val="00176FAD"/>
    <w:rsid w:val="00181200"/>
    <w:rsid w:val="001831E7"/>
    <w:rsid w:val="001A1D16"/>
    <w:rsid w:val="001A2117"/>
    <w:rsid w:val="001A45DD"/>
    <w:rsid w:val="001A4674"/>
    <w:rsid w:val="001A4E5A"/>
    <w:rsid w:val="001A5DD7"/>
    <w:rsid w:val="001B1748"/>
    <w:rsid w:val="001B5A4C"/>
    <w:rsid w:val="001D1BCF"/>
    <w:rsid w:val="001D50A5"/>
    <w:rsid w:val="001E33A7"/>
    <w:rsid w:val="001E3D69"/>
    <w:rsid w:val="001E4755"/>
    <w:rsid w:val="001E492A"/>
    <w:rsid w:val="001E6E8F"/>
    <w:rsid w:val="001E794E"/>
    <w:rsid w:val="001F3A08"/>
    <w:rsid w:val="001F610A"/>
    <w:rsid w:val="00200BA8"/>
    <w:rsid w:val="00200EA8"/>
    <w:rsid w:val="0020240F"/>
    <w:rsid w:val="0020520B"/>
    <w:rsid w:val="002055DD"/>
    <w:rsid w:val="00205DF6"/>
    <w:rsid w:val="00205F22"/>
    <w:rsid w:val="00214257"/>
    <w:rsid w:val="0021460D"/>
    <w:rsid w:val="00215F58"/>
    <w:rsid w:val="0022177D"/>
    <w:rsid w:val="00223931"/>
    <w:rsid w:val="00226DEC"/>
    <w:rsid w:val="002351A2"/>
    <w:rsid w:val="00236D43"/>
    <w:rsid w:val="002454B4"/>
    <w:rsid w:val="002472C0"/>
    <w:rsid w:val="002508FA"/>
    <w:rsid w:val="0025396A"/>
    <w:rsid w:val="00253DC3"/>
    <w:rsid w:val="002541CE"/>
    <w:rsid w:val="00257DBC"/>
    <w:rsid w:val="00257F22"/>
    <w:rsid w:val="002604A7"/>
    <w:rsid w:val="00260910"/>
    <w:rsid w:val="002660FD"/>
    <w:rsid w:val="00266F04"/>
    <w:rsid w:val="002679C6"/>
    <w:rsid w:val="0027366F"/>
    <w:rsid w:val="002853D6"/>
    <w:rsid w:val="00285885"/>
    <w:rsid w:val="002967DA"/>
    <w:rsid w:val="002A446B"/>
    <w:rsid w:val="002A7CE2"/>
    <w:rsid w:val="002B0041"/>
    <w:rsid w:val="002B5159"/>
    <w:rsid w:val="002B624E"/>
    <w:rsid w:val="002B6664"/>
    <w:rsid w:val="002B77E1"/>
    <w:rsid w:val="002C2DD2"/>
    <w:rsid w:val="002C44C0"/>
    <w:rsid w:val="002D280B"/>
    <w:rsid w:val="002D3439"/>
    <w:rsid w:val="002D635D"/>
    <w:rsid w:val="002D6CF2"/>
    <w:rsid w:val="002E25BC"/>
    <w:rsid w:val="002E5AAD"/>
    <w:rsid w:val="002F10F5"/>
    <w:rsid w:val="002F2283"/>
    <w:rsid w:val="00300C92"/>
    <w:rsid w:val="00304A1A"/>
    <w:rsid w:val="00304D2D"/>
    <w:rsid w:val="00305EE3"/>
    <w:rsid w:val="0030747A"/>
    <w:rsid w:val="00311F76"/>
    <w:rsid w:val="00313F13"/>
    <w:rsid w:val="00315623"/>
    <w:rsid w:val="00315D4B"/>
    <w:rsid w:val="00315D59"/>
    <w:rsid w:val="00316B54"/>
    <w:rsid w:val="00316DBA"/>
    <w:rsid w:val="00317D34"/>
    <w:rsid w:val="00317FF8"/>
    <w:rsid w:val="00324345"/>
    <w:rsid w:val="00326152"/>
    <w:rsid w:val="00331C14"/>
    <w:rsid w:val="00336EED"/>
    <w:rsid w:val="00343290"/>
    <w:rsid w:val="0035581F"/>
    <w:rsid w:val="00357700"/>
    <w:rsid w:val="00360D30"/>
    <w:rsid w:val="00361C9D"/>
    <w:rsid w:val="00363991"/>
    <w:rsid w:val="00364473"/>
    <w:rsid w:val="00370CC0"/>
    <w:rsid w:val="00370F25"/>
    <w:rsid w:val="00372DE0"/>
    <w:rsid w:val="00373AD1"/>
    <w:rsid w:val="00376E83"/>
    <w:rsid w:val="00381A0F"/>
    <w:rsid w:val="0038324D"/>
    <w:rsid w:val="003837F0"/>
    <w:rsid w:val="003947D9"/>
    <w:rsid w:val="003A4B68"/>
    <w:rsid w:val="003A5B50"/>
    <w:rsid w:val="003B662D"/>
    <w:rsid w:val="003B70AD"/>
    <w:rsid w:val="003B7226"/>
    <w:rsid w:val="003C043A"/>
    <w:rsid w:val="003C0B9E"/>
    <w:rsid w:val="003D01BB"/>
    <w:rsid w:val="003D05EA"/>
    <w:rsid w:val="003D2462"/>
    <w:rsid w:val="003D4211"/>
    <w:rsid w:val="003D60E3"/>
    <w:rsid w:val="003E4A7A"/>
    <w:rsid w:val="003F59D7"/>
    <w:rsid w:val="003F6EAF"/>
    <w:rsid w:val="00402D19"/>
    <w:rsid w:val="0040310D"/>
    <w:rsid w:val="004079CE"/>
    <w:rsid w:val="00416675"/>
    <w:rsid w:val="00421B0A"/>
    <w:rsid w:val="004220B6"/>
    <w:rsid w:val="00423980"/>
    <w:rsid w:val="0042662D"/>
    <w:rsid w:val="00432C0C"/>
    <w:rsid w:val="00433EED"/>
    <w:rsid w:val="00437874"/>
    <w:rsid w:val="00440F3B"/>
    <w:rsid w:val="00444EE1"/>
    <w:rsid w:val="0044799D"/>
    <w:rsid w:val="0045091A"/>
    <w:rsid w:val="00451F1F"/>
    <w:rsid w:val="0045286E"/>
    <w:rsid w:val="00452BB8"/>
    <w:rsid w:val="00455196"/>
    <w:rsid w:val="00461359"/>
    <w:rsid w:val="004640C1"/>
    <w:rsid w:val="004704FB"/>
    <w:rsid w:val="00471E95"/>
    <w:rsid w:val="00474A4F"/>
    <w:rsid w:val="00483733"/>
    <w:rsid w:val="004A010F"/>
    <w:rsid w:val="004A4981"/>
    <w:rsid w:val="004A5376"/>
    <w:rsid w:val="004A6517"/>
    <w:rsid w:val="004A68AF"/>
    <w:rsid w:val="004A78B9"/>
    <w:rsid w:val="004A7D7E"/>
    <w:rsid w:val="004B03B8"/>
    <w:rsid w:val="004B0537"/>
    <w:rsid w:val="004C0296"/>
    <w:rsid w:val="004C56CE"/>
    <w:rsid w:val="004C7AFA"/>
    <w:rsid w:val="004D11B3"/>
    <w:rsid w:val="004D3C30"/>
    <w:rsid w:val="004D5C23"/>
    <w:rsid w:val="004D75D5"/>
    <w:rsid w:val="004E2088"/>
    <w:rsid w:val="004E277E"/>
    <w:rsid w:val="004E419C"/>
    <w:rsid w:val="004E76F6"/>
    <w:rsid w:val="004E7786"/>
    <w:rsid w:val="004F0D23"/>
    <w:rsid w:val="004F4D39"/>
    <w:rsid w:val="004F7A93"/>
    <w:rsid w:val="00501303"/>
    <w:rsid w:val="00507DCF"/>
    <w:rsid w:val="00510153"/>
    <w:rsid w:val="00520FE8"/>
    <w:rsid w:val="00521984"/>
    <w:rsid w:val="0052394D"/>
    <w:rsid w:val="00524F86"/>
    <w:rsid w:val="00526F0E"/>
    <w:rsid w:val="005307A5"/>
    <w:rsid w:val="0053132A"/>
    <w:rsid w:val="00533A68"/>
    <w:rsid w:val="0054181E"/>
    <w:rsid w:val="00541FB5"/>
    <w:rsid w:val="0054615B"/>
    <w:rsid w:val="00550753"/>
    <w:rsid w:val="00553899"/>
    <w:rsid w:val="0055435D"/>
    <w:rsid w:val="005627EE"/>
    <w:rsid w:val="00562B2E"/>
    <w:rsid w:val="005647DB"/>
    <w:rsid w:val="00565042"/>
    <w:rsid w:val="00566F28"/>
    <w:rsid w:val="00573EAA"/>
    <w:rsid w:val="00577ECB"/>
    <w:rsid w:val="00577FFA"/>
    <w:rsid w:val="00581540"/>
    <w:rsid w:val="00582F95"/>
    <w:rsid w:val="00584FF1"/>
    <w:rsid w:val="00585926"/>
    <w:rsid w:val="00586658"/>
    <w:rsid w:val="005879D1"/>
    <w:rsid w:val="005A215C"/>
    <w:rsid w:val="005A6326"/>
    <w:rsid w:val="005A69CA"/>
    <w:rsid w:val="005C4B64"/>
    <w:rsid w:val="005C53A8"/>
    <w:rsid w:val="005C6A4B"/>
    <w:rsid w:val="005D3846"/>
    <w:rsid w:val="005D5695"/>
    <w:rsid w:val="005D651D"/>
    <w:rsid w:val="005D7EAB"/>
    <w:rsid w:val="005E0A25"/>
    <w:rsid w:val="005E2057"/>
    <w:rsid w:val="005E29B4"/>
    <w:rsid w:val="005E3C18"/>
    <w:rsid w:val="005E617A"/>
    <w:rsid w:val="005F0F54"/>
    <w:rsid w:val="005F3159"/>
    <w:rsid w:val="005F437E"/>
    <w:rsid w:val="005F453C"/>
    <w:rsid w:val="005F4F05"/>
    <w:rsid w:val="005F6E37"/>
    <w:rsid w:val="0060072E"/>
    <w:rsid w:val="0060086F"/>
    <w:rsid w:val="00600C9C"/>
    <w:rsid w:val="006044F4"/>
    <w:rsid w:val="00606716"/>
    <w:rsid w:val="00607BD4"/>
    <w:rsid w:val="00607BF6"/>
    <w:rsid w:val="006205BF"/>
    <w:rsid w:val="0062135D"/>
    <w:rsid w:val="00622699"/>
    <w:rsid w:val="00630AAC"/>
    <w:rsid w:val="006314C2"/>
    <w:rsid w:val="00631C5A"/>
    <w:rsid w:val="0063610A"/>
    <w:rsid w:val="006367D4"/>
    <w:rsid w:val="00642363"/>
    <w:rsid w:val="00644CAA"/>
    <w:rsid w:val="0064585F"/>
    <w:rsid w:val="0064722F"/>
    <w:rsid w:val="00647D58"/>
    <w:rsid w:val="00652A1B"/>
    <w:rsid w:val="00652A7E"/>
    <w:rsid w:val="006546EA"/>
    <w:rsid w:val="00656C08"/>
    <w:rsid w:val="00657AD0"/>
    <w:rsid w:val="0066102E"/>
    <w:rsid w:val="00661E10"/>
    <w:rsid w:val="0066681E"/>
    <w:rsid w:val="00670008"/>
    <w:rsid w:val="006728AB"/>
    <w:rsid w:val="00673798"/>
    <w:rsid w:val="00674A1B"/>
    <w:rsid w:val="006804BB"/>
    <w:rsid w:val="00686FBB"/>
    <w:rsid w:val="006932B7"/>
    <w:rsid w:val="00694538"/>
    <w:rsid w:val="006974ED"/>
    <w:rsid w:val="006A4AC4"/>
    <w:rsid w:val="006B014A"/>
    <w:rsid w:val="006B2DDD"/>
    <w:rsid w:val="006B6739"/>
    <w:rsid w:val="006B72B0"/>
    <w:rsid w:val="006C06C9"/>
    <w:rsid w:val="006C08F0"/>
    <w:rsid w:val="006C214D"/>
    <w:rsid w:val="006C551A"/>
    <w:rsid w:val="006D3485"/>
    <w:rsid w:val="006D5419"/>
    <w:rsid w:val="006D747B"/>
    <w:rsid w:val="006E249F"/>
    <w:rsid w:val="006E344D"/>
    <w:rsid w:val="006E51CF"/>
    <w:rsid w:val="006F07AB"/>
    <w:rsid w:val="006F22E5"/>
    <w:rsid w:val="006F2A4E"/>
    <w:rsid w:val="006F67B6"/>
    <w:rsid w:val="006F6DB0"/>
    <w:rsid w:val="006F74D1"/>
    <w:rsid w:val="006F7BBE"/>
    <w:rsid w:val="00704AEC"/>
    <w:rsid w:val="0070576A"/>
    <w:rsid w:val="00711806"/>
    <w:rsid w:val="00711DFE"/>
    <w:rsid w:val="007124BC"/>
    <w:rsid w:val="007137F1"/>
    <w:rsid w:val="007156D2"/>
    <w:rsid w:val="0072037A"/>
    <w:rsid w:val="00722F7B"/>
    <w:rsid w:val="00724537"/>
    <w:rsid w:val="00744A05"/>
    <w:rsid w:val="00746AC3"/>
    <w:rsid w:val="0075151D"/>
    <w:rsid w:val="007524CB"/>
    <w:rsid w:val="007616D4"/>
    <w:rsid w:val="00763C07"/>
    <w:rsid w:val="007643B5"/>
    <w:rsid w:val="00767044"/>
    <w:rsid w:val="00767A9C"/>
    <w:rsid w:val="00776052"/>
    <w:rsid w:val="00777B6C"/>
    <w:rsid w:val="00782584"/>
    <w:rsid w:val="00784173"/>
    <w:rsid w:val="00787D19"/>
    <w:rsid w:val="00792B82"/>
    <w:rsid w:val="00795081"/>
    <w:rsid w:val="007952C7"/>
    <w:rsid w:val="00796034"/>
    <w:rsid w:val="007A0E43"/>
    <w:rsid w:val="007A5319"/>
    <w:rsid w:val="007A7EF1"/>
    <w:rsid w:val="007B2A84"/>
    <w:rsid w:val="007C2AE4"/>
    <w:rsid w:val="007C66D2"/>
    <w:rsid w:val="007D3DC6"/>
    <w:rsid w:val="007D68A5"/>
    <w:rsid w:val="007F6C55"/>
    <w:rsid w:val="007F71D3"/>
    <w:rsid w:val="00800F4A"/>
    <w:rsid w:val="00802B0A"/>
    <w:rsid w:val="008061D3"/>
    <w:rsid w:val="0080672E"/>
    <w:rsid w:val="008068DA"/>
    <w:rsid w:val="008068EC"/>
    <w:rsid w:val="00810823"/>
    <w:rsid w:val="00813D04"/>
    <w:rsid w:val="0081414C"/>
    <w:rsid w:val="00820914"/>
    <w:rsid w:val="008247D9"/>
    <w:rsid w:val="00826C3A"/>
    <w:rsid w:val="00832896"/>
    <w:rsid w:val="00840117"/>
    <w:rsid w:val="00843C8F"/>
    <w:rsid w:val="00844290"/>
    <w:rsid w:val="00844507"/>
    <w:rsid w:val="00846F1B"/>
    <w:rsid w:val="008472B1"/>
    <w:rsid w:val="00857654"/>
    <w:rsid w:val="00857B62"/>
    <w:rsid w:val="00862EBB"/>
    <w:rsid w:val="008631DD"/>
    <w:rsid w:val="0086392E"/>
    <w:rsid w:val="008703DB"/>
    <w:rsid w:val="00872CE4"/>
    <w:rsid w:val="00877E4D"/>
    <w:rsid w:val="00880D74"/>
    <w:rsid w:val="00881BAB"/>
    <w:rsid w:val="00881D84"/>
    <w:rsid w:val="0088254B"/>
    <w:rsid w:val="00884BA6"/>
    <w:rsid w:val="008858F6"/>
    <w:rsid w:val="00892DE8"/>
    <w:rsid w:val="008A4525"/>
    <w:rsid w:val="008A4B8E"/>
    <w:rsid w:val="008A6628"/>
    <w:rsid w:val="008B1D39"/>
    <w:rsid w:val="008B5573"/>
    <w:rsid w:val="008B6942"/>
    <w:rsid w:val="008B6CBB"/>
    <w:rsid w:val="008C209A"/>
    <w:rsid w:val="008C24AF"/>
    <w:rsid w:val="008C6135"/>
    <w:rsid w:val="008C7C29"/>
    <w:rsid w:val="008D4D12"/>
    <w:rsid w:val="008D5387"/>
    <w:rsid w:val="008F1D6D"/>
    <w:rsid w:val="008F38B6"/>
    <w:rsid w:val="008F3ED0"/>
    <w:rsid w:val="008F4D77"/>
    <w:rsid w:val="008F4E54"/>
    <w:rsid w:val="008F6AA2"/>
    <w:rsid w:val="00900116"/>
    <w:rsid w:val="009066BD"/>
    <w:rsid w:val="00906C2A"/>
    <w:rsid w:val="0091002A"/>
    <w:rsid w:val="00910B36"/>
    <w:rsid w:val="00913858"/>
    <w:rsid w:val="0091776B"/>
    <w:rsid w:val="00917C51"/>
    <w:rsid w:val="009209E8"/>
    <w:rsid w:val="00920BBA"/>
    <w:rsid w:val="00922592"/>
    <w:rsid w:val="00925B9C"/>
    <w:rsid w:val="00926CDD"/>
    <w:rsid w:val="00926EE7"/>
    <w:rsid w:val="009324FE"/>
    <w:rsid w:val="00933150"/>
    <w:rsid w:val="0093334D"/>
    <w:rsid w:val="009337D4"/>
    <w:rsid w:val="0093727B"/>
    <w:rsid w:val="0094041C"/>
    <w:rsid w:val="0094055B"/>
    <w:rsid w:val="00941545"/>
    <w:rsid w:val="00942790"/>
    <w:rsid w:val="009437A7"/>
    <w:rsid w:val="00946789"/>
    <w:rsid w:val="009500C5"/>
    <w:rsid w:val="009546B7"/>
    <w:rsid w:val="00955047"/>
    <w:rsid w:val="00955238"/>
    <w:rsid w:val="009561D2"/>
    <w:rsid w:val="00960EB0"/>
    <w:rsid w:val="009613A3"/>
    <w:rsid w:val="0096147D"/>
    <w:rsid w:val="00962876"/>
    <w:rsid w:val="00965552"/>
    <w:rsid w:val="0096574A"/>
    <w:rsid w:val="0096617A"/>
    <w:rsid w:val="00967345"/>
    <w:rsid w:val="009700E7"/>
    <w:rsid w:val="0097378B"/>
    <w:rsid w:val="00975775"/>
    <w:rsid w:val="00981749"/>
    <w:rsid w:val="009840B0"/>
    <w:rsid w:val="00984531"/>
    <w:rsid w:val="00985D50"/>
    <w:rsid w:val="009869E5"/>
    <w:rsid w:val="00990BDD"/>
    <w:rsid w:val="00991F92"/>
    <w:rsid w:val="009930AE"/>
    <w:rsid w:val="00994368"/>
    <w:rsid w:val="009960AD"/>
    <w:rsid w:val="009A089A"/>
    <w:rsid w:val="009A456E"/>
    <w:rsid w:val="009A6799"/>
    <w:rsid w:val="009A693B"/>
    <w:rsid w:val="009A7284"/>
    <w:rsid w:val="009B074B"/>
    <w:rsid w:val="009B0A3E"/>
    <w:rsid w:val="009C7FD8"/>
    <w:rsid w:val="009D05BF"/>
    <w:rsid w:val="009D2432"/>
    <w:rsid w:val="009D2FB9"/>
    <w:rsid w:val="009E4C1C"/>
    <w:rsid w:val="009F064F"/>
    <w:rsid w:val="009F11C8"/>
    <w:rsid w:val="009F15EF"/>
    <w:rsid w:val="009F24D1"/>
    <w:rsid w:val="00A00917"/>
    <w:rsid w:val="00A01EFD"/>
    <w:rsid w:val="00A027FA"/>
    <w:rsid w:val="00A04B51"/>
    <w:rsid w:val="00A068B7"/>
    <w:rsid w:val="00A142A4"/>
    <w:rsid w:val="00A15CC2"/>
    <w:rsid w:val="00A17158"/>
    <w:rsid w:val="00A20856"/>
    <w:rsid w:val="00A319A4"/>
    <w:rsid w:val="00A320D2"/>
    <w:rsid w:val="00A33BCD"/>
    <w:rsid w:val="00A33EC9"/>
    <w:rsid w:val="00A35C1B"/>
    <w:rsid w:val="00A377F1"/>
    <w:rsid w:val="00A40087"/>
    <w:rsid w:val="00A41CA5"/>
    <w:rsid w:val="00A42CD8"/>
    <w:rsid w:val="00A46BC3"/>
    <w:rsid w:val="00A5628D"/>
    <w:rsid w:val="00A57C84"/>
    <w:rsid w:val="00A648D2"/>
    <w:rsid w:val="00A648FB"/>
    <w:rsid w:val="00A65899"/>
    <w:rsid w:val="00A665B8"/>
    <w:rsid w:val="00A841E3"/>
    <w:rsid w:val="00A85680"/>
    <w:rsid w:val="00A920ED"/>
    <w:rsid w:val="00A93030"/>
    <w:rsid w:val="00A97447"/>
    <w:rsid w:val="00AA0C7F"/>
    <w:rsid w:val="00AA1E25"/>
    <w:rsid w:val="00AA65EF"/>
    <w:rsid w:val="00AB07FC"/>
    <w:rsid w:val="00AB0BCB"/>
    <w:rsid w:val="00AB706C"/>
    <w:rsid w:val="00AB7635"/>
    <w:rsid w:val="00AB7D40"/>
    <w:rsid w:val="00AC1089"/>
    <w:rsid w:val="00AC169A"/>
    <w:rsid w:val="00AC17BD"/>
    <w:rsid w:val="00AC7076"/>
    <w:rsid w:val="00AD0858"/>
    <w:rsid w:val="00AD159E"/>
    <w:rsid w:val="00AD3FA3"/>
    <w:rsid w:val="00AD5B62"/>
    <w:rsid w:val="00AE07D2"/>
    <w:rsid w:val="00AE2A86"/>
    <w:rsid w:val="00AE2F7F"/>
    <w:rsid w:val="00AE5DE1"/>
    <w:rsid w:val="00AF35AE"/>
    <w:rsid w:val="00B12CAE"/>
    <w:rsid w:val="00B12DA9"/>
    <w:rsid w:val="00B1771E"/>
    <w:rsid w:val="00B20979"/>
    <w:rsid w:val="00B20B9D"/>
    <w:rsid w:val="00B20CA6"/>
    <w:rsid w:val="00B23297"/>
    <w:rsid w:val="00B24130"/>
    <w:rsid w:val="00B3066F"/>
    <w:rsid w:val="00B32FDE"/>
    <w:rsid w:val="00B3485C"/>
    <w:rsid w:val="00B3551C"/>
    <w:rsid w:val="00B42A8F"/>
    <w:rsid w:val="00B455A2"/>
    <w:rsid w:val="00B476A0"/>
    <w:rsid w:val="00B55DD4"/>
    <w:rsid w:val="00B60996"/>
    <w:rsid w:val="00B6151D"/>
    <w:rsid w:val="00B617D3"/>
    <w:rsid w:val="00B61E94"/>
    <w:rsid w:val="00B628A3"/>
    <w:rsid w:val="00B64F32"/>
    <w:rsid w:val="00B65DD7"/>
    <w:rsid w:val="00B66B82"/>
    <w:rsid w:val="00B7678B"/>
    <w:rsid w:val="00B76B5B"/>
    <w:rsid w:val="00B8263F"/>
    <w:rsid w:val="00B836E8"/>
    <w:rsid w:val="00B83FBC"/>
    <w:rsid w:val="00B841A4"/>
    <w:rsid w:val="00B86E62"/>
    <w:rsid w:val="00B871DD"/>
    <w:rsid w:val="00B87D69"/>
    <w:rsid w:val="00B95726"/>
    <w:rsid w:val="00B9653B"/>
    <w:rsid w:val="00BA1954"/>
    <w:rsid w:val="00BB33FE"/>
    <w:rsid w:val="00BB5C5F"/>
    <w:rsid w:val="00BB612A"/>
    <w:rsid w:val="00BC4F1B"/>
    <w:rsid w:val="00BC6714"/>
    <w:rsid w:val="00BC6F1B"/>
    <w:rsid w:val="00BC7668"/>
    <w:rsid w:val="00BD1FA5"/>
    <w:rsid w:val="00BD2812"/>
    <w:rsid w:val="00BD6949"/>
    <w:rsid w:val="00BD7715"/>
    <w:rsid w:val="00BE4B8D"/>
    <w:rsid w:val="00BE4D08"/>
    <w:rsid w:val="00BE5EB9"/>
    <w:rsid w:val="00BF0B2C"/>
    <w:rsid w:val="00BF0C97"/>
    <w:rsid w:val="00BF28EC"/>
    <w:rsid w:val="00BF51F6"/>
    <w:rsid w:val="00C0021F"/>
    <w:rsid w:val="00C02BD8"/>
    <w:rsid w:val="00C02D9A"/>
    <w:rsid w:val="00C0594E"/>
    <w:rsid w:val="00C076E0"/>
    <w:rsid w:val="00C12240"/>
    <w:rsid w:val="00C138B2"/>
    <w:rsid w:val="00C13F57"/>
    <w:rsid w:val="00C17074"/>
    <w:rsid w:val="00C1758E"/>
    <w:rsid w:val="00C21672"/>
    <w:rsid w:val="00C22755"/>
    <w:rsid w:val="00C25A54"/>
    <w:rsid w:val="00C27F57"/>
    <w:rsid w:val="00C31656"/>
    <w:rsid w:val="00C31F14"/>
    <w:rsid w:val="00C34FE2"/>
    <w:rsid w:val="00C36041"/>
    <w:rsid w:val="00C36B8D"/>
    <w:rsid w:val="00C402C9"/>
    <w:rsid w:val="00C418DE"/>
    <w:rsid w:val="00C42124"/>
    <w:rsid w:val="00C45F5C"/>
    <w:rsid w:val="00C466A2"/>
    <w:rsid w:val="00C46AF0"/>
    <w:rsid w:val="00C479FE"/>
    <w:rsid w:val="00C47EB3"/>
    <w:rsid w:val="00C503C8"/>
    <w:rsid w:val="00C50B1D"/>
    <w:rsid w:val="00C53ADD"/>
    <w:rsid w:val="00C55AE6"/>
    <w:rsid w:val="00C57197"/>
    <w:rsid w:val="00C61B4D"/>
    <w:rsid w:val="00C62E07"/>
    <w:rsid w:val="00C70F4F"/>
    <w:rsid w:val="00C840F2"/>
    <w:rsid w:val="00C859E8"/>
    <w:rsid w:val="00C9122B"/>
    <w:rsid w:val="00C9683B"/>
    <w:rsid w:val="00CA0EF6"/>
    <w:rsid w:val="00CA31DB"/>
    <w:rsid w:val="00CB26B0"/>
    <w:rsid w:val="00CC14F9"/>
    <w:rsid w:val="00CC1C56"/>
    <w:rsid w:val="00CC6509"/>
    <w:rsid w:val="00CD144D"/>
    <w:rsid w:val="00CD2724"/>
    <w:rsid w:val="00CD33AB"/>
    <w:rsid w:val="00CD5E71"/>
    <w:rsid w:val="00CF1C70"/>
    <w:rsid w:val="00CF1F65"/>
    <w:rsid w:val="00CF291C"/>
    <w:rsid w:val="00CF4B54"/>
    <w:rsid w:val="00D060F5"/>
    <w:rsid w:val="00D06613"/>
    <w:rsid w:val="00D119E0"/>
    <w:rsid w:val="00D1210A"/>
    <w:rsid w:val="00D12679"/>
    <w:rsid w:val="00D1395D"/>
    <w:rsid w:val="00D13FCC"/>
    <w:rsid w:val="00D15B9A"/>
    <w:rsid w:val="00D15D80"/>
    <w:rsid w:val="00D17C21"/>
    <w:rsid w:val="00D17D8C"/>
    <w:rsid w:val="00D2223C"/>
    <w:rsid w:val="00D2599B"/>
    <w:rsid w:val="00D26793"/>
    <w:rsid w:val="00D27953"/>
    <w:rsid w:val="00D327BA"/>
    <w:rsid w:val="00D334C0"/>
    <w:rsid w:val="00D33952"/>
    <w:rsid w:val="00D36619"/>
    <w:rsid w:val="00D42042"/>
    <w:rsid w:val="00D450F4"/>
    <w:rsid w:val="00D45431"/>
    <w:rsid w:val="00D50730"/>
    <w:rsid w:val="00D50E97"/>
    <w:rsid w:val="00D51BE0"/>
    <w:rsid w:val="00D65F39"/>
    <w:rsid w:val="00D66479"/>
    <w:rsid w:val="00D756B0"/>
    <w:rsid w:val="00D7654E"/>
    <w:rsid w:val="00D777A5"/>
    <w:rsid w:val="00D803AB"/>
    <w:rsid w:val="00D85475"/>
    <w:rsid w:val="00D87DC8"/>
    <w:rsid w:val="00D9044D"/>
    <w:rsid w:val="00D90F3B"/>
    <w:rsid w:val="00D94EB2"/>
    <w:rsid w:val="00D961BF"/>
    <w:rsid w:val="00DA2563"/>
    <w:rsid w:val="00DA380B"/>
    <w:rsid w:val="00DB171F"/>
    <w:rsid w:val="00DB50E6"/>
    <w:rsid w:val="00DB7459"/>
    <w:rsid w:val="00DC499D"/>
    <w:rsid w:val="00DC6B9D"/>
    <w:rsid w:val="00DC7034"/>
    <w:rsid w:val="00DD5A57"/>
    <w:rsid w:val="00DD75E2"/>
    <w:rsid w:val="00DE28A4"/>
    <w:rsid w:val="00DE29C3"/>
    <w:rsid w:val="00DF29E0"/>
    <w:rsid w:val="00DF3562"/>
    <w:rsid w:val="00E0297A"/>
    <w:rsid w:val="00E05CD7"/>
    <w:rsid w:val="00E06DA4"/>
    <w:rsid w:val="00E121FC"/>
    <w:rsid w:val="00E1224E"/>
    <w:rsid w:val="00E14149"/>
    <w:rsid w:val="00E14A89"/>
    <w:rsid w:val="00E17D40"/>
    <w:rsid w:val="00E27F9E"/>
    <w:rsid w:val="00E311A1"/>
    <w:rsid w:val="00E34833"/>
    <w:rsid w:val="00E34FF9"/>
    <w:rsid w:val="00E37B70"/>
    <w:rsid w:val="00E40272"/>
    <w:rsid w:val="00E412C0"/>
    <w:rsid w:val="00E41690"/>
    <w:rsid w:val="00E4229F"/>
    <w:rsid w:val="00E4570B"/>
    <w:rsid w:val="00E45AB6"/>
    <w:rsid w:val="00E50150"/>
    <w:rsid w:val="00E53FDA"/>
    <w:rsid w:val="00E56EAE"/>
    <w:rsid w:val="00E57B36"/>
    <w:rsid w:val="00E6386B"/>
    <w:rsid w:val="00E641BC"/>
    <w:rsid w:val="00E6511F"/>
    <w:rsid w:val="00E656AA"/>
    <w:rsid w:val="00E6785B"/>
    <w:rsid w:val="00E67BB4"/>
    <w:rsid w:val="00E705A5"/>
    <w:rsid w:val="00E71356"/>
    <w:rsid w:val="00E715AA"/>
    <w:rsid w:val="00E73851"/>
    <w:rsid w:val="00E74A59"/>
    <w:rsid w:val="00E74FD6"/>
    <w:rsid w:val="00E761CC"/>
    <w:rsid w:val="00E76A25"/>
    <w:rsid w:val="00E80DD8"/>
    <w:rsid w:val="00E8351B"/>
    <w:rsid w:val="00E847F7"/>
    <w:rsid w:val="00E87230"/>
    <w:rsid w:val="00E872AD"/>
    <w:rsid w:val="00E87666"/>
    <w:rsid w:val="00E9078D"/>
    <w:rsid w:val="00E912E2"/>
    <w:rsid w:val="00E92B97"/>
    <w:rsid w:val="00E93AE3"/>
    <w:rsid w:val="00E94C05"/>
    <w:rsid w:val="00E96D5C"/>
    <w:rsid w:val="00EA1744"/>
    <w:rsid w:val="00EA585D"/>
    <w:rsid w:val="00EA75E3"/>
    <w:rsid w:val="00EC22AB"/>
    <w:rsid w:val="00EC767D"/>
    <w:rsid w:val="00ED3CA9"/>
    <w:rsid w:val="00ED7DB6"/>
    <w:rsid w:val="00EE1040"/>
    <w:rsid w:val="00EE2F7B"/>
    <w:rsid w:val="00EE34DE"/>
    <w:rsid w:val="00EE62CD"/>
    <w:rsid w:val="00EF0DD2"/>
    <w:rsid w:val="00F00A1D"/>
    <w:rsid w:val="00F046AF"/>
    <w:rsid w:val="00F077F5"/>
    <w:rsid w:val="00F10359"/>
    <w:rsid w:val="00F110EC"/>
    <w:rsid w:val="00F141A0"/>
    <w:rsid w:val="00F1438C"/>
    <w:rsid w:val="00F21F0C"/>
    <w:rsid w:val="00F2452B"/>
    <w:rsid w:val="00F31749"/>
    <w:rsid w:val="00F3403B"/>
    <w:rsid w:val="00F37DC2"/>
    <w:rsid w:val="00F41097"/>
    <w:rsid w:val="00F4197F"/>
    <w:rsid w:val="00F42B8A"/>
    <w:rsid w:val="00F5283D"/>
    <w:rsid w:val="00F52D03"/>
    <w:rsid w:val="00F601B8"/>
    <w:rsid w:val="00F61283"/>
    <w:rsid w:val="00F65CFD"/>
    <w:rsid w:val="00F6738F"/>
    <w:rsid w:val="00F7367D"/>
    <w:rsid w:val="00F85A84"/>
    <w:rsid w:val="00F94DA0"/>
    <w:rsid w:val="00F95580"/>
    <w:rsid w:val="00F979A3"/>
    <w:rsid w:val="00FA6BE0"/>
    <w:rsid w:val="00FA72A6"/>
    <w:rsid w:val="00FB3072"/>
    <w:rsid w:val="00FB5939"/>
    <w:rsid w:val="00FB5EA4"/>
    <w:rsid w:val="00FC3E48"/>
    <w:rsid w:val="00FC6F7D"/>
    <w:rsid w:val="00FD0E95"/>
    <w:rsid w:val="00FD53B3"/>
    <w:rsid w:val="00FE2F34"/>
    <w:rsid w:val="00FF0763"/>
    <w:rsid w:val="00FF2520"/>
    <w:rsid w:val="00FF2E08"/>
    <w:rsid w:val="00FF4215"/>
    <w:rsid w:val="00FF4C85"/>
    <w:rsid w:val="00FF7BA0"/>
    <w:rsid w:val="01B144DB"/>
    <w:rsid w:val="01C118D6"/>
    <w:rsid w:val="03382E42"/>
    <w:rsid w:val="059F5901"/>
    <w:rsid w:val="05EE08A6"/>
    <w:rsid w:val="060362E5"/>
    <w:rsid w:val="06053567"/>
    <w:rsid w:val="06346CCF"/>
    <w:rsid w:val="076B2ED5"/>
    <w:rsid w:val="09DE2375"/>
    <w:rsid w:val="0B1E2C34"/>
    <w:rsid w:val="0C940DCC"/>
    <w:rsid w:val="0E2D4362"/>
    <w:rsid w:val="0F040128"/>
    <w:rsid w:val="11FD4DC6"/>
    <w:rsid w:val="15B4381B"/>
    <w:rsid w:val="16AE5A9E"/>
    <w:rsid w:val="1A224E85"/>
    <w:rsid w:val="1BD74200"/>
    <w:rsid w:val="1E46112C"/>
    <w:rsid w:val="1EC04283"/>
    <w:rsid w:val="202855B7"/>
    <w:rsid w:val="24F9229C"/>
    <w:rsid w:val="25F60A7C"/>
    <w:rsid w:val="263B3479"/>
    <w:rsid w:val="28E17195"/>
    <w:rsid w:val="2A4B1A17"/>
    <w:rsid w:val="2B332017"/>
    <w:rsid w:val="2C450206"/>
    <w:rsid w:val="30E97669"/>
    <w:rsid w:val="31411253"/>
    <w:rsid w:val="327B424B"/>
    <w:rsid w:val="355253D3"/>
    <w:rsid w:val="375F39A4"/>
    <w:rsid w:val="37EC1233"/>
    <w:rsid w:val="39287D90"/>
    <w:rsid w:val="3A09365C"/>
    <w:rsid w:val="3B631E67"/>
    <w:rsid w:val="3CF52F92"/>
    <w:rsid w:val="3D395612"/>
    <w:rsid w:val="3E594F24"/>
    <w:rsid w:val="3F954E07"/>
    <w:rsid w:val="41F970AF"/>
    <w:rsid w:val="43FE64BF"/>
    <w:rsid w:val="445204DB"/>
    <w:rsid w:val="459C7A80"/>
    <w:rsid w:val="4706543A"/>
    <w:rsid w:val="47CE32B6"/>
    <w:rsid w:val="48773E13"/>
    <w:rsid w:val="489C2A90"/>
    <w:rsid w:val="4920007B"/>
    <w:rsid w:val="4ABC7100"/>
    <w:rsid w:val="4CED6D8E"/>
    <w:rsid w:val="4EAC1CF1"/>
    <w:rsid w:val="4F877332"/>
    <w:rsid w:val="50F75BD0"/>
    <w:rsid w:val="55F3788E"/>
    <w:rsid w:val="567A71AE"/>
    <w:rsid w:val="57926797"/>
    <w:rsid w:val="58B60FBE"/>
    <w:rsid w:val="59480F28"/>
    <w:rsid w:val="5F260928"/>
    <w:rsid w:val="5F741449"/>
    <w:rsid w:val="5FBD4F1B"/>
    <w:rsid w:val="61EB16DE"/>
    <w:rsid w:val="62C96900"/>
    <w:rsid w:val="63631F1B"/>
    <w:rsid w:val="6612673F"/>
    <w:rsid w:val="662A3668"/>
    <w:rsid w:val="676C00A2"/>
    <w:rsid w:val="68BF36FA"/>
    <w:rsid w:val="6B560B29"/>
    <w:rsid w:val="6E7A0854"/>
    <w:rsid w:val="6E861549"/>
    <w:rsid w:val="70D84ECE"/>
    <w:rsid w:val="714312DA"/>
    <w:rsid w:val="71DB48C3"/>
    <w:rsid w:val="76B61C21"/>
    <w:rsid w:val="77DC0142"/>
    <w:rsid w:val="78AD4C99"/>
    <w:rsid w:val="7DF376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0"/>
    <w:qFormat/>
    <w:uiPriority w:val="0"/>
    <w:pPr>
      <w:keepNext/>
      <w:widowControl/>
      <w:spacing w:before="340" w:after="330" w:line="576" w:lineRule="auto"/>
      <w:jc w:val="center"/>
      <w:outlineLvl w:val="0"/>
    </w:pPr>
    <w:rPr>
      <w:rFonts w:ascii="???" w:hAnsi="???" w:eastAsia="宋体" w:cs="Arial"/>
      <w:b/>
      <w:bCs/>
      <w:color w:val="020000"/>
      <w:kern w:val="36"/>
      <w:sz w:val="44"/>
      <w:szCs w:val="44"/>
    </w:rPr>
  </w:style>
  <w:style w:type="paragraph" w:styleId="4">
    <w:name w:val="heading 2"/>
    <w:basedOn w:val="1"/>
    <w:next w:val="1"/>
    <w:link w:val="61"/>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5">
    <w:name w:val="heading 3"/>
    <w:basedOn w:val="1"/>
    <w:next w:val="1"/>
    <w:link w:val="62"/>
    <w:qFormat/>
    <w:uiPriority w:val="0"/>
    <w:pPr>
      <w:keepNext/>
      <w:widowControl/>
      <w:spacing w:before="260" w:after="260" w:line="412" w:lineRule="auto"/>
      <w:outlineLvl w:val="2"/>
    </w:pPr>
    <w:rPr>
      <w:rFonts w:ascii="??" w:hAnsi="??" w:eastAsia="宋体" w:cs="Arial"/>
      <w:b/>
      <w:bCs/>
      <w:color w:val="000000"/>
      <w:kern w:val="0"/>
      <w:sz w:val="32"/>
      <w:szCs w:val="32"/>
    </w:rPr>
  </w:style>
  <w:style w:type="paragraph" w:styleId="6">
    <w:name w:val="heading 4"/>
    <w:basedOn w:val="1"/>
    <w:next w:val="7"/>
    <w:link w:val="205"/>
    <w:qFormat/>
    <w:uiPriority w:val="0"/>
    <w:pPr>
      <w:keepNext/>
      <w:keepLines/>
      <w:spacing w:before="280" w:after="290" w:line="376" w:lineRule="auto"/>
      <w:outlineLvl w:val="3"/>
    </w:pPr>
    <w:rPr>
      <w:rFonts w:ascii="Arial" w:hAnsi="Arial" w:eastAsia="黑体" w:cs="Times New Roman"/>
      <w:b/>
      <w:sz w:val="28"/>
      <w:szCs w:val="20"/>
    </w:rPr>
  </w:style>
  <w:style w:type="paragraph" w:styleId="8">
    <w:name w:val="heading 5"/>
    <w:basedOn w:val="1"/>
    <w:next w:val="7"/>
    <w:link w:val="206"/>
    <w:qFormat/>
    <w:uiPriority w:val="0"/>
    <w:pPr>
      <w:keepNext/>
      <w:keepLines/>
      <w:spacing w:before="280" w:after="290" w:line="376" w:lineRule="auto"/>
      <w:outlineLvl w:val="4"/>
    </w:pPr>
    <w:rPr>
      <w:rFonts w:ascii="Times New Roman" w:hAnsi="Times New Roman" w:eastAsia="宋体" w:cs="Times New Roman"/>
      <w:b/>
      <w:sz w:val="28"/>
      <w:szCs w:val="20"/>
    </w:rPr>
  </w:style>
  <w:style w:type="paragraph" w:styleId="9">
    <w:name w:val="heading 6"/>
    <w:basedOn w:val="1"/>
    <w:next w:val="7"/>
    <w:link w:val="207"/>
    <w:qFormat/>
    <w:uiPriority w:val="0"/>
    <w:pPr>
      <w:keepNext/>
      <w:keepLines/>
      <w:spacing w:before="240" w:after="64" w:line="320" w:lineRule="auto"/>
      <w:outlineLvl w:val="5"/>
    </w:pPr>
    <w:rPr>
      <w:rFonts w:ascii="Arial" w:hAnsi="Arial" w:eastAsia="黑体" w:cs="Times New Roman"/>
      <w:b/>
      <w:sz w:val="24"/>
      <w:szCs w:val="20"/>
    </w:rPr>
  </w:style>
  <w:style w:type="paragraph" w:styleId="10">
    <w:name w:val="heading 7"/>
    <w:basedOn w:val="1"/>
    <w:next w:val="7"/>
    <w:link w:val="208"/>
    <w:qFormat/>
    <w:uiPriority w:val="0"/>
    <w:pPr>
      <w:keepNext/>
      <w:keepLines/>
      <w:spacing w:before="240" w:after="64" w:line="320" w:lineRule="auto"/>
      <w:outlineLvl w:val="6"/>
    </w:pPr>
    <w:rPr>
      <w:rFonts w:ascii="Times New Roman" w:hAnsi="Times New Roman" w:eastAsia="宋体" w:cs="Times New Roman"/>
      <w:b/>
      <w:sz w:val="24"/>
      <w:szCs w:val="20"/>
    </w:rPr>
  </w:style>
  <w:style w:type="paragraph" w:styleId="11">
    <w:name w:val="heading 8"/>
    <w:basedOn w:val="1"/>
    <w:next w:val="7"/>
    <w:link w:val="209"/>
    <w:qFormat/>
    <w:uiPriority w:val="0"/>
    <w:pPr>
      <w:keepNext/>
      <w:keepLines/>
      <w:spacing w:before="240" w:after="64" w:line="320" w:lineRule="auto"/>
      <w:outlineLvl w:val="7"/>
    </w:pPr>
    <w:rPr>
      <w:rFonts w:ascii="Arial" w:hAnsi="Arial" w:eastAsia="黑体" w:cs="Times New Roman"/>
      <w:sz w:val="24"/>
      <w:szCs w:val="20"/>
    </w:rPr>
  </w:style>
  <w:style w:type="paragraph" w:styleId="12">
    <w:name w:val="heading 9"/>
    <w:basedOn w:val="1"/>
    <w:next w:val="7"/>
    <w:link w:val="210"/>
    <w:qFormat/>
    <w:uiPriority w:val="0"/>
    <w:pPr>
      <w:keepNext/>
      <w:keepLines/>
      <w:spacing w:before="240" w:after="64" w:line="320" w:lineRule="auto"/>
      <w:outlineLvl w:val="8"/>
    </w:pPr>
    <w:rPr>
      <w:rFonts w:ascii="Arial" w:hAnsi="Arial" w:eastAsia="黑体" w:cs="Times New Roman"/>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4"/>
    <w:qFormat/>
    <w:uiPriority w:val="0"/>
    <w:pPr>
      <w:spacing w:after="120"/>
    </w:pPr>
    <w:rPr>
      <w:rFonts w:ascii="Calibri" w:hAnsi="Calibri" w:eastAsia="宋体" w:cs="Times New Roman"/>
      <w:kern w:val="0"/>
      <w:sz w:val="24"/>
      <w:szCs w:val="20"/>
    </w:rPr>
  </w:style>
  <w:style w:type="paragraph" w:styleId="7">
    <w:name w:val="Normal Indent"/>
    <w:basedOn w:val="1"/>
    <w:link w:val="113"/>
    <w:qFormat/>
    <w:uiPriority w:val="99"/>
    <w:pPr>
      <w:ind w:firstLine="420" w:firstLineChars="200"/>
    </w:pPr>
    <w:rPr>
      <w:rFonts w:ascii="Times New Roman" w:hAnsi="Times New Roman" w:eastAsia="宋体" w:cs="Times New Roman"/>
      <w:kern w:val="0"/>
      <w:sz w:val="24"/>
      <w:szCs w:val="20"/>
    </w:rPr>
  </w:style>
  <w:style w:type="paragraph" w:styleId="13">
    <w:name w:val="toc 7"/>
    <w:basedOn w:val="1"/>
    <w:next w:val="1"/>
    <w:qFormat/>
    <w:uiPriority w:val="0"/>
    <w:pPr>
      <w:ind w:left="2520" w:leftChars="1200"/>
    </w:pPr>
    <w:rPr>
      <w:rFonts w:ascii="Times New Roman" w:hAnsi="Times New Roman" w:eastAsia="宋体" w:cs="Times New Roman"/>
      <w:szCs w:val="24"/>
    </w:rPr>
  </w:style>
  <w:style w:type="paragraph" w:styleId="14">
    <w:name w:val="List Numb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5">
    <w:name w:val="Document Map"/>
    <w:basedOn w:val="1"/>
    <w:link w:val="131"/>
    <w:qFormat/>
    <w:uiPriority w:val="0"/>
    <w:rPr>
      <w:rFonts w:ascii="宋体" w:hAnsi="Calibri" w:eastAsia="宋体" w:cs="Times New Roman"/>
      <w:kern w:val="0"/>
      <w:sz w:val="18"/>
      <w:szCs w:val="20"/>
    </w:rPr>
  </w:style>
  <w:style w:type="paragraph" w:styleId="16">
    <w:name w:val="annotation text"/>
    <w:basedOn w:val="1"/>
    <w:link w:val="159"/>
    <w:qFormat/>
    <w:uiPriority w:val="0"/>
    <w:pPr>
      <w:jc w:val="left"/>
    </w:pPr>
  </w:style>
  <w:style w:type="paragraph" w:styleId="17">
    <w:name w:val="Body Text Indent"/>
    <w:basedOn w:val="1"/>
    <w:link w:val="65"/>
    <w:qFormat/>
    <w:uiPriority w:val="0"/>
    <w:pPr>
      <w:widowControl/>
      <w:spacing w:after="120"/>
      <w:ind w:left="420"/>
    </w:pPr>
    <w:rPr>
      <w:rFonts w:ascii="??" w:hAnsi="??" w:eastAsia="宋体" w:cs="Arial"/>
      <w:kern w:val="0"/>
      <w:sz w:val="24"/>
      <w:szCs w:val="24"/>
    </w:rPr>
  </w:style>
  <w:style w:type="paragraph" w:styleId="18">
    <w:name w:val="List 2"/>
    <w:basedOn w:val="1"/>
    <w:unhideWhenUsed/>
    <w:qFormat/>
    <w:uiPriority w:val="99"/>
    <w:pPr>
      <w:ind w:left="100" w:leftChars="200" w:hanging="200" w:hangingChars="200"/>
      <w:contextualSpacing/>
    </w:pPr>
  </w:style>
  <w:style w:type="paragraph" w:styleId="19">
    <w:name w:val="toc 5"/>
    <w:basedOn w:val="1"/>
    <w:next w:val="1"/>
    <w:qFormat/>
    <w:uiPriority w:val="0"/>
    <w:pPr>
      <w:ind w:left="1680" w:leftChars="800"/>
    </w:pPr>
    <w:rPr>
      <w:rFonts w:ascii="Times New Roman" w:hAnsi="Times New Roman" w:eastAsia="宋体" w:cs="Times New Roman"/>
      <w:szCs w:val="24"/>
    </w:rPr>
  </w:style>
  <w:style w:type="paragraph" w:styleId="20">
    <w:name w:val="toc 3"/>
    <w:basedOn w:val="1"/>
    <w:next w:val="1"/>
    <w:qFormat/>
    <w:uiPriority w:val="39"/>
    <w:pPr>
      <w:ind w:left="840" w:leftChars="400"/>
    </w:pPr>
    <w:rPr>
      <w:rFonts w:ascii="Times New Roman" w:hAnsi="Times New Roman" w:eastAsia="宋体" w:cs="Times New Roman"/>
      <w:szCs w:val="24"/>
    </w:rPr>
  </w:style>
  <w:style w:type="paragraph" w:styleId="21">
    <w:name w:val="Plain Text"/>
    <w:basedOn w:val="1"/>
    <w:link w:val="195"/>
    <w:qFormat/>
    <w:uiPriority w:val="99"/>
    <w:rPr>
      <w:rFonts w:ascii="宋体" w:hAnsi="Courier New" w:eastAsia="宋体"/>
      <w:szCs w:val="21"/>
    </w:rPr>
  </w:style>
  <w:style w:type="paragraph" w:styleId="22">
    <w:name w:val="toc 8"/>
    <w:basedOn w:val="1"/>
    <w:next w:val="1"/>
    <w:qFormat/>
    <w:uiPriority w:val="0"/>
    <w:pPr>
      <w:ind w:left="2940" w:leftChars="1400"/>
    </w:pPr>
    <w:rPr>
      <w:rFonts w:ascii="Times New Roman" w:hAnsi="Times New Roman" w:eastAsia="宋体" w:cs="Times New Roman"/>
      <w:szCs w:val="24"/>
    </w:rPr>
  </w:style>
  <w:style w:type="paragraph" w:styleId="23">
    <w:name w:val="Date"/>
    <w:basedOn w:val="1"/>
    <w:next w:val="1"/>
    <w:link w:val="154"/>
    <w:qFormat/>
    <w:uiPriority w:val="0"/>
    <w:rPr>
      <w:szCs w:val="21"/>
    </w:rPr>
  </w:style>
  <w:style w:type="paragraph" w:styleId="24">
    <w:name w:val="Body Text Indent 2"/>
    <w:basedOn w:val="1"/>
    <w:link w:val="127"/>
    <w:qFormat/>
    <w:uiPriority w:val="0"/>
    <w:pPr>
      <w:spacing w:before="100" w:beforeAutospacing="1" w:after="100" w:afterAutospacing="1" w:line="360" w:lineRule="auto"/>
      <w:ind w:firstLine="420"/>
    </w:pPr>
    <w:rPr>
      <w:rFonts w:ascii="宋体" w:hAnsi="Calibri" w:eastAsia="宋体" w:cs="Times New Roman"/>
      <w:kern w:val="0"/>
      <w:sz w:val="24"/>
      <w:szCs w:val="20"/>
    </w:rPr>
  </w:style>
  <w:style w:type="paragraph" w:styleId="25">
    <w:name w:val="Balloon Text"/>
    <w:basedOn w:val="1"/>
    <w:link w:val="77"/>
    <w:qFormat/>
    <w:uiPriority w:val="0"/>
    <w:rPr>
      <w:rFonts w:ascii="Calibri" w:hAnsi="Calibri" w:eastAsia="宋体" w:cs="Times New Roman"/>
      <w:sz w:val="18"/>
      <w:szCs w:val="18"/>
    </w:rPr>
  </w:style>
  <w:style w:type="paragraph" w:styleId="26">
    <w:name w:val="footer"/>
    <w:basedOn w:val="1"/>
    <w:link w:val="64"/>
    <w:qFormat/>
    <w:uiPriority w:val="0"/>
    <w:pPr>
      <w:tabs>
        <w:tab w:val="center" w:pos="4153"/>
        <w:tab w:val="right" w:pos="8306"/>
      </w:tabs>
      <w:snapToGrid w:val="0"/>
      <w:jc w:val="left"/>
    </w:pPr>
    <w:rPr>
      <w:rFonts w:ascii="Calibri" w:hAnsi="Calibri" w:eastAsia="宋体" w:cs="Times New Roman"/>
      <w:sz w:val="18"/>
      <w:szCs w:val="18"/>
    </w:rPr>
  </w:style>
  <w:style w:type="paragraph" w:styleId="27">
    <w:name w:val="header"/>
    <w:basedOn w:val="1"/>
    <w:link w:val="63"/>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8">
    <w:name w:val="toc 1"/>
    <w:basedOn w:val="1"/>
    <w:next w:val="1"/>
    <w:qFormat/>
    <w:uiPriority w:val="39"/>
    <w:rPr>
      <w:rFonts w:ascii="Times New Roman" w:hAnsi="Times New Roman" w:eastAsia="宋体" w:cs="Times New Roman"/>
      <w:szCs w:val="24"/>
    </w:rPr>
  </w:style>
  <w:style w:type="paragraph" w:styleId="29">
    <w:name w:val="toc 4"/>
    <w:basedOn w:val="1"/>
    <w:next w:val="1"/>
    <w:qFormat/>
    <w:uiPriority w:val="0"/>
    <w:pPr>
      <w:ind w:left="1260" w:leftChars="600"/>
    </w:pPr>
    <w:rPr>
      <w:rFonts w:ascii="Times New Roman" w:hAnsi="Times New Roman" w:eastAsia="宋体" w:cs="Times New Roman"/>
      <w:szCs w:val="24"/>
    </w:rPr>
  </w:style>
  <w:style w:type="paragraph" w:styleId="30">
    <w:name w:val="Subtitle"/>
    <w:basedOn w:val="1"/>
    <w:next w:val="1"/>
    <w:link w:val="269"/>
    <w:qFormat/>
    <w:uiPriority w:val="99"/>
    <w:pPr>
      <w:spacing w:line="312" w:lineRule="auto"/>
      <w:jc w:val="center"/>
      <w:outlineLvl w:val="1"/>
    </w:pPr>
    <w:rPr>
      <w:rFonts w:ascii="Cambria" w:hAnsi="Cambria" w:eastAsia="宋体" w:cs="宋体"/>
      <w:b/>
      <w:bCs/>
      <w:kern w:val="28"/>
      <w:sz w:val="32"/>
      <w:szCs w:val="32"/>
    </w:rPr>
  </w:style>
  <w:style w:type="paragraph" w:styleId="31">
    <w:name w:val="footnote text"/>
    <w:basedOn w:val="1"/>
    <w:link w:val="171"/>
    <w:qFormat/>
    <w:uiPriority w:val="0"/>
    <w:pPr>
      <w:snapToGrid w:val="0"/>
      <w:jc w:val="left"/>
    </w:pPr>
    <w:rPr>
      <w:rFonts w:ascii="Times New Roman" w:hAnsi="Times New Roman" w:eastAsia="宋体" w:cs="Times New Roman"/>
      <w:sz w:val="18"/>
      <w:szCs w:val="18"/>
    </w:rPr>
  </w:style>
  <w:style w:type="paragraph" w:styleId="32">
    <w:name w:val="toc 6"/>
    <w:basedOn w:val="1"/>
    <w:next w:val="1"/>
    <w:qFormat/>
    <w:uiPriority w:val="0"/>
    <w:pPr>
      <w:ind w:left="2100" w:leftChars="1000"/>
    </w:pPr>
    <w:rPr>
      <w:rFonts w:ascii="Times New Roman" w:hAnsi="Times New Roman" w:eastAsia="宋体" w:cs="Times New Roman"/>
      <w:szCs w:val="24"/>
    </w:rPr>
  </w:style>
  <w:style w:type="paragraph" w:styleId="33">
    <w:name w:val="Body Text Indent 3"/>
    <w:basedOn w:val="1"/>
    <w:link w:val="129"/>
    <w:qFormat/>
    <w:uiPriority w:val="0"/>
    <w:pPr>
      <w:spacing w:line="440" w:lineRule="exact"/>
      <w:ind w:firstLine="412" w:firstLineChars="200"/>
    </w:pPr>
    <w:rPr>
      <w:rFonts w:ascii="宋体" w:hAnsi="Calibri" w:eastAsia="宋体" w:cs="Times New Roman"/>
      <w:kern w:val="0"/>
      <w:sz w:val="20"/>
      <w:szCs w:val="20"/>
    </w:rPr>
  </w:style>
  <w:style w:type="paragraph" w:styleId="34">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35">
    <w:name w:val="toc 2"/>
    <w:basedOn w:val="1"/>
    <w:next w:val="1"/>
    <w:qFormat/>
    <w:uiPriority w:val="39"/>
    <w:pPr>
      <w:ind w:left="420" w:leftChars="200"/>
    </w:pPr>
    <w:rPr>
      <w:rFonts w:ascii="Times New Roman" w:hAnsi="Times New Roman" w:eastAsia="宋体" w:cs="Times New Roman"/>
      <w:szCs w:val="24"/>
    </w:rPr>
  </w:style>
  <w:style w:type="paragraph" w:styleId="36">
    <w:name w:val="toc 9"/>
    <w:basedOn w:val="1"/>
    <w:next w:val="1"/>
    <w:qFormat/>
    <w:uiPriority w:val="0"/>
    <w:pPr>
      <w:ind w:left="3360" w:leftChars="1600"/>
    </w:pPr>
    <w:rPr>
      <w:rFonts w:ascii="Times New Roman" w:hAnsi="Times New Roman" w:eastAsia="宋体" w:cs="Times New Roman"/>
      <w:szCs w:val="24"/>
    </w:rPr>
  </w:style>
  <w:style w:type="paragraph" w:styleId="37">
    <w:name w:val="List Continue 2"/>
    <w:basedOn w:val="1"/>
    <w:qFormat/>
    <w:uiPriority w:val="0"/>
    <w:pPr>
      <w:spacing w:after="120"/>
      <w:ind w:left="840" w:leftChars="400"/>
    </w:pPr>
    <w:rPr>
      <w:rFonts w:ascii="Times New Roman" w:hAnsi="Times New Roman" w:eastAsia="宋体" w:cs="Times New Roman"/>
      <w:szCs w:val="24"/>
    </w:rPr>
  </w:style>
  <w:style w:type="paragraph" w:styleId="38">
    <w:name w:val="HTML Preformatted"/>
    <w:basedOn w:val="1"/>
    <w:link w:val="2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39">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40">
    <w:name w:val="index 1"/>
    <w:basedOn w:val="1"/>
    <w:next w:val="1"/>
    <w:qFormat/>
    <w:uiPriority w:val="0"/>
    <w:pPr>
      <w:adjustRightInd w:val="0"/>
      <w:snapToGrid w:val="0"/>
      <w:spacing w:line="300" w:lineRule="exact"/>
    </w:pPr>
    <w:rPr>
      <w:rFonts w:ascii="宋体" w:hAnsi="宋体" w:eastAsia="宋体" w:cs="Times New Roman"/>
      <w:bCs/>
      <w:sz w:val="20"/>
      <w:szCs w:val="21"/>
    </w:rPr>
  </w:style>
  <w:style w:type="paragraph" w:styleId="41">
    <w:name w:val="Title"/>
    <w:basedOn w:val="1"/>
    <w:next w:val="1"/>
    <w:link w:val="157"/>
    <w:qFormat/>
    <w:uiPriority w:val="0"/>
    <w:pPr>
      <w:spacing w:before="240" w:after="60"/>
      <w:jc w:val="center"/>
      <w:outlineLvl w:val="0"/>
    </w:pPr>
    <w:rPr>
      <w:rFonts w:ascii="Cambria" w:hAnsi="Cambria" w:cs="Times New Roman"/>
      <w:b/>
      <w:bCs/>
      <w:sz w:val="32"/>
      <w:szCs w:val="32"/>
    </w:rPr>
  </w:style>
  <w:style w:type="paragraph" w:styleId="42">
    <w:name w:val="annotation subject"/>
    <w:basedOn w:val="16"/>
    <w:next w:val="16"/>
    <w:link w:val="164"/>
    <w:qFormat/>
    <w:uiPriority w:val="0"/>
    <w:rPr>
      <w:b/>
      <w:bCs/>
    </w:rPr>
  </w:style>
  <w:style w:type="table" w:styleId="44">
    <w:name w:val="Table Grid"/>
    <w:basedOn w:val="43"/>
    <w:qFormat/>
    <w:uiPriority w:val="9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6">
    <w:name w:val="Strong"/>
    <w:basedOn w:val="45"/>
    <w:qFormat/>
    <w:uiPriority w:val="99"/>
    <w:rPr>
      <w:rFonts w:cs="Times New Roman"/>
      <w:b/>
    </w:rPr>
  </w:style>
  <w:style w:type="character" w:styleId="47">
    <w:name w:val="page number"/>
    <w:basedOn w:val="45"/>
    <w:qFormat/>
    <w:uiPriority w:val="0"/>
    <w:rPr>
      <w:rFonts w:cs="Times New Roman"/>
    </w:rPr>
  </w:style>
  <w:style w:type="character" w:styleId="48">
    <w:name w:val="FollowedHyperlink"/>
    <w:basedOn w:val="45"/>
    <w:qFormat/>
    <w:uiPriority w:val="99"/>
    <w:rPr>
      <w:rFonts w:cs="Times New Roman"/>
      <w:color w:val="555555"/>
      <w:u w:val="none"/>
    </w:rPr>
  </w:style>
  <w:style w:type="character" w:styleId="49">
    <w:name w:val="Emphasis"/>
    <w:basedOn w:val="45"/>
    <w:qFormat/>
    <w:uiPriority w:val="0"/>
    <w:rPr>
      <w:rFonts w:cs="Times New Roman"/>
      <w:i/>
    </w:rPr>
  </w:style>
  <w:style w:type="character" w:styleId="50">
    <w:name w:val="HTML Definition"/>
    <w:basedOn w:val="45"/>
    <w:qFormat/>
    <w:uiPriority w:val="0"/>
    <w:rPr>
      <w:rFonts w:cs="Times New Roman"/>
    </w:rPr>
  </w:style>
  <w:style w:type="character" w:styleId="51">
    <w:name w:val="HTML Acronym"/>
    <w:basedOn w:val="45"/>
    <w:qFormat/>
    <w:uiPriority w:val="0"/>
    <w:rPr>
      <w:rFonts w:cs="Times New Roman"/>
    </w:rPr>
  </w:style>
  <w:style w:type="character" w:styleId="52">
    <w:name w:val="HTML Variable"/>
    <w:basedOn w:val="45"/>
    <w:qFormat/>
    <w:uiPriority w:val="0"/>
    <w:rPr>
      <w:rFonts w:cs="Times New Roman"/>
    </w:rPr>
  </w:style>
  <w:style w:type="character" w:styleId="53">
    <w:name w:val="Hyperlink"/>
    <w:basedOn w:val="45"/>
    <w:qFormat/>
    <w:uiPriority w:val="99"/>
    <w:rPr>
      <w:rFonts w:cs="Times New Roman"/>
      <w:color w:val="555555"/>
      <w:u w:val="none"/>
    </w:rPr>
  </w:style>
  <w:style w:type="character" w:styleId="54">
    <w:name w:val="HTML Code"/>
    <w:basedOn w:val="45"/>
    <w:qFormat/>
    <w:uiPriority w:val="0"/>
    <w:rPr>
      <w:rFonts w:ascii="monospace" w:hAnsi="monospace" w:cs="Times New Roman"/>
      <w:sz w:val="24"/>
    </w:rPr>
  </w:style>
  <w:style w:type="character" w:styleId="55">
    <w:name w:val="annotation reference"/>
    <w:qFormat/>
    <w:uiPriority w:val="0"/>
    <w:rPr>
      <w:sz w:val="21"/>
      <w:szCs w:val="21"/>
    </w:rPr>
  </w:style>
  <w:style w:type="character" w:styleId="56">
    <w:name w:val="HTML Cite"/>
    <w:basedOn w:val="45"/>
    <w:qFormat/>
    <w:uiPriority w:val="0"/>
    <w:rPr>
      <w:rFonts w:cs="Times New Roman"/>
    </w:rPr>
  </w:style>
  <w:style w:type="character" w:styleId="57">
    <w:name w:val="footnote reference"/>
    <w:qFormat/>
    <w:uiPriority w:val="0"/>
    <w:rPr>
      <w:vertAlign w:val="superscript"/>
    </w:rPr>
  </w:style>
  <w:style w:type="character" w:styleId="58">
    <w:name w:val="HTML Keyboard"/>
    <w:basedOn w:val="45"/>
    <w:qFormat/>
    <w:uiPriority w:val="0"/>
    <w:rPr>
      <w:rFonts w:ascii="monospace" w:hAnsi="monospace" w:cs="Times New Roman"/>
      <w:sz w:val="24"/>
    </w:rPr>
  </w:style>
  <w:style w:type="character" w:styleId="59">
    <w:name w:val="HTML Sample"/>
    <w:basedOn w:val="45"/>
    <w:qFormat/>
    <w:uiPriority w:val="0"/>
    <w:rPr>
      <w:rFonts w:ascii="monospace" w:hAnsi="monospace" w:cs="Times New Roman"/>
      <w:sz w:val="24"/>
    </w:rPr>
  </w:style>
  <w:style w:type="character" w:customStyle="1" w:styleId="60">
    <w:name w:val="标题 1 Char"/>
    <w:basedOn w:val="45"/>
    <w:link w:val="3"/>
    <w:qFormat/>
    <w:uiPriority w:val="0"/>
    <w:rPr>
      <w:rFonts w:ascii="???" w:hAnsi="???" w:eastAsia="宋体" w:cs="Arial"/>
      <w:b/>
      <w:bCs/>
      <w:color w:val="020000"/>
      <w:kern w:val="36"/>
      <w:sz w:val="44"/>
      <w:szCs w:val="44"/>
    </w:rPr>
  </w:style>
  <w:style w:type="character" w:customStyle="1" w:styleId="61">
    <w:name w:val="标题 2 Char"/>
    <w:basedOn w:val="45"/>
    <w:link w:val="4"/>
    <w:qFormat/>
    <w:uiPriority w:val="0"/>
    <w:rPr>
      <w:rFonts w:ascii="???" w:hAnsi="???" w:eastAsia="宋体" w:cs="Arial"/>
      <w:b/>
      <w:bCs/>
      <w:color w:val="020000"/>
      <w:kern w:val="0"/>
      <w:sz w:val="32"/>
      <w:szCs w:val="32"/>
    </w:rPr>
  </w:style>
  <w:style w:type="character" w:customStyle="1" w:styleId="62">
    <w:name w:val="标题 3 Char"/>
    <w:basedOn w:val="45"/>
    <w:link w:val="5"/>
    <w:qFormat/>
    <w:uiPriority w:val="0"/>
    <w:rPr>
      <w:rFonts w:ascii="??" w:hAnsi="??" w:eastAsia="宋体" w:cs="Arial"/>
      <w:b/>
      <w:bCs/>
      <w:color w:val="000000"/>
      <w:kern w:val="0"/>
      <w:sz w:val="32"/>
      <w:szCs w:val="32"/>
    </w:rPr>
  </w:style>
  <w:style w:type="character" w:customStyle="1" w:styleId="63">
    <w:name w:val="页眉 Char"/>
    <w:basedOn w:val="45"/>
    <w:link w:val="27"/>
    <w:qFormat/>
    <w:uiPriority w:val="0"/>
    <w:rPr>
      <w:rFonts w:ascii="Calibri" w:hAnsi="Calibri" w:eastAsia="宋体" w:cs="Times New Roman"/>
      <w:sz w:val="18"/>
      <w:szCs w:val="18"/>
    </w:rPr>
  </w:style>
  <w:style w:type="character" w:customStyle="1" w:styleId="64">
    <w:name w:val="页脚 Char"/>
    <w:basedOn w:val="45"/>
    <w:link w:val="26"/>
    <w:qFormat/>
    <w:uiPriority w:val="0"/>
    <w:rPr>
      <w:rFonts w:ascii="Calibri" w:hAnsi="Calibri" w:eastAsia="宋体" w:cs="Times New Roman"/>
      <w:sz w:val="18"/>
      <w:szCs w:val="18"/>
    </w:rPr>
  </w:style>
  <w:style w:type="character" w:customStyle="1" w:styleId="65">
    <w:name w:val="正文文本缩进 Char"/>
    <w:basedOn w:val="45"/>
    <w:link w:val="17"/>
    <w:qFormat/>
    <w:uiPriority w:val="0"/>
    <w:rPr>
      <w:rFonts w:ascii="??" w:hAnsi="??" w:eastAsia="宋体" w:cs="Arial"/>
      <w:kern w:val="0"/>
      <w:sz w:val="24"/>
      <w:szCs w:val="24"/>
    </w:rPr>
  </w:style>
  <w:style w:type="paragraph" w:styleId="66">
    <w:name w:val="List Paragraph"/>
    <w:basedOn w:val="1"/>
    <w:qFormat/>
    <w:uiPriority w:val="99"/>
    <w:pPr>
      <w:ind w:firstLine="420" w:firstLineChars="200"/>
    </w:pPr>
    <w:rPr>
      <w:rFonts w:ascii="Calibri" w:hAnsi="Calibri" w:eastAsia="宋体" w:cs="Times New Roman"/>
    </w:rPr>
  </w:style>
  <w:style w:type="character" w:customStyle="1" w:styleId="67">
    <w:name w:val="标题 2 Char Char"/>
    <w:qFormat/>
    <w:uiPriority w:val="0"/>
    <w:rPr>
      <w:rFonts w:ascii="Arial" w:hAnsi="Arial" w:eastAsia="黑体"/>
      <w:b/>
      <w:kern w:val="2"/>
      <w:sz w:val="32"/>
      <w:lang w:val="en-US" w:eastAsia="zh-CN"/>
    </w:rPr>
  </w:style>
  <w:style w:type="character" w:customStyle="1" w:styleId="68">
    <w:name w:val="2charchar"/>
    <w:basedOn w:val="45"/>
    <w:qFormat/>
    <w:uiPriority w:val="0"/>
    <w:rPr>
      <w:rFonts w:cs="Times New Roman"/>
    </w:rPr>
  </w:style>
  <w:style w:type="paragraph" w:customStyle="1" w:styleId="69">
    <w:name w:val="表格文字"/>
    <w:basedOn w:val="1"/>
    <w:qFormat/>
    <w:uiPriority w:val="0"/>
    <w:pPr>
      <w:adjustRightInd w:val="0"/>
      <w:spacing w:line="420" w:lineRule="atLeast"/>
      <w:jc w:val="left"/>
    </w:pPr>
    <w:rPr>
      <w:rFonts w:ascii="Times New Roman" w:hAnsi="Times New Roman" w:eastAsia="宋体" w:cs="Times New Roman"/>
      <w:kern w:val="0"/>
      <w:szCs w:val="20"/>
    </w:rPr>
  </w:style>
  <w:style w:type="paragraph" w:customStyle="1" w:styleId="70">
    <w:name w:val="z-窗体顶端1"/>
    <w:basedOn w:val="1"/>
    <w:next w:val="1"/>
    <w:link w:val="71"/>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71">
    <w:name w:val="z-窗体顶端 Char"/>
    <w:basedOn w:val="45"/>
    <w:link w:val="70"/>
    <w:qFormat/>
    <w:uiPriority w:val="0"/>
    <w:rPr>
      <w:rFonts w:ascii="Arial" w:hAnsi="Arial" w:eastAsia="宋体" w:cs="Arial"/>
      <w:vanish/>
      <w:kern w:val="0"/>
      <w:sz w:val="16"/>
      <w:szCs w:val="16"/>
    </w:rPr>
  </w:style>
  <w:style w:type="paragraph" w:customStyle="1" w:styleId="72">
    <w:name w:val="z-窗体底端1"/>
    <w:basedOn w:val="1"/>
    <w:next w:val="1"/>
    <w:link w:val="73"/>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73">
    <w:name w:val="z-窗体底端 Char"/>
    <w:basedOn w:val="45"/>
    <w:link w:val="72"/>
    <w:qFormat/>
    <w:uiPriority w:val="0"/>
    <w:rPr>
      <w:rFonts w:ascii="Arial" w:hAnsi="Arial" w:eastAsia="宋体" w:cs="Arial"/>
      <w:vanish/>
      <w:kern w:val="0"/>
      <w:sz w:val="16"/>
      <w:szCs w:val="16"/>
    </w:rPr>
  </w:style>
  <w:style w:type="paragraph" w:customStyle="1" w:styleId="74">
    <w:name w:val="hu正文"/>
    <w:basedOn w:val="1"/>
    <w:link w:val="75"/>
    <w:qFormat/>
    <w:uiPriority w:val="0"/>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75">
    <w:name w:val="hu正文 Char"/>
    <w:link w:val="74"/>
    <w:qFormat/>
    <w:locked/>
    <w:uiPriority w:val="0"/>
    <w:rPr>
      <w:rFonts w:ascii="Times New Roman" w:hAnsi="Times New Roman" w:eastAsia="宋体" w:cs="Times New Roman"/>
      <w:kern w:val="0"/>
      <w:sz w:val="24"/>
      <w:szCs w:val="20"/>
    </w:rPr>
  </w:style>
  <w:style w:type="paragraph" w:styleId="76">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77">
    <w:name w:val="批注框文本 Char"/>
    <w:basedOn w:val="45"/>
    <w:link w:val="25"/>
    <w:qFormat/>
    <w:uiPriority w:val="0"/>
    <w:rPr>
      <w:rFonts w:ascii="Calibri" w:hAnsi="Calibri" w:eastAsia="宋体" w:cs="Times New Roman"/>
      <w:sz w:val="18"/>
      <w:szCs w:val="18"/>
    </w:rPr>
  </w:style>
  <w:style w:type="character" w:customStyle="1" w:styleId="78">
    <w:name w:val="ui-bz-bg-hover1"/>
    <w:basedOn w:val="45"/>
    <w:qFormat/>
    <w:uiPriority w:val="0"/>
    <w:rPr>
      <w:rFonts w:cs="Times New Roman"/>
    </w:rPr>
  </w:style>
  <w:style w:type="character" w:customStyle="1" w:styleId="79">
    <w:name w:val="批注框文本 Char1"/>
    <w:qFormat/>
    <w:uiPriority w:val="0"/>
    <w:rPr>
      <w:rFonts w:ascii="Times New Roman" w:hAnsi="Times New Roman" w:eastAsia="宋体"/>
      <w:sz w:val="18"/>
    </w:rPr>
  </w:style>
  <w:style w:type="character" w:customStyle="1" w:styleId="80">
    <w:name w:val="bds_nopic"/>
    <w:basedOn w:val="45"/>
    <w:qFormat/>
    <w:uiPriority w:val="0"/>
    <w:rPr>
      <w:rFonts w:cs="Times New Roman"/>
    </w:rPr>
  </w:style>
  <w:style w:type="character" w:customStyle="1" w:styleId="81">
    <w:name w:val="tip12"/>
    <w:qFormat/>
    <w:uiPriority w:val="0"/>
    <w:rPr>
      <w:vanish/>
      <w:color w:val="FF0000"/>
      <w:sz w:val="18"/>
    </w:rPr>
  </w:style>
  <w:style w:type="character" w:customStyle="1" w:styleId="82">
    <w:name w:val="Body Text Indent 3 Char"/>
    <w:qFormat/>
    <w:locked/>
    <w:uiPriority w:val="0"/>
    <w:rPr>
      <w:rFonts w:ascii="宋体" w:eastAsia="宋体"/>
    </w:rPr>
  </w:style>
  <w:style w:type="character" w:customStyle="1" w:styleId="83">
    <w:name w:val="HTML Markup"/>
    <w:qFormat/>
    <w:uiPriority w:val="0"/>
    <w:rPr>
      <w:vanish/>
      <w:color w:val="FF0000"/>
    </w:rPr>
  </w:style>
  <w:style w:type="character" w:customStyle="1" w:styleId="84">
    <w:name w:val="tip7"/>
    <w:qFormat/>
    <w:uiPriority w:val="0"/>
    <w:rPr>
      <w:vanish/>
      <w:color w:val="FF0000"/>
      <w:sz w:val="18"/>
    </w:rPr>
  </w:style>
  <w:style w:type="character" w:customStyle="1" w:styleId="85">
    <w:name w:val="f-star"/>
    <w:qFormat/>
    <w:uiPriority w:val="0"/>
    <w:rPr>
      <w:color w:val="999999"/>
      <w:sz w:val="21"/>
    </w:rPr>
  </w:style>
  <w:style w:type="character" w:customStyle="1" w:styleId="86">
    <w:name w:val="Document Map Char1"/>
    <w:qFormat/>
    <w:uiPriority w:val="0"/>
    <w:rPr>
      <w:rFonts w:ascii="Times New Roman" w:hAnsi="Times New Roman"/>
      <w:kern w:val="2"/>
      <w:sz w:val="2"/>
    </w:rPr>
  </w:style>
  <w:style w:type="character" w:customStyle="1" w:styleId="87">
    <w:name w:val="my-class2"/>
    <w:basedOn w:val="45"/>
    <w:qFormat/>
    <w:uiPriority w:val="0"/>
    <w:rPr>
      <w:rFonts w:cs="Times New Roman"/>
    </w:rPr>
  </w:style>
  <w:style w:type="character" w:customStyle="1" w:styleId="88">
    <w:name w:val="no52"/>
    <w:basedOn w:val="45"/>
    <w:qFormat/>
    <w:uiPriority w:val="0"/>
    <w:rPr>
      <w:rFonts w:cs="Times New Roman"/>
    </w:rPr>
  </w:style>
  <w:style w:type="character" w:customStyle="1" w:styleId="89">
    <w:name w:val="no4"/>
    <w:basedOn w:val="45"/>
    <w:qFormat/>
    <w:uiPriority w:val="0"/>
    <w:rPr>
      <w:rFonts w:cs="Times New Roman"/>
    </w:rPr>
  </w:style>
  <w:style w:type="character" w:customStyle="1" w:styleId="90">
    <w:name w:val="my-notice"/>
    <w:basedOn w:val="45"/>
    <w:qFormat/>
    <w:uiPriority w:val="0"/>
    <w:rPr>
      <w:rFonts w:cs="Times New Roman"/>
    </w:rPr>
  </w:style>
  <w:style w:type="character" w:customStyle="1" w:styleId="91">
    <w:name w:val="ico-jiang"/>
    <w:basedOn w:val="45"/>
    <w:qFormat/>
    <w:uiPriority w:val="0"/>
    <w:rPr>
      <w:rFonts w:cs="Times New Roman"/>
    </w:rPr>
  </w:style>
  <w:style w:type="character" w:customStyle="1" w:styleId="92">
    <w:name w:val="ico-jiang2"/>
    <w:basedOn w:val="45"/>
    <w:qFormat/>
    <w:uiPriority w:val="0"/>
    <w:rPr>
      <w:rFonts w:cs="Times New Roman"/>
    </w:rPr>
  </w:style>
  <w:style w:type="character" w:customStyle="1" w:styleId="93">
    <w:name w:val="bds_more1"/>
    <w:qFormat/>
    <w:uiPriority w:val="0"/>
    <w:rPr>
      <w:rFonts w:ascii="宋体" w:hAnsi="宋体" w:eastAsia="宋体"/>
    </w:rPr>
  </w:style>
  <w:style w:type="character" w:customStyle="1" w:styleId="94">
    <w:name w:val="Body Text Indent 2 Char"/>
    <w:qFormat/>
    <w:locked/>
    <w:uiPriority w:val="0"/>
    <w:rPr>
      <w:rFonts w:ascii="宋体" w:eastAsia="宋体"/>
      <w:sz w:val="24"/>
    </w:rPr>
  </w:style>
  <w:style w:type="character" w:customStyle="1" w:styleId="95">
    <w:name w:val="org_name"/>
    <w:basedOn w:val="45"/>
    <w:qFormat/>
    <w:uiPriority w:val="0"/>
    <w:rPr>
      <w:rFonts w:cs="Times New Roman"/>
    </w:rPr>
  </w:style>
  <w:style w:type="character" w:customStyle="1" w:styleId="96">
    <w:name w:val="org_name2"/>
    <w:basedOn w:val="45"/>
    <w:qFormat/>
    <w:uiPriority w:val="0"/>
    <w:rPr>
      <w:rFonts w:cs="Times New Roman"/>
    </w:rPr>
  </w:style>
  <w:style w:type="character" w:customStyle="1" w:styleId="97">
    <w:name w:val="tip10"/>
    <w:qFormat/>
    <w:uiPriority w:val="0"/>
    <w:rPr>
      <w:vanish/>
      <w:color w:val="FF0000"/>
      <w:sz w:val="18"/>
    </w:rPr>
  </w:style>
  <w:style w:type="character" w:customStyle="1" w:styleId="98">
    <w:name w:val="orange"/>
    <w:qFormat/>
    <w:uiPriority w:val="0"/>
    <w:rPr>
      <w:color w:val="3FB58F"/>
    </w:rPr>
  </w:style>
  <w:style w:type="character" w:customStyle="1" w:styleId="99">
    <w:name w:val="bds_more"/>
    <w:basedOn w:val="45"/>
    <w:qFormat/>
    <w:uiPriority w:val="0"/>
    <w:rPr>
      <w:rFonts w:cs="Times New Roman"/>
    </w:rPr>
  </w:style>
  <w:style w:type="character" w:customStyle="1" w:styleId="100">
    <w:name w:val="t-tag"/>
    <w:qFormat/>
    <w:uiPriority w:val="0"/>
    <w:rPr>
      <w:color w:val="FFFFFF"/>
      <w:sz w:val="18"/>
      <w:shd w:val="clear" w:color="auto" w:fill="FE8833"/>
    </w:rPr>
  </w:style>
  <w:style w:type="character" w:customStyle="1" w:styleId="101">
    <w:name w:val="top-icon"/>
    <w:basedOn w:val="45"/>
    <w:qFormat/>
    <w:uiPriority w:val="0"/>
    <w:rPr>
      <w:rFonts w:cs="Times New Roman"/>
    </w:rPr>
  </w:style>
  <w:style w:type="character" w:customStyle="1" w:styleId="102">
    <w:name w:val="Body Text Char"/>
    <w:qFormat/>
    <w:locked/>
    <w:uiPriority w:val="0"/>
    <w:rPr>
      <w:sz w:val="24"/>
    </w:rPr>
  </w:style>
  <w:style w:type="character" w:customStyle="1" w:styleId="103">
    <w:name w:val="no72"/>
    <w:basedOn w:val="45"/>
    <w:qFormat/>
    <w:uiPriority w:val="0"/>
    <w:rPr>
      <w:rFonts w:cs="Times New Roman"/>
    </w:rPr>
  </w:style>
  <w:style w:type="character" w:customStyle="1" w:styleId="104">
    <w:name w:val="bds_nopic2"/>
    <w:basedOn w:val="45"/>
    <w:qFormat/>
    <w:uiPriority w:val="0"/>
    <w:rPr>
      <w:rFonts w:cs="Times New Roman"/>
    </w:rPr>
  </w:style>
  <w:style w:type="character" w:customStyle="1" w:styleId="105">
    <w:name w:val="Document Map Char"/>
    <w:qFormat/>
    <w:uiPriority w:val="0"/>
    <w:rPr>
      <w:rFonts w:ascii="宋体"/>
      <w:sz w:val="18"/>
    </w:rPr>
  </w:style>
  <w:style w:type="character" w:customStyle="1" w:styleId="106">
    <w:name w:val="no6"/>
    <w:basedOn w:val="45"/>
    <w:qFormat/>
    <w:uiPriority w:val="0"/>
    <w:rPr>
      <w:rFonts w:cs="Times New Roman"/>
    </w:rPr>
  </w:style>
  <w:style w:type="character" w:customStyle="1" w:styleId="107">
    <w:name w:val="tip"/>
    <w:qFormat/>
    <w:uiPriority w:val="0"/>
    <w:rPr>
      <w:vanish/>
      <w:color w:val="FF0000"/>
      <w:sz w:val="18"/>
    </w:rPr>
  </w:style>
  <w:style w:type="character" w:customStyle="1" w:styleId="108">
    <w:name w:val="apple-converted-space"/>
    <w:basedOn w:val="45"/>
    <w:qFormat/>
    <w:uiPriority w:val="0"/>
    <w:rPr>
      <w:rFonts w:cs="Times New Roman"/>
    </w:rPr>
  </w:style>
  <w:style w:type="character" w:customStyle="1" w:styleId="109">
    <w:name w:val="bds_more2"/>
    <w:basedOn w:val="45"/>
    <w:qFormat/>
    <w:uiPriority w:val="0"/>
    <w:rPr>
      <w:rFonts w:cs="Times New Roman"/>
    </w:rPr>
  </w:style>
  <w:style w:type="character" w:customStyle="1" w:styleId="110">
    <w:name w:val="my-class"/>
    <w:basedOn w:val="45"/>
    <w:qFormat/>
    <w:uiPriority w:val="0"/>
    <w:rPr>
      <w:rFonts w:cs="Times New Roman"/>
    </w:rPr>
  </w:style>
  <w:style w:type="character" w:customStyle="1" w:styleId="111">
    <w:name w:val="ui-bz-bg-hover"/>
    <w:qFormat/>
    <w:uiPriority w:val="0"/>
    <w:rPr>
      <w:shd w:val="clear" w:color="auto" w:fill="000000"/>
    </w:rPr>
  </w:style>
  <w:style w:type="character" w:customStyle="1" w:styleId="112">
    <w:name w:val="no7"/>
    <w:basedOn w:val="45"/>
    <w:qFormat/>
    <w:uiPriority w:val="0"/>
    <w:rPr>
      <w:rFonts w:cs="Times New Roman"/>
    </w:rPr>
  </w:style>
  <w:style w:type="character" w:customStyle="1" w:styleId="113">
    <w:name w:val="正文缩进 Char"/>
    <w:link w:val="7"/>
    <w:qFormat/>
    <w:locked/>
    <w:uiPriority w:val="0"/>
    <w:rPr>
      <w:rFonts w:ascii="Times New Roman" w:hAnsi="Times New Roman" w:eastAsia="宋体" w:cs="Times New Roman"/>
      <w:kern w:val="0"/>
      <w:sz w:val="24"/>
      <w:szCs w:val="20"/>
    </w:rPr>
  </w:style>
  <w:style w:type="character" w:customStyle="1" w:styleId="114">
    <w:name w:val="ico-jiang1"/>
    <w:basedOn w:val="45"/>
    <w:qFormat/>
    <w:uiPriority w:val="0"/>
    <w:rPr>
      <w:rFonts w:cs="Times New Roman"/>
    </w:rPr>
  </w:style>
  <w:style w:type="character" w:customStyle="1" w:styleId="115">
    <w:name w:val="no62"/>
    <w:basedOn w:val="45"/>
    <w:qFormat/>
    <w:uiPriority w:val="0"/>
    <w:rPr>
      <w:rFonts w:cs="Times New Roman"/>
    </w:rPr>
  </w:style>
  <w:style w:type="character" w:customStyle="1" w:styleId="116">
    <w:name w:val="orange5"/>
    <w:qFormat/>
    <w:uiPriority w:val="0"/>
    <w:rPr>
      <w:color w:val="3FB58F"/>
    </w:rPr>
  </w:style>
  <w:style w:type="character" w:customStyle="1" w:styleId="117">
    <w:name w:val="bds_more4"/>
    <w:basedOn w:val="45"/>
    <w:qFormat/>
    <w:uiPriority w:val="0"/>
    <w:rPr>
      <w:rFonts w:cs="Times New Roman"/>
    </w:rPr>
  </w:style>
  <w:style w:type="character" w:customStyle="1" w:styleId="118">
    <w:name w:val="no5"/>
    <w:basedOn w:val="45"/>
    <w:qFormat/>
    <w:uiPriority w:val="0"/>
    <w:rPr>
      <w:rFonts w:cs="Times New Roman"/>
    </w:rPr>
  </w:style>
  <w:style w:type="character" w:customStyle="1" w:styleId="119">
    <w:name w:val="bds_more3"/>
    <w:basedOn w:val="45"/>
    <w:qFormat/>
    <w:uiPriority w:val="0"/>
    <w:rPr>
      <w:rFonts w:cs="Times New Roman"/>
    </w:rPr>
  </w:style>
  <w:style w:type="character" w:customStyle="1" w:styleId="120">
    <w:name w:val="no42"/>
    <w:basedOn w:val="45"/>
    <w:qFormat/>
    <w:uiPriority w:val="0"/>
    <w:rPr>
      <w:rFonts w:cs="Times New Roman"/>
    </w:rPr>
  </w:style>
  <w:style w:type="character" w:customStyle="1" w:styleId="121">
    <w:name w:val="bds_nopic1"/>
    <w:basedOn w:val="45"/>
    <w:qFormat/>
    <w:uiPriority w:val="0"/>
    <w:rPr>
      <w:rFonts w:cs="Times New Roman"/>
    </w:rPr>
  </w:style>
  <w:style w:type="character" w:customStyle="1" w:styleId="122">
    <w:name w:val="my-notice1"/>
    <w:basedOn w:val="45"/>
    <w:qFormat/>
    <w:uiPriority w:val="0"/>
    <w:rPr>
      <w:rFonts w:cs="Times New Roman"/>
    </w:rPr>
  </w:style>
  <w:style w:type="character" w:customStyle="1" w:styleId="123">
    <w:name w:val="orange6"/>
    <w:qFormat/>
    <w:uiPriority w:val="0"/>
    <w:rPr>
      <w:color w:val="3FB58F"/>
    </w:rPr>
  </w:style>
  <w:style w:type="character" w:customStyle="1" w:styleId="124">
    <w:name w:val="Document Map Char2"/>
    <w:qFormat/>
    <w:locked/>
    <w:uiPriority w:val="0"/>
    <w:rPr>
      <w:rFonts w:ascii="宋体"/>
      <w:sz w:val="18"/>
    </w:rPr>
  </w:style>
  <w:style w:type="character" w:customStyle="1" w:styleId="125">
    <w:name w:val="ico-jiang3"/>
    <w:basedOn w:val="45"/>
    <w:qFormat/>
    <w:uiPriority w:val="0"/>
    <w:rPr>
      <w:rFonts w:cs="Times New Roman"/>
    </w:rPr>
  </w:style>
  <w:style w:type="character" w:customStyle="1" w:styleId="126">
    <w:name w:val="tip13"/>
    <w:qFormat/>
    <w:uiPriority w:val="0"/>
    <w:rPr>
      <w:vanish/>
      <w:color w:val="FF0000"/>
      <w:sz w:val="18"/>
    </w:rPr>
  </w:style>
  <w:style w:type="character" w:customStyle="1" w:styleId="127">
    <w:name w:val="正文文本缩进 2 Char"/>
    <w:basedOn w:val="45"/>
    <w:link w:val="24"/>
    <w:qFormat/>
    <w:uiPriority w:val="0"/>
    <w:rPr>
      <w:rFonts w:ascii="宋体" w:hAnsi="Calibri" w:eastAsia="宋体" w:cs="Times New Roman"/>
      <w:kern w:val="0"/>
      <w:sz w:val="24"/>
      <w:szCs w:val="20"/>
    </w:rPr>
  </w:style>
  <w:style w:type="character" w:customStyle="1" w:styleId="128">
    <w:name w:val="Body Text Indent 2 Char1"/>
    <w:basedOn w:val="45"/>
    <w:qFormat/>
    <w:locked/>
    <w:uiPriority w:val="0"/>
    <w:rPr>
      <w:rFonts w:cs="Times New Roman"/>
    </w:rPr>
  </w:style>
  <w:style w:type="character" w:customStyle="1" w:styleId="129">
    <w:name w:val="正文文本缩进 3 Char"/>
    <w:basedOn w:val="45"/>
    <w:link w:val="33"/>
    <w:qFormat/>
    <w:uiPriority w:val="0"/>
    <w:rPr>
      <w:rFonts w:ascii="宋体" w:hAnsi="Calibri" w:eastAsia="宋体" w:cs="Times New Roman"/>
      <w:kern w:val="0"/>
      <w:sz w:val="20"/>
      <w:szCs w:val="20"/>
    </w:rPr>
  </w:style>
  <w:style w:type="character" w:customStyle="1" w:styleId="130">
    <w:name w:val="Body Text Indent 3 Char1"/>
    <w:basedOn w:val="45"/>
    <w:qFormat/>
    <w:locked/>
    <w:uiPriority w:val="0"/>
    <w:rPr>
      <w:rFonts w:cs="Times New Roman"/>
      <w:sz w:val="16"/>
      <w:szCs w:val="16"/>
    </w:rPr>
  </w:style>
  <w:style w:type="character" w:customStyle="1" w:styleId="131">
    <w:name w:val="文档结构图 Char"/>
    <w:basedOn w:val="45"/>
    <w:link w:val="15"/>
    <w:qFormat/>
    <w:uiPriority w:val="0"/>
    <w:rPr>
      <w:rFonts w:ascii="宋体" w:hAnsi="Calibri" w:eastAsia="宋体" w:cs="Times New Roman"/>
      <w:kern w:val="0"/>
      <w:sz w:val="18"/>
      <w:szCs w:val="20"/>
    </w:rPr>
  </w:style>
  <w:style w:type="character" w:customStyle="1" w:styleId="132">
    <w:name w:val="Document Map Char3"/>
    <w:basedOn w:val="45"/>
    <w:qFormat/>
    <w:locked/>
    <w:uiPriority w:val="0"/>
    <w:rPr>
      <w:rFonts w:ascii="Times New Roman" w:hAnsi="Times New Roman" w:cs="Times New Roman"/>
      <w:sz w:val="2"/>
    </w:rPr>
  </w:style>
  <w:style w:type="paragraph" w:customStyle="1" w:styleId="133">
    <w:name w:val="_Style 1"/>
    <w:basedOn w:val="1"/>
    <w:qFormat/>
    <w:uiPriority w:val="0"/>
    <w:pPr>
      <w:ind w:firstLine="420" w:firstLineChars="200"/>
    </w:pPr>
    <w:rPr>
      <w:rFonts w:ascii="Times New Roman" w:hAnsi="Times New Roman" w:eastAsia="宋体" w:cs="Times New Roman"/>
      <w:szCs w:val="24"/>
    </w:rPr>
  </w:style>
  <w:style w:type="character" w:customStyle="1" w:styleId="134">
    <w:name w:val="正文文本 Char"/>
    <w:basedOn w:val="45"/>
    <w:link w:val="2"/>
    <w:qFormat/>
    <w:uiPriority w:val="0"/>
    <w:rPr>
      <w:rFonts w:ascii="Calibri" w:hAnsi="Calibri" w:eastAsia="宋体" w:cs="Times New Roman"/>
      <w:kern w:val="0"/>
      <w:sz w:val="24"/>
      <w:szCs w:val="20"/>
    </w:rPr>
  </w:style>
  <w:style w:type="character" w:customStyle="1" w:styleId="135">
    <w:name w:val="Body Text Char1"/>
    <w:basedOn w:val="45"/>
    <w:qFormat/>
    <w:locked/>
    <w:uiPriority w:val="0"/>
    <w:rPr>
      <w:rFonts w:cs="Times New Roman"/>
    </w:rPr>
  </w:style>
  <w:style w:type="paragraph" w:customStyle="1" w:styleId="136">
    <w:name w:val="_Style 21"/>
    <w:basedOn w:val="1"/>
    <w:qFormat/>
    <w:uiPriority w:val="0"/>
    <w:rPr>
      <w:rFonts w:ascii="Times New Roman" w:hAnsi="Times New Roman" w:eastAsia="宋体" w:cs="Times New Roman"/>
      <w:szCs w:val="20"/>
    </w:rPr>
  </w:style>
  <w:style w:type="paragraph" w:customStyle="1" w:styleId="137">
    <w:name w:val="p0"/>
    <w:basedOn w:val="1"/>
    <w:qFormat/>
    <w:uiPriority w:val="0"/>
    <w:pPr>
      <w:widowControl/>
    </w:pPr>
    <w:rPr>
      <w:rFonts w:ascii="Times New Roman" w:hAnsi="Times New Roman" w:eastAsia="宋体" w:cs="Times New Roman"/>
      <w:kern w:val="0"/>
      <w:szCs w:val="21"/>
    </w:rPr>
  </w:style>
  <w:style w:type="paragraph" w:customStyle="1" w:styleId="138">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39">
    <w:name w:val="xl25"/>
    <w:basedOn w:val="1"/>
    <w:qFormat/>
    <w:uiPriority w:val="0"/>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40">
    <w:name w:val="样式 样式 样式 样式 内容 + 首行缩进:  2 字符18 + 首行缩进:  5.71 厘米 + 首行缩进:  8.04 厘米..."/>
    <w:basedOn w:val="1"/>
    <w:qFormat/>
    <w:uiPriority w:val="0"/>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41">
    <w:name w:val="无间隔1"/>
    <w:qFormat/>
    <w:uiPriority w:val="0"/>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42">
    <w:name w:val="列出段落11"/>
    <w:basedOn w:val="1"/>
    <w:qFormat/>
    <w:uiPriority w:val="0"/>
    <w:pPr>
      <w:ind w:firstLine="420" w:firstLineChars="200"/>
    </w:pPr>
    <w:rPr>
      <w:rFonts w:ascii="Times New Roman" w:hAnsi="Times New Roman" w:eastAsia="宋体" w:cs="Times New Roman"/>
      <w:szCs w:val="24"/>
    </w:rPr>
  </w:style>
  <w:style w:type="paragraph" w:customStyle="1" w:styleId="143">
    <w:name w:val="_Style 2"/>
    <w:basedOn w:val="1"/>
    <w:qFormat/>
    <w:uiPriority w:val="0"/>
    <w:pPr>
      <w:ind w:firstLine="420" w:firstLineChars="200"/>
    </w:pPr>
    <w:rPr>
      <w:rFonts w:ascii="Calibri" w:hAnsi="Calibri" w:eastAsia="宋体" w:cs="Times New Roman"/>
    </w:rPr>
  </w:style>
  <w:style w:type="paragraph" w:customStyle="1" w:styleId="144">
    <w:name w:val="txt14"/>
    <w:basedOn w:val="1"/>
    <w:qFormat/>
    <w:uiPriority w:val="0"/>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45">
    <w:name w:val="_Style 11"/>
    <w:basedOn w:val="1"/>
    <w:qFormat/>
    <w:uiPriority w:val="0"/>
    <w:rPr>
      <w:rFonts w:ascii="Times New Roman" w:hAnsi="Times New Roman" w:eastAsia="宋体" w:cs="Times New Roman"/>
      <w:szCs w:val="24"/>
    </w:rPr>
  </w:style>
  <w:style w:type="paragraph" w:customStyle="1" w:styleId="146">
    <w:name w:val="Char"/>
    <w:basedOn w:val="1"/>
    <w:qFormat/>
    <w:uiPriority w:val="0"/>
    <w:rPr>
      <w:rFonts w:ascii="Times New Roman" w:hAnsi="Times New Roman" w:eastAsia="宋体" w:cs="Times New Roman"/>
      <w:szCs w:val="21"/>
    </w:rPr>
  </w:style>
  <w:style w:type="paragraph" w:customStyle="1" w:styleId="147">
    <w:name w:val="列出段落1"/>
    <w:basedOn w:val="1"/>
    <w:link w:val="211"/>
    <w:qFormat/>
    <w:uiPriority w:val="0"/>
    <w:pPr>
      <w:ind w:firstLine="420" w:firstLineChars="200"/>
    </w:pPr>
    <w:rPr>
      <w:rFonts w:ascii="Times New Roman" w:hAnsi="Times New Roman" w:eastAsia="宋体" w:cs="Times New Roman"/>
      <w:szCs w:val="24"/>
    </w:rPr>
  </w:style>
  <w:style w:type="paragraph" w:customStyle="1" w:styleId="148">
    <w:name w:val="列出段落2"/>
    <w:basedOn w:val="1"/>
    <w:qFormat/>
    <w:uiPriority w:val="0"/>
    <w:pPr>
      <w:ind w:firstLine="420" w:firstLineChars="200"/>
    </w:pPr>
    <w:rPr>
      <w:rFonts w:ascii="Times New Roman" w:hAnsi="Times New Roman" w:eastAsia="宋体" w:cs="Times New Roman"/>
      <w:szCs w:val="24"/>
    </w:rPr>
  </w:style>
  <w:style w:type="paragraph" w:customStyle="1" w:styleId="149">
    <w:name w:val="TOC 标题1"/>
    <w:basedOn w:val="3"/>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50">
    <w:name w:val="正文文本缩进 31"/>
    <w:basedOn w:val="1"/>
    <w:qFormat/>
    <w:uiPriority w:val="0"/>
    <w:pPr>
      <w:spacing w:line="440" w:lineRule="exact"/>
      <w:ind w:firstLine="412" w:firstLineChars="200"/>
    </w:pPr>
    <w:rPr>
      <w:rFonts w:ascii="宋体" w:hAnsi="宋体" w:eastAsia="宋体" w:cs="Times New Roman"/>
      <w:kern w:val="0"/>
      <w:sz w:val="20"/>
      <w:szCs w:val="20"/>
    </w:rPr>
  </w:style>
  <w:style w:type="character" w:customStyle="1" w:styleId="151">
    <w:name w:val="font41"/>
    <w:qFormat/>
    <w:uiPriority w:val="0"/>
    <w:rPr>
      <w:rFonts w:hint="eastAsia" w:ascii="宋体" w:hAnsi="宋体" w:eastAsia="宋体" w:cs="宋体"/>
      <w:b/>
      <w:color w:val="000000"/>
      <w:sz w:val="22"/>
      <w:szCs w:val="22"/>
      <w:u w:val="none"/>
    </w:rPr>
  </w:style>
  <w:style w:type="character" w:customStyle="1" w:styleId="152">
    <w:name w:val="font81"/>
    <w:qFormat/>
    <w:uiPriority w:val="0"/>
    <w:rPr>
      <w:rFonts w:hint="eastAsia" w:ascii="宋体" w:hAnsi="宋体" w:eastAsia="宋体" w:cs="宋体"/>
      <w:b/>
      <w:color w:val="000000"/>
      <w:sz w:val="22"/>
      <w:szCs w:val="22"/>
      <w:u w:val="none"/>
    </w:rPr>
  </w:style>
  <w:style w:type="character" w:customStyle="1" w:styleId="153">
    <w:name w:val="font21"/>
    <w:basedOn w:val="45"/>
    <w:qFormat/>
    <w:uiPriority w:val="0"/>
    <w:rPr>
      <w:rFonts w:hint="eastAsia" w:ascii="宋体" w:hAnsi="宋体" w:eastAsia="宋体" w:cs="宋体"/>
      <w:color w:val="000000"/>
      <w:sz w:val="18"/>
      <w:szCs w:val="18"/>
      <w:u w:val="none"/>
    </w:rPr>
  </w:style>
  <w:style w:type="character" w:customStyle="1" w:styleId="154">
    <w:name w:val="日期 Char"/>
    <w:link w:val="23"/>
    <w:qFormat/>
    <w:uiPriority w:val="0"/>
    <w:rPr>
      <w:szCs w:val="21"/>
    </w:rPr>
  </w:style>
  <w:style w:type="character" w:customStyle="1" w:styleId="155">
    <w:name w:val="font01"/>
    <w:basedOn w:val="45"/>
    <w:qFormat/>
    <w:uiPriority w:val="0"/>
    <w:rPr>
      <w:rFonts w:hint="eastAsia" w:ascii="宋体" w:hAnsi="宋体" w:eastAsia="宋体" w:cs="宋体"/>
      <w:color w:val="000000"/>
      <w:sz w:val="22"/>
      <w:szCs w:val="22"/>
      <w:u w:val="none"/>
    </w:rPr>
  </w:style>
  <w:style w:type="character" w:customStyle="1" w:styleId="156">
    <w:name w:val="Char Char1"/>
    <w:qFormat/>
    <w:uiPriority w:val="0"/>
    <w:rPr>
      <w:rFonts w:eastAsia="宋体"/>
      <w:kern w:val="2"/>
      <w:sz w:val="18"/>
      <w:szCs w:val="18"/>
      <w:lang w:val="en-US" w:eastAsia="zh-CN" w:bidi="ar-SA"/>
    </w:rPr>
  </w:style>
  <w:style w:type="character" w:customStyle="1" w:styleId="157">
    <w:name w:val="标题 Char"/>
    <w:link w:val="41"/>
    <w:qFormat/>
    <w:uiPriority w:val="0"/>
    <w:rPr>
      <w:rFonts w:ascii="Cambria" w:hAnsi="Cambria" w:cs="Times New Roman"/>
      <w:b/>
      <w:bCs/>
      <w:sz w:val="32"/>
      <w:szCs w:val="32"/>
    </w:rPr>
  </w:style>
  <w:style w:type="character" w:customStyle="1" w:styleId="158">
    <w:name w:val="hei141"/>
    <w:qFormat/>
    <w:uiPriority w:val="0"/>
    <w:rPr>
      <w:rFonts w:hint="eastAsia" w:ascii="宋体" w:hAnsi="宋体" w:eastAsia="宋体"/>
      <w:color w:val="000000"/>
      <w:sz w:val="19"/>
      <w:szCs w:val="19"/>
      <w:u w:val="none"/>
    </w:rPr>
  </w:style>
  <w:style w:type="character" w:customStyle="1" w:styleId="159">
    <w:name w:val="批注文字 Char"/>
    <w:link w:val="16"/>
    <w:qFormat/>
    <w:uiPriority w:val="0"/>
  </w:style>
  <w:style w:type="character" w:customStyle="1" w:styleId="160">
    <w:name w:val="apple-style-span"/>
    <w:basedOn w:val="45"/>
    <w:qFormat/>
    <w:uiPriority w:val="0"/>
  </w:style>
  <w:style w:type="character" w:customStyle="1" w:styleId="161">
    <w:name w:val="param-value"/>
    <w:qFormat/>
    <w:uiPriority w:val="0"/>
    <w:rPr>
      <w:rFonts w:cs="Times New Roman"/>
    </w:rPr>
  </w:style>
  <w:style w:type="character" w:customStyle="1" w:styleId="162">
    <w:name w:val="font61"/>
    <w:basedOn w:val="45"/>
    <w:qFormat/>
    <w:uiPriority w:val="0"/>
    <w:rPr>
      <w:rFonts w:hint="eastAsia" w:ascii="宋体" w:hAnsi="宋体" w:eastAsia="宋体" w:cs="宋体"/>
      <w:color w:val="000000"/>
      <w:sz w:val="22"/>
      <w:szCs w:val="22"/>
      <w:u w:val="none"/>
    </w:rPr>
  </w:style>
  <w:style w:type="character" w:customStyle="1" w:styleId="163">
    <w:name w:val="font11"/>
    <w:basedOn w:val="45"/>
    <w:qFormat/>
    <w:uiPriority w:val="0"/>
    <w:rPr>
      <w:rFonts w:hint="eastAsia" w:ascii="宋体" w:hAnsi="宋体" w:eastAsia="宋体" w:cs="宋体"/>
      <w:color w:val="FF0000"/>
      <w:sz w:val="22"/>
      <w:szCs w:val="22"/>
      <w:u w:val="none"/>
    </w:rPr>
  </w:style>
  <w:style w:type="character" w:customStyle="1" w:styleId="164">
    <w:name w:val="批注主题 Char"/>
    <w:link w:val="42"/>
    <w:qFormat/>
    <w:uiPriority w:val="0"/>
    <w:rPr>
      <w:b/>
      <w:bCs/>
    </w:rPr>
  </w:style>
  <w:style w:type="character" w:customStyle="1" w:styleId="165">
    <w:name w:val="批注文字 Char1"/>
    <w:basedOn w:val="45"/>
    <w:qFormat/>
    <w:uiPriority w:val="0"/>
  </w:style>
  <w:style w:type="paragraph" w:customStyle="1" w:styleId="166">
    <w:name w:val="内文"/>
    <w:basedOn w:val="1"/>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67">
    <w:name w:val="批注主题 Char1"/>
    <w:basedOn w:val="165"/>
    <w:qFormat/>
    <w:uiPriority w:val="0"/>
    <w:rPr>
      <w:b/>
      <w:bCs/>
    </w:rPr>
  </w:style>
  <w:style w:type="paragraph" w:customStyle="1" w:styleId="168">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9">
    <w:name w:val="日期 Char1"/>
    <w:basedOn w:val="45"/>
    <w:qFormat/>
    <w:uiPriority w:val="0"/>
  </w:style>
  <w:style w:type="paragraph" w:customStyle="1" w:styleId="170">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1">
    <w:name w:val="脚注文本 Char"/>
    <w:basedOn w:val="45"/>
    <w:link w:val="31"/>
    <w:qFormat/>
    <w:uiPriority w:val="0"/>
    <w:rPr>
      <w:rFonts w:ascii="Times New Roman" w:hAnsi="Times New Roman" w:eastAsia="宋体" w:cs="Times New Roman"/>
      <w:sz w:val="18"/>
      <w:szCs w:val="18"/>
    </w:rPr>
  </w:style>
  <w:style w:type="paragraph" w:customStyle="1" w:styleId="172">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3">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4">
    <w:name w:val="标题 Char1"/>
    <w:basedOn w:val="45"/>
    <w:qFormat/>
    <w:uiPriority w:val="0"/>
    <w:rPr>
      <w:rFonts w:eastAsia="宋体" w:asciiTheme="majorHAnsi" w:hAnsiTheme="majorHAnsi" w:cstheme="majorBidi"/>
      <w:b/>
      <w:bCs/>
      <w:sz w:val="32"/>
      <w:szCs w:val="32"/>
    </w:rPr>
  </w:style>
  <w:style w:type="paragraph" w:customStyle="1" w:styleId="175">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76">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
    <w:name w:val="Char Char Char1 Char Char Char Char"/>
    <w:basedOn w:val="1"/>
    <w:qFormat/>
    <w:uiPriority w:val="0"/>
    <w:pPr>
      <w:spacing w:line="300" w:lineRule="auto"/>
    </w:pPr>
    <w:rPr>
      <w:rFonts w:ascii="Tahoma" w:hAnsi="Tahoma" w:eastAsia="宋体" w:cs="Times New Roman"/>
      <w:sz w:val="24"/>
      <w:szCs w:val="24"/>
    </w:rPr>
  </w:style>
  <w:style w:type="paragraph" w:customStyle="1" w:styleId="178">
    <w:name w:val="Default"/>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179">
    <w:name w:val="List Paragraph1"/>
    <w:basedOn w:val="1"/>
    <w:qFormat/>
    <w:uiPriority w:val="0"/>
    <w:pPr>
      <w:ind w:firstLine="420" w:firstLineChars="200"/>
    </w:pPr>
    <w:rPr>
      <w:rFonts w:ascii="Times New Roman" w:hAnsi="Times New Roman" w:eastAsia="宋体" w:cs="Times New Roman"/>
      <w:szCs w:val="24"/>
    </w:rPr>
  </w:style>
  <w:style w:type="paragraph" w:customStyle="1" w:styleId="180">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4">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6">
    <w:name w:val="列出段落3"/>
    <w:basedOn w:val="1"/>
    <w:qFormat/>
    <w:uiPriority w:val="0"/>
    <w:pPr>
      <w:ind w:firstLine="420" w:firstLineChars="200"/>
    </w:pPr>
    <w:rPr>
      <w:rFonts w:ascii="Times New Roman" w:hAnsi="Times New Roman" w:eastAsia="宋体" w:cs="Times New Roman"/>
      <w:szCs w:val="24"/>
    </w:rPr>
  </w:style>
  <w:style w:type="character" w:customStyle="1" w:styleId="187">
    <w:name w:val="Char Char12"/>
    <w:qFormat/>
    <w:uiPriority w:val="0"/>
    <w:rPr>
      <w:rFonts w:eastAsia="宋体"/>
      <w:kern w:val="2"/>
      <w:sz w:val="18"/>
      <w:szCs w:val="18"/>
      <w:lang w:val="en-US" w:eastAsia="zh-CN" w:bidi="ar-SA"/>
    </w:rPr>
  </w:style>
  <w:style w:type="paragraph" w:customStyle="1" w:styleId="188">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9">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0">
    <w:name w:val="列出段落4"/>
    <w:basedOn w:val="1"/>
    <w:qFormat/>
    <w:uiPriority w:val="0"/>
    <w:pPr>
      <w:ind w:firstLine="420" w:firstLineChars="200"/>
    </w:pPr>
    <w:rPr>
      <w:rFonts w:ascii="Times New Roman" w:hAnsi="Times New Roman" w:eastAsia="宋体" w:cs="Times New Roman"/>
      <w:szCs w:val="24"/>
    </w:rPr>
  </w:style>
  <w:style w:type="character" w:customStyle="1" w:styleId="191">
    <w:name w:val="Char Char11"/>
    <w:qFormat/>
    <w:uiPriority w:val="0"/>
    <w:rPr>
      <w:rFonts w:eastAsia="宋体"/>
      <w:kern w:val="2"/>
      <w:sz w:val="18"/>
      <w:szCs w:val="18"/>
      <w:lang w:val="en-US" w:eastAsia="zh-CN" w:bidi="ar-SA"/>
    </w:rPr>
  </w:style>
  <w:style w:type="paragraph" w:customStyle="1" w:styleId="192">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3">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4">
    <w:name w:val="列出段落5"/>
    <w:basedOn w:val="1"/>
    <w:qFormat/>
    <w:uiPriority w:val="0"/>
    <w:pPr>
      <w:ind w:firstLine="420" w:firstLineChars="200"/>
    </w:pPr>
    <w:rPr>
      <w:rFonts w:ascii="Times New Roman" w:hAnsi="Times New Roman" w:eastAsia="宋体" w:cs="Times New Roman"/>
      <w:szCs w:val="24"/>
    </w:rPr>
  </w:style>
  <w:style w:type="character" w:customStyle="1" w:styleId="195">
    <w:name w:val="纯文本 Char"/>
    <w:link w:val="21"/>
    <w:qFormat/>
    <w:uiPriority w:val="99"/>
    <w:rPr>
      <w:rFonts w:ascii="宋体" w:hAnsi="Courier New" w:eastAsia="宋体"/>
      <w:szCs w:val="21"/>
    </w:rPr>
  </w:style>
  <w:style w:type="character" w:customStyle="1" w:styleId="196">
    <w:name w:val="纯文本 Char1"/>
    <w:basedOn w:val="45"/>
    <w:semiHidden/>
    <w:qFormat/>
    <w:uiPriority w:val="99"/>
    <w:rPr>
      <w:rFonts w:ascii="宋体" w:hAnsi="Courier New" w:eastAsia="宋体" w:cs="Courier New"/>
      <w:szCs w:val="21"/>
    </w:rPr>
  </w:style>
  <w:style w:type="paragraph" w:customStyle="1" w:styleId="197">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198">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99">
    <w:name w:val="样式4"/>
    <w:basedOn w:val="1"/>
    <w:qFormat/>
    <w:uiPriority w:val="0"/>
    <w:pPr>
      <w:adjustRightInd w:val="0"/>
      <w:spacing w:line="480" w:lineRule="auto"/>
      <w:textAlignment w:val="baseline"/>
    </w:pPr>
    <w:rPr>
      <w:rFonts w:ascii="Times New Roman" w:hAnsi="Times New Roman" w:eastAsia="黑体" w:cs="Times New Roman"/>
      <w:spacing w:val="10"/>
      <w:kern w:val="28"/>
      <w:sz w:val="48"/>
      <w:szCs w:val="20"/>
    </w:rPr>
  </w:style>
  <w:style w:type="character" w:customStyle="1" w:styleId="200">
    <w:name w:val="bookmark-item"/>
    <w:basedOn w:val="45"/>
    <w:qFormat/>
    <w:uiPriority w:val="0"/>
  </w:style>
  <w:style w:type="paragraph" w:customStyle="1" w:styleId="201">
    <w:name w:val="ZAW"/>
    <w:basedOn w:val="1"/>
    <w:qFormat/>
    <w:uiPriority w:val="0"/>
    <w:pPr>
      <w:spacing w:line="520" w:lineRule="exact"/>
      <w:ind w:firstLine="480" w:firstLineChars="200"/>
    </w:pPr>
    <w:rPr>
      <w:rFonts w:ascii="宋体" w:hAnsi="宋体" w:eastAsia="宋体" w:cs="Times New Roman"/>
      <w:sz w:val="24"/>
      <w:szCs w:val="24"/>
    </w:rPr>
  </w:style>
  <w:style w:type="paragraph" w:customStyle="1" w:styleId="202">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203">
    <w:name w:val="15"/>
    <w:basedOn w:val="45"/>
    <w:qFormat/>
    <w:uiPriority w:val="0"/>
    <w:rPr>
      <w:rFonts w:hint="default" w:ascii="Times New Roman" w:hAnsi="Times New Roman" w:cs="Times New Roman"/>
    </w:rPr>
  </w:style>
  <w:style w:type="character" w:customStyle="1" w:styleId="204">
    <w:name w:val="ant-form-item-children1"/>
    <w:basedOn w:val="45"/>
    <w:qFormat/>
    <w:uiPriority w:val="0"/>
  </w:style>
  <w:style w:type="character" w:customStyle="1" w:styleId="205">
    <w:name w:val="标题 4 Char"/>
    <w:basedOn w:val="45"/>
    <w:link w:val="6"/>
    <w:qFormat/>
    <w:uiPriority w:val="0"/>
    <w:rPr>
      <w:rFonts w:ascii="Arial" w:hAnsi="Arial" w:eastAsia="黑体" w:cs="Times New Roman"/>
      <w:b/>
      <w:kern w:val="2"/>
      <w:sz w:val="28"/>
    </w:rPr>
  </w:style>
  <w:style w:type="character" w:customStyle="1" w:styleId="206">
    <w:name w:val="标题 5 Char"/>
    <w:basedOn w:val="45"/>
    <w:link w:val="8"/>
    <w:qFormat/>
    <w:uiPriority w:val="0"/>
    <w:rPr>
      <w:rFonts w:ascii="Times New Roman" w:hAnsi="Times New Roman" w:eastAsia="宋体" w:cs="Times New Roman"/>
      <w:b/>
      <w:kern w:val="2"/>
      <w:sz w:val="28"/>
    </w:rPr>
  </w:style>
  <w:style w:type="character" w:customStyle="1" w:styleId="207">
    <w:name w:val="标题 6 Char"/>
    <w:basedOn w:val="45"/>
    <w:link w:val="9"/>
    <w:qFormat/>
    <w:uiPriority w:val="0"/>
    <w:rPr>
      <w:rFonts w:ascii="Arial" w:hAnsi="Arial" w:eastAsia="黑体" w:cs="Times New Roman"/>
      <w:b/>
      <w:kern w:val="2"/>
      <w:sz w:val="24"/>
    </w:rPr>
  </w:style>
  <w:style w:type="character" w:customStyle="1" w:styleId="208">
    <w:name w:val="标题 7 Char"/>
    <w:basedOn w:val="45"/>
    <w:link w:val="10"/>
    <w:qFormat/>
    <w:uiPriority w:val="0"/>
    <w:rPr>
      <w:rFonts w:ascii="Times New Roman" w:hAnsi="Times New Roman" w:eastAsia="宋体" w:cs="Times New Roman"/>
      <w:b/>
      <w:kern w:val="2"/>
      <w:sz w:val="24"/>
    </w:rPr>
  </w:style>
  <w:style w:type="character" w:customStyle="1" w:styleId="209">
    <w:name w:val="标题 8 Char"/>
    <w:basedOn w:val="45"/>
    <w:link w:val="11"/>
    <w:qFormat/>
    <w:uiPriority w:val="0"/>
    <w:rPr>
      <w:rFonts w:ascii="Arial" w:hAnsi="Arial" w:eastAsia="黑体" w:cs="Times New Roman"/>
      <w:kern w:val="2"/>
      <w:sz w:val="24"/>
    </w:rPr>
  </w:style>
  <w:style w:type="character" w:customStyle="1" w:styleId="210">
    <w:name w:val="标题 9 Char"/>
    <w:basedOn w:val="45"/>
    <w:link w:val="12"/>
    <w:qFormat/>
    <w:uiPriority w:val="0"/>
    <w:rPr>
      <w:rFonts w:ascii="Arial" w:hAnsi="Arial" w:eastAsia="黑体" w:cs="Times New Roman"/>
      <w:kern w:val="2"/>
      <w:sz w:val="21"/>
    </w:rPr>
  </w:style>
  <w:style w:type="character" w:customStyle="1" w:styleId="211">
    <w:name w:val="List Paragraph Char"/>
    <w:basedOn w:val="45"/>
    <w:link w:val="147"/>
    <w:qFormat/>
    <w:uiPriority w:val="0"/>
    <w:rPr>
      <w:rFonts w:ascii="Times New Roman" w:hAnsi="Times New Roman" w:eastAsia="宋体" w:cs="Times New Roman"/>
      <w:kern w:val="2"/>
      <w:sz w:val="21"/>
      <w:szCs w:val="24"/>
    </w:rPr>
  </w:style>
  <w:style w:type="character" w:customStyle="1" w:styleId="212">
    <w:name w:val="HTML 预设格式 Char"/>
    <w:basedOn w:val="45"/>
    <w:link w:val="38"/>
    <w:qFormat/>
    <w:uiPriority w:val="0"/>
    <w:rPr>
      <w:rFonts w:ascii="宋体" w:hAnsi="宋体" w:eastAsia="宋体" w:cs="宋体"/>
      <w:sz w:val="24"/>
      <w:szCs w:val="24"/>
    </w:rPr>
  </w:style>
  <w:style w:type="character" w:customStyle="1" w:styleId="213">
    <w:name w:val="mark"/>
    <w:basedOn w:val="45"/>
    <w:qFormat/>
    <w:uiPriority w:val="0"/>
  </w:style>
  <w:style w:type="paragraph" w:customStyle="1" w:styleId="214">
    <w:name w:val="dash5217_51fa_6bb5_843d"/>
    <w:basedOn w:val="1"/>
    <w:qFormat/>
    <w:uiPriority w:val="0"/>
    <w:pPr>
      <w:widowControl/>
      <w:ind w:firstLine="420"/>
    </w:pPr>
    <w:rPr>
      <w:rFonts w:ascii="Calibri" w:hAnsi="Calibri" w:eastAsia="宋体" w:cs="Calibri"/>
      <w:kern w:val="0"/>
      <w:sz w:val="20"/>
      <w:szCs w:val="20"/>
    </w:rPr>
  </w:style>
  <w:style w:type="character" w:customStyle="1" w:styleId="215">
    <w:name w:val="dash5217_51fa_6bb5_843d__char1"/>
    <w:qFormat/>
    <w:uiPriority w:val="0"/>
    <w:rPr>
      <w:rFonts w:ascii="Calibri" w:hAnsi="Calibri" w:cs="Calibri"/>
      <w:sz w:val="20"/>
      <w:szCs w:val="20"/>
    </w:rPr>
  </w:style>
  <w:style w:type="paragraph" w:customStyle="1" w:styleId="216">
    <w:name w:val="dash6b63_6587"/>
    <w:basedOn w:val="1"/>
    <w:qFormat/>
    <w:uiPriority w:val="0"/>
    <w:pPr>
      <w:widowControl/>
    </w:pPr>
    <w:rPr>
      <w:rFonts w:ascii="Calibri" w:hAnsi="Calibri" w:eastAsia="宋体" w:cs="Calibri"/>
      <w:kern w:val="0"/>
      <w:sz w:val="20"/>
      <w:szCs w:val="20"/>
    </w:rPr>
  </w:style>
  <w:style w:type="character" w:customStyle="1" w:styleId="217">
    <w:name w:val="dash6b63_6587__char1"/>
    <w:qFormat/>
    <w:uiPriority w:val="0"/>
    <w:rPr>
      <w:rFonts w:ascii="Calibri" w:hAnsi="Calibri" w:cs="Calibri"/>
      <w:sz w:val="20"/>
      <w:szCs w:val="20"/>
    </w:rPr>
  </w:style>
  <w:style w:type="paragraph" w:customStyle="1" w:styleId="218">
    <w:name w:val="reader-word-layer reader-word-s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9">
    <w:name w:val="reader-word-layer reader-word-s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0">
    <w:name w:val="ParaAttribute8"/>
    <w:qFormat/>
    <w:uiPriority w:val="0"/>
    <w:pPr>
      <w:widowControl w:val="0"/>
      <w:jc w:val="both"/>
    </w:pPr>
    <w:rPr>
      <w:rFonts w:ascii="Times New Roman" w:hAnsi="Arial Unicode MS" w:eastAsia="Arial Unicode MS" w:cs="Arial Unicode MS"/>
      <w:color w:val="000000"/>
      <w:u w:color="000000"/>
      <w:lang w:val="en-US" w:eastAsia="zh-CN" w:bidi="ar-SA"/>
    </w:rPr>
  </w:style>
  <w:style w:type="paragraph" w:customStyle="1" w:styleId="221">
    <w:name w:val="默认"/>
    <w:qFormat/>
    <w:uiPriority w:val="0"/>
    <w:rPr>
      <w:rFonts w:ascii="Helvetica" w:hAnsi="Arial Unicode MS" w:eastAsia="Arial Unicode MS" w:cs="Arial Unicode MS"/>
      <w:color w:val="000000"/>
      <w:sz w:val="22"/>
      <w:szCs w:val="22"/>
      <w:lang w:val="zh-TW" w:eastAsia="zh-TW" w:bidi="ar-SA"/>
    </w:rPr>
  </w:style>
  <w:style w:type="character" w:customStyle="1" w:styleId="222">
    <w:name w:val="def"/>
    <w:basedOn w:val="45"/>
    <w:qFormat/>
    <w:uiPriority w:val="0"/>
  </w:style>
  <w:style w:type="paragraph" w:customStyle="1" w:styleId="223">
    <w:name w:val="reader-word-layer reader-word-s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5">
    <w:name w:val="z-窗体顶端2"/>
    <w:basedOn w:val="1"/>
    <w:next w:val="1"/>
    <w:qFormat/>
    <w:uiPriority w:val="0"/>
    <w:pPr>
      <w:widowControl/>
      <w:pBdr>
        <w:bottom w:val="single" w:color="auto" w:sz="6" w:space="1"/>
      </w:pBdr>
      <w:jc w:val="center"/>
    </w:pPr>
    <w:rPr>
      <w:rFonts w:ascii="Arial" w:hAnsi="Arial" w:eastAsia="宋体" w:cs="Arial"/>
      <w:vanish/>
      <w:kern w:val="0"/>
      <w:sz w:val="16"/>
      <w:szCs w:val="16"/>
    </w:rPr>
  </w:style>
  <w:style w:type="paragraph" w:customStyle="1" w:styleId="226">
    <w:name w:val="z-窗体底端2"/>
    <w:basedOn w:val="1"/>
    <w:next w:val="1"/>
    <w:qFormat/>
    <w:uiPriority w:val="0"/>
    <w:pPr>
      <w:widowControl/>
      <w:pBdr>
        <w:top w:val="single" w:color="auto" w:sz="6" w:space="1"/>
      </w:pBdr>
      <w:jc w:val="center"/>
    </w:pPr>
    <w:rPr>
      <w:rFonts w:ascii="Arial" w:hAnsi="Arial" w:eastAsia="宋体" w:cs="Arial"/>
      <w:vanish/>
      <w:kern w:val="0"/>
      <w:sz w:val="16"/>
      <w:szCs w:val="16"/>
    </w:rPr>
  </w:style>
  <w:style w:type="paragraph" w:customStyle="1" w:styleId="227">
    <w:name w:val="TOC 标题2"/>
    <w:basedOn w:val="3"/>
    <w:next w:val="1"/>
    <w:qFormat/>
    <w:uiPriority w:val="0"/>
    <w:pPr>
      <w:keepLines/>
      <w:spacing w:before="480" w:after="0" w:line="276" w:lineRule="auto"/>
      <w:jc w:val="left"/>
      <w:outlineLvl w:val="9"/>
    </w:pPr>
    <w:rPr>
      <w:rFonts w:ascii="Cambria" w:hAnsi="Cambria" w:cs="Times New Roman"/>
      <w:color w:val="365F91"/>
      <w:kern w:val="0"/>
      <w:sz w:val="28"/>
      <w:szCs w:val="28"/>
    </w:rPr>
  </w:style>
  <w:style w:type="paragraph" w:customStyle="1" w:styleId="228">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eastAsia="宋体" w:cs="Times New Roman"/>
      <w:b/>
      <w:bCs/>
      <w:kern w:val="0"/>
      <w:szCs w:val="20"/>
    </w:rPr>
  </w:style>
  <w:style w:type="paragraph" w:customStyle="1" w:styleId="229">
    <w:name w:val="font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30">
    <w:name w:val="font6"/>
    <w:basedOn w:val="1"/>
    <w:qFormat/>
    <w:uiPriority w:val="0"/>
    <w:pPr>
      <w:widowControl/>
      <w:spacing w:before="100" w:beforeAutospacing="1" w:after="100" w:afterAutospacing="1"/>
      <w:jc w:val="left"/>
    </w:pPr>
    <w:rPr>
      <w:rFonts w:ascii="Arial" w:hAnsi="Arial" w:eastAsia="宋体" w:cs="Arial"/>
      <w:kern w:val="0"/>
      <w:sz w:val="22"/>
    </w:rPr>
  </w:style>
  <w:style w:type="paragraph" w:customStyle="1" w:styleId="231">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2">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3">
    <w:name w:val="xl64"/>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4">
    <w:name w:val="xl65"/>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3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38">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3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Cs w:val="21"/>
    </w:rPr>
  </w:style>
  <w:style w:type="paragraph" w:customStyle="1" w:styleId="24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24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宋体"/>
      <w:color w:val="000000"/>
      <w:kern w:val="0"/>
      <w:szCs w:val="21"/>
    </w:rPr>
  </w:style>
  <w:style w:type="paragraph" w:customStyle="1" w:styleId="24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5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3">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4">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5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256">
    <w:name w:val="xl8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57">
    <w:name w:val="xl88"/>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9">
    <w:name w:val="xl90"/>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0">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1">
    <w:name w:val="xl92"/>
    <w:basedOn w:val="1"/>
    <w:qFormat/>
    <w:uiPriority w:val="0"/>
    <w:pPr>
      <w:widowControl/>
      <w:spacing w:before="100" w:beforeAutospacing="1" w:after="100" w:afterAutospacing="1"/>
      <w:jc w:val="center"/>
    </w:pPr>
    <w:rPr>
      <w:rFonts w:ascii="宋体" w:hAnsi="宋体" w:eastAsia="宋体" w:cs="宋体"/>
      <w:kern w:val="0"/>
      <w:sz w:val="36"/>
      <w:szCs w:val="36"/>
    </w:rPr>
  </w:style>
  <w:style w:type="paragraph" w:customStyle="1" w:styleId="262">
    <w:name w:val="xl93"/>
    <w:basedOn w:val="1"/>
    <w:qFormat/>
    <w:uiPriority w:val="0"/>
    <w:pPr>
      <w:widowControl/>
      <w:spacing w:before="100" w:beforeAutospacing="1" w:after="100" w:afterAutospacing="1"/>
      <w:jc w:val="center"/>
    </w:pPr>
    <w:rPr>
      <w:rFonts w:ascii="宋体" w:hAnsi="宋体" w:eastAsia="宋体" w:cs="宋体"/>
      <w:color w:val="FF0000"/>
      <w:kern w:val="0"/>
      <w:sz w:val="36"/>
      <w:szCs w:val="36"/>
    </w:rPr>
  </w:style>
  <w:style w:type="paragraph" w:customStyle="1" w:styleId="263">
    <w:name w:val="xl94"/>
    <w:basedOn w:val="1"/>
    <w:qFormat/>
    <w:uiPriority w:val="0"/>
    <w:pPr>
      <w:widowControl/>
      <w:spacing w:before="100" w:beforeAutospacing="1" w:after="100" w:afterAutospacing="1"/>
      <w:jc w:val="center"/>
    </w:pPr>
    <w:rPr>
      <w:rFonts w:ascii="宋体" w:hAnsi="宋体" w:eastAsia="宋体" w:cs="宋体"/>
      <w:color w:val="FF0000"/>
      <w:kern w:val="0"/>
      <w:sz w:val="36"/>
      <w:szCs w:val="36"/>
    </w:rPr>
  </w:style>
  <w:style w:type="paragraph" w:customStyle="1" w:styleId="264">
    <w:name w:val="xl95"/>
    <w:basedOn w:val="1"/>
    <w:qFormat/>
    <w:uiPriority w:val="0"/>
    <w:pPr>
      <w:widowControl/>
      <w:spacing w:before="100" w:beforeAutospacing="1" w:after="100" w:afterAutospacing="1"/>
      <w:jc w:val="center"/>
    </w:pPr>
    <w:rPr>
      <w:rFonts w:ascii="宋体" w:hAnsi="宋体" w:eastAsia="宋体" w:cs="宋体"/>
      <w:color w:val="FF0000"/>
      <w:kern w:val="0"/>
      <w:sz w:val="36"/>
      <w:szCs w:val="36"/>
    </w:rPr>
  </w:style>
  <w:style w:type="paragraph" w:customStyle="1" w:styleId="265">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6">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7">
    <w:name w:val="xl98"/>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8">
    <w:name w:val="正文1"/>
    <w:qFormat/>
    <w:uiPriority w:val="0"/>
    <w:pPr>
      <w:jc w:val="both"/>
    </w:pPr>
    <w:rPr>
      <w:rFonts w:ascii="宋体" w:hAnsi="宋体" w:eastAsia="宋体" w:cs="宋体"/>
      <w:kern w:val="2"/>
      <w:sz w:val="21"/>
      <w:szCs w:val="21"/>
      <w:lang w:val="en-US" w:eastAsia="zh-CN" w:bidi="ar-SA"/>
    </w:rPr>
  </w:style>
  <w:style w:type="character" w:customStyle="1" w:styleId="269">
    <w:name w:val="副标题 Char"/>
    <w:basedOn w:val="45"/>
    <w:link w:val="30"/>
    <w:qFormat/>
    <w:uiPriority w:val="99"/>
    <w:rPr>
      <w:rFonts w:ascii="Cambria" w:hAnsi="Cambria" w:eastAsia="宋体" w:cs="宋体"/>
      <w:b/>
      <w:bCs/>
      <w:kern w:val="28"/>
      <w:sz w:val="32"/>
      <w:szCs w:val="32"/>
    </w:rPr>
  </w:style>
  <w:style w:type="paragraph" w:customStyle="1" w:styleId="270">
    <w:name w:val="Table Paragraph"/>
    <w:basedOn w:val="1"/>
    <w:qFormat/>
    <w:uiPriority w:val="0"/>
    <w:pPr>
      <w:jc w:val="left"/>
    </w:pPr>
    <w:rPr>
      <w:rFonts w:ascii="宋体" w:hAnsi="宋体" w:cs="宋体"/>
      <w:kern w:val="0"/>
      <w:sz w:val="22"/>
    </w:rPr>
  </w:style>
  <w:style w:type="character" w:customStyle="1" w:styleId="271">
    <w:name w:val="font112"/>
    <w:basedOn w:val="45"/>
    <w:qFormat/>
    <w:uiPriority w:val="0"/>
    <w:rPr>
      <w:rFonts w:hint="eastAsia" w:ascii="宋体" w:hAnsi="宋体" w:eastAsia="宋体" w:cs="宋体"/>
      <w:color w:val="000000"/>
      <w:sz w:val="20"/>
      <w:szCs w:val="20"/>
      <w:u w:val="none"/>
    </w:rPr>
  </w:style>
  <w:style w:type="character" w:customStyle="1" w:styleId="272">
    <w:name w:val="font141"/>
    <w:basedOn w:val="45"/>
    <w:qFormat/>
    <w:uiPriority w:val="0"/>
    <w:rPr>
      <w:rFonts w:hint="eastAsia" w:ascii="宋体" w:hAnsi="宋体" w:eastAsia="宋体" w:cs="宋体"/>
      <w:color w:val="FF0000"/>
      <w:sz w:val="20"/>
      <w:szCs w:val="20"/>
      <w:u w:val="none"/>
    </w:rPr>
  </w:style>
  <w:style w:type="character" w:customStyle="1" w:styleId="273">
    <w:name w:val="font31"/>
    <w:basedOn w:val="45"/>
    <w:qFormat/>
    <w:uiPriority w:val="0"/>
    <w:rPr>
      <w:rFonts w:hint="eastAsia" w:ascii="宋体" w:hAnsi="宋体" w:eastAsia="宋体" w:cs="宋体"/>
      <w:color w:val="FF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456D4B-9452-4FE5-B4AA-034CC0F8577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11663</Words>
  <Characters>66485</Characters>
  <Lines>554</Lines>
  <Paragraphs>155</Paragraphs>
  <TotalTime>0</TotalTime>
  <ScaleCrop>false</ScaleCrop>
  <LinksUpToDate>false</LinksUpToDate>
  <CharactersWithSpaces>77993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2021-07-14T09:59:00Z</dcterms:created>
  <dc:creator>WHB</dc:creator>
  <cp:lastModifiedBy>大大大朵朵</cp:lastModifiedBy>
  <cp:lastPrinted>2021-12-15T10:20:00Z</cp:lastPrinted>
  <dcterms:modified xsi:type="dcterms:W3CDTF">2022-01-11T06:51:39Z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2BAC1085DB794E3C92DE83CB68BC0F79</vt:lpwstr>
  </property>
</Properties>
</file>