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3"/>
        <w:shd w:val="clear" w:color="auto" w:fill="FFFFFF"/>
        <w:wordWrap w:val="0"/>
        <w:spacing w:line="360" w:lineRule="exact"/>
        <w:jc w:val="right"/>
        <w:rPr>
          <w:rFonts w:ascii="仿宋" w:hAnsi="仿宋" w:eastAsia="仿宋" w:cs="仿宋"/>
          <w:color w:val="auto"/>
          <w:sz w:val="24"/>
        </w:rPr>
      </w:pPr>
    </w:p>
    <w:p>
      <w:pPr>
        <w:shd w:val="clear" w:color="auto" w:fill="FFFFFF"/>
        <w:autoSpaceDE w:val="0"/>
        <w:autoSpaceDN w:val="0"/>
        <w:adjustRightInd w:val="0"/>
        <w:spacing w:line="360" w:lineRule="exact"/>
        <w:rPr>
          <w:rFonts w:ascii="仿宋" w:hAnsi="仿宋" w:eastAsia="仿宋" w:cs="仿宋"/>
          <w:b/>
          <w:bCs/>
          <w:color w:val="auto"/>
          <w:kern w:val="0"/>
          <w:sz w:val="24"/>
        </w:rPr>
      </w:pPr>
    </w:p>
    <w:p>
      <w:pPr>
        <w:pStyle w:val="41"/>
        <w:tabs>
          <w:tab w:val="right" w:leader="dot" w:pos="9628"/>
          <w:tab w:val="clear" w:pos="420"/>
          <w:tab w:val="clear" w:pos="1050"/>
          <w:tab w:val="clear" w:pos="8302"/>
        </w:tabs>
        <w:spacing w:line="360" w:lineRule="auto"/>
        <w:ind w:firstLine="0"/>
        <w:rPr>
          <w:rFonts w:ascii="仿宋" w:hAnsi="仿宋" w:eastAsia="仿宋" w:cs="仿宋"/>
          <w:color w:val="auto"/>
          <w:kern w:val="0"/>
          <w:sz w:val="36"/>
          <w:szCs w:val="36"/>
        </w:rPr>
      </w:pPr>
      <w:r>
        <w:rPr>
          <w:rFonts w:hint="eastAsia" w:ascii="仿宋" w:hAnsi="仿宋" w:eastAsia="仿宋" w:cs="仿宋"/>
          <w:color w:val="auto"/>
          <w:kern w:val="0"/>
          <w:sz w:val="36"/>
          <w:szCs w:val="36"/>
        </w:rPr>
        <w:t>目    录</w:t>
      </w:r>
    </w:p>
    <w:p>
      <w:pPr>
        <w:pStyle w:val="41"/>
        <w:tabs>
          <w:tab w:val="right" w:leader="dot" w:pos="9628"/>
          <w:tab w:val="clear" w:pos="420"/>
          <w:tab w:val="clear" w:pos="1050"/>
          <w:tab w:val="clear" w:pos="8302"/>
        </w:tabs>
        <w:spacing w:line="360" w:lineRule="auto"/>
        <w:ind w:firstLine="0"/>
        <w:jc w:val="distribute"/>
        <w:rPr>
          <w:rFonts w:ascii="仿宋" w:hAnsi="仿宋" w:eastAsia="仿宋" w:cs="仿宋"/>
          <w:color w:val="auto"/>
          <w:kern w:val="0"/>
          <w:sz w:val="32"/>
          <w:szCs w:val="32"/>
        </w:rPr>
      </w:pPr>
      <w:r>
        <w:rPr>
          <w:rFonts w:hint="eastAsia" w:ascii="仿宋" w:hAnsi="仿宋" w:eastAsia="仿宋" w:cs="仿宋"/>
          <w:color w:val="auto"/>
          <w:kern w:val="0"/>
          <w:sz w:val="32"/>
          <w:szCs w:val="32"/>
        </w:rPr>
        <w:t>第一章 招标公告………………………………………………………2</w:t>
      </w:r>
    </w:p>
    <w:p>
      <w:pPr>
        <w:pStyle w:val="41"/>
        <w:tabs>
          <w:tab w:val="right" w:leader="dot" w:pos="9628"/>
          <w:tab w:val="clear" w:pos="420"/>
          <w:tab w:val="clear" w:pos="1050"/>
          <w:tab w:val="clear" w:pos="8302"/>
        </w:tabs>
        <w:spacing w:line="360" w:lineRule="auto"/>
        <w:ind w:firstLine="0"/>
        <w:jc w:val="distribute"/>
        <w:rPr>
          <w:rFonts w:ascii="仿宋" w:hAnsi="仿宋" w:eastAsia="仿宋" w:cs="仿宋"/>
          <w:color w:val="auto"/>
          <w:kern w:val="0"/>
          <w:sz w:val="32"/>
          <w:szCs w:val="32"/>
        </w:rPr>
      </w:pPr>
      <w:r>
        <w:rPr>
          <w:rFonts w:hint="eastAsia" w:ascii="仿宋" w:hAnsi="仿宋" w:eastAsia="仿宋" w:cs="仿宋"/>
          <w:color w:val="auto"/>
          <w:kern w:val="0"/>
          <w:sz w:val="32"/>
          <w:szCs w:val="32"/>
        </w:rPr>
        <w:t>第二章 投标须知前附表及投标须知…………………………………5</w:t>
      </w:r>
    </w:p>
    <w:p>
      <w:pPr>
        <w:pStyle w:val="41"/>
        <w:tabs>
          <w:tab w:val="right" w:leader="dot" w:pos="9628"/>
          <w:tab w:val="clear" w:pos="420"/>
          <w:tab w:val="clear" w:pos="1050"/>
          <w:tab w:val="clear" w:pos="8302"/>
        </w:tabs>
        <w:spacing w:line="360" w:lineRule="auto"/>
        <w:ind w:firstLine="0"/>
        <w:jc w:val="distribut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第三章 合同条款………………………………………………………2</w:t>
      </w:r>
      <w:r>
        <w:rPr>
          <w:rFonts w:hint="eastAsia" w:ascii="仿宋" w:hAnsi="仿宋" w:eastAsia="仿宋" w:cs="仿宋"/>
          <w:color w:val="auto"/>
          <w:kern w:val="0"/>
          <w:sz w:val="32"/>
          <w:szCs w:val="32"/>
          <w:lang w:val="en-US" w:eastAsia="zh-CN"/>
        </w:rPr>
        <w:t>8</w:t>
      </w:r>
    </w:p>
    <w:p>
      <w:pPr>
        <w:pStyle w:val="41"/>
        <w:tabs>
          <w:tab w:val="right" w:leader="dot" w:pos="9628"/>
          <w:tab w:val="clear" w:pos="420"/>
          <w:tab w:val="clear" w:pos="1050"/>
          <w:tab w:val="clear" w:pos="8302"/>
        </w:tabs>
        <w:spacing w:line="360" w:lineRule="auto"/>
        <w:ind w:firstLine="0"/>
        <w:jc w:val="distribut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第四章 采购需求………………………………………………………3</w:t>
      </w:r>
      <w:r>
        <w:rPr>
          <w:rFonts w:hint="eastAsia" w:ascii="仿宋" w:hAnsi="仿宋" w:eastAsia="仿宋" w:cs="仿宋"/>
          <w:color w:val="auto"/>
          <w:kern w:val="0"/>
          <w:sz w:val="32"/>
          <w:szCs w:val="32"/>
          <w:lang w:val="en-US" w:eastAsia="zh-CN"/>
        </w:rPr>
        <w:t>1</w:t>
      </w:r>
    </w:p>
    <w:p>
      <w:pPr>
        <w:pStyle w:val="41"/>
        <w:tabs>
          <w:tab w:val="right" w:leader="dot" w:pos="9628"/>
          <w:tab w:val="clear" w:pos="420"/>
          <w:tab w:val="clear" w:pos="1050"/>
          <w:tab w:val="clear" w:pos="8302"/>
        </w:tabs>
        <w:spacing w:line="360" w:lineRule="auto"/>
        <w:ind w:firstLine="0"/>
        <w:jc w:val="distribut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第五章 投标文件格式…………………………………………………3</w:t>
      </w:r>
      <w:r>
        <w:rPr>
          <w:rFonts w:hint="eastAsia" w:ascii="仿宋" w:hAnsi="仿宋" w:eastAsia="仿宋" w:cs="仿宋"/>
          <w:color w:val="auto"/>
          <w:kern w:val="0"/>
          <w:sz w:val="32"/>
          <w:szCs w:val="32"/>
          <w:lang w:val="en-US" w:eastAsia="zh-CN"/>
        </w:rPr>
        <w:t>7</w:t>
      </w:r>
    </w:p>
    <w:p>
      <w:pPr>
        <w:shd w:val="clear" w:color="auto" w:fill="FFFFFF"/>
        <w:autoSpaceDE w:val="0"/>
        <w:autoSpaceDN w:val="0"/>
        <w:adjustRightInd w:val="0"/>
        <w:spacing w:line="360" w:lineRule="exact"/>
        <w:jc w:val="center"/>
        <w:rPr>
          <w:rFonts w:ascii="仿宋" w:hAnsi="仿宋" w:eastAsia="仿宋" w:cs="仿宋"/>
          <w:b/>
          <w:bCs/>
          <w:color w:val="auto"/>
          <w:kern w:val="0"/>
          <w:sz w:val="24"/>
        </w:rPr>
      </w:pPr>
    </w:p>
    <w:p>
      <w:pPr>
        <w:shd w:val="clear" w:color="auto" w:fill="FFFFFF"/>
        <w:autoSpaceDE w:val="0"/>
        <w:autoSpaceDN w:val="0"/>
        <w:adjustRightInd w:val="0"/>
        <w:spacing w:line="360" w:lineRule="exact"/>
        <w:jc w:val="center"/>
        <w:rPr>
          <w:rFonts w:ascii="仿宋" w:hAnsi="仿宋" w:eastAsia="仿宋" w:cs="仿宋"/>
          <w:b/>
          <w:bCs/>
          <w:color w:val="auto"/>
          <w:kern w:val="0"/>
          <w:sz w:val="24"/>
        </w:rPr>
      </w:pPr>
    </w:p>
    <w:p>
      <w:pPr>
        <w:widowControl/>
        <w:jc w:val="left"/>
        <w:rPr>
          <w:rFonts w:ascii="仿宋" w:hAnsi="仿宋" w:eastAsia="仿宋" w:cs="仿宋"/>
          <w:color w:val="auto"/>
          <w:kern w:val="0"/>
          <w:sz w:val="24"/>
        </w:rPr>
      </w:pPr>
      <w:r>
        <w:rPr>
          <w:rFonts w:hint="eastAsia" w:ascii="仿宋" w:hAnsi="仿宋" w:eastAsia="仿宋" w:cs="仿宋"/>
          <w:b/>
          <w:bCs/>
          <w:color w:val="auto"/>
          <w:kern w:val="0"/>
          <w:sz w:val="24"/>
        </w:rPr>
        <w:br w:type="page"/>
      </w:r>
    </w:p>
    <w:p>
      <w:pPr>
        <w:pStyle w:val="326"/>
        <w:spacing w:beforeLines="50" w:afterLines="50" w:line="360" w:lineRule="auto"/>
        <w:jc w:val="center"/>
        <w:outlineLvl w:val="0"/>
        <w:rPr>
          <w:rFonts w:ascii="仿宋" w:hAnsi="仿宋" w:eastAsia="仿宋" w:cs="仿宋"/>
          <w:b/>
          <w:color w:val="auto"/>
          <w:sz w:val="32"/>
          <w:szCs w:val="32"/>
        </w:rPr>
      </w:pPr>
      <w:bookmarkStart w:id="34" w:name="_GoBack"/>
      <w:bookmarkEnd w:id="34"/>
      <w:r>
        <w:rPr>
          <w:rFonts w:hint="eastAsia" w:ascii="仿宋" w:hAnsi="仿宋" w:eastAsia="仿宋" w:cs="仿宋"/>
          <w:b/>
          <w:color w:val="auto"/>
          <w:sz w:val="32"/>
          <w:szCs w:val="32"/>
        </w:rPr>
        <w:t>第一章  招标公告</w:t>
      </w:r>
    </w:p>
    <w:p>
      <w:pPr>
        <w:widowControl/>
        <w:shd w:val="clear" w:color="auto" w:fill="FFFFFF"/>
        <w:spacing w:line="400" w:lineRule="exact"/>
        <w:ind w:firstLine="480" w:firstLineChars="200"/>
        <w:rPr>
          <w:rFonts w:ascii="宋体" w:hAnsi="宋体" w:cs="宋体"/>
          <w:color w:val="auto"/>
          <w:sz w:val="24"/>
          <w:shd w:val="clear" w:color="auto" w:fill="FFFFFF"/>
        </w:rPr>
      </w:pPr>
      <w:r>
        <w:rPr>
          <w:rFonts w:hint="eastAsia" w:ascii="仿宋" w:hAnsi="仿宋" w:eastAsia="仿宋" w:cs="仿宋"/>
          <w:color w:val="auto"/>
          <w:sz w:val="24"/>
        </w:rPr>
        <w:t>乌鲁木齐县卫生健康委员会16排螺旋CT系统采购</w:t>
      </w:r>
      <w:r>
        <w:rPr>
          <w:rFonts w:ascii="仿宋" w:hAnsi="仿宋" w:eastAsia="仿宋" w:cs="仿宋"/>
          <w:color w:val="auto"/>
          <w:sz w:val="24"/>
        </w:rPr>
        <w:t>招标项目的潜在投标人应在</w:t>
      </w:r>
      <w:r>
        <w:rPr>
          <w:rFonts w:hint="eastAsia" w:ascii="仿宋" w:hAnsi="仿宋" w:eastAsia="仿宋" w:cs="仿宋"/>
          <w:color w:val="auto"/>
          <w:sz w:val="24"/>
        </w:rPr>
        <w:t>新疆乌鲁木齐市沙依巴克区长江路76号兴乐世贸广场29楼新疆品创项目管理咨询有限公司业务一部</w:t>
      </w:r>
      <w:r>
        <w:rPr>
          <w:rFonts w:ascii="仿宋" w:hAnsi="仿宋" w:eastAsia="仿宋" w:cs="仿宋"/>
          <w:color w:val="auto"/>
          <w:sz w:val="24"/>
        </w:rPr>
        <w:t>获取招标文件，并于</w:t>
      </w:r>
      <w:r>
        <w:rPr>
          <w:rFonts w:ascii="仿宋" w:hAnsi="仿宋" w:eastAsia="仿宋" w:cs="仿宋"/>
          <w:color w:val="auto"/>
          <w:sz w:val="24"/>
        </w:rPr>
        <w:t>2022年01月</w:t>
      </w:r>
      <w:r>
        <w:rPr>
          <w:rFonts w:hint="eastAsia" w:ascii="仿宋" w:hAnsi="仿宋" w:eastAsia="仿宋" w:cs="仿宋"/>
          <w:color w:val="auto"/>
          <w:sz w:val="24"/>
          <w:lang w:val="en-US" w:eastAsia="zh-CN"/>
        </w:rPr>
        <w:t>19</w:t>
      </w:r>
      <w:r>
        <w:rPr>
          <w:rFonts w:ascii="仿宋" w:hAnsi="仿宋" w:eastAsia="仿宋" w:cs="仿宋"/>
          <w:color w:val="auto"/>
          <w:sz w:val="24"/>
        </w:rPr>
        <w:t>日 11:00</w:t>
      </w:r>
      <w:r>
        <w:rPr>
          <w:rFonts w:ascii="仿宋" w:hAnsi="仿宋" w:eastAsia="仿宋" w:cs="仿宋"/>
          <w:color w:val="auto"/>
          <w:sz w:val="24"/>
        </w:rPr>
        <w:t>（北京时间）前递交投标文件。</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一、项目基本情况</w:t>
      </w:r>
    </w:p>
    <w:p>
      <w:pPr>
        <w:widowControl/>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项目编号：2021PC121</w:t>
      </w:r>
    </w:p>
    <w:p>
      <w:pPr>
        <w:widowControl/>
        <w:shd w:val="clear" w:color="auto" w:fill="FFFFFF"/>
        <w:spacing w:line="400" w:lineRule="exact"/>
        <w:ind w:firstLine="480" w:firstLineChars="200"/>
        <w:rPr>
          <w:rFonts w:ascii="宋体" w:hAnsi="宋体" w:cs="宋体"/>
          <w:color w:val="auto"/>
          <w:sz w:val="24"/>
          <w:shd w:val="clear" w:color="auto" w:fill="FFFFFF"/>
        </w:rPr>
      </w:pPr>
      <w:r>
        <w:rPr>
          <w:rFonts w:hint="eastAsia" w:ascii="仿宋" w:hAnsi="仿宋" w:eastAsia="仿宋" w:cs="仿宋"/>
          <w:color w:val="auto"/>
          <w:sz w:val="24"/>
        </w:rPr>
        <w:t>项目名称：乌鲁木齐县卫生健康委员会16排螺旋CT系统采购</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采购方式：公开招标</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预算金额（元）：4000000.00</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最高限价（元）：4000000.00</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采购需求：</w:t>
      </w:r>
    </w:p>
    <w:tbl>
      <w:tblPr>
        <w:tblStyle w:val="59"/>
        <w:tblW w:w="97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902"/>
        <w:gridCol w:w="1135"/>
        <w:gridCol w:w="1416"/>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85" w:type="dxa"/>
            <w:noWrap/>
            <w:vAlign w:val="center"/>
          </w:tcPr>
          <w:p>
            <w:pPr>
              <w:spacing w:line="38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902" w:type="dxa"/>
            <w:noWrap/>
            <w:vAlign w:val="center"/>
          </w:tcPr>
          <w:p>
            <w:pPr>
              <w:spacing w:line="380" w:lineRule="exact"/>
              <w:jc w:val="center"/>
              <w:rPr>
                <w:rFonts w:ascii="仿宋" w:hAnsi="仿宋" w:eastAsia="仿宋" w:cs="仿宋"/>
                <w:color w:val="auto"/>
                <w:sz w:val="24"/>
              </w:rPr>
            </w:pPr>
            <w:r>
              <w:rPr>
                <w:rFonts w:hint="eastAsia" w:ascii="仿宋" w:hAnsi="仿宋" w:eastAsia="仿宋" w:cs="仿宋"/>
                <w:color w:val="auto"/>
                <w:sz w:val="24"/>
              </w:rPr>
              <w:t>标的名称</w:t>
            </w:r>
          </w:p>
        </w:tc>
        <w:tc>
          <w:tcPr>
            <w:tcW w:w="1135" w:type="dxa"/>
            <w:vAlign w:val="center"/>
          </w:tcPr>
          <w:p>
            <w:pPr>
              <w:spacing w:line="38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1416" w:type="dxa"/>
            <w:noWrap/>
            <w:vAlign w:val="center"/>
          </w:tcPr>
          <w:p>
            <w:pPr>
              <w:spacing w:line="380" w:lineRule="exact"/>
              <w:jc w:val="center"/>
              <w:rPr>
                <w:rFonts w:ascii="仿宋" w:hAnsi="仿宋" w:eastAsia="仿宋" w:cs="仿宋"/>
                <w:color w:val="auto"/>
                <w:sz w:val="24"/>
              </w:rPr>
            </w:pPr>
            <w:r>
              <w:rPr>
                <w:rFonts w:hint="eastAsia" w:ascii="仿宋" w:hAnsi="仿宋" w:eastAsia="仿宋" w:cs="仿宋"/>
                <w:color w:val="auto"/>
                <w:sz w:val="24"/>
              </w:rPr>
              <w:t>最高限价（元）</w:t>
            </w:r>
          </w:p>
        </w:tc>
        <w:tc>
          <w:tcPr>
            <w:tcW w:w="3482" w:type="dxa"/>
            <w:vAlign w:val="center"/>
          </w:tcPr>
          <w:p>
            <w:pPr>
              <w:spacing w:line="380" w:lineRule="exact"/>
              <w:jc w:val="center"/>
              <w:rPr>
                <w:rFonts w:ascii="仿宋" w:hAnsi="仿宋" w:eastAsia="仿宋" w:cs="仿宋"/>
                <w:color w:val="auto"/>
                <w:sz w:val="24"/>
              </w:rPr>
            </w:pPr>
            <w:r>
              <w:rPr>
                <w:rFonts w:hint="eastAsia" w:ascii="仿宋" w:hAnsi="仿宋" w:eastAsia="仿宋" w:cs="仿宋"/>
                <w:color w:val="auto"/>
                <w:sz w:val="24"/>
              </w:rPr>
              <w:t>简要技术需求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785" w:type="dxa"/>
            <w:noWrap/>
            <w:vAlign w:val="center"/>
          </w:tcPr>
          <w:p>
            <w:pPr>
              <w:shd w:val="clear" w:color="auto" w:fill="FFFFFF"/>
              <w:spacing w:line="38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902" w:type="dxa"/>
            <w:noWrap/>
            <w:vAlign w:val="center"/>
          </w:tcPr>
          <w:p>
            <w:pPr>
              <w:shd w:val="clear" w:color="auto" w:fill="FFFFFF"/>
              <w:spacing w:line="380" w:lineRule="exact"/>
              <w:jc w:val="center"/>
              <w:rPr>
                <w:rFonts w:ascii="仿宋" w:hAnsi="仿宋" w:eastAsia="仿宋" w:cs="Arial"/>
                <w:color w:val="auto"/>
                <w:sz w:val="24"/>
              </w:rPr>
            </w:pPr>
            <w:r>
              <w:rPr>
                <w:rFonts w:hint="eastAsia" w:ascii="仿宋" w:hAnsi="仿宋" w:eastAsia="仿宋" w:cs="仿宋"/>
                <w:color w:val="auto"/>
                <w:sz w:val="24"/>
              </w:rPr>
              <w:t>乌鲁木齐县卫生健康委员会16排螺旋CT系统采购</w:t>
            </w:r>
          </w:p>
        </w:tc>
        <w:tc>
          <w:tcPr>
            <w:tcW w:w="1135" w:type="dxa"/>
            <w:vAlign w:val="center"/>
          </w:tcPr>
          <w:p>
            <w:pPr>
              <w:shd w:val="clear" w:color="auto" w:fill="FFFFFF"/>
              <w:spacing w:line="380" w:lineRule="exact"/>
              <w:jc w:val="center"/>
              <w:rPr>
                <w:rFonts w:ascii="仿宋" w:hAnsi="仿宋" w:eastAsia="仿宋" w:cs="仿宋"/>
                <w:bCs/>
                <w:color w:val="auto"/>
                <w:sz w:val="24"/>
              </w:rPr>
            </w:pPr>
            <w:r>
              <w:rPr>
                <w:rFonts w:hint="eastAsia" w:ascii="仿宋" w:hAnsi="仿宋" w:eastAsia="仿宋" w:cs="仿宋"/>
                <w:bCs/>
                <w:color w:val="auto"/>
                <w:sz w:val="24"/>
              </w:rPr>
              <w:t>1套</w:t>
            </w:r>
          </w:p>
        </w:tc>
        <w:tc>
          <w:tcPr>
            <w:tcW w:w="1416" w:type="dxa"/>
            <w:noWrap/>
            <w:vAlign w:val="center"/>
          </w:tcPr>
          <w:p>
            <w:pPr>
              <w:spacing w:line="380" w:lineRule="exact"/>
              <w:jc w:val="center"/>
              <w:rPr>
                <w:rFonts w:ascii="仿宋" w:hAnsi="仿宋" w:eastAsia="仿宋" w:cs="仿宋"/>
                <w:color w:val="auto"/>
                <w:sz w:val="24"/>
              </w:rPr>
            </w:pPr>
            <w:r>
              <w:rPr>
                <w:rFonts w:hint="eastAsia" w:ascii="仿宋" w:hAnsi="仿宋" w:eastAsia="仿宋" w:cs="仿宋"/>
                <w:color w:val="auto"/>
                <w:sz w:val="24"/>
              </w:rPr>
              <w:t>4000000.00</w:t>
            </w:r>
          </w:p>
        </w:tc>
        <w:tc>
          <w:tcPr>
            <w:tcW w:w="3482" w:type="dxa"/>
            <w:vAlign w:val="center"/>
          </w:tcPr>
          <w:p>
            <w:pPr>
              <w:shd w:val="clear" w:color="auto" w:fill="FFFFFF"/>
              <w:spacing w:line="380" w:lineRule="exact"/>
              <w:rPr>
                <w:rFonts w:ascii="仿宋" w:hAnsi="仿宋" w:eastAsia="仿宋" w:cs="Arial"/>
                <w:color w:val="auto"/>
                <w:sz w:val="24"/>
              </w:rPr>
            </w:pPr>
            <w:r>
              <w:rPr>
                <w:rFonts w:hint="eastAsia" w:ascii="仿宋" w:hAnsi="仿宋" w:eastAsia="仿宋" w:cs="Arial"/>
                <w:color w:val="auto"/>
                <w:sz w:val="24"/>
              </w:rPr>
              <w:t>探测器排数：≥16排；</w:t>
            </w:r>
          </w:p>
          <w:p>
            <w:pPr>
              <w:shd w:val="clear" w:color="auto" w:fill="FFFFFF"/>
              <w:spacing w:line="380" w:lineRule="exact"/>
              <w:rPr>
                <w:rFonts w:ascii="仿宋" w:hAnsi="仿宋" w:eastAsia="仿宋" w:cs="Arial"/>
                <w:color w:val="auto"/>
                <w:sz w:val="24"/>
              </w:rPr>
            </w:pPr>
            <w:r>
              <w:rPr>
                <w:rFonts w:hint="eastAsia" w:ascii="仿宋" w:hAnsi="仿宋" w:eastAsia="仿宋" w:cs="Arial"/>
                <w:color w:val="auto"/>
                <w:sz w:val="24"/>
              </w:rPr>
              <w:t>球管阳极热容量：≥3.5MHU；</w:t>
            </w:r>
          </w:p>
          <w:p>
            <w:pPr>
              <w:pStyle w:val="2"/>
              <w:rPr>
                <w:rFonts w:ascii="仿宋" w:hAnsi="仿宋" w:eastAsia="仿宋" w:cs="Arial"/>
                <w:color w:val="auto"/>
                <w:szCs w:val="24"/>
              </w:rPr>
            </w:pPr>
            <w:r>
              <w:rPr>
                <w:rFonts w:hint="eastAsia" w:ascii="仿宋" w:hAnsi="仿宋" w:eastAsia="仿宋" w:cs="Arial"/>
                <w:color w:val="auto"/>
                <w:szCs w:val="24"/>
              </w:rPr>
              <w:t>具体详见招标文件《采购需求》</w:t>
            </w:r>
          </w:p>
        </w:tc>
      </w:tr>
    </w:tbl>
    <w:p>
      <w:pPr>
        <w:widowControl/>
        <w:shd w:val="clear" w:color="auto" w:fill="FFFFFF"/>
        <w:spacing w:line="400" w:lineRule="exact"/>
        <w:rPr>
          <w:rFonts w:ascii="仿宋" w:hAnsi="仿宋" w:eastAsia="仿宋" w:cs="仿宋"/>
          <w:color w:val="auto"/>
          <w:sz w:val="24"/>
        </w:rPr>
      </w:pP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合同履行期限：从合同签订之日起至质保服务期结束。</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本项目（ 不 ）接受联合体投标。</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二、申请人的资格要求:</w:t>
      </w:r>
    </w:p>
    <w:p>
      <w:pPr>
        <w:widowControl/>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widowControl/>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2.本项目的特定资格要求：</w:t>
      </w:r>
    </w:p>
    <w:p>
      <w:pPr>
        <w:widowControl/>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2.1供应商须具有医疗器械经营许可证（或按照国家食品药品监督管理部门规定实行备案管理的，出具备案证明文件）；供应商所投产品须具备医疗器械注册证（含登记表）(或按照国家食品药品监督管理部门规定实行备案管理的，出具备案证明文件)；货物制造商须具备医疗器械生产许可证。</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4.供应商不得存在下列情形之一：</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（l）与采购人、采购代理机构存在隶属关系或者其他利害关系。</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（2）与其他供应商的法定代表人（或者负责人）为同一人；或者与其他供应商存在直接控股、管理关系的；</w:t>
      </w:r>
    </w:p>
    <w:p>
      <w:pPr>
        <w:widowControl/>
        <w:shd w:val="clear" w:color="auto" w:fill="FFFFFF"/>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（3）为采购项目提供整体设计、规范编制或者项目管理、监理、检测等服务的供应商,不得再参加该采购项目的其他采购活动。</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三、获取招标文件</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获取时间</w:t>
      </w:r>
      <w:r>
        <w:rPr>
          <w:rFonts w:hint="eastAsia" w:ascii="仿宋" w:hAnsi="仿宋" w:eastAsia="仿宋" w:cs="仿宋"/>
          <w:color w:val="auto"/>
          <w:sz w:val="24"/>
        </w:rPr>
        <w:t>：2021年12月</w:t>
      </w:r>
      <w:r>
        <w:rPr>
          <w:rFonts w:hint="eastAsia" w:ascii="仿宋" w:hAnsi="仿宋" w:eastAsia="仿宋" w:cs="仿宋"/>
          <w:color w:val="auto"/>
          <w:sz w:val="24"/>
          <w:lang w:val="en-US" w:eastAsia="zh-CN"/>
        </w:rPr>
        <w:t>30</w:t>
      </w:r>
      <w:r>
        <w:rPr>
          <w:rFonts w:hint="eastAsia" w:ascii="仿宋" w:hAnsi="仿宋" w:eastAsia="仿宋" w:cs="仿宋"/>
          <w:color w:val="auto"/>
          <w:sz w:val="24"/>
        </w:rPr>
        <w:t>日至2022年01月</w:t>
      </w:r>
      <w:r>
        <w:rPr>
          <w:rFonts w:hint="eastAsia" w:ascii="仿宋" w:hAnsi="仿宋" w:eastAsia="仿宋" w:cs="仿宋"/>
          <w:color w:val="auto"/>
          <w:sz w:val="24"/>
          <w:lang w:val="en-US" w:eastAsia="zh-CN"/>
        </w:rPr>
        <w:t>06</w:t>
      </w:r>
      <w:r>
        <w:rPr>
          <w:rFonts w:hint="eastAsia" w:ascii="仿宋" w:hAnsi="仿宋" w:eastAsia="仿宋" w:cs="仿宋"/>
          <w:color w:val="auto"/>
          <w:sz w:val="24"/>
        </w:rPr>
        <w:t>日</w:t>
      </w:r>
      <w:r>
        <w:rPr>
          <w:rFonts w:hint="eastAsia" w:ascii="仿宋" w:hAnsi="仿宋" w:eastAsia="仿宋" w:cs="仿宋"/>
          <w:color w:val="auto"/>
          <w:sz w:val="24"/>
        </w:rPr>
        <w:t>，每天上午10:00至13:00，下午15:30至19:00（工作日报名，周末及节假日除外）</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获取地址：新疆乌鲁木齐市沙依巴克区长江路76号兴乐世贸广场29楼 业务一部</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获取方式：线下获取</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获取招标文件时应当提供的资料：法定代表人授权委托书原件及被授权人的身份证原件、供应商营业执照或其他组织资格证书（复印件加盖供应商公章）、医疗器械经营许可证（或按照国家食品药品监督管理部门规定实行备案管理的，出具备案证明文件）（复印件加盖供应商公章）。</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售价（元）：200元/份</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四、提交投标文件截止时间、开标时间和地点</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提交投标文件截止时间</w:t>
      </w:r>
      <w:r>
        <w:rPr>
          <w:rFonts w:hint="eastAsia" w:ascii="仿宋" w:hAnsi="仿宋" w:eastAsia="仿宋" w:cs="仿宋"/>
          <w:color w:val="auto"/>
          <w:sz w:val="24"/>
        </w:rPr>
        <w:t>：2022年01月</w:t>
      </w:r>
      <w:r>
        <w:rPr>
          <w:rFonts w:hint="eastAsia" w:ascii="仿宋" w:hAnsi="仿宋" w:eastAsia="仿宋" w:cs="仿宋"/>
          <w:color w:val="auto"/>
          <w:sz w:val="24"/>
          <w:lang w:val="en-US" w:eastAsia="zh-CN"/>
        </w:rPr>
        <w:t>19</w:t>
      </w:r>
      <w:r>
        <w:rPr>
          <w:rFonts w:hint="eastAsia" w:ascii="仿宋" w:hAnsi="仿宋" w:eastAsia="仿宋" w:cs="仿宋"/>
          <w:color w:val="auto"/>
          <w:sz w:val="24"/>
        </w:rPr>
        <w:t>日11：00时</w:t>
      </w:r>
      <w:r>
        <w:rPr>
          <w:rFonts w:hint="eastAsia" w:ascii="仿宋" w:hAnsi="仿宋" w:eastAsia="仿宋" w:cs="仿宋"/>
          <w:color w:val="auto"/>
          <w:sz w:val="24"/>
        </w:rPr>
        <w:t>（北京时间）</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投标地点：新疆乌鲁木齐市沙依巴克区长江路76号兴乐世贸广场29楼 第1会议室</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rPr>
        <w:t xml:space="preserve"> 2022年01月</w:t>
      </w:r>
      <w:r>
        <w:rPr>
          <w:rFonts w:hint="eastAsia" w:ascii="仿宋" w:hAnsi="仿宋" w:eastAsia="仿宋" w:cs="仿宋"/>
          <w:color w:val="auto"/>
          <w:sz w:val="24"/>
          <w:lang w:val="en-US" w:eastAsia="zh-CN"/>
        </w:rPr>
        <w:t>19</w:t>
      </w:r>
      <w:r>
        <w:rPr>
          <w:rFonts w:hint="eastAsia" w:ascii="仿宋" w:hAnsi="仿宋" w:eastAsia="仿宋" w:cs="仿宋"/>
          <w:color w:val="auto"/>
          <w:sz w:val="24"/>
        </w:rPr>
        <w:t>日11：00时</w:t>
      </w:r>
      <w:r>
        <w:rPr>
          <w:rFonts w:hint="eastAsia" w:ascii="仿宋" w:hAnsi="仿宋" w:eastAsia="仿宋" w:cs="仿宋"/>
          <w:color w:val="auto"/>
          <w:sz w:val="24"/>
        </w:rPr>
        <w:t>（北京时间）</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开标地点：新疆乌鲁木齐市沙依巴克区长江路76号兴乐世贸广场29楼 第1会议室</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五、公告期限</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自本公告发布之日起5个工作日。</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六、其他补充事宜</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本项目公告期限为5个工作日，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4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七、对本次招标提出询问，请按以下方式联系。</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1.采购人信息</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名称：乌鲁木齐县卫生健康委员会</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地址：乌鲁木齐县水西沟镇南滩路45号</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联系人：钟主任</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联系方式：0991-7883252</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2.采购代理机构信息</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名 称：新疆品创项目管理咨询有限公司</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地 址：新疆乌鲁木齐市沙依巴克区长江路76号兴乐世贸广场29楼 业务一部</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联系方式：0991-5221788</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3.项目联系方式</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项目联系人：</w:t>
      </w:r>
      <w:r>
        <w:rPr>
          <w:rFonts w:hint="eastAsia" w:ascii="仿宋" w:hAnsi="仿宋" w:eastAsia="仿宋" w:cs="仿宋"/>
          <w:color w:val="auto"/>
          <w:sz w:val="24"/>
        </w:rPr>
        <w:t>齐娟、周娟、郭克栋、张轩、向磊、甘甜</w:t>
      </w:r>
    </w:p>
    <w:p>
      <w:pPr>
        <w:widowControl/>
        <w:shd w:val="clear" w:color="auto" w:fill="FFFFFF"/>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电话： 0991-5221788  </w:t>
      </w:r>
      <w:r>
        <w:rPr>
          <w:rFonts w:hint="eastAsia" w:ascii="仿宋" w:hAnsi="仿宋" w:eastAsia="仿宋" w:cs="仿宋"/>
          <w:color w:val="auto"/>
          <w:sz w:val="24"/>
        </w:rPr>
        <w:t>邮箱：472238220@qq.com</w:t>
      </w:r>
    </w:p>
    <w:p>
      <w:pPr>
        <w:widowControl/>
        <w:shd w:val="clear" w:color="auto" w:fill="FFFFFF"/>
        <w:spacing w:line="400" w:lineRule="exact"/>
        <w:ind w:firstLine="480" w:firstLineChars="200"/>
        <w:rPr>
          <w:rFonts w:ascii="仿宋" w:hAnsi="仿宋" w:eastAsia="仿宋" w:cs="仿宋"/>
          <w:color w:val="auto"/>
          <w:sz w:val="24"/>
        </w:rPr>
      </w:pPr>
    </w:p>
    <w:p>
      <w:pPr>
        <w:widowControl/>
        <w:shd w:val="clear" w:color="auto" w:fill="FFFFFF"/>
        <w:spacing w:line="400" w:lineRule="exact"/>
        <w:ind w:firstLine="480" w:firstLineChars="200"/>
        <w:rPr>
          <w:rFonts w:ascii="仿宋" w:hAnsi="仿宋" w:eastAsia="仿宋" w:cs="仿宋"/>
          <w:color w:val="auto"/>
          <w:sz w:val="24"/>
        </w:rPr>
      </w:pPr>
    </w:p>
    <w:p>
      <w:pPr>
        <w:widowControl/>
        <w:jc w:val="left"/>
        <w:rPr>
          <w:rFonts w:ascii="仿宋" w:hAnsi="仿宋" w:eastAsia="仿宋" w:cs="仿宋"/>
          <w:b/>
          <w:color w:val="auto"/>
          <w:sz w:val="24"/>
        </w:rPr>
      </w:pPr>
      <w:r>
        <w:rPr>
          <w:rFonts w:hint="eastAsia" w:ascii="仿宋" w:hAnsi="仿宋" w:eastAsia="仿宋" w:cs="仿宋"/>
          <w:b/>
          <w:color w:val="auto"/>
          <w:sz w:val="24"/>
        </w:rPr>
        <w:br w:type="page"/>
      </w:r>
    </w:p>
    <w:p>
      <w:pPr>
        <w:pStyle w:val="326"/>
        <w:spacing w:beforeLines="50" w:afterLines="50" w:line="360" w:lineRule="auto"/>
        <w:jc w:val="center"/>
        <w:outlineLvl w:val="0"/>
        <w:rPr>
          <w:rFonts w:ascii="仿宋" w:hAnsi="仿宋" w:eastAsia="仿宋" w:cs="仿宋"/>
          <w:b/>
          <w:color w:val="auto"/>
          <w:sz w:val="32"/>
          <w:szCs w:val="32"/>
        </w:rPr>
      </w:pPr>
      <w:r>
        <w:rPr>
          <w:rFonts w:hint="eastAsia" w:ascii="仿宋" w:hAnsi="仿宋" w:eastAsia="仿宋" w:cs="仿宋"/>
          <w:b/>
          <w:color w:val="auto"/>
          <w:sz w:val="32"/>
          <w:szCs w:val="32"/>
        </w:rPr>
        <w:t>第二章  投标须知前附表表及投标须知</w:t>
      </w:r>
    </w:p>
    <w:p>
      <w:pPr>
        <w:shd w:val="clear" w:color="auto" w:fill="FFFFFF"/>
        <w:autoSpaceDE w:val="0"/>
        <w:autoSpaceDN w:val="0"/>
        <w:adjustRightInd w:val="0"/>
        <w:spacing w:line="36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一、投标须知前附表表</w:t>
      </w:r>
    </w:p>
    <w:p>
      <w:pPr>
        <w:shd w:val="clear" w:color="auto" w:fill="FFFFFF"/>
        <w:autoSpaceDE w:val="0"/>
        <w:autoSpaceDN w:val="0"/>
        <w:adjustRightInd w:val="0"/>
        <w:spacing w:line="360" w:lineRule="exact"/>
        <w:jc w:val="center"/>
        <w:rPr>
          <w:rFonts w:ascii="仿宋" w:hAnsi="仿宋" w:eastAsia="仿宋" w:cs="仿宋"/>
          <w:b/>
          <w:bCs/>
          <w:color w:val="auto"/>
          <w:kern w:val="0"/>
          <w:sz w:val="24"/>
        </w:rPr>
      </w:pPr>
    </w:p>
    <w:tbl>
      <w:tblPr>
        <w:tblStyle w:val="59"/>
        <w:tblW w:w="10065"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13"/>
        <w:gridCol w:w="73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项号</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内  容</w:t>
            </w:r>
          </w:p>
        </w:tc>
        <w:tc>
          <w:tcPr>
            <w:tcW w:w="7316"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restart"/>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１</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项目名称</w:t>
            </w:r>
          </w:p>
        </w:tc>
        <w:tc>
          <w:tcPr>
            <w:tcW w:w="7316" w:type="dxa"/>
            <w:vAlign w:val="center"/>
          </w:tcPr>
          <w:p>
            <w:pPr>
              <w:shd w:val="clear" w:color="auto" w:fill="FFFFFF"/>
              <w:autoSpaceDE w:val="0"/>
              <w:autoSpaceDN w:val="0"/>
              <w:spacing w:line="360" w:lineRule="exact"/>
              <w:rPr>
                <w:rFonts w:ascii="仿宋" w:hAnsi="仿宋" w:eastAsia="仿宋" w:cs="仿宋"/>
                <w:bCs/>
                <w:color w:val="auto"/>
                <w:spacing w:val="-4"/>
                <w:kern w:val="0"/>
                <w:sz w:val="24"/>
              </w:rPr>
            </w:pPr>
            <w:r>
              <w:rPr>
                <w:rFonts w:hint="eastAsia" w:ascii="仿宋" w:hAnsi="仿宋" w:eastAsia="仿宋" w:cs="仿宋"/>
                <w:color w:val="auto"/>
                <w:sz w:val="24"/>
              </w:rPr>
              <w:t>乌鲁木齐县卫生健康委员会16排螺旋CT系统采购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rPr>
            </w:pP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color w:val="auto"/>
                <w:sz w:val="24"/>
              </w:rPr>
              <w:t>项目编号</w:t>
            </w:r>
          </w:p>
        </w:tc>
        <w:tc>
          <w:tcPr>
            <w:tcW w:w="7316" w:type="dxa"/>
            <w:vAlign w:val="center"/>
          </w:tcPr>
          <w:p>
            <w:pPr>
              <w:shd w:val="clear" w:color="auto" w:fill="FFFFFF"/>
              <w:autoSpaceDE w:val="0"/>
              <w:autoSpaceDN w:val="0"/>
              <w:spacing w:line="360" w:lineRule="exact"/>
              <w:rPr>
                <w:rFonts w:ascii="仿宋" w:hAnsi="仿宋" w:eastAsia="仿宋" w:cs="仿宋"/>
                <w:color w:val="auto"/>
                <w:sz w:val="24"/>
              </w:rPr>
            </w:pPr>
            <w:r>
              <w:rPr>
                <w:rFonts w:hint="eastAsia" w:ascii="仿宋" w:hAnsi="仿宋" w:eastAsia="仿宋" w:cs="仿宋"/>
                <w:color w:val="auto"/>
                <w:sz w:val="24"/>
              </w:rPr>
              <w:t>2021PC121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rPr>
            </w:pPr>
          </w:p>
        </w:tc>
        <w:tc>
          <w:tcPr>
            <w:tcW w:w="1913" w:type="dxa"/>
            <w:vAlign w:val="center"/>
          </w:tcPr>
          <w:p>
            <w:pPr>
              <w:shd w:val="clear" w:color="auto" w:fill="FFFFFF"/>
              <w:autoSpaceDE w:val="0"/>
              <w:autoSpaceDN w:val="0"/>
              <w:spacing w:line="360" w:lineRule="exact"/>
              <w:jc w:val="center"/>
              <w:rPr>
                <w:rFonts w:ascii="仿宋" w:hAnsi="仿宋" w:eastAsia="仿宋" w:cs="仿宋"/>
                <w:color w:val="auto"/>
                <w:sz w:val="24"/>
              </w:rPr>
            </w:pPr>
            <w:r>
              <w:rPr>
                <w:rFonts w:hint="eastAsia" w:ascii="仿宋" w:hAnsi="仿宋" w:eastAsia="仿宋" w:cs="仿宋"/>
                <w:color w:val="auto"/>
                <w:sz w:val="24"/>
              </w:rPr>
              <w:t>采购人</w:t>
            </w:r>
          </w:p>
        </w:tc>
        <w:tc>
          <w:tcPr>
            <w:tcW w:w="7316" w:type="dxa"/>
            <w:vAlign w:val="center"/>
          </w:tcPr>
          <w:p>
            <w:pPr>
              <w:shd w:val="clear" w:color="auto" w:fill="FFFFFF"/>
              <w:autoSpaceDE w:val="0"/>
              <w:autoSpaceDN w:val="0"/>
              <w:spacing w:line="360" w:lineRule="exact"/>
              <w:rPr>
                <w:rFonts w:ascii="仿宋" w:hAnsi="仿宋" w:eastAsia="仿宋" w:cs="仿宋"/>
                <w:color w:val="auto"/>
                <w:sz w:val="24"/>
              </w:rPr>
            </w:pPr>
            <w:r>
              <w:rPr>
                <w:rFonts w:hint="eastAsia" w:ascii="仿宋" w:hAnsi="仿宋" w:eastAsia="仿宋" w:cs="仿宋"/>
                <w:color w:val="auto"/>
                <w:sz w:val="24"/>
              </w:rPr>
              <w:t>乌鲁木齐县卫生健康委员会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rPr>
            </w:pP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采购方式</w:t>
            </w:r>
          </w:p>
        </w:tc>
        <w:tc>
          <w:tcPr>
            <w:tcW w:w="7316" w:type="dxa"/>
            <w:vAlign w:val="center"/>
          </w:tcPr>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rPr>
            </w:pP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资金来源</w:t>
            </w:r>
          </w:p>
        </w:tc>
        <w:tc>
          <w:tcPr>
            <w:tcW w:w="7316" w:type="dxa"/>
            <w:vAlign w:val="center"/>
          </w:tcPr>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rPr>
            </w:pP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资格审查方式</w:t>
            </w:r>
          </w:p>
        </w:tc>
        <w:tc>
          <w:tcPr>
            <w:tcW w:w="7316" w:type="dxa"/>
            <w:vAlign w:val="center"/>
          </w:tcPr>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rPr>
            </w:pP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采购内容</w:t>
            </w:r>
          </w:p>
        </w:tc>
        <w:tc>
          <w:tcPr>
            <w:tcW w:w="7316" w:type="dxa"/>
            <w:vAlign w:val="center"/>
          </w:tcPr>
          <w:p>
            <w:pPr>
              <w:shd w:val="clear" w:color="auto" w:fill="FFFFFF"/>
              <w:autoSpaceDE w:val="0"/>
              <w:autoSpaceDN w:val="0"/>
              <w:spacing w:line="360" w:lineRule="exact"/>
              <w:rPr>
                <w:rFonts w:ascii="仿宋" w:hAnsi="仿宋" w:eastAsia="仿宋" w:cs="仿宋"/>
                <w:color w:val="auto"/>
                <w:sz w:val="24"/>
              </w:rPr>
            </w:pPr>
            <w:r>
              <w:rPr>
                <w:rFonts w:hint="eastAsia" w:ascii="仿宋" w:hAnsi="仿宋" w:eastAsia="仿宋" w:cs="仿宋"/>
                <w:color w:val="auto"/>
                <w:sz w:val="24"/>
              </w:rPr>
              <w:t>16排螺旋CT系统1套，</w:t>
            </w:r>
            <w:r>
              <w:rPr>
                <w:rFonts w:hint="eastAsia" w:ascii="仿宋" w:hAnsi="仿宋" w:eastAsia="仿宋" w:cs="仿宋"/>
                <w:bCs/>
                <w:color w:val="auto"/>
                <w:kern w:val="0"/>
                <w:sz w:val="24"/>
              </w:rPr>
              <w:t>具体要求详见第四章《采购需求》。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预算</w:t>
            </w:r>
            <w:r>
              <w:rPr>
                <w:rFonts w:hint="eastAsia" w:ascii="仿宋" w:hAnsi="仿宋" w:eastAsia="仿宋" w:cs="仿宋"/>
                <w:color w:val="auto"/>
                <w:sz w:val="24"/>
              </w:rPr>
              <w:t>及最高限价</w:t>
            </w:r>
          </w:p>
        </w:tc>
        <w:tc>
          <w:tcPr>
            <w:tcW w:w="7316" w:type="dxa"/>
            <w:vAlign w:val="center"/>
          </w:tcPr>
          <w:p>
            <w:pPr>
              <w:widowControl/>
              <w:shd w:val="clear" w:color="auto" w:fill="FFFFFF"/>
              <w:spacing w:line="360" w:lineRule="exact"/>
              <w:rPr>
                <w:rFonts w:ascii="仿宋" w:hAnsi="仿宋" w:eastAsia="仿宋" w:cs="仿宋"/>
                <w:b/>
                <w:color w:val="auto"/>
                <w:sz w:val="24"/>
              </w:rPr>
            </w:pPr>
            <w:r>
              <w:rPr>
                <w:rFonts w:hint="eastAsia" w:ascii="仿宋" w:hAnsi="仿宋" w:eastAsia="仿宋" w:cs="仿宋"/>
                <w:b/>
                <w:color w:val="auto"/>
                <w:sz w:val="24"/>
              </w:rPr>
              <w:t>预算4000000.00元，最高限价4000000.00元。</w:t>
            </w:r>
          </w:p>
          <w:p>
            <w:pPr>
              <w:widowControl/>
              <w:shd w:val="clear" w:color="auto" w:fill="FFFFFF"/>
              <w:spacing w:line="360" w:lineRule="exact"/>
              <w:rPr>
                <w:rFonts w:ascii="仿宋" w:hAnsi="仿宋" w:eastAsia="仿宋" w:cs="仿宋"/>
                <w:b/>
                <w:color w:val="auto"/>
                <w:sz w:val="24"/>
              </w:rPr>
            </w:pPr>
            <w:r>
              <w:rPr>
                <w:rFonts w:hint="eastAsia" w:ascii="仿宋" w:hAnsi="仿宋" w:eastAsia="仿宋" w:cs="仿宋"/>
                <w:b/>
                <w:color w:val="auto"/>
                <w:sz w:val="24"/>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3</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质量标准</w:t>
            </w:r>
          </w:p>
        </w:tc>
        <w:tc>
          <w:tcPr>
            <w:tcW w:w="7316" w:type="dxa"/>
            <w:vAlign w:val="center"/>
          </w:tcPr>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供应商资格</w:t>
            </w:r>
          </w:p>
        </w:tc>
        <w:tc>
          <w:tcPr>
            <w:tcW w:w="7316" w:type="dxa"/>
            <w:vAlign w:val="center"/>
          </w:tcPr>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4.1符合《中华人民共和国政府采购法》第二十二条规定；</w:t>
            </w:r>
          </w:p>
          <w:p>
            <w:pPr>
              <w:widowControl/>
              <w:shd w:val="clear" w:color="auto" w:fill="FFFFFF"/>
              <w:spacing w:line="380" w:lineRule="exact"/>
              <w:rPr>
                <w:rFonts w:ascii="仿宋" w:hAnsi="仿宋" w:eastAsia="仿宋" w:cs="仿宋"/>
                <w:color w:val="auto"/>
                <w:sz w:val="24"/>
              </w:rPr>
            </w:pPr>
            <w:r>
              <w:rPr>
                <w:rFonts w:hint="eastAsia" w:ascii="仿宋" w:hAnsi="仿宋" w:eastAsia="仿宋" w:cs="仿宋"/>
                <w:color w:val="auto"/>
                <w:sz w:val="24"/>
              </w:rPr>
              <w:t>4.2本项目特定资格要求：供应商须具有医疗器械经营许可证（或按照国家食品药品监督管理部门规定实行备案管理的，出具备案证明文件）；供应商所投产品须具备医疗器械注册证（含登记表）(或按照国家食品药品监督管理部门规定实行备案管理的，出具备案证明文件)；货物制造商须具备医疗器械生产许可证。</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4.3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Pr>
                <w:rFonts w:hint="eastAsia" w:ascii="仿宋" w:hAnsi="仿宋" w:eastAsia="仿宋" w:cs="仿宋"/>
                <w:b/>
                <w:color w:val="auto"/>
                <w:sz w:val="24"/>
              </w:rPr>
              <w:t>（注：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4.4供应商不得存在下列情形之一：</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（l）与采购人、采购代理机构存在隶属关系或者其他利害关系。</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（2）与其他供应商的法定代表人（或者负责人）为同一人；或者与其他供应商存在直接控股、管理关系的；</w:t>
            </w:r>
          </w:p>
          <w:p>
            <w:pPr>
              <w:widowControl/>
              <w:shd w:val="clear" w:color="auto" w:fill="FFFFFF"/>
              <w:spacing w:line="360" w:lineRule="exact"/>
              <w:rPr>
                <w:rFonts w:ascii="仿宋" w:hAnsi="仿宋" w:eastAsia="仿宋" w:cs="仿宋"/>
                <w:color w:val="auto"/>
                <w:kern w:val="0"/>
                <w:sz w:val="24"/>
              </w:rPr>
            </w:pPr>
            <w:r>
              <w:rPr>
                <w:rFonts w:hint="eastAsia" w:ascii="仿宋" w:hAnsi="仿宋" w:eastAsia="仿宋" w:cs="仿宋"/>
                <w:color w:val="auto"/>
                <w:kern w:val="0"/>
                <w:sz w:val="24"/>
              </w:rPr>
              <w:t>（3）为采购项目提供整体设计、规范编制或者项目管理、监理、检测等服务的供应商,不得再参加该采购项目的其他采购活动。</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kern w:val="0"/>
                <w:sz w:val="24"/>
              </w:rPr>
              <w:t>4.5</w:t>
            </w:r>
            <w:r>
              <w:rPr>
                <w:rFonts w:hint="eastAsia" w:ascii="仿宋" w:hAnsi="仿宋" w:eastAsia="仿宋" w:cs="仿宋"/>
                <w:color w:val="auto"/>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5</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投标文件份数</w:t>
            </w:r>
          </w:p>
        </w:tc>
        <w:tc>
          <w:tcPr>
            <w:tcW w:w="7316" w:type="dxa"/>
            <w:vAlign w:val="center"/>
          </w:tcPr>
          <w:p>
            <w:pPr>
              <w:widowControl/>
              <w:shd w:val="clear" w:color="auto" w:fill="FFFFFF"/>
              <w:spacing w:line="360" w:lineRule="exact"/>
              <w:jc w:val="left"/>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纸质版投标文件正本1份，副本4份，正本和副本应分别装入信袋内；《开标一览表》1份（单独密封）；电子版投标文件（U盘形式提供，电子版投标文件应为正本投标文件的扫描件）1个（单独密封）；密封要求见本表第12项要求；</w:t>
            </w:r>
          </w:p>
          <w:p>
            <w:pPr>
              <w:shd w:val="clear" w:color="auto" w:fill="FFFFFF"/>
              <w:autoSpaceDE w:val="0"/>
              <w:autoSpaceDN w:val="0"/>
              <w:spacing w:line="360" w:lineRule="exact"/>
              <w:rPr>
                <w:rFonts w:ascii="仿宋" w:hAnsi="仿宋" w:eastAsia="仿宋" w:cs="仿宋"/>
                <w:b/>
                <w:bCs/>
                <w:color w:val="auto"/>
                <w:kern w:val="0"/>
                <w:sz w:val="24"/>
              </w:rPr>
            </w:pPr>
            <w:r>
              <w:rPr>
                <w:rFonts w:hint="eastAsia" w:ascii="仿宋" w:hAnsi="仿宋" w:eastAsia="仿宋" w:cs="仿宋"/>
                <w:b/>
                <w:color w:val="auto"/>
                <w:spacing w:val="-10"/>
                <w:kern w:val="0"/>
                <w:sz w:val="24"/>
              </w:rPr>
              <w:t>供应商未按上述要求提供投标文件，将导致投标被否决。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6</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投标文件递交截止时间</w:t>
            </w:r>
          </w:p>
        </w:tc>
        <w:tc>
          <w:tcPr>
            <w:tcW w:w="7316" w:type="dxa"/>
            <w:vAlign w:val="center"/>
          </w:tcPr>
          <w:p>
            <w:pPr>
              <w:shd w:val="clear" w:color="auto" w:fill="FFFFFF"/>
              <w:autoSpaceDE w:val="0"/>
              <w:autoSpaceDN w:val="0"/>
              <w:spacing w:line="360" w:lineRule="exact"/>
              <w:rPr>
                <w:rFonts w:ascii="仿宋" w:hAnsi="仿宋" w:eastAsia="仿宋" w:cs="仿宋"/>
                <w:color w:val="auto"/>
                <w:sz w:val="24"/>
              </w:rPr>
            </w:pPr>
            <w:r>
              <w:rPr>
                <w:rFonts w:hint="eastAsia" w:ascii="仿宋" w:hAnsi="仿宋" w:eastAsia="仿宋" w:cs="仿宋"/>
                <w:color w:val="auto"/>
                <w:sz w:val="24"/>
              </w:rPr>
              <w:t>2022年01月</w:t>
            </w:r>
            <w:r>
              <w:rPr>
                <w:rFonts w:hint="eastAsia" w:ascii="仿宋" w:hAnsi="仿宋" w:eastAsia="仿宋" w:cs="仿宋"/>
                <w:color w:val="auto"/>
                <w:sz w:val="24"/>
                <w:lang w:val="en-US" w:eastAsia="zh-CN"/>
              </w:rPr>
              <w:t>19</w:t>
            </w:r>
            <w:r>
              <w:rPr>
                <w:rFonts w:hint="eastAsia" w:ascii="仿宋" w:hAnsi="仿宋" w:eastAsia="仿宋" w:cs="仿宋"/>
                <w:color w:val="auto"/>
                <w:sz w:val="24"/>
              </w:rPr>
              <w:t>日11：00时（北京时间）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7</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投标有效期限</w:t>
            </w:r>
          </w:p>
        </w:tc>
        <w:tc>
          <w:tcPr>
            <w:tcW w:w="7316" w:type="dxa"/>
            <w:vAlign w:val="center"/>
          </w:tcPr>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投标截止后</w:t>
            </w:r>
            <w:r>
              <w:rPr>
                <w:rFonts w:hint="eastAsia" w:ascii="仿宋" w:hAnsi="仿宋" w:eastAsia="仿宋" w:cs="仿宋"/>
                <w:bCs/>
                <w:color w:val="auto"/>
                <w:kern w:val="0"/>
                <w:sz w:val="24"/>
                <w:u w:val="single"/>
              </w:rPr>
              <w:t>90</w:t>
            </w:r>
            <w:r>
              <w:rPr>
                <w:rFonts w:hint="eastAsia" w:ascii="仿宋" w:hAnsi="仿宋" w:eastAsia="仿宋" w:cs="仿宋"/>
                <w:bCs/>
                <w:color w:val="auto"/>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8</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投标文件递交地点</w:t>
            </w:r>
          </w:p>
        </w:tc>
        <w:tc>
          <w:tcPr>
            <w:tcW w:w="7316" w:type="dxa"/>
            <w:vAlign w:val="center"/>
          </w:tcPr>
          <w:p>
            <w:pPr>
              <w:shd w:val="clear" w:color="auto" w:fill="FFFFFF"/>
              <w:autoSpaceDE w:val="0"/>
              <w:autoSpaceDN w:val="0"/>
              <w:spacing w:line="360" w:lineRule="exact"/>
              <w:rPr>
                <w:rFonts w:ascii="仿宋" w:hAnsi="仿宋" w:eastAsia="仿宋" w:cs="仿宋"/>
                <w:color w:val="auto"/>
                <w:kern w:val="0"/>
                <w:sz w:val="24"/>
              </w:rPr>
            </w:pPr>
            <w:r>
              <w:rPr>
                <w:rFonts w:hint="eastAsia" w:ascii="仿宋" w:hAnsi="仿宋" w:eastAsia="仿宋" w:cs="仿宋"/>
                <w:bCs/>
                <w:color w:val="auto"/>
                <w:kern w:val="0"/>
                <w:sz w:val="24"/>
              </w:rPr>
              <w:t>新疆乌鲁木齐市沙依巴克区长江路76号兴乐世贸广场29楼</w:t>
            </w:r>
            <w:r>
              <w:rPr>
                <w:rFonts w:hint="eastAsia" w:ascii="仿宋" w:hAnsi="仿宋" w:eastAsia="仿宋" w:cs="仿宋"/>
                <w:color w:val="auto"/>
                <w:sz w:val="24"/>
              </w:rPr>
              <w:t>第1会议室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9</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开标时间、开标地点</w:t>
            </w:r>
          </w:p>
        </w:tc>
        <w:tc>
          <w:tcPr>
            <w:tcW w:w="7316" w:type="dxa"/>
            <w:vAlign w:val="center"/>
          </w:tcPr>
          <w:p>
            <w:pPr>
              <w:shd w:val="clear" w:color="auto" w:fill="FFFFFF"/>
              <w:autoSpaceDE w:val="0"/>
              <w:autoSpaceDN w:val="0"/>
              <w:spacing w:line="360" w:lineRule="exact"/>
              <w:rPr>
                <w:rFonts w:ascii="仿宋" w:hAnsi="仿宋" w:eastAsia="仿宋" w:cs="仿宋"/>
                <w:color w:val="auto"/>
                <w:kern w:val="0"/>
                <w:sz w:val="24"/>
              </w:rPr>
            </w:pPr>
            <w:r>
              <w:rPr>
                <w:rFonts w:hint="eastAsia" w:ascii="仿宋" w:hAnsi="仿宋" w:eastAsia="仿宋" w:cs="仿宋"/>
                <w:color w:val="auto"/>
                <w:sz w:val="24"/>
              </w:rPr>
              <w:t>2022年01月</w:t>
            </w:r>
            <w:r>
              <w:rPr>
                <w:rFonts w:hint="eastAsia" w:ascii="仿宋" w:hAnsi="仿宋" w:eastAsia="仿宋" w:cs="仿宋"/>
                <w:color w:val="auto"/>
                <w:sz w:val="24"/>
                <w:lang w:val="en-US" w:eastAsia="zh-CN"/>
              </w:rPr>
              <w:t>19</w:t>
            </w:r>
            <w:r>
              <w:rPr>
                <w:rFonts w:hint="eastAsia" w:ascii="仿宋" w:hAnsi="仿宋" w:eastAsia="仿宋" w:cs="仿宋"/>
                <w:color w:val="auto"/>
                <w:sz w:val="24"/>
              </w:rPr>
              <w:t>日11：00时（北京时间）</w:t>
            </w:r>
          </w:p>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新疆乌鲁木齐市沙依巴克区长江路76号兴乐世贸广场29楼</w:t>
            </w:r>
            <w:r>
              <w:rPr>
                <w:rFonts w:hint="eastAsia" w:ascii="仿宋" w:hAnsi="仿宋" w:eastAsia="仿宋" w:cs="仿宋"/>
                <w:color w:val="auto"/>
                <w:sz w:val="24"/>
              </w:rPr>
              <w:t>第1会议室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10</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评标办法</w:t>
            </w:r>
          </w:p>
        </w:tc>
        <w:tc>
          <w:tcPr>
            <w:tcW w:w="7316" w:type="dxa"/>
            <w:vAlign w:val="center"/>
          </w:tcPr>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11</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投标保证金</w:t>
            </w:r>
          </w:p>
        </w:tc>
        <w:tc>
          <w:tcPr>
            <w:tcW w:w="7316" w:type="dxa"/>
            <w:vAlign w:val="center"/>
          </w:tcPr>
          <w:p>
            <w:pPr>
              <w:pStyle w:val="82"/>
              <w:shd w:val="clear" w:color="auto" w:fill="FFFFFF"/>
              <w:spacing w:line="36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金额：48000</w:t>
            </w:r>
            <w:r>
              <w:rPr>
                <w:rFonts w:hint="eastAsia" w:ascii="仿宋" w:hAnsi="仿宋" w:eastAsia="仿宋" w:cs="仿宋"/>
                <w:bCs/>
                <w:color w:val="auto"/>
                <w:sz w:val="24"/>
                <w:szCs w:val="24"/>
              </w:rPr>
              <w:t>.00元（肆万捌仟元）</w:t>
            </w:r>
          </w:p>
          <w:p>
            <w:pPr>
              <w:shd w:val="clear" w:color="auto" w:fill="FFFFFF"/>
              <w:spacing w:line="360" w:lineRule="exact"/>
              <w:rPr>
                <w:rFonts w:ascii="仿宋" w:hAnsi="仿宋" w:eastAsia="仿宋" w:cs="仿宋"/>
                <w:bCs/>
                <w:color w:val="auto"/>
                <w:kern w:val="0"/>
                <w:sz w:val="24"/>
              </w:rPr>
            </w:pPr>
            <w:r>
              <w:rPr>
                <w:rFonts w:hint="eastAsia" w:ascii="仿宋" w:hAnsi="仿宋" w:eastAsia="仿宋" w:cs="仿宋"/>
                <w:bCs/>
                <w:color w:val="auto"/>
                <w:sz w:val="24"/>
              </w:rPr>
              <w:t>供应商应于</w:t>
            </w:r>
            <w:r>
              <w:rPr>
                <w:rFonts w:hint="eastAsia" w:ascii="仿宋" w:hAnsi="仿宋" w:eastAsia="仿宋" w:cs="仿宋"/>
                <w:color w:val="auto"/>
                <w:sz w:val="24"/>
              </w:rPr>
              <w:t>2022年01月</w:t>
            </w:r>
            <w:r>
              <w:rPr>
                <w:rFonts w:hint="eastAsia" w:ascii="仿宋" w:hAnsi="仿宋" w:eastAsia="仿宋" w:cs="仿宋"/>
                <w:color w:val="auto"/>
                <w:sz w:val="24"/>
                <w:lang w:val="en-US" w:eastAsia="zh-CN"/>
              </w:rPr>
              <w:t>19</w:t>
            </w:r>
            <w:r>
              <w:rPr>
                <w:rFonts w:hint="eastAsia" w:ascii="仿宋" w:hAnsi="仿宋" w:eastAsia="仿宋" w:cs="仿宋"/>
                <w:color w:val="auto"/>
                <w:sz w:val="24"/>
              </w:rPr>
              <w:t>日</w:t>
            </w:r>
            <w:r>
              <w:rPr>
                <w:rFonts w:hint="eastAsia" w:ascii="仿宋" w:hAnsi="仿宋" w:eastAsia="仿宋" w:cs="仿宋"/>
                <w:color w:val="auto"/>
                <w:sz w:val="24"/>
              </w:rPr>
              <w:t>11:00时</w:t>
            </w:r>
            <w:r>
              <w:rPr>
                <w:rFonts w:hint="eastAsia" w:ascii="仿宋" w:hAnsi="仿宋" w:eastAsia="仿宋" w:cs="仿宋"/>
                <w:bCs/>
                <w:color w:val="auto"/>
                <w:kern w:val="0"/>
                <w:sz w:val="24"/>
                <w:szCs w:val="20"/>
              </w:rPr>
              <w:t>（北京时间）</w:t>
            </w:r>
            <w:r>
              <w:rPr>
                <w:rFonts w:hint="eastAsia" w:ascii="仿宋" w:hAnsi="仿宋" w:eastAsia="仿宋" w:cs="仿宋"/>
                <w:bCs/>
                <w:color w:val="auto"/>
                <w:sz w:val="24"/>
              </w:rPr>
              <w:t>前</w:t>
            </w:r>
            <w:r>
              <w:rPr>
                <w:rFonts w:hint="eastAsia" w:ascii="仿宋" w:hAnsi="仿宋" w:eastAsia="仿宋" w:cs="仿宋"/>
                <w:bCs/>
                <w:color w:val="auto"/>
                <w:kern w:val="0"/>
                <w:sz w:val="24"/>
              </w:rPr>
              <w:t>，将投标保证金由供应商账户缴纳至采购代理机构指定账户。</w:t>
            </w:r>
            <w:r>
              <w:rPr>
                <w:rFonts w:hint="eastAsia" w:ascii="仿宋" w:hAnsi="仿宋" w:eastAsia="仿宋" w:cs="仿宋"/>
                <w:bCs/>
                <w:color w:val="auto"/>
                <w:kern w:val="0"/>
                <w:sz w:val="24"/>
                <w:szCs w:val="20"/>
              </w:rPr>
              <w:t>投标保证金</w:t>
            </w:r>
            <w:r>
              <w:rPr>
                <w:rFonts w:hint="eastAsia" w:ascii="仿宋" w:hAnsi="仿宋" w:eastAsia="仿宋" w:cs="仿宋"/>
                <w:bCs/>
                <w:color w:val="auto"/>
                <w:kern w:val="0"/>
                <w:sz w:val="24"/>
              </w:rPr>
              <w:t>应采用人民币，以非现金形式的电汇、网银支付等方式提交。</w:t>
            </w:r>
          </w:p>
          <w:p>
            <w:pPr>
              <w:shd w:val="clear" w:color="auto" w:fill="FFFFFF"/>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账户名称：新疆品创项目管理咨询有限公司</w:t>
            </w:r>
          </w:p>
          <w:p>
            <w:pPr>
              <w:shd w:val="clear" w:color="auto" w:fill="FFFFFF"/>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开户银行：中国银行股份有限公司乌鲁木齐市安居南路支行</w:t>
            </w:r>
          </w:p>
          <w:p>
            <w:pPr>
              <w:shd w:val="clear" w:color="auto" w:fill="FFFFFF"/>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账号：107685372797</w:t>
            </w:r>
          </w:p>
          <w:p>
            <w:pPr>
              <w:shd w:val="clear" w:color="auto" w:fill="FFFFFF"/>
              <w:spacing w:line="360" w:lineRule="exact"/>
              <w:rPr>
                <w:rFonts w:ascii="仿宋" w:hAnsi="仿宋" w:eastAsia="仿宋" w:cs="仿宋"/>
                <w:bCs/>
                <w:color w:val="auto"/>
                <w:kern w:val="0"/>
                <w:sz w:val="24"/>
              </w:rPr>
            </w:pPr>
            <w:r>
              <w:rPr>
                <w:rFonts w:hint="eastAsia" w:ascii="仿宋" w:hAnsi="仿宋" w:eastAsia="仿宋" w:cs="仿宋"/>
                <w:bCs/>
                <w:color w:val="auto"/>
                <w:kern w:val="0"/>
                <w:sz w:val="24"/>
              </w:rPr>
              <w:t>行号：104881005046</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rPr>
              <w:t>注：</w:t>
            </w:r>
            <w:r>
              <w:rPr>
                <w:rFonts w:hint="eastAsia" w:ascii="仿宋" w:hAnsi="仿宋" w:eastAsia="仿宋" w:cs="仿宋"/>
                <w:bCs/>
                <w:color w:val="auto"/>
                <w:sz w:val="24"/>
                <w:szCs w:val="24"/>
              </w:rPr>
              <w:t>1、如果发现供应商有围标、串标行为，其投标无效，且投标保证金将被没收，不予退还；</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2、投标保证金未按规定时间缴纳或提交金额不足的，其投标将被否决，供应商应充分考虑资金在途时间；</w:t>
            </w:r>
          </w:p>
          <w:p>
            <w:pPr>
              <w:pStyle w:val="82"/>
              <w:shd w:val="clear" w:color="auto" w:fill="FFFFFF"/>
              <w:spacing w:line="360" w:lineRule="exact"/>
              <w:ind w:firstLine="0" w:firstLineChars="0"/>
              <w:rPr>
                <w:rFonts w:ascii="仿宋" w:hAnsi="仿宋" w:eastAsia="仿宋" w:cs="仿宋"/>
                <w:bCs/>
                <w:color w:val="auto"/>
                <w:kern w:val="0"/>
                <w:sz w:val="24"/>
                <w:szCs w:val="24"/>
              </w:rPr>
            </w:pPr>
            <w:r>
              <w:rPr>
                <w:rFonts w:hint="eastAsia" w:ascii="仿宋" w:hAnsi="仿宋" w:eastAsia="仿宋" w:cs="仿宋"/>
                <w:b/>
                <w:bCs/>
                <w:color w:val="auto"/>
                <w:sz w:val="24"/>
                <w:szCs w:val="24"/>
              </w:rPr>
              <w:t>3、供应商缴纳投标保证金时，须备注“</w:t>
            </w:r>
            <w:r>
              <w:rPr>
                <w:rFonts w:hint="eastAsia" w:ascii="仿宋" w:hAnsi="仿宋" w:eastAsia="仿宋" w:cs="仿宋"/>
                <w:b/>
                <w:color w:val="auto"/>
                <w:sz w:val="24"/>
                <w:szCs w:val="24"/>
              </w:rPr>
              <w:t>一部2021PC121</w:t>
            </w:r>
            <w:r>
              <w:rPr>
                <w:rFonts w:hint="eastAsia" w:ascii="仿宋" w:hAnsi="仿宋" w:eastAsia="仿宋" w:cs="仿宋"/>
                <w:b/>
                <w:bCs/>
                <w:color w:val="auto"/>
                <w:sz w:val="24"/>
                <w:szCs w:val="24"/>
              </w:rPr>
              <w:t>”</w:t>
            </w:r>
            <w:r>
              <w:rPr>
                <w:rFonts w:hint="eastAsia" w:ascii="仿宋" w:hAnsi="仿宋" w:eastAsia="仿宋" w:cs="仿宋"/>
                <w:bCs/>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12</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投标文件密封标识及要求</w:t>
            </w:r>
          </w:p>
        </w:tc>
        <w:tc>
          <w:tcPr>
            <w:tcW w:w="7316" w:type="dxa"/>
            <w:vAlign w:val="center"/>
          </w:tcPr>
          <w:p>
            <w:pPr>
              <w:pStyle w:val="706"/>
              <w:autoSpaceDE w:val="0"/>
              <w:autoSpaceDN w:val="0"/>
              <w:adjustRightInd w:val="0"/>
              <w:spacing w:line="360" w:lineRule="exact"/>
              <w:rPr>
                <w:rFonts w:ascii="仿宋" w:hAnsi="仿宋" w:eastAsia="仿宋" w:cs="仿宋"/>
                <w:color w:val="auto"/>
                <w:sz w:val="24"/>
              </w:rPr>
            </w:pPr>
            <w:r>
              <w:rPr>
                <w:rFonts w:hint="eastAsia" w:ascii="仿宋" w:hAnsi="仿宋" w:eastAsia="仿宋" w:cs="仿宋"/>
                <w:color w:val="auto"/>
                <w:sz w:val="24"/>
              </w:rPr>
              <w:t>纸质版投标文件封面/纸质版投标文件密封袋封面/电子版投标文件密封袋封面/《开标一览表》密封袋封面均应按照以下内容标识并加盖投标供应商公章。“正本”、“副本”如有不一致时，以“正本”为准。投标文件正本与副本须分开密封装订（并须在外封套及封皮注明“正本”、“副本”字样）：</w:t>
            </w:r>
          </w:p>
          <w:p>
            <w:pPr>
              <w:pStyle w:val="706"/>
              <w:numPr>
                <w:ilvl w:val="0"/>
                <w:numId w:val="11"/>
              </w:numPr>
              <w:autoSpaceDE w:val="0"/>
              <w:autoSpaceDN w:val="0"/>
              <w:adjustRightInd w:val="0"/>
              <w:spacing w:line="360" w:lineRule="exact"/>
              <w:rPr>
                <w:rFonts w:ascii="仿宋" w:hAnsi="仿宋" w:eastAsia="仿宋" w:cs="仿宋"/>
                <w:bCs/>
                <w:color w:val="auto"/>
                <w:kern w:val="0"/>
                <w:sz w:val="24"/>
              </w:rPr>
            </w:pPr>
            <w:r>
              <w:rPr>
                <w:rFonts w:hint="eastAsia" w:ascii="仿宋" w:hAnsi="仿宋" w:eastAsia="仿宋" w:cs="仿宋"/>
                <w:color w:val="auto"/>
                <w:sz w:val="24"/>
              </w:rPr>
              <w:t>采购代理机构：</w:t>
            </w:r>
            <w:r>
              <w:rPr>
                <w:rFonts w:hint="eastAsia" w:ascii="仿宋" w:hAnsi="仿宋" w:eastAsia="仿宋" w:cs="仿宋"/>
                <w:bCs/>
                <w:color w:val="auto"/>
                <w:kern w:val="0"/>
                <w:sz w:val="24"/>
              </w:rPr>
              <w:t>新疆品创项目管理咨询有限公司</w:t>
            </w:r>
          </w:p>
          <w:p>
            <w:pPr>
              <w:pStyle w:val="706"/>
              <w:numPr>
                <w:ilvl w:val="0"/>
                <w:numId w:val="11"/>
              </w:numPr>
              <w:autoSpaceDE w:val="0"/>
              <w:autoSpaceDN w:val="0"/>
              <w:adjustRightInd w:val="0"/>
              <w:spacing w:line="360" w:lineRule="exact"/>
              <w:rPr>
                <w:rFonts w:ascii="仿宋" w:hAnsi="仿宋" w:eastAsia="仿宋" w:cs="仿宋"/>
                <w:color w:val="auto"/>
                <w:sz w:val="24"/>
              </w:rPr>
            </w:pPr>
            <w:r>
              <w:rPr>
                <w:rFonts w:hint="eastAsia" w:ascii="仿宋" w:hAnsi="仿宋" w:eastAsia="仿宋" w:cs="仿宋"/>
                <w:color w:val="auto"/>
                <w:sz w:val="24"/>
              </w:rPr>
              <w:t>项目名称：</w:t>
            </w:r>
          </w:p>
          <w:p>
            <w:pPr>
              <w:pStyle w:val="706"/>
              <w:autoSpaceDE w:val="0"/>
              <w:autoSpaceDN w:val="0"/>
              <w:adjustRightInd w:val="0"/>
              <w:spacing w:line="360" w:lineRule="exact"/>
              <w:rPr>
                <w:rFonts w:ascii="仿宋" w:hAnsi="仿宋" w:eastAsia="仿宋" w:cs="仿宋"/>
                <w:color w:val="auto"/>
                <w:sz w:val="24"/>
              </w:rPr>
            </w:pPr>
            <w:r>
              <w:rPr>
                <w:rFonts w:hint="eastAsia" w:ascii="仿宋" w:hAnsi="仿宋" w:eastAsia="仿宋" w:cs="仿宋"/>
                <w:color w:val="auto"/>
                <w:sz w:val="24"/>
              </w:rPr>
              <w:t>(3)项目编号：</w:t>
            </w:r>
          </w:p>
          <w:p>
            <w:pPr>
              <w:pStyle w:val="706"/>
              <w:autoSpaceDE w:val="0"/>
              <w:autoSpaceDN w:val="0"/>
              <w:adjustRightInd w:val="0"/>
              <w:spacing w:line="360" w:lineRule="exact"/>
              <w:rPr>
                <w:rFonts w:ascii="仿宋" w:hAnsi="仿宋" w:eastAsia="仿宋" w:cs="仿宋"/>
                <w:color w:val="auto"/>
                <w:sz w:val="24"/>
              </w:rPr>
            </w:pPr>
            <w:r>
              <w:rPr>
                <w:rFonts w:hint="eastAsia" w:ascii="仿宋" w:hAnsi="仿宋" w:eastAsia="仿宋" w:cs="仿宋"/>
                <w:color w:val="auto"/>
                <w:sz w:val="24"/>
              </w:rPr>
              <w:t>⑷供应商名称、地址、授权代表姓名、联系电话：</w:t>
            </w:r>
          </w:p>
          <w:p>
            <w:pPr>
              <w:pStyle w:val="706"/>
              <w:autoSpaceDE w:val="0"/>
              <w:autoSpaceDN w:val="0"/>
              <w:adjustRightInd w:val="0"/>
              <w:spacing w:line="360" w:lineRule="exact"/>
              <w:rPr>
                <w:rFonts w:ascii="仿宋" w:hAnsi="仿宋" w:eastAsia="仿宋" w:cs="仿宋"/>
                <w:color w:val="auto"/>
                <w:sz w:val="24"/>
              </w:rPr>
            </w:pPr>
            <w:r>
              <w:rPr>
                <w:rFonts w:hint="eastAsia" w:ascii="仿宋" w:hAnsi="仿宋" w:eastAsia="仿宋" w:cs="仿宋"/>
                <w:color w:val="auto"/>
                <w:sz w:val="24"/>
              </w:rPr>
              <w:t>⑸注明“开标时间前不准启封” 、“正本”、“副本”、“电子投标文件”、“开标一览表”字样。</w:t>
            </w:r>
          </w:p>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b/>
                <w:bCs/>
                <w:color w:val="auto"/>
                <w:kern w:val="0"/>
                <w:sz w:val="24"/>
              </w:rPr>
              <w:t>供应商未按上述要求提供投标文件的，将导致投标无效。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13</w:t>
            </w:r>
          </w:p>
        </w:tc>
        <w:tc>
          <w:tcPr>
            <w:tcW w:w="1913" w:type="dxa"/>
            <w:vAlign w:val="center"/>
          </w:tcPr>
          <w:p>
            <w:pPr>
              <w:pStyle w:val="82"/>
              <w:shd w:val="clear" w:color="auto" w:fill="FFFFFF"/>
              <w:spacing w:line="36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对招标文件的质疑</w:t>
            </w:r>
          </w:p>
        </w:tc>
        <w:tc>
          <w:tcPr>
            <w:tcW w:w="7316" w:type="dxa"/>
            <w:vAlign w:val="center"/>
          </w:tcPr>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供应商如需对招标文件内容质疑，须按以下要求提出：</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①接受对招标文件提出质疑的截止时间：</w:t>
            </w:r>
            <w:r>
              <w:rPr>
                <w:rFonts w:hint="eastAsia" w:ascii="仿宋" w:hAnsi="仿宋" w:eastAsia="仿宋" w:cs="仿宋"/>
                <w:color w:val="auto"/>
                <w:sz w:val="24"/>
                <w:szCs w:val="24"/>
              </w:rPr>
              <w:t>2022年01月</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日</w:t>
            </w:r>
            <w:r>
              <w:rPr>
                <w:rFonts w:hint="eastAsia" w:ascii="仿宋" w:hAnsi="仿宋" w:eastAsia="仿宋" w:cs="仿宋"/>
                <w:bCs/>
                <w:color w:val="auto"/>
                <w:sz w:val="24"/>
                <w:szCs w:val="24"/>
              </w:rPr>
              <w:t>16:00时（逾期不予受理），供应商应在法定质疑期内一次性提出所有质疑内容。</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②质疑函应以书面形式（按照财政部94号令要求）通知采购代理机构。采购代理机构将在收到质疑函后7个工作日内作出答复，并以书面形式通知质疑供应商和其他有关供应商。</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③联系部门：新疆品创项目管理咨询有限公司 业务一部</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④联系电话：</w:t>
            </w:r>
            <w:r>
              <w:rPr>
                <w:rFonts w:hint="eastAsia" w:ascii="仿宋" w:hAnsi="仿宋" w:eastAsia="仿宋" w:cs="仿宋"/>
                <w:color w:val="auto"/>
                <w:sz w:val="24"/>
                <w:szCs w:val="24"/>
              </w:rPr>
              <w:t>0991-5221788</w:t>
            </w:r>
          </w:p>
          <w:p>
            <w:pPr>
              <w:pStyle w:val="82"/>
              <w:shd w:val="clear" w:color="auto" w:fill="FFFFFF"/>
              <w:spacing w:line="36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sz w:val="24"/>
                <w:szCs w:val="24"/>
              </w:rPr>
              <w:t>⑤通讯地址：新疆乌鲁木齐市沙依巴克区长江路76号兴乐世贸广场29楼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14</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履约保证金</w:t>
            </w:r>
          </w:p>
        </w:tc>
        <w:tc>
          <w:tcPr>
            <w:tcW w:w="7316" w:type="dxa"/>
            <w:vAlign w:val="center"/>
          </w:tcPr>
          <w:p>
            <w:pPr>
              <w:pStyle w:val="82"/>
              <w:shd w:val="clear" w:color="auto" w:fill="FFFFFF"/>
              <w:spacing w:line="360" w:lineRule="exact"/>
              <w:ind w:firstLine="0" w:firstLineChars="0"/>
              <w:rPr>
                <w:rFonts w:ascii="仿宋" w:hAnsi="仿宋" w:eastAsia="仿宋" w:cs="仿宋"/>
                <w:color w:val="auto"/>
                <w:sz w:val="24"/>
                <w:szCs w:val="24"/>
              </w:rPr>
            </w:pPr>
            <w:r>
              <w:rPr>
                <w:rFonts w:hint="eastAsia" w:ascii="仿宋" w:hAnsi="仿宋" w:eastAsia="仿宋" w:cs="仿宋"/>
                <w:bCs/>
                <w:color w:val="auto"/>
                <w:kern w:val="0"/>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restart"/>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15</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交货期</w:t>
            </w:r>
          </w:p>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b/>
                <w:bCs/>
                <w:color w:val="auto"/>
                <w:sz w:val="24"/>
              </w:rPr>
              <w:t>（实质性条款）</w:t>
            </w:r>
          </w:p>
        </w:tc>
        <w:tc>
          <w:tcPr>
            <w:tcW w:w="7316" w:type="dxa"/>
            <w:vAlign w:val="center"/>
          </w:tcPr>
          <w:p>
            <w:pPr>
              <w:spacing w:line="360" w:lineRule="exact"/>
              <w:rPr>
                <w:rFonts w:ascii="仿宋" w:hAnsi="仿宋" w:eastAsia="仿宋" w:cs="仿宋"/>
                <w:bCs/>
                <w:color w:val="auto"/>
                <w:sz w:val="24"/>
              </w:rPr>
            </w:pPr>
            <w:r>
              <w:rPr>
                <w:rFonts w:hint="eastAsia" w:ascii="仿宋" w:hAnsi="仿宋" w:eastAsia="仿宋" w:cs="仿宋"/>
                <w:bCs/>
                <w:color w:val="auto"/>
                <w:kern w:val="0"/>
                <w:sz w:val="24"/>
              </w:rPr>
              <w:t>合同签订生效后合同签订后10天内全部货物到买方指定地点并安装调试完毕。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6" w:type="dxa"/>
            <w:vMerge w:val="continue"/>
            <w:vAlign w:val="center"/>
          </w:tcPr>
          <w:p>
            <w:pPr>
              <w:shd w:val="clear" w:color="auto" w:fill="FFFFFF"/>
              <w:autoSpaceDE w:val="0"/>
              <w:autoSpaceDN w:val="0"/>
              <w:spacing w:line="360" w:lineRule="exact"/>
              <w:jc w:val="center"/>
              <w:rPr>
                <w:rFonts w:ascii="仿宋" w:hAnsi="仿宋" w:eastAsia="仿宋" w:cs="仿宋"/>
                <w:color w:val="auto"/>
                <w:kern w:val="0"/>
                <w:sz w:val="24"/>
              </w:rPr>
            </w:pPr>
          </w:p>
        </w:tc>
        <w:tc>
          <w:tcPr>
            <w:tcW w:w="1913" w:type="dxa"/>
            <w:vAlign w:val="center"/>
          </w:tcPr>
          <w:p>
            <w:pPr>
              <w:pStyle w:val="82"/>
              <w:shd w:val="clear" w:color="auto" w:fill="FFFFFF"/>
              <w:spacing w:line="36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交货地点</w:t>
            </w:r>
          </w:p>
          <w:p>
            <w:pPr>
              <w:pStyle w:val="82"/>
              <w:shd w:val="clear" w:color="auto" w:fill="FFFFFF"/>
              <w:spacing w:line="36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
                <w:bCs/>
                <w:color w:val="auto"/>
                <w:sz w:val="24"/>
                <w:szCs w:val="24"/>
              </w:rPr>
              <w:t>（实质性条款）</w:t>
            </w:r>
          </w:p>
        </w:tc>
        <w:tc>
          <w:tcPr>
            <w:tcW w:w="7316" w:type="dxa"/>
            <w:vAlign w:val="center"/>
          </w:tcPr>
          <w:p>
            <w:pPr>
              <w:pStyle w:val="724"/>
              <w:tabs>
                <w:tab w:val="left" w:pos="314"/>
              </w:tabs>
              <w:spacing w:line="414" w:lineRule="exact"/>
              <w:jc w:val="left"/>
              <w:rPr>
                <w:rFonts w:ascii="仿宋" w:hAnsi="仿宋" w:eastAsia="仿宋" w:cs="仿宋"/>
                <w:bCs/>
                <w:color w:val="auto"/>
                <w:kern w:val="0"/>
                <w:sz w:val="24"/>
                <w:szCs w:val="24"/>
              </w:rPr>
            </w:pPr>
            <w:r>
              <w:rPr>
                <w:rFonts w:hint="eastAsia" w:ascii="仿宋" w:hAnsi="仿宋" w:eastAsia="仿宋" w:cs="仿宋"/>
                <w:color w:val="auto"/>
                <w:sz w:val="24"/>
                <w:szCs w:val="24"/>
              </w:rPr>
              <w:t>乌鲁木齐县南旅基地县人民医院院内</w:t>
            </w:r>
            <w:r>
              <w:rPr>
                <w:rFonts w:hint="eastAsia" w:ascii="仿宋" w:hAnsi="仿宋" w:eastAsia="仿宋" w:cs="仿宋"/>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16</w:t>
            </w:r>
          </w:p>
        </w:tc>
        <w:tc>
          <w:tcPr>
            <w:tcW w:w="1913" w:type="dxa"/>
            <w:vAlign w:val="center"/>
          </w:tcPr>
          <w:p>
            <w:pPr>
              <w:pStyle w:val="82"/>
              <w:shd w:val="clear" w:color="auto" w:fill="FFFFFF"/>
              <w:spacing w:line="36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付款方式</w:t>
            </w:r>
          </w:p>
          <w:p>
            <w:pPr>
              <w:pStyle w:val="82"/>
              <w:shd w:val="clear" w:color="auto" w:fill="FFFFFF"/>
              <w:spacing w:line="36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
                <w:bCs/>
                <w:color w:val="auto"/>
                <w:sz w:val="24"/>
                <w:szCs w:val="24"/>
              </w:rPr>
              <w:t>（实质性条款）</w:t>
            </w:r>
          </w:p>
        </w:tc>
        <w:tc>
          <w:tcPr>
            <w:tcW w:w="7316" w:type="dxa"/>
            <w:vAlign w:val="center"/>
          </w:tcPr>
          <w:p>
            <w:pPr>
              <w:spacing w:line="360" w:lineRule="exact"/>
              <w:rPr>
                <w:rFonts w:ascii="仿宋" w:hAnsi="仿宋" w:eastAsia="仿宋" w:cs="仿宋"/>
                <w:bCs/>
                <w:color w:val="auto"/>
                <w:sz w:val="24"/>
              </w:rPr>
            </w:pPr>
            <w:r>
              <w:rPr>
                <w:rFonts w:hint="eastAsia" w:ascii="仿宋" w:hAnsi="仿宋" w:eastAsia="仿宋" w:cs="仿宋"/>
                <w:bCs/>
                <w:color w:val="auto"/>
                <w:kern w:val="0"/>
                <w:sz w:val="24"/>
              </w:rPr>
              <w:t>合同签订生效后支付合同价格的30%，全部货到甲方指定地点并安装调试完毕，正常运行至全套设备系统最终验收合格后，乙方开具正式发票给甲方，甲方收到发票后支付合同价格的67%，剩余3%待货物质保期满，且乙方如约履行维保义务后无息付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17</w:t>
            </w:r>
          </w:p>
        </w:tc>
        <w:tc>
          <w:tcPr>
            <w:tcW w:w="1913" w:type="dxa"/>
            <w:vAlign w:val="center"/>
          </w:tcPr>
          <w:p>
            <w:pPr>
              <w:shd w:val="clear" w:color="auto" w:fill="FFFFFF"/>
              <w:autoSpaceDE w:val="0"/>
              <w:autoSpaceDN w:val="0"/>
              <w:spacing w:line="360" w:lineRule="exact"/>
              <w:jc w:val="center"/>
              <w:rPr>
                <w:rFonts w:ascii="仿宋" w:hAnsi="仿宋" w:eastAsia="仿宋" w:cs="仿宋"/>
                <w:bCs/>
                <w:color w:val="auto"/>
                <w:kern w:val="0"/>
                <w:sz w:val="24"/>
              </w:rPr>
            </w:pPr>
            <w:r>
              <w:rPr>
                <w:rFonts w:hint="eastAsia" w:ascii="仿宋" w:hAnsi="仿宋" w:eastAsia="仿宋" w:cs="仿宋"/>
                <w:color w:val="auto"/>
                <w:sz w:val="24"/>
              </w:rPr>
              <w:t>保修期</w:t>
            </w:r>
            <w:r>
              <w:rPr>
                <w:rFonts w:hint="eastAsia" w:ascii="仿宋" w:hAnsi="仿宋" w:eastAsia="仿宋" w:cs="仿宋"/>
                <w:b/>
                <w:bCs/>
                <w:color w:val="auto"/>
                <w:sz w:val="24"/>
              </w:rPr>
              <w:t>（实质性条款）</w:t>
            </w:r>
          </w:p>
        </w:tc>
        <w:tc>
          <w:tcPr>
            <w:tcW w:w="7316" w:type="dxa"/>
            <w:vAlign w:val="center"/>
          </w:tcPr>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整机保修1年（自全套设备验收合格之日起计算）。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18</w:t>
            </w:r>
          </w:p>
        </w:tc>
        <w:tc>
          <w:tcPr>
            <w:tcW w:w="1913" w:type="dxa"/>
            <w:vAlign w:val="center"/>
          </w:tcPr>
          <w:p>
            <w:pPr>
              <w:shd w:val="clear" w:color="auto" w:fill="FFFFFF"/>
              <w:autoSpaceDE w:val="0"/>
              <w:autoSpaceDN w:val="0"/>
              <w:spacing w:line="360" w:lineRule="exact"/>
              <w:rPr>
                <w:rFonts w:ascii="仿宋" w:hAnsi="仿宋" w:eastAsia="仿宋" w:cs="仿宋"/>
                <w:bCs/>
                <w:color w:val="auto"/>
                <w:kern w:val="0"/>
                <w:sz w:val="24"/>
              </w:rPr>
            </w:pPr>
            <w:r>
              <w:rPr>
                <w:rFonts w:hint="eastAsia" w:ascii="仿宋" w:hAnsi="仿宋" w:eastAsia="仿宋" w:cs="仿宋"/>
                <w:color w:val="auto"/>
                <w:kern w:val="1"/>
                <w:sz w:val="24"/>
              </w:rPr>
              <w:t>政府采购政策</w:t>
            </w:r>
          </w:p>
        </w:tc>
        <w:tc>
          <w:tcPr>
            <w:tcW w:w="7316" w:type="dxa"/>
            <w:vAlign w:val="center"/>
          </w:tcPr>
          <w:p>
            <w:pPr>
              <w:spacing w:line="360" w:lineRule="exact"/>
              <w:rPr>
                <w:rFonts w:ascii="仿宋" w:hAnsi="仿宋" w:eastAsia="仿宋" w:cs="仿宋"/>
                <w:color w:val="auto"/>
                <w:kern w:val="0"/>
                <w:sz w:val="24"/>
                <w:szCs w:val="20"/>
              </w:rPr>
            </w:pPr>
            <w:r>
              <w:rPr>
                <w:rFonts w:hint="eastAsia" w:ascii="仿宋" w:hAnsi="仿宋" w:eastAsia="仿宋" w:cs="仿宋"/>
                <w:color w:val="auto"/>
                <w:kern w:val="0"/>
                <w:sz w:val="24"/>
                <w:szCs w:val="20"/>
              </w:rPr>
              <w:t>18.1本项目不专门面向中小企业预留采购份额。</w:t>
            </w:r>
          </w:p>
          <w:p>
            <w:pPr>
              <w:spacing w:line="360" w:lineRule="exact"/>
              <w:rPr>
                <w:rFonts w:ascii="仿宋" w:hAnsi="仿宋" w:eastAsia="仿宋" w:cs="仿宋"/>
                <w:color w:val="auto"/>
                <w:sz w:val="24"/>
              </w:rPr>
            </w:pPr>
            <w:r>
              <w:rPr>
                <w:rFonts w:hint="eastAsia" w:ascii="仿宋" w:hAnsi="仿宋" w:eastAsia="仿宋" w:cs="仿宋"/>
                <w:color w:val="auto"/>
                <w:sz w:val="24"/>
              </w:rPr>
              <w:t>18.2根据工信部等部委发布的《关于印发中小企业划型标准规定的通知》（工信部联企业〔2011〕300号）、财政部、工业和信息化部《政府采购促进中小企业发展管理办法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仿宋" w:hAnsi="仿宋" w:eastAsia="仿宋" w:cs="仿宋"/>
                <w:b/>
                <w:color w:val="auto"/>
                <w:sz w:val="24"/>
                <w:u w:val="single"/>
              </w:rPr>
              <w:t>工业制造业</w:t>
            </w:r>
            <w:r>
              <w:rPr>
                <w:rFonts w:hint="eastAsia" w:ascii="仿宋" w:hAnsi="仿宋" w:eastAsia="仿宋" w:cs="仿宋"/>
                <w:color w:val="auto"/>
                <w:sz w:val="24"/>
              </w:rPr>
              <w:t>，符合以下条件的中小微型企业应按照招标文件格式要求提供《中小企业声明函》。</w:t>
            </w:r>
          </w:p>
          <w:p>
            <w:pPr>
              <w:spacing w:line="360" w:lineRule="exact"/>
              <w:rPr>
                <w:rFonts w:ascii="仿宋" w:hAnsi="仿宋" w:eastAsia="仿宋" w:cs="仿宋"/>
                <w:color w:val="auto"/>
                <w:sz w:val="24"/>
              </w:rPr>
            </w:pPr>
            <w:r>
              <w:rPr>
                <w:rFonts w:hint="eastAsia" w:ascii="仿宋" w:hAnsi="仿宋" w:eastAsia="仿宋" w:cs="仿宋"/>
                <w:color w:val="auto"/>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exact"/>
              <w:rPr>
                <w:rFonts w:ascii="仿宋" w:hAnsi="仿宋" w:eastAsia="仿宋" w:cs="仿宋"/>
                <w:color w:val="auto"/>
                <w:sz w:val="24"/>
              </w:rPr>
            </w:pPr>
            <w:r>
              <w:rPr>
                <w:rFonts w:hint="eastAsia" w:ascii="仿宋" w:hAnsi="仿宋" w:eastAsia="仿宋" w:cs="仿宋"/>
                <w:color w:val="auto"/>
                <w:sz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pacing w:line="360" w:lineRule="exact"/>
              <w:rPr>
                <w:rFonts w:ascii="仿宋" w:hAnsi="仿宋" w:eastAsia="仿宋" w:cs="仿宋"/>
                <w:color w:val="auto"/>
                <w:sz w:val="24"/>
              </w:rPr>
            </w:pPr>
            <w:r>
              <w:rPr>
                <w:rFonts w:hint="eastAsia" w:ascii="仿宋" w:hAnsi="仿宋" w:eastAsia="仿宋" w:cs="仿宋"/>
                <w:color w:val="auto"/>
                <w:sz w:val="24"/>
              </w:rPr>
              <w:t>（3）根据上述文件规定，对满足以上（1）（2）两项条件并按照规定格式提供《中小企业声明函》的小微企业的投标总报价给予 6 %的扣除，用扣除后的价格参与评审。</w:t>
            </w:r>
          </w:p>
          <w:p>
            <w:pPr>
              <w:spacing w:line="360" w:lineRule="exact"/>
              <w:rPr>
                <w:rFonts w:ascii="仿宋" w:hAnsi="仿宋" w:eastAsia="仿宋" w:cs="仿宋"/>
                <w:color w:val="auto"/>
                <w:sz w:val="24"/>
              </w:rPr>
            </w:pPr>
            <w:r>
              <w:rPr>
                <w:rFonts w:hint="eastAsia" w:ascii="仿宋" w:hAnsi="仿宋" w:eastAsia="仿宋" w:cs="仿宋"/>
                <w:color w:val="auto"/>
                <w:sz w:val="24"/>
              </w:rPr>
              <w:t>（4）依据本办法规定享受扶持政策获得政府采购合同的，小微企业不得将合同分包给大中型企业，中型企业不得将合同分包给大型企业。</w:t>
            </w:r>
          </w:p>
          <w:p>
            <w:pPr>
              <w:spacing w:line="360" w:lineRule="exact"/>
              <w:rPr>
                <w:rFonts w:ascii="仿宋" w:hAnsi="仿宋" w:eastAsia="仿宋" w:cs="仿宋"/>
                <w:color w:val="auto"/>
                <w:sz w:val="24"/>
              </w:rPr>
            </w:pPr>
            <w:r>
              <w:rPr>
                <w:rFonts w:hint="eastAsia" w:ascii="仿宋" w:hAnsi="仿宋" w:eastAsia="仿宋" w:cs="仿宋"/>
                <w:color w:val="auto"/>
                <w:sz w:val="24"/>
              </w:rPr>
              <w:t>（5）提供由省级以上监狱管理局、戒毒管理局（含新疆生产建设兵团）出具的属于监狱企业证明文件（扫描件）的，视同为小型和微型企业。</w:t>
            </w:r>
          </w:p>
          <w:p>
            <w:pPr>
              <w:spacing w:line="360" w:lineRule="exact"/>
              <w:rPr>
                <w:rFonts w:ascii="仿宋" w:hAnsi="仿宋" w:eastAsia="仿宋" w:cs="仿宋"/>
                <w:color w:val="auto"/>
                <w:sz w:val="24"/>
              </w:rPr>
            </w:pPr>
            <w:r>
              <w:rPr>
                <w:rFonts w:hint="eastAsia" w:ascii="仿宋" w:hAnsi="仿宋" w:eastAsia="仿宋" w:cs="仿宋"/>
                <w:color w:val="auto"/>
                <w:sz w:val="24"/>
              </w:rPr>
              <w:t>（6）符合享受政府采购支持政策的残疾人福利性单位条件且提供《残疾人福利性单位声明函》的，视同为小型和微型企业。</w:t>
            </w:r>
          </w:p>
          <w:p>
            <w:pPr>
              <w:pStyle w:val="713"/>
              <w:spacing w:line="240" w:lineRule="auto"/>
              <w:rPr>
                <w:rFonts w:hint="eastAsia" w:ascii="仿宋" w:hAnsi="仿宋" w:eastAsia="仿宋" w:cs="仿宋"/>
                <w:color w:val="auto"/>
                <w:sz w:val="24"/>
              </w:rPr>
            </w:pPr>
            <w:r>
              <w:rPr>
                <w:rFonts w:hint="eastAsia" w:ascii="仿宋" w:hAnsi="仿宋" w:eastAsia="仿宋" w:cs="仿宋"/>
                <w:color w:val="auto"/>
                <w:sz w:val="24"/>
              </w:rPr>
              <w:t>18.3节能、环境标志产品评审优惠内容及加分幅度：</w:t>
            </w:r>
          </w:p>
          <w:p>
            <w:pPr>
              <w:pStyle w:val="713"/>
              <w:spacing w:line="240" w:lineRule="auto"/>
              <w:rPr>
                <w:rFonts w:hint="eastAsia" w:ascii="仿宋" w:hAnsi="仿宋" w:eastAsia="仿宋" w:cs="仿宋"/>
                <w:color w:val="auto"/>
                <w:sz w:val="24"/>
              </w:rPr>
            </w:pPr>
            <w:r>
              <w:rPr>
                <w:rFonts w:hint="eastAsia" w:ascii="仿宋" w:hAnsi="仿宋" w:eastAsia="仿宋" w:cs="仿宋"/>
                <w:color w:val="auto"/>
                <w:sz w:val="24"/>
              </w:rPr>
              <w:t>严格执行《财政部 发展改革委 生态环境部 市场监管总局关于调整优化节能产品、环境标志产品政府采购执行机制的通知》（财库〔2019〕9 号）。</w:t>
            </w:r>
          </w:p>
          <w:p>
            <w:pPr>
              <w:pStyle w:val="713"/>
              <w:spacing w:line="400" w:lineRule="exact"/>
              <w:rPr>
                <w:rFonts w:ascii="仿宋" w:hAnsi="仿宋" w:eastAsia="仿宋" w:cs="仿宋"/>
                <w:color w:val="auto"/>
                <w:sz w:val="24"/>
              </w:rPr>
            </w:pPr>
            <w:r>
              <w:rPr>
                <w:rFonts w:hint="eastAsia" w:ascii="仿宋" w:hAnsi="仿宋" w:eastAsia="仿宋" w:cs="仿宋"/>
                <w:color w:val="auto"/>
                <w:sz w:val="24"/>
              </w:rPr>
              <w:t>（1）本次采购产品属于政府强制采购产品类别的，须按照要求提供依据国家确定的认证机构出具的、处于有效期之内的节能产品认证证书，</w:t>
            </w:r>
            <w:r>
              <w:rPr>
                <w:rFonts w:hint="eastAsia" w:ascii="仿宋" w:hAnsi="仿宋" w:eastAsia="仿宋" w:cs="仿宋"/>
                <w:b/>
                <w:bCs/>
                <w:color w:val="auto"/>
                <w:sz w:val="24"/>
              </w:rPr>
              <w:t>否则投标无效。</w:t>
            </w:r>
          </w:p>
          <w:p>
            <w:pPr>
              <w:pStyle w:val="713"/>
              <w:spacing w:line="240" w:lineRule="auto"/>
              <w:rPr>
                <w:rFonts w:ascii="仿宋" w:hAnsi="仿宋" w:eastAsia="仿宋" w:cs="仿宋"/>
                <w:color w:val="auto"/>
                <w:kern w:val="1"/>
                <w:sz w:val="24"/>
              </w:rPr>
            </w:pPr>
            <w:r>
              <w:rPr>
                <w:rFonts w:hint="eastAsia" w:ascii="仿宋" w:hAnsi="仿宋" w:eastAsia="仿宋" w:cs="仿宋"/>
                <w:color w:val="auto"/>
                <w:sz w:val="24"/>
              </w:rPr>
              <w:t>（2）属于政府优先采购产品类别的，须按照要求提供依据国家确定的认证机构出具的、处于有效期之内的节能产品或环境标志产品认证证书，否则不予认定。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19</w:t>
            </w:r>
          </w:p>
        </w:tc>
        <w:tc>
          <w:tcPr>
            <w:tcW w:w="1913" w:type="dxa"/>
            <w:vAlign w:val="center"/>
          </w:tcPr>
          <w:p>
            <w:pPr>
              <w:spacing w:line="360" w:lineRule="exact"/>
              <w:rPr>
                <w:rFonts w:ascii="仿宋" w:hAnsi="仿宋" w:eastAsia="仿宋" w:cs="仿宋"/>
                <w:color w:val="auto"/>
                <w:kern w:val="1"/>
                <w:sz w:val="24"/>
              </w:rPr>
            </w:pPr>
            <w:r>
              <w:rPr>
                <w:rFonts w:hint="eastAsia" w:ascii="仿宋" w:hAnsi="仿宋" w:eastAsia="仿宋" w:cs="仿宋"/>
                <w:color w:val="auto"/>
                <w:kern w:val="1"/>
                <w:sz w:val="24"/>
              </w:rPr>
              <w:t>其他说明</w:t>
            </w:r>
          </w:p>
        </w:tc>
        <w:tc>
          <w:tcPr>
            <w:tcW w:w="7316" w:type="dxa"/>
            <w:vAlign w:val="center"/>
          </w:tcPr>
          <w:p>
            <w:pPr>
              <w:pStyle w:val="713"/>
              <w:spacing w:line="400" w:lineRule="exact"/>
              <w:rPr>
                <w:rFonts w:ascii="仿宋" w:hAnsi="仿宋" w:eastAsia="仿宋" w:cs="仿宋"/>
                <w:color w:val="auto"/>
                <w:sz w:val="24"/>
              </w:rPr>
            </w:pPr>
            <w:r>
              <w:rPr>
                <w:rFonts w:hint="eastAsia" w:ascii="仿宋" w:hAnsi="仿宋" w:eastAsia="仿宋" w:cs="仿宋"/>
                <w:color w:val="auto"/>
                <w:sz w:val="24"/>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pStyle w:val="713"/>
              <w:spacing w:line="400" w:lineRule="exact"/>
              <w:rPr>
                <w:rFonts w:ascii="仿宋" w:hAnsi="仿宋" w:eastAsia="仿宋" w:cs="仿宋"/>
                <w:color w:val="auto"/>
                <w:kern w:val="1"/>
                <w:sz w:val="24"/>
              </w:rPr>
            </w:pPr>
            <w:r>
              <w:rPr>
                <w:rFonts w:hint="eastAsia" w:ascii="仿宋" w:hAnsi="仿宋" w:eastAsia="仿宋" w:cs="仿宋"/>
                <w:color w:val="auto"/>
                <w:sz w:val="24"/>
              </w:rPr>
              <w:t>19.2非单一产品采购项目，采购人应当根据采购项目技术构成、产品价格比重等合理确定核心产品，并在招标文件中载明。多家供应商提供的核心产品品牌相同的，按前款规定处理。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20</w:t>
            </w:r>
          </w:p>
        </w:tc>
        <w:tc>
          <w:tcPr>
            <w:tcW w:w="1913" w:type="dxa"/>
            <w:vAlign w:val="center"/>
          </w:tcPr>
          <w:p>
            <w:pPr>
              <w:shd w:val="clear" w:color="auto" w:fill="FFFFFF"/>
              <w:autoSpaceDE w:val="0"/>
              <w:autoSpaceDN w:val="0"/>
              <w:spacing w:line="360" w:lineRule="exact"/>
              <w:jc w:val="center"/>
              <w:rPr>
                <w:rFonts w:ascii="仿宋" w:hAnsi="仿宋" w:eastAsia="仿宋" w:cs="仿宋"/>
                <w:color w:val="auto"/>
                <w:kern w:val="1"/>
                <w:sz w:val="24"/>
              </w:rPr>
            </w:pPr>
            <w:r>
              <w:rPr>
                <w:rFonts w:hint="eastAsia" w:ascii="仿宋" w:hAnsi="仿宋" w:eastAsia="仿宋" w:cs="仿宋"/>
                <w:color w:val="auto"/>
                <w:kern w:val="1"/>
                <w:sz w:val="24"/>
              </w:rPr>
              <w:t>公证费</w:t>
            </w:r>
          </w:p>
        </w:tc>
        <w:tc>
          <w:tcPr>
            <w:tcW w:w="7316" w:type="dxa"/>
            <w:vAlign w:val="center"/>
          </w:tcPr>
          <w:p>
            <w:pPr>
              <w:rPr>
                <w:rFonts w:ascii="仿宋" w:hAnsi="仿宋" w:eastAsia="仿宋" w:cs="仿宋"/>
                <w:color w:val="auto"/>
                <w:kern w:val="1"/>
                <w:sz w:val="24"/>
              </w:rPr>
            </w:pPr>
            <w:r>
              <w:rPr>
                <w:rFonts w:hint="eastAsia" w:ascii="仿宋" w:hAnsi="仿宋" w:eastAsia="仿宋" w:cs="仿宋"/>
                <w:color w:val="auto"/>
                <w:kern w:val="1"/>
                <w:sz w:val="24"/>
              </w:rPr>
              <w:t>公证费：500元，由中标单位支付。</w:t>
            </w:r>
          </w:p>
          <w:p>
            <w:pPr>
              <w:rPr>
                <w:rFonts w:ascii="仿宋" w:hAnsi="仿宋" w:eastAsia="仿宋" w:cs="仿宋"/>
                <w:color w:val="auto"/>
                <w:kern w:val="1"/>
                <w:sz w:val="24"/>
              </w:rPr>
            </w:pPr>
            <w:r>
              <w:rPr>
                <w:rFonts w:hint="eastAsia" w:ascii="仿宋" w:hAnsi="仿宋" w:eastAsia="仿宋" w:cs="仿宋"/>
                <w:color w:val="auto"/>
                <w:kern w:val="1"/>
                <w:sz w:val="24"/>
              </w:rPr>
              <w:t>公证单位：新疆维吾尔自治区乌鲁木齐西域公证处</w:t>
            </w:r>
          </w:p>
          <w:p>
            <w:pPr>
              <w:pStyle w:val="649"/>
              <w:jc w:val="both"/>
              <w:rPr>
                <w:rFonts w:ascii="仿宋" w:hAnsi="仿宋" w:eastAsia="仿宋" w:cs="仿宋"/>
                <w:color w:val="auto"/>
                <w:kern w:val="2"/>
              </w:rPr>
            </w:pPr>
            <w:r>
              <w:rPr>
                <w:rFonts w:hint="eastAsia" w:ascii="仿宋" w:hAnsi="仿宋" w:eastAsia="仿宋" w:cs="仿宋"/>
                <w:color w:val="auto"/>
                <w:kern w:val="1"/>
              </w:rPr>
              <w:t>联系人：张燕    联系电话：18199162089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21</w:t>
            </w:r>
          </w:p>
        </w:tc>
        <w:tc>
          <w:tcPr>
            <w:tcW w:w="1913" w:type="dxa"/>
            <w:vAlign w:val="center"/>
          </w:tcPr>
          <w:p>
            <w:pPr>
              <w:shd w:val="clear" w:color="auto" w:fill="FFFFFF"/>
              <w:autoSpaceDE w:val="0"/>
              <w:autoSpaceDN w:val="0"/>
              <w:spacing w:line="360" w:lineRule="exact"/>
              <w:jc w:val="center"/>
              <w:rPr>
                <w:rFonts w:ascii="仿宋" w:hAnsi="仿宋" w:eastAsia="仿宋" w:cs="仿宋"/>
                <w:color w:val="auto"/>
                <w:kern w:val="1"/>
                <w:sz w:val="24"/>
              </w:rPr>
            </w:pPr>
            <w:r>
              <w:rPr>
                <w:rFonts w:hint="eastAsia" w:ascii="仿宋" w:hAnsi="仿宋" w:eastAsia="仿宋" w:cs="仿宋"/>
                <w:color w:val="auto"/>
                <w:spacing w:val="-16"/>
                <w:kern w:val="0"/>
                <w:sz w:val="24"/>
              </w:rPr>
              <w:t>招标代理服务费</w:t>
            </w:r>
          </w:p>
        </w:tc>
        <w:tc>
          <w:tcPr>
            <w:tcW w:w="7316" w:type="dxa"/>
            <w:vAlign w:val="center"/>
          </w:tcPr>
          <w:p>
            <w:pPr>
              <w:pStyle w:val="714"/>
              <w:spacing w:line="360" w:lineRule="exact"/>
              <w:rPr>
                <w:rFonts w:ascii="仿宋" w:hAnsi="仿宋" w:eastAsia="仿宋" w:cs="仿宋"/>
                <w:color w:val="auto"/>
                <w:kern w:val="0"/>
                <w:sz w:val="24"/>
              </w:rPr>
            </w:pPr>
            <w:r>
              <w:rPr>
                <w:rFonts w:hint="eastAsia" w:ascii="仿宋" w:hAnsi="仿宋" w:eastAsia="仿宋" w:cs="仿宋"/>
                <w:color w:val="auto"/>
                <w:sz w:val="24"/>
              </w:rPr>
              <w:t>交纳时间：</w:t>
            </w:r>
            <w:bookmarkStart w:id="0" w:name="EB38aee35c8bb7443381a66f9cccb3a2a3"/>
            <w:bookmarkEnd w:id="0"/>
            <w:r>
              <w:rPr>
                <w:rFonts w:hint="eastAsia" w:ascii="仿宋" w:hAnsi="仿宋" w:eastAsia="仿宋" w:cs="仿宋"/>
                <w:color w:val="auto"/>
                <w:kern w:val="0"/>
                <w:sz w:val="24"/>
              </w:rPr>
              <w:t>中标单位在《中标通知书》核发前交纳。</w:t>
            </w:r>
          </w:p>
          <w:p>
            <w:pPr>
              <w:pStyle w:val="714"/>
              <w:spacing w:line="360" w:lineRule="exact"/>
              <w:rPr>
                <w:rFonts w:ascii="仿宋" w:hAnsi="仿宋" w:eastAsia="仿宋" w:cs="仿宋"/>
                <w:color w:val="auto"/>
                <w:kern w:val="0"/>
                <w:sz w:val="24"/>
              </w:rPr>
            </w:pPr>
            <w:r>
              <w:rPr>
                <w:rFonts w:hint="eastAsia" w:ascii="仿宋" w:hAnsi="仿宋" w:eastAsia="仿宋" w:cs="仿宋"/>
                <w:color w:val="auto"/>
                <w:kern w:val="0"/>
                <w:sz w:val="24"/>
              </w:rPr>
              <w:t>交纳金额</w:t>
            </w:r>
            <w:bookmarkStart w:id="1" w:name="EB2141701fe45e43ecb43361d4713eb39b"/>
            <w:bookmarkEnd w:id="1"/>
            <w:r>
              <w:rPr>
                <w:rFonts w:hint="eastAsia" w:ascii="仿宋" w:hAnsi="仿宋" w:eastAsia="仿宋" w:cs="仿宋"/>
                <w:color w:val="auto"/>
                <w:kern w:val="0"/>
                <w:sz w:val="24"/>
              </w:rPr>
              <w:t>：《中标通知书》载明的中标总金额×1.2%。</w:t>
            </w:r>
          </w:p>
          <w:p>
            <w:pPr>
              <w:pStyle w:val="714"/>
              <w:spacing w:line="360" w:lineRule="exact"/>
              <w:rPr>
                <w:rFonts w:ascii="仿宋" w:hAnsi="仿宋" w:eastAsia="仿宋" w:cs="仿宋"/>
                <w:color w:val="auto"/>
                <w:kern w:val="0"/>
                <w:sz w:val="24"/>
              </w:rPr>
            </w:pPr>
            <w:r>
              <w:rPr>
                <w:rFonts w:hint="eastAsia" w:ascii="仿宋" w:hAnsi="仿宋" w:eastAsia="仿宋" w:cs="仿宋"/>
                <w:bCs/>
                <w:color w:val="auto"/>
                <w:sz w:val="24"/>
              </w:rPr>
              <w:t>账户名称：新疆品创项目管理咨询有限公司</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开户行名称：中国银行股份有限公司乌鲁木齐市安居南路支行</w:t>
            </w:r>
          </w:p>
          <w:p>
            <w:pPr>
              <w:pStyle w:val="82"/>
              <w:shd w:val="clear" w:color="auto" w:fill="FFFFFF"/>
              <w:spacing w:line="360" w:lineRule="exact"/>
              <w:ind w:firstLine="0" w:firstLineChars="0"/>
              <w:rPr>
                <w:rFonts w:ascii="仿宋" w:hAnsi="仿宋" w:eastAsia="仿宋" w:cs="仿宋"/>
                <w:bCs/>
                <w:color w:val="auto"/>
                <w:sz w:val="24"/>
                <w:szCs w:val="24"/>
              </w:rPr>
            </w:pPr>
            <w:r>
              <w:rPr>
                <w:rFonts w:hint="eastAsia" w:ascii="仿宋" w:hAnsi="仿宋" w:eastAsia="仿宋" w:cs="仿宋"/>
                <w:bCs/>
                <w:color w:val="auto"/>
                <w:sz w:val="24"/>
                <w:szCs w:val="24"/>
              </w:rPr>
              <w:t>账号：107685372797</w:t>
            </w:r>
          </w:p>
          <w:p>
            <w:pPr>
              <w:pStyle w:val="649"/>
              <w:jc w:val="both"/>
              <w:rPr>
                <w:rFonts w:ascii="仿宋" w:hAnsi="仿宋" w:eastAsia="仿宋" w:cs="仿宋"/>
                <w:color w:val="auto"/>
                <w:kern w:val="1"/>
              </w:rPr>
            </w:pPr>
            <w:r>
              <w:rPr>
                <w:rFonts w:hint="eastAsia" w:ascii="仿宋" w:hAnsi="仿宋" w:eastAsia="仿宋" w:cs="仿宋"/>
                <w:bCs/>
                <w:color w:val="auto"/>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36" w:type="dxa"/>
            <w:vAlign w:val="center"/>
          </w:tcPr>
          <w:p>
            <w:pPr>
              <w:shd w:val="clear" w:color="auto" w:fill="FFFFFF"/>
              <w:autoSpaceDE w:val="0"/>
              <w:autoSpaceDN w:val="0"/>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22</w:t>
            </w:r>
          </w:p>
        </w:tc>
        <w:tc>
          <w:tcPr>
            <w:tcW w:w="9229" w:type="dxa"/>
            <w:gridSpan w:val="2"/>
            <w:vAlign w:val="center"/>
          </w:tcPr>
          <w:p>
            <w:pPr>
              <w:spacing w:line="360" w:lineRule="exact"/>
              <w:rPr>
                <w:rFonts w:ascii="仿宋" w:hAnsi="仿宋" w:eastAsia="仿宋" w:cs="仿宋"/>
                <w:color w:val="auto"/>
                <w:kern w:val="1"/>
                <w:sz w:val="24"/>
              </w:rPr>
            </w:pPr>
            <w:r>
              <w:rPr>
                <w:rFonts w:hint="eastAsia" w:ascii="仿宋" w:hAnsi="仿宋" w:eastAsia="仿宋" w:cs="仿宋"/>
                <w:color w:val="auto"/>
                <w:kern w:val="1"/>
                <w:sz w:val="24"/>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tc>
      </w:tr>
    </w:tbl>
    <w:p>
      <w:pPr>
        <w:widowControl/>
        <w:jc w:val="left"/>
        <w:rPr>
          <w:rFonts w:ascii="仿宋" w:hAnsi="仿宋" w:eastAsia="仿宋" w:cs="仿宋"/>
          <w:b/>
          <w:bCs/>
          <w:color w:val="auto"/>
          <w:kern w:val="0"/>
          <w:sz w:val="24"/>
        </w:rPr>
      </w:pPr>
    </w:p>
    <w:p>
      <w:pPr>
        <w:pStyle w:val="45"/>
        <w:rPr>
          <w:rFonts w:ascii="仿宋" w:hAnsi="仿宋" w:eastAsia="仿宋" w:cs="仿宋"/>
          <w:b/>
          <w:bCs/>
          <w:color w:val="auto"/>
          <w:kern w:val="0"/>
          <w:sz w:val="24"/>
        </w:rPr>
      </w:pPr>
      <w:r>
        <w:rPr>
          <w:rFonts w:hint="eastAsia" w:ascii="仿宋" w:hAnsi="仿宋" w:eastAsia="仿宋" w:cs="仿宋"/>
          <w:color w:val="auto"/>
          <w:kern w:val="0"/>
        </w:rPr>
        <w:br w:type="page"/>
      </w:r>
    </w:p>
    <w:p>
      <w:pPr>
        <w:shd w:val="clear" w:color="auto" w:fill="FFFFFF"/>
        <w:autoSpaceDE w:val="0"/>
        <w:autoSpaceDN w:val="0"/>
        <w:adjustRightInd w:val="0"/>
        <w:spacing w:line="44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二、投标须知</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（一）总则</w:t>
      </w:r>
    </w:p>
    <w:p>
      <w:pPr>
        <w:shd w:val="clear" w:color="auto" w:fill="FFFFFF"/>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1. 项目说明</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1.1 本项目概况详见投标须知前附表表（以下简称“前附表”）第1项所述。</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1.2本招标项目已经批准，已具备招标条件，现对该项目组织进行公开招标。</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1.3</w:t>
      </w:r>
      <w:r>
        <w:rPr>
          <w:rFonts w:hint="eastAsia" w:ascii="仿宋" w:hAnsi="仿宋" w:eastAsia="仿宋" w:cs="仿宋"/>
          <w:color w:val="auto"/>
          <w:sz w:val="24"/>
        </w:rPr>
        <w:t>本招标项目供应商的资格审查采取资格后审方式。本次招标不接受联合体投标、不接受备选方案。</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1.4 资格后审包括下列的内容</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1.4.1 供应商应满足“前附表”第4项规定的资格要求 ；</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1.4.2招标文件有要求供应商法定代表人或其授权代表签字或盖章和加盖供应商公章要求的，供应商须按招标文件要求签署；</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1.4.3交货期符合招标文件要求；</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1.4.4交货地点符合招标文件规定；</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1.4.5投标内容、数量、质量、服务等满足招标文件要求；</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1.4.6符合招标文件中规定的其他实质性要求；</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1.4.7无法律、法规和规章禁止的其他情况。</w:t>
      </w:r>
    </w:p>
    <w:p>
      <w:pPr>
        <w:shd w:val="clear" w:color="auto" w:fill="FFFFFF"/>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2. 招标范围</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2.1本招标项目招标范围</w:t>
      </w:r>
      <w:r>
        <w:rPr>
          <w:rFonts w:hint="eastAsia" w:ascii="仿宋" w:hAnsi="仿宋" w:eastAsia="仿宋" w:cs="仿宋"/>
          <w:color w:val="auto"/>
          <w:kern w:val="0"/>
          <w:sz w:val="24"/>
        </w:rPr>
        <w:t>已通过“前附表”第1项</w:t>
      </w:r>
      <w:r>
        <w:rPr>
          <w:rFonts w:hint="eastAsia" w:ascii="仿宋" w:hAnsi="仿宋" w:eastAsia="仿宋" w:cs="仿宋"/>
          <w:color w:val="auto"/>
          <w:sz w:val="24"/>
        </w:rPr>
        <w:t>采购内容</w:t>
      </w:r>
      <w:r>
        <w:rPr>
          <w:rFonts w:hint="eastAsia" w:ascii="仿宋" w:hAnsi="仿宋" w:eastAsia="仿宋" w:cs="仿宋"/>
          <w:color w:val="auto"/>
          <w:kern w:val="0"/>
          <w:sz w:val="24"/>
        </w:rPr>
        <w:t>所述，</w:t>
      </w:r>
      <w:r>
        <w:rPr>
          <w:rFonts w:hint="eastAsia" w:ascii="仿宋" w:hAnsi="仿宋" w:eastAsia="仿宋" w:cs="仿宋"/>
          <w:color w:val="auto"/>
          <w:sz w:val="24"/>
        </w:rPr>
        <w:t>指本项目招标文件中范围内所要求的所有工作内容。</w:t>
      </w:r>
    </w:p>
    <w:p>
      <w:pPr>
        <w:shd w:val="clear" w:color="auto" w:fill="FFFFFF"/>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3. 适用法律及约束力</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3.1 本次招标及由本次招标产生的合同受中华人民共和国的相关法律、法规制约和保护。供应商一旦购买了招标文件并参加本项目，即被认为接受了招标文件中的所有条件和规定。</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3.2供应商应保证，在中华人民共和国境内使用投标成果、服务或其任何一部分时，不会产生因第三方提出侵犯其专利权或其它知识产权而引起的法律和经济纠纷。</w:t>
      </w:r>
    </w:p>
    <w:p>
      <w:pPr>
        <w:shd w:val="clear" w:color="auto" w:fill="FFFFFF"/>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4. 招标项目实施要求</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4.1质量标准已通过“前附表”第3项所述。</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4.2 供应商与采购人签订合同后，按照招标文件及合同相关的要求编制现场服务计划。</w:t>
      </w:r>
    </w:p>
    <w:p>
      <w:pPr>
        <w:shd w:val="clear" w:color="auto" w:fill="FFFFFF"/>
        <w:spacing w:line="4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5. 交货期及交货地点</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5.1 交货期已</w:t>
      </w:r>
      <w:r>
        <w:rPr>
          <w:rFonts w:hint="eastAsia" w:ascii="仿宋" w:hAnsi="仿宋" w:eastAsia="仿宋" w:cs="仿宋"/>
          <w:color w:val="auto"/>
          <w:kern w:val="0"/>
          <w:sz w:val="24"/>
        </w:rPr>
        <w:t>通过“前附表”第15项所述，</w:t>
      </w:r>
      <w:r>
        <w:rPr>
          <w:rFonts w:hint="eastAsia" w:ascii="仿宋" w:hAnsi="仿宋" w:eastAsia="仿宋" w:cs="仿宋"/>
          <w:color w:val="auto"/>
          <w:sz w:val="24"/>
        </w:rPr>
        <w:t>是指完成本项目采购内容及配套服务工作、验收合格并移交采购人的时间；交货地点已</w:t>
      </w:r>
      <w:r>
        <w:rPr>
          <w:rFonts w:hint="eastAsia" w:ascii="仿宋" w:hAnsi="仿宋" w:eastAsia="仿宋" w:cs="仿宋"/>
          <w:color w:val="auto"/>
          <w:kern w:val="0"/>
          <w:sz w:val="24"/>
        </w:rPr>
        <w:t>通过“前附表”第15项所述</w:t>
      </w:r>
      <w:r>
        <w:rPr>
          <w:rFonts w:hint="eastAsia" w:ascii="仿宋" w:hAnsi="仿宋" w:eastAsia="仿宋" w:cs="仿宋"/>
          <w:color w:val="auto"/>
          <w:sz w:val="24"/>
        </w:rPr>
        <w:t>。</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6. 资金来源</w:t>
      </w:r>
    </w:p>
    <w:p>
      <w:pPr>
        <w:shd w:val="clear" w:color="auto" w:fill="FFFFFF"/>
        <w:spacing w:line="440" w:lineRule="exact"/>
        <w:ind w:firstLine="480" w:firstLineChars="200"/>
        <w:rPr>
          <w:rFonts w:ascii="仿宋" w:hAnsi="仿宋" w:eastAsia="仿宋" w:cs="仿宋"/>
          <w:b/>
          <w:bCs/>
          <w:color w:val="auto"/>
          <w:kern w:val="0"/>
          <w:sz w:val="24"/>
        </w:rPr>
      </w:pPr>
      <w:r>
        <w:rPr>
          <w:rFonts w:hint="eastAsia" w:ascii="仿宋" w:hAnsi="仿宋" w:eastAsia="仿宋" w:cs="仿宋"/>
          <w:bCs/>
          <w:color w:val="auto"/>
          <w:kern w:val="0"/>
          <w:sz w:val="24"/>
        </w:rPr>
        <w:t>6.1</w:t>
      </w:r>
      <w:r>
        <w:rPr>
          <w:rFonts w:hint="eastAsia" w:ascii="仿宋" w:hAnsi="仿宋" w:eastAsia="仿宋" w:cs="仿宋"/>
          <w:color w:val="auto"/>
          <w:kern w:val="0"/>
          <w:sz w:val="24"/>
        </w:rPr>
        <w:t>采购单位的资金通过“前附表”第 1 项所述的方式获得，并将部分资金用于本项目合同下的合格支付。</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7. 供应商资格要求</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供应商资格要求须满足“前附表”第4项要求。</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 xml:space="preserve">8. </w:t>
      </w:r>
      <w:r>
        <w:rPr>
          <w:rFonts w:hint="eastAsia" w:ascii="仿宋" w:hAnsi="仿宋" w:eastAsia="仿宋" w:cs="仿宋"/>
          <w:b/>
          <w:bCs/>
          <w:color w:val="auto"/>
          <w:kern w:val="0"/>
          <w:sz w:val="24"/>
        </w:rPr>
        <w:t>投标费用</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供应商应承担其编制投标文件与递交投标文件所涉及的一切费用，不论投标结果如何，采购人或采购代理机构均无义务和责任承担这些费用。</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9. 授权委托</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9.1 供应商代表为法定代表人的，须持有法定代表人资格证明书和法定代表人身份证；供应商代表不是供应商的法定代表人的，须持有法定代表人授权委托书和授权代表人的本人身份证。</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10. 联合体投标</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cs="仿宋"/>
          <w:bCs/>
          <w:color w:val="auto"/>
          <w:kern w:val="0"/>
          <w:sz w:val="24"/>
          <w:lang w:val="zh-CN"/>
        </w:rPr>
        <w:t>款</w:t>
      </w:r>
      <w:r>
        <w:rPr>
          <w:rFonts w:hint="eastAsia" w:ascii="仿宋" w:hAnsi="仿宋" w:eastAsia="仿宋" w:cs="仿宋"/>
          <w:bCs/>
          <w:color w:val="auto"/>
          <w:kern w:val="0"/>
          <w:sz w:val="24"/>
        </w:rPr>
        <w:t xml:space="preserve">规定外，还应遵守以下规定： </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（l）联合体各方应按招标文件提供的格式签订</w:t>
      </w:r>
      <w:r>
        <w:rPr>
          <w:rFonts w:hint="eastAsia" w:ascii="仿宋" w:hAnsi="仿宋" w:eastAsia="仿宋" w:cs="仿宋"/>
          <w:bCs/>
          <w:color w:val="auto"/>
          <w:kern w:val="0"/>
          <w:sz w:val="24"/>
          <w:u w:val="single"/>
        </w:rPr>
        <w:t>联合体协议</w:t>
      </w:r>
      <w:r>
        <w:rPr>
          <w:rFonts w:hint="eastAsia" w:ascii="仿宋" w:hAnsi="仿宋" w:eastAsia="仿宋" w:cs="仿宋"/>
          <w:bCs/>
          <w:color w:val="auto"/>
          <w:kern w:val="0"/>
          <w:sz w:val="24"/>
        </w:rPr>
        <w:t>，明确联合体牵头人和各方的权利义务、合同工作量比例；</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（2）联合体各方签订联合体协议书后，不得再单独参加或者与其他供应商组成新的联合体参加同一项目的采购活动。</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11.信用信息查询</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11.1查询渠道：“信用中国”网站（www.creditchina.gov.cn）、中国政府采购网（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67"/>
          <w:rFonts w:hint="eastAsia" w:ascii="仿宋" w:hAnsi="仿宋" w:eastAsia="仿宋" w:cs="仿宋"/>
          <w:bCs/>
          <w:color w:val="auto"/>
          <w:kern w:val="0"/>
          <w:sz w:val="24"/>
        </w:rPr>
        <w:t>www.ccgp.gov.cn</w:t>
      </w:r>
      <w:r>
        <w:rPr>
          <w:rStyle w:val="67"/>
          <w:rFonts w:hint="eastAsia" w:ascii="仿宋" w:hAnsi="仿宋" w:eastAsia="仿宋" w:cs="仿宋"/>
          <w:bCs/>
          <w:color w:val="auto"/>
          <w:kern w:val="0"/>
          <w:sz w:val="24"/>
        </w:rPr>
        <w:fldChar w:fldCharType="end"/>
      </w:r>
      <w:r>
        <w:rPr>
          <w:rFonts w:hint="eastAsia" w:ascii="仿宋" w:hAnsi="仿宋" w:eastAsia="仿宋" w:cs="仿宋"/>
          <w:bCs/>
          <w:color w:val="auto"/>
          <w:kern w:val="0"/>
          <w:sz w:val="24"/>
        </w:rPr>
        <w:t>）。</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11.2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bCs/>
          <w:color w:val="auto"/>
          <w:kern w:val="0"/>
          <w:sz w:val="24"/>
        </w:rPr>
        <w:t>11.3</w:t>
      </w:r>
      <w:r>
        <w:rPr>
          <w:rFonts w:hint="eastAsia" w:ascii="仿宋" w:hAnsi="仿宋" w:eastAsia="仿宋" w:cs="仿宋"/>
          <w:color w:val="auto"/>
          <w:sz w:val="24"/>
        </w:rPr>
        <w:t>招标代理机构在开标时间后至资格审查结束前通过上述查询渠道进行网上查询，对存在“失信被执行人”、“重大税收违法案件当事人名单”、“政府采购严重违法失信行为记录名单”情形的供应商，资格审查不合格，投标无效，同时其信用信息查询记录作为证据存档。</w:t>
      </w:r>
    </w:p>
    <w:p>
      <w:pPr>
        <w:shd w:val="clear" w:color="auto" w:fill="FFFFFF"/>
        <w:spacing w:line="440" w:lineRule="exact"/>
        <w:ind w:firstLine="480" w:firstLineChars="200"/>
        <w:rPr>
          <w:rFonts w:ascii="仿宋" w:hAnsi="仿宋" w:eastAsia="仿宋" w:cs="仿宋"/>
          <w:color w:val="auto"/>
        </w:rPr>
      </w:pPr>
      <w:r>
        <w:rPr>
          <w:rFonts w:hint="eastAsia" w:ascii="仿宋" w:hAnsi="仿宋" w:eastAsia="仿宋" w:cs="仿宋"/>
          <w:color w:val="auto"/>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（二）招标文件</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12. 招标文件的组成</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12.1 招标文件包括下列内容</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第一章 招标公告</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第二章</w:t>
      </w:r>
      <w:r>
        <w:rPr>
          <w:rFonts w:hint="eastAsia" w:ascii="仿宋" w:hAnsi="仿宋" w:eastAsia="仿宋"/>
          <w:color w:val="auto"/>
          <w:kern w:val="0"/>
          <w:sz w:val="24"/>
        </w:rPr>
        <w:t>投标须知前附表及投标须知</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第三章 合同条款</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第四章 采购需求</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第五章 投标文件格式</w:t>
      </w:r>
    </w:p>
    <w:p>
      <w:pPr>
        <w:shd w:val="clear" w:color="auto" w:fill="FFFFFF"/>
        <w:autoSpaceDE w:val="0"/>
        <w:autoSpaceDN w:val="0"/>
        <w:adjustRightInd w:val="0"/>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12.2</w:t>
      </w:r>
      <w:r>
        <w:rPr>
          <w:rFonts w:hint="eastAsia" w:ascii="仿宋" w:hAnsi="仿宋" w:eastAsia="仿宋" w:cs="仿宋"/>
          <w:b/>
          <w:bCs/>
          <w:color w:val="auto"/>
          <w:sz w:val="24"/>
          <w:lang w:val="zh-CN"/>
        </w:rPr>
        <w:t>招标的最小单位是标项。招标文件未分标项的，供应商须对全部招标内容投标，不得部分投标；招标文件分标项的，供应商应当以标项为单位编制并提交投标文件。</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sz w:val="24"/>
          <w:lang w:val="zh-CN"/>
        </w:rPr>
        <w:t>12.3 招标文件如果要求供应商提交备选投标方案的，供应商可以提交备选方案；否则，备选方案将被拒绝。</w:t>
      </w:r>
    </w:p>
    <w:p>
      <w:pPr>
        <w:shd w:val="clear" w:color="auto" w:fill="FFFFFF"/>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12.4 招标文件由本文件及由采购人按招标文件有关规定发出的招标文件补充构成。</w:t>
      </w:r>
    </w:p>
    <w:p>
      <w:pPr>
        <w:shd w:val="clear" w:color="auto" w:fill="FFFFFF"/>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12.5 招标文件的澄清、修改、招标答疑会纪要等书面材料在本招标项目中均称招标文件补充。</w:t>
      </w:r>
    </w:p>
    <w:p>
      <w:pPr>
        <w:shd w:val="clear" w:color="auto" w:fill="FFFFFF"/>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fill="FFFFFF"/>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12.7 供应商应认真审阅和理解招标文件所有内容，尤其注意可能引起“否决投标”、“拒绝”、“投标无效”、“评审不予通过”等的条款，按照招标文件要求编制投标文件。任何对招标文件的忽略或误解不能作为投标文件存在缺陷或瑕疵的理由，其风险由供应商承担。</w:t>
      </w:r>
    </w:p>
    <w:p>
      <w:pPr>
        <w:shd w:val="clear" w:color="auto" w:fill="FFFFFF"/>
        <w:spacing w:line="440" w:lineRule="exact"/>
        <w:ind w:firstLine="482" w:firstLineChars="200"/>
        <w:rPr>
          <w:rFonts w:ascii="仿宋" w:hAnsi="仿宋" w:eastAsia="仿宋" w:cs="仿宋"/>
          <w:b/>
          <w:color w:val="auto"/>
          <w:sz w:val="24"/>
          <w:lang w:val="zh-CN"/>
        </w:rPr>
      </w:pPr>
      <w:r>
        <w:rPr>
          <w:rFonts w:hint="eastAsia" w:ascii="仿宋" w:hAnsi="仿宋" w:eastAsia="仿宋" w:cs="仿宋"/>
          <w:b/>
          <w:color w:val="auto"/>
          <w:sz w:val="24"/>
          <w:lang w:val="zh-CN"/>
        </w:rPr>
        <w:t>13. 招标文件的获取</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13.1招标文件的提供期限自开始发出之日起不得少于五个工作日，具体期限见招标公告。</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13.2凡符合资格要求并有意参加投标的供应商,</w:t>
      </w:r>
      <w:r>
        <w:rPr>
          <w:rFonts w:hint="eastAsia" w:ascii="仿宋" w:hAnsi="仿宋" w:eastAsia="仿宋" w:cs="仿宋"/>
          <w:color w:val="auto"/>
          <w:kern w:val="0"/>
          <w:sz w:val="24"/>
        </w:rPr>
        <w:t xml:space="preserve"> 须经采购代理机构报名审核通过后获取。</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14. 招标文件的澄清或修改</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供应商若对招标文件有任何疑问，应当在获取招标文件或者招标文件公告期限届满之日起7个工作日内提出。本项目接受对招标文件质疑的截止时间见“前附表”第13项，供应商须在截止时间前一次性提出对招标文件质疑内容。供应商提出质疑应当提交质疑函和必要的证明材料。质疑函应当包括下列内容：</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14.1.1供应商的姓名或者名称、地址、邮编、联系人及联系电话；</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14.1.2质疑项目的名称、编号；</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14.1.3具体、明确的质疑事项和与质疑事项相关的请求；</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14.1.4事实依据；</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14.1.5必要的法律依据；</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14.1.6提出质疑的日期。</w:t>
      </w:r>
    </w:p>
    <w:p>
      <w:pPr>
        <w:shd w:val="clear" w:color="auto" w:fill="FFFFFF"/>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14.2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pPr>
        <w:shd w:val="clear" w:color="auto" w:fill="FFFFFF"/>
        <w:spacing w:line="44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14.3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15. 投标报价</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15.1 本招标项目使用的货币为</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，实施时亦以</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支付。</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15.2 投标报价为本招标文件所确定的招标范围内的全部工作内容的价格体现。任何有选择的报价将不予接受（除非采购人另有约定），否则，在评标时将视为投标无效。</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15.3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15.4供应商应按本文件给定的格式填报《开标一览表》及《分项报价明细表》，《开标一览表》中价格填报处不应有空白，如无费用可填报“/”。</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15.5供应商对投标报价若有说明应在《开标一览表》显著处注明，只有开标时唱出的报价和优惠才会在评标时予以考虑。报价优惠应对应《开标一览表》及《分项报价明细表》提供相应的明细清单。除报价优惠外，任何超出招标文件要求而额外赠送的货物、免费培训等其他形式的优惠，将不被允许并不予接受。</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15.6对于有配件、耗材、选件和特殊工具的货物，还应填报投标货物配件、耗材、选件表和备件及特殊工具清单，注明品牌、型号、产地、功能、单价等内容，如招标文件未提供相关格式的，应由投标人自行设计编写。</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15.4投标文件报价出现前后不一致的，除招标文件另有规定外，按照下列规定修正：</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（一）投标文件中《开标一览表》内容与投标文件中相应内容不一致的，以《开标一览表》为准；</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（二）大写金额和小写金额不一致的，以大写金额为准；</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（三）单价金额小数点或者百分比有明显错位的，以《开标一览表》的总价为准，并修改单价；</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（四）总价金额与按单价汇总金额不一致的，以单价金额计算结果为准。</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同时出现两种以上不一致的，按照前款规定的顺序修正。</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16.投标保证金</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16.1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履约保证金，视为供应商违约，则采购人有权没收中标人投标保证金。</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16.2 供应商应提交投标保证金，并作为其投标的一部分。招标文件《前附表》规定交纳</w:t>
      </w:r>
      <w:r>
        <w:rPr>
          <w:rFonts w:hint="eastAsia" w:ascii="仿宋" w:hAnsi="仿宋" w:eastAsia="仿宋" w:cs="仿宋"/>
          <w:bCs/>
          <w:color w:val="auto"/>
          <w:kern w:val="0"/>
          <w:sz w:val="24"/>
        </w:rPr>
        <w:t>投标保证金的</w:t>
      </w:r>
      <w:r>
        <w:rPr>
          <w:rFonts w:hint="eastAsia" w:ascii="仿宋" w:hAnsi="仿宋" w:eastAsia="仿宋" w:cs="仿宋"/>
          <w:color w:val="auto"/>
          <w:kern w:val="0"/>
          <w:sz w:val="24"/>
        </w:rPr>
        <w:t>，</w:t>
      </w:r>
      <w:r>
        <w:rPr>
          <w:rFonts w:hint="eastAsia" w:ascii="仿宋" w:hAnsi="仿宋" w:eastAsia="仿宋" w:cs="仿宋"/>
          <w:bCs/>
          <w:color w:val="auto"/>
          <w:kern w:val="0"/>
          <w:sz w:val="24"/>
        </w:rPr>
        <w:t>供应商应按招标文件</w:t>
      </w:r>
      <w:r>
        <w:rPr>
          <w:rFonts w:hint="eastAsia" w:ascii="仿宋" w:hAnsi="仿宋" w:eastAsia="仿宋" w:cs="仿宋"/>
          <w:color w:val="auto"/>
          <w:kern w:val="0"/>
          <w:sz w:val="24"/>
        </w:rPr>
        <w:t>《前附表》规定的要求</w:t>
      </w:r>
      <w:r>
        <w:rPr>
          <w:rFonts w:hint="eastAsia" w:ascii="仿宋" w:hAnsi="仿宋" w:eastAsia="仿宋" w:cs="仿宋"/>
          <w:bCs/>
          <w:color w:val="auto"/>
          <w:kern w:val="0"/>
          <w:sz w:val="24"/>
        </w:rPr>
        <w:t>提交保证金</w:t>
      </w:r>
      <w:r>
        <w:rPr>
          <w:rFonts w:hint="eastAsia" w:ascii="仿宋" w:hAnsi="仿宋" w:eastAsia="仿宋" w:cs="仿宋"/>
          <w:color w:val="auto"/>
          <w:kern w:val="0"/>
          <w:sz w:val="24"/>
        </w:rPr>
        <w:t>，</w:t>
      </w:r>
      <w:r>
        <w:rPr>
          <w:rFonts w:hint="eastAsia" w:ascii="仿宋" w:hAnsi="仿宋" w:eastAsia="仿宋" w:cs="仿宋"/>
          <w:bCs/>
          <w:color w:val="auto"/>
          <w:kern w:val="0"/>
          <w:sz w:val="24"/>
        </w:rPr>
        <w:t>投标保证金有效期应与</w:t>
      </w:r>
      <w:r>
        <w:rPr>
          <w:rFonts w:hint="eastAsia" w:ascii="仿宋" w:hAnsi="仿宋" w:eastAsia="仿宋" w:cs="仿宋"/>
          <w:color w:val="auto"/>
          <w:kern w:val="0"/>
          <w:sz w:val="24"/>
        </w:rPr>
        <w:t>招标文件规定</w:t>
      </w:r>
      <w:r>
        <w:rPr>
          <w:rFonts w:hint="eastAsia" w:ascii="仿宋" w:hAnsi="仿宋" w:eastAsia="仿宋" w:cs="仿宋"/>
          <w:bCs/>
          <w:color w:val="auto"/>
          <w:kern w:val="0"/>
          <w:sz w:val="24"/>
        </w:rPr>
        <w:t>的投标有效期一致。供应商</w:t>
      </w:r>
      <w:r>
        <w:rPr>
          <w:rFonts w:hint="eastAsia" w:ascii="仿宋" w:hAnsi="仿宋" w:eastAsia="仿宋" w:cs="仿宋"/>
          <w:color w:val="auto"/>
          <w:kern w:val="0"/>
          <w:sz w:val="24"/>
        </w:rPr>
        <w:t>未按照招标文件《前附表》要求提交投标保证金的，投标无效。</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16.3招标文件接受联合体投标的，可以由联合体中的一方或者共同提交投标保证金。以一方名义提交投标保证金的，对联合体各方均具有约束力。</w:t>
      </w:r>
    </w:p>
    <w:p>
      <w:pPr>
        <w:shd w:val="clear" w:color="auto" w:fill="FFFFFF"/>
        <w:spacing w:line="440" w:lineRule="exact"/>
        <w:ind w:firstLine="480" w:firstLineChars="200"/>
        <w:rPr>
          <w:rFonts w:ascii="仿宋" w:hAnsi="仿宋" w:eastAsia="仿宋" w:cs="仿宋"/>
          <w:b/>
          <w:color w:val="auto"/>
          <w:kern w:val="0"/>
          <w:sz w:val="24"/>
        </w:rPr>
      </w:pPr>
      <w:r>
        <w:rPr>
          <w:rFonts w:hint="eastAsia" w:ascii="仿宋" w:hAnsi="仿宋" w:eastAsia="仿宋" w:cs="仿宋"/>
          <w:color w:val="auto"/>
          <w:kern w:val="0"/>
          <w:sz w:val="24"/>
        </w:rPr>
        <w:t>16.4 未中标人的投标保证金，将在中标通知书发出5个工作日内退还。因违反规定被没收的投标保证金不予退回。</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16.5 中标人的投标保证金自采购合同签订之日起5个工作日内退还。</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 xml:space="preserve">16.6 </w:t>
      </w:r>
      <w:r>
        <w:rPr>
          <w:rFonts w:hint="eastAsia" w:ascii="仿宋" w:hAnsi="仿宋" w:eastAsia="仿宋" w:cs="仿宋"/>
          <w:b/>
          <w:color w:val="auto"/>
          <w:kern w:val="0"/>
          <w:sz w:val="24"/>
        </w:rPr>
        <w:t>下列任何情况发生时，投标保证金将被没收：</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16.6.1 供应商在规定的投标有效期内撤回其投标；</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16.6.2 中标人无正当理由拒绝按规定与采购人签订合同或未能在规定期限内签署合同的或未按招标文件要求提交履约保证金的。</w:t>
      </w:r>
    </w:p>
    <w:p>
      <w:pPr>
        <w:shd w:val="clear" w:color="auto" w:fill="FFFFFF"/>
        <w:autoSpaceDE w:val="0"/>
        <w:autoSpaceDN w:val="0"/>
        <w:adjustRightIn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 xml:space="preserve">16.7 </w:t>
      </w:r>
      <w:r>
        <w:rPr>
          <w:rFonts w:hint="eastAsia" w:ascii="仿宋" w:hAnsi="仿宋" w:eastAsia="仿宋" w:cs="仿宋"/>
          <w:b/>
          <w:color w:val="auto"/>
          <w:kern w:val="0"/>
          <w:sz w:val="24"/>
        </w:rPr>
        <w:t>供应商办理投标保证金退款申请手续须提供以下资料：</w:t>
      </w:r>
    </w:p>
    <w:p>
      <w:pPr>
        <w:shd w:val="clear" w:color="auto" w:fill="FFFFFF"/>
        <w:autoSpaceDE w:val="0"/>
        <w:autoSpaceDN w:val="0"/>
        <w:adjustRightInd w:val="0"/>
        <w:spacing w:line="440" w:lineRule="exact"/>
        <w:ind w:firstLine="482" w:firstLineChars="200"/>
        <w:jc w:val="left"/>
        <w:rPr>
          <w:rFonts w:ascii="仿宋" w:hAnsi="仿宋" w:eastAsia="仿宋" w:cs="仿宋"/>
          <w:b/>
          <w:color w:val="auto"/>
          <w:kern w:val="0"/>
          <w:sz w:val="24"/>
          <w:u w:val="single"/>
        </w:rPr>
      </w:pPr>
      <w:r>
        <w:rPr>
          <w:rFonts w:hint="eastAsia" w:ascii="仿宋" w:hAnsi="仿宋" w:eastAsia="仿宋" w:cs="仿宋"/>
          <w:b/>
          <w:color w:val="auto"/>
          <w:kern w:val="0"/>
          <w:sz w:val="24"/>
          <w:u w:val="single"/>
        </w:rPr>
        <w:t>16.7.1 供应商清晰的单位名称、开户银行名称、银行账号、银行行号。</w:t>
      </w:r>
    </w:p>
    <w:p>
      <w:pPr>
        <w:shd w:val="clear" w:color="auto" w:fill="FFFFFF"/>
        <w:spacing w:line="440" w:lineRule="exact"/>
        <w:ind w:firstLine="482" w:firstLineChars="200"/>
        <w:rPr>
          <w:rFonts w:ascii="仿宋" w:hAnsi="仿宋" w:eastAsia="仿宋" w:cs="仿宋"/>
          <w:color w:val="auto"/>
          <w:kern w:val="0"/>
          <w:sz w:val="24"/>
        </w:rPr>
      </w:pPr>
      <w:r>
        <w:rPr>
          <w:rFonts w:hint="eastAsia" w:ascii="仿宋" w:hAnsi="仿宋" w:eastAsia="仿宋" w:cs="仿宋"/>
          <w:b/>
          <w:color w:val="auto"/>
          <w:kern w:val="0"/>
          <w:sz w:val="24"/>
          <w:u w:val="single"/>
        </w:rPr>
        <w:t xml:space="preserve">16.7.2 </w:t>
      </w:r>
      <w:r>
        <w:rPr>
          <w:rFonts w:hint="eastAsia" w:ascii="仿宋" w:hAnsi="仿宋" w:eastAsia="仿宋" w:cs="仿宋"/>
          <w:b/>
          <w:snapToGrid w:val="0"/>
          <w:color w:val="auto"/>
          <w:kern w:val="0"/>
          <w:sz w:val="24"/>
          <w:u w:val="single"/>
        </w:rPr>
        <w:t>中标方办理投标保证金退款申请时，中标方还须提供与采购人签订的已加盖中标方公章的合同全本复印件或扫描件一份（代理机构存档备查）。</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特殊说明：中标人须自项目验收合格后5个工作日内，将经采购人签章确认的《验收书》复印件1份加盖中标人公章提交至采购代理机构。</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17. 招标答疑会和现场踏勘</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17.1本项目不组织招标答疑会。</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17.2 采购人不组织供应商进行现场踏勘，供应商应自行在投标截止时间前对项目服务现场和周围环境进行勘察，以获取须供应商自己负责的有关编制投标文件和签署合同所需的所有资料。勘察现场所发生的费用及风险由供应商自己承担。</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18. 投标有效期</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18.1 投标有效期见本须知前附表所规定的期限，在此期限内，凡符合本招标文件要求的投标文件均保持有效。</w:t>
      </w:r>
      <w:r>
        <w:rPr>
          <w:rFonts w:hint="eastAsia" w:ascii="仿宋" w:hAnsi="仿宋" w:eastAsia="仿宋" w:cs="仿宋"/>
          <w:b/>
          <w:color w:val="auto"/>
          <w:kern w:val="0"/>
          <w:sz w:val="24"/>
        </w:rPr>
        <w:t>投标有效期不足的，投标无效。</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color w:val="auto"/>
          <w:kern w:val="0"/>
          <w:sz w:val="24"/>
        </w:rPr>
        <w:t>18.2 在特殊情况下，采购人在原定的投标有效期内，可以根据需要以发布公告或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（三） 投标文件的编制</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19. 投标文件编制要求</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19.1供应商提交的投标文件及供应商与采购代理机构就有关投标的所有来往函电均使用中文。</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20. 投标文件编制的依据</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20.1 采购人提供的采购需求及有关资料；</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20.2 本招标文件及招标文件的修改或者澄清；</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20.3 相关的法律、法规和规定。</w:t>
      </w:r>
    </w:p>
    <w:p>
      <w:pPr>
        <w:shd w:val="clear" w:color="auto" w:fill="FFFFFF"/>
        <w:spacing w:line="440" w:lineRule="exact"/>
        <w:ind w:firstLine="482" w:firstLineChars="200"/>
        <w:rPr>
          <w:rFonts w:ascii="仿宋" w:hAnsi="仿宋" w:eastAsia="仿宋"/>
          <w:bCs/>
          <w:color w:val="auto"/>
          <w:kern w:val="0"/>
          <w:sz w:val="24"/>
        </w:rPr>
      </w:pPr>
      <w:r>
        <w:rPr>
          <w:rFonts w:hint="eastAsia" w:ascii="仿宋" w:hAnsi="仿宋" w:eastAsia="仿宋" w:cs="仿宋"/>
          <w:b/>
          <w:color w:val="auto"/>
          <w:kern w:val="0"/>
          <w:sz w:val="24"/>
        </w:rPr>
        <w:t>21. 投标文件的组成：</w:t>
      </w:r>
      <w:r>
        <w:rPr>
          <w:rFonts w:hint="eastAsia" w:ascii="仿宋" w:hAnsi="仿宋" w:eastAsia="仿宋"/>
          <w:color w:val="auto"/>
          <w:kern w:val="0"/>
          <w:sz w:val="24"/>
        </w:rPr>
        <w:t>资格响应文件、商务响应文件、技术响应文件、报价响应文件</w:t>
      </w:r>
      <w:r>
        <w:rPr>
          <w:rFonts w:hint="eastAsia" w:ascii="仿宋" w:hAnsi="仿宋" w:eastAsia="仿宋"/>
          <w:bCs/>
          <w:color w:val="auto"/>
          <w:kern w:val="0"/>
          <w:sz w:val="24"/>
        </w:rPr>
        <w:t>。</w:t>
      </w:r>
    </w:p>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21.1资格响应文件组成：</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（1）供应商营业执照或其他组织资格证书，复印件加盖公章；</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（2）法定代表人资格证明书和法定代表人身份证或者法定代表人授权委托书及被授权人身份证明（法定代表人授权委托书原件放入正本，其他为复印件）；</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（3）供应商2021年任意连续三个月依法纳税及缴纳社会保险相关证明资料，复印件加盖公章；</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（4）供应商</w:t>
      </w:r>
      <w:r>
        <w:rPr>
          <w:rFonts w:hint="eastAsia" w:ascii="仿宋" w:hAnsi="仿宋" w:eastAsia="仿宋"/>
          <w:color w:val="auto"/>
          <w:kern w:val="0"/>
          <w:sz w:val="24"/>
          <w:szCs w:val="22"/>
        </w:rPr>
        <w:t>经审计的</w:t>
      </w:r>
      <w:r>
        <w:rPr>
          <w:rFonts w:ascii="仿宋" w:hAnsi="仿宋" w:eastAsia="仿宋"/>
          <w:color w:val="auto"/>
          <w:kern w:val="0"/>
          <w:sz w:val="24"/>
          <w:szCs w:val="22"/>
        </w:rPr>
        <w:t>2020</w:t>
      </w:r>
      <w:r>
        <w:rPr>
          <w:rFonts w:hint="eastAsia" w:ascii="仿宋" w:hAnsi="仿宋" w:eastAsia="仿宋"/>
          <w:color w:val="auto"/>
          <w:kern w:val="0"/>
          <w:sz w:val="24"/>
          <w:szCs w:val="22"/>
        </w:rPr>
        <w:t>年度的财务报告（投标单位成立不满一年的不需提供）；</w:t>
      </w:r>
      <w:r>
        <w:rPr>
          <w:rFonts w:hint="eastAsia" w:ascii="仿宋" w:hAnsi="仿宋" w:eastAsia="仿宋"/>
          <w:bCs/>
          <w:color w:val="auto"/>
          <w:kern w:val="0"/>
          <w:sz w:val="24"/>
        </w:rPr>
        <w:t>复印件加盖公章</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w:t>
      </w:r>
      <w:r>
        <w:rPr>
          <w:rFonts w:ascii="仿宋" w:hAnsi="仿宋" w:eastAsia="仿宋"/>
          <w:bCs/>
          <w:color w:val="auto"/>
          <w:kern w:val="0"/>
          <w:sz w:val="24"/>
        </w:rPr>
        <w:t>5</w:t>
      </w:r>
      <w:r>
        <w:rPr>
          <w:rFonts w:hint="eastAsia" w:ascii="仿宋" w:hAnsi="仿宋" w:eastAsia="仿宋"/>
          <w:bCs/>
          <w:color w:val="auto"/>
          <w:kern w:val="0"/>
          <w:sz w:val="24"/>
        </w:rPr>
        <w:t>）供应商参加本次政府采购活动前3年内在经营活动中没有重大违法记录的书面声明（原件放入正本）；</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（6）供应商医疗器械经营许可证（或按照国家食品药品监督管理部门规定实行备案管理的，出具备案证明文件）（复印件加盖公章）；</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（7）投标保证金缴纳凭证（网上或网下支付凭证复印或打印件）。</w:t>
      </w:r>
    </w:p>
    <w:p>
      <w:pPr>
        <w:shd w:val="clear" w:color="auto" w:fill="FFFFFF"/>
        <w:spacing w:line="440" w:lineRule="exact"/>
        <w:ind w:firstLine="482" w:firstLineChars="200"/>
        <w:rPr>
          <w:rFonts w:ascii="仿宋" w:hAnsi="仿宋" w:eastAsia="仿宋" w:cs="仿宋"/>
          <w:b/>
          <w:bCs/>
          <w:color w:val="auto"/>
          <w:kern w:val="0"/>
          <w:sz w:val="24"/>
        </w:rPr>
      </w:pPr>
      <w:bookmarkStart w:id="2" w:name="_Hlk519798821"/>
      <w:bookmarkStart w:id="3" w:name="_Hlk519799218"/>
      <w:r>
        <w:rPr>
          <w:rFonts w:hint="eastAsia" w:ascii="仿宋" w:hAnsi="仿宋" w:eastAsia="仿宋" w:cs="仿宋"/>
          <w:b/>
          <w:bCs/>
          <w:color w:val="auto"/>
          <w:kern w:val="0"/>
          <w:sz w:val="24"/>
        </w:rPr>
        <w:t>21.2商务响应文件组成：</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（1）投标承诺书；</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（2）供应商所投产品的医疗器械注册证（含登记表）(或按照国家食品药品监督管理部门规定实行备案管理的，出具备案证明文件)；供应商所投产品制造商的医疗器械生产许可证；</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（3）售后服务承诺书；</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（4）商务条款偏离表（须包括对本文件《投标须知前附表》提出的“交货期”、“交货地点”、“质保期”、“付款方式”、“投标有效期”五项实质性商务内容逐条响应，否则，投标无效）；</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（5）所投产品</w:t>
      </w:r>
      <w:r>
        <w:rPr>
          <w:rFonts w:hint="eastAsia" w:ascii="仿宋" w:hAnsi="仿宋" w:eastAsia="仿宋"/>
          <w:bCs/>
          <w:color w:val="auto"/>
          <w:kern w:val="0"/>
          <w:sz w:val="24"/>
        </w:rPr>
        <w:t>（且为所投型号）</w:t>
      </w:r>
      <w:r>
        <w:rPr>
          <w:rFonts w:hint="eastAsia" w:ascii="仿宋" w:hAnsi="仿宋" w:eastAsia="仿宋"/>
          <w:bCs/>
          <w:color w:val="auto"/>
          <w:kern w:val="0"/>
          <w:sz w:val="24"/>
        </w:rPr>
        <w:t>近三年（2019年1月1日至今）销售业绩，</w:t>
      </w:r>
      <w:r>
        <w:rPr>
          <w:rFonts w:hint="eastAsia" w:ascii="仿宋" w:hAnsi="仿宋" w:eastAsia="仿宋"/>
          <w:color w:val="auto"/>
          <w:kern w:val="0"/>
          <w:sz w:val="24"/>
        </w:rPr>
        <w:t>提供有效业绩证明资料</w:t>
      </w:r>
      <w:r>
        <w:rPr>
          <w:rFonts w:hint="eastAsia" w:ascii="仿宋" w:hAnsi="仿宋" w:eastAsia="仿宋"/>
          <w:b/>
          <w:color w:val="auto"/>
          <w:kern w:val="0"/>
          <w:sz w:val="24"/>
        </w:rPr>
        <w:t>中标通知书和合同</w:t>
      </w:r>
      <w:r>
        <w:rPr>
          <w:rFonts w:hint="eastAsia" w:ascii="仿宋" w:hAnsi="仿宋" w:eastAsia="仿宋"/>
          <w:color w:val="auto"/>
          <w:kern w:val="0"/>
          <w:sz w:val="24"/>
        </w:rPr>
        <w:t>（复印件加盖公章），证明资料应清晰反映货物名称、品牌型号、合同金额、签订日期、合同签字盖章页信息。</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（6）供应商认为有必要提供的其他资料。</w:t>
      </w:r>
    </w:p>
    <w:bookmarkEnd w:id="2"/>
    <w:bookmarkEnd w:id="3"/>
    <w:p>
      <w:pPr>
        <w:shd w:val="clear" w:color="auto" w:fill="FFFFFF"/>
        <w:spacing w:line="440" w:lineRule="exact"/>
        <w:ind w:firstLine="482" w:firstLineChars="200"/>
        <w:rPr>
          <w:rFonts w:ascii="仿宋" w:hAnsi="仿宋" w:eastAsia="仿宋"/>
          <w:b/>
          <w:bCs/>
          <w:color w:val="auto"/>
          <w:kern w:val="0"/>
          <w:sz w:val="24"/>
        </w:rPr>
      </w:pPr>
      <w:bookmarkStart w:id="4" w:name="_Hlk519798213"/>
      <w:r>
        <w:rPr>
          <w:rFonts w:hint="eastAsia" w:ascii="仿宋" w:hAnsi="仿宋" w:eastAsia="仿宋"/>
          <w:b/>
          <w:bCs/>
          <w:color w:val="auto"/>
          <w:kern w:val="0"/>
          <w:sz w:val="24"/>
        </w:rPr>
        <w:t>21.3技术响应文件组成：</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（1）技术服务条款偏离表（供应商提供的《技术服务条款偏离表》须对照第四章《采购需求》所有条款</w:t>
      </w:r>
      <w:r>
        <w:rPr>
          <w:rFonts w:hint="eastAsia" w:ascii="仿宋" w:hAnsi="仿宋" w:eastAsia="仿宋"/>
          <w:b/>
          <w:bCs/>
          <w:color w:val="auto"/>
          <w:kern w:val="0"/>
          <w:sz w:val="24"/>
        </w:rPr>
        <w:t>逐条列明</w:t>
      </w:r>
      <w:r>
        <w:rPr>
          <w:rFonts w:hint="eastAsia" w:ascii="仿宋" w:hAnsi="仿宋" w:eastAsia="仿宋"/>
          <w:bCs/>
          <w:color w:val="auto"/>
          <w:kern w:val="0"/>
          <w:sz w:val="24"/>
        </w:rPr>
        <w:t>是否响应及响应内容）；</w:t>
      </w:r>
    </w:p>
    <w:p>
      <w:pPr>
        <w:shd w:val="clear" w:color="auto" w:fill="FFFFFF"/>
        <w:spacing w:line="440" w:lineRule="exact"/>
        <w:ind w:firstLine="480" w:firstLineChars="200"/>
        <w:rPr>
          <w:rFonts w:ascii="仿宋" w:hAnsi="仿宋" w:eastAsia="仿宋"/>
          <w:bCs/>
          <w:color w:val="auto"/>
          <w:kern w:val="0"/>
          <w:sz w:val="24"/>
        </w:rPr>
      </w:pPr>
      <w:r>
        <w:rPr>
          <w:rFonts w:hint="eastAsia" w:ascii="仿宋" w:hAnsi="仿宋" w:eastAsia="仿宋"/>
          <w:bCs/>
          <w:color w:val="auto"/>
          <w:kern w:val="0"/>
          <w:sz w:val="24"/>
        </w:rPr>
        <w:t>（2）供应商所投产品应提供具有检测资质的检验检测部门出具的检验检测报告（反映主要参数内容的部分，复印件）、设备出厂原始数据（即datasheet技术白皮书）、对外公开发行的印刷版彩页三项内容作为技术支持资料；</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bCs/>
          <w:color w:val="auto"/>
          <w:kern w:val="0"/>
          <w:sz w:val="24"/>
        </w:rPr>
        <w:t>（3）供应商认为有必要提供的其他技术资料。</w:t>
      </w:r>
    </w:p>
    <w:bookmarkEnd w:id="4"/>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21.4报价响应文件组成：</w:t>
      </w:r>
      <w:r>
        <w:rPr>
          <w:rFonts w:hint="eastAsia" w:ascii="仿宋" w:hAnsi="仿宋" w:eastAsia="仿宋" w:cs="仿宋"/>
          <w:b/>
          <w:bCs/>
          <w:color w:val="auto"/>
          <w:kern w:val="0"/>
          <w:sz w:val="24"/>
        </w:rPr>
        <w:tab/>
      </w:r>
    </w:p>
    <w:p>
      <w:pPr>
        <w:shd w:val="clear" w:color="auto" w:fill="FFFFFF"/>
        <w:spacing w:line="440" w:lineRule="exact"/>
        <w:ind w:firstLine="480" w:firstLineChars="200"/>
        <w:rPr>
          <w:rFonts w:ascii="仿宋" w:hAnsi="仿宋" w:eastAsia="仿宋" w:cs="仿宋"/>
          <w:bCs/>
          <w:color w:val="auto"/>
          <w:kern w:val="0"/>
          <w:sz w:val="24"/>
        </w:rPr>
      </w:pPr>
      <w:bookmarkStart w:id="5" w:name="_Hlk519798401"/>
      <w:r>
        <w:rPr>
          <w:rFonts w:hint="eastAsia" w:ascii="仿宋" w:hAnsi="仿宋" w:eastAsia="仿宋" w:cs="仿宋"/>
          <w:bCs/>
          <w:color w:val="auto"/>
          <w:kern w:val="0"/>
          <w:sz w:val="24"/>
        </w:rPr>
        <w:t>（1）开标一览表；（封装要求见本文件第五章 投标文件格式 相关要求）；</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hint="eastAsia" w:ascii="仿宋" w:hAnsi="仿宋" w:eastAsia="仿宋" w:cs="仿宋"/>
          <w:bCs/>
          <w:color w:val="auto"/>
          <w:kern w:val="0"/>
          <w:sz w:val="24"/>
        </w:rPr>
        <w:t>分项报价明细表</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（3）报价需要的其他资料。</w:t>
      </w:r>
    </w:p>
    <w:bookmarkEnd w:id="5"/>
    <w:p>
      <w:pPr>
        <w:shd w:val="clear" w:color="auto" w:fill="FFFFFF"/>
        <w:spacing w:line="44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22. 投标文件的编制及格式</w:t>
      </w:r>
    </w:p>
    <w:p>
      <w:pPr>
        <w:shd w:val="clear" w:color="auto" w:fill="FFFFFF"/>
        <w:spacing w:line="440" w:lineRule="exact"/>
        <w:ind w:firstLine="482" w:firstLineChars="200"/>
        <w:rPr>
          <w:rFonts w:ascii="仿宋" w:hAnsi="仿宋" w:eastAsia="仿宋" w:cs="仿宋"/>
          <w:color w:val="auto"/>
          <w:sz w:val="24"/>
        </w:rPr>
      </w:pPr>
      <w:r>
        <w:rPr>
          <w:rFonts w:hint="eastAsia" w:ascii="仿宋" w:hAnsi="仿宋" w:eastAsia="仿宋" w:cs="仿宋"/>
          <w:b/>
          <w:color w:val="auto"/>
          <w:sz w:val="24"/>
        </w:rPr>
        <w:t>22.1</w:t>
      </w:r>
      <w:r>
        <w:rPr>
          <w:rFonts w:hint="eastAsia" w:ascii="仿宋" w:hAnsi="仿宋" w:eastAsia="仿宋"/>
          <w:b/>
          <w:color w:val="auto"/>
          <w:sz w:val="24"/>
        </w:rPr>
        <w:t>供应商提供的投标文件应按照本须知第20条规定的内容编制，其中，第21.1（1）—（7）、第21.2（1）—（4）、第21.3（1）—（2）、第21.4（1）—（2）为必备项，供应商在投标文件中必须提供有关材料，如果缺项，或不符合要求，将导致投标无效。</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22.2供应商提供的投标文件应当使用招标文件所提供投标文件格式（表格可按照同样格式扩展），并保证所提供的资料的真实性。未提供格式的，供应商可自行编制。</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22.3投标文件严禁涂改或行间插字和增删，除非这些修改是根据采购人的指示进行的，或者是供应商造成的必须修改的错误，</w:t>
      </w:r>
      <w:r>
        <w:rPr>
          <w:rFonts w:hint="eastAsia" w:ascii="仿宋" w:hAnsi="仿宋" w:eastAsia="仿宋" w:cs="仿宋"/>
          <w:color w:val="auto"/>
          <w:sz w:val="24"/>
        </w:rPr>
        <w:t>必要的修改处必须有供应商法人代表或其授权代表人签字并加盖供应商公章，</w:t>
      </w:r>
      <w:r>
        <w:rPr>
          <w:rFonts w:hint="eastAsia" w:ascii="仿宋" w:hAnsi="仿宋" w:eastAsia="仿宋" w:cs="仿宋"/>
          <w:b/>
          <w:color w:val="auto"/>
          <w:sz w:val="24"/>
        </w:rPr>
        <w:t>否则，投标无效。</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olor w:val="auto"/>
          <w:kern w:val="0"/>
          <w:sz w:val="24"/>
        </w:rPr>
        <w:t>22.4</w:t>
      </w:r>
      <w:r>
        <w:rPr>
          <w:rFonts w:hint="eastAsia" w:ascii="仿宋" w:hAnsi="仿宋" w:eastAsia="仿宋"/>
          <w:bCs/>
          <w:color w:val="auto"/>
          <w:sz w:val="24"/>
        </w:rPr>
        <w:t>供应商应当按照招标文件的要求编制投标文件。投标文件应当对招标文件提出的要求和条件作出明确响应。</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23. 投标文件的份数和签署</w:t>
      </w:r>
    </w:p>
    <w:p>
      <w:pPr>
        <w:shd w:val="clear" w:color="auto" w:fill="FFFFFF"/>
        <w:spacing w:line="440" w:lineRule="exact"/>
        <w:ind w:firstLine="480" w:firstLineChars="200"/>
        <w:rPr>
          <w:rFonts w:ascii="仿宋" w:hAnsi="仿宋" w:eastAsia="仿宋" w:cs="仿宋"/>
          <w:b/>
          <w:bCs/>
          <w:color w:val="auto"/>
          <w:kern w:val="0"/>
          <w:sz w:val="24"/>
        </w:rPr>
      </w:pPr>
      <w:r>
        <w:rPr>
          <w:rFonts w:hint="eastAsia" w:ascii="仿宋" w:hAnsi="仿宋" w:eastAsia="仿宋" w:cs="仿宋"/>
          <w:color w:val="auto"/>
          <w:kern w:val="0"/>
          <w:sz w:val="24"/>
        </w:rPr>
        <w:t>23.1 供应商应当按照本须知前附表第5项规定的份数提交投标文件。</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23.2 投标文件均须印刷体打印。</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23.3 投标文件签署要求均应符合招标文件相关要求。</w:t>
      </w:r>
    </w:p>
    <w:p>
      <w:pPr>
        <w:shd w:val="clear" w:color="auto" w:fill="FFFFFF"/>
        <w:spacing w:line="440" w:lineRule="exact"/>
        <w:ind w:firstLine="482" w:firstLineChars="200"/>
        <w:rPr>
          <w:rFonts w:ascii="仿宋" w:hAnsi="仿宋" w:eastAsia="仿宋" w:cs="仿宋"/>
          <w:color w:val="auto"/>
          <w:kern w:val="0"/>
          <w:sz w:val="24"/>
          <w:u w:val="single"/>
        </w:rPr>
      </w:pPr>
      <w:r>
        <w:rPr>
          <w:rFonts w:hint="eastAsia" w:ascii="仿宋" w:hAnsi="仿宋" w:eastAsia="仿宋" w:cs="仿宋"/>
          <w:b/>
          <w:color w:val="auto"/>
          <w:kern w:val="0"/>
          <w:sz w:val="24"/>
        </w:rPr>
        <w:t>23.4投标文件未按照上述规定编制，初步评审将不予以通过。</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（四） 投标文件的递交</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24. 投标文件的封装与标记</w:t>
      </w:r>
    </w:p>
    <w:p>
      <w:pPr>
        <w:shd w:val="clear" w:color="auto" w:fill="FFFFFF"/>
        <w:spacing w:line="44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24.1</w:t>
      </w:r>
      <w:r>
        <w:rPr>
          <w:rFonts w:hint="eastAsia" w:ascii="仿宋" w:hAnsi="仿宋" w:eastAsia="仿宋" w:cs="仿宋"/>
          <w:color w:val="auto"/>
          <w:sz w:val="24"/>
        </w:rPr>
        <w:t>供应商可将投标文件的资格、商务、技术、报价部分</w:t>
      </w:r>
      <w:r>
        <w:rPr>
          <w:rFonts w:hint="eastAsia" w:ascii="仿宋" w:hAnsi="仿宋" w:eastAsia="仿宋" w:cs="仿宋"/>
          <w:bCs/>
          <w:color w:val="auto"/>
          <w:sz w:val="24"/>
        </w:rPr>
        <w:t>分开</w:t>
      </w:r>
      <w:r>
        <w:rPr>
          <w:rFonts w:hint="eastAsia" w:ascii="仿宋" w:hAnsi="仿宋" w:eastAsia="仿宋" w:cs="仿宋"/>
          <w:color w:val="auto"/>
          <w:sz w:val="24"/>
        </w:rPr>
        <w:t>装订，也可装订成一册，但分为四个部分。</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24.2 除特别说明外，全套响应文件的书面部分均须使用A4规格纸张无线胶装方式装订，不得采用活页夹等可随时拆换的方式装订。</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24.3供应商应当按照本须知前附表第12项密封要求提交投标文件。</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25. 投标文件的提交</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供应商应当按照本投标须知前附表所规定的地点，于投标截止时间前提交投标文件。未按招标文件规定时间、地点送达或未按招标文件要求封装、标识、提交的投标文件</w:t>
      </w:r>
      <w:r>
        <w:rPr>
          <w:rFonts w:hint="eastAsia" w:ascii="仿宋" w:hAnsi="仿宋" w:eastAsia="仿宋" w:cs="仿宋"/>
          <w:bCs/>
          <w:color w:val="auto"/>
          <w:sz w:val="24"/>
        </w:rPr>
        <w:t>将被拒绝接收</w:t>
      </w:r>
      <w:r>
        <w:rPr>
          <w:rFonts w:hint="eastAsia" w:ascii="仿宋" w:hAnsi="仿宋" w:eastAsia="仿宋" w:cs="仿宋"/>
          <w:bCs/>
          <w:color w:val="auto"/>
          <w:kern w:val="0"/>
          <w:sz w:val="24"/>
        </w:rPr>
        <w:t>。</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26. 投标文件提交的截止时间</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26.1 投标文件提交的截止时间详见投标须知前附表规定。</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26.2 采购人可按本招标文件第14条规定以修改补充通知的方式，酌情延长提交投标书的截止时间。在上述情况下，采购人与供应商在原投标截止时间前的全部权力和义务，将适用于延长后新的投标截止时间。</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26.3 截至投标文件递交截止时间，采购人收到的投标文件少于3个的，采购人将依法重新组织招标。评标过程中有效供应商少于3个的，应终止评标，由采购人依法重新组织招标。</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27. 迟交的投标文件</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供应商在本投标须知前附表规定的投标截止时间以后送达的投标文件将被拒绝并退回供应商。</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28. 投标文件的补充、修改与撤回</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28.1 供应商在投标须知前附表规定的投标截止时间之前，可以以书面形式补充、修改或撤回已提交的投标文件。</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28.2 供应商对投标文件的补充、修改或撤回，应按本招标文件第 24 条的规定编制、密封、标识和提交，并在内层和外层封套上清楚标明“补充”、“修改”或“撤回”字样。</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28.3 在投标截止时间之后，供应商不得补充、修改投标文件。</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（五） 开标</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29. 开标</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29.1 招标会将于前附表规定的时间和地点召开，邀请供应商代表参加。评标委员会成员不得参加开标活动。供应商委派开标代表参加开标会议的，与会的供应商代表应在投标文件递交登记表上签字确认其投标文件已递交。</w:t>
      </w:r>
      <w:r>
        <w:rPr>
          <w:rFonts w:hint="eastAsia" w:ascii="仿宋" w:hAnsi="仿宋" w:eastAsia="仿宋" w:cs="仿宋"/>
          <w:b/>
          <w:color w:val="auto"/>
          <w:kern w:val="0"/>
          <w:sz w:val="24"/>
        </w:rPr>
        <w:t>开标前不得开启投标文件。</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 开标程序</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29.2.1供应商不足3个的，不得开标。</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29.2.2 开标由采购人或采购代理机构主持；</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29.2.3 宣读开标纪律，介绍采购人、监督人（或公证人员）；</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29.2.4 由监督人（或公证人员）随机抽取的供应商授权代表检查所有递交的投标文件的送达时间、密封情况；</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29.2.5由采购代理机构工作人员按投标文件送达时间正顺序当众拆启投标文件，宣读《开标一览表》中供应商的名称及货物名称、数量、价格等招标文件规定的需要宣布的内容；如唱标人宣读的内容与投标文件不一致时，供应商代表应当当场提出。</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29.2.6唱标结束后由采购人代表对供应商提交的“资格响应文件”进行审查，资格审查不合格的，投标无效；</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29.2.7 按本文件第 28 条已提交了可接受的撤回通知的投标文件及无效投标文件将不予开封。</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29.2.8 供应商代表对开标过程和开标记录有疑义，以及认为采购人、采购代理机构相关工作人员有需要回避的情形的，应当场提出询问或者回避申请。供应商未参加开标的，视同认可开标结果。</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（一）招标文件存在不合理条款或者招标程序不符合规定的，采购人、采购代理机构改正后依法重新招标；</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（二）招标文件没有不合理条款、招标程序符合规定，需要采用其他采购方式采购的，采购人应当依法报财政部门批准。</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29.4 采购人或采购代理机构应对开标过程进行记录，由参加开标的各供应商代表和相关工作人员签字确认后随招标文件一并存档。</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30. 资格审查</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30.1开标结束后，采购人按照本须知第21.1条资格响应文件要求的</w:t>
      </w:r>
      <w:r>
        <w:rPr>
          <w:rFonts w:hint="eastAsia" w:ascii="仿宋" w:hAnsi="仿宋" w:eastAsia="仿宋"/>
          <w:b/>
          <w:color w:val="auto"/>
          <w:kern w:val="0"/>
          <w:sz w:val="24"/>
        </w:rPr>
        <w:t>（1）-（7）项</w:t>
      </w:r>
      <w:r>
        <w:rPr>
          <w:rFonts w:hint="eastAsia" w:ascii="仿宋" w:hAnsi="仿宋" w:eastAsia="仿宋" w:cs="仿宋"/>
          <w:b/>
          <w:color w:val="auto"/>
          <w:kern w:val="0"/>
          <w:sz w:val="24"/>
        </w:rPr>
        <w:t>内容对各供应商进行资格审查，</w:t>
      </w:r>
      <w:r>
        <w:rPr>
          <w:rFonts w:hint="eastAsia" w:ascii="仿宋" w:hAnsi="仿宋" w:eastAsia="仿宋" w:cs="仿宋"/>
          <w:b/>
          <w:color w:val="auto"/>
          <w:kern w:val="0"/>
          <w:sz w:val="24"/>
        </w:rPr>
        <w:t>同时由招标代理机构按照《投标须知前附表》第4.3项要求对所有供应商进行信用记录查询，并将查询结果书面记录资料提交采购人。供应商资格审查不合格的，其投标无效。</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30.2合格供应商不足三家的，不进行评标。</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（六） 评标</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31. 评标委员会与评标</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31.1 评标工作由采购人依法组建的评标委员会负责。评标委员会的名单在评标结果公告前应当保密。</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31.2 本项目评标委员会由</w:t>
      </w:r>
      <w:r>
        <w:rPr>
          <w:rFonts w:hint="eastAsia" w:ascii="仿宋" w:hAnsi="仿宋" w:eastAsia="仿宋" w:cs="仿宋"/>
          <w:color w:val="auto"/>
          <w:kern w:val="0"/>
          <w:sz w:val="24"/>
          <w:u w:val="single"/>
        </w:rPr>
        <w:t>5</w:t>
      </w:r>
      <w:r>
        <w:rPr>
          <w:rFonts w:hint="eastAsia" w:ascii="仿宋" w:hAnsi="仿宋" w:eastAsia="仿宋" w:cs="仿宋"/>
          <w:color w:val="auto"/>
          <w:kern w:val="0"/>
          <w:sz w:val="24"/>
        </w:rPr>
        <w:t>人组成，其中：专家库中随机抽取专家</w:t>
      </w:r>
      <w:r>
        <w:rPr>
          <w:rFonts w:hint="eastAsia" w:ascii="仿宋" w:hAnsi="仿宋" w:eastAsia="仿宋" w:cs="仿宋"/>
          <w:color w:val="auto"/>
          <w:kern w:val="0"/>
          <w:sz w:val="24"/>
          <w:u w:val="single"/>
        </w:rPr>
        <w:t>4</w:t>
      </w:r>
      <w:r>
        <w:rPr>
          <w:rFonts w:hint="eastAsia" w:ascii="仿宋" w:hAnsi="仿宋" w:eastAsia="仿宋" w:cs="仿宋"/>
          <w:color w:val="auto"/>
          <w:kern w:val="0"/>
          <w:sz w:val="24"/>
        </w:rPr>
        <w:t>人,采购人代表</w:t>
      </w:r>
      <w:r>
        <w:rPr>
          <w:rFonts w:hint="eastAsia" w:ascii="仿宋" w:hAnsi="仿宋" w:eastAsia="仿宋" w:cs="仿宋"/>
          <w:color w:val="auto"/>
          <w:kern w:val="0"/>
          <w:sz w:val="24"/>
          <w:u w:val="single"/>
        </w:rPr>
        <w:t>1</w:t>
      </w:r>
      <w:r>
        <w:rPr>
          <w:rFonts w:hint="eastAsia" w:ascii="仿宋" w:hAnsi="仿宋" w:eastAsia="仿宋" w:cs="仿宋"/>
          <w:color w:val="auto"/>
          <w:kern w:val="0"/>
          <w:sz w:val="24"/>
        </w:rPr>
        <w:t>人。</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31.3 开标结束后，开始评标，评标采用保密方式进行。</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31.4 评标委员会组长由评标委员会成员推举产生，并与评标委员会其他成员有同等的权利和义务。采购人代表不得担任评标委员会组长。</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31.5 评标委员会成员应当客观、公正地履行职责，遵守职业道德，对所提出的评审意见承担个人责任。</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31.6 评标委员会根据招标文件确定的评比标准和方法，对投标文件进行系统地评审和比较。招标文件中没有规定的标准和方法不得作为评标的依据。</w:t>
      </w:r>
    </w:p>
    <w:p>
      <w:pPr>
        <w:shd w:val="clear" w:color="auto" w:fill="FFFFFF"/>
        <w:spacing w:line="44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32. 投标文件的澄清</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32.1 为有助于对投标文件进行审查、评估和比较，供应商对评审中评标委员会书面提出的投标文件中含义不明确、同类问题表述不一致或者有明显文字和计算错误的内容，供应商以采用书面形式的澄清、说明或者补正，并加盖公章，或者由法定代表人或其授权的代表签字。供应商的澄清、说明或者补正不得超出投标文件的范围或者改变投标文件的实质性内容。</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32.2 供应商未按照要求对投标文件进行澄清、说明或者补正的，评标委员会可以否决其投标。</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33. 投标文件的评审、比较</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33.1 投标文件符合性审查</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33.1.1评标委员会应当对符合资格的供应商的投标文件进行符合性审查，以确定其是否满足招标文件的实质性要求。通过资格审查的供应商的投标文件进入详细评审。</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 投标文件的详细评审</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33.2.1</w:t>
      </w:r>
      <w:r>
        <w:rPr>
          <w:rFonts w:hint="eastAsia" w:ascii="仿宋" w:hAnsi="仿宋" w:eastAsia="仿宋" w:cs="仿宋"/>
          <w:bCs/>
          <w:color w:val="auto"/>
          <w:kern w:val="0"/>
          <w:sz w:val="24"/>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33.2.2</w:t>
      </w:r>
      <w:r>
        <w:rPr>
          <w:rFonts w:hint="eastAsia" w:ascii="仿宋" w:hAnsi="仿宋" w:eastAsia="仿宋" w:cs="仿宋"/>
          <w:color w:val="auto"/>
          <w:kern w:val="0"/>
          <w:sz w:val="24"/>
        </w:rPr>
        <w:t>评审中，评标委员会可以对投标文件中含义不明确、同类问题表述不一致或者有明显文字和计算错误的内容，在规定的时限内要求供应商作出必要的澄清、说明或者补正。</w:t>
      </w:r>
      <w:r>
        <w:rPr>
          <w:rFonts w:hint="eastAsia" w:ascii="仿宋" w:hAnsi="仿宋" w:eastAsia="仿宋" w:cs="仿宋"/>
          <w:color w:val="auto"/>
          <w:kern w:val="0"/>
          <w:sz w:val="24"/>
        </w:rPr>
        <w:t>供应商的澄清、说明或者补正应当采用书面形式，并加盖公章或者由法定代表人或其授权的代表签字。供应商的澄清、说明或者补正不得超出投标文件的范围或者改变投标文件的实质性内容。</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1"/>
          <w:sz w:val="24"/>
        </w:rPr>
        <w:t>33.2.4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33.2.5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33.2.7评标结果汇总完成后，除下列情形外，任何人不得修改评标结果：</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（一）分值汇总计算错误的；</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（二）分项评分超出评分标准范围的；</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（三）评标委员会成员对客观评审因素评分不一致的；</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（四）经评标委员会认定评分畸高、畸低的。</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color w:val="auto"/>
          <w:kern w:val="0"/>
          <w:sz w:val="24"/>
        </w:rPr>
        <w:t>33.2.8 评标委员会依据投标须知前附表规定的评标方法，对供应商的投标文件进行评审和比较，</w:t>
      </w:r>
      <w:r>
        <w:rPr>
          <w:rFonts w:hint="eastAsia" w:ascii="仿宋" w:hAnsi="仿宋" w:eastAsia="仿宋" w:cs="仿宋"/>
          <w:bCs/>
          <w:color w:val="auto"/>
          <w:kern w:val="0"/>
          <w:sz w:val="24"/>
        </w:rPr>
        <w:t>供应商最终得分等于商务部分、技术部分、报价部分得分之和。评标委员会确定供应商最终得分向采购人提出书面报告，并推荐合格的中标候选人。</w:t>
      </w:r>
    </w:p>
    <w:p>
      <w:pPr>
        <w:shd w:val="clear" w:color="auto" w:fill="FFFFFF"/>
        <w:spacing w:line="44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34. 评标的办法和标准</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34.1 本招标项目评标办法为综合评分法</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 审查</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34.2.1 资格审查</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34.2.2 投标文件符合性审查</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34.2.3 投标文件详细评审</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（1）投标报价评审</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（2）投标文件商务部分、技术部分评审</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34.3 评标的具体评审办法和标准</w:t>
      </w:r>
    </w:p>
    <w:p>
      <w:pPr>
        <w:shd w:val="clear" w:color="auto" w:fill="FFFFFF"/>
        <w:tabs>
          <w:tab w:val="left" w:pos="3045"/>
        </w:tabs>
        <w:autoSpaceDE w:val="0"/>
        <w:autoSpaceDN w:val="0"/>
        <w:adjustRightInd w:val="0"/>
        <w:snapToGrid w:val="0"/>
        <w:spacing w:line="360" w:lineRule="exact"/>
        <w:rPr>
          <w:rFonts w:ascii="仿宋" w:hAnsi="仿宋" w:eastAsia="仿宋" w:cs="仿宋"/>
          <w:b/>
          <w:color w:val="auto"/>
          <w:kern w:val="0"/>
          <w:sz w:val="24"/>
        </w:rPr>
      </w:pPr>
      <w:r>
        <w:rPr>
          <w:rFonts w:hint="eastAsia" w:ascii="仿宋" w:hAnsi="仿宋" w:eastAsia="仿宋" w:cs="仿宋"/>
          <w:b/>
          <w:color w:val="auto"/>
          <w:kern w:val="0"/>
          <w:sz w:val="24"/>
        </w:rPr>
        <w:br w:type="page"/>
      </w:r>
    </w:p>
    <w:p>
      <w:pPr>
        <w:shd w:val="clear" w:color="auto" w:fill="FFFFFF"/>
        <w:tabs>
          <w:tab w:val="left" w:pos="3045"/>
        </w:tabs>
        <w:autoSpaceDE w:val="0"/>
        <w:autoSpaceDN w:val="0"/>
        <w:adjustRightInd w:val="0"/>
        <w:snapToGrid w:val="0"/>
        <w:spacing w:line="360" w:lineRule="exact"/>
        <w:rPr>
          <w:rFonts w:ascii="仿宋" w:hAnsi="仿宋" w:eastAsia="仿宋" w:cs="仿宋"/>
          <w:b/>
          <w:color w:val="auto"/>
          <w:sz w:val="24"/>
        </w:rPr>
      </w:pPr>
    </w:p>
    <w:p>
      <w:pPr>
        <w:pStyle w:val="57"/>
        <w:ind w:firstLine="241"/>
        <w:rPr>
          <w:rFonts w:ascii="仿宋" w:hAnsi="仿宋" w:eastAsia="仿宋" w:cs="仿宋"/>
          <w:b/>
          <w:color w:val="auto"/>
          <w:sz w:val="24"/>
        </w:rPr>
      </w:pPr>
      <w:r>
        <w:rPr>
          <w:rFonts w:hint="eastAsia" w:ascii="仿宋" w:hAnsi="仿宋" w:eastAsia="仿宋" w:cs="仿宋"/>
          <w:b/>
          <w:color w:val="auto"/>
          <w:sz w:val="24"/>
        </w:rPr>
        <w:t>34.3.1</w:t>
      </w:r>
      <w:r>
        <w:rPr>
          <w:rFonts w:hint="eastAsia" w:ascii="仿宋" w:hAnsi="仿宋" w:eastAsia="仿宋" w:cs="仿宋"/>
          <w:b/>
          <w:color w:val="auto"/>
          <w:sz w:val="24"/>
        </w:rPr>
        <w:t>资格审查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4819" w:type="dxa"/>
            <w:gridSpan w:val="2"/>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供应商1</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供应商2</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供应商3</w:t>
            </w:r>
          </w:p>
        </w:tc>
        <w:tc>
          <w:tcPr>
            <w:tcW w:w="709"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851" w:type="dxa"/>
            <w:vMerge w:val="restart"/>
            <w:vAlign w:val="center"/>
          </w:tcPr>
          <w:p>
            <w:pPr>
              <w:shd w:val="clear" w:color="auto" w:fill="FFFFFF"/>
              <w:spacing w:line="360" w:lineRule="exact"/>
              <w:jc w:val="center"/>
              <w:rPr>
                <w:rFonts w:ascii="仿宋" w:hAnsi="仿宋" w:eastAsia="仿宋"/>
                <w:b/>
                <w:color w:val="auto"/>
                <w:sz w:val="24"/>
              </w:rPr>
            </w:pP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资</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格</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表</w:t>
            </w:r>
          </w:p>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cs="宋体"/>
                <w:color w:val="auto"/>
                <w:sz w:val="24"/>
              </w:rPr>
              <w:t>供应商营业执照或其他组织资格证书，</w:t>
            </w:r>
            <w:r>
              <w:rPr>
                <w:rFonts w:hint="eastAsia" w:ascii="仿宋" w:hAnsi="仿宋" w:eastAsia="仿宋"/>
                <w:bCs/>
                <w:color w:val="auto"/>
                <w:kern w:val="0"/>
                <w:sz w:val="24"/>
              </w:rPr>
              <w:t>复印件加盖公章</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2</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法定代表人资格证明书和法定代表人身份证或者法定代表人授权委托书及被授权人身份证明</w:t>
            </w:r>
            <w:r>
              <w:rPr>
                <w:rFonts w:hint="eastAsia" w:ascii="仿宋" w:hAnsi="仿宋" w:eastAsia="仿宋"/>
                <w:color w:val="auto"/>
                <w:sz w:val="24"/>
              </w:rPr>
              <w:t>，授权委托书原件放入正本</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3</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供应商2021年任意连续三个月依法纳税及缴纳社会保险相关证明资料，</w:t>
            </w:r>
            <w:r>
              <w:rPr>
                <w:rFonts w:hint="eastAsia" w:ascii="仿宋" w:hAnsi="仿宋" w:eastAsia="仿宋"/>
                <w:color w:val="auto"/>
                <w:kern w:val="0"/>
                <w:sz w:val="24"/>
                <w:szCs w:val="22"/>
              </w:rPr>
              <w:t>复印件加盖公章</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4</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w:t>
            </w:r>
            <w:r>
              <w:rPr>
                <w:rFonts w:hint="eastAsia" w:ascii="仿宋" w:hAnsi="仿宋" w:eastAsia="仿宋"/>
                <w:color w:val="auto"/>
                <w:kern w:val="0"/>
                <w:sz w:val="24"/>
                <w:szCs w:val="22"/>
              </w:rPr>
              <w:t>经审计的</w:t>
            </w:r>
            <w:r>
              <w:rPr>
                <w:rFonts w:ascii="仿宋" w:hAnsi="仿宋" w:eastAsia="仿宋"/>
                <w:color w:val="auto"/>
                <w:kern w:val="0"/>
                <w:sz w:val="24"/>
                <w:szCs w:val="22"/>
              </w:rPr>
              <w:t>2020</w:t>
            </w:r>
            <w:r>
              <w:rPr>
                <w:rFonts w:hint="eastAsia" w:ascii="仿宋" w:hAnsi="仿宋" w:eastAsia="仿宋"/>
                <w:color w:val="auto"/>
                <w:kern w:val="0"/>
                <w:sz w:val="24"/>
                <w:szCs w:val="22"/>
              </w:rPr>
              <w:t>年度的财务报告（投标单位成立不满一年的不需提供），复印件加盖公章</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5</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供应商参加本次政府采购活动前3年内在经营活动中没有重大违法记录的书面声明，原件放入正本</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6</w:t>
            </w:r>
          </w:p>
        </w:tc>
        <w:tc>
          <w:tcPr>
            <w:tcW w:w="4252" w:type="dxa"/>
            <w:vAlign w:val="center"/>
          </w:tcPr>
          <w:p>
            <w:pPr>
              <w:shd w:val="clear" w:color="auto" w:fill="FFFFFF"/>
              <w:spacing w:line="340" w:lineRule="exact"/>
              <w:rPr>
                <w:rFonts w:ascii="仿宋" w:hAnsi="仿宋" w:eastAsia="仿宋"/>
                <w:color w:val="auto"/>
                <w:sz w:val="24"/>
              </w:rPr>
            </w:pPr>
            <w:r>
              <w:rPr>
                <w:rFonts w:hint="eastAsia" w:ascii="仿宋" w:hAnsi="仿宋" w:eastAsia="仿宋"/>
                <w:color w:val="auto"/>
                <w:kern w:val="0"/>
                <w:sz w:val="24"/>
              </w:rPr>
              <w:t>供应商医疗器械经营许可证（或按照国家食品药品监督管理部门规定实行备案管理的，出具备案证明文件），复印件加盖公章</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7</w:t>
            </w:r>
          </w:p>
        </w:tc>
        <w:tc>
          <w:tcPr>
            <w:tcW w:w="4252" w:type="dxa"/>
            <w:vAlign w:val="center"/>
          </w:tcPr>
          <w:p>
            <w:pPr>
              <w:shd w:val="clear" w:color="auto" w:fill="FFFFFF"/>
              <w:spacing w:line="340" w:lineRule="exact"/>
              <w:rPr>
                <w:rFonts w:ascii="仿宋" w:hAnsi="仿宋" w:eastAsia="仿宋"/>
                <w:bCs/>
                <w:color w:val="auto"/>
                <w:kern w:val="0"/>
                <w:sz w:val="24"/>
              </w:rPr>
            </w:pPr>
            <w:r>
              <w:rPr>
                <w:rFonts w:hint="eastAsia" w:ascii="仿宋" w:hAnsi="仿宋" w:eastAsia="仿宋"/>
                <w:bCs/>
                <w:color w:val="auto"/>
                <w:kern w:val="0"/>
                <w:sz w:val="24"/>
              </w:rPr>
              <w:t>投标保证金缴纳凭证（打印件）</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8</w:t>
            </w:r>
          </w:p>
        </w:tc>
        <w:tc>
          <w:tcPr>
            <w:tcW w:w="4252" w:type="dxa"/>
            <w:vAlign w:val="center"/>
          </w:tcPr>
          <w:p>
            <w:pPr>
              <w:shd w:val="clear" w:color="auto" w:fill="FFFFFF"/>
              <w:spacing w:line="340" w:lineRule="exact"/>
              <w:rPr>
                <w:rFonts w:ascii="仿宋" w:hAnsi="仿宋" w:eastAsia="仿宋"/>
                <w:bCs/>
                <w:color w:val="auto"/>
                <w:kern w:val="0"/>
                <w:sz w:val="24"/>
              </w:rPr>
            </w:pPr>
            <w:r>
              <w:rPr>
                <w:rFonts w:hint="eastAsia" w:ascii="仿宋" w:hAnsi="仿宋" w:eastAsia="仿宋"/>
                <w:color w:val="auto"/>
                <w:sz w:val="24"/>
              </w:rPr>
              <w:t>信用查询记录未出现《投标须知前附表》第4.3项所述违法或失信情形。</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5670" w:type="dxa"/>
            <w:gridSpan w:val="3"/>
            <w:vAlign w:val="center"/>
          </w:tcPr>
          <w:p>
            <w:pPr>
              <w:shd w:val="clear" w:color="auto" w:fill="FFFFFF"/>
              <w:spacing w:line="360" w:lineRule="exact"/>
              <w:jc w:val="right"/>
              <w:rPr>
                <w:rFonts w:ascii="仿宋" w:hAnsi="仿宋" w:eastAsia="仿宋"/>
                <w:color w:val="auto"/>
                <w:sz w:val="24"/>
              </w:rPr>
            </w:pPr>
            <w:r>
              <w:rPr>
                <w:rFonts w:hint="eastAsia" w:ascii="仿宋" w:hAnsi="仿宋" w:eastAsia="仿宋"/>
                <w:color w:val="auto"/>
                <w:sz w:val="24"/>
              </w:rPr>
              <w:t>结论</w:t>
            </w: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1134" w:type="dxa"/>
            <w:vAlign w:val="center"/>
          </w:tcPr>
          <w:p>
            <w:pPr>
              <w:shd w:val="clear" w:color="auto" w:fill="FFFFFF"/>
              <w:spacing w:line="360" w:lineRule="exact"/>
              <w:rPr>
                <w:rFonts w:ascii="仿宋" w:hAnsi="仿宋" w:eastAsia="仿宋"/>
                <w:color w:val="auto"/>
                <w:sz w:val="24"/>
              </w:rPr>
            </w:pPr>
          </w:p>
        </w:tc>
        <w:tc>
          <w:tcPr>
            <w:tcW w:w="709"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81" w:type="dxa"/>
            <w:gridSpan w:val="7"/>
            <w:vAlign w:val="center"/>
          </w:tcPr>
          <w:p>
            <w:pPr>
              <w:shd w:val="clear" w:color="auto" w:fill="FFFFFF"/>
              <w:spacing w:line="440" w:lineRule="exact"/>
              <w:rPr>
                <w:rFonts w:ascii="仿宋" w:hAnsi="仿宋" w:eastAsia="仿宋"/>
                <w:bCs/>
                <w:color w:val="auto"/>
                <w:kern w:val="0"/>
                <w:sz w:val="24"/>
              </w:rPr>
            </w:pPr>
            <w:r>
              <w:rPr>
                <w:rFonts w:hint="eastAsia" w:ascii="仿宋" w:hAnsi="仿宋" w:eastAsia="仿宋"/>
                <w:b/>
                <w:color w:val="auto"/>
                <w:sz w:val="24"/>
              </w:rPr>
              <w:t>采购人代表签名：</w:t>
            </w:r>
          </w:p>
          <w:p>
            <w:pPr>
              <w:shd w:val="clear" w:color="auto" w:fill="FFFFFF"/>
              <w:spacing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资格审查不合格的供应商，投标无效。</w:t>
            </w:r>
          </w:p>
        </w:tc>
      </w:tr>
    </w:tbl>
    <w:p>
      <w:pPr>
        <w:pStyle w:val="57"/>
        <w:ind w:firstLine="210"/>
        <w:rPr>
          <w:rFonts w:ascii="仿宋" w:hAnsi="仿宋" w:eastAsia="仿宋" w:cs="仿宋"/>
          <w:color w:val="auto"/>
        </w:rPr>
      </w:pPr>
    </w:p>
    <w:p>
      <w:pPr>
        <w:shd w:val="clear" w:color="auto" w:fill="FFFFFF"/>
        <w:tabs>
          <w:tab w:val="left" w:pos="3045"/>
        </w:tabs>
        <w:autoSpaceDE w:val="0"/>
        <w:autoSpaceDN w:val="0"/>
        <w:adjustRightInd w:val="0"/>
        <w:snapToGrid w:val="0"/>
        <w:spacing w:line="360" w:lineRule="exact"/>
        <w:ind w:firstLine="120" w:firstLineChars="50"/>
        <w:rPr>
          <w:rFonts w:ascii="仿宋" w:hAnsi="仿宋" w:eastAsia="仿宋" w:cs="仿宋"/>
          <w:b/>
          <w:color w:val="auto"/>
          <w:sz w:val="24"/>
        </w:rPr>
      </w:pPr>
    </w:p>
    <w:p>
      <w:pPr>
        <w:shd w:val="clear" w:color="auto" w:fill="FFFFFF"/>
        <w:tabs>
          <w:tab w:val="left" w:pos="3045"/>
        </w:tabs>
        <w:autoSpaceDE w:val="0"/>
        <w:autoSpaceDN w:val="0"/>
        <w:adjustRightInd w:val="0"/>
        <w:snapToGrid w:val="0"/>
        <w:spacing w:line="360" w:lineRule="exact"/>
        <w:ind w:firstLine="120" w:firstLineChars="50"/>
        <w:rPr>
          <w:rFonts w:ascii="仿宋" w:hAnsi="仿宋" w:eastAsia="仿宋" w:cs="仿宋"/>
          <w:b/>
          <w:color w:val="auto"/>
          <w:sz w:val="24"/>
        </w:rPr>
      </w:pPr>
      <w:r>
        <w:rPr>
          <w:rFonts w:hint="eastAsia" w:ascii="仿宋" w:hAnsi="仿宋" w:eastAsia="仿宋" w:cs="仿宋"/>
          <w:b/>
          <w:color w:val="auto"/>
          <w:sz w:val="24"/>
        </w:rPr>
        <w:t>34.3.2符合性审查</w:t>
      </w:r>
    </w:p>
    <w:tbl>
      <w:tblPr>
        <w:tblStyle w:val="59"/>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18"/>
        <w:gridCol w:w="1050"/>
        <w:gridCol w:w="938"/>
        <w:gridCol w:w="100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8"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项目</w:t>
            </w:r>
          </w:p>
        </w:tc>
        <w:tc>
          <w:tcPr>
            <w:tcW w:w="5085" w:type="dxa"/>
            <w:gridSpan w:val="2"/>
            <w:tcBorders>
              <w:bottom w:val="single" w:color="auto" w:sz="4" w:space="0"/>
            </w:tcBorders>
            <w:vAlign w:val="center"/>
          </w:tcPr>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评  审  内  容</w:t>
            </w:r>
          </w:p>
        </w:tc>
        <w:tc>
          <w:tcPr>
            <w:tcW w:w="1050"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供应商1</w:t>
            </w:r>
          </w:p>
        </w:tc>
        <w:tc>
          <w:tcPr>
            <w:tcW w:w="938"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供应商2</w:t>
            </w:r>
          </w:p>
        </w:tc>
        <w:tc>
          <w:tcPr>
            <w:tcW w:w="1007"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供应商3</w:t>
            </w:r>
          </w:p>
        </w:tc>
        <w:tc>
          <w:tcPr>
            <w:tcW w:w="992" w:type="dxa"/>
            <w:tcBorders>
              <w:bottom w:val="single" w:color="auto" w:sz="4" w:space="0"/>
            </w:tcBorders>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初</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步</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评</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审</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符</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合</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性</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审</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查</w:t>
            </w:r>
          </w:p>
          <w:p>
            <w:pPr>
              <w:shd w:val="clear" w:color="auto" w:fill="FFFFFF"/>
              <w:spacing w:line="360" w:lineRule="exact"/>
              <w:jc w:val="center"/>
              <w:rPr>
                <w:rFonts w:ascii="仿宋" w:hAnsi="仿宋" w:eastAsia="仿宋" w:cs="仿宋"/>
                <w:b/>
                <w:color w:val="auto"/>
                <w:sz w:val="24"/>
              </w:rPr>
            </w:pPr>
            <w:r>
              <w:rPr>
                <w:rFonts w:hint="eastAsia" w:ascii="仿宋" w:hAnsi="仿宋" w:eastAsia="仿宋" w:cs="仿宋"/>
                <w:b/>
                <w:color w:val="auto"/>
                <w:sz w:val="24"/>
              </w:rPr>
              <w:t>表</w:t>
            </w:r>
          </w:p>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b/>
                <w:color w:val="auto"/>
                <w:sz w:val="24"/>
              </w:rPr>
              <w:t>︺</w:t>
            </w: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sz w:val="24"/>
              </w:rPr>
              <w:t>投标文件组成完整，主要内容按招标文件规定的内容、格式、份数、填写装订</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sz w:val="24"/>
              </w:rPr>
              <w:t>投标总报价未超过本项目最高限价的</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sz w:val="24"/>
              </w:rPr>
              <w:t>供应商未出现对同一货物做出两个以上报价且未明确效力的</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7"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sz w:val="24"/>
              </w:rPr>
              <w:t>投标文件载明的</w:t>
            </w:r>
            <w:r>
              <w:rPr>
                <w:rFonts w:hint="eastAsia" w:ascii="仿宋" w:hAnsi="仿宋" w:eastAsia="仿宋" w:cs="仿宋"/>
                <w:bCs/>
                <w:color w:val="auto"/>
                <w:kern w:val="0"/>
                <w:sz w:val="24"/>
              </w:rPr>
              <w:t>“交货期”、“交货地点”、“质保期”、“付款方式”、“投标有效期”</w:t>
            </w:r>
            <w:r>
              <w:rPr>
                <w:rFonts w:hint="eastAsia" w:ascii="仿宋" w:hAnsi="仿宋" w:eastAsia="仿宋" w:cs="仿宋"/>
                <w:color w:val="auto"/>
                <w:sz w:val="24"/>
              </w:rPr>
              <w:t>符合招标文件要求</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sz w:val="24"/>
              </w:rPr>
              <w:t>投标保证金的缴纳主体与供应商一致且按照招标文件要求的金额、方式提供</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8"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4518"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s="仿宋"/>
                <w:color w:val="auto"/>
                <w:sz w:val="24"/>
              </w:rPr>
              <w:t>投标文件按照招标文件第二章第21项要求的</w:t>
            </w:r>
            <w:r>
              <w:rPr>
                <w:rFonts w:hint="eastAsia" w:ascii="仿宋" w:hAnsi="仿宋" w:eastAsia="仿宋"/>
                <w:color w:val="auto"/>
                <w:sz w:val="24"/>
              </w:rPr>
              <w:t>资格、商务、技术、报价部分提供必备项内容；</w:t>
            </w:r>
          </w:p>
          <w:p>
            <w:pPr>
              <w:shd w:val="clear" w:color="auto" w:fill="FFFFFF"/>
              <w:spacing w:line="360" w:lineRule="exact"/>
              <w:rPr>
                <w:color w:val="auto"/>
              </w:rPr>
            </w:pPr>
            <w:r>
              <w:rPr>
                <w:rFonts w:hint="eastAsia" w:ascii="仿宋" w:hAnsi="仿宋" w:eastAsia="仿宋"/>
                <w:color w:val="auto"/>
                <w:sz w:val="24"/>
              </w:rPr>
              <w:t>对第四章《采购需求》未标注*号的条款是否出现5条及以上负偏离；</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8"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sz w:val="24"/>
              </w:rPr>
              <w:t>投标承诺书按招标文件规定格式、内容完整提供，且按招标文件要求签字、盖章</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3"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olor w:val="auto"/>
                <w:sz w:val="24"/>
              </w:rPr>
              <w:t>法定代表人资格证明书、法定代表人授权委托书按招标文件规定格式完整提供，并按招标文件要求签字、盖章</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sz w:val="24"/>
              </w:rPr>
              <w:t>投标文件未附有采购人不能接受的条件</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8" w:hRule="atLeast"/>
        </w:trPr>
        <w:tc>
          <w:tcPr>
            <w:tcW w:w="851" w:type="dxa"/>
            <w:vMerge w:val="continue"/>
            <w:vAlign w:val="center"/>
          </w:tcPr>
          <w:p>
            <w:pPr>
              <w:shd w:val="clear" w:color="auto" w:fill="FFFFFF"/>
              <w:spacing w:line="360" w:lineRule="exact"/>
              <w:jc w:val="center"/>
              <w:rPr>
                <w:rFonts w:ascii="仿宋" w:hAnsi="仿宋" w:eastAsia="仿宋" w:cs="仿宋"/>
                <w:color w:val="auto"/>
                <w:sz w:val="24"/>
              </w:rPr>
            </w:pPr>
          </w:p>
        </w:tc>
        <w:tc>
          <w:tcPr>
            <w:tcW w:w="567" w:type="dxa"/>
            <w:vAlign w:val="center"/>
          </w:tcPr>
          <w:p>
            <w:pPr>
              <w:shd w:val="clear" w:color="auto" w:fill="FFFFFF"/>
              <w:spacing w:line="360" w:lineRule="exact"/>
              <w:jc w:val="center"/>
              <w:rPr>
                <w:rFonts w:ascii="仿宋" w:hAnsi="仿宋" w:eastAsia="仿宋" w:cs="仿宋"/>
                <w:color w:val="auto"/>
                <w:sz w:val="24"/>
              </w:rPr>
            </w:pPr>
            <w:r>
              <w:rPr>
                <w:rFonts w:hint="eastAsia" w:ascii="仿宋" w:hAnsi="仿宋" w:eastAsia="仿宋" w:cs="仿宋"/>
                <w:color w:val="auto"/>
                <w:sz w:val="24"/>
              </w:rPr>
              <w:t>10</w:t>
            </w:r>
          </w:p>
        </w:tc>
        <w:tc>
          <w:tcPr>
            <w:tcW w:w="4518" w:type="dxa"/>
            <w:vAlign w:val="center"/>
          </w:tcPr>
          <w:p>
            <w:pPr>
              <w:shd w:val="clear" w:color="auto" w:fill="FFFFFF"/>
              <w:spacing w:line="360" w:lineRule="exact"/>
              <w:rPr>
                <w:rFonts w:ascii="仿宋" w:hAnsi="仿宋" w:eastAsia="仿宋" w:cs="仿宋"/>
                <w:color w:val="auto"/>
                <w:sz w:val="24"/>
              </w:rPr>
            </w:pPr>
            <w:r>
              <w:rPr>
                <w:rFonts w:hint="eastAsia" w:ascii="仿宋" w:hAnsi="仿宋" w:eastAsia="仿宋" w:cs="仿宋"/>
                <w:color w:val="auto"/>
                <w:kern w:val="0"/>
                <w:sz w:val="24"/>
              </w:rPr>
              <w:t>符合法律、法规和招标文件中规定的实质性要求</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trPr>
        <w:tc>
          <w:tcPr>
            <w:tcW w:w="5936" w:type="dxa"/>
            <w:gridSpan w:val="3"/>
            <w:vAlign w:val="center"/>
          </w:tcPr>
          <w:p>
            <w:pPr>
              <w:shd w:val="clear" w:color="auto" w:fill="FFFFFF"/>
              <w:spacing w:line="360" w:lineRule="exact"/>
              <w:jc w:val="right"/>
              <w:rPr>
                <w:rFonts w:ascii="仿宋" w:hAnsi="仿宋" w:eastAsia="仿宋" w:cs="仿宋"/>
                <w:color w:val="auto"/>
                <w:sz w:val="24"/>
              </w:rPr>
            </w:pPr>
            <w:r>
              <w:rPr>
                <w:rFonts w:hint="eastAsia" w:ascii="仿宋" w:hAnsi="仿宋" w:eastAsia="仿宋" w:cs="仿宋"/>
                <w:color w:val="auto"/>
                <w:sz w:val="24"/>
              </w:rPr>
              <w:t>结论</w:t>
            </w:r>
          </w:p>
        </w:tc>
        <w:tc>
          <w:tcPr>
            <w:tcW w:w="1050" w:type="dxa"/>
            <w:vAlign w:val="center"/>
          </w:tcPr>
          <w:p>
            <w:pPr>
              <w:shd w:val="clear" w:color="auto" w:fill="FFFFFF"/>
              <w:spacing w:line="360" w:lineRule="exact"/>
              <w:rPr>
                <w:rFonts w:ascii="仿宋" w:hAnsi="仿宋" w:eastAsia="仿宋" w:cs="仿宋"/>
                <w:color w:val="auto"/>
                <w:sz w:val="24"/>
              </w:rPr>
            </w:pPr>
          </w:p>
        </w:tc>
        <w:tc>
          <w:tcPr>
            <w:tcW w:w="938" w:type="dxa"/>
            <w:vAlign w:val="center"/>
          </w:tcPr>
          <w:p>
            <w:pPr>
              <w:shd w:val="clear" w:color="auto" w:fill="FFFFFF"/>
              <w:spacing w:line="360" w:lineRule="exact"/>
              <w:rPr>
                <w:rFonts w:ascii="仿宋" w:hAnsi="仿宋" w:eastAsia="仿宋" w:cs="仿宋"/>
                <w:color w:val="auto"/>
                <w:sz w:val="24"/>
              </w:rPr>
            </w:pPr>
          </w:p>
        </w:tc>
        <w:tc>
          <w:tcPr>
            <w:tcW w:w="1007" w:type="dxa"/>
            <w:vAlign w:val="center"/>
          </w:tcPr>
          <w:p>
            <w:pPr>
              <w:shd w:val="clear" w:color="auto" w:fill="FFFFFF"/>
              <w:spacing w:line="360" w:lineRule="exact"/>
              <w:rPr>
                <w:rFonts w:ascii="仿宋" w:hAnsi="仿宋" w:eastAsia="仿宋" w:cs="仿宋"/>
                <w:color w:val="auto"/>
                <w:sz w:val="24"/>
              </w:rPr>
            </w:pPr>
          </w:p>
        </w:tc>
        <w:tc>
          <w:tcPr>
            <w:tcW w:w="992" w:type="dxa"/>
            <w:vAlign w:val="center"/>
          </w:tcPr>
          <w:p>
            <w:pPr>
              <w:shd w:val="clear" w:color="auto" w:fill="FFFFFF"/>
              <w:spacing w:line="36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1" w:hRule="atLeast"/>
        </w:trPr>
        <w:tc>
          <w:tcPr>
            <w:tcW w:w="9923" w:type="dxa"/>
            <w:gridSpan w:val="7"/>
            <w:vAlign w:val="center"/>
          </w:tcPr>
          <w:p>
            <w:pPr>
              <w:shd w:val="clear" w:color="auto" w:fill="FFFFFF"/>
              <w:spacing w:line="360" w:lineRule="exact"/>
              <w:rPr>
                <w:rFonts w:ascii="仿宋" w:hAnsi="仿宋" w:eastAsia="仿宋" w:cs="仿宋"/>
                <w:b/>
                <w:color w:val="auto"/>
                <w:sz w:val="24"/>
              </w:rPr>
            </w:pPr>
            <w:r>
              <w:rPr>
                <w:rFonts w:hint="eastAsia" w:ascii="仿宋" w:hAnsi="仿宋" w:eastAsia="仿宋" w:cs="仿宋"/>
                <w:b/>
                <w:color w:val="auto"/>
                <w:sz w:val="24"/>
              </w:rPr>
              <w:t>评标委员会成员签名：</w:t>
            </w:r>
          </w:p>
          <w:p>
            <w:pPr>
              <w:shd w:val="clear" w:color="auto" w:fill="FFFFFF"/>
              <w:spacing w:line="360" w:lineRule="exact"/>
              <w:rPr>
                <w:rFonts w:ascii="仿宋" w:hAnsi="仿宋" w:eastAsia="仿宋" w:cs="仿宋"/>
                <w:color w:val="auto"/>
                <w:sz w:val="24"/>
              </w:rPr>
            </w:pPr>
            <w:r>
              <w:rPr>
                <w:rFonts w:hint="eastAsia" w:ascii="仿宋" w:hAnsi="仿宋" w:eastAsia="仿宋" w:cs="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78" w:hRule="atLeast"/>
        </w:trPr>
        <w:tc>
          <w:tcPr>
            <w:tcW w:w="9923" w:type="dxa"/>
            <w:gridSpan w:val="7"/>
            <w:vAlign w:val="center"/>
          </w:tcPr>
          <w:p>
            <w:pPr>
              <w:shd w:val="clear" w:color="auto" w:fill="FFFFFF"/>
              <w:spacing w:line="360" w:lineRule="exact"/>
              <w:rPr>
                <w:rFonts w:ascii="仿宋" w:hAnsi="仿宋" w:eastAsia="仿宋" w:cs="仿宋"/>
                <w:b/>
                <w:color w:val="auto"/>
                <w:sz w:val="24"/>
              </w:rPr>
            </w:pPr>
            <w:r>
              <w:rPr>
                <w:rFonts w:hint="eastAsia" w:ascii="仿宋" w:hAnsi="仿宋" w:eastAsia="仿宋" w:cs="仿宋"/>
                <w:color w:val="auto"/>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360" w:lineRule="exact"/>
        <w:jc w:val="center"/>
        <w:rPr>
          <w:rFonts w:ascii="仿宋" w:hAnsi="仿宋" w:eastAsia="仿宋" w:cs="仿宋"/>
          <w:b/>
          <w:color w:val="auto"/>
          <w:sz w:val="24"/>
        </w:rPr>
      </w:pPr>
    </w:p>
    <w:p>
      <w:pPr>
        <w:shd w:val="clear" w:color="auto" w:fill="FFFFFF"/>
        <w:spacing w:line="440" w:lineRule="exact"/>
        <w:rPr>
          <w:rFonts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color w:val="auto"/>
          <w:sz w:val="24"/>
        </w:rPr>
        <w:t>34.3.2详细评审</w:t>
      </w:r>
    </w:p>
    <w:p>
      <w:pPr>
        <w:pStyle w:val="522"/>
        <w:shd w:val="clear" w:color="auto" w:fill="FFFFFF"/>
        <w:spacing w:line="44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符合性评审合格的供应商方可进入详细评审阶段。</w:t>
      </w:r>
      <w:r>
        <w:rPr>
          <w:rFonts w:hint="eastAsia" w:ascii="仿宋" w:hAnsi="仿宋" w:eastAsia="仿宋"/>
          <w:color w:val="auto"/>
          <w:sz w:val="24"/>
          <w:szCs w:val="24"/>
        </w:rPr>
        <w:t>详细评审分为投标文件商务、技术部分评审和投标报价评审。</w:t>
      </w:r>
      <w:r>
        <w:rPr>
          <w:rFonts w:hint="eastAsia" w:ascii="仿宋" w:hAnsi="仿宋" w:eastAsia="仿宋" w:cs="仿宋"/>
          <w:color w:val="auto"/>
          <w:sz w:val="24"/>
          <w:szCs w:val="24"/>
        </w:rPr>
        <w:t>其中，报价部分30分，商务部分10分，技术部分60分，合计满分100分。</w:t>
      </w:r>
    </w:p>
    <w:p>
      <w:pPr>
        <w:shd w:val="clear" w:color="auto" w:fill="FFFFFF"/>
        <w:spacing w:line="440" w:lineRule="exact"/>
        <w:rPr>
          <w:rFonts w:ascii="仿宋" w:hAnsi="仿宋" w:eastAsia="仿宋" w:cs="仿宋"/>
          <w:b/>
          <w:color w:val="auto"/>
          <w:sz w:val="24"/>
        </w:rPr>
      </w:pPr>
      <w:r>
        <w:rPr>
          <w:rFonts w:hint="eastAsia" w:ascii="仿宋" w:hAnsi="仿宋" w:eastAsia="仿宋" w:cs="仿宋"/>
          <w:b/>
          <w:color w:val="auto"/>
          <w:sz w:val="24"/>
        </w:rPr>
        <w:t>34.3.3具体评审内容及标准</w:t>
      </w:r>
    </w:p>
    <w:p>
      <w:pPr>
        <w:pStyle w:val="522"/>
        <w:shd w:val="clear" w:color="auto" w:fill="FFFFFF"/>
        <w:spacing w:line="44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报价评审</w:t>
      </w:r>
    </w:p>
    <w:tbl>
      <w:tblPr>
        <w:tblStyle w:val="5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1157" w:type="dxa"/>
            <w:vAlign w:val="center"/>
          </w:tcPr>
          <w:p>
            <w:pPr>
              <w:shd w:val="clear" w:color="auto" w:fill="FFFFFF"/>
              <w:spacing w:line="500" w:lineRule="exact"/>
              <w:jc w:val="center"/>
              <w:rPr>
                <w:rFonts w:ascii="仿宋" w:hAnsi="仿宋" w:eastAsia="仿宋" w:cs="仿宋"/>
                <w:color w:val="auto"/>
                <w:sz w:val="24"/>
              </w:rPr>
            </w:pPr>
            <w:r>
              <w:rPr>
                <w:rFonts w:hint="eastAsia" w:ascii="仿宋" w:hAnsi="仿宋" w:eastAsia="仿宋" w:cs="仿宋"/>
                <w:color w:val="auto"/>
                <w:sz w:val="24"/>
              </w:rPr>
              <w:t>满分</w:t>
            </w:r>
          </w:p>
        </w:tc>
        <w:tc>
          <w:tcPr>
            <w:tcW w:w="6365" w:type="dxa"/>
            <w:vAlign w:val="center"/>
          </w:tcPr>
          <w:p>
            <w:pPr>
              <w:shd w:val="clear" w:color="auto" w:fill="FFFFFF"/>
              <w:spacing w:line="500" w:lineRule="exact"/>
              <w:jc w:val="center"/>
              <w:rPr>
                <w:rFonts w:ascii="仿宋" w:hAnsi="仿宋" w:eastAsia="仿宋" w:cs="仿宋"/>
                <w:color w:val="auto"/>
                <w:sz w:val="24"/>
              </w:rPr>
            </w:pPr>
            <w:r>
              <w:rPr>
                <w:rFonts w:hint="eastAsia" w:ascii="仿宋" w:hAnsi="仿宋" w:eastAsia="仿宋" w:cs="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2175" w:type="dxa"/>
            <w:vAlign w:val="center"/>
          </w:tcPr>
          <w:p>
            <w:pPr>
              <w:shd w:val="clear" w:color="auto" w:fill="FFFFFF"/>
              <w:spacing w:line="500" w:lineRule="exact"/>
              <w:jc w:val="center"/>
              <w:rPr>
                <w:rFonts w:ascii="仿宋" w:hAnsi="仿宋" w:eastAsia="仿宋" w:cs="仿宋"/>
                <w:color w:val="auto"/>
                <w:sz w:val="24"/>
              </w:rPr>
            </w:pPr>
            <w:r>
              <w:rPr>
                <w:rFonts w:hint="eastAsia" w:ascii="仿宋" w:hAnsi="仿宋" w:eastAsia="仿宋" w:cs="仿宋"/>
                <w:color w:val="auto"/>
                <w:sz w:val="24"/>
              </w:rPr>
              <w:t>价格部分</w:t>
            </w:r>
          </w:p>
        </w:tc>
        <w:tc>
          <w:tcPr>
            <w:tcW w:w="1157" w:type="dxa"/>
            <w:vAlign w:val="center"/>
          </w:tcPr>
          <w:p>
            <w:pPr>
              <w:shd w:val="clear" w:color="auto" w:fill="FFFFFF"/>
              <w:spacing w:line="500" w:lineRule="exact"/>
              <w:jc w:val="center"/>
              <w:rPr>
                <w:rFonts w:ascii="仿宋" w:hAnsi="仿宋" w:eastAsia="仿宋" w:cs="仿宋"/>
                <w:color w:val="auto"/>
                <w:sz w:val="24"/>
              </w:rPr>
            </w:pPr>
            <w:r>
              <w:rPr>
                <w:rFonts w:hint="eastAsia" w:ascii="仿宋" w:hAnsi="仿宋" w:eastAsia="仿宋" w:cs="仿宋"/>
                <w:color w:val="auto"/>
                <w:sz w:val="24"/>
              </w:rPr>
              <w:t>30分</w:t>
            </w:r>
          </w:p>
        </w:tc>
        <w:tc>
          <w:tcPr>
            <w:tcW w:w="6365" w:type="dxa"/>
            <w:vAlign w:val="center"/>
          </w:tcPr>
          <w:p>
            <w:pPr>
              <w:shd w:val="clear" w:color="auto" w:fill="FFFFFF"/>
              <w:spacing w:line="400" w:lineRule="exact"/>
              <w:rPr>
                <w:rFonts w:ascii="仿宋" w:hAnsi="仿宋" w:eastAsia="仿宋"/>
                <w:color w:val="auto"/>
                <w:sz w:val="24"/>
              </w:rPr>
            </w:pPr>
            <w:r>
              <w:rPr>
                <w:rFonts w:hint="eastAsia" w:ascii="仿宋" w:hAnsi="仿宋" w:eastAsia="仿宋"/>
                <w:color w:val="auto"/>
                <w:sz w:val="24"/>
              </w:rPr>
              <w:t>采用低价优先法计算，即满足招标文件要求且投标价格最低的投标报价为评标基准价，其价格分为满分。</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其他供应商的价格分统一按照下列公式计算:</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投标报价得分=(评标基准价/投标报价)×30%×100（小数点保留两位）</w:t>
            </w:r>
          </w:p>
        </w:tc>
      </w:tr>
    </w:tbl>
    <w:p>
      <w:pPr>
        <w:snapToGrid w:val="0"/>
        <w:spacing w:line="500" w:lineRule="exact"/>
        <w:rPr>
          <w:rFonts w:ascii="仿宋" w:hAnsi="仿宋" w:eastAsia="仿宋" w:cs="仿宋"/>
          <w:b/>
          <w:color w:val="auto"/>
          <w:sz w:val="24"/>
        </w:rPr>
      </w:pPr>
    </w:p>
    <w:p>
      <w:pPr>
        <w:pStyle w:val="522"/>
        <w:shd w:val="clear" w:color="auto" w:fill="FFFFFF"/>
        <w:spacing w:line="44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商务评审</w:t>
      </w:r>
    </w:p>
    <w:tbl>
      <w:tblPr>
        <w:tblStyle w:val="59"/>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1100"/>
        <w:gridCol w:w="709"/>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27" w:type="dxa"/>
            <w:tcMar>
              <w:top w:w="15" w:type="dxa"/>
              <w:left w:w="15" w:type="dxa"/>
              <w:right w:w="15" w:type="dxa"/>
            </w:tcMar>
            <w:vAlign w:val="center"/>
          </w:tcPr>
          <w:p>
            <w:pPr>
              <w:widowControl/>
              <w:jc w:val="center"/>
              <w:textAlignment w:val="top"/>
              <w:rPr>
                <w:rFonts w:ascii="仿宋" w:hAnsi="仿宋" w:eastAsia="仿宋" w:cs="仿宋"/>
                <w:b/>
                <w:color w:val="auto"/>
                <w:sz w:val="24"/>
              </w:rPr>
            </w:pPr>
            <w:r>
              <w:rPr>
                <w:rFonts w:hint="eastAsia" w:ascii="仿宋" w:hAnsi="仿宋" w:eastAsia="仿宋" w:cs="仿宋"/>
                <w:b/>
                <w:color w:val="auto"/>
                <w:kern w:val="0"/>
                <w:sz w:val="24"/>
              </w:rPr>
              <w:t>评审因素</w:t>
            </w:r>
          </w:p>
        </w:tc>
        <w:tc>
          <w:tcPr>
            <w:tcW w:w="1100" w:type="dxa"/>
            <w:tcMar>
              <w:top w:w="15" w:type="dxa"/>
              <w:left w:w="15" w:type="dxa"/>
              <w:right w:w="15" w:type="dxa"/>
            </w:tcMar>
            <w:vAlign w:val="center"/>
          </w:tcPr>
          <w:p>
            <w:pPr>
              <w:widowControl/>
              <w:jc w:val="center"/>
              <w:textAlignment w:val="top"/>
              <w:rPr>
                <w:rFonts w:ascii="仿宋" w:hAnsi="仿宋" w:eastAsia="仿宋" w:cs="仿宋"/>
                <w:b/>
                <w:color w:val="auto"/>
                <w:sz w:val="24"/>
              </w:rPr>
            </w:pPr>
            <w:r>
              <w:rPr>
                <w:rFonts w:hint="eastAsia" w:ascii="仿宋" w:hAnsi="仿宋" w:eastAsia="仿宋" w:cs="仿宋"/>
                <w:b/>
                <w:color w:val="auto"/>
                <w:kern w:val="0"/>
                <w:sz w:val="24"/>
              </w:rPr>
              <w:t>评审内容</w:t>
            </w:r>
          </w:p>
        </w:tc>
        <w:tc>
          <w:tcPr>
            <w:tcW w:w="709" w:type="dxa"/>
            <w:tcMar>
              <w:top w:w="15" w:type="dxa"/>
              <w:left w:w="15" w:type="dxa"/>
              <w:right w:w="15" w:type="dxa"/>
            </w:tcMar>
            <w:vAlign w:val="center"/>
          </w:tcPr>
          <w:p>
            <w:pPr>
              <w:widowControl/>
              <w:jc w:val="center"/>
              <w:textAlignment w:val="top"/>
              <w:rPr>
                <w:rFonts w:ascii="仿宋" w:hAnsi="仿宋" w:eastAsia="仿宋" w:cs="仿宋"/>
                <w:b/>
                <w:color w:val="auto"/>
                <w:sz w:val="24"/>
              </w:rPr>
            </w:pPr>
            <w:r>
              <w:rPr>
                <w:rFonts w:hint="eastAsia" w:ascii="仿宋" w:hAnsi="仿宋" w:eastAsia="仿宋" w:cs="仿宋"/>
                <w:b/>
                <w:color w:val="auto"/>
                <w:kern w:val="0"/>
                <w:sz w:val="24"/>
              </w:rPr>
              <w:t>满分</w:t>
            </w:r>
          </w:p>
        </w:tc>
        <w:tc>
          <w:tcPr>
            <w:tcW w:w="7087" w:type="dxa"/>
            <w:tcMar>
              <w:top w:w="15" w:type="dxa"/>
              <w:left w:w="15" w:type="dxa"/>
              <w:right w:w="15" w:type="dxa"/>
            </w:tcMar>
            <w:vAlign w:val="center"/>
          </w:tcPr>
          <w:p>
            <w:pPr>
              <w:widowControl/>
              <w:jc w:val="center"/>
              <w:textAlignment w:val="top"/>
              <w:rPr>
                <w:rFonts w:ascii="仿宋" w:hAnsi="仿宋" w:eastAsia="仿宋" w:cs="仿宋"/>
                <w:b/>
                <w:color w:val="auto"/>
                <w:sz w:val="24"/>
              </w:rPr>
            </w:pPr>
            <w:r>
              <w:rPr>
                <w:rFonts w:hint="eastAsia" w:ascii="仿宋" w:hAnsi="仿宋" w:eastAsia="仿宋" w:cs="仿宋"/>
                <w:b/>
                <w:color w:val="auto"/>
                <w:kern w:val="0"/>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027" w:type="dxa"/>
            <w:vMerge w:val="restart"/>
            <w:tcMar>
              <w:top w:w="15" w:type="dxa"/>
              <w:left w:w="15" w:type="dxa"/>
              <w:right w:w="15"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商务部分（10分）</w:t>
            </w:r>
          </w:p>
        </w:tc>
        <w:tc>
          <w:tcPr>
            <w:tcW w:w="1100" w:type="dxa"/>
            <w:noWrap/>
            <w:tcMar>
              <w:top w:w="15" w:type="dxa"/>
              <w:left w:w="15" w:type="dxa"/>
              <w:right w:w="15"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售后服务评分</w:t>
            </w:r>
          </w:p>
        </w:tc>
        <w:tc>
          <w:tcPr>
            <w:tcW w:w="709" w:type="dxa"/>
            <w:tcMar>
              <w:top w:w="15" w:type="dxa"/>
              <w:left w:w="15" w:type="dxa"/>
              <w:right w:w="15" w:type="dxa"/>
            </w:tcMar>
            <w:vAlign w:val="center"/>
          </w:tcPr>
          <w:p>
            <w:pPr>
              <w:pStyle w:val="675"/>
              <w:spacing w:line="360" w:lineRule="exact"/>
              <w:ind w:firstLine="0" w:firstLineChars="0"/>
              <w:jc w:val="center"/>
              <w:rPr>
                <w:rFonts w:ascii="仿宋" w:hAnsi="仿宋" w:eastAsia="仿宋" w:cs="仿宋"/>
                <w:color w:val="auto"/>
                <w:kern w:val="0"/>
              </w:rPr>
            </w:pPr>
            <w:r>
              <w:rPr>
                <w:rFonts w:hint="eastAsia" w:ascii="仿宋" w:hAnsi="仿宋" w:eastAsia="仿宋" w:cs="仿宋"/>
                <w:color w:val="auto"/>
                <w:kern w:val="0"/>
              </w:rPr>
              <w:t>7</w:t>
            </w:r>
          </w:p>
        </w:tc>
        <w:tc>
          <w:tcPr>
            <w:tcW w:w="7087" w:type="dxa"/>
            <w:tcMar>
              <w:top w:w="15" w:type="dxa"/>
              <w:left w:w="15" w:type="dxa"/>
              <w:right w:w="15" w:type="dxa"/>
            </w:tcMar>
            <w:vAlign w:val="center"/>
          </w:tcPr>
          <w:p>
            <w:pPr>
              <w:spacing w:line="400" w:lineRule="exact"/>
              <w:rPr>
                <w:rFonts w:ascii="仿宋" w:hAnsi="仿宋" w:eastAsia="仿宋" w:cs="仿宋"/>
                <w:color w:val="auto"/>
                <w:sz w:val="24"/>
              </w:rPr>
            </w:pPr>
            <w:r>
              <w:rPr>
                <w:rFonts w:hint="eastAsia" w:ascii="仿宋" w:hAnsi="仿宋" w:eastAsia="仿宋" w:cs="仿宋"/>
                <w:color w:val="auto"/>
                <w:sz w:val="24"/>
              </w:rPr>
              <w:t>1）售后服务方案（含售后服务承诺书、售后服务响应时间、故障处理措施、培训计划等）：</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方案表述条理清晰,内容全面完整，方案制定科学合理，可操作性强，得3分；</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方案表述条理清晰，但内容不够完整或方案制定有不科学或不合理处，得1.5分；</w:t>
            </w:r>
          </w:p>
          <w:p>
            <w:pPr>
              <w:spacing w:line="400" w:lineRule="exact"/>
              <w:rPr>
                <w:rFonts w:ascii="仿宋" w:hAnsi="仿宋" w:eastAsia="仿宋" w:cs="仿宋"/>
                <w:color w:val="auto"/>
                <w:sz w:val="24"/>
              </w:rPr>
            </w:pPr>
            <w:r>
              <w:rPr>
                <w:rFonts w:hint="eastAsia" w:ascii="仿宋" w:hAnsi="仿宋" w:eastAsia="仿宋" w:cs="仿宋"/>
                <w:color w:val="auto"/>
                <w:sz w:val="24"/>
              </w:rPr>
              <w:t>没有提供方案或提供的方案与本项目采购内容不符，得0分。</w:t>
            </w:r>
          </w:p>
          <w:p>
            <w:pPr>
              <w:spacing w:line="400" w:lineRule="exact"/>
              <w:rPr>
                <w:rFonts w:ascii="仿宋" w:hAnsi="仿宋" w:eastAsia="仿宋" w:cs="仿宋"/>
                <w:color w:val="auto"/>
                <w:sz w:val="24"/>
              </w:rPr>
            </w:pPr>
            <w:r>
              <w:rPr>
                <w:rFonts w:hint="eastAsia" w:ascii="仿宋" w:hAnsi="仿宋" w:eastAsia="仿宋" w:cs="仿宋"/>
                <w:color w:val="auto"/>
                <w:sz w:val="24"/>
              </w:rPr>
              <w:t>2）提供详尽完备的履约验收方案（含具体验收流程和履约保障措施）：</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方案表述条理清晰,内容全面完整，方案制定科学合理，可操作性强，得2分；</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方案表述条理清晰，但内容不够完整或方案制定有不科学或不合理处，得1分；</w:t>
            </w:r>
          </w:p>
          <w:p>
            <w:pPr>
              <w:spacing w:line="400" w:lineRule="exact"/>
              <w:rPr>
                <w:rFonts w:ascii="仿宋" w:hAnsi="仿宋" w:eastAsia="仿宋" w:cs="仿宋"/>
                <w:color w:val="auto"/>
                <w:sz w:val="24"/>
              </w:rPr>
            </w:pPr>
            <w:r>
              <w:rPr>
                <w:rFonts w:hint="eastAsia" w:ascii="仿宋" w:hAnsi="仿宋" w:eastAsia="仿宋" w:cs="仿宋"/>
                <w:color w:val="auto"/>
                <w:sz w:val="24"/>
              </w:rPr>
              <w:t>没有提供方案或提供的方案与本项目采购内容不符，得0分。</w:t>
            </w:r>
          </w:p>
          <w:p>
            <w:pPr>
              <w:spacing w:line="400" w:lineRule="exact"/>
              <w:rPr>
                <w:rFonts w:ascii="仿宋" w:hAnsi="仿宋" w:eastAsia="仿宋" w:cs="仿宋"/>
                <w:color w:val="auto"/>
                <w:sz w:val="24"/>
              </w:rPr>
            </w:pPr>
            <w:r>
              <w:rPr>
                <w:rFonts w:hint="eastAsia" w:ascii="仿宋" w:hAnsi="仿宋" w:eastAsia="仿宋" w:cs="仿宋"/>
                <w:color w:val="auto"/>
                <w:sz w:val="24"/>
              </w:rPr>
              <w:t>3）疆内设有售后服务网点，得1分，提供有效证明文件（如租房合同或与本地公司合作协议，复印件加盖公章，否则不计分）；</w:t>
            </w:r>
          </w:p>
          <w:p>
            <w:pPr>
              <w:widowControl/>
              <w:spacing w:line="400" w:lineRule="exact"/>
              <w:textAlignment w:val="center"/>
              <w:rPr>
                <w:rFonts w:ascii="仿宋" w:hAnsi="仿宋" w:eastAsia="仿宋" w:cs="仿宋"/>
                <w:color w:val="auto"/>
                <w:sz w:val="24"/>
              </w:rPr>
            </w:pPr>
            <w:r>
              <w:rPr>
                <w:rFonts w:hint="eastAsia" w:ascii="仿宋" w:hAnsi="仿宋" w:eastAsia="仿宋" w:cs="仿宋"/>
                <w:color w:val="auto"/>
                <w:sz w:val="24"/>
              </w:rPr>
              <w:t>4）疆内具备售后服务维修工程师，得1分，提供有效证明文件（如工程师简介、社保证明，复印件加盖公章，否则，不计分。）。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jc w:val="center"/>
        </w:trPr>
        <w:tc>
          <w:tcPr>
            <w:tcW w:w="1027" w:type="dxa"/>
            <w:vMerge w:val="continue"/>
            <w:tcMar>
              <w:top w:w="15" w:type="dxa"/>
              <w:left w:w="15" w:type="dxa"/>
              <w:right w:w="15" w:type="dxa"/>
            </w:tcMar>
            <w:vAlign w:val="center"/>
          </w:tcPr>
          <w:p>
            <w:pPr>
              <w:jc w:val="center"/>
              <w:rPr>
                <w:rFonts w:ascii="仿宋" w:hAnsi="仿宋" w:eastAsia="仿宋" w:cs="仿宋"/>
                <w:color w:val="auto"/>
                <w:sz w:val="24"/>
              </w:rPr>
            </w:pPr>
          </w:p>
        </w:tc>
        <w:tc>
          <w:tcPr>
            <w:tcW w:w="1100" w:type="dxa"/>
            <w:tcMar>
              <w:top w:w="15" w:type="dxa"/>
              <w:left w:w="15" w:type="dxa"/>
              <w:right w:w="15" w:type="dxa"/>
            </w:tcMar>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业绩评分</w:t>
            </w:r>
          </w:p>
        </w:tc>
        <w:tc>
          <w:tcPr>
            <w:tcW w:w="709" w:type="dxa"/>
            <w:tcMar>
              <w:top w:w="15" w:type="dxa"/>
              <w:left w:w="15" w:type="dxa"/>
              <w:right w:w="15"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2</w:t>
            </w:r>
          </w:p>
        </w:tc>
        <w:tc>
          <w:tcPr>
            <w:tcW w:w="7087" w:type="dxa"/>
            <w:tcMar>
              <w:top w:w="15" w:type="dxa"/>
              <w:left w:w="15" w:type="dxa"/>
              <w:right w:w="15" w:type="dxa"/>
            </w:tcMar>
            <w:vAlign w:val="center"/>
          </w:tcPr>
          <w:p>
            <w:pPr>
              <w:widowControl/>
              <w:spacing w:line="400" w:lineRule="exact"/>
              <w:jc w:val="left"/>
              <w:textAlignment w:val="center"/>
              <w:rPr>
                <w:rFonts w:ascii="仿宋" w:hAnsi="仿宋" w:eastAsia="仿宋" w:cs="仿宋"/>
                <w:bCs/>
                <w:color w:val="auto"/>
                <w:kern w:val="0"/>
                <w:sz w:val="24"/>
              </w:rPr>
            </w:pPr>
            <w:r>
              <w:rPr>
                <w:rFonts w:hint="eastAsia" w:ascii="仿宋" w:hAnsi="仿宋" w:eastAsia="仿宋" w:cs="仿宋"/>
                <w:bCs/>
                <w:color w:val="auto"/>
                <w:kern w:val="0"/>
                <w:sz w:val="24"/>
              </w:rPr>
              <w:t>所投产品（且为所投型号）自2019年1月1日至今在中国市场销售业绩</w:t>
            </w:r>
            <w:r>
              <w:rPr>
                <w:rFonts w:hint="eastAsia" w:ascii="仿宋" w:hAnsi="仿宋" w:eastAsia="仿宋" w:cs="仿宋"/>
                <w:color w:val="auto"/>
                <w:sz w:val="24"/>
              </w:rPr>
              <w:t>，提供一项业绩得0.5分，按证明文件个数计，最多得2分。提</w:t>
            </w:r>
            <w:r>
              <w:rPr>
                <w:rFonts w:hint="eastAsia" w:ascii="仿宋" w:hAnsi="仿宋" w:eastAsia="仿宋" w:cs="仿宋"/>
                <w:color w:val="auto"/>
                <w:kern w:val="0"/>
                <w:sz w:val="24"/>
              </w:rPr>
              <w:t>供中标通知书和合同，</w:t>
            </w:r>
            <w:r>
              <w:rPr>
                <w:rFonts w:hint="eastAsia" w:ascii="仿宋" w:hAnsi="仿宋" w:eastAsia="仿宋" w:cs="仿宋"/>
                <w:bCs/>
                <w:color w:val="auto"/>
                <w:kern w:val="0"/>
                <w:sz w:val="24"/>
              </w:rPr>
              <w:t>复印件加盖公章，做为业绩证明资料。</w:t>
            </w:r>
          </w:p>
          <w:p>
            <w:pPr>
              <w:widowControl/>
              <w:spacing w:line="400" w:lineRule="exact"/>
              <w:jc w:val="left"/>
              <w:textAlignment w:val="center"/>
              <w:rPr>
                <w:rFonts w:ascii="仿宋" w:hAnsi="仿宋" w:eastAsia="仿宋" w:cs="仿宋"/>
                <w:color w:val="auto"/>
                <w:kern w:val="0"/>
                <w:sz w:val="24"/>
              </w:rPr>
            </w:pPr>
            <w:r>
              <w:rPr>
                <w:rFonts w:hint="eastAsia" w:ascii="仿宋" w:hAnsi="仿宋" w:eastAsia="仿宋" w:cs="仿宋"/>
                <w:bCs/>
                <w:color w:val="auto"/>
                <w:kern w:val="0"/>
                <w:sz w:val="24"/>
              </w:rPr>
              <w:t>证明资料应清晰反映货物名称及型号、合同金额、合同签订时间、合同签字盖章页信息，未按要求提供证明资料的不计分。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2" w:hRule="atLeast"/>
          <w:jc w:val="center"/>
        </w:trPr>
        <w:tc>
          <w:tcPr>
            <w:tcW w:w="1027" w:type="dxa"/>
            <w:vMerge w:val="continue"/>
            <w:tcMar>
              <w:top w:w="15" w:type="dxa"/>
              <w:left w:w="15" w:type="dxa"/>
              <w:right w:w="15" w:type="dxa"/>
            </w:tcMar>
            <w:vAlign w:val="center"/>
          </w:tcPr>
          <w:p>
            <w:pPr>
              <w:jc w:val="center"/>
              <w:rPr>
                <w:rFonts w:ascii="仿宋" w:hAnsi="仿宋" w:eastAsia="仿宋" w:cs="仿宋"/>
                <w:color w:val="auto"/>
                <w:sz w:val="24"/>
              </w:rPr>
            </w:pPr>
          </w:p>
        </w:tc>
        <w:tc>
          <w:tcPr>
            <w:tcW w:w="1100" w:type="dxa"/>
            <w:tcMar>
              <w:top w:w="15" w:type="dxa"/>
              <w:left w:w="15" w:type="dxa"/>
              <w:right w:w="15" w:type="dxa"/>
            </w:tcMar>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政府采购节能环保政策优惠功能评分</w:t>
            </w:r>
          </w:p>
        </w:tc>
        <w:tc>
          <w:tcPr>
            <w:tcW w:w="709" w:type="dxa"/>
            <w:tcMar>
              <w:top w:w="15" w:type="dxa"/>
              <w:left w:w="15" w:type="dxa"/>
              <w:right w:w="15" w:type="dxa"/>
            </w:tcMar>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1</w:t>
            </w:r>
          </w:p>
        </w:tc>
        <w:tc>
          <w:tcPr>
            <w:tcW w:w="7087" w:type="dxa"/>
            <w:tcMar>
              <w:top w:w="15" w:type="dxa"/>
              <w:left w:w="15" w:type="dxa"/>
              <w:right w:w="15" w:type="dxa"/>
            </w:tcMar>
            <w:vAlign w:val="center"/>
          </w:tcPr>
          <w:p>
            <w:pPr>
              <w:widowControl/>
              <w:spacing w:line="400" w:lineRule="exact"/>
              <w:jc w:val="left"/>
              <w:textAlignment w:val="center"/>
              <w:rPr>
                <w:rFonts w:ascii="仿宋" w:hAnsi="仿宋" w:eastAsia="仿宋" w:cs="仿宋"/>
                <w:color w:val="auto"/>
                <w:kern w:val="0"/>
                <w:sz w:val="24"/>
              </w:rPr>
            </w:pPr>
            <w:r>
              <w:rPr>
                <w:rFonts w:hint="eastAsia" w:ascii="仿宋" w:hAnsi="仿宋" w:eastAsia="仿宋" w:cs="仿宋"/>
                <w:color w:val="auto"/>
                <w:sz w:val="24"/>
              </w:rPr>
              <w:t>供应商所投开标一览表所列货物如属于政府优先采购产品类别，须按照《财政部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每项加0.5分，最高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jc w:val="center"/>
        </w:trPr>
        <w:tc>
          <w:tcPr>
            <w:tcW w:w="1027" w:type="dxa"/>
            <w:tcMar>
              <w:top w:w="15" w:type="dxa"/>
              <w:left w:w="15" w:type="dxa"/>
              <w:right w:w="15" w:type="dxa"/>
            </w:tcMar>
            <w:vAlign w:val="center"/>
          </w:tcPr>
          <w:p>
            <w:pPr>
              <w:widowControl/>
              <w:snapToGrid w:val="0"/>
              <w:textAlignment w:val="center"/>
              <w:rPr>
                <w:rFonts w:ascii="仿宋" w:hAnsi="仿宋" w:eastAsia="仿宋" w:cs="仿宋"/>
                <w:color w:val="auto"/>
                <w:sz w:val="24"/>
              </w:rPr>
            </w:pPr>
            <w:r>
              <w:rPr>
                <w:rFonts w:hint="eastAsia" w:ascii="仿宋" w:hAnsi="仿宋" w:eastAsia="仿宋" w:cs="仿宋"/>
                <w:color w:val="auto"/>
                <w:kern w:val="0"/>
                <w:sz w:val="24"/>
              </w:rPr>
              <w:t>技术部分（60分）</w:t>
            </w:r>
          </w:p>
        </w:tc>
        <w:tc>
          <w:tcPr>
            <w:tcW w:w="1100" w:type="dxa"/>
            <w:tcMar>
              <w:top w:w="15" w:type="dxa"/>
              <w:left w:w="15" w:type="dxa"/>
              <w:right w:w="15" w:type="dxa"/>
            </w:tcMar>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技术参数响应</w:t>
            </w:r>
          </w:p>
        </w:tc>
        <w:tc>
          <w:tcPr>
            <w:tcW w:w="709" w:type="dxa"/>
            <w:tcMar>
              <w:top w:w="15" w:type="dxa"/>
              <w:left w:w="15" w:type="dxa"/>
              <w:right w:w="15" w:type="dxa"/>
            </w:tcMar>
            <w:vAlign w:val="center"/>
          </w:tcPr>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60</w:t>
            </w:r>
          </w:p>
        </w:tc>
        <w:tc>
          <w:tcPr>
            <w:tcW w:w="7087" w:type="dxa"/>
            <w:tcMar>
              <w:top w:w="15" w:type="dxa"/>
              <w:left w:w="15" w:type="dxa"/>
              <w:right w:w="15" w:type="dxa"/>
            </w:tcMar>
            <w:vAlign w:val="center"/>
          </w:tcPr>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供应商须在《技术服务条款偏离表》中对第四章《采购需求》所有条款逐条说明响应内容及是否存在偏离等情况：</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1）全部满足第四章《采购需求》所有条款的，得60分；</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2）对第四章《采购需求》标注*号的条款每出现一条负偏离，扣4分，扣至0分为止；</w:t>
            </w:r>
          </w:p>
          <w:p>
            <w:pPr>
              <w:widowControl/>
              <w:spacing w:line="360" w:lineRule="exact"/>
              <w:rPr>
                <w:rFonts w:ascii="仿宋" w:hAnsi="仿宋" w:eastAsia="仿宋" w:cs="仿宋"/>
                <w:color w:val="auto"/>
                <w:kern w:val="0"/>
                <w:sz w:val="24"/>
              </w:rPr>
            </w:pPr>
            <w:r>
              <w:rPr>
                <w:rFonts w:hint="eastAsia" w:ascii="仿宋" w:hAnsi="仿宋" w:eastAsia="仿宋" w:cs="仿宋"/>
                <w:color w:val="auto"/>
                <w:kern w:val="0"/>
                <w:sz w:val="24"/>
              </w:rPr>
              <w:t>3）对第四章《采购需求》未做标注的条款每出现一条负偏离，扣2分，累计达到或超过5条负偏离的，将导致投标无效。</w:t>
            </w:r>
          </w:p>
        </w:tc>
      </w:tr>
    </w:tbl>
    <w:p>
      <w:pPr>
        <w:widowControl/>
        <w:spacing w:line="360" w:lineRule="exact"/>
        <w:rPr>
          <w:rFonts w:ascii="仿宋" w:hAnsi="仿宋" w:eastAsia="仿宋" w:cs="仿宋"/>
          <w:b/>
          <w:color w:val="auto"/>
          <w:sz w:val="24"/>
        </w:rPr>
      </w:pPr>
    </w:p>
    <w:p>
      <w:pPr>
        <w:snapToGrid w:val="0"/>
        <w:spacing w:line="440" w:lineRule="exact"/>
        <w:jc w:val="left"/>
        <w:rPr>
          <w:rFonts w:ascii="仿宋" w:hAnsi="仿宋" w:eastAsia="仿宋" w:cs="仿宋"/>
          <w:b/>
          <w:color w:val="auto"/>
          <w:sz w:val="24"/>
        </w:rPr>
      </w:pP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35. 定标原则</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35.1 评标委员会依据投标须知前附表规定的评标方法和标准，按照供应商综合得分排序确定出前三名作为中标候选人推荐给采购人。</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35.2采购代理机构应当在评标结束后2个工作日内将评标报告送采购人。</w:t>
      </w:r>
      <w:r>
        <w:rPr>
          <w:rFonts w:hint="eastAsia" w:ascii="仿宋" w:hAnsi="仿宋" w:eastAsia="仿宋" w:cs="仿宋"/>
          <w:bCs/>
          <w:color w:val="auto"/>
          <w:kern w:val="0"/>
          <w:sz w:val="24"/>
        </w:rPr>
        <w:t>采购人应当自收到评标报告之日起５个工作日内，在评标报告确定的中标候选人名单中按顺序确定中标人。</w:t>
      </w: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36. 评标过程的保密</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36.2 在投标文件的评审和比较、中标候选人推荐以及授予合同的过程中，供应商向采购人或者评标委员会施加影响的任何行为，都将会导致其投标被拒绝。</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（七） 授予合同</w:t>
      </w: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37. 确定中标人</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 中标的标准</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37.1.1投标文件满足招标文件全部实质性要求；</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37.1.2 具有良好的履行合同的能力和条件；</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37.1.3 能够最大限度满足招标文件的各项要求；</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37.2 采购人将确定资格合格的中标候选人为中标人。</w:t>
      </w: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38. 授予合同的准则</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38.1 采购人将把合同授予经确认的中标人。</w:t>
      </w: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39. 中标通知</w:t>
      </w:r>
    </w:p>
    <w:p>
      <w:pPr>
        <w:shd w:val="clear" w:color="auto" w:fill="FFFFFF"/>
        <w:spacing w:line="440" w:lineRule="exact"/>
        <w:ind w:firstLine="484" w:firstLineChars="202"/>
        <w:rPr>
          <w:rFonts w:ascii="仿宋" w:hAnsi="仿宋" w:eastAsia="仿宋" w:cs="仿宋"/>
          <w:color w:val="auto"/>
          <w:sz w:val="24"/>
        </w:rPr>
      </w:pPr>
      <w:r>
        <w:rPr>
          <w:rFonts w:hint="eastAsia" w:ascii="仿宋" w:hAnsi="仿宋" w:eastAsia="仿宋" w:cs="仿宋"/>
          <w:color w:val="auto"/>
          <w:kern w:val="0"/>
          <w:sz w:val="24"/>
        </w:rPr>
        <w:t>39.1采购人依据评标委员会推荐的中标候选人排序确定排名第一的中标候选人为中标人后，将</w:t>
      </w:r>
      <w:r>
        <w:rPr>
          <w:rFonts w:hint="eastAsia" w:ascii="仿宋" w:hAnsi="仿宋" w:eastAsia="仿宋" w:cs="仿宋"/>
          <w:color w:val="auto"/>
          <w:sz w:val="24"/>
        </w:rPr>
        <w:t>对中标结果公示1工作日，同时向中标人发出中标通知书。</w:t>
      </w:r>
    </w:p>
    <w:p>
      <w:pPr>
        <w:shd w:val="clear" w:color="auto" w:fill="FFFFFF"/>
        <w:spacing w:line="440" w:lineRule="exact"/>
        <w:ind w:firstLine="484" w:firstLineChars="202"/>
        <w:rPr>
          <w:rFonts w:ascii="仿宋" w:hAnsi="仿宋" w:eastAsia="仿宋" w:cs="仿宋"/>
          <w:color w:val="auto"/>
          <w:sz w:val="24"/>
        </w:rPr>
      </w:pPr>
      <w:r>
        <w:rPr>
          <w:rFonts w:hint="eastAsia" w:ascii="仿宋" w:hAnsi="仿宋" w:eastAsia="仿宋" w:cs="仿宋"/>
          <w:color w:val="auto"/>
          <w:sz w:val="24"/>
        </w:rPr>
        <w:t>39.2 供应商对中标或者成交结果有异议的，可以在知道或者应知其权益受到损害之日起7个工作日内，按照《政府采购质疑和投诉办法》（财政部94号令）向采购人或采购代理机构提出质疑。采购人在收到供应商的书面质疑后7个工作日内作出答复，并以书面形式通知质疑供应商和其他有关供应商；作出答复前，将暂停采购活动。</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 xml:space="preserve">39.3 中标通知书对采购人和中标人具有法律约束力。中标通知书发出后，采购人不得违法改变中标结果，中标人无正当理由不得放弃中标。 </w:t>
      </w: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40. 合同的签订</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40.1采购人应当自中标通知书发出之日起30日内，按照招标文件和中标人投标文件的规定，与中标人签订政府采购合同。所签订的合同不得对招标文件确定的事项和中标人投标文件作实质性修改。</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40.2 招标文件要求中标人提交履约保证金或者其他形式履约担保的，中标人应当提交；拒绝提交的，视为放弃中标项目，且投标保证金将被没收。</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40.3 招标文件和中标人的投标文件均是该书面合同的附件。</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40.4 中标人因不可抗力或自身原因不能履行采购合同的，采购人可以与排位在中标人之后第一位的中标候选人签订采购合同，以此类推，或采购人重新组织招标。</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40.5 政府采购合同自签订之日起2个工作日内，采购人应当在网上发布合同公告。</w:t>
      </w:r>
    </w:p>
    <w:p>
      <w:pPr>
        <w:shd w:val="clear" w:color="auto" w:fill="FFFFFF"/>
        <w:spacing w:line="440" w:lineRule="exact"/>
        <w:ind w:firstLine="472" w:firstLineChars="196"/>
        <w:rPr>
          <w:rFonts w:ascii="仿宋" w:hAnsi="仿宋" w:eastAsia="仿宋" w:cs="仿宋"/>
          <w:b/>
          <w:color w:val="auto"/>
          <w:sz w:val="24"/>
        </w:rPr>
      </w:pPr>
      <w:r>
        <w:rPr>
          <w:rFonts w:hint="eastAsia" w:ascii="仿宋" w:hAnsi="仿宋" w:eastAsia="仿宋" w:cs="仿宋"/>
          <w:b/>
          <w:color w:val="auto"/>
          <w:sz w:val="24"/>
        </w:rPr>
        <w:t>41.质疑与投诉</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41.1、供应商认为招标文件、采购过程、中标或者成交结果使自己的权益受到损害的，可以在知道或者应知其权益受到损害之日起7个工作日内，向采购人、采购代理机构提出质疑。本项目对招标文件内容提出质疑截止时间见前附表第13项规定。供应商须在法定质疑期内一次性提出针对同一采购程序环节的质疑。</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41.2、质疑函内容</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（1）供应商的姓名或者名称、地址、邮编、联系人及联系电话；</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（2）质疑项目的名称、编号；</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（3）具体、明确的质疑事项和与质疑事项相关的请求；</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（4）事实依据；</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（5）必要的法律依据；</w:t>
      </w:r>
    </w:p>
    <w:p>
      <w:pPr>
        <w:shd w:val="clear" w:color="auto" w:fill="FFFFFF"/>
        <w:spacing w:line="44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（6）提出质疑的日期。</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41.3、采购人在收到供应商的书面质疑函后七个工作日内作出答复，并以书面形式通知质疑供应商和其他有关供应商，但答复的内容不涉及商业秘密。</w:t>
      </w:r>
    </w:p>
    <w:p>
      <w:pPr>
        <w:shd w:val="clear" w:color="auto" w:fill="FFFFFF"/>
        <w:adjustRightInd w:val="0"/>
        <w:snapToGrid w:val="0"/>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44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42. 履约担保（本项目不适用）</w:t>
      </w:r>
    </w:p>
    <w:p>
      <w:pPr>
        <w:shd w:val="clear" w:color="auto" w:fill="FFFFFF"/>
        <w:autoSpaceDE w:val="0"/>
        <w:autoSpaceDN w:val="0"/>
        <w:adjustRightInd w:val="0"/>
        <w:spacing w:line="440" w:lineRule="exact"/>
        <w:ind w:firstLine="438" w:firstLineChars="189"/>
        <w:rPr>
          <w:rFonts w:ascii="仿宋" w:hAnsi="仿宋" w:eastAsia="仿宋" w:cs="仿宋"/>
          <w:color w:val="auto"/>
          <w:spacing w:val="-4"/>
          <w:kern w:val="0"/>
          <w:sz w:val="24"/>
        </w:rPr>
      </w:pPr>
      <w:r>
        <w:rPr>
          <w:rFonts w:hint="eastAsia" w:ascii="仿宋" w:hAnsi="仿宋" w:eastAsia="仿宋" w:cs="仿宋"/>
          <w:color w:val="auto"/>
          <w:spacing w:val="-4"/>
          <w:kern w:val="0"/>
          <w:sz w:val="24"/>
        </w:rPr>
        <w:t>42.1 中标人须在与采购人签署合同前按招标文件有关要求提交履约担保。中标人应按照下列规定的方式和金额向采购人提交履约担保。</w:t>
      </w:r>
    </w:p>
    <w:p>
      <w:pPr>
        <w:shd w:val="clear" w:color="auto" w:fill="FFFFFF"/>
        <w:autoSpaceDE w:val="0"/>
        <w:autoSpaceDN w:val="0"/>
        <w:adjustRightInd w:val="0"/>
        <w:spacing w:line="440" w:lineRule="exact"/>
        <w:ind w:firstLine="453" w:firstLineChars="189"/>
        <w:rPr>
          <w:rFonts w:ascii="仿宋" w:hAnsi="仿宋" w:eastAsia="仿宋" w:cs="仿宋"/>
          <w:color w:val="auto"/>
          <w:kern w:val="0"/>
          <w:sz w:val="24"/>
        </w:rPr>
      </w:pPr>
      <w:r>
        <w:rPr>
          <w:rFonts w:hint="eastAsia" w:ascii="仿宋" w:hAnsi="仿宋" w:eastAsia="仿宋" w:cs="仿宋"/>
          <w:color w:val="auto"/>
          <w:kern w:val="0"/>
          <w:sz w:val="24"/>
        </w:rPr>
        <w:t>42.1.1 履约担保采用下列</w:t>
      </w:r>
      <w:r>
        <w:rPr>
          <w:rFonts w:hint="eastAsia" w:ascii="仿宋" w:hAnsi="仿宋" w:eastAsia="仿宋" w:cs="仿宋"/>
          <w:color w:val="auto"/>
          <w:kern w:val="0"/>
          <w:sz w:val="24"/>
          <w:u w:val="single"/>
        </w:rPr>
        <w:t xml:space="preserve">  /  </w:t>
      </w:r>
      <w:r>
        <w:rPr>
          <w:rFonts w:hint="eastAsia" w:ascii="仿宋" w:hAnsi="仿宋" w:eastAsia="仿宋" w:cs="仿宋"/>
          <w:color w:val="auto"/>
          <w:kern w:val="0"/>
          <w:sz w:val="24"/>
        </w:rPr>
        <w:t>方式</w:t>
      </w:r>
    </w:p>
    <w:p>
      <w:pPr>
        <w:shd w:val="clear" w:color="auto" w:fill="FFFFFF"/>
        <w:autoSpaceDE w:val="0"/>
        <w:autoSpaceDN w:val="0"/>
        <w:adjustRightInd w:val="0"/>
        <w:spacing w:line="44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（1）、履约保证金担保方式：</w:t>
      </w:r>
      <w:r>
        <w:rPr>
          <w:rFonts w:hint="eastAsia" w:ascii="仿宋" w:hAnsi="仿宋" w:eastAsia="仿宋" w:cs="仿宋"/>
          <w:color w:val="auto"/>
          <w:kern w:val="0"/>
          <w:sz w:val="24"/>
          <w:u w:val="single"/>
        </w:rPr>
        <w:t xml:space="preserve"> / </w:t>
      </w:r>
    </w:p>
    <w:p>
      <w:pPr>
        <w:shd w:val="clear" w:color="auto" w:fill="FFFFFF"/>
        <w:spacing w:line="44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1） 银行汇票；2） 支票；</w:t>
      </w:r>
      <w:r>
        <w:rPr>
          <w:rFonts w:hint="eastAsia" w:ascii="仿宋" w:hAnsi="仿宋" w:eastAsia="仿宋" w:cs="仿宋"/>
          <w:color w:val="auto"/>
          <w:kern w:val="0"/>
          <w:sz w:val="24"/>
        </w:rPr>
        <w:t>3）银行转账；4）担保公司担保；</w:t>
      </w:r>
      <w:r>
        <w:rPr>
          <w:rFonts w:hint="eastAsia" w:ascii="仿宋" w:hAnsi="仿宋" w:eastAsia="仿宋" w:cs="仿宋"/>
          <w:color w:val="auto"/>
          <w:sz w:val="24"/>
        </w:rPr>
        <w:t>5）采购人与供应商协商确定的其他担保方式。</w:t>
      </w:r>
    </w:p>
    <w:p>
      <w:pPr>
        <w:shd w:val="clear" w:color="auto" w:fill="FFFFFF"/>
        <w:spacing w:line="440" w:lineRule="exact"/>
        <w:ind w:firstLine="484" w:firstLineChars="202"/>
        <w:rPr>
          <w:rFonts w:ascii="仿宋" w:hAnsi="仿宋" w:eastAsia="仿宋" w:cs="仿宋"/>
          <w:b/>
          <w:color w:val="auto"/>
          <w:kern w:val="0"/>
          <w:sz w:val="24"/>
          <w:u w:val="single"/>
        </w:rPr>
      </w:pPr>
      <w:r>
        <w:rPr>
          <w:rFonts w:hint="eastAsia" w:ascii="仿宋" w:hAnsi="仿宋" w:eastAsia="仿宋" w:cs="仿宋"/>
          <w:color w:val="auto"/>
          <w:kern w:val="0"/>
          <w:sz w:val="24"/>
        </w:rPr>
        <w:t>42.1.2 履约保证金：见投标须知前附表第14条。</w:t>
      </w:r>
    </w:p>
    <w:p>
      <w:pPr>
        <w:shd w:val="clear" w:color="auto" w:fill="FFFFFF"/>
        <w:spacing w:line="44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FFFFFF"/>
        <w:spacing w:line="440" w:lineRule="exact"/>
        <w:ind w:firstLine="487" w:firstLineChars="202"/>
        <w:rPr>
          <w:rFonts w:ascii="仿宋" w:hAnsi="仿宋" w:eastAsia="仿宋" w:cs="仿宋"/>
          <w:b/>
          <w:bCs/>
          <w:color w:val="auto"/>
          <w:kern w:val="0"/>
          <w:sz w:val="24"/>
        </w:rPr>
      </w:pPr>
      <w:bookmarkStart w:id="6" w:name="_Toc228180139"/>
      <w:r>
        <w:rPr>
          <w:rFonts w:hint="eastAsia" w:ascii="仿宋" w:hAnsi="仿宋" w:eastAsia="仿宋" w:cs="仿宋"/>
          <w:b/>
          <w:color w:val="auto"/>
          <w:kern w:val="0"/>
          <w:sz w:val="24"/>
        </w:rPr>
        <w:t>43.</w:t>
      </w:r>
      <w:bookmarkEnd w:id="6"/>
      <w:r>
        <w:rPr>
          <w:rFonts w:hint="eastAsia" w:ascii="仿宋" w:hAnsi="仿宋" w:eastAsia="仿宋" w:cs="仿宋"/>
          <w:b/>
          <w:bCs/>
          <w:color w:val="auto"/>
          <w:kern w:val="0"/>
          <w:sz w:val="24"/>
        </w:rPr>
        <w:t>招标代理服务费</w:t>
      </w:r>
    </w:p>
    <w:p>
      <w:pPr>
        <w:shd w:val="clear" w:color="auto" w:fill="FFFFFF"/>
        <w:spacing w:line="44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43.1 中标人应按本招标文件的规定，在领取中标通知书时向采购代理机构一次性支付中标服务费。采购代理机构也可直接从中标人的投标保证金内扣除。</w:t>
      </w:r>
    </w:p>
    <w:p>
      <w:pPr>
        <w:shd w:val="clear" w:color="auto" w:fill="FFFFFF"/>
        <w:spacing w:line="44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43.2 中标服务费的计算基数是中标人投标报价的总金额（即中标通知书中载明的中标金额）。</w:t>
      </w:r>
    </w:p>
    <w:p>
      <w:pPr>
        <w:shd w:val="clear" w:color="auto" w:fill="FFFFFF"/>
        <w:spacing w:line="44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43.3具体比例详见《前附表》。</w:t>
      </w:r>
    </w:p>
    <w:p>
      <w:pPr>
        <w:shd w:val="clear" w:color="auto" w:fill="FFFFFF"/>
        <w:spacing w:line="440" w:lineRule="exact"/>
        <w:ind w:firstLine="487" w:firstLineChars="202"/>
        <w:rPr>
          <w:rFonts w:ascii="仿宋" w:hAnsi="仿宋" w:eastAsia="仿宋" w:cs="仿宋"/>
          <w:bCs/>
          <w:color w:val="auto"/>
          <w:kern w:val="0"/>
          <w:sz w:val="24"/>
        </w:rPr>
      </w:pPr>
      <w:r>
        <w:rPr>
          <w:rFonts w:hint="eastAsia" w:ascii="仿宋" w:hAnsi="仿宋" w:eastAsia="仿宋" w:cs="仿宋"/>
          <w:b/>
          <w:color w:val="auto"/>
          <w:kern w:val="0"/>
          <w:sz w:val="24"/>
        </w:rPr>
        <w:t>44. 其他</w:t>
      </w:r>
    </w:p>
    <w:p>
      <w:pPr>
        <w:shd w:val="clear" w:color="auto" w:fill="FFFFFF"/>
        <w:spacing w:line="440" w:lineRule="exact"/>
        <w:ind w:firstLine="480" w:firstLineChars="200"/>
        <w:rPr>
          <w:rFonts w:ascii="仿宋" w:hAnsi="仿宋" w:eastAsia="仿宋" w:cs="仿宋"/>
          <w:b/>
          <w:color w:val="auto"/>
          <w:kern w:val="0"/>
          <w:sz w:val="24"/>
        </w:rPr>
      </w:pPr>
      <w:r>
        <w:rPr>
          <w:rFonts w:hint="eastAsia" w:ascii="仿宋" w:hAnsi="仿宋" w:eastAsia="仿宋" w:cs="仿宋"/>
          <w:bCs/>
          <w:color w:val="auto"/>
          <w:kern w:val="0"/>
          <w:sz w:val="24"/>
        </w:rPr>
        <w:t>本招标文件是根据《中华人民共和国政府采购法》及其实施条例（658号令）及《政府采购货物和服务招标投标管理办法》（87号令）规定编制的，解释权属新疆品创项目管理咨询有限公司。</w:t>
      </w:r>
    </w:p>
    <w:p>
      <w:pPr>
        <w:pStyle w:val="326"/>
        <w:spacing w:beforeLines="50" w:afterLines="50" w:line="360" w:lineRule="auto"/>
        <w:jc w:val="center"/>
        <w:rPr>
          <w:rFonts w:ascii="仿宋" w:hAnsi="仿宋" w:eastAsia="仿宋" w:cs="仿宋"/>
          <w:b/>
          <w:color w:val="auto"/>
          <w:sz w:val="28"/>
          <w:szCs w:val="28"/>
        </w:rPr>
      </w:pPr>
      <w:r>
        <w:rPr>
          <w:rFonts w:hint="eastAsia" w:ascii="仿宋" w:hAnsi="仿宋" w:eastAsia="仿宋" w:cs="仿宋"/>
          <w:color w:val="auto"/>
          <w:szCs w:val="24"/>
        </w:rPr>
        <w:br w:type="page"/>
      </w:r>
      <w:bookmarkStart w:id="7" w:name="_Hlk519787567"/>
      <w:r>
        <w:rPr>
          <w:rFonts w:hint="eastAsia" w:ascii="仿宋" w:hAnsi="仿宋" w:eastAsia="仿宋" w:cs="仿宋"/>
          <w:b/>
          <w:color w:val="auto"/>
          <w:sz w:val="32"/>
          <w:szCs w:val="32"/>
        </w:rPr>
        <w:t>第三章  合同</w:t>
      </w:r>
      <w:bookmarkEnd w:id="7"/>
      <w:r>
        <w:rPr>
          <w:rFonts w:hint="eastAsia" w:ascii="仿宋" w:hAnsi="仿宋" w:eastAsia="仿宋" w:cs="仿宋"/>
          <w:b/>
          <w:color w:val="auto"/>
          <w:sz w:val="32"/>
          <w:szCs w:val="32"/>
        </w:rPr>
        <w:t>条款</w:t>
      </w:r>
    </w:p>
    <w:p>
      <w:pPr>
        <w:pStyle w:val="723"/>
        <w:keepNext/>
        <w:keepLines/>
        <w:rPr>
          <w:rFonts w:ascii="仿宋" w:hAnsi="仿宋" w:eastAsia="仿宋" w:cs="仿宋"/>
          <w:color w:val="auto"/>
          <w:sz w:val="28"/>
          <w:szCs w:val="28"/>
        </w:rPr>
      </w:pPr>
      <w:bookmarkStart w:id="8" w:name="bookmark1"/>
      <w:bookmarkStart w:id="9" w:name="bookmark2"/>
      <w:bookmarkStart w:id="10" w:name="bookmark0"/>
      <w:r>
        <w:rPr>
          <w:rFonts w:hint="eastAsia" w:ascii="仿宋" w:hAnsi="仿宋" w:eastAsia="仿宋" w:cs="仿宋"/>
          <w:color w:val="auto"/>
          <w:sz w:val="28"/>
          <w:szCs w:val="28"/>
        </w:rPr>
        <w:t>政</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府</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购</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同</w:t>
      </w:r>
      <w:bookmarkEnd w:id="8"/>
      <w:bookmarkEnd w:id="9"/>
      <w:bookmarkEnd w:id="10"/>
    </w:p>
    <w:p>
      <w:pPr>
        <w:pStyle w:val="724"/>
        <w:spacing w:after="40" w:line="240" w:lineRule="auto"/>
        <w:ind w:left="7478"/>
        <w:jc w:val="left"/>
        <w:rPr>
          <w:rFonts w:ascii="仿宋" w:hAnsi="仿宋" w:eastAsia="仿宋" w:cs="仿宋"/>
          <w:color w:val="auto"/>
          <w:sz w:val="24"/>
          <w:szCs w:val="24"/>
        </w:rPr>
      </w:pPr>
      <w:r>
        <w:rPr>
          <w:rFonts w:hint="eastAsia" w:ascii="仿宋" w:hAnsi="仿宋" w:eastAsia="仿宋" w:cs="仿宋"/>
          <w:color w:val="auto"/>
          <w:sz w:val="24"/>
          <w:szCs w:val="24"/>
        </w:rPr>
        <w:t>合同号:</w:t>
      </w:r>
    </w:p>
    <w:p>
      <w:pPr>
        <w:pStyle w:val="724"/>
        <w:spacing w:line="360" w:lineRule="auto"/>
        <w:ind w:left="480" w:hanging="480" w:hangingChars="200"/>
        <w:jc w:val="lef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甲方（采购方）：</w:t>
      </w:r>
    </w:p>
    <w:p>
      <w:pPr>
        <w:pStyle w:val="724"/>
        <w:spacing w:line="360" w:lineRule="auto"/>
        <w:ind w:left="480" w:hanging="480" w:hangingChars="200"/>
        <w:jc w:val="lef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乙方（供应商）：</w:t>
      </w:r>
    </w:p>
    <w:p>
      <w:pPr>
        <w:pStyle w:val="725"/>
        <w:spacing w:line="360" w:lineRule="exact"/>
        <w:ind w:firstLine="600" w:firstLineChars="250"/>
        <w:jc w:val="both"/>
        <w:rPr>
          <w:rFonts w:ascii="仿宋" w:hAnsi="仿宋" w:eastAsia="仿宋" w:cs="仿宋"/>
          <w:color w:val="auto"/>
          <w:sz w:val="24"/>
          <w:szCs w:val="24"/>
        </w:rPr>
      </w:pPr>
      <w:r>
        <w:rPr>
          <w:rFonts w:hint="eastAsia" w:ascii="仿宋" w:hAnsi="仿宋" w:eastAsia="仿宋" w:cs="仿宋"/>
          <w:color w:val="auto"/>
          <w:sz w:val="24"/>
          <w:szCs w:val="24"/>
          <w:u w:val="single"/>
        </w:rPr>
        <w:t>（甲方）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rPr>
        <w:t>所需</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rPr>
        <w:t xml:space="preserve">     采购项目</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rPr>
        <w:t>经以</w:t>
      </w:r>
      <w:r>
        <w:rPr>
          <w:rFonts w:hint="eastAsia" w:ascii="仿宋" w:hAnsi="仿宋" w:eastAsia="仿宋" w:cs="仿宋"/>
          <w:color w:val="auto"/>
          <w:sz w:val="24"/>
          <w:szCs w:val="24"/>
          <w:u w:val="single"/>
        </w:rPr>
        <w:t xml:space="preserve">        (项目编号）</w:t>
      </w:r>
      <w:r>
        <w:rPr>
          <w:rFonts w:hint="eastAsia" w:ascii="仿宋" w:hAnsi="仿宋" w:eastAsia="仿宋" w:cs="仿宋"/>
          <w:color w:val="auto"/>
          <w:sz w:val="24"/>
          <w:szCs w:val="24"/>
        </w:rPr>
        <w:t>采购文件在国内以</w:t>
      </w:r>
      <w:r>
        <w:rPr>
          <w:rFonts w:hint="eastAsia" w:ascii="仿宋" w:hAnsi="仿宋" w:eastAsia="仿宋" w:cs="仿宋"/>
          <w:color w:val="auto"/>
          <w:sz w:val="24"/>
          <w:szCs w:val="24"/>
          <w:u w:val="single"/>
          <w:lang w:eastAsia="zh-CN"/>
        </w:rPr>
        <w:t xml:space="preserve">  公开招标    </w:t>
      </w:r>
      <w:r>
        <w:rPr>
          <w:rFonts w:hint="eastAsia" w:ascii="仿宋" w:hAnsi="仿宋" w:eastAsia="仿宋" w:cs="仿宋"/>
          <w:color w:val="auto"/>
          <w:sz w:val="24"/>
          <w:szCs w:val="24"/>
        </w:rPr>
        <w:t>方式进行采购。经评标委员会确定乙方为中标人。甲、乙双方根据《中华人民共和国政府采购法》、《中华人民共和国民法典》等相关法律以及本项目招标文件的规定，经平等协商达成合同如下：</w:t>
      </w:r>
    </w:p>
    <w:p>
      <w:pPr>
        <w:pStyle w:val="725"/>
        <w:spacing w:line="360" w:lineRule="exact"/>
        <w:jc w:val="both"/>
        <w:rPr>
          <w:rFonts w:ascii="仿宋" w:hAnsi="仿宋" w:eastAsia="仿宋" w:cs="仿宋"/>
          <w:color w:val="auto"/>
          <w:sz w:val="24"/>
          <w:szCs w:val="24"/>
        </w:rPr>
      </w:pPr>
      <w:r>
        <w:rPr>
          <w:rFonts w:hint="eastAsia" w:ascii="仿宋" w:hAnsi="仿宋" w:eastAsia="仿宋" w:cs="仿宋"/>
          <w:color w:val="auto"/>
          <w:sz w:val="24"/>
          <w:szCs w:val="24"/>
        </w:rPr>
        <w:t>下列文件是构成本合同不可分割的部分：</w:t>
      </w:r>
    </w:p>
    <w:p>
      <w:pPr>
        <w:pStyle w:val="725"/>
        <w:spacing w:line="36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 投标人提交的投标函和报价表</w:t>
      </w:r>
    </w:p>
    <w:p>
      <w:pPr>
        <w:pStyle w:val="725"/>
        <w:spacing w:line="36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 澄清函及有关文件</w:t>
      </w:r>
    </w:p>
    <w:p>
      <w:pPr>
        <w:pStyle w:val="725"/>
        <w:spacing w:line="36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 中标通知书</w:t>
      </w:r>
    </w:p>
    <w:p>
      <w:pPr>
        <w:pStyle w:val="725"/>
        <w:spacing w:line="36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 招标文件</w:t>
      </w:r>
    </w:p>
    <w:p>
      <w:pPr>
        <w:pStyle w:val="725"/>
        <w:spacing w:line="36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 投标文件</w:t>
      </w:r>
    </w:p>
    <w:p>
      <w:pPr>
        <w:pStyle w:val="724"/>
        <w:spacing w:line="360" w:lineRule="exact"/>
        <w:ind w:firstLine="480" w:firstLineChars="200"/>
        <w:jc w:val="left"/>
        <w:rPr>
          <w:rFonts w:ascii="仿宋" w:hAnsi="仿宋" w:eastAsia="仿宋" w:cs="仿宋"/>
          <w:color w:val="auto"/>
          <w:sz w:val="24"/>
          <w:szCs w:val="24"/>
          <w:lang w:val="en-US"/>
        </w:rPr>
      </w:pPr>
    </w:p>
    <w:p>
      <w:pPr>
        <w:pStyle w:val="724"/>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第一条：合同标的</w:t>
      </w:r>
    </w:p>
    <w:p>
      <w:pPr>
        <w:pStyle w:val="724"/>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乙方根据甲方需求提供下列货物:</w:t>
      </w:r>
    </w:p>
    <w:tbl>
      <w:tblPr>
        <w:tblStyle w:val="59"/>
        <w:tblW w:w="9955" w:type="dxa"/>
        <w:jc w:val="center"/>
        <w:tblLayout w:type="fixed"/>
        <w:tblCellMar>
          <w:top w:w="0" w:type="dxa"/>
          <w:left w:w="10" w:type="dxa"/>
          <w:bottom w:w="0" w:type="dxa"/>
          <w:right w:w="10" w:type="dxa"/>
        </w:tblCellMar>
      </w:tblPr>
      <w:tblGrid>
        <w:gridCol w:w="516"/>
        <w:gridCol w:w="494"/>
        <w:gridCol w:w="1382"/>
        <w:gridCol w:w="1337"/>
        <w:gridCol w:w="913"/>
        <w:gridCol w:w="750"/>
        <w:gridCol w:w="1075"/>
        <w:gridCol w:w="1112"/>
        <w:gridCol w:w="1200"/>
        <w:gridCol w:w="936"/>
        <w:gridCol w:w="240"/>
      </w:tblGrid>
      <w:tr>
        <w:tblPrEx>
          <w:tblCellMar>
            <w:top w:w="0" w:type="dxa"/>
            <w:left w:w="10" w:type="dxa"/>
            <w:bottom w:w="0" w:type="dxa"/>
            <w:right w:w="10" w:type="dxa"/>
          </w:tblCellMar>
        </w:tblPrEx>
        <w:trPr>
          <w:trHeight w:val="796" w:hRule="exact"/>
          <w:jc w:val="center"/>
        </w:trPr>
        <w:tc>
          <w:tcPr>
            <w:tcW w:w="516" w:type="dxa"/>
            <w:vMerge w:val="restart"/>
            <w:shd w:val="clear" w:color="auto" w:fill="FFFFFF"/>
          </w:tcPr>
          <w:p>
            <w:pPr>
              <w:rPr>
                <w:rFonts w:ascii="仿宋" w:hAnsi="仿宋" w:eastAsia="仿宋" w:cs="仿宋"/>
                <w:color w:val="auto"/>
                <w:sz w:val="24"/>
              </w:rPr>
            </w:pPr>
          </w:p>
        </w:tc>
        <w:tc>
          <w:tcPr>
            <w:tcW w:w="494" w:type="dxa"/>
            <w:tcBorders>
              <w:top w:val="single" w:color="auto" w:sz="4" w:space="0"/>
              <w:left w:val="single" w:color="auto" w:sz="4" w:space="0"/>
            </w:tcBorders>
            <w:shd w:val="clear" w:color="auto" w:fill="FFFFFF"/>
            <w:vAlign w:val="bottom"/>
          </w:tcPr>
          <w:p>
            <w:pPr>
              <w:pStyle w:val="726"/>
              <w:spacing w:after="160" w:line="240" w:lineRule="auto"/>
              <w:ind w:firstLine="160"/>
              <w:jc w:val="left"/>
              <w:rPr>
                <w:rFonts w:ascii="仿宋" w:hAnsi="仿宋" w:eastAsia="仿宋" w:cs="仿宋"/>
                <w:color w:val="auto"/>
                <w:sz w:val="24"/>
                <w:szCs w:val="24"/>
              </w:rPr>
            </w:pPr>
            <w:r>
              <w:rPr>
                <w:rFonts w:hint="eastAsia" w:ascii="仿宋" w:hAnsi="仿宋" w:eastAsia="仿宋" w:cs="仿宋"/>
                <w:color w:val="auto"/>
                <w:sz w:val="24"/>
                <w:szCs w:val="24"/>
              </w:rPr>
              <w:t>序</w:t>
            </w:r>
          </w:p>
          <w:p>
            <w:pPr>
              <w:pStyle w:val="726"/>
              <w:spacing w:line="240" w:lineRule="auto"/>
              <w:ind w:firstLine="160"/>
              <w:jc w:val="left"/>
              <w:rPr>
                <w:rFonts w:ascii="仿宋" w:hAnsi="仿宋" w:eastAsia="仿宋" w:cs="仿宋"/>
                <w:color w:val="auto"/>
                <w:sz w:val="24"/>
                <w:szCs w:val="24"/>
              </w:rPr>
            </w:pPr>
            <w:r>
              <w:rPr>
                <w:rFonts w:hint="eastAsia" w:ascii="仿宋" w:hAnsi="仿宋" w:eastAsia="仿宋" w:cs="仿宋"/>
                <w:color w:val="auto"/>
                <w:sz w:val="24"/>
                <w:szCs w:val="24"/>
              </w:rPr>
              <w:t>号</w:t>
            </w:r>
          </w:p>
        </w:tc>
        <w:tc>
          <w:tcPr>
            <w:tcW w:w="1382"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名称</w:t>
            </w:r>
          </w:p>
        </w:tc>
        <w:tc>
          <w:tcPr>
            <w:tcW w:w="1337"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r>
              <w:rPr>
                <w:rFonts w:hint="eastAsia" w:ascii="仿宋" w:hAnsi="仿宋" w:eastAsia="仿宋" w:cs="仿宋"/>
                <w:color w:val="auto"/>
                <w:sz w:val="24"/>
                <w:szCs w:val="24"/>
              </w:rPr>
              <w:t>规格及型号</w:t>
            </w:r>
          </w:p>
        </w:tc>
        <w:tc>
          <w:tcPr>
            <w:tcW w:w="913"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750"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075"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r>
              <w:rPr>
                <w:rFonts w:hint="eastAsia" w:ascii="仿宋" w:hAnsi="仿宋" w:eastAsia="仿宋" w:cs="仿宋"/>
                <w:color w:val="auto"/>
                <w:sz w:val="24"/>
                <w:szCs w:val="24"/>
              </w:rPr>
              <w:t>综合单价</w:t>
            </w:r>
          </w:p>
        </w:tc>
        <w:tc>
          <w:tcPr>
            <w:tcW w:w="1112"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总价</w:t>
            </w:r>
          </w:p>
        </w:tc>
        <w:tc>
          <w:tcPr>
            <w:tcW w:w="1200" w:type="dxa"/>
            <w:tcBorders>
              <w:top w:val="single" w:color="auto" w:sz="4" w:space="0"/>
              <w:left w:val="single" w:color="auto" w:sz="4" w:space="0"/>
            </w:tcBorders>
            <w:shd w:val="clear" w:color="auto" w:fill="FFFFFF"/>
            <w:vAlign w:val="bottom"/>
          </w:tcPr>
          <w:p>
            <w:pPr>
              <w:pStyle w:val="726"/>
              <w:spacing w:after="160"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品牌及</w:t>
            </w:r>
          </w:p>
          <w:p>
            <w:pPr>
              <w:pStyle w:val="726"/>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产地</w:t>
            </w:r>
          </w:p>
        </w:tc>
        <w:tc>
          <w:tcPr>
            <w:tcW w:w="936" w:type="dxa"/>
            <w:tcBorders>
              <w:top w:val="single" w:color="auto" w:sz="4" w:space="0"/>
              <w:left w:val="single" w:color="auto" w:sz="4" w:space="0"/>
            </w:tcBorders>
            <w:shd w:val="clear" w:color="auto" w:fill="FFFFFF"/>
          </w:tcPr>
          <w:p>
            <w:pPr>
              <w:pStyle w:val="726"/>
              <w:spacing w:before="160"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c>
          <w:tcPr>
            <w:tcW w:w="240" w:type="dxa"/>
            <w:vMerge w:val="restart"/>
            <w:tcBorders>
              <w:top w:val="single" w:color="auto" w:sz="4" w:space="0"/>
              <w:left w:val="single" w:color="auto" w:sz="4" w:space="0"/>
            </w:tcBorders>
            <w:shd w:val="clear" w:color="auto" w:fill="FFFFFF"/>
            <w:vAlign w:val="center"/>
          </w:tcPr>
          <w:p>
            <w:pPr>
              <w:pStyle w:val="726"/>
              <w:spacing w:line="226" w:lineRule="auto"/>
              <w:jc w:val="right"/>
              <w:rPr>
                <w:rFonts w:ascii="仿宋" w:hAnsi="仿宋" w:eastAsia="仿宋" w:cs="仿宋"/>
                <w:color w:val="auto"/>
                <w:sz w:val="24"/>
                <w:szCs w:val="24"/>
              </w:rPr>
            </w:pPr>
          </w:p>
        </w:tc>
      </w:tr>
      <w:tr>
        <w:tblPrEx>
          <w:tblCellMar>
            <w:top w:w="0" w:type="dxa"/>
            <w:left w:w="10" w:type="dxa"/>
            <w:bottom w:w="0" w:type="dxa"/>
            <w:right w:w="10" w:type="dxa"/>
          </w:tblCellMar>
        </w:tblPrEx>
        <w:trPr>
          <w:trHeight w:val="607" w:hRule="exact"/>
          <w:jc w:val="center"/>
        </w:trPr>
        <w:tc>
          <w:tcPr>
            <w:tcW w:w="516" w:type="dxa"/>
            <w:vMerge w:val="continue"/>
            <w:shd w:val="clear" w:color="auto" w:fill="FFFFFF"/>
          </w:tcPr>
          <w:p>
            <w:pPr>
              <w:rPr>
                <w:rFonts w:ascii="仿宋" w:hAnsi="仿宋" w:eastAsia="仿宋" w:cs="仿宋"/>
                <w:color w:val="auto"/>
                <w:sz w:val="24"/>
              </w:rPr>
            </w:pPr>
          </w:p>
        </w:tc>
        <w:tc>
          <w:tcPr>
            <w:tcW w:w="494"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382"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p>
        </w:tc>
        <w:tc>
          <w:tcPr>
            <w:tcW w:w="1337"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p>
        </w:tc>
        <w:tc>
          <w:tcPr>
            <w:tcW w:w="913" w:type="dxa"/>
            <w:tcBorders>
              <w:top w:val="single" w:color="auto" w:sz="4" w:space="0"/>
              <w:left w:val="single" w:color="auto" w:sz="4" w:space="0"/>
            </w:tcBorders>
            <w:shd w:val="clear" w:color="auto" w:fill="FFFFFF"/>
            <w:vAlign w:val="center"/>
          </w:tcPr>
          <w:p>
            <w:pPr>
              <w:pStyle w:val="726"/>
              <w:spacing w:line="240" w:lineRule="auto"/>
              <w:ind w:firstLine="160"/>
              <w:jc w:val="left"/>
              <w:rPr>
                <w:rFonts w:ascii="仿宋" w:hAnsi="仿宋" w:eastAsia="仿宋" w:cs="仿宋"/>
                <w:color w:val="auto"/>
                <w:sz w:val="24"/>
                <w:szCs w:val="24"/>
              </w:rPr>
            </w:pPr>
          </w:p>
        </w:tc>
        <w:tc>
          <w:tcPr>
            <w:tcW w:w="750" w:type="dxa"/>
            <w:tcBorders>
              <w:top w:val="single" w:color="auto" w:sz="4" w:space="0"/>
              <w:left w:val="single" w:color="auto" w:sz="4" w:space="0"/>
            </w:tcBorders>
            <w:shd w:val="clear" w:color="auto" w:fill="FFFFFF"/>
            <w:vAlign w:val="center"/>
          </w:tcPr>
          <w:p>
            <w:pPr>
              <w:pStyle w:val="726"/>
              <w:spacing w:line="240" w:lineRule="auto"/>
              <w:ind w:firstLine="200"/>
              <w:jc w:val="left"/>
              <w:rPr>
                <w:rFonts w:ascii="仿宋" w:hAnsi="仿宋" w:eastAsia="仿宋" w:cs="仿宋"/>
                <w:color w:val="auto"/>
                <w:sz w:val="24"/>
                <w:szCs w:val="24"/>
              </w:rPr>
            </w:pPr>
          </w:p>
        </w:tc>
        <w:tc>
          <w:tcPr>
            <w:tcW w:w="1075"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p>
        </w:tc>
        <w:tc>
          <w:tcPr>
            <w:tcW w:w="1112"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p>
        </w:tc>
        <w:tc>
          <w:tcPr>
            <w:tcW w:w="1200" w:type="dxa"/>
            <w:tcBorders>
              <w:top w:val="single" w:color="auto" w:sz="4" w:space="0"/>
              <w:left w:val="single" w:color="auto" w:sz="4" w:space="0"/>
            </w:tcBorders>
            <w:shd w:val="clear" w:color="auto" w:fill="FFFFFF"/>
            <w:vAlign w:val="center"/>
          </w:tcPr>
          <w:p>
            <w:pPr>
              <w:pStyle w:val="726"/>
              <w:spacing w:line="396" w:lineRule="exact"/>
              <w:jc w:val="center"/>
              <w:rPr>
                <w:rFonts w:ascii="仿宋" w:hAnsi="仿宋" w:eastAsia="仿宋" w:cs="仿宋"/>
                <w:color w:val="auto"/>
                <w:sz w:val="24"/>
                <w:szCs w:val="24"/>
              </w:rPr>
            </w:pPr>
          </w:p>
        </w:tc>
        <w:tc>
          <w:tcPr>
            <w:tcW w:w="936" w:type="dxa"/>
            <w:tcBorders>
              <w:top w:val="single" w:color="auto" w:sz="4" w:space="0"/>
              <w:left w:val="single" w:color="auto" w:sz="4" w:space="0"/>
            </w:tcBorders>
            <w:shd w:val="clear" w:color="auto" w:fill="FFFFFF"/>
            <w:vAlign w:val="bottom"/>
          </w:tcPr>
          <w:p>
            <w:pPr>
              <w:pStyle w:val="726"/>
              <w:spacing w:line="396" w:lineRule="exact"/>
              <w:jc w:val="right"/>
              <w:rPr>
                <w:rFonts w:ascii="仿宋" w:hAnsi="仿宋" w:eastAsia="仿宋" w:cs="仿宋"/>
                <w:color w:val="auto"/>
                <w:sz w:val="24"/>
                <w:szCs w:val="24"/>
              </w:rPr>
            </w:pPr>
          </w:p>
        </w:tc>
        <w:tc>
          <w:tcPr>
            <w:tcW w:w="240" w:type="dxa"/>
            <w:vMerge w:val="continue"/>
            <w:tcBorders>
              <w:left w:val="single" w:color="auto" w:sz="4" w:space="0"/>
            </w:tcBorders>
            <w:shd w:val="clear" w:color="auto" w:fill="FFFFFF"/>
            <w:vAlign w:val="center"/>
          </w:tcPr>
          <w:p>
            <w:pPr>
              <w:rPr>
                <w:rFonts w:ascii="仿宋" w:hAnsi="仿宋" w:eastAsia="仿宋" w:cs="仿宋"/>
                <w:color w:val="auto"/>
                <w:sz w:val="24"/>
              </w:rPr>
            </w:pPr>
          </w:p>
        </w:tc>
      </w:tr>
      <w:tr>
        <w:tblPrEx>
          <w:tblCellMar>
            <w:top w:w="0" w:type="dxa"/>
            <w:left w:w="10" w:type="dxa"/>
            <w:bottom w:w="0" w:type="dxa"/>
            <w:right w:w="10" w:type="dxa"/>
          </w:tblCellMar>
        </w:tblPrEx>
        <w:trPr>
          <w:trHeight w:val="417" w:hRule="exact"/>
          <w:jc w:val="center"/>
        </w:trPr>
        <w:tc>
          <w:tcPr>
            <w:tcW w:w="516" w:type="dxa"/>
            <w:vMerge w:val="continue"/>
            <w:shd w:val="clear" w:color="auto" w:fill="FFFFFF"/>
          </w:tcPr>
          <w:p>
            <w:pPr>
              <w:rPr>
                <w:rFonts w:ascii="仿宋" w:hAnsi="仿宋" w:eastAsia="仿宋" w:cs="仿宋"/>
                <w:color w:val="auto"/>
                <w:sz w:val="24"/>
              </w:rPr>
            </w:pPr>
          </w:p>
        </w:tc>
        <w:tc>
          <w:tcPr>
            <w:tcW w:w="494" w:type="dxa"/>
            <w:tcBorders>
              <w:top w:val="single" w:color="auto" w:sz="4" w:space="0"/>
              <w:left w:val="single" w:color="auto" w:sz="4" w:space="0"/>
            </w:tcBorders>
            <w:shd w:val="clear" w:color="auto" w:fill="FFFFFF"/>
            <w:vAlign w:val="center"/>
          </w:tcPr>
          <w:p>
            <w:pPr>
              <w:pStyle w:val="726"/>
              <w:spacing w:line="240" w:lineRule="auto"/>
              <w:ind w:firstLine="160"/>
              <w:jc w:val="left"/>
              <w:rPr>
                <w:rFonts w:ascii="仿宋" w:hAnsi="仿宋" w:eastAsia="仿宋" w:cs="仿宋"/>
                <w:color w:val="auto"/>
                <w:sz w:val="24"/>
                <w:szCs w:val="24"/>
              </w:rPr>
            </w:pPr>
            <w:r>
              <w:rPr>
                <w:rFonts w:hint="eastAsia" w:ascii="仿宋" w:hAnsi="仿宋" w:eastAsia="仿宋" w:cs="仿宋"/>
                <w:color w:val="auto"/>
                <w:sz w:val="24"/>
                <w:szCs w:val="24"/>
              </w:rPr>
              <w:t>2</w:t>
            </w:r>
          </w:p>
        </w:tc>
        <w:tc>
          <w:tcPr>
            <w:tcW w:w="1382"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p>
        </w:tc>
        <w:tc>
          <w:tcPr>
            <w:tcW w:w="1337" w:type="dxa"/>
            <w:tcBorders>
              <w:top w:val="single" w:color="auto" w:sz="4" w:space="0"/>
              <w:left w:val="single" w:color="auto" w:sz="4" w:space="0"/>
            </w:tcBorders>
            <w:shd w:val="clear" w:color="auto" w:fill="FFFFFF"/>
            <w:vAlign w:val="bottom"/>
          </w:tcPr>
          <w:p>
            <w:pPr>
              <w:pStyle w:val="726"/>
              <w:spacing w:line="322" w:lineRule="exact"/>
              <w:jc w:val="center"/>
              <w:rPr>
                <w:rFonts w:ascii="仿宋" w:hAnsi="仿宋" w:eastAsia="仿宋" w:cs="仿宋"/>
                <w:color w:val="auto"/>
                <w:sz w:val="24"/>
                <w:szCs w:val="24"/>
              </w:rPr>
            </w:pPr>
          </w:p>
        </w:tc>
        <w:tc>
          <w:tcPr>
            <w:tcW w:w="913" w:type="dxa"/>
            <w:tcBorders>
              <w:top w:val="single" w:color="auto" w:sz="4" w:space="0"/>
              <w:left w:val="single" w:color="auto" w:sz="4" w:space="0"/>
            </w:tcBorders>
            <w:shd w:val="clear" w:color="auto" w:fill="FFFFFF"/>
            <w:vAlign w:val="center"/>
          </w:tcPr>
          <w:p>
            <w:pPr>
              <w:pStyle w:val="726"/>
              <w:spacing w:line="240" w:lineRule="auto"/>
              <w:ind w:firstLine="160"/>
              <w:jc w:val="left"/>
              <w:rPr>
                <w:rFonts w:ascii="仿宋" w:hAnsi="仿宋" w:eastAsia="仿宋" w:cs="仿宋"/>
                <w:color w:val="auto"/>
                <w:sz w:val="24"/>
                <w:szCs w:val="24"/>
              </w:rPr>
            </w:pPr>
          </w:p>
        </w:tc>
        <w:tc>
          <w:tcPr>
            <w:tcW w:w="750" w:type="dxa"/>
            <w:tcBorders>
              <w:top w:val="single" w:color="auto" w:sz="4" w:space="0"/>
              <w:left w:val="single" w:color="auto" w:sz="4" w:space="0"/>
            </w:tcBorders>
            <w:shd w:val="clear" w:color="auto" w:fill="FFFFFF"/>
            <w:vAlign w:val="center"/>
          </w:tcPr>
          <w:p>
            <w:pPr>
              <w:pStyle w:val="726"/>
              <w:spacing w:line="240" w:lineRule="auto"/>
              <w:ind w:firstLine="200"/>
              <w:jc w:val="left"/>
              <w:rPr>
                <w:rFonts w:ascii="仿宋" w:hAnsi="仿宋" w:eastAsia="仿宋" w:cs="仿宋"/>
                <w:color w:val="auto"/>
                <w:sz w:val="24"/>
                <w:szCs w:val="24"/>
              </w:rPr>
            </w:pPr>
          </w:p>
        </w:tc>
        <w:tc>
          <w:tcPr>
            <w:tcW w:w="1075"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p>
        </w:tc>
        <w:tc>
          <w:tcPr>
            <w:tcW w:w="1112"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p>
        </w:tc>
        <w:tc>
          <w:tcPr>
            <w:tcW w:w="1200" w:type="dxa"/>
            <w:tcBorders>
              <w:top w:val="single" w:color="auto" w:sz="4" w:space="0"/>
              <w:left w:val="single" w:color="auto" w:sz="4" w:space="0"/>
            </w:tcBorders>
            <w:shd w:val="clear" w:color="auto" w:fill="FFFFFF"/>
            <w:vAlign w:val="bottom"/>
          </w:tcPr>
          <w:p>
            <w:pPr>
              <w:pStyle w:val="726"/>
              <w:spacing w:line="240" w:lineRule="auto"/>
              <w:jc w:val="center"/>
              <w:rPr>
                <w:rFonts w:ascii="仿宋" w:hAnsi="仿宋" w:eastAsia="仿宋" w:cs="仿宋"/>
                <w:color w:val="auto"/>
                <w:sz w:val="24"/>
                <w:szCs w:val="24"/>
              </w:rPr>
            </w:pPr>
          </w:p>
        </w:tc>
        <w:tc>
          <w:tcPr>
            <w:tcW w:w="936" w:type="dxa"/>
            <w:tcBorders>
              <w:top w:val="single" w:color="auto" w:sz="4" w:space="0"/>
              <w:left w:val="single" w:color="auto" w:sz="4" w:space="0"/>
            </w:tcBorders>
            <w:shd w:val="clear" w:color="auto" w:fill="FFFFFF"/>
            <w:vAlign w:val="bottom"/>
          </w:tcPr>
          <w:p>
            <w:pPr>
              <w:pStyle w:val="726"/>
              <w:spacing w:line="180" w:lineRule="auto"/>
              <w:jc w:val="right"/>
              <w:rPr>
                <w:rFonts w:ascii="仿宋" w:hAnsi="仿宋" w:eastAsia="仿宋" w:cs="仿宋"/>
                <w:color w:val="auto"/>
                <w:sz w:val="24"/>
                <w:szCs w:val="24"/>
              </w:rPr>
            </w:pPr>
          </w:p>
        </w:tc>
        <w:tc>
          <w:tcPr>
            <w:tcW w:w="240" w:type="dxa"/>
            <w:vMerge w:val="continue"/>
            <w:tcBorders>
              <w:left w:val="single" w:color="auto" w:sz="4" w:space="0"/>
            </w:tcBorders>
            <w:shd w:val="clear" w:color="auto" w:fill="FFFFFF"/>
            <w:vAlign w:val="center"/>
          </w:tcPr>
          <w:p>
            <w:pPr>
              <w:rPr>
                <w:rFonts w:ascii="仿宋" w:hAnsi="仿宋" w:eastAsia="仿宋" w:cs="仿宋"/>
                <w:color w:val="auto"/>
                <w:sz w:val="24"/>
              </w:rPr>
            </w:pPr>
          </w:p>
        </w:tc>
      </w:tr>
      <w:tr>
        <w:tblPrEx>
          <w:tblCellMar>
            <w:top w:w="0" w:type="dxa"/>
            <w:left w:w="10" w:type="dxa"/>
            <w:bottom w:w="0" w:type="dxa"/>
            <w:right w:w="10" w:type="dxa"/>
          </w:tblCellMar>
        </w:tblPrEx>
        <w:trPr>
          <w:trHeight w:val="565" w:hRule="exact"/>
          <w:jc w:val="center"/>
        </w:trPr>
        <w:tc>
          <w:tcPr>
            <w:tcW w:w="516" w:type="dxa"/>
            <w:vMerge w:val="continue"/>
            <w:shd w:val="clear" w:color="auto" w:fill="FFFFFF"/>
          </w:tcPr>
          <w:p>
            <w:pPr>
              <w:rPr>
                <w:rFonts w:ascii="仿宋" w:hAnsi="仿宋" w:eastAsia="仿宋" w:cs="仿宋"/>
                <w:color w:val="auto"/>
                <w:sz w:val="24"/>
              </w:rPr>
            </w:pPr>
          </w:p>
        </w:tc>
        <w:tc>
          <w:tcPr>
            <w:tcW w:w="494" w:type="dxa"/>
            <w:tcBorders>
              <w:top w:val="single" w:color="auto" w:sz="4" w:space="0"/>
              <w:left w:val="single" w:color="auto" w:sz="4" w:space="0"/>
            </w:tcBorders>
            <w:shd w:val="clear" w:color="auto" w:fill="FFFFFF"/>
            <w:vAlign w:val="center"/>
          </w:tcPr>
          <w:p>
            <w:pPr>
              <w:pStyle w:val="726"/>
              <w:spacing w:line="240" w:lineRule="auto"/>
              <w:ind w:firstLine="160"/>
              <w:jc w:val="left"/>
              <w:rPr>
                <w:rFonts w:ascii="仿宋" w:hAnsi="仿宋" w:eastAsia="仿宋" w:cs="仿宋"/>
                <w:color w:val="auto"/>
                <w:sz w:val="24"/>
                <w:szCs w:val="24"/>
              </w:rPr>
            </w:pPr>
            <w:r>
              <w:rPr>
                <w:rFonts w:hint="eastAsia" w:ascii="仿宋" w:hAnsi="仿宋" w:eastAsia="仿宋" w:cs="仿宋"/>
                <w:color w:val="auto"/>
                <w:sz w:val="24"/>
                <w:szCs w:val="24"/>
              </w:rPr>
              <w:t>3</w:t>
            </w:r>
          </w:p>
        </w:tc>
        <w:tc>
          <w:tcPr>
            <w:tcW w:w="1382"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p>
        </w:tc>
        <w:tc>
          <w:tcPr>
            <w:tcW w:w="1337" w:type="dxa"/>
            <w:tcBorders>
              <w:top w:val="single" w:color="auto" w:sz="4" w:space="0"/>
              <w:left w:val="single" w:color="auto" w:sz="4" w:space="0"/>
            </w:tcBorders>
            <w:shd w:val="clear" w:color="auto" w:fill="FFFFFF"/>
            <w:vAlign w:val="center"/>
          </w:tcPr>
          <w:p>
            <w:pPr>
              <w:pStyle w:val="726"/>
              <w:spacing w:line="240" w:lineRule="auto"/>
              <w:ind w:firstLine="260"/>
              <w:jc w:val="left"/>
              <w:rPr>
                <w:rFonts w:ascii="仿宋" w:hAnsi="仿宋" w:eastAsia="仿宋" w:cs="仿宋"/>
                <w:color w:val="auto"/>
                <w:sz w:val="24"/>
                <w:szCs w:val="24"/>
              </w:rPr>
            </w:pPr>
          </w:p>
        </w:tc>
        <w:tc>
          <w:tcPr>
            <w:tcW w:w="913" w:type="dxa"/>
            <w:tcBorders>
              <w:top w:val="single" w:color="auto" w:sz="4" w:space="0"/>
              <w:left w:val="single" w:color="auto" w:sz="4" w:space="0"/>
            </w:tcBorders>
            <w:shd w:val="clear" w:color="auto" w:fill="FFFFFF"/>
            <w:vAlign w:val="center"/>
          </w:tcPr>
          <w:p>
            <w:pPr>
              <w:pStyle w:val="726"/>
              <w:spacing w:line="240" w:lineRule="auto"/>
              <w:ind w:firstLine="160"/>
              <w:jc w:val="left"/>
              <w:rPr>
                <w:rFonts w:ascii="仿宋" w:hAnsi="仿宋" w:eastAsia="仿宋" w:cs="仿宋"/>
                <w:color w:val="auto"/>
                <w:sz w:val="24"/>
                <w:szCs w:val="24"/>
              </w:rPr>
            </w:pPr>
          </w:p>
        </w:tc>
        <w:tc>
          <w:tcPr>
            <w:tcW w:w="750" w:type="dxa"/>
            <w:tcBorders>
              <w:top w:val="single" w:color="auto" w:sz="4" w:space="0"/>
              <w:left w:val="single" w:color="auto" w:sz="4" w:space="0"/>
            </w:tcBorders>
            <w:shd w:val="clear" w:color="auto" w:fill="FFFFFF"/>
            <w:vAlign w:val="center"/>
          </w:tcPr>
          <w:p>
            <w:pPr>
              <w:pStyle w:val="726"/>
              <w:spacing w:line="240" w:lineRule="auto"/>
              <w:ind w:firstLine="200"/>
              <w:jc w:val="left"/>
              <w:rPr>
                <w:rFonts w:ascii="仿宋" w:hAnsi="仿宋" w:eastAsia="仿宋" w:cs="仿宋"/>
                <w:color w:val="auto"/>
                <w:sz w:val="24"/>
                <w:szCs w:val="24"/>
              </w:rPr>
            </w:pPr>
          </w:p>
        </w:tc>
        <w:tc>
          <w:tcPr>
            <w:tcW w:w="1075"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p>
        </w:tc>
        <w:tc>
          <w:tcPr>
            <w:tcW w:w="1112" w:type="dxa"/>
            <w:tcBorders>
              <w:top w:val="single" w:color="auto" w:sz="4" w:space="0"/>
              <w:left w:val="single" w:color="auto" w:sz="4" w:space="0"/>
            </w:tcBorders>
            <w:shd w:val="clear" w:color="auto" w:fill="FFFFFF"/>
            <w:vAlign w:val="center"/>
          </w:tcPr>
          <w:p>
            <w:pPr>
              <w:pStyle w:val="726"/>
              <w:spacing w:line="240" w:lineRule="auto"/>
              <w:ind w:firstLine="200"/>
              <w:jc w:val="left"/>
              <w:rPr>
                <w:rFonts w:ascii="仿宋" w:hAnsi="仿宋" w:eastAsia="仿宋" w:cs="仿宋"/>
                <w:color w:val="auto"/>
                <w:sz w:val="24"/>
                <w:szCs w:val="24"/>
              </w:rPr>
            </w:pPr>
          </w:p>
        </w:tc>
        <w:tc>
          <w:tcPr>
            <w:tcW w:w="1200" w:type="dxa"/>
            <w:tcBorders>
              <w:top w:val="single" w:color="auto" w:sz="4" w:space="0"/>
              <w:left w:val="single" w:color="auto" w:sz="4" w:space="0"/>
            </w:tcBorders>
            <w:shd w:val="clear" w:color="auto" w:fill="FFFFFF"/>
            <w:vAlign w:val="center"/>
          </w:tcPr>
          <w:p>
            <w:pPr>
              <w:pStyle w:val="726"/>
              <w:spacing w:line="400" w:lineRule="exact"/>
              <w:jc w:val="center"/>
              <w:rPr>
                <w:rFonts w:ascii="仿宋" w:hAnsi="仿宋" w:eastAsia="仿宋" w:cs="仿宋"/>
                <w:color w:val="auto"/>
                <w:sz w:val="24"/>
                <w:szCs w:val="24"/>
              </w:rPr>
            </w:pPr>
          </w:p>
        </w:tc>
        <w:tc>
          <w:tcPr>
            <w:tcW w:w="936" w:type="dxa"/>
            <w:tcBorders>
              <w:top w:val="single" w:color="auto" w:sz="4" w:space="0"/>
              <w:left w:val="single" w:color="auto" w:sz="4" w:space="0"/>
            </w:tcBorders>
            <w:shd w:val="clear" w:color="auto" w:fill="FFFFFF"/>
          </w:tcPr>
          <w:p>
            <w:pPr>
              <w:rPr>
                <w:rFonts w:ascii="仿宋" w:hAnsi="仿宋" w:eastAsia="仿宋" w:cs="仿宋"/>
                <w:color w:val="auto"/>
                <w:sz w:val="24"/>
              </w:rPr>
            </w:pPr>
          </w:p>
        </w:tc>
        <w:tc>
          <w:tcPr>
            <w:tcW w:w="240" w:type="dxa"/>
            <w:vMerge w:val="continue"/>
            <w:tcBorders>
              <w:left w:val="single" w:color="auto" w:sz="4" w:space="0"/>
            </w:tcBorders>
            <w:shd w:val="clear" w:color="auto" w:fill="FFFFFF"/>
            <w:vAlign w:val="center"/>
          </w:tcPr>
          <w:p>
            <w:pPr>
              <w:rPr>
                <w:rFonts w:ascii="仿宋" w:hAnsi="仿宋" w:eastAsia="仿宋" w:cs="仿宋"/>
                <w:color w:val="auto"/>
                <w:sz w:val="24"/>
              </w:rPr>
            </w:pPr>
          </w:p>
        </w:tc>
      </w:tr>
      <w:tr>
        <w:tblPrEx>
          <w:tblCellMar>
            <w:top w:w="0" w:type="dxa"/>
            <w:left w:w="10" w:type="dxa"/>
            <w:bottom w:w="0" w:type="dxa"/>
            <w:right w:w="10" w:type="dxa"/>
          </w:tblCellMar>
        </w:tblPrEx>
        <w:trPr>
          <w:trHeight w:val="431" w:hRule="exact"/>
          <w:jc w:val="center"/>
        </w:trPr>
        <w:tc>
          <w:tcPr>
            <w:tcW w:w="516" w:type="dxa"/>
            <w:vMerge w:val="continue"/>
            <w:shd w:val="clear" w:color="auto" w:fill="FFFFFF"/>
          </w:tcPr>
          <w:p>
            <w:pPr>
              <w:rPr>
                <w:rFonts w:ascii="仿宋" w:hAnsi="仿宋" w:eastAsia="仿宋" w:cs="仿宋"/>
                <w:color w:val="auto"/>
                <w:sz w:val="24"/>
              </w:rPr>
            </w:pPr>
          </w:p>
        </w:tc>
        <w:tc>
          <w:tcPr>
            <w:tcW w:w="494" w:type="dxa"/>
            <w:tcBorders>
              <w:top w:val="single" w:color="auto" w:sz="4" w:space="0"/>
              <w:left w:val="single" w:color="auto" w:sz="4" w:space="0"/>
            </w:tcBorders>
            <w:shd w:val="clear" w:color="auto" w:fill="FFFFFF"/>
            <w:vAlign w:val="center"/>
          </w:tcPr>
          <w:p>
            <w:pPr>
              <w:pStyle w:val="726"/>
              <w:spacing w:line="240" w:lineRule="auto"/>
              <w:ind w:firstLine="160"/>
              <w:jc w:val="left"/>
              <w:rPr>
                <w:rFonts w:ascii="仿宋" w:hAnsi="仿宋" w:eastAsia="仿宋" w:cs="仿宋"/>
                <w:color w:val="auto"/>
                <w:sz w:val="24"/>
                <w:szCs w:val="24"/>
              </w:rPr>
            </w:pPr>
            <w:r>
              <w:rPr>
                <w:rFonts w:hint="eastAsia" w:ascii="仿宋" w:hAnsi="仿宋" w:eastAsia="仿宋" w:cs="仿宋"/>
                <w:color w:val="auto"/>
                <w:sz w:val="24"/>
                <w:szCs w:val="24"/>
              </w:rPr>
              <w:t>4</w:t>
            </w:r>
          </w:p>
        </w:tc>
        <w:tc>
          <w:tcPr>
            <w:tcW w:w="1382"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p>
        </w:tc>
        <w:tc>
          <w:tcPr>
            <w:tcW w:w="1337" w:type="dxa"/>
            <w:tcBorders>
              <w:top w:val="single" w:color="auto" w:sz="4" w:space="0"/>
              <w:left w:val="single" w:color="auto" w:sz="4" w:space="0"/>
            </w:tcBorders>
            <w:shd w:val="clear" w:color="auto" w:fill="FFFFFF"/>
            <w:vAlign w:val="center"/>
          </w:tcPr>
          <w:p>
            <w:pPr>
              <w:pStyle w:val="726"/>
              <w:spacing w:line="240" w:lineRule="auto"/>
              <w:ind w:firstLine="260"/>
              <w:jc w:val="left"/>
              <w:rPr>
                <w:rFonts w:ascii="仿宋" w:hAnsi="仿宋" w:eastAsia="仿宋" w:cs="仿宋"/>
                <w:color w:val="auto"/>
                <w:sz w:val="24"/>
                <w:szCs w:val="24"/>
              </w:rPr>
            </w:pPr>
          </w:p>
        </w:tc>
        <w:tc>
          <w:tcPr>
            <w:tcW w:w="913" w:type="dxa"/>
            <w:tcBorders>
              <w:top w:val="single" w:color="auto" w:sz="4" w:space="0"/>
              <w:left w:val="single" w:color="auto" w:sz="4" w:space="0"/>
            </w:tcBorders>
            <w:shd w:val="clear" w:color="auto" w:fill="FFFFFF"/>
            <w:vAlign w:val="center"/>
          </w:tcPr>
          <w:p>
            <w:pPr>
              <w:pStyle w:val="726"/>
              <w:spacing w:line="240" w:lineRule="auto"/>
              <w:ind w:firstLine="160"/>
              <w:jc w:val="left"/>
              <w:rPr>
                <w:rFonts w:ascii="仿宋" w:hAnsi="仿宋" w:eastAsia="仿宋" w:cs="仿宋"/>
                <w:color w:val="auto"/>
                <w:sz w:val="24"/>
                <w:szCs w:val="24"/>
              </w:rPr>
            </w:pPr>
          </w:p>
        </w:tc>
        <w:tc>
          <w:tcPr>
            <w:tcW w:w="750" w:type="dxa"/>
            <w:tcBorders>
              <w:top w:val="single" w:color="auto" w:sz="4" w:space="0"/>
              <w:left w:val="single" w:color="auto" w:sz="4" w:space="0"/>
            </w:tcBorders>
            <w:shd w:val="clear" w:color="auto" w:fill="FFFFFF"/>
            <w:vAlign w:val="center"/>
          </w:tcPr>
          <w:p>
            <w:pPr>
              <w:pStyle w:val="726"/>
              <w:spacing w:line="240" w:lineRule="auto"/>
              <w:ind w:firstLine="200"/>
              <w:jc w:val="left"/>
              <w:rPr>
                <w:rFonts w:ascii="仿宋" w:hAnsi="仿宋" w:eastAsia="仿宋" w:cs="仿宋"/>
                <w:color w:val="auto"/>
                <w:sz w:val="24"/>
                <w:szCs w:val="24"/>
              </w:rPr>
            </w:pPr>
          </w:p>
        </w:tc>
        <w:tc>
          <w:tcPr>
            <w:tcW w:w="1075"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p>
        </w:tc>
        <w:tc>
          <w:tcPr>
            <w:tcW w:w="1112" w:type="dxa"/>
            <w:tcBorders>
              <w:top w:val="single" w:color="auto" w:sz="4" w:space="0"/>
              <w:left w:val="single" w:color="auto" w:sz="4" w:space="0"/>
            </w:tcBorders>
            <w:shd w:val="clear" w:color="auto" w:fill="FFFFFF"/>
            <w:vAlign w:val="center"/>
          </w:tcPr>
          <w:p>
            <w:pPr>
              <w:pStyle w:val="726"/>
              <w:spacing w:line="240" w:lineRule="auto"/>
              <w:jc w:val="left"/>
              <w:rPr>
                <w:rFonts w:ascii="仿宋" w:hAnsi="仿宋" w:eastAsia="仿宋" w:cs="仿宋"/>
                <w:color w:val="auto"/>
                <w:sz w:val="24"/>
                <w:szCs w:val="24"/>
              </w:rPr>
            </w:pPr>
          </w:p>
        </w:tc>
        <w:tc>
          <w:tcPr>
            <w:tcW w:w="1200" w:type="dxa"/>
            <w:tcBorders>
              <w:top w:val="single" w:color="auto" w:sz="4" w:space="0"/>
              <w:left w:val="single" w:color="auto" w:sz="4" w:space="0"/>
            </w:tcBorders>
            <w:shd w:val="clear" w:color="auto" w:fill="FFFFFF"/>
            <w:vAlign w:val="center"/>
          </w:tcPr>
          <w:p>
            <w:pPr>
              <w:pStyle w:val="726"/>
              <w:spacing w:line="240" w:lineRule="auto"/>
              <w:jc w:val="center"/>
              <w:rPr>
                <w:rFonts w:ascii="仿宋" w:hAnsi="仿宋" w:eastAsia="仿宋" w:cs="仿宋"/>
                <w:color w:val="auto"/>
                <w:sz w:val="24"/>
                <w:szCs w:val="24"/>
              </w:rPr>
            </w:pPr>
          </w:p>
        </w:tc>
        <w:tc>
          <w:tcPr>
            <w:tcW w:w="936" w:type="dxa"/>
            <w:tcBorders>
              <w:top w:val="single" w:color="auto" w:sz="4" w:space="0"/>
              <w:left w:val="single" w:color="auto" w:sz="4" w:space="0"/>
            </w:tcBorders>
            <w:shd w:val="clear" w:color="auto" w:fill="FFFFFF"/>
          </w:tcPr>
          <w:p>
            <w:pPr>
              <w:rPr>
                <w:rFonts w:ascii="仿宋" w:hAnsi="仿宋" w:eastAsia="仿宋" w:cs="仿宋"/>
                <w:color w:val="auto"/>
                <w:sz w:val="24"/>
              </w:rPr>
            </w:pPr>
          </w:p>
        </w:tc>
        <w:tc>
          <w:tcPr>
            <w:tcW w:w="240" w:type="dxa"/>
            <w:vMerge w:val="continue"/>
            <w:tcBorders>
              <w:left w:val="single" w:color="auto" w:sz="4" w:space="0"/>
            </w:tcBorders>
            <w:shd w:val="clear" w:color="auto" w:fill="FFFFFF"/>
            <w:vAlign w:val="center"/>
          </w:tcPr>
          <w:p>
            <w:pPr>
              <w:rPr>
                <w:rFonts w:ascii="仿宋" w:hAnsi="仿宋" w:eastAsia="仿宋" w:cs="仿宋"/>
                <w:color w:val="auto"/>
                <w:sz w:val="24"/>
              </w:rPr>
            </w:pPr>
          </w:p>
        </w:tc>
      </w:tr>
      <w:tr>
        <w:tblPrEx>
          <w:tblCellMar>
            <w:top w:w="0" w:type="dxa"/>
            <w:left w:w="10" w:type="dxa"/>
            <w:bottom w:w="0" w:type="dxa"/>
            <w:right w:w="10" w:type="dxa"/>
          </w:tblCellMar>
        </w:tblPrEx>
        <w:trPr>
          <w:trHeight w:val="1206" w:hRule="exact"/>
          <w:jc w:val="center"/>
        </w:trPr>
        <w:tc>
          <w:tcPr>
            <w:tcW w:w="516" w:type="dxa"/>
            <w:vMerge w:val="continue"/>
            <w:shd w:val="clear" w:color="auto" w:fill="FFFFFF"/>
          </w:tcPr>
          <w:p>
            <w:pPr>
              <w:rPr>
                <w:rFonts w:ascii="仿宋" w:hAnsi="仿宋" w:eastAsia="仿宋" w:cs="仿宋"/>
                <w:color w:val="auto"/>
                <w:sz w:val="24"/>
              </w:rPr>
            </w:pPr>
          </w:p>
        </w:tc>
        <w:tc>
          <w:tcPr>
            <w:tcW w:w="1876" w:type="dxa"/>
            <w:gridSpan w:val="2"/>
            <w:tcBorders>
              <w:top w:val="single" w:color="auto" w:sz="4" w:space="0"/>
              <w:left w:val="single" w:color="auto" w:sz="4" w:space="0"/>
              <w:bottom w:val="single" w:color="auto" w:sz="4" w:space="0"/>
            </w:tcBorders>
            <w:shd w:val="clear" w:color="auto" w:fill="FFFFFF"/>
            <w:vAlign w:val="center"/>
          </w:tcPr>
          <w:p>
            <w:pPr>
              <w:pStyle w:val="726"/>
              <w:spacing w:line="400" w:lineRule="exact"/>
              <w:rPr>
                <w:rFonts w:ascii="仿宋" w:hAnsi="仿宋" w:eastAsia="仿宋" w:cs="仿宋"/>
                <w:color w:val="auto"/>
                <w:sz w:val="24"/>
                <w:szCs w:val="24"/>
              </w:rPr>
            </w:pPr>
            <w:r>
              <w:rPr>
                <w:rFonts w:hint="eastAsia" w:ascii="仿宋" w:hAnsi="仿宋" w:eastAsia="仿宋" w:cs="仿宋"/>
                <w:color w:val="auto"/>
                <w:sz w:val="24"/>
                <w:szCs w:val="24"/>
              </w:rPr>
              <w:t>合计金额（小写）合计金额（大写）</w:t>
            </w:r>
          </w:p>
        </w:tc>
        <w:tc>
          <w:tcPr>
            <w:tcW w:w="7323" w:type="dxa"/>
            <w:gridSpan w:val="7"/>
            <w:tcBorders>
              <w:top w:val="single" w:color="auto" w:sz="4" w:space="0"/>
              <w:left w:val="single" w:color="auto" w:sz="4" w:space="0"/>
              <w:bottom w:val="single" w:color="auto" w:sz="4" w:space="0"/>
            </w:tcBorders>
            <w:shd w:val="clear" w:color="auto" w:fill="FFFFFF"/>
            <w:vAlign w:val="center"/>
          </w:tcPr>
          <w:p>
            <w:pPr>
              <w:pStyle w:val="726"/>
              <w:spacing w:after="160" w:line="240" w:lineRule="auto"/>
              <w:ind w:firstLine="240" w:firstLineChars="100"/>
              <w:jc w:val="left"/>
              <w:rPr>
                <w:rFonts w:ascii="仿宋" w:hAnsi="仿宋" w:eastAsia="仿宋" w:cs="仿宋"/>
                <w:color w:val="auto"/>
                <w:sz w:val="24"/>
                <w:szCs w:val="24"/>
              </w:rPr>
            </w:pPr>
            <w:r>
              <w:rPr>
                <w:rFonts w:hint="eastAsia" w:ascii="仿宋" w:hAnsi="仿宋" w:eastAsia="仿宋" w:cs="仿宋"/>
                <w:color w:val="auto"/>
                <w:sz w:val="24"/>
                <w:szCs w:val="24"/>
              </w:rPr>
              <w:t>¥： 元</w:t>
            </w:r>
          </w:p>
          <w:p>
            <w:pPr>
              <w:pStyle w:val="726"/>
              <w:spacing w:line="240" w:lineRule="auto"/>
              <w:ind w:firstLine="240" w:firstLineChars="100"/>
              <w:jc w:val="left"/>
              <w:rPr>
                <w:rFonts w:ascii="仿宋" w:hAnsi="仿宋" w:eastAsia="仿宋" w:cs="仿宋"/>
                <w:color w:val="auto"/>
                <w:sz w:val="24"/>
                <w:szCs w:val="24"/>
              </w:rPr>
            </w:pPr>
            <w:r>
              <w:rPr>
                <w:rFonts w:hint="eastAsia" w:ascii="仿宋" w:hAnsi="仿宋" w:eastAsia="仿宋" w:cs="仿宋"/>
                <w:color w:val="auto"/>
                <w:sz w:val="24"/>
                <w:szCs w:val="24"/>
              </w:rPr>
              <w:t>人民币大写：</w:t>
            </w:r>
          </w:p>
        </w:tc>
        <w:tc>
          <w:tcPr>
            <w:tcW w:w="240" w:type="dxa"/>
            <w:vMerge w:val="continue"/>
            <w:tcBorders>
              <w:left w:val="single" w:color="auto" w:sz="4" w:space="0"/>
            </w:tcBorders>
            <w:shd w:val="clear" w:color="auto" w:fill="FFFFFF"/>
            <w:vAlign w:val="center"/>
          </w:tcPr>
          <w:p>
            <w:pPr>
              <w:rPr>
                <w:rFonts w:ascii="仿宋" w:hAnsi="仿宋" w:eastAsia="仿宋" w:cs="仿宋"/>
                <w:color w:val="auto"/>
                <w:sz w:val="24"/>
              </w:rPr>
            </w:pPr>
          </w:p>
        </w:tc>
      </w:tr>
    </w:tbl>
    <w:p>
      <w:pPr>
        <w:tabs>
          <w:tab w:val="left" w:pos="427"/>
        </w:tabs>
        <w:spacing w:line="340" w:lineRule="exact"/>
        <w:jc w:val="left"/>
        <w:rPr>
          <w:rFonts w:ascii="仿宋" w:hAnsi="仿宋" w:eastAsia="仿宋" w:cs="仿宋"/>
          <w:color w:val="auto"/>
          <w:sz w:val="24"/>
        </w:rPr>
      </w:pPr>
    </w:p>
    <w:p>
      <w:pPr>
        <w:pStyle w:val="724"/>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第二条：合同价格</w:t>
      </w:r>
    </w:p>
    <w:p>
      <w:pPr>
        <w:numPr>
          <w:ilvl w:val="0"/>
          <w:numId w:val="12"/>
        </w:num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货物总价为人民币（大写）：</w:t>
      </w:r>
    </w:p>
    <w:p>
      <w:pPr>
        <w:pStyle w:val="724"/>
        <w:numPr>
          <w:ilvl w:val="0"/>
          <w:numId w:val="12"/>
        </w:numPr>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总价中包括货物金额、安装费、包装费、软件接口费、运输费及运输途中保险费、装卸费及税金。本合同价格一般不得做任何变更与调整。</w:t>
      </w:r>
    </w:p>
    <w:p>
      <w:pPr>
        <w:pStyle w:val="724"/>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第三条：付款方式</w:t>
      </w:r>
    </w:p>
    <w:p>
      <w:pPr>
        <w:pStyle w:val="724"/>
        <w:tabs>
          <w:tab w:val="left" w:pos="332"/>
        </w:tabs>
        <w:spacing w:line="360" w:lineRule="exact"/>
        <w:ind w:firstLine="480" w:firstLineChars="200"/>
        <w:jc w:val="left"/>
        <w:rPr>
          <w:rFonts w:ascii="仿宋" w:hAnsi="仿宋" w:eastAsia="仿宋" w:cs="仿宋"/>
          <w:color w:val="auto"/>
          <w:sz w:val="24"/>
          <w:szCs w:val="24"/>
        </w:rPr>
      </w:pPr>
      <w:bookmarkStart w:id="11" w:name="bookmark3"/>
      <w:r>
        <w:rPr>
          <w:rFonts w:hint="eastAsia" w:ascii="仿宋" w:hAnsi="仿宋" w:eastAsia="仿宋" w:cs="仿宋"/>
          <w:color w:val="auto"/>
          <w:sz w:val="24"/>
          <w:szCs w:val="24"/>
        </w:rPr>
        <w:t>1</w:t>
      </w:r>
      <w:bookmarkEnd w:id="11"/>
      <w:r>
        <w:rPr>
          <w:rFonts w:hint="eastAsia" w:ascii="仿宋" w:hAnsi="仿宋" w:eastAsia="仿宋" w:cs="仿宋"/>
          <w:color w:val="auto"/>
          <w:sz w:val="24"/>
          <w:szCs w:val="24"/>
        </w:rPr>
        <w:t>、甲乙双方确认的货款结算依据：投标文件、中标通知书，釆购合同书，乙方开具的发票，甲方岀具的验收结算书等。</w:t>
      </w:r>
    </w:p>
    <w:p>
      <w:pPr>
        <w:pStyle w:val="724"/>
        <w:tabs>
          <w:tab w:val="left" w:pos="314"/>
        </w:tabs>
        <w:spacing w:line="360" w:lineRule="exact"/>
        <w:ind w:firstLine="480" w:firstLineChars="200"/>
        <w:jc w:val="left"/>
        <w:rPr>
          <w:rFonts w:ascii="仿宋" w:hAnsi="仿宋" w:eastAsia="仿宋" w:cs="仿宋"/>
          <w:color w:val="auto"/>
          <w:sz w:val="24"/>
          <w:szCs w:val="24"/>
        </w:rPr>
      </w:pPr>
      <w:bookmarkStart w:id="12" w:name="bookmark4"/>
      <w:r>
        <w:rPr>
          <w:rFonts w:hint="eastAsia" w:ascii="仿宋" w:hAnsi="仿宋" w:eastAsia="仿宋" w:cs="仿宋"/>
          <w:color w:val="auto"/>
          <w:sz w:val="24"/>
          <w:szCs w:val="24"/>
        </w:rPr>
        <w:t>2</w:t>
      </w:r>
      <w:bookmarkEnd w:id="12"/>
      <w:r>
        <w:rPr>
          <w:rFonts w:hint="eastAsia" w:ascii="仿宋" w:hAnsi="仿宋" w:eastAsia="仿宋" w:cs="仿宋"/>
          <w:color w:val="auto"/>
          <w:sz w:val="24"/>
          <w:szCs w:val="24"/>
        </w:rPr>
        <w:t>、</w:t>
      </w:r>
      <w:r>
        <w:rPr>
          <w:rFonts w:hint="eastAsia" w:ascii="仿宋" w:hAnsi="仿宋" w:eastAsia="仿宋" w:cs="仿宋"/>
          <w:bCs/>
          <w:color w:val="auto"/>
          <w:kern w:val="0"/>
          <w:sz w:val="24"/>
          <w:lang w:eastAsia="zh-CN"/>
        </w:rPr>
        <w:t>合同签订生效后支付合同价格的</w:t>
      </w:r>
      <w:r>
        <w:rPr>
          <w:rFonts w:hint="eastAsia" w:ascii="仿宋" w:hAnsi="仿宋" w:eastAsia="仿宋" w:cs="仿宋"/>
          <w:bCs/>
          <w:color w:val="auto"/>
          <w:kern w:val="0"/>
          <w:sz w:val="24"/>
          <w:lang w:val="en-US" w:eastAsia="zh-CN"/>
        </w:rPr>
        <w:t>30%，</w:t>
      </w:r>
      <w:r>
        <w:rPr>
          <w:rFonts w:hint="eastAsia" w:ascii="仿宋" w:hAnsi="仿宋" w:eastAsia="仿宋" w:cs="仿宋"/>
          <w:bCs/>
          <w:color w:val="auto"/>
          <w:kern w:val="0"/>
          <w:sz w:val="24"/>
        </w:rPr>
        <w:t>全部货到甲方指定地点并安装调试完毕，正常运行至全套设备系统最终验收合格后，乙方开具正式发票给甲方，甲方收到发票后支付合同价格的</w:t>
      </w:r>
      <w:r>
        <w:rPr>
          <w:rFonts w:hint="eastAsia" w:ascii="仿宋" w:hAnsi="仿宋" w:eastAsia="仿宋" w:cs="仿宋"/>
          <w:bCs/>
          <w:color w:val="auto"/>
          <w:kern w:val="0"/>
          <w:sz w:val="24"/>
          <w:lang w:val="en-US" w:eastAsia="zh-CN"/>
        </w:rPr>
        <w:t>67</w:t>
      </w:r>
      <w:r>
        <w:rPr>
          <w:rFonts w:hint="eastAsia" w:ascii="仿宋" w:hAnsi="仿宋" w:eastAsia="仿宋" w:cs="仿宋"/>
          <w:bCs/>
          <w:color w:val="auto"/>
          <w:kern w:val="0"/>
          <w:sz w:val="24"/>
        </w:rPr>
        <w:t>%，剩余</w:t>
      </w:r>
      <w:r>
        <w:rPr>
          <w:rFonts w:hint="eastAsia" w:ascii="仿宋" w:hAnsi="仿宋" w:eastAsia="仿宋" w:cs="仿宋"/>
          <w:bCs/>
          <w:color w:val="auto"/>
          <w:kern w:val="0"/>
          <w:sz w:val="24"/>
          <w:lang w:val="en-US" w:eastAsia="zh-CN"/>
        </w:rPr>
        <w:t>3</w:t>
      </w:r>
      <w:r>
        <w:rPr>
          <w:rFonts w:hint="eastAsia" w:ascii="仿宋" w:hAnsi="仿宋" w:eastAsia="仿宋" w:cs="仿宋"/>
          <w:bCs/>
          <w:color w:val="auto"/>
          <w:kern w:val="0"/>
          <w:sz w:val="24"/>
        </w:rPr>
        <w:t>%待货物质保期满，且乙方如约履行维保义务后无息付清。</w:t>
      </w:r>
      <w:r>
        <w:rPr>
          <w:rFonts w:hint="eastAsia" w:ascii="仿宋" w:hAnsi="仿宋" w:eastAsia="仿宋" w:cs="仿宋"/>
          <w:color w:val="auto"/>
          <w:sz w:val="24"/>
          <w:szCs w:val="24"/>
        </w:rPr>
        <w:t>。</w:t>
      </w:r>
    </w:p>
    <w:p>
      <w:pPr>
        <w:pStyle w:val="724"/>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第四条：交货、包装与验收</w:t>
      </w:r>
    </w:p>
    <w:p>
      <w:pPr>
        <w:pStyle w:val="724"/>
        <w:tabs>
          <w:tab w:val="left" w:pos="305"/>
        </w:tabs>
        <w:spacing w:line="360" w:lineRule="exact"/>
        <w:ind w:firstLine="480" w:firstLineChars="200"/>
        <w:jc w:val="left"/>
        <w:rPr>
          <w:rFonts w:ascii="仿宋" w:hAnsi="仿宋" w:eastAsia="仿宋" w:cs="仿宋"/>
          <w:color w:val="auto"/>
          <w:sz w:val="24"/>
          <w:szCs w:val="24"/>
        </w:rPr>
      </w:pPr>
      <w:bookmarkStart w:id="13" w:name="bookmark5"/>
      <w:r>
        <w:rPr>
          <w:rFonts w:hint="eastAsia" w:ascii="仿宋" w:hAnsi="仿宋" w:eastAsia="仿宋" w:cs="仿宋"/>
          <w:color w:val="auto"/>
          <w:sz w:val="24"/>
          <w:szCs w:val="24"/>
        </w:rPr>
        <w:t>1</w:t>
      </w:r>
      <w:bookmarkEnd w:id="13"/>
      <w:r>
        <w:rPr>
          <w:rFonts w:hint="eastAsia" w:ascii="仿宋" w:hAnsi="仿宋" w:eastAsia="仿宋" w:cs="仿宋"/>
          <w:color w:val="auto"/>
          <w:sz w:val="24"/>
          <w:szCs w:val="24"/>
        </w:rPr>
        <w:t>、供货及安装期限：</w:t>
      </w:r>
      <w:r>
        <w:rPr>
          <w:rFonts w:hint="eastAsia" w:ascii="仿宋" w:hAnsi="仿宋" w:eastAsia="仿宋" w:cs="仿宋"/>
          <w:bCs/>
          <w:color w:val="auto"/>
          <w:kern w:val="0"/>
          <w:sz w:val="24"/>
        </w:rPr>
        <w:t>合同签订生效后合同签订后</w:t>
      </w:r>
      <w:r>
        <w:rPr>
          <w:rFonts w:hint="eastAsia" w:ascii="仿宋" w:hAnsi="仿宋" w:eastAsia="仿宋" w:cs="仿宋"/>
          <w:bCs/>
          <w:color w:val="auto"/>
          <w:kern w:val="0"/>
          <w:sz w:val="24"/>
          <w:lang w:val="en-US" w:eastAsia="zh-CN"/>
        </w:rPr>
        <w:t>10</w:t>
      </w:r>
      <w:r>
        <w:rPr>
          <w:rFonts w:hint="eastAsia" w:ascii="仿宋" w:hAnsi="仿宋" w:eastAsia="仿宋" w:cs="仿宋"/>
          <w:bCs/>
          <w:color w:val="auto"/>
          <w:kern w:val="0"/>
          <w:sz w:val="24"/>
        </w:rPr>
        <w:t>天内全部货物到买方指定地点并安装调试完毕。</w:t>
      </w:r>
    </w:p>
    <w:p>
      <w:pPr>
        <w:pStyle w:val="724"/>
        <w:tabs>
          <w:tab w:val="left" w:pos="314"/>
        </w:tabs>
        <w:spacing w:line="360" w:lineRule="exact"/>
        <w:ind w:firstLine="480" w:firstLineChars="200"/>
        <w:jc w:val="left"/>
        <w:rPr>
          <w:rFonts w:ascii="仿宋" w:hAnsi="仿宋" w:eastAsia="仿宋" w:cs="仿宋"/>
          <w:color w:val="auto"/>
          <w:sz w:val="24"/>
          <w:szCs w:val="24"/>
          <w:lang w:eastAsia="zh-CN"/>
        </w:rPr>
      </w:pPr>
      <w:bookmarkStart w:id="14" w:name="bookmark6"/>
      <w:r>
        <w:rPr>
          <w:rFonts w:hint="eastAsia" w:ascii="仿宋" w:hAnsi="仿宋" w:eastAsia="仿宋" w:cs="仿宋"/>
          <w:color w:val="auto"/>
          <w:sz w:val="24"/>
          <w:szCs w:val="24"/>
        </w:rPr>
        <w:t>2</w:t>
      </w:r>
      <w:bookmarkEnd w:id="14"/>
      <w:r>
        <w:rPr>
          <w:rFonts w:hint="eastAsia" w:ascii="仿宋" w:hAnsi="仿宋" w:eastAsia="仿宋" w:cs="仿宋"/>
          <w:color w:val="auto"/>
          <w:sz w:val="24"/>
          <w:szCs w:val="24"/>
        </w:rPr>
        <w:t>、供货及安装地点：乌鲁木齐县南旅基地县人民医院院内</w:t>
      </w:r>
      <w:r>
        <w:rPr>
          <w:rFonts w:hint="eastAsia" w:ascii="仿宋" w:hAnsi="仿宋" w:eastAsia="仿宋" w:cs="仿宋"/>
          <w:color w:val="auto"/>
          <w:sz w:val="24"/>
          <w:szCs w:val="24"/>
          <w:lang w:eastAsia="zh-CN"/>
        </w:rPr>
        <w:t>。</w:t>
      </w:r>
    </w:p>
    <w:p>
      <w:pPr>
        <w:pStyle w:val="724"/>
        <w:tabs>
          <w:tab w:val="left" w:pos="319"/>
        </w:tabs>
        <w:spacing w:line="360" w:lineRule="exact"/>
        <w:ind w:firstLine="480" w:firstLineChars="200"/>
        <w:jc w:val="left"/>
        <w:rPr>
          <w:rFonts w:ascii="仿宋" w:hAnsi="仿宋" w:eastAsia="仿宋" w:cs="仿宋"/>
          <w:color w:val="auto"/>
          <w:sz w:val="24"/>
          <w:szCs w:val="24"/>
        </w:rPr>
      </w:pPr>
      <w:bookmarkStart w:id="15" w:name="bookmark7"/>
      <w:r>
        <w:rPr>
          <w:rFonts w:hint="eastAsia" w:ascii="仿宋" w:hAnsi="仿宋" w:eastAsia="仿宋" w:cs="仿宋"/>
          <w:color w:val="auto"/>
          <w:sz w:val="24"/>
          <w:szCs w:val="24"/>
        </w:rPr>
        <w:t>3</w:t>
      </w:r>
      <w:bookmarkEnd w:id="15"/>
      <w:r>
        <w:rPr>
          <w:rFonts w:hint="eastAsia" w:ascii="仿宋" w:hAnsi="仿宋" w:eastAsia="仿宋" w:cs="仿宋"/>
          <w:color w:val="auto"/>
          <w:sz w:val="24"/>
          <w:szCs w:val="24"/>
        </w:rPr>
        <w:t>、货物包装应符合国家标准，以保证货物在运输过程中不受损伤。货物在运输 或邮寄途中发生毁损或丢失，由乙方负责。在运输途中、交货前、卸货中发生人 身伤害或货物受损的，由乙方负责承担。</w:t>
      </w:r>
    </w:p>
    <w:p>
      <w:pPr>
        <w:pStyle w:val="724"/>
        <w:tabs>
          <w:tab w:val="left" w:pos="292"/>
        </w:tabs>
        <w:spacing w:line="360" w:lineRule="exact"/>
        <w:ind w:firstLine="480" w:firstLineChars="200"/>
        <w:jc w:val="left"/>
        <w:rPr>
          <w:rFonts w:ascii="仿宋" w:hAnsi="仿宋" w:eastAsia="仿宋" w:cs="仿宋"/>
          <w:color w:val="auto"/>
          <w:sz w:val="24"/>
          <w:szCs w:val="24"/>
        </w:rPr>
      </w:pPr>
      <w:bookmarkStart w:id="16" w:name="bookmark8"/>
      <w:r>
        <w:rPr>
          <w:rFonts w:hint="eastAsia" w:ascii="仿宋" w:hAnsi="仿宋" w:eastAsia="仿宋" w:cs="仿宋"/>
          <w:color w:val="auto"/>
          <w:sz w:val="24"/>
          <w:szCs w:val="24"/>
        </w:rPr>
        <w:t>4</w:t>
      </w:r>
      <w:bookmarkEnd w:id="16"/>
      <w:r>
        <w:rPr>
          <w:rFonts w:hint="eastAsia" w:ascii="仿宋" w:hAnsi="仿宋" w:eastAsia="仿宋" w:cs="仿宋"/>
          <w:color w:val="auto"/>
          <w:sz w:val="24"/>
          <w:szCs w:val="24"/>
        </w:rPr>
        <w:t>、货物到达后，甲乙双方均须在场并确认包装的完好性后，安装后由甲方验货。 并对货物进行清点验收，共同签字确认。如验收不合格，乙方应退货，预缴押金 的要全额退还，一切损失由乙方承担。</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第五条：本合同的有效组</w:t>
      </w:r>
      <w:r>
        <w:rPr>
          <w:rFonts w:hint="eastAsia" w:ascii="仿宋" w:hAnsi="仿宋" w:eastAsia="仿宋" w:cs="仿宋"/>
          <w:color w:val="auto"/>
          <w:sz w:val="24"/>
          <w:szCs w:val="24"/>
          <w:lang w:eastAsia="zh-CN"/>
        </w:rPr>
        <w:t>文</w:t>
      </w:r>
      <w:r>
        <w:rPr>
          <w:rFonts w:hint="eastAsia" w:ascii="仿宋" w:hAnsi="仿宋" w:eastAsia="仿宋" w:cs="仿宋"/>
          <w:color w:val="auto"/>
          <w:sz w:val="24"/>
          <w:szCs w:val="24"/>
        </w:rPr>
        <w:t>件:</w:t>
      </w:r>
    </w:p>
    <w:p>
      <w:pPr>
        <w:pStyle w:val="724"/>
        <w:numPr>
          <w:ilvl w:val="0"/>
          <w:numId w:val="13"/>
        </w:numPr>
        <w:spacing w:line="360" w:lineRule="exact"/>
        <w:ind w:firstLine="480" w:firstLineChars="200"/>
        <w:jc w:val="left"/>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w:t>
      </w:r>
    </w:p>
    <w:p>
      <w:pPr>
        <w:pStyle w:val="724"/>
        <w:numPr>
          <w:ilvl w:val="0"/>
          <w:numId w:val="13"/>
        </w:numPr>
        <w:spacing w:line="360" w:lineRule="exact"/>
        <w:ind w:firstLine="480" w:firstLineChars="200"/>
        <w:jc w:val="left"/>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中标通知书。</w:t>
      </w:r>
    </w:p>
    <w:p>
      <w:pPr>
        <w:pStyle w:val="724"/>
        <w:numPr>
          <w:ilvl w:val="0"/>
          <w:numId w:val="13"/>
        </w:numPr>
        <w:spacing w:line="360" w:lineRule="exact"/>
        <w:ind w:firstLine="480" w:firstLineChars="200"/>
        <w:jc w:val="left"/>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甲方出具的验货结算书。</w:t>
      </w:r>
    </w:p>
    <w:p>
      <w:pPr>
        <w:pStyle w:val="724"/>
        <w:numPr>
          <w:ilvl w:val="0"/>
          <w:numId w:val="13"/>
        </w:numPr>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乙方所提供的其他承诺。</w:t>
      </w:r>
    </w:p>
    <w:p>
      <w:pPr>
        <w:pStyle w:val="724"/>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第六条：质量保证和售后服务：</w:t>
      </w:r>
    </w:p>
    <w:p>
      <w:pPr>
        <w:pStyle w:val="724"/>
        <w:numPr>
          <w:ilvl w:val="0"/>
          <w:numId w:val="14"/>
        </w:numPr>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乙方应保证所提供的货物是全新、未使用过的原装合格</w:t>
      </w:r>
      <w:r>
        <w:rPr>
          <w:rFonts w:hint="eastAsia" w:ascii="仿宋" w:hAnsi="仿宋" w:eastAsia="仿宋" w:cs="仿宋"/>
          <w:color w:val="auto"/>
          <w:sz w:val="24"/>
          <w:szCs w:val="24"/>
        </w:rPr>
        <w:t>正品</w:t>
      </w:r>
      <w:r>
        <w:rPr>
          <w:rFonts w:hint="eastAsia" w:ascii="仿宋" w:hAnsi="仿宋" w:eastAsia="仿宋" w:cs="仿宋"/>
          <w:color w:val="auto"/>
          <w:sz w:val="24"/>
          <w:szCs w:val="24"/>
          <w:lang w:eastAsia="zh-CN"/>
        </w:rPr>
        <w:t>，并完全符合国家标准和</w:t>
      </w:r>
      <w:r>
        <w:rPr>
          <w:rFonts w:hint="eastAsia" w:ascii="仿宋" w:hAnsi="仿宋" w:eastAsia="仿宋" w:cs="仿宋"/>
          <w:color w:val="auto"/>
          <w:sz w:val="24"/>
          <w:szCs w:val="24"/>
        </w:rPr>
        <w:t>行业的相关标准。</w:t>
      </w:r>
    </w:p>
    <w:p>
      <w:pPr>
        <w:pStyle w:val="724"/>
        <w:numPr>
          <w:ilvl w:val="0"/>
          <w:numId w:val="14"/>
        </w:numPr>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lang w:eastAsia="zh-CN"/>
        </w:rPr>
        <w:t>保修期：</w:t>
      </w:r>
      <w:r>
        <w:rPr>
          <w:rFonts w:hint="eastAsia" w:ascii="仿宋" w:hAnsi="仿宋" w:eastAsia="仿宋" w:cs="仿宋"/>
          <w:bCs/>
          <w:color w:val="auto"/>
          <w:sz w:val="24"/>
          <w:szCs w:val="24"/>
        </w:rPr>
        <w:t>整机保修1年（自全套设备验收合格之日起计算）</w:t>
      </w:r>
      <w:r>
        <w:rPr>
          <w:rFonts w:hint="eastAsia" w:ascii="仿宋" w:hAnsi="仿宋" w:eastAsia="仿宋" w:cs="仿宋"/>
          <w:bCs/>
          <w:color w:val="auto"/>
          <w:sz w:val="24"/>
          <w:szCs w:val="24"/>
          <w:lang w:eastAsia="zh-CN"/>
        </w:rPr>
        <w:t>。</w:t>
      </w:r>
    </w:p>
    <w:p>
      <w:pPr>
        <w:pStyle w:val="724"/>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第七条：违约责任：</w:t>
      </w:r>
    </w:p>
    <w:p>
      <w:pPr>
        <w:pStyle w:val="724"/>
        <w:spacing w:line="360" w:lineRule="exact"/>
        <w:ind w:firstLine="480" w:firstLineChars="200"/>
        <w:rPr>
          <w:rFonts w:ascii="仿宋" w:hAnsi="仿宋" w:eastAsia="仿宋" w:cs="仿宋"/>
          <w:color w:val="auto"/>
          <w:sz w:val="24"/>
          <w:szCs w:val="24"/>
        </w:rPr>
      </w:pPr>
      <w:bookmarkStart w:id="17" w:name="bookmark9"/>
      <w:r>
        <w:rPr>
          <w:rFonts w:hint="eastAsia" w:ascii="仿宋" w:hAnsi="仿宋" w:eastAsia="仿宋" w:cs="仿宋"/>
          <w:color w:val="auto"/>
          <w:sz w:val="24"/>
          <w:szCs w:val="24"/>
        </w:rPr>
        <w:t>1</w:t>
      </w:r>
      <w:bookmarkEnd w:id="17"/>
      <w:r>
        <w:rPr>
          <w:rFonts w:hint="eastAsia" w:ascii="仿宋" w:hAnsi="仿宋" w:eastAsia="仿宋" w:cs="仿宋"/>
          <w:color w:val="auto"/>
          <w:sz w:val="24"/>
          <w:szCs w:val="24"/>
        </w:rPr>
        <w:t>、乙方不能按期按约交货或部分交货的，甲方有权不予支付乙方货款，</w:t>
      </w:r>
    </w:p>
    <w:p>
      <w:pPr>
        <w:pStyle w:val="724"/>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并有权解除合同，乙方并应向甲方偿付相当于不能交货部分货款金额的5%,具 体金额由釆购人最终确定。</w:t>
      </w:r>
    </w:p>
    <w:p>
      <w:pPr>
        <w:pStyle w:val="724"/>
        <w:spacing w:line="360" w:lineRule="exact"/>
        <w:ind w:firstLine="480" w:firstLineChars="200"/>
        <w:rPr>
          <w:rFonts w:ascii="仿宋" w:hAnsi="仿宋" w:eastAsia="仿宋" w:cs="仿宋"/>
          <w:color w:val="auto"/>
          <w:sz w:val="24"/>
          <w:szCs w:val="24"/>
        </w:rPr>
      </w:pPr>
      <w:bookmarkStart w:id="18" w:name="bookmark10"/>
      <w:r>
        <w:rPr>
          <w:rFonts w:hint="eastAsia" w:ascii="仿宋" w:hAnsi="仿宋" w:eastAsia="仿宋" w:cs="仿宋"/>
          <w:color w:val="auto"/>
          <w:sz w:val="24"/>
          <w:szCs w:val="24"/>
        </w:rPr>
        <w:t>2</w:t>
      </w:r>
      <w:bookmarkEnd w:id="18"/>
      <w:r>
        <w:rPr>
          <w:rFonts w:hint="eastAsia" w:ascii="仿宋" w:hAnsi="仿宋" w:eastAsia="仿宋" w:cs="仿宋"/>
          <w:color w:val="auto"/>
          <w:sz w:val="24"/>
          <w:szCs w:val="24"/>
        </w:rPr>
        <w:t>、乙方所提供货物品种、数量、质量不符合国家法律法规和本合同规定的，甲 方有权拒收，由乙方负责包换或退货，并承担由此而支付的实际费用。</w:t>
      </w:r>
    </w:p>
    <w:p>
      <w:pPr>
        <w:pStyle w:val="724"/>
        <w:spacing w:line="360" w:lineRule="exact"/>
        <w:ind w:firstLine="480" w:firstLineChars="200"/>
        <w:rPr>
          <w:rFonts w:ascii="仿宋" w:hAnsi="仿宋" w:eastAsia="仿宋" w:cs="仿宋"/>
          <w:color w:val="auto"/>
          <w:sz w:val="24"/>
          <w:szCs w:val="24"/>
        </w:rPr>
      </w:pPr>
      <w:bookmarkStart w:id="19" w:name="bookmark11"/>
      <w:r>
        <w:rPr>
          <w:rFonts w:hint="eastAsia" w:ascii="仿宋" w:hAnsi="仿宋" w:eastAsia="仿宋" w:cs="仿宋"/>
          <w:color w:val="auto"/>
          <w:sz w:val="24"/>
          <w:szCs w:val="24"/>
        </w:rPr>
        <w:t>3</w:t>
      </w:r>
      <w:bookmarkEnd w:id="19"/>
      <w:r>
        <w:rPr>
          <w:rFonts w:hint="eastAsia" w:ascii="仿宋" w:hAnsi="仿宋" w:eastAsia="仿宋" w:cs="仿宋"/>
          <w:color w:val="auto"/>
          <w:sz w:val="24"/>
          <w:szCs w:val="24"/>
        </w:rPr>
        <w:t>、乙方逾期交货的，按逾期缴货部分货款计算，向甲方偿付每日千分之五的违 约金，并承担甲方因此所受的损失费用。</w:t>
      </w:r>
    </w:p>
    <w:p>
      <w:pPr>
        <w:pStyle w:val="724"/>
        <w:spacing w:line="360" w:lineRule="exact"/>
        <w:ind w:firstLine="480" w:firstLineChars="200"/>
        <w:rPr>
          <w:rFonts w:ascii="仿宋" w:hAnsi="仿宋" w:eastAsia="仿宋" w:cs="仿宋"/>
          <w:color w:val="auto"/>
          <w:sz w:val="24"/>
          <w:szCs w:val="24"/>
        </w:rPr>
      </w:pPr>
      <w:bookmarkStart w:id="20" w:name="bookmark12"/>
      <w:r>
        <w:rPr>
          <w:rFonts w:hint="eastAsia" w:ascii="仿宋" w:hAnsi="仿宋" w:eastAsia="仿宋" w:cs="仿宋"/>
          <w:color w:val="auto"/>
          <w:sz w:val="24"/>
          <w:szCs w:val="24"/>
        </w:rPr>
        <w:t>4</w:t>
      </w:r>
      <w:bookmarkEnd w:id="20"/>
      <w:r>
        <w:rPr>
          <w:rFonts w:hint="eastAsia" w:ascii="仿宋" w:hAnsi="仿宋" w:eastAsia="仿宋" w:cs="仿宋"/>
          <w:color w:val="auto"/>
          <w:sz w:val="24"/>
          <w:szCs w:val="24"/>
        </w:rPr>
        <w:t>、乙方违反本合同相关约定的，除应当承担违约责任外，因乙方违约导致甲方 产生其他相关损失的，乙方应当赔偿甲方因此产生的经济损失。</w:t>
      </w:r>
    </w:p>
    <w:p>
      <w:pPr>
        <w:pStyle w:val="724"/>
        <w:spacing w:line="360" w:lineRule="exact"/>
        <w:ind w:firstLine="480" w:firstLineChars="200"/>
        <w:rPr>
          <w:rFonts w:ascii="仿宋" w:hAnsi="仿宋" w:eastAsia="仿宋" w:cs="仿宋"/>
          <w:color w:val="auto"/>
          <w:sz w:val="24"/>
          <w:szCs w:val="24"/>
        </w:rPr>
      </w:pPr>
      <w:bookmarkStart w:id="21" w:name="bookmark13"/>
      <w:r>
        <w:rPr>
          <w:rFonts w:hint="eastAsia" w:ascii="仿宋" w:hAnsi="仿宋" w:eastAsia="仿宋" w:cs="仿宋"/>
          <w:color w:val="auto"/>
          <w:sz w:val="24"/>
          <w:szCs w:val="24"/>
        </w:rPr>
        <w:t>5</w:t>
      </w:r>
      <w:bookmarkEnd w:id="21"/>
      <w:r>
        <w:rPr>
          <w:rFonts w:hint="eastAsia" w:ascii="仿宋" w:hAnsi="仿宋" w:eastAsia="仿宋" w:cs="仿宋"/>
          <w:color w:val="auto"/>
          <w:sz w:val="24"/>
          <w:szCs w:val="24"/>
        </w:rPr>
        <w:t>、甲方未按合同约定逾期付款的，应按照每日千分之五的比例向乙方偿付逾期 货款的违约金。</w:t>
      </w:r>
    </w:p>
    <w:p>
      <w:pPr>
        <w:pStyle w:val="724"/>
        <w:spacing w:line="360" w:lineRule="exact"/>
        <w:ind w:firstLine="480" w:firstLineChars="200"/>
        <w:rPr>
          <w:rFonts w:ascii="仿宋" w:hAnsi="仿宋" w:eastAsia="仿宋" w:cs="仿宋"/>
          <w:color w:val="auto"/>
          <w:sz w:val="24"/>
          <w:szCs w:val="24"/>
        </w:rPr>
      </w:pPr>
      <w:bookmarkStart w:id="22" w:name="bookmark14"/>
      <w:r>
        <w:rPr>
          <w:rFonts w:hint="eastAsia" w:ascii="仿宋" w:hAnsi="仿宋" w:eastAsia="仿宋" w:cs="仿宋"/>
          <w:color w:val="auto"/>
          <w:sz w:val="24"/>
          <w:szCs w:val="24"/>
        </w:rPr>
        <w:t>6</w:t>
      </w:r>
      <w:bookmarkEnd w:id="22"/>
      <w:r>
        <w:rPr>
          <w:rFonts w:hint="eastAsia" w:ascii="仿宋" w:hAnsi="仿宋" w:eastAsia="仿宋" w:cs="仿宋"/>
          <w:color w:val="auto"/>
          <w:sz w:val="24"/>
          <w:szCs w:val="24"/>
        </w:rPr>
        <w:t>、甲方违反本合同规定拒绝接货的，应当承担由此对乙方造成的损失。</w:t>
      </w:r>
    </w:p>
    <w:p>
      <w:pPr>
        <w:pStyle w:val="724"/>
        <w:spacing w:line="360" w:lineRule="exact"/>
        <w:ind w:firstLine="480" w:firstLineChars="200"/>
        <w:rPr>
          <w:rFonts w:ascii="仿宋" w:hAnsi="仿宋" w:eastAsia="仿宋" w:cs="仿宋"/>
          <w:color w:val="auto"/>
          <w:sz w:val="24"/>
          <w:szCs w:val="24"/>
        </w:rPr>
      </w:pPr>
      <w:bookmarkStart w:id="23" w:name="bookmark15"/>
      <w:r>
        <w:rPr>
          <w:rFonts w:hint="eastAsia" w:ascii="仿宋" w:hAnsi="仿宋" w:eastAsia="仿宋" w:cs="仿宋"/>
          <w:color w:val="auto"/>
          <w:sz w:val="24"/>
          <w:szCs w:val="24"/>
        </w:rPr>
        <w:t>7</w:t>
      </w:r>
      <w:bookmarkEnd w:id="23"/>
      <w:r>
        <w:rPr>
          <w:rFonts w:hint="eastAsia" w:ascii="仿宋" w:hAnsi="仿宋" w:eastAsia="仿宋" w:cs="仿宋"/>
          <w:color w:val="auto"/>
          <w:sz w:val="24"/>
          <w:szCs w:val="24"/>
        </w:rPr>
        <w:t>、双方必须严格执行《中华人民共和国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》的有关违约责任规定。</w:t>
      </w:r>
    </w:p>
    <w:p>
      <w:pPr>
        <w:pStyle w:val="724"/>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第八条：不可抗力</w:t>
      </w:r>
    </w:p>
    <w:p>
      <w:pPr>
        <w:pStyle w:val="724"/>
        <w:spacing w:line="360" w:lineRule="exact"/>
        <w:ind w:firstLine="480" w:firstLineChars="200"/>
        <w:rPr>
          <w:rFonts w:ascii="仿宋" w:hAnsi="仿宋" w:eastAsia="仿宋" w:cs="仿宋"/>
          <w:color w:val="auto"/>
          <w:sz w:val="24"/>
          <w:szCs w:val="24"/>
        </w:rPr>
      </w:pPr>
      <w:bookmarkStart w:id="24" w:name="bookmark16"/>
      <w:r>
        <w:rPr>
          <w:rFonts w:hint="eastAsia" w:ascii="仿宋" w:hAnsi="仿宋" w:eastAsia="仿宋" w:cs="仿宋"/>
          <w:color w:val="auto"/>
          <w:sz w:val="24"/>
          <w:szCs w:val="24"/>
        </w:rPr>
        <w:t>1</w:t>
      </w:r>
      <w:bookmarkEnd w:id="24"/>
      <w:r>
        <w:rPr>
          <w:rFonts w:hint="eastAsia" w:ascii="仿宋" w:hAnsi="仿宋" w:eastAsia="仿宋" w:cs="仿宋"/>
          <w:color w:val="auto"/>
          <w:sz w:val="24"/>
          <w:szCs w:val="24"/>
        </w:rPr>
        <w:t>、本合同生效后发生不可抗力的，发生不可抗力的一方应立即通知对方和乌鲁木齐县卫生健康委员会,并在不可抗力发生之日起五天内提供不可抗力的详情及有关证明文件送交对方和乌鲁木齐县卫生健康委员会。</w:t>
      </w:r>
    </w:p>
    <w:p>
      <w:pPr>
        <w:pStyle w:val="724"/>
        <w:spacing w:line="360" w:lineRule="exact"/>
        <w:ind w:firstLine="480" w:firstLineChars="200"/>
        <w:rPr>
          <w:rFonts w:ascii="仿宋" w:hAnsi="仿宋" w:eastAsia="仿宋" w:cs="仿宋"/>
          <w:color w:val="auto"/>
          <w:sz w:val="24"/>
          <w:szCs w:val="24"/>
        </w:rPr>
      </w:pPr>
      <w:bookmarkStart w:id="25" w:name="bookmark17"/>
      <w:r>
        <w:rPr>
          <w:rFonts w:hint="eastAsia" w:ascii="仿宋" w:hAnsi="仿宋" w:eastAsia="仿宋" w:cs="仿宋"/>
          <w:color w:val="auto"/>
          <w:sz w:val="24"/>
          <w:szCs w:val="24"/>
        </w:rPr>
        <w:t>2</w:t>
      </w:r>
      <w:bookmarkEnd w:id="25"/>
      <w:r>
        <w:rPr>
          <w:rFonts w:hint="eastAsia" w:ascii="仿宋" w:hAnsi="仿宋" w:eastAsia="仿宋" w:cs="仿宋"/>
          <w:color w:val="auto"/>
          <w:sz w:val="24"/>
          <w:szCs w:val="24"/>
        </w:rPr>
        <w:t>、发生不可抗力事件时，双方应协商以寻找一个合理的解决方法，并尽一切努力减轻不可抗力产生的后果。如不可抗力影响双方合同正常执行的，双方应友好 协商解决本合同是否继续履行或终止。</w:t>
      </w:r>
    </w:p>
    <w:p>
      <w:pPr>
        <w:pStyle w:val="724"/>
        <w:spacing w:line="360" w:lineRule="exact"/>
        <w:ind w:firstLine="480" w:firstLineChars="200"/>
        <w:rPr>
          <w:rFonts w:ascii="仿宋" w:hAnsi="仿宋" w:eastAsia="仿宋" w:cs="仿宋"/>
          <w:color w:val="auto"/>
          <w:sz w:val="24"/>
          <w:szCs w:val="24"/>
        </w:rPr>
      </w:pPr>
      <w:bookmarkStart w:id="26" w:name="bookmark18"/>
      <w:r>
        <w:rPr>
          <w:rFonts w:hint="eastAsia" w:ascii="仿宋" w:hAnsi="仿宋" w:eastAsia="仿宋" w:cs="仿宋"/>
          <w:color w:val="auto"/>
          <w:sz w:val="24"/>
          <w:szCs w:val="24"/>
        </w:rPr>
        <w:t>3</w:t>
      </w:r>
      <w:bookmarkEnd w:id="26"/>
      <w:r>
        <w:rPr>
          <w:rFonts w:hint="eastAsia" w:ascii="仿宋" w:hAnsi="仿宋" w:eastAsia="仿宋" w:cs="仿宋"/>
          <w:color w:val="auto"/>
          <w:sz w:val="24"/>
          <w:szCs w:val="24"/>
        </w:rPr>
        <w:t>、一方因不可抗力不能按本合同约定履行的，可以减轻或免除一方的违约责任，一方不能证明不能按本合同约定履行是因不可抗力的，应当承担本合同约定的违约和赔偿责任。</w:t>
      </w:r>
    </w:p>
    <w:p>
      <w:pPr>
        <w:pStyle w:val="724"/>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第九条：合同的解除和变更</w:t>
      </w:r>
    </w:p>
    <w:p>
      <w:pPr>
        <w:pStyle w:val="724"/>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当合同一方要求变更或解除合同时，在新协议未达成前，原合同</w:t>
      </w:r>
      <w:r>
        <w:rPr>
          <w:rFonts w:hint="eastAsia" w:ascii="仿宋" w:hAnsi="仿宋" w:eastAsia="仿宋" w:cs="仿宋"/>
          <w:color w:val="auto"/>
          <w:sz w:val="24"/>
          <w:szCs w:val="24"/>
          <w:lang w:eastAsia="zh-CN"/>
        </w:rPr>
        <w:t>仍然有效。要求</w:t>
      </w:r>
      <w:r>
        <w:rPr>
          <w:rFonts w:hint="eastAsia" w:ascii="仿宋" w:hAnsi="仿宋" w:eastAsia="仿宋" w:cs="仿宋"/>
          <w:color w:val="auto"/>
          <w:sz w:val="24"/>
          <w:szCs w:val="24"/>
        </w:rPr>
        <w:t xml:space="preserve"> 变更的一方应及时书面通知对方乌鲁木齐县卫生健康委员会，</w:t>
      </w:r>
      <w:r>
        <w:rPr>
          <w:rFonts w:hint="eastAsia" w:ascii="仿宋" w:hAnsi="仿宋" w:eastAsia="仿宋" w:cs="仿宋"/>
          <w:color w:val="auto"/>
          <w:sz w:val="24"/>
          <w:szCs w:val="24"/>
          <w:lang w:eastAsia="zh-CN"/>
        </w:rPr>
        <w:t>对方在接到通知</w:t>
      </w:r>
      <w:r>
        <w:rPr>
          <w:rFonts w:hint="eastAsia" w:ascii="仿宋" w:hAnsi="仿宋" w:eastAsia="仿宋" w:cs="仿宋"/>
          <w:color w:val="auto"/>
          <w:sz w:val="24"/>
          <w:szCs w:val="24"/>
        </w:rPr>
        <w:t>15日内书面给予答复，逾期未答复则视为已同意。</w:t>
      </w:r>
      <w:r>
        <w:rPr>
          <w:rFonts w:hint="eastAsia" w:ascii="仿宋" w:hAnsi="仿宋" w:eastAsia="仿宋" w:cs="仿宋"/>
          <w:color w:val="auto"/>
          <w:sz w:val="24"/>
          <w:szCs w:val="24"/>
          <w:lang w:eastAsia="zh-CN"/>
        </w:rPr>
        <w:t>双方达成协议的，按新协议执行</w:t>
      </w:r>
      <w:r>
        <w:rPr>
          <w:rFonts w:hint="eastAsia" w:ascii="仿宋" w:hAnsi="仿宋" w:eastAsia="仿宋" w:cs="仿宋"/>
          <w:color w:val="auto"/>
          <w:sz w:val="24"/>
          <w:szCs w:val="24"/>
        </w:rPr>
        <w:t>，并报乌鲁木齐县卫生健康委员会备案。</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第十条：争议解决方式</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甲乙双方在合同执行中发生争议，</w:t>
      </w:r>
      <w:r>
        <w:rPr>
          <w:rFonts w:hint="eastAsia" w:ascii="仿宋" w:hAnsi="仿宋" w:eastAsia="仿宋" w:cs="仿宋"/>
          <w:color w:val="auto"/>
          <w:sz w:val="24"/>
          <w:szCs w:val="24"/>
          <w:lang w:val="en-US" w:eastAsia="zh-CN"/>
        </w:rPr>
        <w:t>由</w:t>
      </w:r>
      <w:r>
        <w:rPr>
          <w:rFonts w:hint="eastAsia" w:ascii="仿宋" w:hAnsi="仿宋" w:eastAsia="仿宋" w:cs="仿宋"/>
          <w:color w:val="auto"/>
          <w:sz w:val="24"/>
          <w:szCs w:val="24"/>
        </w:rPr>
        <w:t>甲乙双方协商解决，</w:t>
      </w:r>
      <w:r>
        <w:rPr>
          <w:rFonts w:hint="eastAsia" w:ascii="仿宋" w:hAnsi="仿宋" w:eastAsia="仿宋" w:cs="仿宋"/>
          <w:color w:val="auto"/>
          <w:sz w:val="24"/>
          <w:szCs w:val="24"/>
          <w:lang w:eastAsia="zh-CN"/>
        </w:rPr>
        <w:t>协商</w:t>
      </w:r>
      <w:r>
        <w:rPr>
          <w:rFonts w:hint="eastAsia" w:ascii="仿宋" w:hAnsi="仿宋" w:eastAsia="仿宋" w:cs="仿宋"/>
          <w:color w:val="auto"/>
          <w:sz w:val="24"/>
          <w:szCs w:val="24"/>
        </w:rPr>
        <w:t>解决不了的，甲乙双方均</w:t>
      </w:r>
      <w:r>
        <w:rPr>
          <w:rFonts w:hint="eastAsia" w:ascii="仿宋" w:hAnsi="仿宋" w:eastAsia="仿宋" w:cs="仿宋"/>
          <w:color w:val="auto"/>
          <w:sz w:val="24"/>
          <w:szCs w:val="24"/>
          <w:lang w:eastAsia="zh-CN"/>
        </w:rPr>
        <w:t>有权</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乌鲁木齐</w:t>
      </w:r>
      <w:r>
        <w:rPr>
          <w:rFonts w:hint="eastAsia" w:ascii="仿宋" w:hAnsi="仿宋" w:eastAsia="仿宋" w:cs="仿宋"/>
          <w:color w:val="auto"/>
          <w:sz w:val="24"/>
          <w:szCs w:val="24"/>
        </w:rPr>
        <w:t>县卫生</w:t>
      </w:r>
      <w:r>
        <w:rPr>
          <w:rFonts w:hint="eastAsia" w:ascii="仿宋" w:hAnsi="仿宋" w:eastAsia="仿宋" w:cs="仿宋"/>
          <w:color w:val="auto"/>
          <w:sz w:val="24"/>
          <w:szCs w:val="24"/>
          <w:lang w:eastAsia="zh-CN"/>
        </w:rPr>
        <w:t>健康</w:t>
      </w:r>
      <w:r>
        <w:rPr>
          <w:rFonts w:hint="eastAsia" w:ascii="仿宋" w:hAnsi="仿宋" w:eastAsia="仿宋" w:cs="仿宋"/>
          <w:color w:val="auto"/>
          <w:sz w:val="24"/>
          <w:szCs w:val="24"/>
        </w:rPr>
        <w:t>委员会投诉或向合同签署所在地人民法院提起诉讼。</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第十一条：合同生效及其他</w:t>
      </w:r>
    </w:p>
    <w:p>
      <w:pPr>
        <w:pStyle w:val="724"/>
        <w:tabs>
          <w:tab w:val="left" w:pos="292"/>
        </w:tabs>
        <w:spacing w:line="360" w:lineRule="exact"/>
        <w:ind w:firstLine="480" w:firstLineChars="200"/>
        <w:jc w:val="left"/>
        <w:rPr>
          <w:rFonts w:ascii="仿宋" w:hAnsi="仿宋" w:eastAsia="仿宋" w:cs="仿宋"/>
          <w:color w:val="auto"/>
          <w:sz w:val="24"/>
          <w:szCs w:val="24"/>
        </w:rPr>
      </w:pPr>
      <w:bookmarkStart w:id="27" w:name="bookmark19"/>
      <w:r>
        <w:rPr>
          <w:rFonts w:hint="eastAsia" w:ascii="仿宋" w:hAnsi="仿宋" w:eastAsia="仿宋" w:cs="仿宋"/>
          <w:color w:val="auto"/>
          <w:sz w:val="24"/>
          <w:szCs w:val="24"/>
        </w:rPr>
        <w:t>1</w:t>
      </w:r>
      <w:bookmarkEnd w:id="27"/>
      <w:r>
        <w:rPr>
          <w:rFonts w:hint="eastAsia" w:ascii="仿宋" w:hAnsi="仿宋" w:eastAsia="仿宋" w:cs="仿宋"/>
          <w:color w:val="auto"/>
          <w:sz w:val="24"/>
          <w:szCs w:val="24"/>
        </w:rPr>
        <w:t>、本合同经甲乙双方盖章和代表签字日期，即为本合同生效日期。如双方盖章</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签字日期不一致时，以最后盖章签字方的盖章签字日期为合同的生效日期。</w:t>
      </w:r>
    </w:p>
    <w:p>
      <w:pPr>
        <w:pStyle w:val="724"/>
        <w:tabs>
          <w:tab w:val="left" w:pos="292"/>
        </w:tabs>
        <w:spacing w:line="360" w:lineRule="exact"/>
        <w:ind w:firstLine="480" w:firstLineChars="200"/>
        <w:jc w:val="left"/>
        <w:rPr>
          <w:rFonts w:ascii="仿宋" w:hAnsi="仿宋" w:eastAsia="仿宋" w:cs="仿宋"/>
          <w:color w:val="auto"/>
          <w:sz w:val="24"/>
          <w:szCs w:val="24"/>
        </w:rPr>
      </w:pPr>
      <w:bookmarkStart w:id="28" w:name="bookmark20"/>
      <w:r>
        <w:rPr>
          <w:rFonts w:hint="eastAsia" w:ascii="仿宋" w:hAnsi="仿宋" w:eastAsia="仿宋" w:cs="仿宋"/>
          <w:color w:val="auto"/>
          <w:sz w:val="24"/>
          <w:szCs w:val="24"/>
        </w:rPr>
        <w:t>2</w:t>
      </w:r>
      <w:bookmarkEnd w:id="28"/>
      <w:r>
        <w:rPr>
          <w:rFonts w:hint="eastAsia" w:ascii="仿宋" w:hAnsi="仿宋" w:eastAsia="仿宋" w:cs="仿宋"/>
          <w:color w:val="auto"/>
          <w:sz w:val="24"/>
          <w:szCs w:val="24"/>
        </w:rPr>
        <w:t>、本合同一式陆份，甲伍份，乙方一份，政府釆购办、招标代理公司各一套</w:t>
      </w:r>
    </w:p>
    <w:p>
      <w:pPr>
        <w:pStyle w:val="724"/>
        <w:tabs>
          <w:tab w:val="left" w:pos="292"/>
        </w:tabs>
        <w:spacing w:line="360" w:lineRule="exact"/>
        <w:ind w:firstLine="480" w:firstLineChars="200"/>
        <w:jc w:val="left"/>
        <w:rPr>
          <w:rFonts w:ascii="仿宋" w:hAnsi="仿宋" w:eastAsia="仿宋" w:cs="仿宋"/>
          <w:color w:val="auto"/>
          <w:sz w:val="24"/>
          <w:szCs w:val="24"/>
        </w:rPr>
      </w:pPr>
      <w:bookmarkStart w:id="29" w:name="bookmark21"/>
      <w:bookmarkEnd w:id="29"/>
      <w:r>
        <w:rPr>
          <w:rFonts w:hint="eastAsia" w:ascii="仿宋" w:hAnsi="仿宋" w:eastAsia="仿宋" w:cs="仿宋"/>
          <w:color w:val="auto"/>
          <w:sz w:val="24"/>
          <w:szCs w:val="24"/>
          <w:lang w:val="en-US" w:eastAsia="zh-CN"/>
        </w:rPr>
        <w:t>3、本合同的未尽事项</w:t>
      </w:r>
      <w:r>
        <w:rPr>
          <w:rFonts w:hint="eastAsia" w:ascii="仿宋" w:hAnsi="仿宋" w:eastAsia="仿宋" w:cs="仿宋"/>
          <w:color w:val="auto"/>
          <w:sz w:val="24"/>
          <w:szCs w:val="24"/>
        </w:rPr>
        <w:t>，必要时由甲乙双方另订补充协议，经甲乙双方盖章和双方</w:t>
      </w:r>
      <w:r>
        <w:rPr>
          <w:rFonts w:hint="eastAsia" w:ascii="仿宋" w:hAnsi="仿宋" w:eastAsia="仿宋" w:cs="仿宋"/>
          <w:color w:val="auto"/>
          <w:sz w:val="24"/>
          <w:szCs w:val="24"/>
          <w:lang w:eastAsia="zh-CN"/>
        </w:rPr>
        <w:t>授权代表签字后与本合同具有同等法律效力，补充协议必须交乌鲁木齐县卫生健康委员会备案。</w:t>
      </w:r>
    </w:p>
    <w:p>
      <w:pPr>
        <w:spacing w:line="360" w:lineRule="exact"/>
        <w:ind w:firstLine="480" w:firstLineChars="200"/>
        <w:rPr>
          <w:rFonts w:ascii="仿宋" w:hAnsi="仿宋" w:eastAsia="仿宋" w:cs="仿宋"/>
          <w:color w:val="auto"/>
          <w:sz w:val="24"/>
        </w:rPr>
      </w:pPr>
    </w:p>
    <w:p>
      <w:pPr>
        <w:pStyle w:val="724"/>
        <w:tabs>
          <w:tab w:val="left" w:pos="292"/>
        </w:tabs>
        <w:spacing w:line="360" w:lineRule="exact"/>
        <w:ind w:firstLine="480" w:firstLineChars="200"/>
        <w:jc w:val="left"/>
        <w:rPr>
          <w:rFonts w:hint="eastAsia" w:ascii="仿宋" w:hAnsi="仿宋" w:eastAsia="仿宋" w:cs="仿宋"/>
          <w:color w:val="auto"/>
          <w:sz w:val="24"/>
          <w:szCs w:val="24"/>
          <w:lang w:eastAsia="zh-CN"/>
        </w:rPr>
      </w:pPr>
    </w:p>
    <w:p>
      <w:pPr>
        <w:pStyle w:val="724"/>
        <w:tabs>
          <w:tab w:val="left" w:pos="292"/>
        </w:tabs>
        <w:spacing w:line="360" w:lineRule="exact"/>
        <w:ind w:firstLine="480" w:firstLineChars="200"/>
        <w:jc w:val="left"/>
        <w:rPr>
          <w:rFonts w:hint="eastAsia" w:ascii="仿宋" w:hAnsi="仿宋" w:eastAsia="仿宋" w:cs="仿宋"/>
          <w:color w:val="auto"/>
          <w:sz w:val="24"/>
          <w:szCs w:val="24"/>
          <w:lang w:eastAsia="zh-CN"/>
        </w:rPr>
      </w:pPr>
    </w:p>
    <w:p>
      <w:pPr>
        <w:pStyle w:val="724"/>
        <w:tabs>
          <w:tab w:val="left" w:pos="292"/>
        </w:tabs>
        <w:spacing w:line="360" w:lineRule="exact"/>
        <w:ind w:firstLine="480" w:firstLineChars="200"/>
        <w:jc w:val="lef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甲方:                                              乙方：</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 xml:space="preserve">法定代表人：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         法定代表人：</w:t>
      </w:r>
    </w:p>
    <w:p>
      <w:pPr>
        <w:pStyle w:val="724"/>
        <w:tabs>
          <w:tab w:val="left" w:pos="292"/>
        </w:tabs>
        <w:spacing w:line="360" w:lineRule="exact"/>
        <w:ind w:firstLine="480" w:firstLineChars="200"/>
        <w:jc w:val="left"/>
        <w:rPr>
          <w:rFonts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授权委托人：</w:t>
      </w:r>
    </w:p>
    <w:p>
      <w:pPr>
        <w:pStyle w:val="724"/>
        <w:tabs>
          <w:tab w:val="left" w:pos="292"/>
        </w:tabs>
        <w:spacing w:line="360" w:lineRule="exact"/>
        <w:ind w:firstLine="480" w:firstLineChars="200"/>
        <w:jc w:val="left"/>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电话：                                             电话：</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 地址：</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 xml:space="preserve">开户银行：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 开户银行：</w:t>
      </w: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 xml:space="preserve">开户行账号：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开户行账号：</w:t>
      </w:r>
    </w:p>
    <w:p>
      <w:pPr>
        <w:pStyle w:val="724"/>
        <w:tabs>
          <w:tab w:val="left" w:pos="292"/>
        </w:tabs>
        <w:spacing w:line="360" w:lineRule="exact"/>
        <w:ind w:firstLine="480" w:firstLineChars="200"/>
        <w:jc w:val="left"/>
        <w:rPr>
          <w:rFonts w:ascii="仿宋" w:hAnsi="仿宋" w:eastAsia="仿宋" w:cs="仿宋"/>
          <w:color w:val="auto"/>
          <w:sz w:val="24"/>
          <w:szCs w:val="24"/>
        </w:rPr>
      </w:pPr>
    </w:p>
    <w:p>
      <w:pPr>
        <w:pStyle w:val="724"/>
        <w:tabs>
          <w:tab w:val="left" w:pos="292"/>
        </w:tabs>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签订日期：   年   月   日                      签订日期：  年   月  日</w:t>
      </w:r>
    </w:p>
    <w:p>
      <w:pPr>
        <w:spacing w:line="360" w:lineRule="auto"/>
        <w:ind w:firstLine="480" w:firstLineChars="200"/>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Pr>
        <w:widowControl/>
        <w:jc w:val="left"/>
        <w:rPr>
          <w:rFonts w:ascii="仿宋" w:hAnsi="仿宋" w:eastAsia="仿宋" w:cs="仿宋"/>
          <w:b/>
          <w:bCs/>
          <w:color w:val="auto"/>
          <w:sz w:val="24"/>
          <w:shd w:val="clear" w:color="auto" w:fill="FFFFFF"/>
        </w:rPr>
      </w:pPr>
      <w:r>
        <w:rPr>
          <w:rFonts w:ascii="仿宋" w:hAnsi="仿宋" w:eastAsia="仿宋" w:cs="仿宋"/>
          <w:b/>
          <w:bCs/>
          <w:color w:val="auto"/>
          <w:sz w:val="24"/>
          <w:shd w:val="clear" w:color="auto" w:fill="FFFFFF"/>
        </w:rPr>
        <w:br w:type="page"/>
      </w:r>
    </w:p>
    <w:p>
      <w:pPr>
        <w:shd w:val="clear" w:color="auto" w:fill="FFFFFF"/>
        <w:spacing w:line="440" w:lineRule="exact"/>
        <w:ind w:firstLine="487" w:firstLineChars="202"/>
        <w:rPr>
          <w:rFonts w:ascii="仿宋" w:hAnsi="仿宋" w:eastAsia="仿宋" w:cs="仿宋"/>
          <w:b/>
          <w:bCs/>
          <w:color w:val="auto"/>
          <w:sz w:val="24"/>
          <w:shd w:val="clear" w:color="auto" w:fill="FFFFFF"/>
        </w:rPr>
      </w:pPr>
    </w:p>
    <w:p>
      <w:pPr>
        <w:pStyle w:val="326"/>
        <w:spacing w:beforeLines="50" w:afterLines="50" w:line="360" w:lineRule="auto"/>
        <w:jc w:val="center"/>
        <w:rPr>
          <w:rFonts w:ascii="仿宋" w:hAnsi="仿宋" w:eastAsia="仿宋" w:cs="仿宋"/>
          <w:b/>
          <w:color w:val="auto"/>
          <w:sz w:val="32"/>
          <w:szCs w:val="32"/>
        </w:rPr>
      </w:pPr>
      <w:bookmarkStart w:id="30" w:name="_Hlk519793124"/>
      <w:r>
        <w:rPr>
          <w:rFonts w:hint="eastAsia" w:ascii="仿宋" w:hAnsi="仿宋" w:eastAsia="仿宋" w:cs="仿宋"/>
          <w:b/>
          <w:color w:val="auto"/>
          <w:sz w:val="32"/>
          <w:szCs w:val="32"/>
        </w:rPr>
        <w:t>第四章  采购需求</w:t>
      </w:r>
      <w:bookmarkStart w:id="31" w:name="_Toc431728628"/>
      <w:bookmarkStart w:id="32" w:name="_Toc413685804"/>
      <w:bookmarkStart w:id="33" w:name="_Toc446517749"/>
    </w:p>
    <w:bookmarkEnd w:id="30"/>
    <w:bookmarkEnd w:id="31"/>
    <w:bookmarkEnd w:id="32"/>
    <w:bookmarkEnd w:id="33"/>
    <w:p>
      <w:pPr>
        <w:shd w:val="clear" w:color="auto" w:fill="FFFFFF"/>
        <w:spacing w:line="360" w:lineRule="auto"/>
        <w:ind w:firstLine="562" w:firstLineChars="200"/>
        <w:jc w:val="center"/>
        <w:rPr>
          <w:rFonts w:ascii="仿宋" w:hAnsi="仿宋" w:eastAsia="仿宋" w:cs="仿宋"/>
          <w:b/>
          <w:color w:val="auto"/>
          <w:kern w:val="0"/>
          <w:sz w:val="28"/>
          <w:szCs w:val="28"/>
        </w:rPr>
      </w:pPr>
      <w:r>
        <w:rPr>
          <w:rFonts w:hint="eastAsia" w:ascii="仿宋" w:hAnsi="仿宋" w:eastAsia="仿宋" w:cs="仿宋"/>
          <w:b/>
          <w:color w:val="auto"/>
          <w:kern w:val="0"/>
          <w:sz w:val="28"/>
          <w:szCs w:val="28"/>
        </w:rPr>
        <w:t>1</w:t>
      </w:r>
      <w:r>
        <w:rPr>
          <w:rFonts w:ascii="仿宋" w:hAnsi="仿宋" w:eastAsia="仿宋" w:cs="仿宋"/>
          <w:b/>
          <w:color w:val="auto"/>
          <w:kern w:val="0"/>
          <w:sz w:val="28"/>
          <w:szCs w:val="28"/>
        </w:rPr>
        <w:t>6</w:t>
      </w:r>
      <w:r>
        <w:rPr>
          <w:rFonts w:hint="eastAsia" w:ascii="仿宋" w:hAnsi="仿宋" w:eastAsia="仿宋" w:cs="仿宋"/>
          <w:b/>
          <w:color w:val="auto"/>
          <w:kern w:val="0"/>
          <w:sz w:val="28"/>
          <w:szCs w:val="28"/>
        </w:rPr>
        <w:t>排螺旋CT招标技术参数要求</w:t>
      </w:r>
    </w:p>
    <w:p>
      <w:pPr>
        <w:shd w:val="clear" w:color="auto" w:fill="FFFFFF"/>
        <w:spacing w:line="360" w:lineRule="auto"/>
        <w:ind w:firstLine="482" w:firstLineChars="200"/>
        <w:rPr>
          <w:rFonts w:eastAsia="微软雅黑"/>
          <w:b/>
          <w:bCs/>
          <w:color w:val="auto"/>
        </w:rPr>
      </w:pPr>
      <w:r>
        <w:rPr>
          <w:rFonts w:hint="eastAsia" w:ascii="仿宋" w:hAnsi="仿宋" w:eastAsia="仿宋" w:cs="仿宋"/>
          <w:b/>
          <w:bCs/>
          <w:color w:val="auto"/>
          <w:kern w:val="0"/>
          <w:sz w:val="24"/>
        </w:rPr>
        <w:t>（一）整体技术性能要求</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1.设备名称：1</w:t>
      </w:r>
      <w:r>
        <w:rPr>
          <w:rFonts w:ascii="仿宋" w:hAnsi="仿宋" w:eastAsia="仿宋" w:cs="仿宋"/>
          <w:bCs/>
          <w:color w:val="auto"/>
          <w:kern w:val="0"/>
          <w:sz w:val="24"/>
        </w:rPr>
        <w:t>6</w:t>
      </w:r>
      <w:r>
        <w:rPr>
          <w:rFonts w:hint="eastAsia" w:ascii="仿宋" w:hAnsi="仿宋" w:eastAsia="仿宋" w:cs="仿宋"/>
          <w:bCs/>
          <w:color w:val="auto"/>
          <w:kern w:val="0"/>
          <w:sz w:val="24"/>
        </w:rPr>
        <w:t>排32层螺旋CT</w:t>
      </w:r>
    </w:p>
    <w:p>
      <w:pPr>
        <w:shd w:val="clear" w:color="auto" w:fill="FFFFFF"/>
        <w:spacing w:line="360" w:lineRule="auto"/>
        <w:ind w:firstLine="480" w:firstLineChars="200"/>
        <w:rPr>
          <w:rFonts w:ascii="仿宋" w:hAnsi="仿宋" w:eastAsia="仿宋" w:cs="仿宋"/>
          <w:bCs/>
          <w:color w:val="auto"/>
          <w:kern w:val="0"/>
          <w:sz w:val="24"/>
        </w:rPr>
      </w:pPr>
      <w:r>
        <w:rPr>
          <w:rFonts w:ascii="仿宋" w:hAnsi="仿宋" w:eastAsia="仿宋" w:cs="仿宋"/>
          <w:bCs/>
          <w:color w:val="auto"/>
          <w:kern w:val="0"/>
          <w:sz w:val="24"/>
        </w:rPr>
        <w:t>2.</w:t>
      </w:r>
      <w:r>
        <w:rPr>
          <w:rFonts w:hint="eastAsia" w:ascii="仿宋" w:hAnsi="仿宋" w:eastAsia="仿宋" w:cs="仿宋"/>
          <w:bCs/>
          <w:color w:val="auto"/>
          <w:kern w:val="0"/>
          <w:sz w:val="24"/>
        </w:rPr>
        <w:t>设备数量：一套</w:t>
      </w:r>
    </w:p>
    <w:p>
      <w:pPr>
        <w:shd w:val="clear" w:color="auto" w:fill="FFFFFF"/>
        <w:spacing w:line="360" w:lineRule="auto"/>
        <w:ind w:firstLine="480" w:firstLineChars="200"/>
        <w:rPr>
          <w:rFonts w:ascii="仿宋" w:hAnsi="仿宋" w:eastAsia="仿宋" w:cs="仿宋"/>
          <w:bCs/>
          <w:color w:val="auto"/>
          <w:kern w:val="0"/>
          <w:sz w:val="24"/>
        </w:rPr>
      </w:pPr>
      <w:r>
        <w:rPr>
          <w:rFonts w:ascii="仿宋" w:hAnsi="仿宋" w:eastAsia="仿宋" w:cs="仿宋"/>
          <w:bCs/>
          <w:color w:val="auto"/>
          <w:kern w:val="0"/>
          <w:sz w:val="24"/>
        </w:rPr>
        <w:t>3.</w:t>
      </w:r>
      <w:r>
        <w:rPr>
          <w:rFonts w:hint="eastAsia" w:ascii="仿宋" w:hAnsi="仿宋" w:eastAsia="仿宋" w:cs="仿宋"/>
          <w:bCs/>
          <w:color w:val="auto"/>
          <w:kern w:val="0"/>
          <w:sz w:val="24"/>
        </w:rPr>
        <w:t>设备用途：全身扫描的临床应用和临床研究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w:t>
      </w:r>
      <w:r>
        <w:rPr>
          <w:rFonts w:ascii="仿宋" w:hAnsi="仿宋" w:eastAsia="仿宋" w:cs="仿宋"/>
          <w:bCs/>
          <w:color w:val="auto"/>
          <w:kern w:val="0"/>
          <w:sz w:val="24"/>
        </w:rPr>
        <w:t>4.</w:t>
      </w:r>
      <w:r>
        <w:rPr>
          <w:rFonts w:hint="eastAsia" w:ascii="仿宋" w:hAnsi="仿宋" w:eastAsia="仿宋" w:cs="仿宋"/>
          <w:bCs/>
          <w:color w:val="auto"/>
          <w:kern w:val="0"/>
          <w:sz w:val="24"/>
        </w:rPr>
        <w:t>整体要求：为确保产品性能稳定、图像质量可靠，要求为一线品牌CT，具备可隔室操作、稳定性高、图像高清、辐射剂量低等特点，能够完全胜任常规临床CT检查及疫情防控等所需的CT影像诊断，且为最新机型和最新的硬件、软件版本。必须提供产品真实原版英文技术白皮书用于查证（datasheet）。</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（二）详细技术规格</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2.1.扫描架系统</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2.1.1.</w:t>
      </w:r>
      <w:r>
        <w:rPr>
          <w:rFonts w:hint="eastAsia" w:ascii="仿宋" w:hAnsi="仿宋" w:eastAsia="仿宋" w:cs="仿宋"/>
          <w:bCs/>
          <w:color w:val="auto"/>
          <w:kern w:val="0"/>
          <w:sz w:val="24"/>
        </w:rPr>
        <w:tab/>
      </w:r>
      <w:r>
        <w:rPr>
          <w:rFonts w:hint="eastAsia" w:ascii="仿宋" w:hAnsi="仿宋" w:eastAsia="仿宋" w:cs="仿宋"/>
          <w:bCs/>
          <w:color w:val="auto"/>
          <w:kern w:val="0"/>
          <w:sz w:val="24"/>
        </w:rPr>
        <w:t>扫描架孔径：≥650mm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2.1.2.</w:t>
      </w:r>
      <w:r>
        <w:rPr>
          <w:rFonts w:hint="eastAsia" w:ascii="仿宋" w:hAnsi="仿宋" w:eastAsia="仿宋" w:cs="仿宋"/>
          <w:bCs/>
          <w:color w:val="auto"/>
          <w:kern w:val="0"/>
          <w:sz w:val="24"/>
        </w:rPr>
        <w:tab/>
      </w:r>
      <w:r>
        <w:rPr>
          <w:rFonts w:hint="eastAsia" w:ascii="仿宋" w:hAnsi="仿宋" w:eastAsia="仿宋" w:cs="仿宋"/>
          <w:bCs/>
          <w:color w:val="auto"/>
          <w:kern w:val="0"/>
          <w:sz w:val="24"/>
        </w:rPr>
        <w:t>数字倾角：≥±30°</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2.1.3.</w:t>
      </w:r>
      <w:r>
        <w:rPr>
          <w:rFonts w:hint="eastAsia" w:ascii="仿宋" w:hAnsi="仿宋" w:eastAsia="仿宋" w:cs="仿宋"/>
          <w:bCs/>
          <w:color w:val="auto"/>
          <w:kern w:val="0"/>
          <w:sz w:val="24"/>
        </w:rPr>
        <w:tab/>
      </w:r>
      <w:r>
        <w:rPr>
          <w:rFonts w:hint="eastAsia" w:ascii="仿宋" w:hAnsi="仿宋" w:eastAsia="仿宋" w:cs="仿宋"/>
          <w:bCs/>
          <w:color w:val="auto"/>
          <w:kern w:val="0"/>
          <w:sz w:val="24"/>
        </w:rPr>
        <w:t>驱动方式：钢带驱动</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2.1.4.</w:t>
      </w:r>
      <w:r>
        <w:rPr>
          <w:rFonts w:hint="eastAsia" w:ascii="仿宋" w:hAnsi="仿宋" w:eastAsia="仿宋" w:cs="仿宋"/>
          <w:bCs/>
          <w:color w:val="auto"/>
          <w:kern w:val="0"/>
          <w:sz w:val="24"/>
        </w:rPr>
        <w:tab/>
      </w:r>
      <w:r>
        <w:rPr>
          <w:rFonts w:hint="eastAsia" w:ascii="仿宋" w:hAnsi="仿宋" w:eastAsia="仿宋" w:cs="仿宋"/>
          <w:bCs/>
          <w:color w:val="auto"/>
          <w:kern w:val="0"/>
          <w:sz w:val="24"/>
        </w:rPr>
        <w:t>滑环类型：低压滑环</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2.1.5.</w:t>
      </w:r>
      <w:r>
        <w:rPr>
          <w:rFonts w:hint="eastAsia" w:ascii="仿宋" w:hAnsi="仿宋" w:eastAsia="仿宋" w:cs="仿宋"/>
          <w:bCs/>
          <w:color w:val="auto"/>
          <w:kern w:val="0"/>
          <w:sz w:val="24"/>
        </w:rPr>
        <w:tab/>
      </w:r>
      <w:r>
        <w:rPr>
          <w:rFonts w:hint="eastAsia" w:ascii="仿宋" w:hAnsi="仿宋" w:eastAsia="仿宋" w:cs="仿宋"/>
          <w:bCs/>
          <w:color w:val="auto"/>
          <w:kern w:val="0"/>
          <w:sz w:val="24"/>
        </w:rPr>
        <w:t>冷却方式：风冷</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2.1.6.</w:t>
      </w:r>
      <w:r>
        <w:rPr>
          <w:rFonts w:hint="eastAsia" w:ascii="仿宋" w:hAnsi="仿宋" w:eastAsia="仿宋" w:cs="仿宋"/>
          <w:bCs/>
          <w:color w:val="auto"/>
          <w:kern w:val="0"/>
          <w:sz w:val="24"/>
        </w:rPr>
        <w:tab/>
      </w:r>
      <w:r>
        <w:rPr>
          <w:rFonts w:hint="eastAsia" w:ascii="仿宋" w:hAnsi="仿宋" w:eastAsia="仿宋" w:cs="仿宋"/>
          <w:bCs/>
          <w:color w:val="auto"/>
          <w:kern w:val="0"/>
          <w:sz w:val="24"/>
        </w:rPr>
        <w:t>探测器类型：高速稀土陶瓷</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2.1.7.</w:t>
      </w:r>
      <w:r>
        <w:rPr>
          <w:rFonts w:hint="eastAsia" w:ascii="仿宋" w:hAnsi="仿宋" w:eastAsia="仿宋" w:cs="仿宋"/>
          <w:bCs/>
          <w:color w:val="auto"/>
          <w:kern w:val="0"/>
          <w:sz w:val="24"/>
        </w:rPr>
        <w:tab/>
      </w:r>
      <w:r>
        <w:rPr>
          <w:rFonts w:hint="eastAsia" w:ascii="仿宋" w:hAnsi="仿宋" w:eastAsia="仿宋" w:cs="仿宋"/>
          <w:bCs/>
          <w:color w:val="auto"/>
          <w:kern w:val="0"/>
          <w:sz w:val="24"/>
        </w:rPr>
        <w:t>探测器排数：≥16排</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2.1.8.</w:t>
      </w:r>
      <w:r>
        <w:rPr>
          <w:rFonts w:hint="eastAsia" w:ascii="仿宋" w:hAnsi="仿宋" w:eastAsia="仿宋" w:cs="仿宋"/>
          <w:bCs/>
          <w:color w:val="auto"/>
          <w:kern w:val="0"/>
          <w:sz w:val="24"/>
        </w:rPr>
        <w:tab/>
      </w:r>
      <w:r>
        <w:rPr>
          <w:rFonts w:hint="eastAsia" w:ascii="仿宋" w:hAnsi="仿宋" w:eastAsia="仿宋" w:cs="仿宋"/>
          <w:bCs/>
          <w:color w:val="auto"/>
          <w:kern w:val="0"/>
          <w:sz w:val="24"/>
        </w:rPr>
        <w:t>探测器数目（每排）：≥720个/每排</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2.1.9.</w:t>
      </w:r>
      <w:r>
        <w:rPr>
          <w:rFonts w:hint="eastAsia" w:ascii="仿宋" w:hAnsi="仿宋" w:eastAsia="仿宋" w:cs="仿宋"/>
          <w:bCs/>
          <w:color w:val="auto"/>
          <w:kern w:val="0"/>
          <w:sz w:val="24"/>
        </w:rPr>
        <w:tab/>
      </w:r>
      <w:r>
        <w:rPr>
          <w:rFonts w:hint="eastAsia" w:ascii="仿宋" w:hAnsi="仿宋" w:eastAsia="仿宋" w:cs="仿宋"/>
          <w:bCs/>
          <w:color w:val="auto"/>
          <w:kern w:val="0"/>
          <w:sz w:val="24"/>
        </w:rPr>
        <w:t>最薄采集层厚：≤0.8mm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*2.1.10.亚毫米采集覆盖范围≥12.8mm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2.1.11.焦点到探测器距离：≤900mm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2.1.12.焦点到ISO等中心距离：≤511mm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2.1.1</w:t>
      </w:r>
      <w:r>
        <w:rPr>
          <w:rFonts w:ascii="仿宋" w:hAnsi="仿宋" w:eastAsia="仿宋" w:cs="仿宋"/>
          <w:bCs/>
          <w:color w:val="auto"/>
          <w:kern w:val="0"/>
          <w:sz w:val="24"/>
        </w:rPr>
        <w:t>3</w:t>
      </w:r>
      <w:r>
        <w:rPr>
          <w:rFonts w:hint="eastAsia" w:ascii="仿宋" w:hAnsi="仿宋" w:eastAsia="仿宋" w:cs="仿宋"/>
          <w:bCs/>
          <w:color w:val="auto"/>
          <w:kern w:val="0"/>
          <w:sz w:val="24"/>
        </w:rPr>
        <w:t>.探测器数据采样率：≥1320views/圈</w:t>
      </w:r>
      <w:r>
        <w:rPr>
          <w:rFonts w:ascii="仿宋" w:hAnsi="仿宋" w:eastAsia="仿宋" w:cs="仿宋"/>
          <w:bCs/>
          <w:color w:val="auto"/>
          <w:kern w:val="0"/>
          <w:sz w:val="24"/>
        </w:rPr>
        <w:tab/>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2.2.扫描床系统</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.2.1</w:t>
      </w:r>
      <w:r>
        <w:rPr>
          <w:rFonts w:hint="eastAsia" w:ascii="仿宋" w:hAnsi="仿宋" w:eastAsia="仿宋" w:cs="仿宋"/>
          <w:bCs/>
          <w:color w:val="auto"/>
          <w:kern w:val="0"/>
          <w:sz w:val="24"/>
        </w:rPr>
        <w:t>.配备可升降床，不接受固定高度床</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2.2.</w:t>
      </w:r>
      <w:r>
        <w:rPr>
          <w:rFonts w:ascii="仿宋" w:hAnsi="仿宋" w:eastAsia="仿宋" w:cs="仿宋"/>
          <w:bCs/>
          <w:color w:val="auto"/>
          <w:kern w:val="0"/>
          <w:sz w:val="24"/>
        </w:rPr>
        <w:t>2</w:t>
      </w:r>
      <w:r>
        <w:rPr>
          <w:rFonts w:hint="eastAsia" w:ascii="仿宋" w:hAnsi="仿宋" w:eastAsia="仿宋" w:cs="仿宋"/>
          <w:bCs/>
          <w:color w:val="auto"/>
          <w:kern w:val="0"/>
          <w:sz w:val="24"/>
        </w:rPr>
        <w:t>.</w:t>
      </w:r>
      <w:r>
        <w:rPr>
          <w:rFonts w:hint="eastAsia" w:ascii="仿宋" w:hAnsi="仿宋" w:eastAsia="仿宋" w:cs="仿宋"/>
          <w:bCs/>
          <w:color w:val="auto"/>
          <w:kern w:val="0"/>
          <w:sz w:val="24"/>
        </w:rPr>
        <w:tab/>
      </w:r>
      <w:r>
        <w:rPr>
          <w:rFonts w:hint="eastAsia" w:ascii="仿宋" w:hAnsi="仿宋" w:eastAsia="仿宋" w:cs="仿宋"/>
          <w:bCs/>
          <w:color w:val="auto"/>
          <w:kern w:val="0"/>
          <w:sz w:val="24"/>
        </w:rPr>
        <w:t>床水平可扫描范围：≥1200mm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2.2.</w:t>
      </w:r>
      <w:r>
        <w:rPr>
          <w:rFonts w:ascii="仿宋" w:hAnsi="仿宋" w:eastAsia="仿宋" w:cs="仿宋"/>
          <w:bCs/>
          <w:color w:val="auto"/>
          <w:kern w:val="0"/>
          <w:sz w:val="24"/>
        </w:rPr>
        <w:t>3</w:t>
      </w:r>
      <w:r>
        <w:rPr>
          <w:rFonts w:hint="eastAsia" w:ascii="仿宋" w:hAnsi="仿宋" w:eastAsia="仿宋" w:cs="仿宋"/>
          <w:bCs/>
          <w:color w:val="auto"/>
          <w:kern w:val="0"/>
          <w:sz w:val="24"/>
        </w:rPr>
        <w:t>.</w:t>
      </w:r>
      <w:r>
        <w:rPr>
          <w:rFonts w:hint="eastAsia" w:ascii="仿宋" w:hAnsi="仿宋" w:eastAsia="仿宋" w:cs="仿宋"/>
          <w:bCs/>
          <w:color w:val="auto"/>
          <w:kern w:val="0"/>
          <w:sz w:val="24"/>
        </w:rPr>
        <w:tab/>
      </w:r>
      <w:r>
        <w:rPr>
          <w:rFonts w:hint="eastAsia" w:ascii="仿宋" w:hAnsi="仿宋" w:eastAsia="仿宋" w:cs="仿宋"/>
          <w:bCs/>
          <w:color w:val="auto"/>
          <w:kern w:val="0"/>
          <w:sz w:val="24"/>
        </w:rPr>
        <w:t>床水平移动最大速度：≥100mm/s</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2.2.</w:t>
      </w:r>
      <w:r>
        <w:rPr>
          <w:rFonts w:ascii="仿宋" w:hAnsi="仿宋" w:eastAsia="仿宋" w:cs="仿宋"/>
          <w:bCs/>
          <w:color w:val="auto"/>
          <w:kern w:val="0"/>
          <w:sz w:val="24"/>
        </w:rPr>
        <w:t>4</w:t>
      </w:r>
      <w:r>
        <w:rPr>
          <w:rFonts w:hint="eastAsia" w:ascii="仿宋" w:hAnsi="仿宋" w:eastAsia="仿宋" w:cs="仿宋"/>
          <w:bCs/>
          <w:color w:val="auto"/>
          <w:kern w:val="0"/>
          <w:sz w:val="24"/>
        </w:rPr>
        <w:t>.</w:t>
      </w:r>
      <w:r>
        <w:rPr>
          <w:rFonts w:hint="eastAsia" w:ascii="仿宋" w:hAnsi="仿宋" w:eastAsia="仿宋" w:cs="仿宋"/>
          <w:bCs/>
          <w:color w:val="auto"/>
          <w:kern w:val="0"/>
          <w:sz w:val="24"/>
        </w:rPr>
        <w:tab/>
      </w:r>
      <w:r>
        <w:rPr>
          <w:rFonts w:hint="eastAsia" w:ascii="仿宋" w:hAnsi="仿宋" w:eastAsia="仿宋" w:cs="仿宋"/>
          <w:bCs/>
          <w:color w:val="auto"/>
          <w:kern w:val="0"/>
          <w:sz w:val="24"/>
        </w:rPr>
        <w:t>病人床承重量：≥200kg</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2.2.</w:t>
      </w:r>
      <w:r>
        <w:rPr>
          <w:rFonts w:ascii="仿宋" w:hAnsi="仿宋" w:eastAsia="仿宋" w:cs="仿宋"/>
          <w:bCs/>
          <w:color w:val="auto"/>
          <w:kern w:val="0"/>
          <w:sz w:val="24"/>
        </w:rPr>
        <w:t>5</w:t>
      </w:r>
      <w:r>
        <w:rPr>
          <w:rFonts w:hint="eastAsia" w:ascii="仿宋" w:hAnsi="仿宋" w:eastAsia="仿宋" w:cs="仿宋"/>
          <w:bCs/>
          <w:color w:val="auto"/>
          <w:kern w:val="0"/>
          <w:sz w:val="24"/>
        </w:rPr>
        <w:t>.床垂直升降高度范围：430mm–960mm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2.2.</w:t>
      </w:r>
      <w:r>
        <w:rPr>
          <w:rFonts w:ascii="仿宋" w:hAnsi="仿宋" w:eastAsia="仿宋" w:cs="仿宋"/>
          <w:bCs/>
          <w:color w:val="auto"/>
          <w:kern w:val="0"/>
          <w:sz w:val="24"/>
        </w:rPr>
        <w:t>6</w:t>
      </w:r>
      <w:r>
        <w:rPr>
          <w:rFonts w:hint="eastAsia" w:ascii="仿宋" w:hAnsi="仿宋" w:eastAsia="仿宋" w:cs="仿宋"/>
          <w:bCs/>
          <w:color w:val="auto"/>
          <w:kern w:val="0"/>
          <w:sz w:val="24"/>
        </w:rPr>
        <w:t>.</w:t>
      </w:r>
      <w:r>
        <w:rPr>
          <w:rFonts w:hint="eastAsia" w:ascii="仿宋" w:hAnsi="仿宋" w:eastAsia="仿宋" w:cs="仿宋"/>
          <w:bCs/>
          <w:color w:val="auto"/>
          <w:kern w:val="0"/>
          <w:sz w:val="24"/>
        </w:rPr>
        <w:tab/>
      </w:r>
      <w:r>
        <w:rPr>
          <w:rFonts w:hint="eastAsia" w:ascii="仿宋" w:hAnsi="仿宋" w:eastAsia="仿宋" w:cs="仿宋"/>
          <w:bCs/>
          <w:color w:val="auto"/>
          <w:kern w:val="0"/>
          <w:sz w:val="24"/>
        </w:rPr>
        <w:t>床水平移动精度：≤±0.25mm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2.2.</w:t>
      </w:r>
      <w:r>
        <w:rPr>
          <w:rFonts w:ascii="仿宋" w:hAnsi="仿宋" w:eastAsia="仿宋" w:cs="仿宋"/>
          <w:bCs/>
          <w:color w:val="auto"/>
          <w:kern w:val="0"/>
          <w:sz w:val="24"/>
        </w:rPr>
        <w:t>7</w:t>
      </w:r>
      <w:r>
        <w:rPr>
          <w:rFonts w:hint="eastAsia" w:ascii="仿宋" w:hAnsi="仿宋" w:eastAsia="仿宋" w:cs="仿宋"/>
          <w:bCs/>
          <w:color w:val="auto"/>
          <w:kern w:val="0"/>
          <w:sz w:val="24"/>
        </w:rPr>
        <w:t>.</w:t>
      </w:r>
      <w:r>
        <w:rPr>
          <w:rFonts w:hint="eastAsia" w:ascii="仿宋" w:hAnsi="仿宋" w:eastAsia="仿宋" w:cs="仿宋"/>
          <w:bCs/>
          <w:color w:val="auto"/>
          <w:kern w:val="0"/>
          <w:sz w:val="24"/>
        </w:rPr>
        <w:tab/>
      </w:r>
      <w:r>
        <w:rPr>
          <w:rFonts w:hint="eastAsia" w:ascii="仿宋" w:hAnsi="仿宋" w:eastAsia="仿宋" w:cs="仿宋"/>
          <w:bCs/>
          <w:color w:val="auto"/>
          <w:kern w:val="0"/>
          <w:sz w:val="24"/>
        </w:rPr>
        <w:t>病人床附件：标准配套</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w:t>
      </w:r>
      <w:r>
        <w:rPr>
          <w:rFonts w:ascii="仿宋" w:hAnsi="仿宋" w:eastAsia="仿宋" w:cs="仿宋"/>
          <w:bCs/>
          <w:color w:val="auto"/>
          <w:kern w:val="0"/>
          <w:sz w:val="24"/>
        </w:rPr>
        <w:t>2.2.8</w:t>
      </w:r>
      <w:r>
        <w:rPr>
          <w:rFonts w:hint="eastAsia" w:ascii="仿宋" w:hAnsi="仿宋" w:eastAsia="仿宋" w:cs="仿宋"/>
          <w:bCs/>
          <w:color w:val="auto"/>
          <w:kern w:val="0"/>
          <w:sz w:val="24"/>
        </w:rPr>
        <w:t>.特殊情况时为避免医患交叉感染风险，支持完全的隔室操作，即医护人员无需进入检查间按归零键也可在操作间执行后续扫描，不接受改装设备</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2.3.X线球管及高压发生器</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*2.3.1.球管阳极热容量：≥3.5MHU</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2.3.2.</w:t>
      </w:r>
      <w:r>
        <w:rPr>
          <w:rFonts w:hint="eastAsia" w:ascii="仿宋" w:hAnsi="仿宋" w:eastAsia="仿宋" w:cs="仿宋"/>
          <w:bCs/>
          <w:color w:val="auto"/>
          <w:kern w:val="0"/>
          <w:sz w:val="24"/>
        </w:rPr>
        <w:tab/>
      </w:r>
      <w:r>
        <w:rPr>
          <w:rFonts w:hint="eastAsia" w:ascii="仿宋" w:hAnsi="仿宋" w:eastAsia="仿宋" w:cs="仿宋"/>
          <w:bCs/>
          <w:color w:val="auto"/>
          <w:kern w:val="0"/>
          <w:sz w:val="24"/>
        </w:rPr>
        <w:t>球管最大电流：≥230mA</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*2.3.3.具备5种可选电压：70,80,100,120,140KV</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*2.3.4.球管最小电压≤70KV</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2.3.5.球管最大电压：≥140KV</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*2.3.6.球管双焦点：小焦点：≤0.4×0.7mm，大焦点：≥0.6×1.3mm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 xml:space="preserve">2.3.7.发生器功率：≥等效功率37KW </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*2.3.8.CT主机、球管和探测器等重要部件均为同一品牌自主研发生产，提供检测报告附页等证明资料</w:t>
      </w:r>
      <w:r>
        <w:rPr>
          <w:rFonts w:ascii="仿宋" w:hAnsi="仿宋" w:eastAsia="仿宋" w:cs="仿宋"/>
          <w:bCs/>
          <w:color w:val="auto"/>
          <w:kern w:val="0"/>
          <w:sz w:val="24"/>
        </w:rPr>
        <w:tab/>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2.4.扫描参数和图像质量</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2.4.1.每圈扫描层数：≥32层/圈</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2</w:t>
      </w:r>
      <w:r>
        <w:rPr>
          <w:rFonts w:hint="eastAsia" w:ascii="仿宋" w:hAnsi="仿宋" w:eastAsia="仿宋" w:cs="仿宋"/>
          <w:bCs/>
          <w:color w:val="auto"/>
          <w:kern w:val="0"/>
          <w:sz w:val="24"/>
        </w:rPr>
        <w:t>.最短扫描时间：≤0.75s/360°</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3</w:t>
      </w:r>
      <w:r>
        <w:rPr>
          <w:rFonts w:hint="eastAsia" w:ascii="仿宋" w:hAnsi="仿宋" w:eastAsia="仿宋" w:cs="仿宋"/>
          <w:bCs/>
          <w:color w:val="auto"/>
          <w:kern w:val="0"/>
          <w:sz w:val="24"/>
        </w:rPr>
        <w:t>.</w:t>
      </w:r>
      <w:r>
        <w:rPr>
          <w:rFonts w:hint="eastAsia" w:ascii="仿宋" w:hAnsi="仿宋" w:eastAsia="仿宋" w:cs="仿宋"/>
          <w:bCs/>
          <w:color w:val="auto"/>
          <w:kern w:val="0"/>
          <w:sz w:val="24"/>
        </w:rPr>
        <w:tab/>
      </w:r>
      <w:r>
        <w:rPr>
          <w:rFonts w:hint="eastAsia" w:ascii="仿宋" w:hAnsi="仿宋" w:eastAsia="仿宋" w:cs="仿宋"/>
          <w:bCs/>
          <w:color w:val="auto"/>
          <w:kern w:val="0"/>
          <w:sz w:val="24"/>
        </w:rPr>
        <w:t>扫描采集视野：≥450mm</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4</w:t>
      </w:r>
      <w:r>
        <w:rPr>
          <w:rFonts w:hint="eastAsia" w:ascii="仿宋" w:hAnsi="仿宋" w:eastAsia="仿宋" w:cs="仿宋"/>
          <w:bCs/>
          <w:color w:val="auto"/>
          <w:kern w:val="0"/>
          <w:sz w:val="24"/>
        </w:rPr>
        <w:t>.</w:t>
      </w:r>
      <w:r>
        <w:rPr>
          <w:rFonts w:hint="eastAsia" w:ascii="仿宋" w:hAnsi="仿宋" w:eastAsia="仿宋" w:cs="仿宋"/>
          <w:bCs/>
          <w:color w:val="auto"/>
          <w:kern w:val="0"/>
          <w:sz w:val="24"/>
        </w:rPr>
        <w:tab/>
      </w:r>
      <w:r>
        <w:rPr>
          <w:rFonts w:hint="eastAsia" w:ascii="仿宋" w:hAnsi="仿宋" w:eastAsia="仿宋" w:cs="仿宋"/>
          <w:bCs/>
          <w:color w:val="auto"/>
          <w:kern w:val="0"/>
          <w:sz w:val="24"/>
        </w:rPr>
        <w:t>螺距连续可调：0.5-1.5，连接可调</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5</w:t>
      </w:r>
      <w:r>
        <w:rPr>
          <w:rFonts w:hint="eastAsia" w:ascii="仿宋" w:hAnsi="仿宋" w:eastAsia="仿宋" w:cs="仿宋"/>
          <w:bCs/>
          <w:color w:val="auto"/>
          <w:kern w:val="0"/>
          <w:sz w:val="24"/>
        </w:rPr>
        <w:t>.最快覆盖速度：≥100mm/s</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6</w:t>
      </w:r>
      <w:r>
        <w:rPr>
          <w:rFonts w:hint="eastAsia" w:ascii="仿宋" w:hAnsi="仿宋" w:eastAsia="仿宋" w:cs="仿宋"/>
          <w:bCs/>
          <w:color w:val="auto"/>
          <w:kern w:val="0"/>
          <w:sz w:val="24"/>
        </w:rPr>
        <w:t>.最大连续螺旋扫描：≥100秒</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7</w:t>
      </w:r>
      <w:r>
        <w:rPr>
          <w:rFonts w:hint="eastAsia" w:ascii="仿宋" w:hAnsi="仿宋" w:eastAsia="仿宋" w:cs="仿宋"/>
          <w:bCs/>
          <w:color w:val="auto"/>
          <w:kern w:val="0"/>
          <w:sz w:val="24"/>
        </w:rPr>
        <w:t>.空间分辨率：≥16.5 LP/cm@0%MTF</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8</w:t>
      </w:r>
      <w:r>
        <w:rPr>
          <w:rFonts w:hint="eastAsia" w:ascii="仿宋" w:hAnsi="仿宋" w:eastAsia="仿宋" w:cs="仿宋"/>
          <w:bCs/>
          <w:color w:val="auto"/>
          <w:kern w:val="0"/>
          <w:sz w:val="24"/>
        </w:rPr>
        <w:t>.密度分辨率：≤3mm@0.3%</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9</w:t>
      </w:r>
      <w:r>
        <w:rPr>
          <w:rFonts w:hint="eastAsia" w:ascii="仿宋" w:hAnsi="仿宋" w:eastAsia="仿宋" w:cs="仿宋"/>
          <w:bCs/>
          <w:color w:val="auto"/>
          <w:kern w:val="0"/>
          <w:sz w:val="24"/>
        </w:rPr>
        <w:t>.噪声：≤0.35%</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w:t>
      </w:r>
      <w:r>
        <w:rPr>
          <w:rFonts w:ascii="仿宋" w:hAnsi="仿宋" w:eastAsia="仿宋" w:cs="仿宋"/>
          <w:bCs/>
          <w:color w:val="auto"/>
          <w:kern w:val="0"/>
          <w:sz w:val="24"/>
        </w:rPr>
        <w:t>10</w:t>
      </w:r>
      <w:r>
        <w:rPr>
          <w:rFonts w:hint="eastAsia" w:ascii="仿宋" w:hAnsi="仿宋" w:eastAsia="仿宋" w:cs="仿宋"/>
          <w:bCs/>
          <w:color w:val="auto"/>
          <w:kern w:val="0"/>
          <w:sz w:val="24"/>
        </w:rPr>
        <w:t>.CT值范围：-1024到+3071</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2.4.1</w:t>
      </w:r>
      <w:r>
        <w:rPr>
          <w:rFonts w:ascii="仿宋" w:hAnsi="仿宋" w:eastAsia="仿宋" w:cs="仿宋"/>
          <w:bCs/>
          <w:color w:val="auto"/>
          <w:kern w:val="0"/>
          <w:sz w:val="24"/>
        </w:rPr>
        <w:t>1</w:t>
      </w:r>
      <w:r>
        <w:rPr>
          <w:rFonts w:hint="eastAsia" w:ascii="仿宋" w:hAnsi="仿宋" w:eastAsia="仿宋" w:cs="仿宋"/>
          <w:bCs/>
          <w:color w:val="auto"/>
          <w:kern w:val="0"/>
          <w:sz w:val="24"/>
        </w:rPr>
        <w:t>.标准图像重建矩阵：≥512×512</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2.4.1</w:t>
      </w:r>
      <w:r>
        <w:rPr>
          <w:rFonts w:ascii="仿宋" w:hAnsi="仿宋" w:eastAsia="仿宋" w:cs="仿宋"/>
          <w:bCs/>
          <w:color w:val="auto"/>
          <w:kern w:val="0"/>
          <w:sz w:val="24"/>
        </w:rPr>
        <w:t>2</w:t>
      </w:r>
      <w:r>
        <w:rPr>
          <w:rFonts w:hint="eastAsia" w:ascii="仿宋" w:hAnsi="仿宋" w:eastAsia="仿宋" w:cs="仿宋"/>
          <w:bCs/>
          <w:color w:val="auto"/>
          <w:kern w:val="0"/>
          <w:sz w:val="24"/>
        </w:rPr>
        <w:t>.高分辨率图像重建矩阵（非显示矩阵）：768×768</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*2.4.1</w:t>
      </w:r>
      <w:r>
        <w:rPr>
          <w:rFonts w:ascii="仿宋" w:hAnsi="仿宋" w:eastAsia="仿宋" w:cs="仿宋"/>
          <w:bCs/>
          <w:color w:val="auto"/>
          <w:kern w:val="0"/>
          <w:sz w:val="24"/>
        </w:rPr>
        <w:t>3</w:t>
      </w:r>
      <w:r>
        <w:rPr>
          <w:rFonts w:hint="eastAsia" w:ascii="仿宋" w:hAnsi="仿宋" w:eastAsia="仿宋" w:cs="仿宋"/>
          <w:bCs/>
          <w:color w:val="auto"/>
          <w:kern w:val="0"/>
          <w:sz w:val="24"/>
        </w:rPr>
        <w:t>.超高分辨率图像重建矩阵（非显示矩阵）： 1024×1024</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2.5.计算机系统</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2.5.1.CPU型号：投标人说明</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2.5.2.主频：≥2.8GHz</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2.5.3.内存：≥8.0GB</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2.5.4.硬盘容量：≥1TB</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2.5.5.图像显示矩阵：≥1024×1024</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 xml:space="preserve">2.5.6.图像重建速度：≥10幅/秒 </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2.5.7.存储系统：CD-RW</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2.5.8.外设存储系统：DVD刻录；容量≥4.7GB</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2.5.9.图像存储量：≥760,000幅(512矩阵不压缩图像)</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2.5.10.显示器：≥19″，液晶显示器，1280×1024</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2.5.11.图像格式和传输存储：标准DICOM 3.0</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2.5.12.DICOM Modality Worklist 患者列表软件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2.5.13.自动语言提示功能</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2.5.14.操作台可进行图像后处理功能，MPR/MIP/ 3D SSD/</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2.5.15.自动照相功能</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2.5.16.逻辑智能化操作界面</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2.6.临床应用软件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2.6.1.多平面重建MPR</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2.6.2.任意曲面重建CVMPR</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2.6.3.最大密度投影MIP</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2.6.4.最小密度投影MinP</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2.6.5.CT血管成像CTA</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2.6.6.容积处理软件VR</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2.6.7.自动窗宽窗位成像</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2.6.8.CT电影CINE</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2.6.9.虚拟内镜CTE</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2.6.10.动态扫描CT时间密度曲线</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2.6.11.容积伪影去除</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2.6.12.MAR去金属伪影软件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2.6.13.造影剂注射试验软件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w:t>
      </w:r>
      <w:r>
        <w:rPr>
          <w:rFonts w:ascii="仿宋" w:hAnsi="仿宋" w:eastAsia="仿宋" w:cs="仿宋"/>
          <w:bCs/>
          <w:color w:val="auto"/>
          <w:kern w:val="0"/>
          <w:sz w:val="24"/>
        </w:rPr>
        <w:t>14</w:t>
      </w:r>
      <w:r>
        <w:rPr>
          <w:rFonts w:hint="eastAsia" w:ascii="仿宋" w:hAnsi="仿宋" w:eastAsia="仿宋" w:cs="仿宋"/>
          <w:bCs/>
          <w:color w:val="auto"/>
          <w:kern w:val="0"/>
          <w:sz w:val="24"/>
        </w:rPr>
        <w:t>.实时自动造影剂跟踪</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w:t>
      </w:r>
      <w:r>
        <w:rPr>
          <w:rFonts w:ascii="仿宋" w:hAnsi="仿宋" w:eastAsia="仿宋" w:cs="仿宋"/>
          <w:bCs/>
          <w:color w:val="auto"/>
          <w:kern w:val="0"/>
          <w:sz w:val="24"/>
        </w:rPr>
        <w:t>5</w:t>
      </w:r>
      <w:r>
        <w:rPr>
          <w:rFonts w:hint="eastAsia" w:ascii="仿宋" w:hAnsi="仿宋" w:eastAsia="仿宋" w:cs="仿宋"/>
          <w:bCs/>
          <w:color w:val="auto"/>
          <w:kern w:val="0"/>
          <w:sz w:val="24"/>
        </w:rPr>
        <w:t>.自动mA选择功能</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w:t>
      </w:r>
      <w:r>
        <w:rPr>
          <w:rFonts w:ascii="仿宋" w:hAnsi="仿宋" w:eastAsia="仿宋" w:cs="仿宋"/>
          <w:bCs/>
          <w:color w:val="auto"/>
          <w:kern w:val="0"/>
          <w:sz w:val="24"/>
        </w:rPr>
        <w:t>6</w:t>
      </w:r>
      <w:r>
        <w:rPr>
          <w:rFonts w:hint="eastAsia" w:ascii="仿宋" w:hAnsi="仿宋" w:eastAsia="仿宋" w:cs="仿宋"/>
          <w:bCs/>
          <w:color w:val="auto"/>
          <w:kern w:val="0"/>
          <w:sz w:val="24"/>
        </w:rPr>
        <w:t>.动态mA调制功能</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w:t>
      </w:r>
      <w:r>
        <w:rPr>
          <w:rFonts w:ascii="仿宋" w:hAnsi="仿宋" w:eastAsia="仿宋" w:cs="仿宋"/>
          <w:bCs/>
          <w:color w:val="auto"/>
          <w:kern w:val="0"/>
          <w:sz w:val="24"/>
        </w:rPr>
        <w:t>7</w:t>
      </w:r>
      <w:r>
        <w:rPr>
          <w:rFonts w:hint="eastAsia" w:ascii="仿宋" w:hAnsi="仿宋" w:eastAsia="仿宋" w:cs="仿宋"/>
          <w:bCs/>
          <w:color w:val="auto"/>
          <w:kern w:val="0"/>
          <w:sz w:val="24"/>
        </w:rPr>
        <w:t>.婴幼儿扫描专用软件包</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w:t>
      </w:r>
      <w:r>
        <w:rPr>
          <w:rFonts w:ascii="仿宋" w:hAnsi="仿宋" w:eastAsia="仿宋" w:cs="仿宋"/>
          <w:bCs/>
          <w:color w:val="auto"/>
          <w:kern w:val="0"/>
          <w:sz w:val="24"/>
        </w:rPr>
        <w:t>8</w:t>
      </w:r>
      <w:r>
        <w:rPr>
          <w:rFonts w:hint="eastAsia" w:ascii="仿宋" w:hAnsi="仿宋" w:eastAsia="仿宋" w:cs="仿宋"/>
          <w:bCs/>
          <w:color w:val="auto"/>
          <w:kern w:val="0"/>
          <w:sz w:val="24"/>
        </w:rPr>
        <w:t>.全中文操作界面</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*2.6.1</w:t>
      </w:r>
      <w:r>
        <w:rPr>
          <w:rFonts w:ascii="仿宋" w:hAnsi="仿宋" w:eastAsia="仿宋" w:cs="仿宋"/>
          <w:bCs/>
          <w:color w:val="auto"/>
          <w:kern w:val="0"/>
          <w:sz w:val="24"/>
        </w:rPr>
        <w:t>9</w:t>
      </w:r>
      <w:r>
        <w:rPr>
          <w:rFonts w:hint="eastAsia" w:ascii="仿宋" w:hAnsi="仿宋" w:eastAsia="仿宋" w:cs="仿宋"/>
          <w:bCs/>
          <w:color w:val="auto"/>
          <w:kern w:val="0"/>
          <w:sz w:val="24"/>
        </w:rPr>
        <w:t>.肺结节分析评估软件</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2.7.低剂量平台</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2.7.1.在扫描、成像和整个工作流中进行实时剂量追踪，降低扫描剂量、减低噪声和去除伪影。</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2.7.2.提供自适应迭代滤波技术</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2.7.3.提供智能剂量调控，扫描环节降低剂量，按照患者不同部位、不同的投射角度自动调整最低扫描剂量，保证最佳的图像质量。</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2.7.4.在整个成像过程中实时剂量追踪。</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*2.7.5.提供最新最先进的微辐射影像重建技术，ASiR-V或Admire或iDose4或AIDR 3D平台</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2.7.6.提供投影空间和图像空间的双空间微辐射重建技术</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2.7.7.提供多模型影像重建技术</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2.7.8.微辐射迭代重建能降低剂量≥80%</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2.7.9.微辐射迭代重建50%剂量≥35%影像质量提升</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2.7.10.微辐射迭代重建100%剂量≥68%影像质量提升</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2.7.11.具备3D多频校正技术预防图像NPS(噪声功率谱)偏移</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2.7.12.具备无蜡像状伪影成像技术</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2.7.13.具备低光子无伪影成像技术</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2.8.高级后处理工作站</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w:t>
      </w:r>
      <w:r>
        <w:rPr>
          <w:rFonts w:ascii="仿宋" w:hAnsi="仿宋" w:eastAsia="仿宋" w:cs="仿宋"/>
          <w:bCs/>
          <w:color w:val="auto"/>
          <w:kern w:val="0"/>
          <w:sz w:val="24"/>
        </w:rPr>
        <w:t>1</w:t>
      </w:r>
      <w:r>
        <w:rPr>
          <w:rFonts w:hint="eastAsia" w:ascii="仿宋" w:hAnsi="仿宋" w:eastAsia="仿宋" w:cs="仿宋"/>
          <w:bCs/>
          <w:color w:val="auto"/>
          <w:kern w:val="0"/>
          <w:sz w:val="24"/>
        </w:rPr>
        <w:t>.采用以CT主机原厂高级后处理工作站打造的可支持远程诊断的云端高级后处理工作站，支持灵活定制与功能模块选配</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*2.8.2.提供1个独立使用账号，支持接通网络条件下该账号单设备多点调用</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*2.8.3.可支持标准DICOM数据格式的多台设备接入，兼容多品牌设备</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2.8.4.硬件要求</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2.8.4.1.Intel i5 CPU处理器（或同等性能CPU处理器）</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 xml:space="preserve">2.8.4.2.内存：≥32GB </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2.8.4.3.硬盘容量：≥256G 固态硬盘+2T机械硬盘</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2.8.4.4.显示器规格：≥24" 彩色液晶显示器(分辨率：1920×1080)</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2.8.4.5.具备DVD刻录数据存储系统</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2.8.4.6.具备无线网卡及双千兆有线网卡</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2.8.4.7.提供完整的DICOM 3.0协议，包括传输/接收、查询/检索，打印、存档，可与DICOM 3.0兼容的扫描机、工作站和打印机联网。</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w:t>
      </w:r>
      <w:r>
        <w:rPr>
          <w:rFonts w:ascii="仿宋" w:hAnsi="仿宋" w:eastAsia="仿宋" w:cs="仿宋"/>
          <w:bCs/>
          <w:color w:val="auto"/>
          <w:kern w:val="0"/>
          <w:sz w:val="24"/>
        </w:rPr>
        <w:t>5</w:t>
      </w:r>
      <w:r>
        <w:rPr>
          <w:rFonts w:hint="eastAsia" w:ascii="仿宋" w:hAnsi="仿宋" w:eastAsia="仿宋" w:cs="仿宋"/>
          <w:bCs/>
          <w:color w:val="auto"/>
          <w:kern w:val="0"/>
          <w:sz w:val="24"/>
        </w:rPr>
        <w:t>.常规临床应用功能</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2.8.5.1.多平面重建</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2.8.5.2.最大和最小密度投影</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2.8.5.3.容积仿真内窥镜</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2.8.5.4.容积三维重建</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2.8.6.高级后处理功能</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2.8.6.</w:t>
      </w:r>
      <w:r>
        <w:rPr>
          <w:rFonts w:ascii="仿宋" w:hAnsi="仿宋" w:eastAsia="仿宋" w:cs="仿宋"/>
          <w:bCs/>
          <w:color w:val="auto"/>
          <w:kern w:val="0"/>
          <w:sz w:val="24"/>
        </w:rPr>
        <w:t>1</w:t>
      </w:r>
      <w:r>
        <w:rPr>
          <w:rFonts w:hint="eastAsia" w:ascii="仿宋" w:hAnsi="仿宋" w:eastAsia="仿宋" w:cs="仿宋"/>
          <w:bCs/>
          <w:color w:val="auto"/>
          <w:kern w:val="0"/>
          <w:sz w:val="24"/>
        </w:rPr>
        <w:t>.零键点击功能（Zero-Click）</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2.8.6.2.CT肺癌筛查精密评估软件包（LNA）</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2.8.6.3.CT 高级血管分析软件包（AVA）</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2.8.6.4.CT全息心脏分析软件包（CCA）</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2.8.7.影像报告功能：可浏览图像并书写诊断报告，支持报告模板管理、定制。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2.8.8.使用条件：必须接入互联网使用上述功能</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2.8.9.服务说明：标准套餐包括上述硬件及一个账号的3年免费使用期，到期后可自行选择是否续费采用，不采用不产生额外费用，硬件不收回</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w:t>
      </w:r>
      <w:r>
        <w:rPr>
          <w:rFonts w:ascii="仿宋" w:hAnsi="仿宋" w:eastAsia="仿宋" w:cs="仿宋"/>
          <w:b/>
          <w:color w:val="auto"/>
          <w:kern w:val="0"/>
          <w:sz w:val="24"/>
        </w:rPr>
        <w:t>9</w:t>
      </w:r>
      <w:r>
        <w:rPr>
          <w:rFonts w:hint="eastAsia" w:ascii="仿宋" w:hAnsi="仿宋" w:eastAsia="仿宋" w:cs="仿宋"/>
          <w:b/>
          <w:color w:val="auto"/>
          <w:kern w:val="0"/>
          <w:sz w:val="24"/>
        </w:rPr>
        <w:t>.随机附件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9</w:t>
      </w:r>
      <w:r>
        <w:rPr>
          <w:rFonts w:hint="eastAsia" w:ascii="仿宋" w:hAnsi="仿宋" w:eastAsia="仿宋" w:cs="仿宋"/>
          <w:bCs/>
          <w:color w:val="auto"/>
          <w:kern w:val="0"/>
          <w:sz w:val="24"/>
        </w:rPr>
        <w:t>.1.头托、头垫、水模：标准配套</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9</w:t>
      </w:r>
      <w:r>
        <w:rPr>
          <w:rFonts w:hint="eastAsia" w:ascii="仿宋" w:hAnsi="仿宋" w:eastAsia="仿宋" w:cs="仿宋"/>
          <w:bCs/>
          <w:color w:val="auto"/>
          <w:kern w:val="0"/>
          <w:sz w:val="24"/>
        </w:rPr>
        <w:t>.2.主计算机用不间断电源：30分钟</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9</w:t>
      </w:r>
      <w:r>
        <w:rPr>
          <w:rFonts w:hint="eastAsia" w:ascii="仿宋" w:hAnsi="仿宋" w:eastAsia="仿宋" w:cs="仿宋"/>
          <w:bCs/>
          <w:color w:val="auto"/>
          <w:kern w:val="0"/>
          <w:sz w:val="24"/>
        </w:rPr>
        <w:t>.3.主控台工作桌</w:t>
      </w:r>
      <w:r>
        <w:rPr>
          <w:rFonts w:ascii="仿宋" w:hAnsi="仿宋" w:eastAsia="仿宋" w:cs="仿宋"/>
          <w:bCs/>
          <w:color w:val="auto"/>
          <w:kern w:val="0"/>
          <w:sz w:val="24"/>
        </w:rPr>
        <w:tab/>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w:t>
      </w:r>
      <w:r>
        <w:rPr>
          <w:rFonts w:ascii="仿宋" w:hAnsi="仿宋" w:eastAsia="仿宋" w:cs="仿宋"/>
          <w:b/>
          <w:color w:val="auto"/>
          <w:kern w:val="0"/>
          <w:sz w:val="24"/>
        </w:rPr>
        <w:t>10</w:t>
      </w:r>
      <w:r>
        <w:rPr>
          <w:rFonts w:hint="eastAsia" w:ascii="仿宋" w:hAnsi="仿宋" w:eastAsia="仿宋" w:cs="仿宋"/>
          <w:b/>
          <w:color w:val="auto"/>
          <w:kern w:val="0"/>
          <w:sz w:val="24"/>
        </w:rPr>
        <w:t>.售后服务和要求</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10</w:t>
      </w:r>
      <w:r>
        <w:rPr>
          <w:rFonts w:hint="eastAsia" w:ascii="仿宋" w:hAnsi="仿宋" w:eastAsia="仿宋" w:cs="仿宋"/>
          <w:bCs/>
          <w:color w:val="auto"/>
          <w:kern w:val="0"/>
          <w:sz w:val="24"/>
        </w:rPr>
        <w:t>.1.整机保修：1年</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10</w:t>
      </w:r>
      <w:r>
        <w:rPr>
          <w:rFonts w:hint="eastAsia" w:ascii="仿宋" w:hAnsi="仿宋" w:eastAsia="仿宋" w:cs="仿宋"/>
          <w:bCs/>
          <w:color w:val="auto"/>
          <w:kern w:val="0"/>
          <w:sz w:val="24"/>
        </w:rPr>
        <w:t>.2.提供完整的使用手册：安装时院方验收</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10</w:t>
      </w:r>
      <w:r>
        <w:rPr>
          <w:rFonts w:hint="eastAsia" w:ascii="仿宋" w:hAnsi="仿宋" w:eastAsia="仿宋" w:cs="仿宋"/>
          <w:bCs/>
          <w:color w:val="auto"/>
          <w:kern w:val="0"/>
          <w:sz w:val="24"/>
        </w:rPr>
        <w:t>.3.提供培训计划：现场临床培训一次</w:t>
      </w:r>
    </w:p>
    <w:p>
      <w:pPr>
        <w:shd w:val="clear" w:color="auto" w:fill="FFFFFF"/>
        <w:spacing w:line="360" w:lineRule="auto"/>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w:t>
      </w:r>
      <w:r>
        <w:rPr>
          <w:rFonts w:ascii="仿宋" w:hAnsi="仿宋" w:eastAsia="仿宋" w:cs="仿宋"/>
          <w:b/>
          <w:color w:val="auto"/>
          <w:kern w:val="0"/>
          <w:sz w:val="24"/>
        </w:rPr>
        <w:t>11</w:t>
      </w:r>
      <w:r>
        <w:rPr>
          <w:rFonts w:hint="eastAsia" w:ascii="仿宋" w:hAnsi="仿宋" w:eastAsia="仿宋" w:cs="仿宋"/>
          <w:b/>
          <w:color w:val="auto"/>
          <w:kern w:val="0"/>
          <w:sz w:val="24"/>
        </w:rPr>
        <w:t>.其他配套设备及服务</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11</w:t>
      </w:r>
      <w:r>
        <w:rPr>
          <w:rFonts w:hint="eastAsia" w:ascii="仿宋" w:hAnsi="仿宋" w:eastAsia="仿宋" w:cs="仿宋"/>
          <w:bCs/>
          <w:color w:val="auto"/>
          <w:kern w:val="0"/>
          <w:sz w:val="24"/>
        </w:rPr>
        <w:t>.</w:t>
      </w:r>
      <w:r>
        <w:rPr>
          <w:rFonts w:ascii="仿宋" w:hAnsi="仿宋" w:eastAsia="仿宋" w:cs="仿宋"/>
          <w:bCs/>
          <w:color w:val="auto"/>
          <w:kern w:val="0"/>
          <w:sz w:val="24"/>
        </w:rPr>
        <w:t>1</w:t>
      </w:r>
      <w:r>
        <w:rPr>
          <w:rFonts w:hint="eastAsia" w:ascii="仿宋" w:hAnsi="仿宋" w:eastAsia="仿宋" w:cs="仿宋"/>
          <w:bCs/>
          <w:color w:val="auto"/>
          <w:kern w:val="0"/>
          <w:sz w:val="24"/>
        </w:rPr>
        <w:t>.配置高性能激光胶片打印机一台：负责连接、调试到位</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.11.2</w:t>
      </w:r>
      <w:r>
        <w:rPr>
          <w:rFonts w:hint="eastAsia" w:ascii="仿宋" w:hAnsi="仿宋" w:eastAsia="仿宋" w:cs="仿宋"/>
          <w:bCs/>
          <w:color w:val="auto"/>
          <w:kern w:val="0"/>
          <w:sz w:val="24"/>
        </w:rPr>
        <w:t>.配置高性能病人监护仪：</w:t>
      </w:r>
      <w:r>
        <w:rPr>
          <w:rFonts w:ascii="仿宋" w:hAnsi="仿宋" w:eastAsia="仿宋" w:cs="仿宋"/>
          <w:bCs/>
          <w:color w:val="auto"/>
          <w:kern w:val="0"/>
          <w:sz w:val="24"/>
        </w:rPr>
        <w:t>20</w:t>
      </w:r>
      <w:r>
        <w:rPr>
          <w:rFonts w:hint="eastAsia" w:ascii="仿宋" w:hAnsi="仿宋" w:eastAsia="仿宋" w:cs="仿宋"/>
          <w:bCs/>
          <w:color w:val="auto"/>
          <w:kern w:val="0"/>
          <w:sz w:val="24"/>
        </w:rPr>
        <w:t>台，负责安装、培训到位</w:t>
      </w:r>
    </w:p>
    <w:p>
      <w:pPr>
        <w:shd w:val="clear" w:color="auto" w:fill="FFFFFF"/>
        <w:spacing w:line="360" w:lineRule="auto"/>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w:t>
      </w:r>
      <w:r>
        <w:rPr>
          <w:rFonts w:ascii="仿宋" w:hAnsi="仿宋" w:eastAsia="仿宋" w:cs="仿宋"/>
          <w:bCs/>
          <w:color w:val="auto"/>
          <w:kern w:val="0"/>
          <w:sz w:val="24"/>
        </w:rPr>
        <w:t>.11.3</w:t>
      </w:r>
      <w:r>
        <w:rPr>
          <w:rFonts w:hint="eastAsia" w:ascii="仿宋" w:hAnsi="仿宋" w:eastAsia="仿宋" w:cs="仿宋"/>
          <w:bCs/>
          <w:color w:val="auto"/>
          <w:kern w:val="0"/>
          <w:sz w:val="24"/>
        </w:rPr>
        <w:t>.中标方负责医院发热门诊CT机房改造：要求达到安装条件及防护验收标准</w:t>
      </w:r>
    </w:p>
    <w:p>
      <w:pPr>
        <w:pStyle w:val="45"/>
        <w:rPr>
          <w:rFonts w:ascii="仿宋" w:hAnsi="仿宋" w:eastAsia="仿宋" w:cs="仿宋"/>
          <w:b/>
          <w:color w:val="auto"/>
          <w:sz w:val="32"/>
          <w:szCs w:val="32"/>
        </w:rPr>
      </w:pPr>
    </w:p>
    <w:p>
      <w:pPr>
        <w:spacing w:line="400" w:lineRule="exact"/>
        <w:rPr>
          <w:rFonts w:ascii="仿宋" w:hAnsi="仿宋" w:eastAsia="仿宋" w:cs="仿宋"/>
          <w:b/>
          <w:color w:val="auto"/>
          <w:sz w:val="32"/>
          <w:szCs w:val="32"/>
        </w:rPr>
      </w:pPr>
    </w:p>
    <w:p>
      <w:pPr>
        <w:rPr>
          <w:rFonts w:ascii="仿宋" w:hAnsi="仿宋" w:eastAsia="仿宋" w:cs="仿宋"/>
          <w:b/>
          <w:color w:val="auto"/>
          <w:sz w:val="32"/>
          <w:szCs w:val="32"/>
        </w:rPr>
      </w:pPr>
      <w:r>
        <w:rPr>
          <w:rFonts w:hint="eastAsia" w:ascii="仿宋" w:hAnsi="仿宋" w:eastAsia="仿宋" w:cs="仿宋"/>
          <w:b/>
          <w:color w:val="auto"/>
          <w:sz w:val="32"/>
          <w:szCs w:val="32"/>
        </w:rPr>
        <w:br w:type="page"/>
      </w:r>
    </w:p>
    <w:p>
      <w:pPr>
        <w:pStyle w:val="326"/>
        <w:spacing w:beforeLines="50" w:afterLines="50"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第五章  投标文件格式</w:t>
      </w:r>
    </w:p>
    <w:p>
      <w:pPr>
        <w:pStyle w:val="326"/>
        <w:spacing w:line="360" w:lineRule="auto"/>
        <w:jc w:val="center"/>
        <w:rPr>
          <w:rFonts w:ascii="仿宋" w:hAnsi="仿宋" w:eastAsia="仿宋" w:cs="仿宋"/>
          <w:b/>
          <w:color w:val="auto"/>
          <w:szCs w:val="24"/>
        </w:rPr>
      </w:pPr>
    </w:p>
    <w:p>
      <w:pPr>
        <w:widowControl/>
        <w:jc w:val="left"/>
        <w:rPr>
          <w:rFonts w:ascii="仿宋" w:hAnsi="仿宋" w:eastAsia="仿宋" w:cs="仿宋"/>
          <w:b/>
          <w:color w:val="auto"/>
          <w:sz w:val="24"/>
        </w:rPr>
      </w:pPr>
      <w:r>
        <w:rPr>
          <w:rFonts w:hint="eastAsia" w:ascii="仿宋" w:hAnsi="仿宋" w:eastAsia="仿宋" w:cs="仿宋"/>
          <w:b/>
          <w:bCs/>
          <w:color w:val="auto"/>
          <w:kern w:val="0"/>
          <w:sz w:val="24"/>
        </w:rPr>
        <w:t xml:space="preserve">附件一 </w:t>
      </w:r>
      <w:r>
        <w:rPr>
          <w:rFonts w:hint="eastAsia" w:ascii="仿宋" w:hAnsi="仿宋" w:eastAsia="仿宋"/>
          <w:b/>
          <w:bCs/>
          <w:color w:val="auto"/>
          <w:kern w:val="0"/>
          <w:sz w:val="24"/>
        </w:rPr>
        <w:t>供应商营业执照或其他组织资格证书（复印件加盖公章）</w:t>
      </w:r>
    </w:p>
    <w:p>
      <w:pPr>
        <w:spacing w:line="460" w:lineRule="exact"/>
        <w:ind w:firstLine="480" w:firstLineChars="200"/>
        <w:rPr>
          <w:rFonts w:ascii="仿宋" w:hAnsi="仿宋" w:eastAsia="仿宋" w:cs="仿宋"/>
          <w:color w:val="auto"/>
          <w:kern w:val="0"/>
          <w:sz w:val="24"/>
        </w:rPr>
      </w:pPr>
    </w:p>
    <w:p>
      <w:pPr>
        <w:widowControl/>
        <w:spacing w:line="440" w:lineRule="exact"/>
        <w:jc w:val="left"/>
        <w:rPr>
          <w:rFonts w:ascii="仿宋" w:hAnsi="仿宋" w:eastAsia="仿宋" w:cs="仿宋"/>
          <w:bCs/>
          <w:color w:val="auto"/>
          <w:sz w:val="24"/>
        </w:rPr>
      </w:pPr>
    </w:p>
    <w:p>
      <w:pPr>
        <w:widowControl/>
        <w:jc w:val="left"/>
        <w:rPr>
          <w:rFonts w:ascii="仿宋" w:hAnsi="仿宋" w:eastAsia="仿宋" w:cs="仿宋"/>
          <w:b/>
          <w:bCs/>
          <w:color w:val="auto"/>
          <w:sz w:val="24"/>
        </w:rPr>
      </w:pPr>
      <w:r>
        <w:rPr>
          <w:rFonts w:hint="eastAsia" w:ascii="仿宋" w:hAnsi="仿宋" w:eastAsia="仿宋" w:cs="仿宋"/>
          <w:b/>
          <w:bCs/>
          <w:color w:val="auto"/>
          <w:sz w:val="24"/>
        </w:rPr>
        <w:br w:type="page"/>
      </w:r>
    </w:p>
    <w:p>
      <w:pPr>
        <w:shd w:val="clear" w:color="auto" w:fill="FFFFFF"/>
        <w:spacing w:line="440" w:lineRule="exact"/>
        <w:rPr>
          <w:rFonts w:ascii="仿宋" w:hAnsi="仿宋" w:eastAsia="仿宋"/>
          <w:bCs/>
          <w:color w:val="auto"/>
          <w:kern w:val="0"/>
          <w:sz w:val="24"/>
        </w:rPr>
      </w:pPr>
      <w:r>
        <w:rPr>
          <w:rFonts w:hint="eastAsia" w:ascii="仿宋" w:hAnsi="仿宋" w:eastAsia="仿宋"/>
          <w:b/>
          <w:bCs/>
          <w:color w:val="auto"/>
          <w:kern w:val="0"/>
          <w:sz w:val="24"/>
        </w:rPr>
        <w:t>附件二  法定代表人资格证明书及法定代表人授权委托书</w:t>
      </w:r>
    </w:p>
    <w:p>
      <w:pPr>
        <w:shd w:val="clear" w:color="auto" w:fill="FFFFFF"/>
        <w:spacing w:beforeLines="100" w:afterLines="100" w:line="440" w:lineRule="exact"/>
        <w:jc w:val="center"/>
        <w:rPr>
          <w:rFonts w:ascii="仿宋" w:hAnsi="仿宋" w:eastAsia="仿宋"/>
          <w:color w:val="auto"/>
          <w:sz w:val="28"/>
          <w:szCs w:val="28"/>
        </w:rPr>
      </w:pPr>
      <w:r>
        <w:rPr>
          <w:rFonts w:hint="eastAsia" w:ascii="仿宋" w:hAnsi="仿宋" w:eastAsia="仿宋"/>
          <w:b/>
          <w:bCs/>
          <w:color w:val="auto"/>
          <w:sz w:val="28"/>
          <w:szCs w:val="28"/>
        </w:rPr>
        <w:t>法定代表人资格证明书</w:t>
      </w:r>
    </w:p>
    <w:p>
      <w:pPr>
        <w:shd w:val="clear" w:color="auto" w:fill="FFFFFF"/>
        <w:spacing w:line="440" w:lineRule="exact"/>
        <w:rPr>
          <w:rFonts w:ascii="仿宋" w:hAnsi="仿宋" w:eastAsia="仿宋"/>
          <w:color w:val="auto"/>
          <w:sz w:val="24"/>
        </w:rPr>
      </w:pPr>
    </w:p>
    <w:p>
      <w:pPr>
        <w:pStyle w:val="716"/>
        <w:adjustRightInd w:val="0"/>
        <w:snapToGrid w:val="0"/>
        <w:spacing w:line="500" w:lineRule="exact"/>
        <w:rPr>
          <w:rFonts w:ascii="仿宋" w:hAnsi="仿宋" w:eastAsia="仿宋"/>
          <w:color w:val="auto"/>
          <w:sz w:val="24"/>
          <w:szCs w:val="24"/>
        </w:rPr>
      </w:pPr>
      <w:r>
        <w:rPr>
          <w:rFonts w:hint="eastAsia" w:ascii="仿宋" w:hAnsi="仿宋" w:eastAsia="仿宋"/>
          <w:color w:val="auto"/>
          <w:sz w:val="24"/>
          <w:szCs w:val="24"/>
          <w:u w:val="single"/>
        </w:rPr>
        <w:t>（代理机构名称）</w:t>
      </w:r>
      <w:r>
        <w:rPr>
          <w:rFonts w:hint="eastAsia" w:ascii="仿宋" w:hAnsi="仿宋" w:eastAsia="仿宋"/>
          <w:color w:val="auto"/>
          <w:sz w:val="24"/>
          <w:szCs w:val="24"/>
        </w:rPr>
        <w:t>：</w:t>
      </w:r>
    </w:p>
    <w:p>
      <w:pPr>
        <w:pStyle w:val="716"/>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兹有同志为公司法定代表人，代表我公司办理一切社会公务事宜，具有法律效力。 </w:t>
      </w:r>
    </w:p>
    <w:p>
      <w:pPr>
        <w:pStyle w:val="716"/>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 xml:space="preserve">附法定代表人基本情况： </w:t>
      </w:r>
    </w:p>
    <w:p>
      <w:pPr>
        <w:pStyle w:val="716"/>
        <w:adjustRightInd w:val="0"/>
        <w:snapToGrid w:val="0"/>
        <w:spacing w:line="500" w:lineRule="exact"/>
        <w:ind w:firstLine="480" w:firstLineChars="200"/>
        <w:rPr>
          <w:rFonts w:ascii="仿宋" w:hAnsi="仿宋" w:eastAsia="仿宋"/>
          <w:color w:val="auto"/>
          <w:sz w:val="24"/>
          <w:szCs w:val="24"/>
          <w:u w:val="single"/>
        </w:rPr>
      </w:pPr>
      <w:r>
        <w:rPr>
          <w:rFonts w:hint="eastAsia" w:ascii="仿宋" w:hAnsi="仿宋" w:eastAsia="仿宋"/>
          <w:color w:val="auto"/>
          <w:sz w:val="24"/>
          <w:szCs w:val="24"/>
        </w:rPr>
        <w:t>姓名：性别：年龄：职务：</w:t>
      </w:r>
    </w:p>
    <w:p>
      <w:pPr>
        <w:pStyle w:val="716"/>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身份证号码：</w:t>
      </w:r>
    </w:p>
    <w:p>
      <w:pPr>
        <w:pStyle w:val="716"/>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通讯地址：</w:t>
      </w:r>
    </w:p>
    <w:p>
      <w:pPr>
        <w:shd w:val="clear" w:color="auto" w:fill="FFFFFF"/>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电话号码：</w:t>
      </w:r>
    </w:p>
    <w:p>
      <w:pPr>
        <w:shd w:val="clear" w:color="auto" w:fill="FFFFFF"/>
        <w:spacing w:line="440" w:lineRule="exact"/>
        <w:rPr>
          <w:rFonts w:ascii="仿宋" w:hAnsi="仿宋" w:eastAsia="仿宋"/>
          <w:color w:val="auto"/>
          <w:szCs w:val="21"/>
        </w:rPr>
      </w:pPr>
      <w:r>
        <w:rPr>
          <w:rFonts w:ascii="仿宋" w:hAnsi="仿宋" w:eastAsia="仿宋"/>
          <w:color w:val="auto"/>
          <w:szCs w:val="21"/>
        </w:rPr>
        <w:pict>
          <v:shape id="文本框 4" o:spid="_x0000_s1026" o:spt="202" type="#_x0000_t202" style="position:absolute;left:0pt;margin-left:-19.6pt;margin-top:12.8pt;height:151.1pt;width:252.1pt;z-index:251661312;mso-width-relative:page;mso-height-relative:page;"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k2uPYE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olor w:val="auto"/>
          <w:szCs w:val="21"/>
        </w:rPr>
        <w:pict>
          <v:shape id="文本框 3" o:spid="_x0000_s1029" o:spt="202" type="#_x0000_t202" style="position:absolute;left:0pt;margin-left:249pt;margin-top:12.8pt;height:151.1pt;width:254pt;z-index:251662336;mso-width-relative:page;mso-height-relative:page;"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特此证明。</w:t>
      </w:r>
    </w:p>
    <w:p>
      <w:pPr>
        <w:shd w:val="clear" w:color="auto" w:fill="FFFFFF"/>
        <w:spacing w:line="440" w:lineRule="exact"/>
        <w:rPr>
          <w:rFonts w:ascii="仿宋" w:hAnsi="仿宋" w:eastAsia="仿宋"/>
          <w:color w:val="auto"/>
          <w:sz w:val="24"/>
        </w:rPr>
      </w:pPr>
    </w:p>
    <w:p>
      <w:pPr>
        <w:shd w:val="clear" w:color="auto" w:fill="FFFFFF"/>
        <w:spacing w:line="440" w:lineRule="exact"/>
        <w:rPr>
          <w:rFonts w:ascii="仿宋" w:hAnsi="仿宋" w:eastAsia="仿宋"/>
          <w:color w:val="auto"/>
          <w:sz w:val="24"/>
        </w:rPr>
      </w:pPr>
    </w:p>
    <w:p>
      <w:pPr>
        <w:pStyle w:val="303"/>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法定代表人（签字或签章）：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日期：  年  月  日</w:t>
      </w:r>
    </w:p>
    <w:p>
      <w:pPr>
        <w:shd w:val="clear" w:color="auto" w:fill="FFFFFF"/>
        <w:spacing w:line="500" w:lineRule="exact"/>
        <w:rPr>
          <w:rFonts w:ascii="仿宋" w:hAnsi="仿宋" w:eastAsia="仿宋"/>
          <w:b/>
          <w:bCs/>
          <w:color w:val="auto"/>
          <w:szCs w:val="21"/>
        </w:rPr>
      </w:pPr>
    </w:p>
    <w:p>
      <w:pPr>
        <w:shd w:val="clear" w:color="auto" w:fill="FFFFFF"/>
        <w:spacing w:line="440" w:lineRule="exact"/>
        <w:rPr>
          <w:rFonts w:ascii="仿宋" w:hAnsi="仿宋" w:eastAsia="仿宋"/>
          <w:bCs/>
          <w:color w:val="auto"/>
          <w:sz w:val="24"/>
        </w:rPr>
      </w:pPr>
      <w:r>
        <w:rPr>
          <w:rFonts w:hint="eastAsia" w:ascii="仿宋" w:hAnsi="仿宋" w:eastAsia="仿宋"/>
          <w:b/>
          <w:bCs/>
          <w:color w:val="auto"/>
          <w:sz w:val="18"/>
          <w:szCs w:val="18"/>
        </w:rPr>
        <w:br w:type="page"/>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法定代表人授权委托书</w:t>
      </w:r>
    </w:p>
    <w:p>
      <w:pPr>
        <w:shd w:val="clear" w:color="auto" w:fill="FFFFFF"/>
        <w:spacing w:line="440" w:lineRule="exact"/>
        <w:jc w:val="center"/>
        <w:rPr>
          <w:rFonts w:ascii="仿宋" w:hAnsi="仿宋" w:eastAsia="仿宋"/>
          <w:b/>
          <w:bCs/>
          <w:color w:val="auto"/>
          <w:sz w:val="24"/>
        </w:rPr>
      </w:pPr>
    </w:p>
    <w:p>
      <w:pPr>
        <w:shd w:val="clear" w:color="auto" w:fill="FFFFFF"/>
        <w:spacing w:line="440" w:lineRule="exact"/>
        <w:ind w:firstLine="453" w:firstLineChars="189"/>
        <w:rPr>
          <w:rFonts w:ascii="仿宋" w:hAnsi="仿宋" w:eastAsia="仿宋"/>
          <w:bCs/>
          <w:color w:val="auto"/>
          <w:sz w:val="24"/>
          <w:u w:val="single"/>
        </w:rPr>
      </w:pPr>
      <w:r>
        <w:rPr>
          <w:rFonts w:hint="eastAsia" w:ascii="仿宋" w:hAnsi="仿宋" w:eastAsia="仿宋"/>
          <w:bCs/>
          <w:color w:val="auto"/>
          <w:sz w:val="24"/>
        </w:rPr>
        <w:t>本授权委托书声明：我系</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的法定代表人，现授权委托</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w:t>
      </w:r>
      <w:r>
        <w:rPr>
          <w:rFonts w:hint="eastAsia" w:ascii="仿宋" w:hAnsi="仿宋" w:eastAsia="仿宋"/>
          <w:bCs/>
          <w:color w:val="auto"/>
          <w:sz w:val="24"/>
          <w:u w:val="single"/>
        </w:rPr>
        <w:t xml:space="preserve"> （授权代表姓名） </w:t>
      </w:r>
      <w:r>
        <w:rPr>
          <w:rFonts w:hint="eastAsia" w:ascii="仿宋" w:hAnsi="仿宋" w:eastAsia="仿宋"/>
          <w:bCs/>
          <w:color w:val="auto"/>
          <w:sz w:val="24"/>
        </w:rPr>
        <w:t xml:space="preserve"> 为我的代理人，以</w:t>
      </w:r>
      <w:r>
        <w:rPr>
          <w:rFonts w:hint="eastAsia" w:ascii="仿宋" w:hAnsi="仿宋" w:eastAsia="仿宋"/>
          <w:bCs/>
          <w:color w:val="auto"/>
          <w:sz w:val="24"/>
          <w:u w:val="single"/>
        </w:rPr>
        <w:t>（供应商名称）</w:t>
      </w:r>
      <w:r>
        <w:rPr>
          <w:rFonts w:hint="eastAsia" w:ascii="仿宋" w:hAnsi="仿宋" w:eastAsia="仿宋"/>
          <w:bCs/>
          <w:color w:val="auto"/>
          <w:sz w:val="24"/>
        </w:rPr>
        <w:t>的名义参加</w:t>
      </w:r>
      <w:r>
        <w:rPr>
          <w:rFonts w:hint="eastAsia" w:ascii="仿宋" w:hAnsi="仿宋" w:eastAsia="仿宋"/>
          <w:bCs/>
          <w:color w:val="auto"/>
          <w:sz w:val="24"/>
          <w:u w:val="single"/>
        </w:rPr>
        <w:t>（项目名称和项目编号）</w:t>
      </w:r>
      <w:r>
        <w:rPr>
          <w:rFonts w:hint="eastAsia" w:ascii="仿宋" w:hAnsi="仿宋" w:eastAsia="仿宋"/>
          <w:bCs/>
          <w:color w:val="auto"/>
          <w:sz w:val="24"/>
        </w:rPr>
        <w:t>招标项目的投标活动。代理人在参加整个招标投标活动所签署的一切文件和处理与之相关的一切事物，我均予承认。</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代理人：   性别：  年龄：</w:t>
      </w:r>
    </w:p>
    <w:p>
      <w:pPr>
        <w:shd w:val="clear" w:color="auto" w:fill="FFFFFF"/>
        <w:spacing w:line="440" w:lineRule="exact"/>
        <w:ind w:firstLine="480" w:firstLineChars="200"/>
        <w:rPr>
          <w:rFonts w:ascii="仿宋" w:hAnsi="仿宋" w:eastAsia="仿宋"/>
          <w:bCs/>
          <w:color w:val="auto"/>
          <w:sz w:val="24"/>
        </w:rPr>
      </w:pPr>
      <w:r>
        <w:rPr>
          <w:rFonts w:hint="eastAsia" w:ascii="仿宋" w:hAnsi="仿宋" w:eastAsia="仿宋"/>
          <w:bCs/>
          <w:color w:val="auto"/>
          <w:sz w:val="24"/>
        </w:rPr>
        <w:t xml:space="preserve">部  门：   职务：  </w:t>
      </w:r>
      <w:r>
        <w:rPr>
          <w:rFonts w:hint="eastAsia" w:ascii="仿宋" w:hAnsi="仿宋" w:eastAsia="仿宋"/>
          <w:color w:val="auto"/>
          <w:sz w:val="24"/>
        </w:rPr>
        <w:t>电话号码：</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代理期限：</w:t>
      </w:r>
    </w:p>
    <w:p>
      <w:pPr>
        <w:shd w:val="clear" w:color="auto" w:fill="FFFFFF"/>
        <w:spacing w:line="440" w:lineRule="exact"/>
        <w:rPr>
          <w:rFonts w:ascii="仿宋" w:hAnsi="仿宋" w:eastAsia="仿宋"/>
          <w:bCs/>
          <w:color w:val="auto"/>
          <w:szCs w:val="21"/>
        </w:rPr>
      </w:pPr>
      <w:r>
        <w:rPr>
          <w:rFonts w:ascii="仿宋" w:hAnsi="仿宋" w:eastAsia="仿宋"/>
          <w:bCs/>
          <w:color w:val="auto"/>
          <w:szCs w:val="21"/>
        </w:rPr>
        <w:pict>
          <v:shape id="文本框 2" o:spid="_x0000_s1028" o:spt="202" type="#_x0000_t202" style="position:absolute;left:0pt;margin-left:-7.3pt;margin-top:9.65pt;height:149.25pt;width:234pt;z-index:251659264;mso-width-relative:page;mso-height-relative:page;"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bCs/>
          <w:color w:val="auto"/>
          <w:szCs w:val="21"/>
        </w:rPr>
        <w:pict>
          <v:shape id="文本框 1" o:spid="_x0000_s1027" o:spt="202" type="#_x0000_t202" style="position:absolute;left:0pt;margin-left:244.7pt;margin-top:9.65pt;height:149.25pt;width:234pt;z-index:251660288;mso-width-relative:page;mso-height-relative:page;"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pStyle w:val="303"/>
        <w:shd w:val="clear" w:color="auto" w:fill="FFFFFF"/>
        <w:snapToGrid w:val="0"/>
        <w:spacing w:line="440" w:lineRule="exact"/>
        <w:ind w:firstLine="210"/>
        <w:rPr>
          <w:rFonts w:ascii="仿宋" w:hAnsi="仿宋" w:eastAsia="仿宋"/>
          <w:color w:val="auto"/>
          <w:sz w:val="21"/>
          <w:szCs w:val="21"/>
        </w:rPr>
      </w:pPr>
    </w:p>
    <w:p>
      <w:pPr>
        <w:pStyle w:val="303"/>
        <w:shd w:val="clear" w:color="auto" w:fill="FFFFFF"/>
        <w:snapToGrid w:val="0"/>
        <w:spacing w:line="440" w:lineRule="exact"/>
        <w:ind w:firstLine="210"/>
        <w:rPr>
          <w:rFonts w:ascii="仿宋" w:hAnsi="仿宋" w:eastAsia="仿宋"/>
          <w:color w:val="auto"/>
          <w:sz w:val="21"/>
          <w:szCs w:val="21"/>
        </w:rPr>
      </w:pPr>
    </w:p>
    <w:p>
      <w:pPr>
        <w:pStyle w:val="303"/>
        <w:shd w:val="clear" w:color="auto" w:fill="FFFFFF"/>
        <w:snapToGrid w:val="0"/>
        <w:spacing w:line="440" w:lineRule="exact"/>
        <w:ind w:firstLine="210"/>
        <w:rPr>
          <w:rFonts w:ascii="仿宋" w:hAnsi="仿宋" w:eastAsia="仿宋"/>
          <w:color w:val="auto"/>
          <w:sz w:val="21"/>
          <w:szCs w:val="21"/>
        </w:rPr>
      </w:pPr>
    </w:p>
    <w:p>
      <w:pPr>
        <w:pStyle w:val="303"/>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40" w:lineRule="exact"/>
        <w:jc w:val="left"/>
        <w:rPr>
          <w:rFonts w:ascii="仿宋" w:hAnsi="仿宋" w:eastAsia="仿宋"/>
          <w:color w:val="auto"/>
          <w:sz w:val="24"/>
        </w:rPr>
      </w:pPr>
      <w:r>
        <w:rPr>
          <w:rFonts w:hint="eastAsia" w:ascii="仿宋" w:hAnsi="仿宋" w:eastAsia="仿宋"/>
          <w:color w:val="auto"/>
          <w:sz w:val="24"/>
        </w:rPr>
        <w:t>日期：  年  月  日</w:t>
      </w:r>
    </w:p>
    <w:p>
      <w:pPr>
        <w:widowControl/>
        <w:spacing w:line="440" w:lineRule="exact"/>
        <w:jc w:val="left"/>
        <w:rPr>
          <w:rFonts w:ascii="仿宋" w:hAnsi="仿宋" w:eastAsia="仿宋"/>
          <w:color w:val="auto"/>
          <w:sz w:val="24"/>
        </w:rPr>
      </w:pPr>
    </w:p>
    <w:p>
      <w:pPr>
        <w:widowControl/>
        <w:spacing w:line="440" w:lineRule="exact"/>
        <w:jc w:val="left"/>
        <w:rPr>
          <w:rFonts w:ascii="仿宋" w:hAnsi="仿宋" w:eastAsia="仿宋"/>
          <w:color w:val="auto"/>
          <w:sz w:val="24"/>
        </w:rPr>
      </w:pPr>
    </w:p>
    <w:p>
      <w:pPr>
        <w:shd w:val="clear" w:color="auto" w:fill="FFFFFF"/>
        <w:spacing w:line="440" w:lineRule="exac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附件三  供应商2021年任意连续三个月依法纳税及缴纳社会保险相关证明资料</w:t>
      </w:r>
    </w:p>
    <w:p>
      <w:pPr>
        <w:shd w:val="clear" w:color="auto" w:fill="FFFFFF"/>
        <w:spacing w:line="440" w:lineRule="exact"/>
        <w:rPr>
          <w:rFonts w:ascii="仿宋" w:hAnsi="仿宋" w:eastAsia="仿宋"/>
          <w:bCs/>
          <w:color w:val="auto"/>
          <w:sz w:val="24"/>
        </w:rPr>
      </w:pPr>
      <w:r>
        <w:rPr>
          <w:rFonts w:hint="eastAsia" w:ascii="仿宋" w:hAnsi="仿宋" w:eastAsia="仿宋"/>
          <w:bCs/>
          <w:color w:val="auto"/>
          <w:sz w:val="24"/>
        </w:rPr>
        <w:t>此处请附：</w:t>
      </w:r>
    </w:p>
    <w:p>
      <w:pPr>
        <w:shd w:val="clear" w:color="auto" w:fill="FFFFFF"/>
        <w:spacing w:line="440" w:lineRule="exact"/>
        <w:rPr>
          <w:rFonts w:ascii="仿宋" w:hAnsi="仿宋" w:eastAsia="仿宋"/>
          <w:bCs/>
          <w:color w:val="auto"/>
          <w:sz w:val="24"/>
        </w:rPr>
      </w:pPr>
      <w:r>
        <w:rPr>
          <w:rFonts w:hint="eastAsia" w:ascii="仿宋" w:hAnsi="仿宋" w:eastAsia="仿宋"/>
          <w:bCs/>
          <w:color w:val="auto"/>
          <w:sz w:val="24"/>
        </w:rPr>
        <w:t xml:space="preserve"> ①供应商2021年任意连续三个月公司缴纳税收的凭据或证明材料复印件加盖公章；</w:t>
      </w:r>
    </w:p>
    <w:p>
      <w:pPr>
        <w:widowControl/>
        <w:spacing w:line="440" w:lineRule="exact"/>
        <w:jc w:val="left"/>
        <w:rPr>
          <w:rFonts w:ascii="仿宋" w:hAnsi="仿宋" w:eastAsia="仿宋"/>
          <w:bCs/>
          <w:color w:val="auto"/>
          <w:sz w:val="24"/>
        </w:rPr>
      </w:pPr>
      <w:r>
        <w:rPr>
          <w:rFonts w:hint="eastAsia" w:ascii="仿宋" w:hAnsi="仿宋" w:eastAsia="仿宋"/>
          <w:bCs/>
          <w:color w:val="auto"/>
          <w:sz w:val="24"/>
        </w:rPr>
        <w:t>②供应商2021年任意连续三个月公司缴纳社会保险的凭据或证明材料复印件加盖公章。</w:t>
      </w:r>
    </w:p>
    <w:p>
      <w:pPr>
        <w:widowControl/>
        <w:spacing w:line="440" w:lineRule="exact"/>
        <w:ind w:firstLine="1320" w:firstLineChars="550"/>
        <w:jc w:val="left"/>
        <w:rPr>
          <w:rFonts w:ascii="仿宋" w:hAnsi="仿宋" w:eastAsia="仿宋"/>
          <w:bCs/>
          <w:color w:val="auto"/>
          <w:sz w:val="24"/>
        </w:rPr>
      </w:pPr>
    </w:p>
    <w:p>
      <w:pPr>
        <w:widowControl/>
        <w:spacing w:line="440" w:lineRule="exact"/>
        <w:jc w:val="left"/>
        <w:rPr>
          <w:rFonts w:ascii="仿宋" w:hAnsi="仿宋" w:eastAsia="仿宋"/>
          <w:b/>
          <w:color w:val="auto"/>
          <w:kern w:val="0"/>
          <w:sz w:val="24"/>
          <w:szCs w:val="22"/>
        </w:rPr>
      </w:pPr>
      <w:r>
        <w:rPr>
          <w:rFonts w:ascii="仿宋" w:hAnsi="仿宋" w:eastAsia="仿宋"/>
          <w:b/>
          <w:bCs/>
          <w:color w:val="auto"/>
          <w:kern w:val="0"/>
          <w:sz w:val="24"/>
        </w:rPr>
        <w:br w:type="page"/>
      </w:r>
      <w:r>
        <w:rPr>
          <w:rFonts w:hint="eastAsia" w:ascii="仿宋" w:hAnsi="仿宋" w:eastAsia="仿宋"/>
          <w:b/>
          <w:bCs/>
          <w:color w:val="auto"/>
          <w:kern w:val="0"/>
          <w:sz w:val="24"/>
        </w:rPr>
        <w:t>附件四  供应商</w:t>
      </w:r>
      <w:r>
        <w:rPr>
          <w:rFonts w:hint="eastAsia" w:ascii="仿宋" w:hAnsi="仿宋" w:eastAsia="仿宋"/>
          <w:b/>
          <w:color w:val="auto"/>
          <w:kern w:val="0"/>
          <w:sz w:val="24"/>
          <w:szCs w:val="22"/>
        </w:rPr>
        <w:t>经审计的</w:t>
      </w:r>
      <w:r>
        <w:rPr>
          <w:rFonts w:ascii="仿宋" w:hAnsi="仿宋" w:eastAsia="仿宋"/>
          <w:b/>
          <w:color w:val="auto"/>
          <w:kern w:val="0"/>
          <w:sz w:val="24"/>
          <w:szCs w:val="22"/>
        </w:rPr>
        <w:t>2020</w:t>
      </w:r>
      <w:r>
        <w:rPr>
          <w:rFonts w:hint="eastAsia" w:ascii="仿宋" w:hAnsi="仿宋" w:eastAsia="仿宋"/>
          <w:b/>
          <w:color w:val="auto"/>
          <w:kern w:val="0"/>
          <w:sz w:val="24"/>
          <w:szCs w:val="22"/>
        </w:rPr>
        <w:t>年度的财务报告复印件（投标单位成立不满一年的不需提供）</w:t>
      </w:r>
    </w:p>
    <w:p>
      <w:pPr>
        <w:widowControl/>
        <w:spacing w:line="440" w:lineRule="exact"/>
        <w:jc w:val="left"/>
        <w:rPr>
          <w:rFonts w:ascii="仿宋" w:hAnsi="仿宋" w:eastAsia="仿宋"/>
          <w:b/>
          <w:color w:val="auto"/>
          <w:kern w:val="0"/>
          <w:sz w:val="24"/>
          <w:szCs w:val="22"/>
        </w:rPr>
      </w:pPr>
    </w:p>
    <w:p>
      <w:pPr>
        <w:shd w:val="clear" w:color="auto" w:fill="FFFFFF"/>
        <w:spacing w:line="440" w:lineRule="exac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附件五  供应商参加政府采购活动前3年内在经营活动中没有重大违法记录的书面声明</w:t>
      </w:r>
    </w:p>
    <w:p>
      <w:pPr>
        <w:shd w:val="clear" w:color="auto" w:fill="FFFFFF"/>
        <w:spacing w:beforeLines="100" w:afterLines="100" w:line="440" w:lineRule="exact"/>
        <w:jc w:val="center"/>
        <w:rPr>
          <w:rFonts w:ascii="仿宋" w:hAnsi="仿宋" w:eastAsia="仿宋"/>
          <w:color w:val="auto"/>
          <w:sz w:val="28"/>
          <w:szCs w:val="28"/>
        </w:rPr>
      </w:pPr>
      <w:r>
        <w:rPr>
          <w:rFonts w:hint="eastAsia" w:ascii="仿宋" w:hAnsi="仿宋" w:eastAsia="仿宋"/>
          <w:b/>
          <w:bCs/>
          <w:color w:val="auto"/>
          <w:sz w:val="28"/>
          <w:szCs w:val="28"/>
        </w:rPr>
        <w:t>无重大违法记录声明书</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致：（采购人）</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ind w:firstLine="480" w:firstLineChars="200"/>
        <w:rPr>
          <w:rFonts w:ascii="仿宋" w:hAnsi="仿宋" w:eastAsia="仿宋"/>
          <w:color w:val="auto"/>
          <w:sz w:val="24"/>
        </w:rPr>
      </w:pPr>
      <w:r>
        <w:rPr>
          <w:rFonts w:hint="eastAsia" w:ascii="仿宋" w:hAnsi="仿宋" w:eastAsia="仿宋"/>
          <w:color w:val="auto"/>
          <w:sz w:val="24"/>
        </w:rPr>
        <w:t>我公司参与</w:t>
      </w:r>
      <w:r>
        <w:rPr>
          <w:rFonts w:hint="eastAsia" w:ascii="仿宋" w:hAnsi="仿宋" w:eastAsia="仿宋"/>
          <w:color w:val="auto"/>
          <w:sz w:val="24"/>
          <w:u w:val="single"/>
        </w:rPr>
        <w:t>（项目名称、项目编号）</w:t>
      </w:r>
      <w:r>
        <w:rPr>
          <w:rFonts w:hint="eastAsia" w:ascii="仿宋" w:hAnsi="仿宋" w:eastAsia="仿宋"/>
          <w:color w:val="auto"/>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 xml:space="preserve">特此声明  </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法定代表人（签字或签章）：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日期：年月日</w:t>
      </w:r>
    </w:p>
    <w:p>
      <w:pPr>
        <w:shd w:val="clear" w:color="auto" w:fill="FFFFFF"/>
        <w:tabs>
          <w:tab w:val="left" w:pos="996"/>
        </w:tabs>
        <w:spacing w:line="440" w:lineRule="exact"/>
        <w:rPr>
          <w:rFonts w:ascii="仿宋" w:hAnsi="仿宋" w:eastAsia="仿宋"/>
          <w:color w:val="auto"/>
          <w:sz w:val="24"/>
        </w:rPr>
      </w:pPr>
    </w:p>
    <w:p>
      <w:pPr>
        <w:widowControl/>
        <w:spacing w:line="440" w:lineRule="exact"/>
        <w:jc w:val="left"/>
        <w:rPr>
          <w:rFonts w:ascii="仿宋" w:hAnsi="仿宋" w:eastAsia="仿宋"/>
          <w:color w:val="auto"/>
          <w:sz w:val="24"/>
        </w:rPr>
      </w:pPr>
      <w:r>
        <w:rPr>
          <w:rFonts w:hint="eastAsia" w:ascii="仿宋" w:hAnsi="仿宋" w:eastAsia="仿宋"/>
          <w:color w:val="auto"/>
          <w:sz w:val="24"/>
        </w:rPr>
        <w:t>注：[近三年：指成立三年以上的，为提交首次投标文件截止时间前三年内；成立不足三年的，为实际时间。]</w:t>
      </w:r>
    </w:p>
    <w:p>
      <w:pPr>
        <w:widowControl/>
        <w:spacing w:line="440" w:lineRule="exact"/>
        <w:jc w:val="left"/>
        <w:rPr>
          <w:rFonts w:ascii="仿宋" w:hAnsi="仿宋" w:eastAsia="仿宋"/>
          <w:color w:val="auto"/>
          <w:sz w:val="24"/>
        </w:rPr>
      </w:pPr>
    </w:p>
    <w:p>
      <w:pPr>
        <w:widowControl/>
        <w:spacing w:line="440" w:lineRule="exact"/>
        <w:jc w:val="lef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附件六  供应商医疗器械经营许可证（或按照国家食品药品监督管理部门规定实行备案管理的，出具备案证明文件）（复印件加盖公章）</w:t>
      </w:r>
    </w:p>
    <w:p>
      <w:pPr>
        <w:widowControl/>
        <w:spacing w:line="440" w:lineRule="exact"/>
        <w:jc w:val="left"/>
        <w:rPr>
          <w:rFonts w:ascii="仿宋" w:hAnsi="仿宋" w:eastAsia="仿宋"/>
          <w:b/>
          <w:bCs/>
          <w:color w:val="auto"/>
          <w:kern w:val="0"/>
          <w:sz w:val="24"/>
        </w:rPr>
      </w:pPr>
    </w:p>
    <w:p>
      <w:pPr>
        <w:shd w:val="clear" w:color="auto" w:fill="FFFFFF"/>
        <w:spacing w:line="440" w:lineRule="exac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附件七  投标保证金缴纳凭证</w:t>
      </w:r>
    </w:p>
    <w:p>
      <w:pPr>
        <w:spacing w:line="460" w:lineRule="exact"/>
        <w:rPr>
          <w:rFonts w:ascii="仿宋" w:hAnsi="仿宋" w:eastAsia="仿宋"/>
          <w:color w:val="auto"/>
          <w:kern w:val="0"/>
          <w:sz w:val="24"/>
        </w:rPr>
      </w:pPr>
      <w:r>
        <w:rPr>
          <w:rFonts w:hint="eastAsia" w:ascii="仿宋" w:hAnsi="仿宋" w:eastAsia="仿宋"/>
          <w:color w:val="auto"/>
          <w:kern w:val="0"/>
          <w:sz w:val="24"/>
        </w:rPr>
        <w:t>此处请附： ①投标保证金打款凭证</w:t>
      </w: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pStyle w:val="57"/>
        <w:ind w:firstLine="210"/>
        <w:rPr>
          <w:color w:val="auto"/>
        </w:rPr>
      </w:pPr>
    </w:p>
    <w:p>
      <w:pPr>
        <w:pStyle w:val="57"/>
        <w:ind w:firstLine="0" w:firstLineChars="0"/>
        <w:rPr>
          <w:color w:val="auto"/>
        </w:rPr>
      </w:pP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②供应商缴纳保证金的账户信息（作退保证金使用）</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开户行名称：</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银行账号：</w:t>
      </w:r>
    </w:p>
    <w:p>
      <w:pPr>
        <w:widowControl/>
        <w:spacing w:line="440" w:lineRule="exact"/>
        <w:ind w:firstLine="1320" w:firstLineChars="550"/>
        <w:jc w:val="left"/>
        <w:rPr>
          <w:rFonts w:ascii="仿宋" w:hAnsi="仿宋" w:eastAsia="仿宋"/>
          <w:bCs/>
          <w:color w:val="auto"/>
          <w:sz w:val="24"/>
        </w:rPr>
      </w:pPr>
      <w:r>
        <w:rPr>
          <w:rFonts w:hint="eastAsia" w:ascii="仿宋" w:hAnsi="仿宋" w:eastAsia="仿宋"/>
          <w:color w:val="auto"/>
          <w:kern w:val="0"/>
          <w:sz w:val="24"/>
        </w:rPr>
        <w:t>银行行号：</w:t>
      </w:r>
    </w:p>
    <w:p>
      <w:pPr>
        <w:widowControl/>
        <w:jc w:val="left"/>
        <w:rPr>
          <w:rFonts w:ascii="仿宋" w:hAnsi="仿宋" w:eastAsia="仿宋"/>
          <w:b/>
          <w:bCs/>
          <w:color w:val="auto"/>
          <w:sz w:val="28"/>
          <w:szCs w:val="28"/>
        </w:rPr>
      </w:pPr>
      <w:r>
        <w:rPr>
          <w:rFonts w:hint="eastAsia" w:ascii="仿宋" w:hAnsi="仿宋" w:eastAsia="仿宋"/>
          <w:b/>
          <w:bCs/>
          <w:color w:val="auto"/>
          <w:sz w:val="28"/>
          <w:szCs w:val="28"/>
        </w:rPr>
        <w:br w:type="page"/>
      </w:r>
      <w:r>
        <w:rPr>
          <w:rFonts w:hint="eastAsia" w:ascii="仿宋" w:hAnsi="仿宋" w:eastAsia="仿宋"/>
          <w:b/>
          <w:bCs/>
          <w:color w:val="auto"/>
          <w:kern w:val="0"/>
          <w:sz w:val="24"/>
        </w:rPr>
        <w:t>附件八</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投标承诺书</w:t>
      </w:r>
    </w:p>
    <w:p>
      <w:pPr>
        <w:shd w:val="clear" w:color="auto" w:fill="FFFFFF"/>
        <w:spacing w:line="440" w:lineRule="exact"/>
        <w:jc w:val="left"/>
        <w:rPr>
          <w:rFonts w:ascii="仿宋" w:hAnsi="仿宋" w:eastAsia="仿宋"/>
          <w:color w:val="auto"/>
          <w:sz w:val="24"/>
          <w:u w:val="single"/>
        </w:rPr>
      </w:pPr>
      <w:r>
        <w:rPr>
          <w:rFonts w:hint="eastAsia" w:ascii="仿宋" w:hAnsi="仿宋" w:eastAsia="仿宋"/>
          <w:color w:val="auto"/>
          <w:sz w:val="24"/>
          <w:u w:val="single"/>
        </w:rPr>
        <w:t xml:space="preserve">（采购人名称） </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我方收到并研究了贵方</w:t>
      </w:r>
      <w:r>
        <w:rPr>
          <w:rFonts w:hint="eastAsia" w:ascii="仿宋" w:hAnsi="仿宋" w:eastAsia="仿宋"/>
          <w:color w:val="auto"/>
          <w:sz w:val="24"/>
          <w:u w:val="single"/>
        </w:rPr>
        <w:t>（项目名称、项目编号）</w:t>
      </w:r>
      <w:r>
        <w:rPr>
          <w:rFonts w:hint="eastAsia" w:ascii="仿宋" w:hAnsi="仿宋" w:eastAsia="仿宋"/>
          <w:color w:val="auto"/>
          <w:sz w:val="24"/>
        </w:rPr>
        <w:t>项目的招标文件，愿意按照招标文件规定的内容承担该项目的投标任务，严格执行我方所承诺的责任和义务。为此，我方郑重声明以下诸点，并承担法律责任。</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kern w:val="0"/>
          <w:sz w:val="24"/>
        </w:rPr>
        <w:t>我方提交投标文件，正本1份，副本4份，单独密封的《开标一览表》1份，同时提交电子版投标文件一份（U盘形式）；我方愿按《中华人民共和国政府采购法》及其他有关法律、法规的规定及采购文件的规定，自觉履行自己的全部责任。</w:t>
      </w:r>
    </w:p>
    <w:p>
      <w:pPr>
        <w:shd w:val="clear" w:color="auto" w:fill="FFFFFF"/>
        <w:spacing w:line="440" w:lineRule="exact"/>
        <w:ind w:firstLine="480" w:firstLineChars="200"/>
        <w:rPr>
          <w:rFonts w:ascii="仿宋" w:hAnsi="仿宋" w:eastAsia="仿宋"/>
          <w:color w:val="auto"/>
          <w:sz w:val="24"/>
        </w:rPr>
      </w:pPr>
      <w:r>
        <w:rPr>
          <w:rFonts w:hint="eastAsia" w:ascii="仿宋" w:hAnsi="仿宋" w:eastAsia="仿宋"/>
          <w:color w:val="auto"/>
          <w:sz w:val="24"/>
        </w:rPr>
        <w:t>2、我方同意在投标有效期内遵守本投标文件，在此期限期满前的任何时间，本投标文件一直对我方具有约束力。</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3、如果我方投标文件被接受，我方将按照招标文件的规定，保证按招标要求和投标文件中的承诺按期、按质、按量交付使用方。</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6、一旦我方中标，我方愿意按招标要求承担招标代理服务费。</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7、贵方的中标通知书和本投标文件将成为构成约束双方合同的组成部分。</w:t>
      </w:r>
    </w:p>
    <w:p>
      <w:pPr>
        <w:shd w:val="clear" w:color="auto" w:fill="FFFFFF"/>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8、如果我方未中标，贵方没有义务对我方做出任何解释和说明，我方将充分尊重和理解贵方的选择。</w:t>
      </w:r>
    </w:p>
    <w:p>
      <w:pPr>
        <w:shd w:val="clear" w:color="auto" w:fill="FFFFFF"/>
        <w:spacing w:line="440" w:lineRule="exact"/>
        <w:jc w:val="left"/>
        <w:rPr>
          <w:rFonts w:ascii="仿宋" w:hAnsi="仿宋" w:eastAsia="仿宋"/>
          <w:color w:val="auto"/>
          <w:sz w:val="24"/>
        </w:rPr>
      </w:pPr>
      <w:r>
        <w:rPr>
          <w:rFonts w:hint="eastAsia" w:ascii="仿宋" w:hAnsi="仿宋" w:eastAsia="仿宋"/>
          <w:color w:val="auto"/>
          <w:sz w:val="24"/>
        </w:rPr>
        <w:t xml:space="preserve">    9、我方的投标文件自提交投标文件截止之日起有效期为天。</w:t>
      </w:r>
    </w:p>
    <w:p>
      <w:pPr>
        <w:pStyle w:val="303"/>
        <w:shd w:val="clear" w:color="auto" w:fill="FFFFFF"/>
        <w:snapToGrid w:val="0"/>
        <w:spacing w:line="440" w:lineRule="exact"/>
        <w:rPr>
          <w:rFonts w:ascii="仿宋" w:hAnsi="仿宋" w:eastAsia="仿宋"/>
          <w:color w:val="auto"/>
          <w:sz w:val="24"/>
        </w:rPr>
      </w:pPr>
    </w:p>
    <w:p>
      <w:pPr>
        <w:pStyle w:val="303"/>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pacing w:line="440" w:lineRule="exact"/>
        <w:rPr>
          <w:rFonts w:ascii="仿宋" w:hAnsi="仿宋" w:eastAsia="仿宋"/>
          <w:b/>
          <w:bCs/>
          <w:color w:val="auto"/>
          <w:kern w:val="0"/>
          <w:sz w:val="24"/>
        </w:rPr>
      </w:pPr>
      <w:r>
        <w:rPr>
          <w:rFonts w:hint="eastAsia" w:ascii="仿宋" w:hAnsi="仿宋" w:eastAsia="仿宋"/>
          <w:color w:val="auto"/>
          <w:sz w:val="24"/>
        </w:rPr>
        <w:t>日期：  年  月  日</w:t>
      </w:r>
      <w:r>
        <w:rPr>
          <w:rFonts w:hint="eastAsia" w:ascii="仿宋" w:hAnsi="仿宋" w:eastAsia="仿宋"/>
          <w:color w:val="auto"/>
          <w:sz w:val="18"/>
          <w:szCs w:val="18"/>
        </w:rPr>
        <w:br w:type="page"/>
      </w:r>
      <w:r>
        <w:rPr>
          <w:rFonts w:hint="eastAsia" w:ascii="仿宋" w:hAnsi="仿宋" w:eastAsia="仿宋"/>
          <w:b/>
          <w:bCs/>
          <w:color w:val="auto"/>
          <w:kern w:val="0"/>
          <w:sz w:val="24"/>
        </w:rPr>
        <w:t xml:space="preserve">附件九  </w:t>
      </w:r>
    </w:p>
    <w:p>
      <w:pPr>
        <w:spacing w:line="440" w:lineRule="exact"/>
        <w:rPr>
          <w:rFonts w:ascii="仿宋" w:hAnsi="仿宋" w:eastAsia="仿宋"/>
          <w:b/>
          <w:bCs/>
          <w:color w:val="auto"/>
          <w:kern w:val="0"/>
          <w:sz w:val="24"/>
        </w:rPr>
      </w:pPr>
      <w:r>
        <w:rPr>
          <w:rFonts w:hint="eastAsia" w:ascii="仿宋" w:hAnsi="仿宋" w:eastAsia="仿宋"/>
          <w:b/>
          <w:bCs/>
          <w:color w:val="auto"/>
          <w:kern w:val="0"/>
          <w:sz w:val="24"/>
        </w:rPr>
        <w:t>1、供应商所投产品的医疗器械注册证（含登记表）(或按照国家食品药品监督管理部门规定实行备案管理的，出具备案证明文件)（复印件加盖公章）；</w:t>
      </w:r>
    </w:p>
    <w:p>
      <w:pPr>
        <w:spacing w:line="440" w:lineRule="exact"/>
        <w:rPr>
          <w:rFonts w:ascii="仿宋" w:hAnsi="仿宋" w:eastAsia="仿宋"/>
          <w:b/>
          <w:bCs/>
          <w:color w:val="auto"/>
          <w:kern w:val="0"/>
          <w:sz w:val="24"/>
        </w:rPr>
      </w:pPr>
      <w:r>
        <w:rPr>
          <w:rFonts w:hint="eastAsia" w:ascii="仿宋" w:hAnsi="仿宋" w:eastAsia="仿宋"/>
          <w:b/>
          <w:bCs/>
          <w:color w:val="auto"/>
          <w:kern w:val="0"/>
          <w:sz w:val="24"/>
        </w:rPr>
        <w:t>2、供应商所投产品制造商的医疗器械生产许可证（复印件加盖公章）。</w:t>
      </w:r>
    </w:p>
    <w:p>
      <w:pPr>
        <w:pStyle w:val="57"/>
        <w:ind w:firstLine="210"/>
        <w:rPr>
          <w:color w:val="auto"/>
        </w:rPr>
      </w:pPr>
    </w:p>
    <w:p>
      <w:pPr>
        <w:pStyle w:val="57"/>
        <w:ind w:firstLine="210"/>
        <w:rPr>
          <w:color w:val="auto"/>
        </w:rPr>
      </w:pPr>
    </w:p>
    <w:p>
      <w:pPr>
        <w:widowControl/>
        <w:jc w:val="left"/>
        <w:rPr>
          <w:rFonts w:ascii="仿宋" w:hAnsi="仿宋" w:eastAsia="仿宋"/>
          <w:color w:val="auto"/>
          <w:sz w:val="24"/>
        </w:rPr>
      </w:pPr>
    </w:p>
    <w:p>
      <w:pPr>
        <w:shd w:val="clear" w:color="auto" w:fill="FFFFFF"/>
        <w:spacing w:line="440" w:lineRule="exact"/>
        <w:rPr>
          <w:rFonts w:ascii="仿宋" w:hAnsi="仿宋" w:eastAsia="仿宋"/>
          <w:color w:val="auto"/>
          <w:kern w:val="0"/>
          <w:sz w:val="24"/>
        </w:rPr>
      </w:pPr>
      <w:r>
        <w:rPr>
          <w:rFonts w:ascii="仿宋" w:hAnsi="仿宋" w:eastAsia="仿宋"/>
          <w:b/>
          <w:color w:val="auto"/>
          <w:kern w:val="0"/>
          <w:sz w:val="24"/>
        </w:rPr>
        <w:br w:type="page"/>
      </w:r>
      <w:r>
        <w:rPr>
          <w:rFonts w:hint="eastAsia" w:ascii="仿宋" w:hAnsi="仿宋" w:eastAsia="仿宋"/>
          <w:b/>
          <w:color w:val="auto"/>
          <w:kern w:val="0"/>
          <w:sz w:val="24"/>
        </w:rPr>
        <w:t>附件十  售后服务承诺书</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承诺书格式由供应商自行确定，包括但不限于以下内容：</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1、详细的售后服务方案、维保服务计划；</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2、保修期内和保修期后，如设备出现故障，派工程技术人员到达现场解决问题的响应时间；</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3、培训方案；</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4、售后服务网点明细表（包括联系人、详细地址、电话、传真）及本地化服务情况一览表）；</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5、提供技术/维修工程师的人员名单及其职称;</w:t>
      </w:r>
    </w:p>
    <w:p>
      <w:pPr>
        <w:shd w:val="clear" w:color="auto" w:fill="FFFFFF"/>
        <w:spacing w:line="440" w:lineRule="exact"/>
        <w:rPr>
          <w:rFonts w:ascii="仿宋" w:hAnsi="仿宋" w:eastAsia="仿宋"/>
          <w:bCs/>
          <w:color w:val="auto"/>
          <w:kern w:val="0"/>
          <w:sz w:val="24"/>
        </w:rPr>
      </w:pPr>
      <w:r>
        <w:rPr>
          <w:rFonts w:hint="eastAsia" w:ascii="仿宋" w:hAnsi="仿宋" w:eastAsia="仿宋"/>
          <w:bCs/>
          <w:color w:val="auto"/>
          <w:kern w:val="0"/>
          <w:sz w:val="24"/>
        </w:rPr>
        <w:t>6、其他供应商认为必要的承诺内容包括但不限于以下内容：</w:t>
      </w: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pStyle w:val="303"/>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shd w:val="clear" w:color="auto" w:fill="FFFFFF"/>
        <w:spacing w:line="440" w:lineRule="exact"/>
        <w:rPr>
          <w:rFonts w:ascii="仿宋" w:hAnsi="仿宋" w:eastAsia="仿宋"/>
          <w:bCs/>
          <w:color w:val="auto"/>
          <w:kern w:val="0"/>
          <w:sz w:val="24"/>
        </w:rPr>
      </w:pPr>
    </w:p>
    <w:p>
      <w:pPr>
        <w:shd w:val="clear" w:color="auto" w:fill="FFFFFF"/>
        <w:spacing w:line="440" w:lineRule="exact"/>
        <w:rPr>
          <w:rFonts w:ascii="仿宋" w:hAnsi="仿宋" w:eastAsia="仿宋"/>
          <w:bCs/>
          <w:color w:val="auto"/>
          <w:kern w:val="0"/>
          <w:sz w:val="24"/>
        </w:rPr>
      </w:pPr>
    </w:p>
    <w:p>
      <w:pPr>
        <w:shd w:val="clear" w:color="auto" w:fill="FFFFFF"/>
        <w:spacing w:line="440" w:lineRule="exact"/>
        <w:jc w:val="left"/>
        <w:rPr>
          <w:rFonts w:ascii="仿宋" w:hAnsi="仿宋" w:eastAsia="仿宋"/>
          <w:color w:val="auto"/>
          <w:kern w:val="0"/>
          <w:sz w:val="24"/>
        </w:rPr>
      </w:pPr>
    </w:p>
    <w:p>
      <w:pPr>
        <w:widowControl/>
        <w:jc w:val="left"/>
        <w:rPr>
          <w:rFonts w:ascii="仿宋" w:hAnsi="仿宋" w:eastAsia="仿宋"/>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附件十一</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商务条款偏离表</w:t>
      </w:r>
    </w:p>
    <w:p>
      <w:pPr>
        <w:shd w:val="clear" w:color="auto" w:fill="FFFFFF"/>
        <w:spacing w:beforeLines="50" w:line="440" w:lineRule="exact"/>
        <w:ind w:firstLine="480" w:firstLineChars="200"/>
        <w:rPr>
          <w:rFonts w:ascii="仿宋" w:hAnsi="仿宋" w:eastAsia="仿宋"/>
          <w:color w:val="auto"/>
          <w:sz w:val="24"/>
        </w:rPr>
      </w:pPr>
      <w:r>
        <w:rPr>
          <w:rFonts w:hint="eastAsia" w:ascii="仿宋" w:hAnsi="仿宋" w:eastAsia="仿宋"/>
          <w:color w:val="auto"/>
          <w:sz w:val="24"/>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color w:val="auto"/>
                <w:szCs w:val="21"/>
              </w:rPr>
            </w:pPr>
            <w:r>
              <w:rPr>
                <w:rFonts w:hint="eastAsia" w:ascii="仿宋" w:hAnsi="仿宋" w:eastAsia="仿宋"/>
                <w:color w:val="auto"/>
                <w:szCs w:val="21"/>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r>
              <w:rPr>
                <w:rFonts w:hint="eastAsia" w:ascii="仿宋" w:hAnsi="仿宋" w:eastAsia="仿宋"/>
                <w:color w:val="auto"/>
                <w:szCs w:val="21"/>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r>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Cs w:val="21"/>
              </w:rPr>
            </w:pPr>
          </w:p>
        </w:tc>
      </w:tr>
    </w:tbl>
    <w:p>
      <w:pPr>
        <w:shd w:val="clear" w:color="auto" w:fill="FFFFFF"/>
        <w:spacing w:line="440" w:lineRule="exact"/>
        <w:ind w:firstLine="99"/>
        <w:rPr>
          <w:rFonts w:ascii="仿宋" w:hAnsi="仿宋" w:eastAsia="仿宋"/>
          <w:color w:val="auto"/>
          <w:szCs w:val="21"/>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40" w:lineRule="exact"/>
        <w:jc w:val="left"/>
        <w:rPr>
          <w:rFonts w:ascii="仿宋" w:hAnsi="仿宋" w:eastAsia="仿宋"/>
          <w:color w:val="auto"/>
          <w:kern w:val="0"/>
          <w:sz w:val="24"/>
        </w:rPr>
      </w:pPr>
      <w:r>
        <w:rPr>
          <w:rFonts w:hint="eastAsia" w:ascii="仿宋" w:hAnsi="仿宋" w:eastAsia="仿宋"/>
          <w:color w:val="auto"/>
          <w:sz w:val="24"/>
        </w:rPr>
        <w:t>日期：年 月 日</w:t>
      </w:r>
    </w:p>
    <w:p>
      <w:pPr>
        <w:widowControl/>
        <w:spacing w:line="440" w:lineRule="exact"/>
        <w:jc w:val="left"/>
        <w:rPr>
          <w:rFonts w:ascii="仿宋" w:hAnsi="仿宋" w:eastAsia="仿宋"/>
          <w:color w:val="auto"/>
          <w:kern w:val="0"/>
          <w:sz w:val="24"/>
        </w:rPr>
      </w:pPr>
    </w:p>
    <w:p>
      <w:pPr>
        <w:shd w:val="clear" w:color="auto" w:fill="FFFFFF"/>
        <w:spacing w:line="440" w:lineRule="exact"/>
        <w:jc w:val="left"/>
        <w:rPr>
          <w:rFonts w:ascii="仿宋" w:hAnsi="仿宋" w:eastAsia="仿宋"/>
          <w:b/>
          <w:bCs/>
          <w:color w:val="auto"/>
          <w:kern w:val="0"/>
          <w:szCs w:val="21"/>
        </w:rPr>
      </w:pPr>
      <w:r>
        <w:rPr>
          <w:rFonts w:hint="eastAsia" w:ascii="仿宋" w:hAnsi="仿宋" w:eastAsia="仿宋"/>
          <w:b/>
          <w:bCs/>
          <w:color w:val="auto"/>
          <w:szCs w:val="21"/>
        </w:rPr>
        <w:t>重要说明：供应商在上表中说明的内容，至少应包括对本文件《投标须知前附表》提出的“交货期”、“交货地点”、“质保期”、“付款方式”、“投标有效期”五项实质性商务内容逐条响应，否则，投标无效。</w:t>
      </w: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附件十二</w:t>
      </w:r>
    </w:p>
    <w:p>
      <w:pPr>
        <w:shd w:val="clear" w:color="auto" w:fill="FFFFFF"/>
        <w:spacing w:line="440" w:lineRule="exact"/>
        <w:jc w:val="center"/>
        <w:rPr>
          <w:rFonts w:ascii="仿宋" w:hAnsi="仿宋" w:eastAsia="仿宋"/>
          <w:b/>
          <w:bCs/>
          <w:color w:val="auto"/>
          <w:sz w:val="28"/>
          <w:szCs w:val="28"/>
        </w:rPr>
      </w:pP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所投产品（且为所投型号）近三年（2019年1月1日至今）销售业绩</w:t>
      </w:r>
    </w:p>
    <w:p>
      <w:pPr>
        <w:widowControl/>
        <w:spacing w:line="440" w:lineRule="exact"/>
        <w:jc w:val="left"/>
        <w:rPr>
          <w:rFonts w:ascii="仿宋" w:hAnsi="仿宋" w:eastAsia="仿宋"/>
          <w:b/>
          <w:color w:val="auto"/>
          <w:szCs w:val="21"/>
        </w:rPr>
      </w:pP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序号</w:t>
            </w:r>
          </w:p>
        </w:tc>
        <w:tc>
          <w:tcPr>
            <w:tcW w:w="2268"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产品名称及规格型号</w:t>
            </w:r>
          </w:p>
        </w:tc>
        <w:tc>
          <w:tcPr>
            <w:tcW w:w="176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数量规模</w:t>
            </w:r>
          </w:p>
        </w:tc>
        <w:tc>
          <w:tcPr>
            <w:tcW w:w="1393"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合同价格</w:t>
            </w:r>
          </w:p>
        </w:tc>
        <w:tc>
          <w:tcPr>
            <w:tcW w:w="312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2268"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2268" w:type="dxa"/>
            <w:vAlign w:val="center"/>
          </w:tcPr>
          <w:p>
            <w:pPr>
              <w:widowControl/>
              <w:spacing w:line="440" w:lineRule="exact"/>
              <w:jc w:val="left"/>
              <w:rPr>
                <w:rFonts w:ascii="仿宋" w:hAnsi="仿宋" w:eastAsia="仿宋"/>
                <w:color w:val="auto"/>
                <w:szCs w:val="21"/>
              </w:rPr>
            </w:pPr>
          </w:p>
        </w:tc>
        <w:tc>
          <w:tcPr>
            <w:tcW w:w="1760"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b/>
                <w:color w:val="auto"/>
                <w:szCs w:val="21"/>
              </w:rPr>
            </w:pPr>
          </w:p>
        </w:tc>
        <w:tc>
          <w:tcPr>
            <w:tcW w:w="2268" w:type="dxa"/>
            <w:vAlign w:val="center"/>
          </w:tcPr>
          <w:p>
            <w:pPr>
              <w:widowControl/>
              <w:spacing w:line="440" w:lineRule="exact"/>
              <w:jc w:val="left"/>
              <w:rPr>
                <w:rFonts w:ascii="仿宋" w:hAnsi="仿宋" w:eastAsia="仿宋"/>
                <w:b/>
                <w:color w:val="auto"/>
                <w:szCs w:val="21"/>
              </w:rPr>
            </w:pPr>
          </w:p>
        </w:tc>
        <w:tc>
          <w:tcPr>
            <w:tcW w:w="1760" w:type="dxa"/>
          </w:tcPr>
          <w:p>
            <w:pPr>
              <w:widowControl/>
              <w:spacing w:line="440" w:lineRule="exact"/>
              <w:jc w:val="left"/>
              <w:rPr>
                <w:rFonts w:ascii="仿宋" w:hAnsi="仿宋" w:eastAsia="仿宋"/>
                <w:b/>
                <w:color w:val="auto"/>
                <w:szCs w:val="21"/>
              </w:rPr>
            </w:pPr>
          </w:p>
        </w:tc>
        <w:tc>
          <w:tcPr>
            <w:tcW w:w="1393" w:type="dxa"/>
            <w:vAlign w:val="center"/>
          </w:tcPr>
          <w:p>
            <w:pPr>
              <w:widowControl/>
              <w:spacing w:line="440" w:lineRule="exact"/>
              <w:jc w:val="left"/>
              <w:rPr>
                <w:rFonts w:ascii="仿宋" w:hAnsi="仿宋" w:eastAsia="仿宋"/>
                <w:b/>
                <w:color w:val="auto"/>
                <w:szCs w:val="21"/>
              </w:rPr>
            </w:pPr>
          </w:p>
        </w:tc>
        <w:tc>
          <w:tcPr>
            <w:tcW w:w="3120" w:type="dxa"/>
            <w:vAlign w:val="center"/>
          </w:tcPr>
          <w:p>
            <w:pPr>
              <w:widowControl/>
              <w:spacing w:line="440" w:lineRule="exact"/>
              <w:jc w:val="left"/>
              <w:rPr>
                <w:rFonts w:ascii="仿宋" w:hAnsi="仿宋" w:eastAsia="仿宋"/>
                <w:b/>
                <w:color w:val="auto"/>
                <w:szCs w:val="21"/>
              </w:rPr>
            </w:pPr>
          </w:p>
        </w:tc>
      </w:tr>
    </w:tbl>
    <w:p>
      <w:pPr>
        <w:shd w:val="clear" w:color="auto" w:fill="FFFFFF"/>
        <w:spacing w:line="440" w:lineRule="exact"/>
        <w:rPr>
          <w:rFonts w:ascii="仿宋" w:hAnsi="仿宋" w:eastAsia="仿宋"/>
          <w:b/>
          <w:color w:val="auto"/>
          <w:szCs w:val="21"/>
        </w:rPr>
      </w:pPr>
      <w:r>
        <w:rPr>
          <w:rFonts w:hint="eastAsia" w:ascii="仿宋" w:hAnsi="仿宋" w:eastAsia="仿宋"/>
          <w:b/>
          <w:color w:val="auto"/>
          <w:szCs w:val="21"/>
        </w:rPr>
        <w:t>备注：提供中标通知书和合同，复印件加盖公章，做为业绩证明资料。证明资料应清晰反映货物名称及型号、合同金额、合同签订时间、合同签字盖章页信息，未按要求提供证明资料的不计分。</w:t>
      </w:r>
    </w:p>
    <w:p>
      <w:pPr>
        <w:shd w:val="clear" w:color="auto" w:fill="FFFFFF"/>
        <w:spacing w:line="440" w:lineRule="exact"/>
        <w:rPr>
          <w:rFonts w:ascii="仿宋" w:hAnsi="仿宋" w:eastAsia="仿宋"/>
          <w:b/>
          <w:color w:val="auto"/>
          <w:szCs w:val="21"/>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日期：   年  月   日</w:t>
      </w:r>
    </w:p>
    <w:p>
      <w:pPr>
        <w:widowControl/>
        <w:jc w:val="left"/>
        <w:rPr>
          <w:rFonts w:ascii="仿宋" w:hAnsi="仿宋" w:eastAsia="仿宋"/>
          <w:color w:val="auto"/>
          <w:szCs w:val="21"/>
        </w:rPr>
      </w:pPr>
    </w:p>
    <w:p>
      <w:pPr>
        <w:widowControl/>
        <w:jc w:val="left"/>
        <w:rPr>
          <w:rFonts w:ascii="仿宋" w:hAnsi="仿宋" w:eastAsia="仿宋"/>
          <w:color w:val="auto"/>
          <w:szCs w:val="21"/>
        </w:rPr>
      </w:pPr>
    </w:p>
    <w:p>
      <w:pPr>
        <w:widowControl/>
        <w:jc w:val="left"/>
        <w:rPr>
          <w:rFonts w:ascii="仿宋" w:hAnsi="仿宋" w:eastAsia="仿宋"/>
          <w:b/>
          <w:bCs/>
          <w:color w:val="auto"/>
          <w:kern w:val="0"/>
          <w:sz w:val="24"/>
        </w:rPr>
      </w:pPr>
      <w:r>
        <w:rPr>
          <w:rFonts w:hint="eastAsia" w:ascii="仿宋" w:hAnsi="仿宋" w:eastAsia="仿宋"/>
          <w:b/>
          <w:bCs/>
          <w:color w:val="auto"/>
          <w:kern w:val="0"/>
          <w:sz w:val="24"/>
        </w:rPr>
        <w:br w:type="page"/>
      </w:r>
      <w:r>
        <w:rPr>
          <w:rFonts w:hint="eastAsia" w:ascii="仿宋" w:hAnsi="仿宋" w:eastAsia="仿宋"/>
          <w:b/>
          <w:bCs/>
          <w:color w:val="auto"/>
          <w:kern w:val="0"/>
          <w:sz w:val="24"/>
        </w:rPr>
        <w:t>附件十三  供应商认为有必要提供的其他资料</w:t>
      </w:r>
    </w:p>
    <w:p>
      <w:pPr>
        <w:widowControl/>
        <w:rPr>
          <w:rFonts w:ascii="仿宋" w:hAnsi="仿宋" w:eastAsia="仿宋"/>
          <w:color w:val="auto"/>
          <w:sz w:val="24"/>
        </w:rPr>
      </w:pP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中小企业声明函</w:t>
      </w:r>
    </w:p>
    <w:p>
      <w:pPr>
        <w:widowControl/>
        <w:jc w:val="left"/>
        <w:rPr>
          <w:rFonts w:ascii="仿宋" w:hAnsi="仿宋" w:eastAsia="仿宋"/>
          <w:color w:val="auto"/>
          <w:sz w:val="24"/>
        </w:rPr>
      </w:pP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本公司（联合体）郑重声明，根据《政府采购促进中小企业发展管理办法》（财库﹝2020﹞46 号）的规定，本公司（联合体）参加</w:t>
      </w:r>
      <w:r>
        <w:rPr>
          <w:rFonts w:hint="eastAsia" w:ascii="仿宋" w:hAnsi="仿宋" w:eastAsia="仿宋"/>
          <w:color w:val="auto"/>
          <w:sz w:val="24"/>
          <w:u w:val="single"/>
        </w:rPr>
        <w:t>（单位名称）</w:t>
      </w:r>
      <w:r>
        <w:rPr>
          <w:rFonts w:hint="eastAsia" w:ascii="仿宋" w:hAnsi="仿宋" w:eastAsia="仿宋"/>
          <w:color w:val="auto"/>
          <w:sz w:val="24"/>
        </w:rPr>
        <w:t>的</w:t>
      </w:r>
      <w:r>
        <w:rPr>
          <w:rFonts w:hint="eastAsia" w:ascii="仿宋" w:hAnsi="仿宋" w:eastAsia="仿宋"/>
          <w:color w:val="auto"/>
          <w:sz w:val="24"/>
          <w:u w:val="single"/>
        </w:rPr>
        <w:t>（项目名称）</w:t>
      </w:r>
      <w:r>
        <w:rPr>
          <w:rFonts w:hint="eastAsia" w:ascii="仿宋" w:hAnsi="仿宋" w:eastAsia="仿宋"/>
          <w:color w:val="auto"/>
          <w:sz w:val="24"/>
        </w:rPr>
        <w:t>采购活动，提供的货物全部由符合政策要求的中小企业制造。相关企业（含联合体中的中小企业、签订分包意向协议的中小企业） 的具体情况如下：</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1. </w:t>
      </w:r>
      <w:r>
        <w:rPr>
          <w:rFonts w:hint="eastAsia" w:ascii="仿宋" w:hAnsi="仿宋" w:eastAsia="仿宋"/>
          <w:color w:val="auto"/>
          <w:sz w:val="24"/>
          <w:u w:val="single"/>
        </w:rPr>
        <w:t xml:space="preserve">（ 标 的 名 称 ） </w:t>
      </w:r>
      <w:r>
        <w:rPr>
          <w:rFonts w:hint="eastAsia" w:ascii="仿宋" w:hAnsi="仿宋" w:eastAsia="仿宋"/>
          <w:color w:val="auto"/>
          <w:sz w:val="24"/>
        </w:rPr>
        <w:t xml:space="preserve">， 属 于 </w:t>
      </w:r>
      <w:r>
        <w:rPr>
          <w:rFonts w:hint="eastAsia" w:ascii="仿宋" w:hAnsi="仿宋" w:eastAsia="仿宋"/>
          <w:color w:val="auto"/>
          <w:sz w:val="24"/>
          <w:u w:val="single"/>
        </w:rPr>
        <w:t>（ 采 购 文 件 中 明 确 的 所 属 行 业 ）</w:t>
      </w:r>
      <w:r>
        <w:rPr>
          <w:rFonts w:hint="eastAsia" w:ascii="仿宋" w:hAnsi="仿宋" w:eastAsia="仿宋"/>
          <w:color w:val="auto"/>
          <w:sz w:val="24"/>
        </w:rPr>
        <w:t xml:space="preserve"> 行业；制造商为</w:t>
      </w:r>
      <w:r>
        <w:rPr>
          <w:rFonts w:hint="eastAsia" w:ascii="仿宋" w:hAnsi="仿宋" w:eastAsia="仿宋"/>
          <w:color w:val="auto"/>
          <w:sz w:val="24"/>
          <w:u w:val="single"/>
        </w:rPr>
        <w:t xml:space="preserve">（企业名称）   </w:t>
      </w:r>
      <w:r>
        <w:rPr>
          <w:rFonts w:hint="eastAsia" w:ascii="仿宋" w:hAnsi="仿宋" w:eastAsia="仿宋"/>
          <w:color w:val="auto"/>
          <w:sz w:val="24"/>
        </w:rPr>
        <w:t>，从业人员人，营业收入为万元，资产总额为万元，属于（中型企业、小型企业、微型企业）；</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2. </w:t>
      </w:r>
      <w:r>
        <w:rPr>
          <w:rFonts w:hint="eastAsia" w:ascii="仿宋" w:hAnsi="仿宋" w:eastAsia="仿宋"/>
          <w:color w:val="auto"/>
          <w:sz w:val="24"/>
          <w:u w:val="single"/>
        </w:rPr>
        <w:t xml:space="preserve">（ 标 的 名 称 ） </w:t>
      </w:r>
      <w:r>
        <w:rPr>
          <w:rFonts w:hint="eastAsia" w:ascii="仿宋" w:hAnsi="仿宋" w:eastAsia="仿宋"/>
          <w:color w:val="auto"/>
          <w:sz w:val="24"/>
        </w:rPr>
        <w:t xml:space="preserve">， 属 于 </w:t>
      </w:r>
      <w:r>
        <w:rPr>
          <w:rFonts w:hint="eastAsia" w:ascii="仿宋" w:hAnsi="仿宋" w:eastAsia="仿宋"/>
          <w:color w:val="auto"/>
          <w:sz w:val="24"/>
          <w:u w:val="single"/>
        </w:rPr>
        <w:t>（ 采 购 文 件 中 明 确 的 所 属 行 业 ）</w:t>
      </w:r>
      <w:r>
        <w:rPr>
          <w:rFonts w:hint="eastAsia" w:ascii="仿宋" w:hAnsi="仿宋" w:eastAsia="仿宋"/>
          <w:color w:val="auto"/>
          <w:sz w:val="24"/>
        </w:rPr>
        <w:t xml:space="preserve"> 行业；制造商为</w:t>
      </w:r>
      <w:r>
        <w:rPr>
          <w:rFonts w:hint="eastAsia" w:ascii="仿宋" w:hAnsi="仿宋" w:eastAsia="仿宋"/>
          <w:color w:val="auto"/>
          <w:sz w:val="24"/>
          <w:u w:val="single"/>
        </w:rPr>
        <w:t xml:space="preserve">（企业名称）  </w:t>
      </w:r>
      <w:r>
        <w:rPr>
          <w:rFonts w:hint="eastAsia" w:ascii="仿宋" w:hAnsi="仿宋" w:eastAsia="仿宋"/>
          <w:color w:val="auto"/>
          <w:sz w:val="24"/>
        </w:rPr>
        <w:t>，从业人员人，营业收入为万元，资产总额为万元，属于（中型企业、小型企业、微型企业）；</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本企业对上述声明内容的真实性负责。如有虚假，将依法承担相应责任。</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440" w:lineRule="exact"/>
        <w:ind w:right="480"/>
        <w:jc w:val="center"/>
        <w:rPr>
          <w:rFonts w:ascii="仿宋" w:hAnsi="仿宋" w:eastAsia="仿宋"/>
          <w:color w:val="auto"/>
          <w:sz w:val="24"/>
        </w:rPr>
      </w:pPr>
      <w:r>
        <w:rPr>
          <w:rFonts w:hint="eastAsia" w:ascii="仿宋" w:hAnsi="仿宋" w:eastAsia="仿宋"/>
          <w:color w:val="auto"/>
          <w:kern w:val="1"/>
          <w:sz w:val="24"/>
        </w:rPr>
        <w:t>投标供应商</w:t>
      </w:r>
      <w:r>
        <w:rPr>
          <w:rFonts w:hint="eastAsia" w:ascii="仿宋" w:hAnsi="仿宋" w:eastAsia="仿宋"/>
          <w:color w:val="auto"/>
          <w:sz w:val="24"/>
        </w:rPr>
        <w:t xml:space="preserve">（盖公章）：  </w:t>
      </w:r>
    </w:p>
    <w:p>
      <w:pPr>
        <w:widowControl/>
        <w:spacing w:line="440" w:lineRule="exact"/>
        <w:ind w:right="360"/>
        <w:jc w:val="center"/>
        <w:rPr>
          <w:rFonts w:ascii="仿宋" w:hAnsi="仿宋" w:eastAsia="仿宋"/>
          <w:color w:val="auto"/>
          <w:sz w:val="24"/>
        </w:rPr>
      </w:pPr>
      <w:r>
        <w:rPr>
          <w:rFonts w:hint="eastAsia" w:ascii="仿宋" w:hAnsi="仿宋" w:eastAsia="仿宋"/>
          <w:color w:val="auto"/>
          <w:sz w:val="24"/>
        </w:rPr>
        <w:t xml:space="preserve">                                                       日期：  年  月  日</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b/>
          <w:color w:val="auto"/>
          <w:szCs w:val="21"/>
        </w:rPr>
      </w:pPr>
      <w:r>
        <w:rPr>
          <w:rFonts w:hint="eastAsia" w:ascii="仿宋" w:hAnsi="仿宋" w:eastAsia="仿宋"/>
          <w:b/>
          <w:color w:val="auto"/>
          <w:szCs w:val="21"/>
        </w:rPr>
        <w:t>注：1.从业人员、营业收入、资产总额填报上一年度数据，无上一年度数据的新成立企业可不填报。</w:t>
      </w:r>
    </w:p>
    <w:p>
      <w:pPr>
        <w:widowControl/>
        <w:spacing w:line="360" w:lineRule="exact"/>
        <w:ind w:firstLine="422" w:firstLineChars="200"/>
        <w:jc w:val="left"/>
        <w:rPr>
          <w:rFonts w:ascii="仿宋" w:hAnsi="仿宋" w:eastAsia="仿宋"/>
          <w:color w:val="auto"/>
          <w:sz w:val="24"/>
        </w:rPr>
      </w:pPr>
      <w:r>
        <w:rPr>
          <w:rFonts w:hint="eastAsia" w:ascii="仿宋" w:hAnsi="仿宋" w:eastAsia="仿宋"/>
          <w:b/>
          <w:color w:val="auto"/>
          <w:szCs w:val="21"/>
        </w:rPr>
        <w:t>2.供应商提供由省级以上监狱管理局、戒毒管理局（含新疆生产建设兵团）出具的属于监狱企业证明文件的，视同为小型和微型企业。</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jc w:val="left"/>
        <w:rPr>
          <w:rFonts w:ascii="仿宋" w:hAnsi="仿宋" w:eastAsia="仿宋"/>
          <w:color w:val="auto"/>
          <w:sz w:val="24"/>
        </w:rPr>
      </w:pPr>
    </w:p>
    <w:p>
      <w:pPr>
        <w:widowControl/>
        <w:jc w:val="left"/>
        <w:rPr>
          <w:rFonts w:ascii="仿宋" w:hAnsi="仿宋" w:eastAsia="仿宋"/>
          <w:color w:val="auto"/>
          <w:sz w:val="24"/>
        </w:rPr>
      </w:pPr>
    </w:p>
    <w:p>
      <w:pPr>
        <w:shd w:val="clear" w:color="auto" w:fill="FFFFFF"/>
        <w:spacing w:line="440" w:lineRule="exact"/>
        <w:rPr>
          <w:rFonts w:ascii="仿宋" w:hAnsi="仿宋" w:eastAsia="仿宋"/>
          <w:b/>
          <w:bCs/>
          <w:color w:val="auto"/>
          <w:sz w:val="28"/>
          <w:szCs w:val="28"/>
        </w:rPr>
      </w:pPr>
    </w:p>
    <w:p>
      <w:pPr>
        <w:widowControl/>
        <w:jc w:val="left"/>
        <w:rPr>
          <w:rFonts w:ascii="仿宋" w:hAnsi="仿宋" w:eastAsia="仿宋"/>
          <w:b/>
          <w:bCs/>
          <w:color w:val="auto"/>
          <w:szCs w:val="21"/>
        </w:rPr>
      </w:pPr>
      <w:r>
        <w:rPr>
          <w:rFonts w:ascii="仿宋" w:hAnsi="仿宋" w:eastAsia="仿宋"/>
          <w:b/>
          <w:bCs/>
          <w:color w:val="auto"/>
          <w:sz w:val="28"/>
          <w:szCs w:val="28"/>
        </w:rPr>
        <w:br w:type="page"/>
      </w:r>
      <w:r>
        <w:rPr>
          <w:rFonts w:hint="eastAsia" w:ascii="仿宋" w:hAnsi="仿宋" w:eastAsia="仿宋"/>
          <w:b/>
          <w:bCs/>
          <w:color w:val="auto"/>
          <w:sz w:val="24"/>
        </w:rPr>
        <w:t xml:space="preserve">附件十四  技术服务条款偏离表 </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技术服务条款偏离表</w:t>
      </w:r>
    </w:p>
    <w:p>
      <w:pPr>
        <w:shd w:val="clear" w:color="auto" w:fill="FFFFFF"/>
        <w:spacing w:line="500" w:lineRule="exact"/>
        <w:ind w:firstLine="120" w:firstLineChars="50"/>
        <w:rPr>
          <w:rFonts w:ascii="仿宋" w:hAnsi="仿宋" w:eastAsia="仿宋"/>
          <w:color w:val="auto"/>
          <w:sz w:val="24"/>
        </w:rPr>
      </w:pPr>
      <w:r>
        <w:rPr>
          <w:rFonts w:hint="eastAsia" w:ascii="仿宋" w:hAnsi="仿宋" w:eastAsia="仿宋"/>
          <w:color w:val="auto"/>
          <w:sz w:val="24"/>
        </w:rPr>
        <w:t>项目名称：                                                      项目编号：</w:t>
      </w:r>
    </w:p>
    <w:tbl>
      <w:tblPr>
        <w:tblStyle w:val="59"/>
        <w:tblW w:w="9038" w:type="dxa"/>
        <w:jc w:val="center"/>
        <w:tblLayout w:type="fixed"/>
        <w:tblCellMar>
          <w:top w:w="0" w:type="dxa"/>
          <w:left w:w="108" w:type="dxa"/>
          <w:bottom w:w="0" w:type="dxa"/>
          <w:right w:w="108" w:type="dxa"/>
        </w:tblCellMar>
      </w:tblPr>
      <w:tblGrid>
        <w:gridCol w:w="1180"/>
        <w:gridCol w:w="1655"/>
        <w:gridCol w:w="2127"/>
        <w:gridCol w:w="1630"/>
        <w:gridCol w:w="1318"/>
        <w:gridCol w:w="1128"/>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招标规格</w:t>
            </w: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投标规格</w:t>
            </w: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color w:val="auto"/>
                <w:szCs w:val="21"/>
              </w:rPr>
            </w:pPr>
            <w:r>
              <w:rPr>
                <w:rFonts w:hint="eastAsia" w:ascii="仿宋" w:hAnsi="仿宋" w:eastAsia="仿宋"/>
                <w:color w:val="auto"/>
                <w:szCs w:val="21"/>
              </w:rPr>
              <w:t>是否偏离</w:t>
            </w: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color w:val="auto"/>
                <w:szCs w:val="21"/>
              </w:rPr>
            </w:pPr>
            <w:r>
              <w:rPr>
                <w:rFonts w:ascii="仿宋" w:hAnsi="仿宋" w:eastAsia="仿宋"/>
                <w:color w:val="auto"/>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bl>
    <w:p>
      <w:pPr>
        <w:shd w:val="clear" w:color="auto" w:fill="FFFFFF"/>
        <w:spacing w:line="440" w:lineRule="exact"/>
        <w:rPr>
          <w:rFonts w:ascii="仿宋" w:hAnsi="仿宋" w:eastAsia="仿宋"/>
          <w:color w:val="auto"/>
          <w:szCs w:val="21"/>
        </w:rPr>
      </w:pPr>
      <w:r>
        <w:rPr>
          <w:rFonts w:hint="eastAsia" w:ascii="仿宋" w:hAnsi="仿宋" w:eastAsia="仿宋"/>
          <w:b/>
          <w:color w:val="auto"/>
          <w:kern w:val="0"/>
          <w:szCs w:val="21"/>
        </w:rPr>
        <w:t>说明：</w:t>
      </w:r>
      <w:r>
        <w:rPr>
          <w:rFonts w:ascii="仿宋" w:hAnsi="仿宋" w:eastAsia="仿宋"/>
          <w:b/>
          <w:color w:val="auto"/>
          <w:kern w:val="0"/>
          <w:szCs w:val="21"/>
        </w:rPr>
        <w:t>供应商</w:t>
      </w:r>
      <w:r>
        <w:rPr>
          <w:rFonts w:hint="eastAsia" w:ascii="仿宋" w:hAnsi="仿宋" w:eastAsia="仿宋"/>
          <w:b/>
          <w:color w:val="auto"/>
          <w:kern w:val="0"/>
          <w:szCs w:val="21"/>
        </w:rPr>
        <w:t>提供的《技术服务条款偏离表》</w:t>
      </w:r>
      <w:r>
        <w:rPr>
          <w:rFonts w:ascii="仿宋" w:hAnsi="仿宋" w:eastAsia="仿宋"/>
          <w:b/>
          <w:color w:val="auto"/>
          <w:kern w:val="0"/>
          <w:szCs w:val="21"/>
        </w:rPr>
        <w:t>须对照第四章《采购需求》所有条款逐条列出是否响应及响应内容</w:t>
      </w:r>
      <w:r>
        <w:rPr>
          <w:rFonts w:hint="eastAsia" w:ascii="仿宋" w:hAnsi="仿宋" w:eastAsia="仿宋"/>
          <w:b/>
          <w:color w:val="auto"/>
          <w:kern w:val="0"/>
          <w:szCs w:val="21"/>
        </w:rPr>
        <w:t>。</w:t>
      </w: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日期： 年 月 日</w:t>
      </w: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widowControl/>
        <w:jc w:val="left"/>
        <w:rPr>
          <w:rFonts w:ascii="仿宋" w:hAnsi="仿宋" w:eastAsia="仿宋"/>
          <w:b/>
          <w:bCs/>
          <w:color w:val="auto"/>
          <w:sz w:val="24"/>
        </w:rPr>
      </w:pPr>
      <w:r>
        <w:rPr>
          <w:rFonts w:ascii="仿宋" w:hAnsi="仿宋" w:eastAsia="仿宋"/>
          <w:b/>
          <w:bCs/>
          <w:color w:val="auto"/>
          <w:sz w:val="24"/>
        </w:rPr>
        <w:br w:type="page"/>
      </w:r>
    </w:p>
    <w:p>
      <w:pPr>
        <w:widowControl/>
        <w:jc w:val="left"/>
        <w:rPr>
          <w:rFonts w:ascii="仿宋" w:hAnsi="仿宋" w:eastAsia="仿宋"/>
          <w:b/>
          <w:bCs/>
          <w:color w:val="auto"/>
          <w:szCs w:val="21"/>
        </w:rPr>
      </w:pPr>
      <w:r>
        <w:rPr>
          <w:rFonts w:hint="eastAsia" w:ascii="仿宋" w:hAnsi="仿宋" w:eastAsia="仿宋"/>
          <w:b/>
          <w:bCs/>
          <w:color w:val="auto"/>
          <w:sz w:val="24"/>
        </w:rPr>
        <w:t>附件十五  技术支持资料</w:t>
      </w:r>
    </w:p>
    <w:p>
      <w:pPr>
        <w:pStyle w:val="703"/>
        <w:spacing w:line="440" w:lineRule="exact"/>
        <w:jc w:val="left"/>
        <w:rPr>
          <w:rFonts w:ascii="仿宋" w:hAnsi="仿宋" w:eastAsia="仿宋"/>
          <w:color w:val="auto"/>
          <w:sz w:val="24"/>
        </w:rPr>
      </w:pPr>
      <w:r>
        <w:rPr>
          <w:rFonts w:hint="eastAsia" w:ascii="仿宋" w:hAnsi="仿宋" w:eastAsia="仿宋"/>
          <w:bCs/>
          <w:color w:val="auto"/>
          <w:kern w:val="0"/>
          <w:sz w:val="24"/>
        </w:rPr>
        <w:t>供应商所投产品应提供具有检测资质的检验检测部门出具的检验检测报告、设备出厂原始数据（即datasheet技术白皮书）、对外公开发行的印刷版彩页。</w:t>
      </w:r>
    </w:p>
    <w:p>
      <w:pPr>
        <w:pStyle w:val="703"/>
        <w:spacing w:line="440" w:lineRule="exact"/>
        <w:jc w:val="left"/>
        <w:rPr>
          <w:rFonts w:ascii="仿宋" w:hAnsi="仿宋" w:eastAsia="仿宋"/>
          <w:color w:val="auto"/>
          <w:sz w:val="24"/>
        </w:rPr>
      </w:pPr>
    </w:p>
    <w:p>
      <w:pPr>
        <w:pStyle w:val="703"/>
        <w:spacing w:line="440" w:lineRule="exact"/>
        <w:jc w:val="left"/>
        <w:rPr>
          <w:rFonts w:ascii="仿宋" w:hAnsi="仿宋" w:eastAsia="仿宋"/>
          <w:color w:val="auto"/>
          <w:sz w:val="24"/>
        </w:rPr>
      </w:pPr>
    </w:p>
    <w:p>
      <w:pPr>
        <w:pStyle w:val="703"/>
        <w:spacing w:line="440" w:lineRule="exact"/>
        <w:jc w:val="left"/>
        <w:rPr>
          <w:rFonts w:ascii="仿宋" w:hAnsi="仿宋" w:eastAsia="仿宋"/>
          <w:color w:val="auto"/>
          <w:sz w:val="24"/>
        </w:rPr>
      </w:pPr>
      <w:r>
        <w:rPr>
          <w:rFonts w:ascii="仿宋" w:hAnsi="仿宋" w:eastAsia="仿宋"/>
          <w:b/>
          <w:bCs/>
          <w:color w:val="auto"/>
          <w:sz w:val="24"/>
        </w:rPr>
        <w:br w:type="page"/>
      </w:r>
      <w:r>
        <w:rPr>
          <w:rFonts w:hint="eastAsia" w:ascii="仿宋" w:hAnsi="仿宋" w:eastAsia="仿宋"/>
          <w:b/>
          <w:bCs/>
          <w:color w:val="auto"/>
          <w:sz w:val="24"/>
        </w:rPr>
        <w:t>附件十六</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开标一览表</w:t>
      </w:r>
    </w:p>
    <w:p>
      <w:pPr>
        <w:tabs>
          <w:tab w:val="center" w:pos="7115"/>
          <w:tab w:val="right" w:pos="14230"/>
        </w:tabs>
        <w:ind w:firstLine="723"/>
        <w:jc w:val="center"/>
        <w:rPr>
          <w:rFonts w:ascii="仿宋" w:hAnsi="仿宋" w:eastAsia="仿宋"/>
          <w:color w:val="auto"/>
          <w:sz w:val="24"/>
        </w:rPr>
      </w:pPr>
    </w:p>
    <w:p>
      <w:pPr>
        <w:tabs>
          <w:tab w:val="center" w:pos="7115"/>
          <w:tab w:val="right" w:pos="14230"/>
        </w:tabs>
        <w:ind w:firstLine="120" w:firstLineChars="50"/>
        <w:rPr>
          <w:rFonts w:ascii="仿宋" w:hAnsi="仿宋" w:eastAsia="仿宋"/>
          <w:color w:val="auto"/>
          <w:sz w:val="24"/>
        </w:rPr>
      </w:pPr>
      <w:r>
        <w:rPr>
          <w:rFonts w:hint="eastAsia" w:ascii="仿宋" w:hAnsi="仿宋" w:eastAsia="仿宋"/>
          <w:color w:val="auto"/>
          <w:sz w:val="24"/>
        </w:rPr>
        <w:t>供应商名称：                                                       单位：元</w:t>
      </w:r>
    </w:p>
    <w:p>
      <w:pPr>
        <w:spacing w:line="360" w:lineRule="exact"/>
        <w:ind w:firstLine="120" w:firstLineChars="50"/>
        <w:rPr>
          <w:rFonts w:ascii="仿宋" w:hAnsi="仿宋" w:eastAsia="仿宋" w:cs="宋体"/>
          <w:color w:val="auto"/>
          <w:spacing w:val="-10"/>
          <w:kern w:val="0"/>
          <w:sz w:val="24"/>
        </w:rPr>
      </w:pPr>
      <w:r>
        <w:rPr>
          <w:rFonts w:hint="eastAsia" w:ascii="仿宋" w:hAnsi="仿宋" w:eastAsia="仿宋"/>
          <w:color w:val="auto"/>
          <w:sz w:val="24"/>
        </w:rPr>
        <w:t>项目名称：</w:t>
      </w:r>
      <w:r>
        <w:rPr>
          <w:rFonts w:hint="eastAsia" w:ascii="仿宋" w:hAnsi="仿宋" w:eastAsia="仿宋" w:cs="宋体"/>
          <w:color w:val="auto"/>
          <w:spacing w:val="-10"/>
          <w:kern w:val="0"/>
          <w:sz w:val="24"/>
        </w:rPr>
        <w:t xml:space="preserve">                                                                    项目</w:t>
      </w:r>
      <w:r>
        <w:rPr>
          <w:rFonts w:hint="eastAsia" w:ascii="仿宋" w:hAnsi="仿宋" w:eastAsia="仿宋"/>
          <w:color w:val="auto"/>
          <w:sz w:val="24"/>
        </w:rPr>
        <w:t>编号：</w:t>
      </w:r>
    </w:p>
    <w:tbl>
      <w:tblPr>
        <w:tblStyle w:val="59"/>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2081"/>
        <w:gridCol w:w="725"/>
        <w:gridCol w:w="709"/>
        <w:gridCol w:w="992"/>
        <w:gridCol w:w="850"/>
        <w:gridCol w:w="1324"/>
        <w:gridCol w:w="1113"/>
        <w:gridCol w:w="1107"/>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5" w:hRule="atLeast"/>
          <w:jc w:val="center"/>
        </w:trPr>
        <w:tc>
          <w:tcPr>
            <w:tcW w:w="575" w:type="dxa"/>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序号</w:t>
            </w:r>
          </w:p>
        </w:tc>
        <w:tc>
          <w:tcPr>
            <w:tcW w:w="2081" w:type="dxa"/>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设备名称</w:t>
            </w:r>
          </w:p>
        </w:tc>
        <w:tc>
          <w:tcPr>
            <w:tcW w:w="725" w:type="dxa"/>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数量</w:t>
            </w:r>
          </w:p>
        </w:tc>
        <w:tc>
          <w:tcPr>
            <w:tcW w:w="709" w:type="dxa"/>
            <w:vAlign w:val="center"/>
          </w:tcPr>
          <w:p>
            <w:pPr>
              <w:jc w:val="center"/>
              <w:rPr>
                <w:rFonts w:ascii="仿宋" w:hAnsi="仿宋" w:eastAsia="仿宋"/>
                <w:color w:val="auto"/>
                <w:sz w:val="24"/>
              </w:rPr>
            </w:pPr>
            <w:r>
              <w:rPr>
                <w:rFonts w:hint="eastAsia" w:ascii="仿宋" w:hAnsi="仿宋" w:eastAsia="仿宋"/>
                <w:color w:val="auto"/>
                <w:sz w:val="24"/>
              </w:rPr>
              <w:t>规格型号</w:t>
            </w:r>
          </w:p>
        </w:tc>
        <w:tc>
          <w:tcPr>
            <w:tcW w:w="992" w:type="dxa"/>
            <w:vAlign w:val="center"/>
          </w:tcPr>
          <w:p>
            <w:pPr>
              <w:jc w:val="center"/>
              <w:rPr>
                <w:rFonts w:ascii="仿宋" w:hAnsi="仿宋" w:eastAsia="仿宋"/>
                <w:color w:val="auto"/>
                <w:sz w:val="24"/>
              </w:rPr>
            </w:pPr>
            <w:r>
              <w:rPr>
                <w:rFonts w:hint="eastAsia" w:ascii="仿宋" w:hAnsi="仿宋" w:eastAsia="仿宋"/>
                <w:color w:val="auto"/>
                <w:sz w:val="24"/>
              </w:rPr>
              <w:t>制造商名称</w:t>
            </w:r>
          </w:p>
        </w:tc>
        <w:tc>
          <w:tcPr>
            <w:tcW w:w="850" w:type="dxa"/>
            <w:vAlign w:val="center"/>
          </w:tcPr>
          <w:p>
            <w:pPr>
              <w:jc w:val="center"/>
              <w:rPr>
                <w:rFonts w:ascii="仿宋" w:hAnsi="仿宋" w:eastAsia="仿宋"/>
                <w:color w:val="auto"/>
                <w:sz w:val="24"/>
              </w:rPr>
            </w:pPr>
            <w:r>
              <w:rPr>
                <w:rFonts w:hint="eastAsia" w:ascii="仿宋" w:hAnsi="仿宋" w:eastAsia="仿宋"/>
                <w:color w:val="auto"/>
                <w:sz w:val="24"/>
              </w:rPr>
              <w:t>设备价（元）</w:t>
            </w:r>
          </w:p>
        </w:tc>
        <w:tc>
          <w:tcPr>
            <w:tcW w:w="1324" w:type="dxa"/>
            <w:vAlign w:val="center"/>
          </w:tcPr>
          <w:p>
            <w:pPr>
              <w:jc w:val="center"/>
              <w:rPr>
                <w:rFonts w:ascii="仿宋" w:hAnsi="仿宋" w:eastAsia="仿宋"/>
                <w:color w:val="auto"/>
                <w:sz w:val="24"/>
              </w:rPr>
            </w:pPr>
            <w:r>
              <w:rPr>
                <w:rFonts w:hint="eastAsia" w:ascii="仿宋" w:hAnsi="仿宋" w:eastAsia="仿宋"/>
                <w:color w:val="auto"/>
                <w:sz w:val="24"/>
              </w:rPr>
              <w:t>安装调试费（元）</w:t>
            </w:r>
          </w:p>
        </w:tc>
        <w:tc>
          <w:tcPr>
            <w:tcW w:w="1113" w:type="dxa"/>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运杂费(元)</w:t>
            </w:r>
          </w:p>
        </w:tc>
        <w:tc>
          <w:tcPr>
            <w:tcW w:w="1107" w:type="dxa"/>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合价（元）</w:t>
            </w:r>
          </w:p>
        </w:tc>
        <w:tc>
          <w:tcPr>
            <w:tcW w:w="685" w:type="dxa"/>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5" w:hRule="atLeast"/>
          <w:jc w:val="center"/>
        </w:trPr>
        <w:tc>
          <w:tcPr>
            <w:tcW w:w="575" w:type="dxa"/>
            <w:vAlign w:val="center"/>
          </w:tcPr>
          <w:p>
            <w:pPr>
              <w:jc w:val="center"/>
              <w:rPr>
                <w:rFonts w:ascii="仿宋" w:hAnsi="仿宋" w:eastAsia="仿宋" w:cs="仿宋_GB2312"/>
                <w:color w:val="auto"/>
                <w:sz w:val="24"/>
              </w:rPr>
            </w:pPr>
            <w:r>
              <w:rPr>
                <w:rFonts w:hint="eastAsia" w:ascii="仿宋" w:hAnsi="仿宋" w:eastAsia="仿宋" w:cs="仿宋_GB2312"/>
                <w:color w:val="auto"/>
                <w:sz w:val="24"/>
              </w:rPr>
              <w:t>1</w:t>
            </w:r>
          </w:p>
        </w:tc>
        <w:tc>
          <w:tcPr>
            <w:tcW w:w="2081" w:type="dxa"/>
            <w:vAlign w:val="center"/>
          </w:tcPr>
          <w:p>
            <w:pPr>
              <w:jc w:val="center"/>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6</w:t>
            </w:r>
            <w:r>
              <w:rPr>
                <w:rFonts w:hint="eastAsia" w:ascii="仿宋" w:hAnsi="仿宋" w:eastAsia="仿宋"/>
                <w:color w:val="auto"/>
                <w:sz w:val="24"/>
              </w:rPr>
              <w:t>排螺旋CT系统</w:t>
            </w:r>
          </w:p>
        </w:tc>
        <w:tc>
          <w:tcPr>
            <w:tcW w:w="725" w:type="dxa"/>
            <w:vAlign w:val="center"/>
          </w:tcPr>
          <w:p>
            <w:pPr>
              <w:jc w:val="center"/>
              <w:rPr>
                <w:rFonts w:ascii="仿宋" w:hAnsi="仿宋" w:eastAsia="仿宋"/>
                <w:color w:val="auto"/>
                <w:sz w:val="24"/>
              </w:rPr>
            </w:pPr>
            <w:r>
              <w:rPr>
                <w:rFonts w:hint="eastAsia" w:ascii="仿宋" w:hAnsi="仿宋" w:eastAsia="仿宋"/>
                <w:color w:val="auto"/>
                <w:sz w:val="24"/>
              </w:rPr>
              <w:t>1套</w:t>
            </w:r>
          </w:p>
        </w:tc>
        <w:tc>
          <w:tcPr>
            <w:tcW w:w="709" w:type="dxa"/>
            <w:vAlign w:val="center"/>
          </w:tcPr>
          <w:p>
            <w:pPr>
              <w:jc w:val="center"/>
              <w:rPr>
                <w:rFonts w:ascii="仿宋" w:hAnsi="仿宋" w:eastAsia="仿宋"/>
                <w:color w:val="auto"/>
                <w:sz w:val="24"/>
              </w:rPr>
            </w:pPr>
          </w:p>
        </w:tc>
        <w:tc>
          <w:tcPr>
            <w:tcW w:w="992" w:type="dxa"/>
            <w:vAlign w:val="center"/>
          </w:tcPr>
          <w:p>
            <w:pPr>
              <w:jc w:val="center"/>
              <w:rPr>
                <w:rFonts w:ascii="仿宋" w:hAnsi="仿宋" w:eastAsia="仿宋"/>
                <w:color w:val="auto"/>
                <w:sz w:val="24"/>
              </w:rPr>
            </w:pPr>
          </w:p>
        </w:tc>
        <w:tc>
          <w:tcPr>
            <w:tcW w:w="850" w:type="dxa"/>
            <w:vAlign w:val="center"/>
          </w:tcPr>
          <w:p>
            <w:pPr>
              <w:jc w:val="center"/>
              <w:rPr>
                <w:rFonts w:ascii="仿宋" w:hAnsi="仿宋" w:eastAsia="仿宋"/>
                <w:color w:val="auto"/>
                <w:sz w:val="24"/>
              </w:rPr>
            </w:pPr>
          </w:p>
        </w:tc>
        <w:tc>
          <w:tcPr>
            <w:tcW w:w="1324" w:type="dxa"/>
            <w:vAlign w:val="center"/>
          </w:tcPr>
          <w:p>
            <w:pPr>
              <w:jc w:val="center"/>
              <w:rPr>
                <w:rFonts w:ascii="仿宋" w:hAnsi="仿宋" w:eastAsia="仿宋"/>
                <w:color w:val="auto"/>
                <w:sz w:val="24"/>
              </w:rPr>
            </w:pPr>
          </w:p>
        </w:tc>
        <w:tc>
          <w:tcPr>
            <w:tcW w:w="1113" w:type="dxa"/>
            <w:tcBorders>
              <w:right w:val="single" w:color="auto" w:sz="4" w:space="0"/>
            </w:tcBorders>
            <w:vAlign w:val="center"/>
          </w:tcPr>
          <w:p>
            <w:pPr>
              <w:jc w:val="center"/>
              <w:rPr>
                <w:rFonts w:ascii="仿宋" w:hAnsi="仿宋" w:eastAsia="仿宋"/>
                <w:color w:val="auto"/>
                <w:sz w:val="24"/>
              </w:rPr>
            </w:pPr>
          </w:p>
        </w:tc>
        <w:tc>
          <w:tcPr>
            <w:tcW w:w="1107" w:type="dxa"/>
            <w:tcBorders>
              <w:right w:val="single" w:color="auto" w:sz="4" w:space="0"/>
            </w:tcBorders>
            <w:vAlign w:val="center"/>
          </w:tcPr>
          <w:p>
            <w:pPr>
              <w:jc w:val="center"/>
              <w:rPr>
                <w:rFonts w:ascii="仿宋" w:hAnsi="仿宋" w:eastAsia="仿宋"/>
                <w:color w:val="auto"/>
                <w:sz w:val="24"/>
              </w:rPr>
            </w:pPr>
          </w:p>
        </w:tc>
        <w:tc>
          <w:tcPr>
            <w:tcW w:w="685" w:type="dxa"/>
            <w:tcBorders>
              <w:left w:val="single" w:color="auto" w:sz="4" w:space="0"/>
              <w:right w:val="single" w:color="auto" w:sz="4" w:space="0"/>
            </w:tcBorders>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atLeast"/>
          <w:jc w:val="center"/>
        </w:trPr>
        <w:tc>
          <w:tcPr>
            <w:tcW w:w="2656" w:type="dxa"/>
            <w:gridSpan w:val="2"/>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投标总报价</w:t>
            </w:r>
          </w:p>
        </w:tc>
        <w:tc>
          <w:tcPr>
            <w:tcW w:w="7505" w:type="dxa"/>
            <w:gridSpan w:val="8"/>
            <w:tcBorders>
              <w:bottom w:val="single" w:color="auto" w:sz="4" w:space="0"/>
            </w:tcBorders>
            <w:vAlign w:val="center"/>
          </w:tcPr>
          <w:p>
            <w:pPr>
              <w:rPr>
                <w:rFonts w:ascii="仿宋" w:hAnsi="仿宋" w:eastAsia="仿宋"/>
                <w:color w:val="auto"/>
                <w:sz w:val="24"/>
                <w:u w:val="single"/>
              </w:rPr>
            </w:pPr>
            <w:r>
              <w:rPr>
                <w:rFonts w:hint="eastAsia" w:ascii="仿宋" w:hAnsi="仿宋" w:eastAsia="仿宋"/>
                <w:color w:val="auto"/>
                <w:sz w:val="24"/>
                <w:u w:val="single"/>
              </w:rPr>
              <w:t>（小写金额）</w:t>
            </w:r>
          </w:p>
          <w:p>
            <w:pPr>
              <w:rPr>
                <w:rFonts w:eastAsia="仿宋"/>
                <w:color w:val="auto"/>
                <w:u w:val="single"/>
              </w:rPr>
            </w:pPr>
            <w:r>
              <w:rPr>
                <w:rFonts w:hint="eastAsia" w:ascii="仿宋" w:hAnsi="仿宋" w:eastAsia="仿宋"/>
                <w:color w:val="auto"/>
                <w:sz w:val="24"/>
                <w:u w:val="single"/>
              </w:rPr>
              <w:t>（大写金额）</w:t>
            </w:r>
          </w:p>
        </w:tc>
      </w:tr>
    </w:tbl>
    <w:p>
      <w:pPr>
        <w:spacing w:line="360" w:lineRule="exact"/>
        <w:ind w:firstLine="110" w:firstLineChars="50"/>
        <w:rPr>
          <w:rFonts w:ascii="仿宋" w:hAnsi="仿宋" w:eastAsia="仿宋" w:cs="宋体"/>
          <w:color w:val="auto"/>
          <w:spacing w:val="-10"/>
          <w:kern w:val="0"/>
          <w:sz w:val="24"/>
        </w:rPr>
      </w:pPr>
    </w:p>
    <w:p>
      <w:pPr>
        <w:widowControl/>
        <w:spacing w:line="440" w:lineRule="exact"/>
        <w:jc w:val="left"/>
        <w:rPr>
          <w:rFonts w:ascii="仿宋" w:hAnsi="仿宋" w:eastAsia="仿宋"/>
          <w:color w:val="auto"/>
          <w:sz w:val="24"/>
        </w:rPr>
      </w:pPr>
      <w:r>
        <w:rPr>
          <w:rFonts w:hint="eastAsia" w:ascii="仿宋" w:hAnsi="仿宋" w:eastAsia="仿宋"/>
          <w:color w:val="auto"/>
          <w:sz w:val="24"/>
        </w:rPr>
        <w:t>供应商（盖公章）：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法定代表人（签字或签章）：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40" w:lineRule="exact"/>
        <w:jc w:val="left"/>
        <w:rPr>
          <w:rFonts w:ascii="仿宋" w:hAnsi="仿宋" w:eastAsia="仿宋"/>
          <w:b/>
          <w:bCs/>
          <w:color w:val="auto"/>
          <w:sz w:val="24"/>
        </w:rPr>
      </w:pPr>
      <w:r>
        <w:rPr>
          <w:rFonts w:hint="eastAsia" w:ascii="仿宋" w:hAnsi="仿宋" w:eastAsia="仿宋"/>
          <w:color w:val="auto"/>
          <w:sz w:val="24"/>
        </w:rPr>
        <w:t>日期： 年  月  日</w:t>
      </w:r>
    </w:p>
    <w:p>
      <w:pPr>
        <w:widowControl/>
        <w:jc w:val="left"/>
        <w:rPr>
          <w:rFonts w:ascii="仿宋" w:hAnsi="仿宋" w:eastAsia="仿宋"/>
          <w:b/>
          <w:bCs/>
          <w:color w:val="auto"/>
          <w:sz w:val="24"/>
        </w:rPr>
      </w:pPr>
    </w:p>
    <w:p>
      <w:pPr>
        <w:widowControl/>
        <w:jc w:val="left"/>
        <w:rPr>
          <w:rFonts w:ascii="仿宋" w:hAnsi="仿宋" w:eastAsia="仿宋"/>
          <w:b/>
          <w:bCs/>
          <w:color w:val="auto"/>
          <w:kern w:val="0"/>
          <w:sz w:val="24"/>
        </w:rPr>
      </w:pPr>
      <w:r>
        <w:rPr>
          <w:rFonts w:hint="eastAsia" w:ascii="仿宋" w:hAnsi="仿宋" w:eastAsia="仿宋"/>
          <w:b/>
          <w:bCs/>
          <w:color w:val="auto"/>
          <w:sz w:val="24"/>
        </w:rPr>
        <w:br w:type="page"/>
      </w:r>
      <w:r>
        <w:rPr>
          <w:rFonts w:hint="eastAsia" w:ascii="仿宋" w:hAnsi="仿宋" w:eastAsia="仿宋"/>
          <w:b/>
          <w:bCs/>
          <w:color w:val="auto"/>
          <w:sz w:val="24"/>
        </w:rPr>
        <w:t xml:space="preserve">附件十七  </w:t>
      </w:r>
      <w:r>
        <w:rPr>
          <w:rFonts w:hint="eastAsia" w:ascii="仿宋" w:hAnsi="仿宋" w:eastAsia="仿宋"/>
          <w:b/>
          <w:bCs/>
          <w:color w:val="auto"/>
          <w:kern w:val="0"/>
          <w:sz w:val="24"/>
        </w:rPr>
        <w:t>分项报价明细表</w:t>
      </w:r>
    </w:p>
    <w:p>
      <w:pPr>
        <w:shd w:val="clear" w:color="auto" w:fill="FFFFFF"/>
        <w:spacing w:line="440" w:lineRule="exact"/>
        <w:rPr>
          <w:rFonts w:ascii="仿宋" w:hAnsi="仿宋" w:eastAsia="仿宋"/>
          <w:b/>
          <w:color w:val="auto"/>
          <w:sz w:val="24"/>
        </w:rPr>
      </w:pP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821"/>
        <w:gridCol w:w="1630"/>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tcBorders>
              <w:top w:val="single" w:color="auto" w:sz="12" w:space="0"/>
              <w:left w:val="single" w:color="auto" w:sz="12"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项</w:t>
            </w:r>
          </w:p>
        </w:tc>
        <w:tc>
          <w:tcPr>
            <w:tcW w:w="2821" w:type="dxa"/>
            <w:tcBorders>
              <w:top w:val="single" w:color="auto" w:sz="12" w:space="0"/>
              <w:left w:val="single" w:color="auto" w:sz="4"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1</w:t>
            </w:r>
          </w:p>
        </w:tc>
        <w:tc>
          <w:tcPr>
            <w:tcW w:w="1630" w:type="dxa"/>
            <w:tcBorders>
              <w:top w:val="single" w:color="auto" w:sz="12" w:space="0"/>
              <w:left w:val="single" w:color="auto" w:sz="4" w:space="0"/>
              <w:bottom w:val="single" w:color="auto" w:sz="4" w:space="0"/>
              <w:right w:val="single" w:color="auto" w:sz="4" w:space="0"/>
            </w:tcBorders>
            <w:vAlign w:val="center"/>
          </w:tcPr>
          <w:p>
            <w:pPr>
              <w:pStyle w:val="717"/>
              <w:tabs>
                <w:tab w:val="left" w:pos="1337"/>
              </w:tabs>
              <w:spacing w:line="360" w:lineRule="auto"/>
              <w:ind w:right="-42"/>
              <w:jc w:val="center"/>
              <w:rPr>
                <w:rFonts w:ascii="仿宋" w:hAnsi="仿宋" w:eastAsia="仿宋"/>
                <w:color w:val="auto"/>
                <w:sz w:val="24"/>
              </w:rPr>
            </w:pPr>
            <w:r>
              <w:rPr>
                <w:rFonts w:hint="eastAsia" w:ascii="仿宋" w:hAnsi="仿宋" w:eastAsia="仿宋"/>
                <w:color w:val="auto"/>
                <w:sz w:val="24"/>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17"/>
              <w:tabs>
                <w:tab w:val="left" w:pos="1337"/>
              </w:tabs>
              <w:spacing w:line="360" w:lineRule="auto"/>
              <w:ind w:right="-42"/>
              <w:jc w:val="center"/>
              <w:rPr>
                <w:rFonts w:ascii="仿宋" w:hAnsi="仿宋" w:eastAsia="仿宋"/>
                <w:color w:val="auto"/>
                <w:sz w:val="24"/>
              </w:rPr>
            </w:pPr>
            <w:r>
              <w:rPr>
                <w:rFonts w:hint="eastAsia" w:ascii="仿宋" w:hAnsi="仿宋" w:eastAsia="仿宋"/>
                <w:color w:val="auto"/>
                <w:sz w:val="24"/>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17"/>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restart"/>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序</w:t>
            </w:r>
          </w:p>
          <w:p>
            <w:pPr>
              <w:pStyle w:val="717"/>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号</w:t>
            </w:r>
          </w:p>
        </w:tc>
        <w:tc>
          <w:tcPr>
            <w:tcW w:w="2821" w:type="dxa"/>
            <w:vMerge w:val="restart"/>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产品名称</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ind w:left="-42" w:right="-42"/>
              <w:jc w:val="center"/>
              <w:rPr>
                <w:rFonts w:ascii="仿宋" w:hAnsi="仿宋" w:eastAsia="仿宋"/>
                <w:color w:val="auto"/>
                <w:sz w:val="24"/>
              </w:rPr>
            </w:pPr>
            <w:r>
              <w:rPr>
                <w:rFonts w:hint="eastAsia" w:ascii="仿宋" w:hAnsi="仿宋" w:eastAsia="仿宋"/>
                <w:color w:val="auto"/>
                <w:sz w:val="24"/>
              </w:rPr>
              <w:t>原产地和制造商名称</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17"/>
              <w:spacing w:line="360" w:lineRule="auto"/>
              <w:jc w:val="center"/>
              <w:rPr>
                <w:rFonts w:ascii="仿宋" w:hAnsi="仿宋" w:eastAsia="仿宋"/>
                <w:color w:val="auto"/>
                <w:sz w:val="24"/>
              </w:rPr>
            </w:pPr>
            <w:r>
              <w:rPr>
                <w:rFonts w:hint="eastAsia" w:ascii="仿宋" w:hAnsi="仿宋" w:eastAsia="仿宋"/>
                <w:color w:val="auto"/>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continue"/>
            <w:tcBorders>
              <w:top w:val="single" w:color="auto" w:sz="4" w:space="0"/>
              <w:left w:val="single" w:color="auto" w:sz="12" w:space="0"/>
              <w:bottom w:val="single" w:color="auto" w:sz="4" w:space="0"/>
              <w:right w:val="single" w:color="auto" w:sz="4" w:space="0"/>
            </w:tcBorders>
            <w:vAlign w:val="center"/>
          </w:tcPr>
          <w:p>
            <w:pPr>
              <w:pStyle w:val="718"/>
              <w:widowControl/>
              <w:jc w:val="left"/>
              <w:rPr>
                <w:rFonts w:ascii="仿宋" w:hAnsi="仿宋" w:eastAsia="仿宋"/>
                <w:color w:val="auto"/>
                <w:sz w:val="24"/>
              </w:rPr>
            </w:pPr>
          </w:p>
        </w:tc>
        <w:tc>
          <w:tcPr>
            <w:tcW w:w="2821" w:type="dxa"/>
            <w:vMerge w:val="continue"/>
            <w:tcBorders>
              <w:top w:val="single" w:color="auto" w:sz="4" w:space="0"/>
              <w:left w:val="single" w:color="auto" w:sz="4" w:space="0"/>
              <w:bottom w:val="single" w:color="auto" w:sz="4" w:space="0"/>
              <w:right w:val="single" w:color="auto" w:sz="4" w:space="0"/>
            </w:tcBorders>
            <w:vAlign w:val="center"/>
          </w:tcPr>
          <w:p>
            <w:pPr>
              <w:pStyle w:val="718"/>
              <w:widowControl/>
              <w:jc w:val="left"/>
              <w:rPr>
                <w:rFonts w:ascii="仿宋" w:hAnsi="仿宋" w:eastAsia="仿宋"/>
                <w:color w:val="auto"/>
                <w:sz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pStyle w:val="718"/>
              <w:widowControl/>
              <w:jc w:val="left"/>
              <w:rPr>
                <w:rFonts w:ascii="仿宋" w:hAnsi="仿宋" w:eastAsia="仿宋"/>
                <w:color w:val="auto"/>
                <w:sz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18"/>
              <w:widowControl/>
              <w:jc w:val="left"/>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单价</w:t>
            </w:r>
          </w:p>
        </w:tc>
        <w:tc>
          <w:tcPr>
            <w:tcW w:w="955" w:type="dxa"/>
            <w:tcBorders>
              <w:top w:val="single" w:color="auto" w:sz="4" w:space="0"/>
              <w:left w:val="single" w:color="auto" w:sz="4" w:space="0"/>
              <w:bottom w:val="single" w:color="auto" w:sz="4" w:space="0"/>
              <w:right w:val="single" w:color="auto" w:sz="4" w:space="0"/>
            </w:tcBorders>
            <w:vAlign w:val="center"/>
          </w:tcPr>
          <w:p>
            <w:pPr>
              <w:pStyle w:val="717"/>
              <w:widowControl/>
              <w:spacing w:line="360" w:lineRule="auto"/>
              <w:jc w:val="center"/>
              <w:rPr>
                <w:rFonts w:ascii="仿宋" w:hAnsi="仿宋" w:eastAsia="仿宋"/>
                <w:color w:val="auto"/>
                <w:sz w:val="24"/>
              </w:rPr>
            </w:pPr>
            <w:r>
              <w:rPr>
                <w:rFonts w:hint="eastAsia" w:ascii="仿宋" w:hAnsi="仿宋" w:eastAsia="仿宋"/>
                <w:color w:val="auto"/>
                <w:sz w:val="24"/>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17"/>
              <w:widowControl/>
              <w:spacing w:line="360" w:lineRule="auto"/>
              <w:jc w:val="center"/>
              <w:rPr>
                <w:rFonts w:ascii="仿宋" w:hAnsi="仿宋" w:eastAsia="仿宋"/>
                <w:color w:val="auto"/>
                <w:sz w:val="24"/>
              </w:rPr>
            </w:pPr>
            <w:r>
              <w:rPr>
                <w:rFonts w:hint="eastAsia" w:ascii="仿宋" w:hAnsi="仿宋" w:eastAsia="仿宋"/>
                <w:color w:val="auto"/>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1</w:t>
            </w: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6</w:t>
            </w:r>
            <w:r>
              <w:rPr>
                <w:rFonts w:hint="eastAsia" w:ascii="仿宋" w:hAnsi="仿宋" w:eastAsia="仿宋"/>
                <w:color w:val="auto"/>
                <w:sz w:val="24"/>
              </w:rPr>
              <w:t>排螺旋CT</w:t>
            </w: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2</w:t>
            </w: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_GB2312" w:hAnsi="黑体" w:eastAsia="仿宋_GB2312"/>
                <w:bCs/>
                <w:color w:val="auto"/>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3</w:t>
            </w: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_GB2312" w:hAnsi="黑体" w:eastAsia="仿宋_GB2312"/>
                <w:bCs/>
                <w:color w:val="auto"/>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_GB2312" w:hAnsi="黑体" w:eastAsia="仿宋_GB2312"/>
                <w:bCs/>
                <w:color w:val="auto"/>
                <w:spacing w:val="-4"/>
                <w:kern w:val="0"/>
                <w:sz w:val="24"/>
              </w:rPr>
            </w:pPr>
            <w:r>
              <w:rPr>
                <w:rFonts w:hint="eastAsia" w:ascii="仿宋_GB2312" w:hAnsi="黑体" w:eastAsia="仿宋_GB2312"/>
                <w:bCs/>
                <w:color w:val="auto"/>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备品备件</w:t>
            </w: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专用工具</w:t>
            </w: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w:t>
            </w:r>
          </w:p>
        </w:tc>
        <w:tc>
          <w:tcPr>
            <w:tcW w:w="1630"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货物费用小计</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安装调试费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技术支持费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培训费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运输与保险费</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ind w:firstLine="960" w:firstLineChars="400"/>
              <w:rPr>
                <w:rFonts w:ascii="仿宋" w:hAnsi="仿宋" w:eastAsia="仿宋"/>
                <w:color w:val="auto"/>
                <w:sz w:val="24"/>
              </w:rPr>
            </w:pPr>
            <w:r>
              <w:rPr>
                <w:rFonts w:hint="eastAsia" w:ascii="仿宋" w:hAnsi="仿宋" w:eastAsia="仿宋"/>
                <w:color w:val="auto"/>
                <w:sz w:val="24"/>
              </w:rPr>
              <w:t>其他</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r>
              <w:rPr>
                <w:rFonts w:hint="eastAsia" w:ascii="仿宋" w:hAnsi="仿宋" w:eastAsia="仿宋"/>
                <w:color w:val="auto"/>
                <w:sz w:val="24"/>
              </w:rPr>
              <w:t>合计</w:t>
            </w:r>
          </w:p>
        </w:tc>
        <w:tc>
          <w:tcPr>
            <w:tcW w:w="3038" w:type="dxa"/>
            <w:gridSpan w:val="2"/>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17"/>
              <w:tabs>
                <w:tab w:val="left" w:pos="1337"/>
              </w:tabs>
              <w:spacing w:line="360" w:lineRule="auto"/>
              <w:jc w:val="center"/>
              <w:rPr>
                <w:rFonts w:ascii="仿宋" w:hAnsi="仿宋" w:eastAsia="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17"/>
              <w:tabs>
                <w:tab w:val="left" w:pos="1337"/>
              </w:tabs>
              <w:spacing w:line="360" w:lineRule="auto"/>
              <w:jc w:val="center"/>
              <w:rPr>
                <w:rFonts w:ascii="仿宋" w:hAnsi="仿宋" w:eastAsia="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17"/>
              <w:tabs>
                <w:tab w:val="left" w:pos="1337"/>
              </w:tabs>
              <w:spacing w:line="360" w:lineRule="auto"/>
              <w:jc w:val="center"/>
              <w:rPr>
                <w:rFonts w:ascii="仿宋" w:hAnsi="仿宋" w:eastAsia="仿宋"/>
                <w:color w:val="auto"/>
                <w:sz w:val="24"/>
              </w:rPr>
            </w:pPr>
          </w:p>
        </w:tc>
      </w:tr>
    </w:tbl>
    <w:p>
      <w:pPr>
        <w:pStyle w:val="721"/>
        <w:tabs>
          <w:tab w:val="left" w:pos="420"/>
          <w:tab w:val="clear" w:pos="360"/>
        </w:tabs>
        <w:spacing w:line="340" w:lineRule="exact"/>
        <w:outlineLvl w:val="2"/>
        <w:rPr>
          <w:rFonts w:ascii="仿宋" w:hAnsi="仿宋" w:eastAsia="仿宋"/>
          <w:color w:val="auto"/>
        </w:rPr>
      </w:pPr>
    </w:p>
    <w:p>
      <w:pPr>
        <w:widowControl/>
        <w:spacing w:line="440" w:lineRule="exact"/>
        <w:ind w:firstLine="5400" w:firstLineChars="2250"/>
        <w:jc w:val="left"/>
        <w:rPr>
          <w:rFonts w:ascii="仿宋" w:hAnsi="仿宋" w:eastAsia="仿宋"/>
          <w:color w:val="auto"/>
          <w:sz w:val="24"/>
        </w:rPr>
      </w:pPr>
      <w:r>
        <w:rPr>
          <w:rFonts w:hint="eastAsia" w:ascii="仿宋" w:hAnsi="仿宋" w:eastAsia="仿宋"/>
          <w:color w:val="auto"/>
          <w:sz w:val="24"/>
        </w:rPr>
        <w:t>供应商（盖公章）：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 xml:space="preserve">                                             法定代表人（签字或签章）：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 xml:space="preserve">                                             授权代理人（签字或签章）：</w:t>
      </w:r>
    </w:p>
    <w:p>
      <w:pPr>
        <w:pStyle w:val="719"/>
        <w:spacing w:line="440" w:lineRule="exact"/>
        <w:rPr>
          <w:rFonts w:ascii="仿宋" w:hAnsi="仿宋" w:eastAsia="仿宋"/>
          <w:color w:val="auto"/>
          <w:sz w:val="24"/>
        </w:rPr>
      </w:pPr>
      <w:r>
        <w:rPr>
          <w:rFonts w:hint="eastAsia" w:ascii="仿宋" w:hAnsi="仿宋" w:eastAsia="仿宋"/>
          <w:color w:val="auto"/>
          <w:sz w:val="24"/>
        </w:rPr>
        <w:t xml:space="preserve">                                             日期： 年  月  日</w:t>
      </w:r>
    </w:p>
    <w:p>
      <w:pPr>
        <w:pStyle w:val="720"/>
        <w:spacing w:line="360" w:lineRule="auto"/>
        <w:ind w:right="-97"/>
        <w:rPr>
          <w:rFonts w:ascii="仿宋" w:hAnsi="仿宋" w:eastAsia="仿宋"/>
          <w:color w:val="auto"/>
          <w:sz w:val="24"/>
        </w:rPr>
      </w:pPr>
    </w:p>
    <w:p>
      <w:pPr>
        <w:widowControl/>
        <w:ind w:right="482"/>
        <w:rPr>
          <w:rFonts w:ascii="仿宋" w:hAnsi="仿宋" w:eastAsia="仿宋"/>
          <w:bCs/>
          <w:color w:val="auto"/>
          <w:szCs w:val="21"/>
        </w:rPr>
      </w:pPr>
    </w:p>
    <w:sectPr>
      <w:footerReference r:id="rId5" w:type="first"/>
      <w:headerReference r:id="rId3" w:type="default"/>
      <w:footerReference r:id="rId4" w:type="default"/>
      <w:pgSz w:w="11906" w:h="16838"/>
      <w:pgMar w:top="1134" w:right="1134" w:bottom="1134" w:left="1134" w:header="703" w:footer="85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魏碑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0000000000000000000"/>
    <w:charset w:val="86"/>
    <w:family w:val="auto"/>
    <w:pitch w:val="default"/>
    <w:sig w:usb0="00000000" w:usb1="00000000" w:usb2="00000000" w:usb3="00000000" w:csb0="00040000" w:csb1="00000000"/>
  </w:font>
  <w:font w:name="Geneva">
    <w:altName w:val="Arial"/>
    <w:panose1 w:val="00000000000000000000"/>
    <w:charset w:val="00"/>
    <w:family w:val="auto"/>
    <w:pitch w:val="default"/>
    <w:sig w:usb0="00000000" w:usb1="00000000" w:usb2="00000000" w:usb3="00000000" w:csb0="00000000" w:csb1="00000000"/>
  </w:font>
  <w:font w:name="Angsana New">
    <w:panose1 w:val="02020603050405020304"/>
    <w:charset w:val="DE"/>
    <w:family w:val="roman"/>
    <w:pitch w:val="default"/>
    <w:sig w:usb0="81000003" w:usb1="00000000" w:usb2="00000000" w:usb3="00000000" w:csb0="00010001"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top w:val="dashDotStroked" w:color="auto" w:sz="24" w:space="1"/>
      </w:pBdr>
      <w:jc w:val="center"/>
      <w:rPr>
        <w:rFonts w:ascii="宋体"/>
        <w:kern w:val="0"/>
        <w:sz w:val="20"/>
      </w:rPr>
    </w:pPr>
    <w:r>
      <w:rPr>
        <w:sz w:val="20"/>
      </w:rP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rQejDmAQAAxwMA&#10;AA4AAAAAAAAAAQAgAAAAHgEAAGRycy9lMm9Eb2MueG1sUEsFBgAAAAAGAAYAWQEAAHYFAAAAAA==&#10;">
          <v:path/>
          <v:fill on="f" focussize="0,0"/>
          <v:stroke on="f" joinstyle="miter"/>
          <v:imagedata o:title=""/>
          <o:lock v:ext="edit"/>
          <v:textbox inset="0mm,0mm,0mm,0mm" style="mso-fit-shape-to-text:t;">
            <w:txbxContent>
              <w:p>
                <w:pPr>
                  <w:pStyle w:val="3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39"/>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dashDotStroked" w:color="auto" w:sz="24" w:space="0"/>
      </w:pBdr>
      <w:ind w:left="8004" w:hanging="8035" w:hangingChars="5000"/>
      <w:jc w:val="left"/>
      <w:rPr>
        <w:rFonts w:ascii="仿宋_GB2312" w:eastAsia="仿宋_GB2312"/>
        <w:b/>
        <w:i/>
        <w:spacing w:val="-10"/>
      </w:rPr>
    </w:pPr>
    <w:r>
      <w:rPr>
        <w:rFonts w:hint="eastAsia" w:ascii="仿宋_GB2312" w:eastAsia="仿宋_GB2312"/>
        <w:b/>
        <w:i/>
        <w:spacing w:val="-10"/>
      </w:rPr>
      <w:t>乌鲁木齐县卫健委16排螺旋CT系统采购                                                                         项目编号：2021PC121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2246"/>
    <w:multiLevelType w:val="singleLevel"/>
    <w:tmpl w:val="86972246"/>
    <w:lvl w:ilvl="0" w:tentative="0">
      <w:start w:val="1"/>
      <w:numFmt w:val="decimal"/>
      <w:suff w:val="nothing"/>
      <w:lvlText w:val="%1、"/>
      <w:lvlJc w:val="left"/>
    </w:lvl>
  </w:abstractNum>
  <w:abstractNum w:abstractNumId="1">
    <w:nsid w:val="FFCD9590"/>
    <w:multiLevelType w:val="singleLevel"/>
    <w:tmpl w:val="FFCD9590"/>
    <w:lvl w:ilvl="0" w:tentative="0">
      <w:start w:val="1"/>
      <w:numFmt w:val="decimal"/>
      <w:suff w:val="nothing"/>
      <w:lvlText w:val="%1、"/>
      <w:lvlJc w:val="left"/>
    </w:lvl>
  </w:abstractNum>
  <w:abstractNum w:abstractNumId="2">
    <w:nsid w:val="0EDB2900"/>
    <w:multiLevelType w:val="multilevel"/>
    <w:tmpl w:val="0EDB2900"/>
    <w:lvl w:ilvl="0" w:tentative="0">
      <w:start w:val="1"/>
      <w:numFmt w:val="bullet"/>
      <w:pStyle w:val="511"/>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11BF6E1B"/>
    <w:multiLevelType w:val="multilevel"/>
    <w:tmpl w:val="11BF6E1B"/>
    <w:lvl w:ilvl="0" w:tentative="0">
      <w:start w:val="1"/>
      <w:numFmt w:val="decimal"/>
      <w:pStyle w:val="150"/>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4">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7"/>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5">
    <w:nsid w:val="18232DD3"/>
    <w:multiLevelType w:val="singleLevel"/>
    <w:tmpl w:val="18232DD3"/>
    <w:lvl w:ilvl="0" w:tentative="0">
      <w:start w:val="1"/>
      <w:numFmt w:val="decimal"/>
      <w:pStyle w:val="508"/>
      <w:lvlText w:val="（%1）"/>
      <w:lvlJc w:val="left"/>
      <w:pPr>
        <w:tabs>
          <w:tab w:val="left" w:pos="1800"/>
        </w:tabs>
        <w:ind w:left="1800" w:hanging="900"/>
      </w:pPr>
      <w:rPr>
        <w:rFonts w:hint="eastAsia"/>
      </w:rPr>
    </w:lvl>
  </w:abstractNum>
  <w:abstractNum w:abstractNumId="6">
    <w:nsid w:val="1ED21DBE"/>
    <w:multiLevelType w:val="singleLevel"/>
    <w:tmpl w:val="1ED21DBE"/>
    <w:lvl w:ilvl="0" w:tentative="0">
      <w:start w:val="1"/>
      <w:numFmt w:val="decimal"/>
      <w:suff w:val="nothing"/>
      <w:lvlText w:val="%1、"/>
      <w:lvlJc w:val="left"/>
    </w:lvl>
  </w:abstractNum>
  <w:abstractNum w:abstractNumId="7">
    <w:nsid w:val="20A10221"/>
    <w:multiLevelType w:val="multilevel"/>
    <w:tmpl w:val="20A10221"/>
    <w:lvl w:ilvl="0" w:tentative="0">
      <w:start w:val="1"/>
      <w:numFmt w:val="decimal"/>
      <w:pStyle w:val="21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727B63"/>
    <w:multiLevelType w:val="multilevel"/>
    <w:tmpl w:val="27727B63"/>
    <w:lvl w:ilvl="0" w:tentative="0">
      <w:start w:val="1"/>
      <w:numFmt w:val="bullet"/>
      <w:pStyle w:val="43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tentative="0">
      <w:start w:val="1"/>
      <w:numFmt w:val="decimal"/>
      <w:pStyle w:val="586"/>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6E230785"/>
    <w:multiLevelType w:val="multilevel"/>
    <w:tmpl w:val="6E230785"/>
    <w:lvl w:ilvl="0" w:tentative="0">
      <w:start w:val="1"/>
      <w:numFmt w:val="bullet"/>
      <w:pStyle w:val="613"/>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7ACBBE4"/>
    <w:multiLevelType w:val="singleLevel"/>
    <w:tmpl w:val="77ACBBE4"/>
    <w:lvl w:ilvl="0" w:tentative="0">
      <w:start w:val="1"/>
      <w:numFmt w:val="decimal"/>
      <w:lvlText w:val="(%1)"/>
      <w:lvlJc w:val="left"/>
      <w:pPr>
        <w:tabs>
          <w:tab w:val="left" w:pos="312"/>
        </w:tabs>
      </w:pPr>
    </w:lvl>
  </w:abstractNum>
  <w:abstractNum w:abstractNumId="13">
    <w:nsid w:val="7E3B679F"/>
    <w:multiLevelType w:val="multilevel"/>
    <w:tmpl w:val="7E3B679F"/>
    <w:lvl w:ilvl="0" w:tentative="0">
      <w:start w:val="1"/>
      <w:numFmt w:val="chineseCountingThousand"/>
      <w:pStyle w:val="368"/>
      <w:lvlText w:val="%1."/>
      <w:lvlJc w:val="left"/>
      <w:pPr>
        <w:ind w:left="0" w:firstLine="0"/>
      </w:pPr>
      <w:rPr>
        <w:rFonts w:hint="default"/>
        <w:color w:val="auto"/>
        <w:sz w:val="44"/>
      </w:rPr>
    </w:lvl>
    <w:lvl w:ilvl="1" w:tentative="0">
      <w:start w:val="1"/>
      <w:numFmt w:val="decimal"/>
      <w:pStyle w:val="443"/>
      <w:lvlText w:val="%2"/>
      <w:lvlJc w:val="left"/>
      <w:pPr>
        <w:ind w:left="0" w:firstLine="0"/>
      </w:pPr>
      <w:rPr>
        <w:rFonts w:hint="eastAsia"/>
      </w:rPr>
    </w:lvl>
    <w:lvl w:ilvl="2" w:tentative="0">
      <w:start w:val="1"/>
      <w:numFmt w:val="decimal"/>
      <w:pStyle w:val="551"/>
      <w:lvlText w:val="%2.%3"/>
      <w:lvlJc w:val="left"/>
      <w:pPr>
        <w:ind w:left="0" w:firstLine="0"/>
      </w:pPr>
      <w:rPr>
        <w:rFonts w:hint="eastAsia"/>
      </w:rPr>
    </w:lvl>
    <w:lvl w:ilvl="3" w:tentative="0">
      <w:start w:val="1"/>
      <w:numFmt w:val="decimal"/>
      <w:pStyle w:val="180"/>
      <w:lvlText w:val="%2.%3.%4"/>
      <w:lvlJc w:val="left"/>
      <w:pPr>
        <w:ind w:left="0" w:firstLine="0"/>
      </w:pPr>
      <w:rPr>
        <w:rFonts w:hint="eastAsia"/>
      </w:rPr>
    </w:lvl>
    <w:lvl w:ilvl="4" w:tentative="0">
      <w:start w:val="1"/>
      <w:numFmt w:val="decimal"/>
      <w:pStyle w:val="61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9"/>
  </w:num>
  <w:num w:numId="2">
    <w:abstractNumId w:val="3"/>
  </w:num>
  <w:num w:numId="3">
    <w:abstractNumId w:val="13"/>
  </w:num>
  <w:num w:numId="4">
    <w:abstractNumId w:val="7"/>
  </w:num>
  <w:num w:numId="5">
    <w:abstractNumId w:val="8"/>
  </w:num>
  <w:num w:numId="6">
    <w:abstractNumId w:val="4"/>
  </w:num>
  <w:num w:numId="7">
    <w:abstractNumId w:val="5"/>
  </w:num>
  <w:num w:numId="8">
    <w:abstractNumId w:val="2"/>
  </w:num>
  <w:num w:numId="9">
    <w:abstractNumId w:val="10"/>
  </w:num>
  <w:num w:numId="10">
    <w:abstractNumId w:val="11"/>
  </w:num>
  <w:num w:numId="11">
    <w:abstractNumId w:val="12"/>
  </w:num>
  <w:num w:numId="12">
    <w:abstractNumId w:val="6"/>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7"/>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0709"/>
    <w:rsid w:val="00000648"/>
    <w:rsid w:val="0000080C"/>
    <w:rsid w:val="0000164C"/>
    <w:rsid w:val="00001B99"/>
    <w:rsid w:val="00002059"/>
    <w:rsid w:val="0000219E"/>
    <w:rsid w:val="000026E1"/>
    <w:rsid w:val="00002A72"/>
    <w:rsid w:val="00002D0A"/>
    <w:rsid w:val="00003069"/>
    <w:rsid w:val="0000431D"/>
    <w:rsid w:val="00004BCF"/>
    <w:rsid w:val="00005500"/>
    <w:rsid w:val="00005717"/>
    <w:rsid w:val="00006FF4"/>
    <w:rsid w:val="0000744F"/>
    <w:rsid w:val="00007E6D"/>
    <w:rsid w:val="000100D7"/>
    <w:rsid w:val="00010470"/>
    <w:rsid w:val="00010A5F"/>
    <w:rsid w:val="00010CE3"/>
    <w:rsid w:val="00010DF2"/>
    <w:rsid w:val="00012264"/>
    <w:rsid w:val="00012804"/>
    <w:rsid w:val="00013694"/>
    <w:rsid w:val="000137EC"/>
    <w:rsid w:val="00013833"/>
    <w:rsid w:val="000138DF"/>
    <w:rsid w:val="00013ECD"/>
    <w:rsid w:val="000140FD"/>
    <w:rsid w:val="0001535B"/>
    <w:rsid w:val="00015E47"/>
    <w:rsid w:val="0001650D"/>
    <w:rsid w:val="00016860"/>
    <w:rsid w:val="00016944"/>
    <w:rsid w:val="00016A4D"/>
    <w:rsid w:val="0001711C"/>
    <w:rsid w:val="0001754A"/>
    <w:rsid w:val="000177AF"/>
    <w:rsid w:val="00017BA7"/>
    <w:rsid w:val="00020677"/>
    <w:rsid w:val="00020F51"/>
    <w:rsid w:val="0002167A"/>
    <w:rsid w:val="000216A8"/>
    <w:rsid w:val="00022353"/>
    <w:rsid w:val="00022976"/>
    <w:rsid w:val="000235E9"/>
    <w:rsid w:val="00023E07"/>
    <w:rsid w:val="0002451A"/>
    <w:rsid w:val="0002579A"/>
    <w:rsid w:val="00025802"/>
    <w:rsid w:val="00026643"/>
    <w:rsid w:val="00027213"/>
    <w:rsid w:val="000275F5"/>
    <w:rsid w:val="000275FC"/>
    <w:rsid w:val="0003038B"/>
    <w:rsid w:val="00030458"/>
    <w:rsid w:val="00030940"/>
    <w:rsid w:val="00032460"/>
    <w:rsid w:val="00032774"/>
    <w:rsid w:val="00033651"/>
    <w:rsid w:val="0003443B"/>
    <w:rsid w:val="00034C64"/>
    <w:rsid w:val="00035989"/>
    <w:rsid w:val="000361E1"/>
    <w:rsid w:val="00036619"/>
    <w:rsid w:val="00036F43"/>
    <w:rsid w:val="00037038"/>
    <w:rsid w:val="000375B1"/>
    <w:rsid w:val="000377AC"/>
    <w:rsid w:val="000379CC"/>
    <w:rsid w:val="000403B6"/>
    <w:rsid w:val="000417C3"/>
    <w:rsid w:val="00043FB9"/>
    <w:rsid w:val="00044931"/>
    <w:rsid w:val="00045C26"/>
    <w:rsid w:val="00047062"/>
    <w:rsid w:val="00047090"/>
    <w:rsid w:val="0005094C"/>
    <w:rsid w:val="00050D70"/>
    <w:rsid w:val="000514DA"/>
    <w:rsid w:val="00051B60"/>
    <w:rsid w:val="0005275C"/>
    <w:rsid w:val="00052D90"/>
    <w:rsid w:val="000530B5"/>
    <w:rsid w:val="00053BB2"/>
    <w:rsid w:val="000541EF"/>
    <w:rsid w:val="000578E2"/>
    <w:rsid w:val="00057BEC"/>
    <w:rsid w:val="00057CEE"/>
    <w:rsid w:val="00060599"/>
    <w:rsid w:val="000615F7"/>
    <w:rsid w:val="00061754"/>
    <w:rsid w:val="00061E49"/>
    <w:rsid w:val="00063463"/>
    <w:rsid w:val="00063EE6"/>
    <w:rsid w:val="00063FF9"/>
    <w:rsid w:val="00064BD4"/>
    <w:rsid w:val="0006630D"/>
    <w:rsid w:val="000668C3"/>
    <w:rsid w:val="00066E3F"/>
    <w:rsid w:val="000676B4"/>
    <w:rsid w:val="00070238"/>
    <w:rsid w:val="000706EA"/>
    <w:rsid w:val="0007120E"/>
    <w:rsid w:val="0007149E"/>
    <w:rsid w:val="00071CDF"/>
    <w:rsid w:val="00071F6B"/>
    <w:rsid w:val="000720DB"/>
    <w:rsid w:val="000725C8"/>
    <w:rsid w:val="00072985"/>
    <w:rsid w:val="00072BD7"/>
    <w:rsid w:val="00073D89"/>
    <w:rsid w:val="00073E8E"/>
    <w:rsid w:val="0007454C"/>
    <w:rsid w:val="000749E7"/>
    <w:rsid w:val="00080194"/>
    <w:rsid w:val="00080BCA"/>
    <w:rsid w:val="000819A1"/>
    <w:rsid w:val="000825F2"/>
    <w:rsid w:val="000827AD"/>
    <w:rsid w:val="00082E4F"/>
    <w:rsid w:val="000830A7"/>
    <w:rsid w:val="000832A1"/>
    <w:rsid w:val="0008382F"/>
    <w:rsid w:val="00083B2D"/>
    <w:rsid w:val="000856EF"/>
    <w:rsid w:val="00085DC8"/>
    <w:rsid w:val="00085FAD"/>
    <w:rsid w:val="000864B0"/>
    <w:rsid w:val="000867C7"/>
    <w:rsid w:val="00086C8A"/>
    <w:rsid w:val="00087B69"/>
    <w:rsid w:val="00087F9F"/>
    <w:rsid w:val="00090C73"/>
    <w:rsid w:val="00091F91"/>
    <w:rsid w:val="00092A45"/>
    <w:rsid w:val="0009387E"/>
    <w:rsid w:val="00093D4C"/>
    <w:rsid w:val="00094064"/>
    <w:rsid w:val="000947F1"/>
    <w:rsid w:val="000949E6"/>
    <w:rsid w:val="00094C95"/>
    <w:rsid w:val="0009593D"/>
    <w:rsid w:val="00095994"/>
    <w:rsid w:val="00095EAE"/>
    <w:rsid w:val="000973D4"/>
    <w:rsid w:val="000A08F8"/>
    <w:rsid w:val="000A11E5"/>
    <w:rsid w:val="000A1504"/>
    <w:rsid w:val="000A4ADB"/>
    <w:rsid w:val="000A4BCB"/>
    <w:rsid w:val="000A5AE9"/>
    <w:rsid w:val="000A6391"/>
    <w:rsid w:val="000A7A8F"/>
    <w:rsid w:val="000B0216"/>
    <w:rsid w:val="000B0279"/>
    <w:rsid w:val="000B0851"/>
    <w:rsid w:val="000B0960"/>
    <w:rsid w:val="000B1BB8"/>
    <w:rsid w:val="000B1CC4"/>
    <w:rsid w:val="000B35E1"/>
    <w:rsid w:val="000B389A"/>
    <w:rsid w:val="000B443C"/>
    <w:rsid w:val="000B4FE9"/>
    <w:rsid w:val="000B55BC"/>
    <w:rsid w:val="000B60AE"/>
    <w:rsid w:val="000B6137"/>
    <w:rsid w:val="000B65B8"/>
    <w:rsid w:val="000B6AF4"/>
    <w:rsid w:val="000C0AA0"/>
    <w:rsid w:val="000C1377"/>
    <w:rsid w:val="000C17B0"/>
    <w:rsid w:val="000C2CB4"/>
    <w:rsid w:val="000C3057"/>
    <w:rsid w:val="000C4110"/>
    <w:rsid w:val="000C41EA"/>
    <w:rsid w:val="000C4B6C"/>
    <w:rsid w:val="000C4D44"/>
    <w:rsid w:val="000C686C"/>
    <w:rsid w:val="000C7574"/>
    <w:rsid w:val="000D00C8"/>
    <w:rsid w:val="000D0BBC"/>
    <w:rsid w:val="000D0F31"/>
    <w:rsid w:val="000D1353"/>
    <w:rsid w:val="000D153C"/>
    <w:rsid w:val="000D17BA"/>
    <w:rsid w:val="000D1DBA"/>
    <w:rsid w:val="000D1DDD"/>
    <w:rsid w:val="000D2311"/>
    <w:rsid w:val="000D2FEE"/>
    <w:rsid w:val="000D328F"/>
    <w:rsid w:val="000D33F8"/>
    <w:rsid w:val="000D45E2"/>
    <w:rsid w:val="000D5976"/>
    <w:rsid w:val="000D5F4C"/>
    <w:rsid w:val="000D5FBA"/>
    <w:rsid w:val="000D62DA"/>
    <w:rsid w:val="000D6A10"/>
    <w:rsid w:val="000D7D03"/>
    <w:rsid w:val="000E01A4"/>
    <w:rsid w:val="000E01BB"/>
    <w:rsid w:val="000E0C38"/>
    <w:rsid w:val="000E0FEE"/>
    <w:rsid w:val="000E17A6"/>
    <w:rsid w:val="000E1875"/>
    <w:rsid w:val="000E1A89"/>
    <w:rsid w:val="000E2A07"/>
    <w:rsid w:val="000E36DE"/>
    <w:rsid w:val="000E5965"/>
    <w:rsid w:val="000E5C89"/>
    <w:rsid w:val="000E63FF"/>
    <w:rsid w:val="000E7B08"/>
    <w:rsid w:val="000E7BEE"/>
    <w:rsid w:val="000E7DEA"/>
    <w:rsid w:val="000E7EAF"/>
    <w:rsid w:val="000E7F1E"/>
    <w:rsid w:val="000F0017"/>
    <w:rsid w:val="000F01D5"/>
    <w:rsid w:val="000F0549"/>
    <w:rsid w:val="000F1ED1"/>
    <w:rsid w:val="000F2021"/>
    <w:rsid w:val="000F21E5"/>
    <w:rsid w:val="000F24BF"/>
    <w:rsid w:val="000F299C"/>
    <w:rsid w:val="000F2A62"/>
    <w:rsid w:val="000F39A1"/>
    <w:rsid w:val="000F3F24"/>
    <w:rsid w:val="000F44AE"/>
    <w:rsid w:val="000F48B9"/>
    <w:rsid w:val="000F4FDE"/>
    <w:rsid w:val="000F515E"/>
    <w:rsid w:val="000F5230"/>
    <w:rsid w:val="000F55CE"/>
    <w:rsid w:val="000F5A98"/>
    <w:rsid w:val="000F5C32"/>
    <w:rsid w:val="000F5C69"/>
    <w:rsid w:val="000F6D58"/>
    <w:rsid w:val="00100EF6"/>
    <w:rsid w:val="00101022"/>
    <w:rsid w:val="00101550"/>
    <w:rsid w:val="00101A88"/>
    <w:rsid w:val="00103C81"/>
    <w:rsid w:val="00104153"/>
    <w:rsid w:val="00104779"/>
    <w:rsid w:val="0010489E"/>
    <w:rsid w:val="00104B84"/>
    <w:rsid w:val="001056FC"/>
    <w:rsid w:val="001069F0"/>
    <w:rsid w:val="00107ACE"/>
    <w:rsid w:val="0011054A"/>
    <w:rsid w:val="001113CC"/>
    <w:rsid w:val="001118E4"/>
    <w:rsid w:val="00112782"/>
    <w:rsid w:val="00113994"/>
    <w:rsid w:val="00113D6F"/>
    <w:rsid w:val="00113FC6"/>
    <w:rsid w:val="00114616"/>
    <w:rsid w:val="001154EA"/>
    <w:rsid w:val="00115817"/>
    <w:rsid w:val="00115CAE"/>
    <w:rsid w:val="00116620"/>
    <w:rsid w:val="0011671D"/>
    <w:rsid w:val="001205DF"/>
    <w:rsid w:val="00120DC2"/>
    <w:rsid w:val="00120EB2"/>
    <w:rsid w:val="00121314"/>
    <w:rsid w:val="00122B8B"/>
    <w:rsid w:val="001236B1"/>
    <w:rsid w:val="00124AC7"/>
    <w:rsid w:val="00124BAA"/>
    <w:rsid w:val="00124DF5"/>
    <w:rsid w:val="00124F6E"/>
    <w:rsid w:val="00125E8C"/>
    <w:rsid w:val="00126796"/>
    <w:rsid w:val="00127E92"/>
    <w:rsid w:val="00130176"/>
    <w:rsid w:val="00130A54"/>
    <w:rsid w:val="00130C2C"/>
    <w:rsid w:val="00130D97"/>
    <w:rsid w:val="00130EE4"/>
    <w:rsid w:val="00130FD7"/>
    <w:rsid w:val="00131CC8"/>
    <w:rsid w:val="00132E8E"/>
    <w:rsid w:val="00133161"/>
    <w:rsid w:val="001331DD"/>
    <w:rsid w:val="0013329C"/>
    <w:rsid w:val="001332D6"/>
    <w:rsid w:val="00133537"/>
    <w:rsid w:val="00133BBE"/>
    <w:rsid w:val="00133D43"/>
    <w:rsid w:val="00137242"/>
    <w:rsid w:val="00141351"/>
    <w:rsid w:val="00142ED9"/>
    <w:rsid w:val="001432C0"/>
    <w:rsid w:val="001434FF"/>
    <w:rsid w:val="00143BE1"/>
    <w:rsid w:val="00144F52"/>
    <w:rsid w:val="00145344"/>
    <w:rsid w:val="0014543A"/>
    <w:rsid w:val="00145484"/>
    <w:rsid w:val="00145632"/>
    <w:rsid w:val="001468EF"/>
    <w:rsid w:val="00147C51"/>
    <w:rsid w:val="00150704"/>
    <w:rsid w:val="00150ECD"/>
    <w:rsid w:val="00153B51"/>
    <w:rsid w:val="00153ED1"/>
    <w:rsid w:val="00154367"/>
    <w:rsid w:val="001544B2"/>
    <w:rsid w:val="00154A90"/>
    <w:rsid w:val="001553B5"/>
    <w:rsid w:val="001556E9"/>
    <w:rsid w:val="00155A2F"/>
    <w:rsid w:val="0015642B"/>
    <w:rsid w:val="001568D4"/>
    <w:rsid w:val="00157E9E"/>
    <w:rsid w:val="00160BC8"/>
    <w:rsid w:val="00160FC2"/>
    <w:rsid w:val="00161870"/>
    <w:rsid w:val="00161B20"/>
    <w:rsid w:val="0016302E"/>
    <w:rsid w:val="0016347D"/>
    <w:rsid w:val="00163499"/>
    <w:rsid w:val="00163CF4"/>
    <w:rsid w:val="001642B0"/>
    <w:rsid w:val="001647B3"/>
    <w:rsid w:val="00164F78"/>
    <w:rsid w:val="00165068"/>
    <w:rsid w:val="00165A93"/>
    <w:rsid w:val="00165B6E"/>
    <w:rsid w:val="00166129"/>
    <w:rsid w:val="00166EAA"/>
    <w:rsid w:val="00166EDE"/>
    <w:rsid w:val="00167210"/>
    <w:rsid w:val="00167E2A"/>
    <w:rsid w:val="00167EFB"/>
    <w:rsid w:val="00170781"/>
    <w:rsid w:val="00171434"/>
    <w:rsid w:val="00171C3E"/>
    <w:rsid w:val="00172069"/>
    <w:rsid w:val="00172AFF"/>
    <w:rsid w:val="00173868"/>
    <w:rsid w:val="00173D3B"/>
    <w:rsid w:val="00175964"/>
    <w:rsid w:val="00175FB4"/>
    <w:rsid w:val="001762E9"/>
    <w:rsid w:val="00176468"/>
    <w:rsid w:val="00177106"/>
    <w:rsid w:val="00177D68"/>
    <w:rsid w:val="00180752"/>
    <w:rsid w:val="00180985"/>
    <w:rsid w:val="00180C8F"/>
    <w:rsid w:val="00182166"/>
    <w:rsid w:val="00182460"/>
    <w:rsid w:val="00182627"/>
    <w:rsid w:val="0018262A"/>
    <w:rsid w:val="00183396"/>
    <w:rsid w:val="00183D54"/>
    <w:rsid w:val="00183F5E"/>
    <w:rsid w:val="00183FEA"/>
    <w:rsid w:val="00184397"/>
    <w:rsid w:val="001846AE"/>
    <w:rsid w:val="00185020"/>
    <w:rsid w:val="00185166"/>
    <w:rsid w:val="00185451"/>
    <w:rsid w:val="00185BA7"/>
    <w:rsid w:val="0018784A"/>
    <w:rsid w:val="00190DC4"/>
    <w:rsid w:val="00191383"/>
    <w:rsid w:val="0019173B"/>
    <w:rsid w:val="00191C0B"/>
    <w:rsid w:val="00192029"/>
    <w:rsid w:val="00192678"/>
    <w:rsid w:val="001928E7"/>
    <w:rsid w:val="001939D6"/>
    <w:rsid w:val="001940A1"/>
    <w:rsid w:val="001951C1"/>
    <w:rsid w:val="00195330"/>
    <w:rsid w:val="001954B8"/>
    <w:rsid w:val="0019588D"/>
    <w:rsid w:val="00195C05"/>
    <w:rsid w:val="0019638F"/>
    <w:rsid w:val="00196525"/>
    <w:rsid w:val="00196965"/>
    <w:rsid w:val="00196CB7"/>
    <w:rsid w:val="0019721D"/>
    <w:rsid w:val="001978EC"/>
    <w:rsid w:val="00197C2E"/>
    <w:rsid w:val="001A0940"/>
    <w:rsid w:val="001A0C26"/>
    <w:rsid w:val="001A1572"/>
    <w:rsid w:val="001A21F1"/>
    <w:rsid w:val="001A2869"/>
    <w:rsid w:val="001A376D"/>
    <w:rsid w:val="001A4876"/>
    <w:rsid w:val="001A4BED"/>
    <w:rsid w:val="001A4F84"/>
    <w:rsid w:val="001A5CF0"/>
    <w:rsid w:val="001A60A6"/>
    <w:rsid w:val="001A60D0"/>
    <w:rsid w:val="001A6DED"/>
    <w:rsid w:val="001A72DC"/>
    <w:rsid w:val="001B0101"/>
    <w:rsid w:val="001B083D"/>
    <w:rsid w:val="001B0B4B"/>
    <w:rsid w:val="001B0D17"/>
    <w:rsid w:val="001B0E63"/>
    <w:rsid w:val="001B0E64"/>
    <w:rsid w:val="001B1F23"/>
    <w:rsid w:val="001B3C6F"/>
    <w:rsid w:val="001B5117"/>
    <w:rsid w:val="001B60B0"/>
    <w:rsid w:val="001B658F"/>
    <w:rsid w:val="001B6602"/>
    <w:rsid w:val="001B6CA7"/>
    <w:rsid w:val="001B712A"/>
    <w:rsid w:val="001B7540"/>
    <w:rsid w:val="001B7743"/>
    <w:rsid w:val="001C01C7"/>
    <w:rsid w:val="001C0200"/>
    <w:rsid w:val="001C061F"/>
    <w:rsid w:val="001C0C8A"/>
    <w:rsid w:val="001C117B"/>
    <w:rsid w:val="001C18D9"/>
    <w:rsid w:val="001C1C01"/>
    <w:rsid w:val="001C2501"/>
    <w:rsid w:val="001C2C9A"/>
    <w:rsid w:val="001C314A"/>
    <w:rsid w:val="001C34CD"/>
    <w:rsid w:val="001C39B1"/>
    <w:rsid w:val="001C3E0F"/>
    <w:rsid w:val="001C43D3"/>
    <w:rsid w:val="001C511F"/>
    <w:rsid w:val="001C56DD"/>
    <w:rsid w:val="001C5BFB"/>
    <w:rsid w:val="001C7D63"/>
    <w:rsid w:val="001C7DD1"/>
    <w:rsid w:val="001D016E"/>
    <w:rsid w:val="001D0F23"/>
    <w:rsid w:val="001D1082"/>
    <w:rsid w:val="001D1A2A"/>
    <w:rsid w:val="001D21B6"/>
    <w:rsid w:val="001D350E"/>
    <w:rsid w:val="001D3C2F"/>
    <w:rsid w:val="001D4490"/>
    <w:rsid w:val="001D4FB6"/>
    <w:rsid w:val="001D5068"/>
    <w:rsid w:val="001D5360"/>
    <w:rsid w:val="001D62DB"/>
    <w:rsid w:val="001D7D3E"/>
    <w:rsid w:val="001D7DA5"/>
    <w:rsid w:val="001E0506"/>
    <w:rsid w:val="001E0698"/>
    <w:rsid w:val="001E1C7E"/>
    <w:rsid w:val="001E2B77"/>
    <w:rsid w:val="001E30E6"/>
    <w:rsid w:val="001E3B18"/>
    <w:rsid w:val="001E3C3E"/>
    <w:rsid w:val="001E3C81"/>
    <w:rsid w:val="001E52A9"/>
    <w:rsid w:val="001E6CA5"/>
    <w:rsid w:val="001E6EED"/>
    <w:rsid w:val="001E6FAE"/>
    <w:rsid w:val="001E7078"/>
    <w:rsid w:val="001E75C1"/>
    <w:rsid w:val="001E7944"/>
    <w:rsid w:val="001E7D66"/>
    <w:rsid w:val="001F041F"/>
    <w:rsid w:val="001F14F5"/>
    <w:rsid w:val="001F1743"/>
    <w:rsid w:val="001F1CAC"/>
    <w:rsid w:val="001F1E17"/>
    <w:rsid w:val="001F1F1D"/>
    <w:rsid w:val="001F2419"/>
    <w:rsid w:val="001F4381"/>
    <w:rsid w:val="001F479E"/>
    <w:rsid w:val="001F47BB"/>
    <w:rsid w:val="001F5134"/>
    <w:rsid w:val="001F5141"/>
    <w:rsid w:val="001F55A0"/>
    <w:rsid w:val="001F697E"/>
    <w:rsid w:val="001F76F6"/>
    <w:rsid w:val="002002FE"/>
    <w:rsid w:val="00200E97"/>
    <w:rsid w:val="002018C8"/>
    <w:rsid w:val="00201F6C"/>
    <w:rsid w:val="002023C2"/>
    <w:rsid w:val="00202657"/>
    <w:rsid w:val="002033CE"/>
    <w:rsid w:val="002044E0"/>
    <w:rsid w:val="0020489B"/>
    <w:rsid w:val="00204AE6"/>
    <w:rsid w:val="00204D42"/>
    <w:rsid w:val="002053A0"/>
    <w:rsid w:val="00206433"/>
    <w:rsid w:val="00206AD9"/>
    <w:rsid w:val="00206AE0"/>
    <w:rsid w:val="00206B08"/>
    <w:rsid w:val="002073D9"/>
    <w:rsid w:val="002100AB"/>
    <w:rsid w:val="002101AD"/>
    <w:rsid w:val="00211D5D"/>
    <w:rsid w:val="00212407"/>
    <w:rsid w:val="00213954"/>
    <w:rsid w:val="0021398C"/>
    <w:rsid w:val="00213A06"/>
    <w:rsid w:val="00213DFD"/>
    <w:rsid w:val="00214146"/>
    <w:rsid w:val="002146A5"/>
    <w:rsid w:val="00214D2C"/>
    <w:rsid w:val="00215669"/>
    <w:rsid w:val="00215A2E"/>
    <w:rsid w:val="00215B0C"/>
    <w:rsid w:val="00215CD4"/>
    <w:rsid w:val="00216180"/>
    <w:rsid w:val="002170E1"/>
    <w:rsid w:val="002171B9"/>
    <w:rsid w:val="00217408"/>
    <w:rsid w:val="00217E4B"/>
    <w:rsid w:val="002200D7"/>
    <w:rsid w:val="00221059"/>
    <w:rsid w:val="00221080"/>
    <w:rsid w:val="00222A25"/>
    <w:rsid w:val="00223158"/>
    <w:rsid w:val="002242AF"/>
    <w:rsid w:val="00225746"/>
    <w:rsid w:val="00225955"/>
    <w:rsid w:val="002264D5"/>
    <w:rsid w:val="0022690C"/>
    <w:rsid w:val="00227189"/>
    <w:rsid w:val="0022730E"/>
    <w:rsid w:val="00227B79"/>
    <w:rsid w:val="002300C6"/>
    <w:rsid w:val="002300E1"/>
    <w:rsid w:val="002304B6"/>
    <w:rsid w:val="0023271B"/>
    <w:rsid w:val="0023299B"/>
    <w:rsid w:val="00234304"/>
    <w:rsid w:val="0023463B"/>
    <w:rsid w:val="00234EF7"/>
    <w:rsid w:val="002355FD"/>
    <w:rsid w:val="00236104"/>
    <w:rsid w:val="00236554"/>
    <w:rsid w:val="00236D55"/>
    <w:rsid w:val="002372F4"/>
    <w:rsid w:val="00237A0B"/>
    <w:rsid w:val="00237D96"/>
    <w:rsid w:val="00240846"/>
    <w:rsid w:val="002408A3"/>
    <w:rsid w:val="002409E6"/>
    <w:rsid w:val="00240AEE"/>
    <w:rsid w:val="00240E9B"/>
    <w:rsid w:val="00240F2E"/>
    <w:rsid w:val="0024226A"/>
    <w:rsid w:val="00243238"/>
    <w:rsid w:val="00243E03"/>
    <w:rsid w:val="00244EE6"/>
    <w:rsid w:val="00245A2D"/>
    <w:rsid w:val="002461BB"/>
    <w:rsid w:val="002462FB"/>
    <w:rsid w:val="00247398"/>
    <w:rsid w:val="002502A5"/>
    <w:rsid w:val="002518C1"/>
    <w:rsid w:val="0025226C"/>
    <w:rsid w:val="002534DA"/>
    <w:rsid w:val="002535F1"/>
    <w:rsid w:val="002538DB"/>
    <w:rsid w:val="00253BBF"/>
    <w:rsid w:val="00253D4C"/>
    <w:rsid w:val="0025421B"/>
    <w:rsid w:val="00255643"/>
    <w:rsid w:val="00255B81"/>
    <w:rsid w:val="00255F3F"/>
    <w:rsid w:val="00256867"/>
    <w:rsid w:val="00257B49"/>
    <w:rsid w:val="00260254"/>
    <w:rsid w:val="0026029F"/>
    <w:rsid w:val="002602F3"/>
    <w:rsid w:val="0026031A"/>
    <w:rsid w:val="00260490"/>
    <w:rsid w:val="00262276"/>
    <w:rsid w:val="00262284"/>
    <w:rsid w:val="00262BE9"/>
    <w:rsid w:val="00263B7D"/>
    <w:rsid w:val="00264859"/>
    <w:rsid w:val="00264BB5"/>
    <w:rsid w:val="00264E05"/>
    <w:rsid w:val="00265D0B"/>
    <w:rsid w:val="002661E8"/>
    <w:rsid w:val="00266402"/>
    <w:rsid w:val="0027015E"/>
    <w:rsid w:val="002702FD"/>
    <w:rsid w:val="00271231"/>
    <w:rsid w:val="002733E2"/>
    <w:rsid w:val="00273D1C"/>
    <w:rsid w:val="00273FC8"/>
    <w:rsid w:val="00274244"/>
    <w:rsid w:val="00274336"/>
    <w:rsid w:val="00275893"/>
    <w:rsid w:val="002759A1"/>
    <w:rsid w:val="00275A59"/>
    <w:rsid w:val="0027680C"/>
    <w:rsid w:val="0027776E"/>
    <w:rsid w:val="002808D0"/>
    <w:rsid w:val="00280A1F"/>
    <w:rsid w:val="00281080"/>
    <w:rsid w:val="00281642"/>
    <w:rsid w:val="00282325"/>
    <w:rsid w:val="00282DD6"/>
    <w:rsid w:val="0028304F"/>
    <w:rsid w:val="00283395"/>
    <w:rsid w:val="0028411C"/>
    <w:rsid w:val="002842CD"/>
    <w:rsid w:val="00284834"/>
    <w:rsid w:val="002855C9"/>
    <w:rsid w:val="00285AD9"/>
    <w:rsid w:val="00285C1B"/>
    <w:rsid w:val="00286273"/>
    <w:rsid w:val="00286A37"/>
    <w:rsid w:val="00286B65"/>
    <w:rsid w:val="00286CBA"/>
    <w:rsid w:val="00287035"/>
    <w:rsid w:val="002876CD"/>
    <w:rsid w:val="00287BB1"/>
    <w:rsid w:val="002904AC"/>
    <w:rsid w:val="002904CD"/>
    <w:rsid w:val="002905DB"/>
    <w:rsid w:val="00290CFC"/>
    <w:rsid w:val="0029159D"/>
    <w:rsid w:val="002921F2"/>
    <w:rsid w:val="00292652"/>
    <w:rsid w:val="00292A77"/>
    <w:rsid w:val="00292D52"/>
    <w:rsid w:val="00293B6A"/>
    <w:rsid w:val="00293B80"/>
    <w:rsid w:val="00294E8F"/>
    <w:rsid w:val="0029571F"/>
    <w:rsid w:val="00297364"/>
    <w:rsid w:val="002974B2"/>
    <w:rsid w:val="00297F03"/>
    <w:rsid w:val="002A00AA"/>
    <w:rsid w:val="002A252A"/>
    <w:rsid w:val="002A2BAB"/>
    <w:rsid w:val="002A3040"/>
    <w:rsid w:val="002A3742"/>
    <w:rsid w:val="002A4E2D"/>
    <w:rsid w:val="002A51B0"/>
    <w:rsid w:val="002A5B04"/>
    <w:rsid w:val="002A6138"/>
    <w:rsid w:val="002A6614"/>
    <w:rsid w:val="002A71EF"/>
    <w:rsid w:val="002A73B4"/>
    <w:rsid w:val="002A77C3"/>
    <w:rsid w:val="002A7872"/>
    <w:rsid w:val="002B0CB5"/>
    <w:rsid w:val="002B23DF"/>
    <w:rsid w:val="002B2693"/>
    <w:rsid w:val="002B28E5"/>
    <w:rsid w:val="002B32EF"/>
    <w:rsid w:val="002B48B5"/>
    <w:rsid w:val="002B599D"/>
    <w:rsid w:val="002B6902"/>
    <w:rsid w:val="002B7E8C"/>
    <w:rsid w:val="002C036A"/>
    <w:rsid w:val="002C0420"/>
    <w:rsid w:val="002C1B5E"/>
    <w:rsid w:val="002C2460"/>
    <w:rsid w:val="002C267E"/>
    <w:rsid w:val="002C2CAE"/>
    <w:rsid w:val="002C2D41"/>
    <w:rsid w:val="002C2E16"/>
    <w:rsid w:val="002C40EE"/>
    <w:rsid w:val="002C4E05"/>
    <w:rsid w:val="002C5358"/>
    <w:rsid w:val="002C55A1"/>
    <w:rsid w:val="002C57C0"/>
    <w:rsid w:val="002C6353"/>
    <w:rsid w:val="002C6C9C"/>
    <w:rsid w:val="002C6E0E"/>
    <w:rsid w:val="002C73F8"/>
    <w:rsid w:val="002C7882"/>
    <w:rsid w:val="002C7925"/>
    <w:rsid w:val="002C7C8A"/>
    <w:rsid w:val="002D04A9"/>
    <w:rsid w:val="002D0838"/>
    <w:rsid w:val="002D10EF"/>
    <w:rsid w:val="002D1E9D"/>
    <w:rsid w:val="002D202F"/>
    <w:rsid w:val="002D2237"/>
    <w:rsid w:val="002D45BD"/>
    <w:rsid w:val="002D4962"/>
    <w:rsid w:val="002D497C"/>
    <w:rsid w:val="002D4C47"/>
    <w:rsid w:val="002D4DB5"/>
    <w:rsid w:val="002D546F"/>
    <w:rsid w:val="002D5E3D"/>
    <w:rsid w:val="002D6698"/>
    <w:rsid w:val="002D677D"/>
    <w:rsid w:val="002D6B8E"/>
    <w:rsid w:val="002D6BAB"/>
    <w:rsid w:val="002D6F03"/>
    <w:rsid w:val="002D771E"/>
    <w:rsid w:val="002D7F2F"/>
    <w:rsid w:val="002E0426"/>
    <w:rsid w:val="002E04EA"/>
    <w:rsid w:val="002E09E9"/>
    <w:rsid w:val="002E2F97"/>
    <w:rsid w:val="002E39AA"/>
    <w:rsid w:val="002E3AA7"/>
    <w:rsid w:val="002E3F83"/>
    <w:rsid w:val="002E44F0"/>
    <w:rsid w:val="002E4561"/>
    <w:rsid w:val="002E4D99"/>
    <w:rsid w:val="002E5584"/>
    <w:rsid w:val="002E59FB"/>
    <w:rsid w:val="002E5E93"/>
    <w:rsid w:val="002E6613"/>
    <w:rsid w:val="002E6BE7"/>
    <w:rsid w:val="002F0C22"/>
    <w:rsid w:val="002F12CB"/>
    <w:rsid w:val="002F14EF"/>
    <w:rsid w:val="002F1841"/>
    <w:rsid w:val="002F1ECD"/>
    <w:rsid w:val="002F1F29"/>
    <w:rsid w:val="002F2D18"/>
    <w:rsid w:val="002F33C5"/>
    <w:rsid w:val="002F3591"/>
    <w:rsid w:val="002F5998"/>
    <w:rsid w:val="002F636D"/>
    <w:rsid w:val="002F716B"/>
    <w:rsid w:val="002F7AAB"/>
    <w:rsid w:val="003001D4"/>
    <w:rsid w:val="00300597"/>
    <w:rsid w:val="00300818"/>
    <w:rsid w:val="0030090B"/>
    <w:rsid w:val="00300CD2"/>
    <w:rsid w:val="00300D89"/>
    <w:rsid w:val="00300F32"/>
    <w:rsid w:val="0030104F"/>
    <w:rsid w:val="003018A4"/>
    <w:rsid w:val="00302A92"/>
    <w:rsid w:val="003039C5"/>
    <w:rsid w:val="003041BF"/>
    <w:rsid w:val="00304499"/>
    <w:rsid w:val="00304743"/>
    <w:rsid w:val="00305902"/>
    <w:rsid w:val="00305D3D"/>
    <w:rsid w:val="00305F28"/>
    <w:rsid w:val="00306284"/>
    <w:rsid w:val="00307F1D"/>
    <w:rsid w:val="00310468"/>
    <w:rsid w:val="00310747"/>
    <w:rsid w:val="00310AED"/>
    <w:rsid w:val="00311536"/>
    <w:rsid w:val="003118BE"/>
    <w:rsid w:val="00312026"/>
    <w:rsid w:val="00313AC0"/>
    <w:rsid w:val="00313E14"/>
    <w:rsid w:val="00314B05"/>
    <w:rsid w:val="0031502D"/>
    <w:rsid w:val="003152BB"/>
    <w:rsid w:val="00316286"/>
    <w:rsid w:val="00316A7C"/>
    <w:rsid w:val="00316B20"/>
    <w:rsid w:val="003177F5"/>
    <w:rsid w:val="0032015D"/>
    <w:rsid w:val="003202AC"/>
    <w:rsid w:val="00320A3A"/>
    <w:rsid w:val="00321082"/>
    <w:rsid w:val="003217E4"/>
    <w:rsid w:val="003219B3"/>
    <w:rsid w:val="003222CC"/>
    <w:rsid w:val="00322655"/>
    <w:rsid w:val="00322D37"/>
    <w:rsid w:val="00323301"/>
    <w:rsid w:val="0032377B"/>
    <w:rsid w:val="00323E35"/>
    <w:rsid w:val="00325545"/>
    <w:rsid w:val="0032560B"/>
    <w:rsid w:val="003258EB"/>
    <w:rsid w:val="00325C94"/>
    <w:rsid w:val="003260AA"/>
    <w:rsid w:val="0032665D"/>
    <w:rsid w:val="00327A9E"/>
    <w:rsid w:val="00327AC9"/>
    <w:rsid w:val="0033006C"/>
    <w:rsid w:val="003301D7"/>
    <w:rsid w:val="0033185A"/>
    <w:rsid w:val="00331D65"/>
    <w:rsid w:val="0033224C"/>
    <w:rsid w:val="00332671"/>
    <w:rsid w:val="003330D8"/>
    <w:rsid w:val="00333F73"/>
    <w:rsid w:val="00334415"/>
    <w:rsid w:val="0033443D"/>
    <w:rsid w:val="00334BDE"/>
    <w:rsid w:val="00335527"/>
    <w:rsid w:val="0033652A"/>
    <w:rsid w:val="0033684E"/>
    <w:rsid w:val="00337C72"/>
    <w:rsid w:val="00340540"/>
    <w:rsid w:val="0034083D"/>
    <w:rsid w:val="00340E71"/>
    <w:rsid w:val="003427B0"/>
    <w:rsid w:val="003434F3"/>
    <w:rsid w:val="00343B84"/>
    <w:rsid w:val="00343D31"/>
    <w:rsid w:val="00344709"/>
    <w:rsid w:val="00345C11"/>
    <w:rsid w:val="00345C36"/>
    <w:rsid w:val="00347271"/>
    <w:rsid w:val="00350D46"/>
    <w:rsid w:val="0035106E"/>
    <w:rsid w:val="00351466"/>
    <w:rsid w:val="003519D2"/>
    <w:rsid w:val="00352087"/>
    <w:rsid w:val="00352751"/>
    <w:rsid w:val="0035398F"/>
    <w:rsid w:val="00353BBA"/>
    <w:rsid w:val="00353E82"/>
    <w:rsid w:val="00354000"/>
    <w:rsid w:val="0035427B"/>
    <w:rsid w:val="003542A3"/>
    <w:rsid w:val="00354EB6"/>
    <w:rsid w:val="003553C2"/>
    <w:rsid w:val="00355FB8"/>
    <w:rsid w:val="00356492"/>
    <w:rsid w:val="0035663B"/>
    <w:rsid w:val="00356678"/>
    <w:rsid w:val="0035733A"/>
    <w:rsid w:val="00360511"/>
    <w:rsid w:val="00360984"/>
    <w:rsid w:val="00361DD3"/>
    <w:rsid w:val="00361E00"/>
    <w:rsid w:val="0036239E"/>
    <w:rsid w:val="003628D5"/>
    <w:rsid w:val="0036358E"/>
    <w:rsid w:val="00364897"/>
    <w:rsid w:val="003648F9"/>
    <w:rsid w:val="00364B80"/>
    <w:rsid w:val="0036598D"/>
    <w:rsid w:val="00366369"/>
    <w:rsid w:val="00366C68"/>
    <w:rsid w:val="00370035"/>
    <w:rsid w:val="0037021C"/>
    <w:rsid w:val="00372B75"/>
    <w:rsid w:val="00373D60"/>
    <w:rsid w:val="003747F2"/>
    <w:rsid w:val="00375220"/>
    <w:rsid w:val="00376E96"/>
    <w:rsid w:val="00377B7A"/>
    <w:rsid w:val="00377E03"/>
    <w:rsid w:val="00377EED"/>
    <w:rsid w:val="00381183"/>
    <w:rsid w:val="003814C9"/>
    <w:rsid w:val="003815EF"/>
    <w:rsid w:val="00381EE6"/>
    <w:rsid w:val="00381F0E"/>
    <w:rsid w:val="00382ACB"/>
    <w:rsid w:val="0038312F"/>
    <w:rsid w:val="0038351C"/>
    <w:rsid w:val="00383B15"/>
    <w:rsid w:val="00383C8F"/>
    <w:rsid w:val="00383E41"/>
    <w:rsid w:val="00383FBB"/>
    <w:rsid w:val="0038413D"/>
    <w:rsid w:val="003865AB"/>
    <w:rsid w:val="00386ECF"/>
    <w:rsid w:val="00390808"/>
    <w:rsid w:val="00391116"/>
    <w:rsid w:val="00391287"/>
    <w:rsid w:val="00391FE4"/>
    <w:rsid w:val="00392004"/>
    <w:rsid w:val="00392606"/>
    <w:rsid w:val="003931C6"/>
    <w:rsid w:val="00393710"/>
    <w:rsid w:val="00394135"/>
    <w:rsid w:val="0039461B"/>
    <w:rsid w:val="00395268"/>
    <w:rsid w:val="003955FA"/>
    <w:rsid w:val="00395B8D"/>
    <w:rsid w:val="003964B3"/>
    <w:rsid w:val="00396967"/>
    <w:rsid w:val="00396A15"/>
    <w:rsid w:val="003973FB"/>
    <w:rsid w:val="003A079F"/>
    <w:rsid w:val="003A0A12"/>
    <w:rsid w:val="003A1430"/>
    <w:rsid w:val="003A206B"/>
    <w:rsid w:val="003A23B0"/>
    <w:rsid w:val="003A2BF6"/>
    <w:rsid w:val="003A438A"/>
    <w:rsid w:val="003A46F1"/>
    <w:rsid w:val="003A5CC6"/>
    <w:rsid w:val="003A6ABA"/>
    <w:rsid w:val="003A7517"/>
    <w:rsid w:val="003A7A5A"/>
    <w:rsid w:val="003A7DF2"/>
    <w:rsid w:val="003A7E56"/>
    <w:rsid w:val="003B23B7"/>
    <w:rsid w:val="003B2FB3"/>
    <w:rsid w:val="003B2FC7"/>
    <w:rsid w:val="003B301A"/>
    <w:rsid w:val="003B331E"/>
    <w:rsid w:val="003B38B2"/>
    <w:rsid w:val="003B41AE"/>
    <w:rsid w:val="003B44C4"/>
    <w:rsid w:val="003B48EB"/>
    <w:rsid w:val="003B558C"/>
    <w:rsid w:val="003B577A"/>
    <w:rsid w:val="003B6B07"/>
    <w:rsid w:val="003B7829"/>
    <w:rsid w:val="003C00A6"/>
    <w:rsid w:val="003C099E"/>
    <w:rsid w:val="003C0B78"/>
    <w:rsid w:val="003C101A"/>
    <w:rsid w:val="003C1115"/>
    <w:rsid w:val="003C2039"/>
    <w:rsid w:val="003C23EB"/>
    <w:rsid w:val="003C2522"/>
    <w:rsid w:val="003C2BA5"/>
    <w:rsid w:val="003C300B"/>
    <w:rsid w:val="003C3FE6"/>
    <w:rsid w:val="003C47D4"/>
    <w:rsid w:val="003C4C07"/>
    <w:rsid w:val="003C6265"/>
    <w:rsid w:val="003C6BC2"/>
    <w:rsid w:val="003C772D"/>
    <w:rsid w:val="003C7927"/>
    <w:rsid w:val="003D0B9A"/>
    <w:rsid w:val="003D1B15"/>
    <w:rsid w:val="003D2B14"/>
    <w:rsid w:val="003D35DA"/>
    <w:rsid w:val="003D5C0A"/>
    <w:rsid w:val="003D5DA2"/>
    <w:rsid w:val="003D6B87"/>
    <w:rsid w:val="003E0BF7"/>
    <w:rsid w:val="003E0C04"/>
    <w:rsid w:val="003E0F8F"/>
    <w:rsid w:val="003E1671"/>
    <w:rsid w:val="003E2A93"/>
    <w:rsid w:val="003E2C24"/>
    <w:rsid w:val="003E2D2D"/>
    <w:rsid w:val="003E2EC5"/>
    <w:rsid w:val="003E308B"/>
    <w:rsid w:val="003E38D1"/>
    <w:rsid w:val="003E49DE"/>
    <w:rsid w:val="003E4B39"/>
    <w:rsid w:val="003E4EE4"/>
    <w:rsid w:val="003E63CA"/>
    <w:rsid w:val="003E7A81"/>
    <w:rsid w:val="003E7C0D"/>
    <w:rsid w:val="003F0019"/>
    <w:rsid w:val="003F03A3"/>
    <w:rsid w:val="003F09F9"/>
    <w:rsid w:val="003F0CD9"/>
    <w:rsid w:val="003F126A"/>
    <w:rsid w:val="003F1BF9"/>
    <w:rsid w:val="003F27FB"/>
    <w:rsid w:val="003F6B77"/>
    <w:rsid w:val="003F6B94"/>
    <w:rsid w:val="003F6F2C"/>
    <w:rsid w:val="0040081C"/>
    <w:rsid w:val="004008E8"/>
    <w:rsid w:val="00400A47"/>
    <w:rsid w:val="00400AE5"/>
    <w:rsid w:val="00401DD7"/>
    <w:rsid w:val="00402950"/>
    <w:rsid w:val="004036F7"/>
    <w:rsid w:val="00403FCE"/>
    <w:rsid w:val="004045E9"/>
    <w:rsid w:val="00404750"/>
    <w:rsid w:val="004051F2"/>
    <w:rsid w:val="00405B76"/>
    <w:rsid w:val="0040629E"/>
    <w:rsid w:val="004065D0"/>
    <w:rsid w:val="00406E46"/>
    <w:rsid w:val="004078E9"/>
    <w:rsid w:val="0040797A"/>
    <w:rsid w:val="00410048"/>
    <w:rsid w:val="00410249"/>
    <w:rsid w:val="004103F1"/>
    <w:rsid w:val="00410E53"/>
    <w:rsid w:val="00411266"/>
    <w:rsid w:val="004114BC"/>
    <w:rsid w:val="00411A15"/>
    <w:rsid w:val="00411B23"/>
    <w:rsid w:val="00411DDB"/>
    <w:rsid w:val="00412C86"/>
    <w:rsid w:val="0041301B"/>
    <w:rsid w:val="00413318"/>
    <w:rsid w:val="004156A0"/>
    <w:rsid w:val="004157A2"/>
    <w:rsid w:val="00416611"/>
    <w:rsid w:val="00416693"/>
    <w:rsid w:val="004166B0"/>
    <w:rsid w:val="00416C81"/>
    <w:rsid w:val="00417192"/>
    <w:rsid w:val="00420BC5"/>
    <w:rsid w:val="00420D68"/>
    <w:rsid w:val="004219D0"/>
    <w:rsid w:val="00421A40"/>
    <w:rsid w:val="00421FDC"/>
    <w:rsid w:val="00422195"/>
    <w:rsid w:val="00422238"/>
    <w:rsid w:val="004222B8"/>
    <w:rsid w:val="00422838"/>
    <w:rsid w:val="00422CCB"/>
    <w:rsid w:val="00423B7E"/>
    <w:rsid w:val="00423BDD"/>
    <w:rsid w:val="00424792"/>
    <w:rsid w:val="004249EF"/>
    <w:rsid w:val="00424D06"/>
    <w:rsid w:val="00425A04"/>
    <w:rsid w:val="00426118"/>
    <w:rsid w:val="004268E8"/>
    <w:rsid w:val="0042696B"/>
    <w:rsid w:val="00426DEC"/>
    <w:rsid w:val="0042740F"/>
    <w:rsid w:val="004300CC"/>
    <w:rsid w:val="0043076C"/>
    <w:rsid w:val="00430F0A"/>
    <w:rsid w:val="00430F55"/>
    <w:rsid w:val="0043118F"/>
    <w:rsid w:val="0043126D"/>
    <w:rsid w:val="00431433"/>
    <w:rsid w:val="004320D0"/>
    <w:rsid w:val="00432277"/>
    <w:rsid w:val="00432A96"/>
    <w:rsid w:val="00432EAC"/>
    <w:rsid w:val="00433182"/>
    <w:rsid w:val="00433FA9"/>
    <w:rsid w:val="00434585"/>
    <w:rsid w:val="00435002"/>
    <w:rsid w:val="00435A13"/>
    <w:rsid w:val="00435A8E"/>
    <w:rsid w:val="004374EC"/>
    <w:rsid w:val="004377CE"/>
    <w:rsid w:val="00437B62"/>
    <w:rsid w:val="00437BB3"/>
    <w:rsid w:val="0044034D"/>
    <w:rsid w:val="00441705"/>
    <w:rsid w:val="0044204F"/>
    <w:rsid w:val="0044241A"/>
    <w:rsid w:val="00442A7C"/>
    <w:rsid w:val="00442C72"/>
    <w:rsid w:val="0044337C"/>
    <w:rsid w:val="0044422D"/>
    <w:rsid w:val="00444302"/>
    <w:rsid w:val="00444698"/>
    <w:rsid w:val="00444883"/>
    <w:rsid w:val="00444F07"/>
    <w:rsid w:val="004453F3"/>
    <w:rsid w:val="0044548E"/>
    <w:rsid w:val="004458A7"/>
    <w:rsid w:val="00446FA1"/>
    <w:rsid w:val="00447EF9"/>
    <w:rsid w:val="004500B3"/>
    <w:rsid w:val="0045092E"/>
    <w:rsid w:val="00450C2E"/>
    <w:rsid w:val="00451077"/>
    <w:rsid w:val="00451487"/>
    <w:rsid w:val="004516B0"/>
    <w:rsid w:val="004523B6"/>
    <w:rsid w:val="00452447"/>
    <w:rsid w:val="00453D86"/>
    <w:rsid w:val="00455075"/>
    <w:rsid w:val="0045580F"/>
    <w:rsid w:val="00456E66"/>
    <w:rsid w:val="00457053"/>
    <w:rsid w:val="00457BB1"/>
    <w:rsid w:val="004607AA"/>
    <w:rsid w:val="00460D17"/>
    <w:rsid w:val="004614C1"/>
    <w:rsid w:val="004614FF"/>
    <w:rsid w:val="004617AE"/>
    <w:rsid w:val="004627AC"/>
    <w:rsid w:val="00463915"/>
    <w:rsid w:val="00463E99"/>
    <w:rsid w:val="00464063"/>
    <w:rsid w:val="00464AB6"/>
    <w:rsid w:val="0046590F"/>
    <w:rsid w:val="00465A3C"/>
    <w:rsid w:val="00465B24"/>
    <w:rsid w:val="00465CA8"/>
    <w:rsid w:val="0046679E"/>
    <w:rsid w:val="00466F41"/>
    <w:rsid w:val="004703C0"/>
    <w:rsid w:val="00470A1F"/>
    <w:rsid w:val="00471124"/>
    <w:rsid w:val="0047180E"/>
    <w:rsid w:val="00471B14"/>
    <w:rsid w:val="00471F44"/>
    <w:rsid w:val="0047223D"/>
    <w:rsid w:val="0047245F"/>
    <w:rsid w:val="00472B38"/>
    <w:rsid w:val="00472BB5"/>
    <w:rsid w:val="00473049"/>
    <w:rsid w:val="00473652"/>
    <w:rsid w:val="00473AB2"/>
    <w:rsid w:val="00473C94"/>
    <w:rsid w:val="004744DB"/>
    <w:rsid w:val="00474FFF"/>
    <w:rsid w:val="004753F9"/>
    <w:rsid w:val="00476E27"/>
    <w:rsid w:val="004777C7"/>
    <w:rsid w:val="00477B51"/>
    <w:rsid w:val="004800CD"/>
    <w:rsid w:val="00480923"/>
    <w:rsid w:val="00481E4C"/>
    <w:rsid w:val="00482160"/>
    <w:rsid w:val="00482A52"/>
    <w:rsid w:val="00482D5E"/>
    <w:rsid w:val="00482EA9"/>
    <w:rsid w:val="00482F60"/>
    <w:rsid w:val="00483137"/>
    <w:rsid w:val="0048315F"/>
    <w:rsid w:val="00483FE0"/>
    <w:rsid w:val="004851A7"/>
    <w:rsid w:val="00485D02"/>
    <w:rsid w:val="004867CB"/>
    <w:rsid w:val="00486A0D"/>
    <w:rsid w:val="00486B88"/>
    <w:rsid w:val="00486EB8"/>
    <w:rsid w:val="00487892"/>
    <w:rsid w:val="00487AE6"/>
    <w:rsid w:val="00490A17"/>
    <w:rsid w:val="0049127E"/>
    <w:rsid w:val="004914DE"/>
    <w:rsid w:val="0049159E"/>
    <w:rsid w:val="00491EF6"/>
    <w:rsid w:val="00491F25"/>
    <w:rsid w:val="00492206"/>
    <w:rsid w:val="00492A0C"/>
    <w:rsid w:val="004933EE"/>
    <w:rsid w:val="004936EA"/>
    <w:rsid w:val="00494C62"/>
    <w:rsid w:val="00495508"/>
    <w:rsid w:val="004959BA"/>
    <w:rsid w:val="00495EFF"/>
    <w:rsid w:val="00495F27"/>
    <w:rsid w:val="004964B2"/>
    <w:rsid w:val="004966C7"/>
    <w:rsid w:val="004966DC"/>
    <w:rsid w:val="004967A5"/>
    <w:rsid w:val="004979BF"/>
    <w:rsid w:val="00497F58"/>
    <w:rsid w:val="004A20B5"/>
    <w:rsid w:val="004A349B"/>
    <w:rsid w:val="004A523B"/>
    <w:rsid w:val="004A6942"/>
    <w:rsid w:val="004A7346"/>
    <w:rsid w:val="004B091B"/>
    <w:rsid w:val="004B0ED2"/>
    <w:rsid w:val="004B0FAC"/>
    <w:rsid w:val="004B119F"/>
    <w:rsid w:val="004B11AD"/>
    <w:rsid w:val="004B24A8"/>
    <w:rsid w:val="004B275C"/>
    <w:rsid w:val="004B29B6"/>
    <w:rsid w:val="004B3B6C"/>
    <w:rsid w:val="004B4996"/>
    <w:rsid w:val="004B49D5"/>
    <w:rsid w:val="004B53EE"/>
    <w:rsid w:val="004B5490"/>
    <w:rsid w:val="004B5783"/>
    <w:rsid w:val="004B62E4"/>
    <w:rsid w:val="004B6B0C"/>
    <w:rsid w:val="004B6F9B"/>
    <w:rsid w:val="004C03D8"/>
    <w:rsid w:val="004C0BD6"/>
    <w:rsid w:val="004C0C50"/>
    <w:rsid w:val="004C138A"/>
    <w:rsid w:val="004C1E2F"/>
    <w:rsid w:val="004C2A5F"/>
    <w:rsid w:val="004C35C2"/>
    <w:rsid w:val="004C53E2"/>
    <w:rsid w:val="004C5482"/>
    <w:rsid w:val="004C557A"/>
    <w:rsid w:val="004C5DCA"/>
    <w:rsid w:val="004C6413"/>
    <w:rsid w:val="004C6EFE"/>
    <w:rsid w:val="004C6FE5"/>
    <w:rsid w:val="004C7207"/>
    <w:rsid w:val="004C7B8F"/>
    <w:rsid w:val="004D0CD6"/>
    <w:rsid w:val="004D1180"/>
    <w:rsid w:val="004D1D07"/>
    <w:rsid w:val="004D1F65"/>
    <w:rsid w:val="004D21BE"/>
    <w:rsid w:val="004D273B"/>
    <w:rsid w:val="004D2A5A"/>
    <w:rsid w:val="004D2B58"/>
    <w:rsid w:val="004D3418"/>
    <w:rsid w:val="004D3C14"/>
    <w:rsid w:val="004D3DA1"/>
    <w:rsid w:val="004D3EA1"/>
    <w:rsid w:val="004D3EE4"/>
    <w:rsid w:val="004D4128"/>
    <w:rsid w:val="004D4C57"/>
    <w:rsid w:val="004D51C0"/>
    <w:rsid w:val="004D594A"/>
    <w:rsid w:val="004D6E04"/>
    <w:rsid w:val="004D70E2"/>
    <w:rsid w:val="004E0585"/>
    <w:rsid w:val="004E075A"/>
    <w:rsid w:val="004E18B1"/>
    <w:rsid w:val="004E2018"/>
    <w:rsid w:val="004E210B"/>
    <w:rsid w:val="004E22C8"/>
    <w:rsid w:val="004E22EC"/>
    <w:rsid w:val="004E259D"/>
    <w:rsid w:val="004E406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6CA"/>
    <w:rsid w:val="004F4037"/>
    <w:rsid w:val="004F4191"/>
    <w:rsid w:val="004F419E"/>
    <w:rsid w:val="004F457F"/>
    <w:rsid w:val="004F45E0"/>
    <w:rsid w:val="004F544A"/>
    <w:rsid w:val="004F55B9"/>
    <w:rsid w:val="004F6BF6"/>
    <w:rsid w:val="004F6E37"/>
    <w:rsid w:val="0050101E"/>
    <w:rsid w:val="005011D7"/>
    <w:rsid w:val="00501DBA"/>
    <w:rsid w:val="005030C9"/>
    <w:rsid w:val="005039A5"/>
    <w:rsid w:val="00504573"/>
    <w:rsid w:val="00504E35"/>
    <w:rsid w:val="005050D4"/>
    <w:rsid w:val="0050555E"/>
    <w:rsid w:val="005059A9"/>
    <w:rsid w:val="0050625A"/>
    <w:rsid w:val="005062D6"/>
    <w:rsid w:val="0050760B"/>
    <w:rsid w:val="00507A12"/>
    <w:rsid w:val="00507C25"/>
    <w:rsid w:val="00510977"/>
    <w:rsid w:val="005114E3"/>
    <w:rsid w:val="005116A5"/>
    <w:rsid w:val="00511FEB"/>
    <w:rsid w:val="00512800"/>
    <w:rsid w:val="005129EA"/>
    <w:rsid w:val="00512B83"/>
    <w:rsid w:val="00513037"/>
    <w:rsid w:val="005134C6"/>
    <w:rsid w:val="0051361F"/>
    <w:rsid w:val="00513F0A"/>
    <w:rsid w:val="005142BD"/>
    <w:rsid w:val="005146BF"/>
    <w:rsid w:val="005158C2"/>
    <w:rsid w:val="00515EDE"/>
    <w:rsid w:val="00516197"/>
    <w:rsid w:val="00516E14"/>
    <w:rsid w:val="00517126"/>
    <w:rsid w:val="00517351"/>
    <w:rsid w:val="00517455"/>
    <w:rsid w:val="0051792D"/>
    <w:rsid w:val="00517DE1"/>
    <w:rsid w:val="00520387"/>
    <w:rsid w:val="00521E28"/>
    <w:rsid w:val="00521EED"/>
    <w:rsid w:val="005220C5"/>
    <w:rsid w:val="00522334"/>
    <w:rsid w:val="00522995"/>
    <w:rsid w:val="00522A08"/>
    <w:rsid w:val="005235D6"/>
    <w:rsid w:val="00523825"/>
    <w:rsid w:val="00523840"/>
    <w:rsid w:val="00523B97"/>
    <w:rsid w:val="005254F7"/>
    <w:rsid w:val="00525D08"/>
    <w:rsid w:val="00525F82"/>
    <w:rsid w:val="00526D07"/>
    <w:rsid w:val="0052722B"/>
    <w:rsid w:val="00527FA1"/>
    <w:rsid w:val="0053018F"/>
    <w:rsid w:val="00530293"/>
    <w:rsid w:val="0053034E"/>
    <w:rsid w:val="00531370"/>
    <w:rsid w:val="00531443"/>
    <w:rsid w:val="00531B35"/>
    <w:rsid w:val="00531DC2"/>
    <w:rsid w:val="00532BD1"/>
    <w:rsid w:val="00533211"/>
    <w:rsid w:val="00533623"/>
    <w:rsid w:val="00533BCF"/>
    <w:rsid w:val="00533C82"/>
    <w:rsid w:val="005344FC"/>
    <w:rsid w:val="0053463D"/>
    <w:rsid w:val="00535275"/>
    <w:rsid w:val="00535EFA"/>
    <w:rsid w:val="005362DD"/>
    <w:rsid w:val="005368DE"/>
    <w:rsid w:val="005400A2"/>
    <w:rsid w:val="00540A53"/>
    <w:rsid w:val="00542C9C"/>
    <w:rsid w:val="0054374C"/>
    <w:rsid w:val="00543A81"/>
    <w:rsid w:val="00543B5D"/>
    <w:rsid w:val="00544CE1"/>
    <w:rsid w:val="005451A6"/>
    <w:rsid w:val="0054625A"/>
    <w:rsid w:val="00546C51"/>
    <w:rsid w:val="00547395"/>
    <w:rsid w:val="005476FC"/>
    <w:rsid w:val="005479EA"/>
    <w:rsid w:val="00550637"/>
    <w:rsid w:val="00550732"/>
    <w:rsid w:val="00550752"/>
    <w:rsid w:val="005515E6"/>
    <w:rsid w:val="0055176D"/>
    <w:rsid w:val="00551A4D"/>
    <w:rsid w:val="005522AE"/>
    <w:rsid w:val="0055290D"/>
    <w:rsid w:val="00552F63"/>
    <w:rsid w:val="00553567"/>
    <w:rsid w:val="005543FF"/>
    <w:rsid w:val="005546DD"/>
    <w:rsid w:val="00555125"/>
    <w:rsid w:val="0055530F"/>
    <w:rsid w:val="00555376"/>
    <w:rsid w:val="00555BEA"/>
    <w:rsid w:val="00556CE5"/>
    <w:rsid w:val="00560C1A"/>
    <w:rsid w:val="005613DD"/>
    <w:rsid w:val="00561932"/>
    <w:rsid w:val="00561CE4"/>
    <w:rsid w:val="00562BEB"/>
    <w:rsid w:val="00563935"/>
    <w:rsid w:val="00563B54"/>
    <w:rsid w:val="00564B7E"/>
    <w:rsid w:val="00565572"/>
    <w:rsid w:val="00565D73"/>
    <w:rsid w:val="00565F64"/>
    <w:rsid w:val="00565F7C"/>
    <w:rsid w:val="0056669E"/>
    <w:rsid w:val="005718F5"/>
    <w:rsid w:val="00572089"/>
    <w:rsid w:val="005731BC"/>
    <w:rsid w:val="0057462D"/>
    <w:rsid w:val="00574692"/>
    <w:rsid w:val="00574785"/>
    <w:rsid w:val="0057503C"/>
    <w:rsid w:val="00576078"/>
    <w:rsid w:val="00576534"/>
    <w:rsid w:val="00576688"/>
    <w:rsid w:val="005768D1"/>
    <w:rsid w:val="00576910"/>
    <w:rsid w:val="00576CE9"/>
    <w:rsid w:val="00577147"/>
    <w:rsid w:val="00577491"/>
    <w:rsid w:val="0058125D"/>
    <w:rsid w:val="00582C52"/>
    <w:rsid w:val="00582D5B"/>
    <w:rsid w:val="00583680"/>
    <w:rsid w:val="005837CE"/>
    <w:rsid w:val="00583F15"/>
    <w:rsid w:val="005846DA"/>
    <w:rsid w:val="0058526D"/>
    <w:rsid w:val="00586CF2"/>
    <w:rsid w:val="00586D7A"/>
    <w:rsid w:val="0058717C"/>
    <w:rsid w:val="005875A5"/>
    <w:rsid w:val="0058798B"/>
    <w:rsid w:val="00587EF8"/>
    <w:rsid w:val="005900AF"/>
    <w:rsid w:val="0059055E"/>
    <w:rsid w:val="0059116B"/>
    <w:rsid w:val="005913F6"/>
    <w:rsid w:val="00591A62"/>
    <w:rsid w:val="00591CA1"/>
    <w:rsid w:val="00591EB1"/>
    <w:rsid w:val="00591FE6"/>
    <w:rsid w:val="005925F4"/>
    <w:rsid w:val="00593479"/>
    <w:rsid w:val="00593F20"/>
    <w:rsid w:val="00594E94"/>
    <w:rsid w:val="00595D44"/>
    <w:rsid w:val="00596063"/>
    <w:rsid w:val="00596AA7"/>
    <w:rsid w:val="00596C4E"/>
    <w:rsid w:val="005973E2"/>
    <w:rsid w:val="00597E37"/>
    <w:rsid w:val="00597E85"/>
    <w:rsid w:val="00597EAC"/>
    <w:rsid w:val="005A136B"/>
    <w:rsid w:val="005A201D"/>
    <w:rsid w:val="005A2638"/>
    <w:rsid w:val="005A2C2A"/>
    <w:rsid w:val="005A35E0"/>
    <w:rsid w:val="005A43F2"/>
    <w:rsid w:val="005A458D"/>
    <w:rsid w:val="005A4E06"/>
    <w:rsid w:val="005A509E"/>
    <w:rsid w:val="005A664A"/>
    <w:rsid w:val="005A66A1"/>
    <w:rsid w:val="005A7418"/>
    <w:rsid w:val="005A7745"/>
    <w:rsid w:val="005B1E07"/>
    <w:rsid w:val="005B34DA"/>
    <w:rsid w:val="005B3922"/>
    <w:rsid w:val="005B4361"/>
    <w:rsid w:val="005B447F"/>
    <w:rsid w:val="005B4DAE"/>
    <w:rsid w:val="005B5992"/>
    <w:rsid w:val="005B6340"/>
    <w:rsid w:val="005B6848"/>
    <w:rsid w:val="005B6EF9"/>
    <w:rsid w:val="005B70C4"/>
    <w:rsid w:val="005B7AB8"/>
    <w:rsid w:val="005C0393"/>
    <w:rsid w:val="005C08D3"/>
    <w:rsid w:val="005C0B62"/>
    <w:rsid w:val="005C0DE9"/>
    <w:rsid w:val="005C19D3"/>
    <w:rsid w:val="005C2547"/>
    <w:rsid w:val="005C3531"/>
    <w:rsid w:val="005C4D2B"/>
    <w:rsid w:val="005C512D"/>
    <w:rsid w:val="005C53F4"/>
    <w:rsid w:val="005C5D45"/>
    <w:rsid w:val="005C6753"/>
    <w:rsid w:val="005C68B5"/>
    <w:rsid w:val="005C6A2A"/>
    <w:rsid w:val="005C6BF7"/>
    <w:rsid w:val="005C6F7A"/>
    <w:rsid w:val="005C7AA4"/>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D42"/>
    <w:rsid w:val="005D5DB7"/>
    <w:rsid w:val="005D668E"/>
    <w:rsid w:val="005D6D08"/>
    <w:rsid w:val="005D7136"/>
    <w:rsid w:val="005D7FEF"/>
    <w:rsid w:val="005E0D54"/>
    <w:rsid w:val="005E0F22"/>
    <w:rsid w:val="005E1CB0"/>
    <w:rsid w:val="005E2062"/>
    <w:rsid w:val="005E2B27"/>
    <w:rsid w:val="005E2D2D"/>
    <w:rsid w:val="005E3478"/>
    <w:rsid w:val="005E3805"/>
    <w:rsid w:val="005E391F"/>
    <w:rsid w:val="005E39CD"/>
    <w:rsid w:val="005E3E2C"/>
    <w:rsid w:val="005E493D"/>
    <w:rsid w:val="005E4B70"/>
    <w:rsid w:val="005E4B7C"/>
    <w:rsid w:val="005E528A"/>
    <w:rsid w:val="005E53A9"/>
    <w:rsid w:val="005E5FE8"/>
    <w:rsid w:val="005E67DB"/>
    <w:rsid w:val="005E6E41"/>
    <w:rsid w:val="005F03CB"/>
    <w:rsid w:val="005F04F3"/>
    <w:rsid w:val="005F09E0"/>
    <w:rsid w:val="005F0FD5"/>
    <w:rsid w:val="005F1786"/>
    <w:rsid w:val="005F3523"/>
    <w:rsid w:val="005F3FD8"/>
    <w:rsid w:val="005F4926"/>
    <w:rsid w:val="005F4D20"/>
    <w:rsid w:val="005F514B"/>
    <w:rsid w:val="005F5535"/>
    <w:rsid w:val="005F5AF0"/>
    <w:rsid w:val="005F6FC1"/>
    <w:rsid w:val="00600194"/>
    <w:rsid w:val="00600A30"/>
    <w:rsid w:val="00601B2E"/>
    <w:rsid w:val="00601B6C"/>
    <w:rsid w:val="00602004"/>
    <w:rsid w:val="006023A7"/>
    <w:rsid w:val="00602782"/>
    <w:rsid w:val="006027A4"/>
    <w:rsid w:val="00602CC3"/>
    <w:rsid w:val="00602F41"/>
    <w:rsid w:val="00603281"/>
    <w:rsid w:val="00603A7C"/>
    <w:rsid w:val="00603CBA"/>
    <w:rsid w:val="006040FD"/>
    <w:rsid w:val="0060419A"/>
    <w:rsid w:val="0060468A"/>
    <w:rsid w:val="00604DAB"/>
    <w:rsid w:val="00605162"/>
    <w:rsid w:val="00606BDD"/>
    <w:rsid w:val="00606D84"/>
    <w:rsid w:val="00607219"/>
    <w:rsid w:val="00610671"/>
    <w:rsid w:val="006109ED"/>
    <w:rsid w:val="006110EC"/>
    <w:rsid w:val="00611CB0"/>
    <w:rsid w:val="00611FD5"/>
    <w:rsid w:val="006120B9"/>
    <w:rsid w:val="006125F2"/>
    <w:rsid w:val="00612BB0"/>
    <w:rsid w:val="00612CB2"/>
    <w:rsid w:val="006156B8"/>
    <w:rsid w:val="006158F4"/>
    <w:rsid w:val="00615D3F"/>
    <w:rsid w:val="00615D72"/>
    <w:rsid w:val="00616052"/>
    <w:rsid w:val="00617785"/>
    <w:rsid w:val="00621254"/>
    <w:rsid w:val="00621379"/>
    <w:rsid w:val="00621532"/>
    <w:rsid w:val="00621679"/>
    <w:rsid w:val="0062390D"/>
    <w:rsid w:val="00623A18"/>
    <w:rsid w:val="00623A6C"/>
    <w:rsid w:val="00623A7D"/>
    <w:rsid w:val="00624458"/>
    <w:rsid w:val="00624FA7"/>
    <w:rsid w:val="00626338"/>
    <w:rsid w:val="006263B2"/>
    <w:rsid w:val="00626C50"/>
    <w:rsid w:val="00626D7E"/>
    <w:rsid w:val="00626E58"/>
    <w:rsid w:val="00627100"/>
    <w:rsid w:val="00627409"/>
    <w:rsid w:val="00627C51"/>
    <w:rsid w:val="006304CC"/>
    <w:rsid w:val="006309C7"/>
    <w:rsid w:val="00630A18"/>
    <w:rsid w:val="006328B3"/>
    <w:rsid w:val="00632F53"/>
    <w:rsid w:val="00634222"/>
    <w:rsid w:val="006348E9"/>
    <w:rsid w:val="0063492C"/>
    <w:rsid w:val="00634ED9"/>
    <w:rsid w:val="00635EA0"/>
    <w:rsid w:val="006403F1"/>
    <w:rsid w:val="00640BB7"/>
    <w:rsid w:val="00640DBF"/>
    <w:rsid w:val="006415D1"/>
    <w:rsid w:val="0064169C"/>
    <w:rsid w:val="006416DA"/>
    <w:rsid w:val="006418D9"/>
    <w:rsid w:val="00642DDB"/>
    <w:rsid w:val="0064317F"/>
    <w:rsid w:val="006435E4"/>
    <w:rsid w:val="00643CA2"/>
    <w:rsid w:val="00644B4B"/>
    <w:rsid w:val="00645FE2"/>
    <w:rsid w:val="00646AF2"/>
    <w:rsid w:val="006504EC"/>
    <w:rsid w:val="00650E10"/>
    <w:rsid w:val="006515F1"/>
    <w:rsid w:val="00651B56"/>
    <w:rsid w:val="00652BEF"/>
    <w:rsid w:val="00653CE4"/>
    <w:rsid w:val="006544CF"/>
    <w:rsid w:val="00654A5D"/>
    <w:rsid w:val="00654C5E"/>
    <w:rsid w:val="006550B8"/>
    <w:rsid w:val="006562D5"/>
    <w:rsid w:val="006566E8"/>
    <w:rsid w:val="006567CA"/>
    <w:rsid w:val="006568C5"/>
    <w:rsid w:val="006573AD"/>
    <w:rsid w:val="00657899"/>
    <w:rsid w:val="006602D4"/>
    <w:rsid w:val="0066031A"/>
    <w:rsid w:val="00660ED4"/>
    <w:rsid w:val="006639C7"/>
    <w:rsid w:val="00663CD4"/>
    <w:rsid w:val="00663FAA"/>
    <w:rsid w:val="00663FF5"/>
    <w:rsid w:val="00664324"/>
    <w:rsid w:val="00664F1A"/>
    <w:rsid w:val="006650F8"/>
    <w:rsid w:val="006651BA"/>
    <w:rsid w:val="0066563D"/>
    <w:rsid w:val="00665AE6"/>
    <w:rsid w:val="00665D19"/>
    <w:rsid w:val="00666109"/>
    <w:rsid w:val="006662E9"/>
    <w:rsid w:val="00666912"/>
    <w:rsid w:val="00666B79"/>
    <w:rsid w:val="006673C4"/>
    <w:rsid w:val="00667A25"/>
    <w:rsid w:val="00670805"/>
    <w:rsid w:val="00672059"/>
    <w:rsid w:val="006720D3"/>
    <w:rsid w:val="00672BEB"/>
    <w:rsid w:val="00673A37"/>
    <w:rsid w:val="00675263"/>
    <w:rsid w:val="006752F0"/>
    <w:rsid w:val="00675542"/>
    <w:rsid w:val="00675A96"/>
    <w:rsid w:val="00675C3A"/>
    <w:rsid w:val="00676091"/>
    <w:rsid w:val="006773E7"/>
    <w:rsid w:val="006778F6"/>
    <w:rsid w:val="00677B47"/>
    <w:rsid w:val="00680396"/>
    <w:rsid w:val="00680621"/>
    <w:rsid w:val="00680E87"/>
    <w:rsid w:val="00681351"/>
    <w:rsid w:val="0068149B"/>
    <w:rsid w:val="00681842"/>
    <w:rsid w:val="006819AF"/>
    <w:rsid w:val="006828AF"/>
    <w:rsid w:val="00682FA4"/>
    <w:rsid w:val="00683CAF"/>
    <w:rsid w:val="00684591"/>
    <w:rsid w:val="00684BFA"/>
    <w:rsid w:val="0068540A"/>
    <w:rsid w:val="00685579"/>
    <w:rsid w:val="006857CE"/>
    <w:rsid w:val="00686457"/>
    <w:rsid w:val="00686A37"/>
    <w:rsid w:val="00687145"/>
    <w:rsid w:val="00687172"/>
    <w:rsid w:val="006875B3"/>
    <w:rsid w:val="00687BDB"/>
    <w:rsid w:val="00687E38"/>
    <w:rsid w:val="00690CF0"/>
    <w:rsid w:val="006912B3"/>
    <w:rsid w:val="0069141B"/>
    <w:rsid w:val="00692978"/>
    <w:rsid w:val="00692E1B"/>
    <w:rsid w:val="00694640"/>
    <w:rsid w:val="0069491F"/>
    <w:rsid w:val="00694D25"/>
    <w:rsid w:val="00695680"/>
    <w:rsid w:val="006965CE"/>
    <w:rsid w:val="00697714"/>
    <w:rsid w:val="006978CA"/>
    <w:rsid w:val="00697A2E"/>
    <w:rsid w:val="006A0C5D"/>
    <w:rsid w:val="006A0F7B"/>
    <w:rsid w:val="006A161C"/>
    <w:rsid w:val="006A20A5"/>
    <w:rsid w:val="006A2AED"/>
    <w:rsid w:val="006A33E6"/>
    <w:rsid w:val="006A39BF"/>
    <w:rsid w:val="006A3C27"/>
    <w:rsid w:val="006A3E77"/>
    <w:rsid w:val="006A3EB9"/>
    <w:rsid w:val="006A3ECA"/>
    <w:rsid w:val="006A4293"/>
    <w:rsid w:val="006A4358"/>
    <w:rsid w:val="006A4605"/>
    <w:rsid w:val="006A52B8"/>
    <w:rsid w:val="006A55A9"/>
    <w:rsid w:val="006A6178"/>
    <w:rsid w:val="006A6C83"/>
    <w:rsid w:val="006A6D8D"/>
    <w:rsid w:val="006A7504"/>
    <w:rsid w:val="006A7615"/>
    <w:rsid w:val="006A7A3D"/>
    <w:rsid w:val="006A7AF5"/>
    <w:rsid w:val="006B13AA"/>
    <w:rsid w:val="006B1E06"/>
    <w:rsid w:val="006B3EF6"/>
    <w:rsid w:val="006B47FC"/>
    <w:rsid w:val="006B5233"/>
    <w:rsid w:val="006B52B4"/>
    <w:rsid w:val="006B54FD"/>
    <w:rsid w:val="006B5582"/>
    <w:rsid w:val="006B5A93"/>
    <w:rsid w:val="006B5D4D"/>
    <w:rsid w:val="006B5EED"/>
    <w:rsid w:val="006B6CDD"/>
    <w:rsid w:val="006B7449"/>
    <w:rsid w:val="006B7CAC"/>
    <w:rsid w:val="006B7E1B"/>
    <w:rsid w:val="006C0FD4"/>
    <w:rsid w:val="006C106A"/>
    <w:rsid w:val="006C125E"/>
    <w:rsid w:val="006C18BD"/>
    <w:rsid w:val="006C1C2A"/>
    <w:rsid w:val="006C2496"/>
    <w:rsid w:val="006C270D"/>
    <w:rsid w:val="006C31E0"/>
    <w:rsid w:val="006C3465"/>
    <w:rsid w:val="006C367B"/>
    <w:rsid w:val="006C38BA"/>
    <w:rsid w:val="006C4196"/>
    <w:rsid w:val="006C4492"/>
    <w:rsid w:val="006C4B9E"/>
    <w:rsid w:val="006C5491"/>
    <w:rsid w:val="006C6387"/>
    <w:rsid w:val="006C6B28"/>
    <w:rsid w:val="006C71A6"/>
    <w:rsid w:val="006C73DA"/>
    <w:rsid w:val="006C784B"/>
    <w:rsid w:val="006C79E3"/>
    <w:rsid w:val="006C7D99"/>
    <w:rsid w:val="006D0E56"/>
    <w:rsid w:val="006D105B"/>
    <w:rsid w:val="006D1DAC"/>
    <w:rsid w:val="006D1F55"/>
    <w:rsid w:val="006D25F9"/>
    <w:rsid w:val="006D3810"/>
    <w:rsid w:val="006D39A7"/>
    <w:rsid w:val="006D4EEB"/>
    <w:rsid w:val="006D54DE"/>
    <w:rsid w:val="006D55A4"/>
    <w:rsid w:val="006D5F7D"/>
    <w:rsid w:val="006D62D7"/>
    <w:rsid w:val="006D712B"/>
    <w:rsid w:val="006D72AF"/>
    <w:rsid w:val="006E0896"/>
    <w:rsid w:val="006E0B7D"/>
    <w:rsid w:val="006E0D8A"/>
    <w:rsid w:val="006E1624"/>
    <w:rsid w:val="006E3FCA"/>
    <w:rsid w:val="006E422C"/>
    <w:rsid w:val="006E556C"/>
    <w:rsid w:val="006E565C"/>
    <w:rsid w:val="006E5881"/>
    <w:rsid w:val="006E5FE4"/>
    <w:rsid w:val="006E6751"/>
    <w:rsid w:val="006E6ADE"/>
    <w:rsid w:val="006E70B3"/>
    <w:rsid w:val="006E737F"/>
    <w:rsid w:val="006E7A32"/>
    <w:rsid w:val="006E7A3C"/>
    <w:rsid w:val="006F0F5A"/>
    <w:rsid w:val="006F31EC"/>
    <w:rsid w:val="006F36F7"/>
    <w:rsid w:val="006F3CCC"/>
    <w:rsid w:val="006F4221"/>
    <w:rsid w:val="006F42E0"/>
    <w:rsid w:val="006F5039"/>
    <w:rsid w:val="006F748A"/>
    <w:rsid w:val="006F79A4"/>
    <w:rsid w:val="00700A50"/>
    <w:rsid w:val="007014D9"/>
    <w:rsid w:val="00702A0C"/>
    <w:rsid w:val="00702DA2"/>
    <w:rsid w:val="00703952"/>
    <w:rsid w:val="00704A81"/>
    <w:rsid w:val="00704FCD"/>
    <w:rsid w:val="007054DA"/>
    <w:rsid w:val="00707318"/>
    <w:rsid w:val="0070798F"/>
    <w:rsid w:val="00707BA0"/>
    <w:rsid w:val="00707BE4"/>
    <w:rsid w:val="00707E86"/>
    <w:rsid w:val="00710352"/>
    <w:rsid w:val="007108DF"/>
    <w:rsid w:val="00710A1F"/>
    <w:rsid w:val="00711033"/>
    <w:rsid w:val="00711042"/>
    <w:rsid w:val="007116F1"/>
    <w:rsid w:val="00713004"/>
    <w:rsid w:val="00713B6F"/>
    <w:rsid w:val="00713CD4"/>
    <w:rsid w:val="00713ED6"/>
    <w:rsid w:val="00714507"/>
    <w:rsid w:val="00714B14"/>
    <w:rsid w:val="00715D6A"/>
    <w:rsid w:val="00715E5E"/>
    <w:rsid w:val="007162F1"/>
    <w:rsid w:val="00716680"/>
    <w:rsid w:val="00716877"/>
    <w:rsid w:val="00716D67"/>
    <w:rsid w:val="00717AE8"/>
    <w:rsid w:val="00717C51"/>
    <w:rsid w:val="00717C59"/>
    <w:rsid w:val="00720055"/>
    <w:rsid w:val="0072023E"/>
    <w:rsid w:val="00720780"/>
    <w:rsid w:val="00720FA5"/>
    <w:rsid w:val="00721AAC"/>
    <w:rsid w:val="00722E29"/>
    <w:rsid w:val="007236F8"/>
    <w:rsid w:val="00723994"/>
    <w:rsid w:val="007241A3"/>
    <w:rsid w:val="0072452D"/>
    <w:rsid w:val="007254AB"/>
    <w:rsid w:val="00726158"/>
    <w:rsid w:val="007301CA"/>
    <w:rsid w:val="00730485"/>
    <w:rsid w:val="0073099A"/>
    <w:rsid w:val="00730A2D"/>
    <w:rsid w:val="00731B29"/>
    <w:rsid w:val="00732BC1"/>
    <w:rsid w:val="00733308"/>
    <w:rsid w:val="00733D1D"/>
    <w:rsid w:val="00734743"/>
    <w:rsid w:val="00734EEC"/>
    <w:rsid w:val="007356F7"/>
    <w:rsid w:val="00735D0C"/>
    <w:rsid w:val="00735FF9"/>
    <w:rsid w:val="007361A8"/>
    <w:rsid w:val="00736894"/>
    <w:rsid w:val="00736944"/>
    <w:rsid w:val="0073737F"/>
    <w:rsid w:val="007376B1"/>
    <w:rsid w:val="00737CB9"/>
    <w:rsid w:val="00740DC1"/>
    <w:rsid w:val="0074229B"/>
    <w:rsid w:val="00742CC6"/>
    <w:rsid w:val="007430AA"/>
    <w:rsid w:val="00743D73"/>
    <w:rsid w:val="007443B2"/>
    <w:rsid w:val="00744F4C"/>
    <w:rsid w:val="00744FFF"/>
    <w:rsid w:val="00745213"/>
    <w:rsid w:val="0074594B"/>
    <w:rsid w:val="00745F66"/>
    <w:rsid w:val="007462F6"/>
    <w:rsid w:val="007466B0"/>
    <w:rsid w:val="00750AC3"/>
    <w:rsid w:val="007510B0"/>
    <w:rsid w:val="007512BE"/>
    <w:rsid w:val="00752D81"/>
    <w:rsid w:val="00753165"/>
    <w:rsid w:val="00753334"/>
    <w:rsid w:val="00753CB7"/>
    <w:rsid w:val="00753D97"/>
    <w:rsid w:val="007542F6"/>
    <w:rsid w:val="007545FA"/>
    <w:rsid w:val="00754862"/>
    <w:rsid w:val="007551D8"/>
    <w:rsid w:val="0075638D"/>
    <w:rsid w:val="00756E68"/>
    <w:rsid w:val="00757505"/>
    <w:rsid w:val="00757597"/>
    <w:rsid w:val="00760DAB"/>
    <w:rsid w:val="007621A6"/>
    <w:rsid w:val="0076385F"/>
    <w:rsid w:val="00764639"/>
    <w:rsid w:val="00765867"/>
    <w:rsid w:val="007669AB"/>
    <w:rsid w:val="007670EA"/>
    <w:rsid w:val="00767BF8"/>
    <w:rsid w:val="00771BF1"/>
    <w:rsid w:val="007743F6"/>
    <w:rsid w:val="00774631"/>
    <w:rsid w:val="00774CDC"/>
    <w:rsid w:val="00774FAA"/>
    <w:rsid w:val="00776DD8"/>
    <w:rsid w:val="0077719B"/>
    <w:rsid w:val="007777C9"/>
    <w:rsid w:val="007800A7"/>
    <w:rsid w:val="00782159"/>
    <w:rsid w:val="00782B96"/>
    <w:rsid w:val="0078381E"/>
    <w:rsid w:val="007842CA"/>
    <w:rsid w:val="00784738"/>
    <w:rsid w:val="00785F5F"/>
    <w:rsid w:val="00786134"/>
    <w:rsid w:val="00786D1A"/>
    <w:rsid w:val="00786F6E"/>
    <w:rsid w:val="007901AD"/>
    <w:rsid w:val="00791ACD"/>
    <w:rsid w:val="00791EB0"/>
    <w:rsid w:val="00791F39"/>
    <w:rsid w:val="00792A6F"/>
    <w:rsid w:val="007930EE"/>
    <w:rsid w:val="007936F2"/>
    <w:rsid w:val="00793724"/>
    <w:rsid w:val="0079375C"/>
    <w:rsid w:val="00793C8E"/>
    <w:rsid w:val="00794758"/>
    <w:rsid w:val="00794A7D"/>
    <w:rsid w:val="00794F12"/>
    <w:rsid w:val="007955D0"/>
    <w:rsid w:val="00795E51"/>
    <w:rsid w:val="007961AA"/>
    <w:rsid w:val="007977CA"/>
    <w:rsid w:val="00797880"/>
    <w:rsid w:val="00797F5A"/>
    <w:rsid w:val="007A013F"/>
    <w:rsid w:val="007A146C"/>
    <w:rsid w:val="007A147B"/>
    <w:rsid w:val="007A2106"/>
    <w:rsid w:val="007A247F"/>
    <w:rsid w:val="007A2D1B"/>
    <w:rsid w:val="007A2D64"/>
    <w:rsid w:val="007A3C6F"/>
    <w:rsid w:val="007A3F6E"/>
    <w:rsid w:val="007A464E"/>
    <w:rsid w:val="007A50D0"/>
    <w:rsid w:val="007A5F4C"/>
    <w:rsid w:val="007A6F32"/>
    <w:rsid w:val="007A79E0"/>
    <w:rsid w:val="007A7E92"/>
    <w:rsid w:val="007B019A"/>
    <w:rsid w:val="007B03F6"/>
    <w:rsid w:val="007B1052"/>
    <w:rsid w:val="007B1417"/>
    <w:rsid w:val="007B16F6"/>
    <w:rsid w:val="007B1ABB"/>
    <w:rsid w:val="007B25CD"/>
    <w:rsid w:val="007B27FF"/>
    <w:rsid w:val="007B2CAB"/>
    <w:rsid w:val="007B3370"/>
    <w:rsid w:val="007B34FE"/>
    <w:rsid w:val="007B4670"/>
    <w:rsid w:val="007B7ED8"/>
    <w:rsid w:val="007C0BE5"/>
    <w:rsid w:val="007C1647"/>
    <w:rsid w:val="007C1E42"/>
    <w:rsid w:val="007C2085"/>
    <w:rsid w:val="007C2385"/>
    <w:rsid w:val="007C3112"/>
    <w:rsid w:val="007C4A37"/>
    <w:rsid w:val="007C518E"/>
    <w:rsid w:val="007C6296"/>
    <w:rsid w:val="007C639A"/>
    <w:rsid w:val="007D08AF"/>
    <w:rsid w:val="007D08C6"/>
    <w:rsid w:val="007D0B5D"/>
    <w:rsid w:val="007D0E28"/>
    <w:rsid w:val="007D1A26"/>
    <w:rsid w:val="007D21EE"/>
    <w:rsid w:val="007D22FE"/>
    <w:rsid w:val="007D321F"/>
    <w:rsid w:val="007D34BD"/>
    <w:rsid w:val="007D4559"/>
    <w:rsid w:val="007D4D5A"/>
    <w:rsid w:val="007D5845"/>
    <w:rsid w:val="007D5F2F"/>
    <w:rsid w:val="007D659D"/>
    <w:rsid w:val="007D67ED"/>
    <w:rsid w:val="007D6863"/>
    <w:rsid w:val="007D7800"/>
    <w:rsid w:val="007E0773"/>
    <w:rsid w:val="007E1324"/>
    <w:rsid w:val="007E1457"/>
    <w:rsid w:val="007E26A8"/>
    <w:rsid w:val="007E2AF2"/>
    <w:rsid w:val="007E300A"/>
    <w:rsid w:val="007E55E3"/>
    <w:rsid w:val="007E6032"/>
    <w:rsid w:val="007E67D9"/>
    <w:rsid w:val="007E747B"/>
    <w:rsid w:val="007E7754"/>
    <w:rsid w:val="007E7D84"/>
    <w:rsid w:val="007F00AA"/>
    <w:rsid w:val="007F19EC"/>
    <w:rsid w:val="007F1EF2"/>
    <w:rsid w:val="007F256B"/>
    <w:rsid w:val="007F2D69"/>
    <w:rsid w:val="007F3A12"/>
    <w:rsid w:val="007F3E57"/>
    <w:rsid w:val="007F4895"/>
    <w:rsid w:val="007F4B12"/>
    <w:rsid w:val="007F5030"/>
    <w:rsid w:val="007F50F5"/>
    <w:rsid w:val="007F6108"/>
    <w:rsid w:val="007F677B"/>
    <w:rsid w:val="007F7157"/>
    <w:rsid w:val="007F7462"/>
    <w:rsid w:val="007F755F"/>
    <w:rsid w:val="00800194"/>
    <w:rsid w:val="008007F3"/>
    <w:rsid w:val="00800804"/>
    <w:rsid w:val="00801057"/>
    <w:rsid w:val="00801B9B"/>
    <w:rsid w:val="00802D52"/>
    <w:rsid w:val="00803609"/>
    <w:rsid w:val="008037A6"/>
    <w:rsid w:val="00804986"/>
    <w:rsid w:val="00804BB8"/>
    <w:rsid w:val="00804D50"/>
    <w:rsid w:val="00805537"/>
    <w:rsid w:val="00805583"/>
    <w:rsid w:val="0080632A"/>
    <w:rsid w:val="00806502"/>
    <w:rsid w:val="008071C3"/>
    <w:rsid w:val="00807C26"/>
    <w:rsid w:val="00811F52"/>
    <w:rsid w:val="00812108"/>
    <w:rsid w:val="008123DA"/>
    <w:rsid w:val="00813376"/>
    <w:rsid w:val="00813C68"/>
    <w:rsid w:val="00814BE2"/>
    <w:rsid w:val="00814DC4"/>
    <w:rsid w:val="0081509B"/>
    <w:rsid w:val="00815175"/>
    <w:rsid w:val="00815D47"/>
    <w:rsid w:val="00816546"/>
    <w:rsid w:val="00820AD7"/>
    <w:rsid w:val="00820C08"/>
    <w:rsid w:val="00820E91"/>
    <w:rsid w:val="00823128"/>
    <w:rsid w:val="00823C9C"/>
    <w:rsid w:val="00824767"/>
    <w:rsid w:val="00824917"/>
    <w:rsid w:val="008250BD"/>
    <w:rsid w:val="008256E3"/>
    <w:rsid w:val="00825905"/>
    <w:rsid w:val="008261C5"/>
    <w:rsid w:val="00827039"/>
    <w:rsid w:val="008275B1"/>
    <w:rsid w:val="00827A93"/>
    <w:rsid w:val="00827DEA"/>
    <w:rsid w:val="00827F35"/>
    <w:rsid w:val="008303F9"/>
    <w:rsid w:val="008311C6"/>
    <w:rsid w:val="00831434"/>
    <w:rsid w:val="00831B47"/>
    <w:rsid w:val="0083239E"/>
    <w:rsid w:val="00832A58"/>
    <w:rsid w:val="008331AA"/>
    <w:rsid w:val="0083354A"/>
    <w:rsid w:val="00833BE5"/>
    <w:rsid w:val="008347E2"/>
    <w:rsid w:val="00834B47"/>
    <w:rsid w:val="0083690E"/>
    <w:rsid w:val="008375D7"/>
    <w:rsid w:val="008375E5"/>
    <w:rsid w:val="0084056F"/>
    <w:rsid w:val="0084059A"/>
    <w:rsid w:val="00841C59"/>
    <w:rsid w:val="00842222"/>
    <w:rsid w:val="00842AA6"/>
    <w:rsid w:val="00842C7C"/>
    <w:rsid w:val="00842D99"/>
    <w:rsid w:val="00843089"/>
    <w:rsid w:val="00843702"/>
    <w:rsid w:val="008442D1"/>
    <w:rsid w:val="008442FF"/>
    <w:rsid w:val="00844C47"/>
    <w:rsid w:val="00844C5E"/>
    <w:rsid w:val="008469CA"/>
    <w:rsid w:val="00846A56"/>
    <w:rsid w:val="00846DEB"/>
    <w:rsid w:val="00847741"/>
    <w:rsid w:val="00847758"/>
    <w:rsid w:val="0085087C"/>
    <w:rsid w:val="00850937"/>
    <w:rsid w:val="00850B9A"/>
    <w:rsid w:val="00851116"/>
    <w:rsid w:val="008512A5"/>
    <w:rsid w:val="008515E1"/>
    <w:rsid w:val="00851FB5"/>
    <w:rsid w:val="008520BF"/>
    <w:rsid w:val="00852F94"/>
    <w:rsid w:val="008531F1"/>
    <w:rsid w:val="008532EE"/>
    <w:rsid w:val="00853820"/>
    <w:rsid w:val="0085458C"/>
    <w:rsid w:val="00854695"/>
    <w:rsid w:val="0085483F"/>
    <w:rsid w:val="00854DCB"/>
    <w:rsid w:val="00854E7A"/>
    <w:rsid w:val="008554D6"/>
    <w:rsid w:val="0085573A"/>
    <w:rsid w:val="00855E13"/>
    <w:rsid w:val="00856D29"/>
    <w:rsid w:val="008606CD"/>
    <w:rsid w:val="00862C5E"/>
    <w:rsid w:val="008634BF"/>
    <w:rsid w:val="008638BA"/>
    <w:rsid w:val="0086433F"/>
    <w:rsid w:val="008657A7"/>
    <w:rsid w:val="00865CE4"/>
    <w:rsid w:val="00866E7E"/>
    <w:rsid w:val="0087014B"/>
    <w:rsid w:val="008701C9"/>
    <w:rsid w:val="0087082C"/>
    <w:rsid w:val="00870CFC"/>
    <w:rsid w:val="008713A1"/>
    <w:rsid w:val="00871656"/>
    <w:rsid w:val="00871B44"/>
    <w:rsid w:val="0087251A"/>
    <w:rsid w:val="00872CCB"/>
    <w:rsid w:val="00872E71"/>
    <w:rsid w:val="00873CA0"/>
    <w:rsid w:val="00874AC5"/>
    <w:rsid w:val="00875E0F"/>
    <w:rsid w:val="0087726C"/>
    <w:rsid w:val="00877522"/>
    <w:rsid w:val="008778AD"/>
    <w:rsid w:val="0087791C"/>
    <w:rsid w:val="00881285"/>
    <w:rsid w:val="00881CE4"/>
    <w:rsid w:val="00882042"/>
    <w:rsid w:val="00882534"/>
    <w:rsid w:val="00882862"/>
    <w:rsid w:val="00883624"/>
    <w:rsid w:val="00883913"/>
    <w:rsid w:val="00883F59"/>
    <w:rsid w:val="00883FF6"/>
    <w:rsid w:val="008840DF"/>
    <w:rsid w:val="0088548C"/>
    <w:rsid w:val="008858BB"/>
    <w:rsid w:val="0088733E"/>
    <w:rsid w:val="008874BF"/>
    <w:rsid w:val="00887DFC"/>
    <w:rsid w:val="0089208C"/>
    <w:rsid w:val="008921C3"/>
    <w:rsid w:val="0089292F"/>
    <w:rsid w:val="008931AA"/>
    <w:rsid w:val="00893401"/>
    <w:rsid w:val="008943F3"/>
    <w:rsid w:val="00896061"/>
    <w:rsid w:val="00896AAF"/>
    <w:rsid w:val="00897915"/>
    <w:rsid w:val="00897956"/>
    <w:rsid w:val="008A0212"/>
    <w:rsid w:val="008A0937"/>
    <w:rsid w:val="008A157D"/>
    <w:rsid w:val="008A2245"/>
    <w:rsid w:val="008A4214"/>
    <w:rsid w:val="008A4787"/>
    <w:rsid w:val="008A4932"/>
    <w:rsid w:val="008A5432"/>
    <w:rsid w:val="008A54D0"/>
    <w:rsid w:val="008A6257"/>
    <w:rsid w:val="008A6584"/>
    <w:rsid w:val="008A6FD2"/>
    <w:rsid w:val="008A79D2"/>
    <w:rsid w:val="008B0567"/>
    <w:rsid w:val="008B2505"/>
    <w:rsid w:val="008B2BA2"/>
    <w:rsid w:val="008B4F3E"/>
    <w:rsid w:val="008B4FDA"/>
    <w:rsid w:val="008B4FE9"/>
    <w:rsid w:val="008B54D4"/>
    <w:rsid w:val="008B55E3"/>
    <w:rsid w:val="008B5DBB"/>
    <w:rsid w:val="008B627B"/>
    <w:rsid w:val="008B6916"/>
    <w:rsid w:val="008B699B"/>
    <w:rsid w:val="008B7119"/>
    <w:rsid w:val="008B7C5A"/>
    <w:rsid w:val="008C0258"/>
    <w:rsid w:val="008C0C7A"/>
    <w:rsid w:val="008C0C8A"/>
    <w:rsid w:val="008C1816"/>
    <w:rsid w:val="008C1BFE"/>
    <w:rsid w:val="008C29EE"/>
    <w:rsid w:val="008C2FC1"/>
    <w:rsid w:val="008C3469"/>
    <w:rsid w:val="008C4424"/>
    <w:rsid w:val="008C4DB4"/>
    <w:rsid w:val="008C558A"/>
    <w:rsid w:val="008C63F0"/>
    <w:rsid w:val="008C6543"/>
    <w:rsid w:val="008C6F63"/>
    <w:rsid w:val="008C76D1"/>
    <w:rsid w:val="008C7BF5"/>
    <w:rsid w:val="008D019A"/>
    <w:rsid w:val="008D02D1"/>
    <w:rsid w:val="008D1989"/>
    <w:rsid w:val="008D2270"/>
    <w:rsid w:val="008D269D"/>
    <w:rsid w:val="008D2A38"/>
    <w:rsid w:val="008D2F22"/>
    <w:rsid w:val="008D3214"/>
    <w:rsid w:val="008D4491"/>
    <w:rsid w:val="008D46A1"/>
    <w:rsid w:val="008D669B"/>
    <w:rsid w:val="008D69F5"/>
    <w:rsid w:val="008D7113"/>
    <w:rsid w:val="008D7DB6"/>
    <w:rsid w:val="008E08C2"/>
    <w:rsid w:val="008E1572"/>
    <w:rsid w:val="008E1813"/>
    <w:rsid w:val="008E2138"/>
    <w:rsid w:val="008E2CC7"/>
    <w:rsid w:val="008E2CFA"/>
    <w:rsid w:val="008E2DCF"/>
    <w:rsid w:val="008E33A1"/>
    <w:rsid w:val="008E4BDE"/>
    <w:rsid w:val="008E5931"/>
    <w:rsid w:val="008E5D47"/>
    <w:rsid w:val="008E7208"/>
    <w:rsid w:val="008E740D"/>
    <w:rsid w:val="008E7C38"/>
    <w:rsid w:val="008F023E"/>
    <w:rsid w:val="008F153D"/>
    <w:rsid w:val="008F1998"/>
    <w:rsid w:val="008F2719"/>
    <w:rsid w:val="008F30A0"/>
    <w:rsid w:val="008F41E6"/>
    <w:rsid w:val="008F4617"/>
    <w:rsid w:val="008F517E"/>
    <w:rsid w:val="008F5A40"/>
    <w:rsid w:val="008F6FF1"/>
    <w:rsid w:val="008F75E6"/>
    <w:rsid w:val="0090012B"/>
    <w:rsid w:val="009001A2"/>
    <w:rsid w:val="0090055F"/>
    <w:rsid w:val="009007F0"/>
    <w:rsid w:val="00900EDA"/>
    <w:rsid w:val="00901F8E"/>
    <w:rsid w:val="00902009"/>
    <w:rsid w:val="00902319"/>
    <w:rsid w:val="00903F02"/>
    <w:rsid w:val="00904431"/>
    <w:rsid w:val="0090449A"/>
    <w:rsid w:val="009053B2"/>
    <w:rsid w:val="00905566"/>
    <w:rsid w:val="00905D88"/>
    <w:rsid w:val="0090658D"/>
    <w:rsid w:val="00906F98"/>
    <w:rsid w:val="009070B4"/>
    <w:rsid w:val="00907276"/>
    <w:rsid w:val="0091026F"/>
    <w:rsid w:val="0091125E"/>
    <w:rsid w:val="00911E70"/>
    <w:rsid w:val="0091268E"/>
    <w:rsid w:val="00912DA2"/>
    <w:rsid w:val="0091419F"/>
    <w:rsid w:val="0091431E"/>
    <w:rsid w:val="009153F3"/>
    <w:rsid w:val="00915AA0"/>
    <w:rsid w:val="009161D0"/>
    <w:rsid w:val="00917428"/>
    <w:rsid w:val="009176FB"/>
    <w:rsid w:val="009177AC"/>
    <w:rsid w:val="009202BD"/>
    <w:rsid w:val="0092038A"/>
    <w:rsid w:val="009212E8"/>
    <w:rsid w:val="00921ADB"/>
    <w:rsid w:val="009227AF"/>
    <w:rsid w:val="00922DD1"/>
    <w:rsid w:val="0092301C"/>
    <w:rsid w:val="009230C9"/>
    <w:rsid w:val="009234BB"/>
    <w:rsid w:val="00923D4C"/>
    <w:rsid w:val="0092689C"/>
    <w:rsid w:val="0092726C"/>
    <w:rsid w:val="00927746"/>
    <w:rsid w:val="00927B1A"/>
    <w:rsid w:val="00931B3F"/>
    <w:rsid w:val="00931F9C"/>
    <w:rsid w:val="00934593"/>
    <w:rsid w:val="009353D9"/>
    <w:rsid w:val="00935E48"/>
    <w:rsid w:val="00936430"/>
    <w:rsid w:val="009415E5"/>
    <w:rsid w:val="00941806"/>
    <w:rsid w:val="00941875"/>
    <w:rsid w:val="00942037"/>
    <w:rsid w:val="009420B9"/>
    <w:rsid w:val="009421B2"/>
    <w:rsid w:val="0094290F"/>
    <w:rsid w:val="009429F2"/>
    <w:rsid w:val="00942F59"/>
    <w:rsid w:val="00943436"/>
    <w:rsid w:val="00943BFA"/>
    <w:rsid w:val="00944A05"/>
    <w:rsid w:val="00945825"/>
    <w:rsid w:val="0094658E"/>
    <w:rsid w:val="00946818"/>
    <w:rsid w:val="00946B57"/>
    <w:rsid w:val="009472A3"/>
    <w:rsid w:val="009477B3"/>
    <w:rsid w:val="009513DA"/>
    <w:rsid w:val="009519DE"/>
    <w:rsid w:val="00954626"/>
    <w:rsid w:val="009548FB"/>
    <w:rsid w:val="009554B4"/>
    <w:rsid w:val="00956646"/>
    <w:rsid w:val="009567E8"/>
    <w:rsid w:val="00956810"/>
    <w:rsid w:val="00956D18"/>
    <w:rsid w:val="00960582"/>
    <w:rsid w:val="0096294B"/>
    <w:rsid w:val="0096326C"/>
    <w:rsid w:val="00963BF7"/>
    <w:rsid w:val="00964C97"/>
    <w:rsid w:val="0096564F"/>
    <w:rsid w:val="00966793"/>
    <w:rsid w:val="00966F16"/>
    <w:rsid w:val="00967BF7"/>
    <w:rsid w:val="00970E80"/>
    <w:rsid w:val="009712FD"/>
    <w:rsid w:val="00971365"/>
    <w:rsid w:val="00973879"/>
    <w:rsid w:val="00973968"/>
    <w:rsid w:val="009739D7"/>
    <w:rsid w:val="00973DE4"/>
    <w:rsid w:val="00973DF2"/>
    <w:rsid w:val="00974C57"/>
    <w:rsid w:val="00974D45"/>
    <w:rsid w:val="0097574C"/>
    <w:rsid w:val="00976ACA"/>
    <w:rsid w:val="0097716A"/>
    <w:rsid w:val="00980009"/>
    <w:rsid w:val="00980155"/>
    <w:rsid w:val="0098076E"/>
    <w:rsid w:val="009828EC"/>
    <w:rsid w:val="00982A05"/>
    <w:rsid w:val="00983522"/>
    <w:rsid w:val="009839CA"/>
    <w:rsid w:val="00983E38"/>
    <w:rsid w:val="009842DA"/>
    <w:rsid w:val="009850E1"/>
    <w:rsid w:val="00985306"/>
    <w:rsid w:val="0098581C"/>
    <w:rsid w:val="00985B8B"/>
    <w:rsid w:val="00986895"/>
    <w:rsid w:val="00986F86"/>
    <w:rsid w:val="00986F97"/>
    <w:rsid w:val="00987DDD"/>
    <w:rsid w:val="00987DE8"/>
    <w:rsid w:val="009907B4"/>
    <w:rsid w:val="00991351"/>
    <w:rsid w:val="009913A5"/>
    <w:rsid w:val="0099180A"/>
    <w:rsid w:val="00992227"/>
    <w:rsid w:val="00993B98"/>
    <w:rsid w:val="00993CA0"/>
    <w:rsid w:val="00993DA3"/>
    <w:rsid w:val="00993F22"/>
    <w:rsid w:val="009946AE"/>
    <w:rsid w:val="00994A50"/>
    <w:rsid w:val="00994BAC"/>
    <w:rsid w:val="00995673"/>
    <w:rsid w:val="0099607C"/>
    <w:rsid w:val="00996EE9"/>
    <w:rsid w:val="0099714E"/>
    <w:rsid w:val="00997C8E"/>
    <w:rsid w:val="00997E68"/>
    <w:rsid w:val="00997F93"/>
    <w:rsid w:val="009A2108"/>
    <w:rsid w:val="009A2FDF"/>
    <w:rsid w:val="009A347A"/>
    <w:rsid w:val="009A3A04"/>
    <w:rsid w:val="009A3C15"/>
    <w:rsid w:val="009A3D91"/>
    <w:rsid w:val="009A3F0D"/>
    <w:rsid w:val="009A4407"/>
    <w:rsid w:val="009A455C"/>
    <w:rsid w:val="009A457D"/>
    <w:rsid w:val="009A45BA"/>
    <w:rsid w:val="009A4A2F"/>
    <w:rsid w:val="009A640B"/>
    <w:rsid w:val="009A752F"/>
    <w:rsid w:val="009B1D4F"/>
    <w:rsid w:val="009B286A"/>
    <w:rsid w:val="009B3015"/>
    <w:rsid w:val="009B324E"/>
    <w:rsid w:val="009B34F6"/>
    <w:rsid w:val="009B3AF7"/>
    <w:rsid w:val="009B3E88"/>
    <w:rsid w:val="009B4238"/>
    <w:rsid w:val="009B59F3"/>
    <w:rsid w:val="009B6A88"/>
    <w:rsid w:val="009B6EE9"/>
    <w:rsid w:val="009B718B"/>
    <w:rsid w:val="009B7CA7"/>
    <w:rsid w:val="009B7FA8"/>
    <w:rsid w:val="009C0C2B"/>
    <w:rsid w:val="009C0F04"/>
    <w:rsid w:val="009C2E20"/>
    <w:rsid w:val="009C321F"/>
    <w:rsid w:val="009C32EB"/>
    <w:rsid w:val="009C46E5"/>
    <w:rsid w:val="009C5CD0"/>
    <w:rsid w:val="009C5DC1"/>
    <w:rsid w:val="009C6768"/>
    <w:rsid w:val="009C6D88"/>
    <w:rsid w:val="009C7139"/>
    <w:rsid w:val="009C7357"/>
    <w:rsid w:val="009C78D7"/>
    <w:rsid w:val="009C7C60"/>
    <w:rsid w:val="009D0224"/>
    <w:rsid w:val="009D11B4"/>
    <w:rsid w:val="009D11DD"/>
    <w:rsid w:val="009D29F7"/>
    <w:rsid w:val="009D2A94"/>
    <w:rsid w:val="009D2D76"/>
    <w:rsid w:val="009D5727"/>
    <w:rsid w:val="009D5973"/>
    <w:rsid w:val="009D7C26"/>
    <w:rsid w:val="009E0371"/>
    <w:rsid w:val="009E0464"/>
    <w:rsid w:val="009E0898"/>
    <w:rsid w:val="009E169C"/>
    <w:rsid w:val="009E177B"/>
    <w:rsid w:val="009E1916"/>
    <w:rsid w:val="009E35B3"/>
    <w:rsid w:val="009E4BCD"/>
    <w:rsid w:val="009E4D65"/>
    <w:rsid w:val="009E4ECB"/>
    <w:rsid w:val="009E4FFD"/>
    <w:rsid w:val="009E5657"/>
    <w:rsid w:val="009E641E"/>
    <w:rsid w:val="009E6B0A"/>
    <w:rsid w:val="009E6E1B"/>
    <w:rsid w:val="009F0262"/>
    <w:rsid w:val="009F02D6"/>
    <w:rsid w:val="009F05F2"/>
    <w:rsid w:val="009F0BC9"/>
    <w:rsid w:val="009F10CE"/>
    <w:rsid w:val="009F1214"/>
    <w:rsid w:val="009F12C0"/>
    <w:rsid w:val="009F19AE"/>
    <w:rsid w:val="009F20D5"/>
    <w:rsid w:val="009F34AD"/>
    <w:rsid w:val="009F354F"/>
    <w:rsid w:val="009F5ECF"/>
    <w:rsid w:val="009F6589"/>
    <w:rsid w:val="009F69FE"/>
    <w:rsid w:val="00A000F9"/>
    <w:rsid w:val="00A0177C"/>
    <w:rsid w:val="00A01B01"/>
    <w:rsid w:val="00A02350"/>
    <w:rsid w:val="00A0308F"/>
    <w:rsid w:val="00A0455B"/>
    <w:rsid w:val="00A049DC"/>
    <w:rsid w:val="00A04DC4"/>
    <w:rsid w:val="00A05253"/>
    <w:rsid w:val="00A064DD"/>
    <w:rsid w:val="00A0653F"/>
    <w:rsid w:val="00A065E4"/>
    <w:rsid w:val="00A066CC"/>
    <w:rsid w:val="00A0685D"/>
    <w:rsid w:val="00A10E1D"/>
    <w:rsid w:val="00A11404"/>
    <w:rsid w:val="00A11AC8"/>
    <w:rsid w:val="00A121FA"/>
    <w:rsid w:val="00A126AD"/>
    <w:rsid w:val="00A12717"/>
    <w:rsid w:val="00A12CC9"/>
    <w:rsid w:val="00A13037"/>
    <w:rsid w:val="00A1310F"/>
    <w:rsid w:val="00A1370E"/>
    <w:rsid w:val="00A145C9"/>
    <w:rsid w:val="00A16461"/>
    <w:rsid w:val="00A16B95"/>
    <w:rsid w:val="00A20BDF"/>
    <w:rsid w:val="00A20F90"/>
    <w:rsid w:val="00A21513"/>
    <w:rsid w:val="00A219BE"/>
    <w:rsid w:val="00A21C38"/>
    <w:rsid w:val="00A22426"/>
    <w:rsid w:val="00A239D8"/>
    <w:rsid w:val="00A23F47"/>
    <w:rsid w:val="00A25490"/>
    <w:rsid w:val="00A25557"/>
    <w:rsid w:val="00A25612"/>
    <w:rsid w:val="00A269D6"/>
    <w:rsid w:val="00A27685"/>
    <w:rsid w:val="00A30BC0"/>
    <w:rsid w:val="00A30C24"/>
    <w:rsid w:val="00A32FA4"/>
    <w:rsid w:val="00A33B3F"/>
    <w:rsid w:val="00A33F1F"/>
    <w:rsid w:val="00A33F76"/>
    <w:rsid w:val="00A3443D"/>
    <w:rsid w:val="00A34B55"/>
    <w:rsid w:val="00A34D78"/>
    <w:rsid w:val="00A351CC"/>
    <w:rsid w:val="00A3521B"/>
    <w:rsid w:val="00A366EC"/>
    <w:rsid w:val="00A37BDA"/>
    <w:rsid w:val="00A37E13"/>
    <w:rsid w:val="00A37E8C"/>
    <w:rsid w:val="00A4053D"/>
    <w:rsid w:val="00A4098A"/>
    <w:rsid w:val="00A414C6"/>
    <w:rsid w:val="00A41595"/>
    <w:rsid w:val="00A41AA1"/>
    <w:rsid w:val="00A41B5F"/>
    <w:rsid w:val="00A42195"/>
    <w:rsid w:val="00A44187"/>
    <w:rsid w:val="00A458EA"/>
    <w:rsid w:val="00A463EF"/>
    <w:rsid w:val="00A51416"/>
    <w:rsid w:val="00A5170E"/>
    <w:rsid w:val="00A51A21"/>
    <w:rsid w:val="00A51DEE"/>
    <w:rsid w:val="00A52015"/>
    <w:rsid w:val="00A52939"/>
    <w:rsid w:val="00A53746"/>
    <w:rsid w:val="00A53963"/>
    <w:rsid w:val="00A53DD0"/>
    <w:rsid w:val="00A5508C"/>
    <w:rsid w:val="00A55578"/>
    <w:rsid w:val="00A5661C"/>
    <w:rsid w:val="00A60999"/>
    <w:rsid w:val="00A60AB1"/>
    <w:rsid w:val="00A60FFF"/>
    <w:rsid w:val="00A613A9"/>
    <w:rsid w:val="00A6186F"/>
    <w:rsid w:val="00A62582"/>
    <w:rsid w:val="00A62858"/>
    <w:rsid w:val="00A62BAD"/>
    <w:rsid w:val="00A62E70"/>
    <w:rsid w:val="00A63922"/>
    <w:rsid w:val="00A6421D"/>
    <w:rsid w:val="00A642B4"/>
    <w:rsid w:val="00A65735"/>
    <w:rsid w:val="00A659D1"/>
    <w:rsid w:val="00A65A75"/>
    <w:rsid w:val="00A65F4B"/>
    <w:rsid w:val="00A66323"/>
    <w:rsid w:val="00A66AD2"/>
    <w:rsid w:val="00A67E11"/>
    <w:rsid w:val="00A67E39"/>
    <w:rsid w:val="00A70754"/>
    <w:rsid w:val="00A715B2"/>
    <w:rsid w:val="00A725E5"/>
    <w:rsid w:val="00A735C3"/>
    <w:rsid w:val="00A73FA8"/>
    <w:rsid w:val="00A74F83"/>
    <w:rsid w:val="00A75156"/>
    <w:rsid w:val="00A7583C"/>
    <w:rsid w:val="00A75E5F"/>
    <w:rsid w:val="00A76ABC"/>
    <w:rsid w:val="00A7753F"/>
    <w:rsid w:val="00A77EB5"/>
    <w:rsid w:val="00A801A2"/>
    <w:rsid w:val="00A80C19"/>
    <w:rsid w:val="00A82723"/>
    <w:rsid w:val="00A8275C"/>
    <w:rsid w:val="00A83951"/>
    <w:rsid w:val="00A844D0"/>
    <w:rsid w:val="00A845EB"/>
    <w:rsid w:val="00A84767"/>
    <w:rsid w:val="00A84E63"/>
    <w:rsid w:val="00A84E68"/>
    <w:rsid w:val="00A85329"/>
    <w:rsid w:val="00A858AF"/>
    <w:rsid w:val="00A8596A"/>
    <w:rsid w:val="00A8689A"/>
    <w:rsid w:val="00A86916"/>
    <w:rsid w:val="00A871AD"/>
    <w:rsid w:val="00A87873"/>
    <w:rsid w:val="00A87DE3"/>
    <w:rsid w:val="00A910F7"/>
    <w:rsid w:val="00A911D2"/>
    <w:rsid w:val="00A92501"/>
    <w:rsid w:val="00A92AEA"/>
    <w:rsid w:val="00A92D39"/>
    <w:rsid w:val="00A94C76"/>
    <w:rsid w:val="00A94F78"/>
    <w:rsid w:val="00A965AE"/>
    <w:rsid w:val="00A96F26"/>
    <w:rsid w:val="00A974DA"/>
    <w:rsid w:val="00A97D73"/>
    <w:rsid w:val="00AA06CC"/>
    <w:rsid w:val="00AA1C11"/>
    <w:rsid w:val="00AA3365"/>
    <w:rsid w:val="00AA41D0"/>
    <w:rsid w:val="00AA4931"/>
    <w:rsid w:val="00AA4BF2"/>
    <w:rsid w:val="00AA4DEC"/>
    <w:rsid w:val="00AA51C0"/>
    <w:rsid w:val="00AA5B98"/>
    <w:rsid w:val="00AA60CE"/>
    <w:rsid w:val="00AA6A8D"/>
    <w:rsid w:val="00AA6D60"/>
    <w:rsid w:val="00AA6F52"/>
    <w:rsid w:val="00AA7371"/>
    <w:rsid w:val="00AA7FB3"/>
    <w:rsid w:val="00AB0C7F"/>
    <w:rsid w:val="00AB10F0"/>
    <w:rsid w:val="00AB11F1"/>
    <w:rsid w:val="00AB1567"/>
    <w:rsid w:val="00AB36AF"/>
    <w:rsid w:val="00AB4C11"/>
    <w:rsid w:val="00AB5991"/>
    <w:rsid w:val="00AB5D60"/>
    <w:rsid w:val="00AB6A3F"/>
    <w:rsid w:val="00AB7056"/>
    <w:rsid w:val="00AB72B7"/>
    <w:rsid w:val="00AC062D"/>
    <w:rsid w:val="00AC18DD"/>
    <w:rsid w:val="00AC2D35"/>
    <w:rsid w:val="00AC3D3C"/>
    <w:rsid w:val="00AC53A8"/>
    <w:rsid w:val="00AC5511"/>
    <w:rsid w:val="00AC5790"/>
    <w:rsid w:val="00AC61A3"/>
    <w:rsid w:val="00AC6371"/>
    <w:rsid w:val="00AC6789"/>
    <w:rsid w:val="00AC6C95"/>
    <w:rsid w:val="00AC7059"/>
    <w:rsid w:val="00AC768A"/>
    <w:rsid w:val="00AC7958"/>
    <w:rsid w:val="00AD0877"/>
    <w:rsid w:val="00AD0995"/>
    <w:rsid w:val="00AD0FFD"/>
    <w:rsid w:val="00AD1286"/>
    <w:rsid w:val="00AD1B2C"/>
    <w:rsid w:val="00AD1F5D"/>
    <w:rsid w:val="00AD2302"/>
    <w:rsid w:val="00AD2860"/>
    <w:rsid w:val="00AD3B4B"/>
    <w:rsid w:val="00AD455C"/>
    <w:rsid w:val="00AD4843"/>
    <w:rsid w:val="00AD4B7D"/>
    <w:rsid w:val="00AD5A38"/>
    <w:rsid w:val="00AD5E51"/>
    <w:rsid w:val="00AD7137"/>
    <w:rsid w:val="00AD7D78"/>
    <w:rsid w:val="00AD7E6D"/>
    <w:rsid w:val="00AE0397"/>
    <w:rsid w:val="00AE0801"/>
    <w:rsid w:val="00AE162E"/>
    <w:rsid w:val="00AE1B46"/>
    <w:rsid w:val="00AE2411"/>
    <w:rsid w:val="00AE24D7"/>
    <w:rsid w:val="00AE2C51"/>
    <w:rsid w:val="00AE2C75"/>
    <w:rsid w:val="00AE3473"/>
    <w:rsid w:val="00AE3715"/>
    <w:rsid w:val="00AE3BE7"/>
    <w:rsid w:val="00AE3E31"/>
    <w:rsid w:val="00AE4A82"/>
    <w:rsid w:val="00AE4EEC"/>
    <w:rsid w:val="00AE6C7F"/>
    <w:rsid w:val="00AE6F8E"/>
    <w:rsid w:val="00AE7281"/>
    <w:rsid w:val="00AE75FB"/>
    <w:rsid w:val="00AF05B7"/>
    <w:rsid w:val="00AF1805"/>
    <w:rsid w:val="00AF216D"/>
    <w:rsid w:val="00AF2B0F"/>
    <w:rsid w:val="00AF2E9C"/>
    <w:rsid w:val="00AF3037"/>
    <w:rsid w:val="00AF3696"/>
    <w:rsid w:val="00AF427D"/>
    <w:rsid w:val="00AF5252"/>
    <w:rsid w:val="00AF5286"/>
    <w:rsid w:val="00AF547D"/>
    <w:rsid w:val="00AF6A15"/>
    <w:rsid w:val="00AF6D5F"/>
    <w:rsid w:val="00AF6EC7"/>
    <w:rsid w:val="00AF71E4"/>
    <w:rsid w:val="00AF7256"/>
    <w:rsid w:val="00B00F3C"/>
    <w:rsid w:val="00B00F61"/>
    <w:rsid w:val="00B013A1"/>
    <w:rsid w:val="00B01729"/>
    <w:rsid w:val="00B02A0A"/>
    <w:rsid w:val="00B037B0"/>
    <w:rsid w:val="00B0456E"/>
    <w:rsid w:val="00B04B31"/>
    <w:rsid w:val="00B04E36"/>
    <w:rsid w:val="00B05E2A"/>
    <w:rsid w:val="00B07987"/>
    <w:rsid w:val="00B1025C"/>
    <w:rsid w:val="00B104BD"/>
    <w:rsid w:val="00B104ED"/>
    <w:rsid w:val="00B10541"/>
    <w:rsid w:val="00B1140B"/>
    <w:rsid w:val="00B147F5"/>
    <w:rsid w:val="00B1493B"/>
    <w:rsid w:val="00B1496F"/>
    <w:rsid w:val="00B15079"/>
    <w:rsid w:val="00B155F2"/>
    <w:rsid w:val="00B16161"/>
    <w:rsid w:val="00B1732C"/>
    <w:rsid w:val="00B17C6E"/>
    <w:rsid w:val="00B20717"/>
    <w:rsid w:val="00B20A03"/>
    <w:rsid w:val="00B21591"/>
    <w:rsid w:val="00B2179E"/>
    <w:rsid w:val="00B21ABF"/>
    <w:rsid w:val="00B221C3"/>
    <w:rsid w:val="00B224D7"/>
    <w:rsid w:val="00B2290C"/>
    <w:rsid w:val="00B230F4"/>
    <w:rsid w:val="00B2427B"/>
    <w:rsid w:val="00B24314"/>
    <w:rsid w:val="00B24B2B"/>
    <w:rsid w:val="00B254F1"/>
    <w:rsid w:val="00B25523"/>
    <w:rsid w:val="00B2680D"/>
    <w:rsid w:val="00B26F36"/>
    <w:rsid w:val="00B275A3"/>
    <w:rsid w:val="00B3045D"/>
    <w:rsid w:val="00B304E3"/>
    <w:rsid w:val="00B31604"/>
    <w:rsid w:val="00B3238B"/>
    <w:rsid w:val="00B323FB"/>
    <w:rsid w:val="00B32F42"/>
    <w:rsid w:val="00B346ED"/>
    <w:rsid w:val="00B34B4B"/>
    <w:rsid w:val="00B34DED"/>
    <w:rsid w:val="00B358E6"/>
    <w:rsid w:val="00B42558"/>
    <w:rsid w:val="00B433B3"/>
    <w:rsid w:val="00B43E24"/>
    <w:rsid w:val="00B449E1"/>
    <w:rsid w:val="00B44A65"/>
    <w:rsid w:val="00B45090"/>
    <w:rsid w:val="00B455A9"/>
    <w:rsid w:val="00B45B2E"/>
    <w:rsid w:val="00B45E1F"/>
    <w:rsid w:val="00B47C9D"/>
    <w:rsid w:val="00B47DB8"/>
    <w:rsid w:val="00B50F26"/>
    <w:rsid w:val="00B518B7"/>
    <w:rsid w:val="00B51B62"/>
    <w:rsid w:val="00B524FC"/>
    <w:rsid w:val="00B52F7C"/>
    <w:rsid w:val="00B53DF3"/>
    <w:rsid w:val="00B54BBC"/>
    <w:rsid w:val="00B55616"/>
    <w:rsid w:val="00B56097"/>
    <w:rsid w:val="00B5612E"/>
    <w:rsid w:val="00B572F5"/>
    <w:rsid w:val="00B5738F"/>
    <w:rsid w:val="00B60517"/>
    <w:rsid w:val="00B61524"/>
    <w:rsid w:val="00B61611"/>
    <w:rsid w:val="00B61CA8"/>
    <w:rsid w:val="00B626E3"/>
    <w:rsid w:val="00B631C8"/>
    <w:rsid w:val="00B636CA"/>
    <w:rsid w:val="00B64B15"/>
    <w:rsid w:val="00B652A8"/>
    <w:rsid w:val="00B65B14"/>
    <w:rsid w:val="00B65C88"/>
    <w:rsid w:val="00B66ED0"/>
    <w:rsid w:val="00B66FBA"/>
    <w:rsid w:val="00B6752C"/>
    <w:rsid w:val="00B675BA"/>
    <w:rsid w:val="00B67954"/>
    <w:rsid w:val="00B67A44"/>
    <w:rsid w:val="00B7111F"/>
    <w:rsid w:val="00B7115B"/>
    <w:rsid w:val="00B71F95"/>
    <w:rsid w:val="00B72033"/>
    <w:rsid w:val="00B73C57"/>
    <w:rsid w:val="00B755B8"/>
    <w:rsid w:val="00B75A16"/>
    <w:rsid w:val="00B76845"/>
    <w:rsid w:val="00B77433"/>
    <w:rsid w:val="00B77708"/>
    <w:rsid w:val="00B77FDF"/>
    <w:rsid w:val="00B8087D"/>
    <w:rsid w:val="00B80B37"/>
    <w:rsid w:val="00B80E90"/>
    <w:rsid w:val="00B81971"/>
    <w:rsid w:val="00B828C4"/>
    <w:rsid w:val="00B82D67"/>
    <w:rsid w:val="00B832F5"/>
    <w:rsid w:val="00B835AA"/>
    <w:rsid w:val="00B83639"/>
    <w:rsid w:val="00B8387F"/>
    <w:rsid w:val="00B83AFB"/>
    <w:rsid w:val="00B8435D"/>
    <w:rsid w:val="00B84450"/>
    <w:rsid w:val="00B84528"/>
    <w:rsid w:val="00B84E0E"/>
    <w:rsid w:val="00B86C59"/>
    <w:rsid w:val="00B86D5D"/>
    <w:rsid w:val="00B87596"/>
    <w:rsid w:val="00B8771B"/>
    <w:rsid w:val="00B9082C"/>
    <w:rsid w:val="00B918CB"/>
    <w:rsid w:val="00B918FE"/>
    <w:rsid w:val="00B91940"/>
    <w:rsid w:val="00B923AB"/>
    <w:rsid w:val="00B92B8F"/>
    <w:rsid w:val="00B94CE5"/>
    <w:rsid w:val="00B95ACE"/>
    <w:rsid w:val="00B96733"/>
    <w:rsid w:val="00B96EF0"/>
    <w:rsid w:val="00BA26B3"/>
    <w:rsid w:val="00BA2721"/>
    <w:rsid w:val="00BA27EF"/>
    <w:rsid w:val="00BA2DD7"/>
    <w:rsid w:val="00BA2F85"/>
    <w:rsid w:val="00BA30B5"/>
    <w:rsid w:val="00BA3190"/>
    <w:rsid w:val="00BA3390"/>
    <w:rsid w:val="00BA398D"/>
    <w:rsid w:val="00BA417D"/>
    <w:rsid w:val="00BA5425"/>
    <w:rsid w:val="00BA5426"/>
    <w:rsid w:val="00BA576F"/>
    <w:rsid w:val="00BA618C"/>
    <w:rsid w:val="00BA6326"/>
    <w:rsid w:val="00BA68E8"/>
    <w:rsid w:val="00BA6D75"/>
    <w:rsid w:val="00BA7F85"/>
    <w:rsid w:val="00BB0B5B"/>
    <w:rsid w:val="00BB12DE"/>
    <w:rsid w:val="00BB1379"/>
    <w:rsid w:val="00BB199B"/>
    <w:rsid w:val="00BB3576"/>
    <w:rsid w:val="00BB3B42"/>
    <w:rsid w:val="00BB4146"/>
    <w:rsid w:val="00BB428F"/>
    <w:rsid w:val="00BB4787"/>
    <w:rsid w:val="00BB4926"/>
    <w:rsid w:val="00BB499F"/>
    <w:rsid w:val="00BB53A2"/>
    <w:rsid w:val="00BB6AA1"/>
    <w:rsid w:val="00BB7D9B"/>
    <w:rsid w:val="00BB7DD9"/>
    <w:rsid w:val="00BC0CAC"/>
    <w:rsid w:val="00BC0F30"/>
    <w:rsid w:val="00BC20B4"/>
    <w:rsid w:val="00BC2170"/>
    <w:rsid w:val="00BC29C0"/>
    <w:rsid w:val="00BC2FEF"/>
    <w:rsid w:val="00BC4020"/>
    <w:rsid w:val="00BC5315"/>
    <w:rsid w:val="00BC56CF"/>
    <w:rsid w:val="00BC595B"/>
    <w:rsid w:val="00BC5A44"/>
    <w:rsid w:val="00BC68D8"/>
    <w:rsid w:val="00BC7DAD"/>
    <w:rsid w:val="00BC7E68"/>
    <w:rsid w:val="00BD0888"/>
    <w:rsid w:val="00BD147C"/>
    <w:rsid w:val="00BD1CC5"/>
    <w:rsid w:val="00BD1DDF"/>
    <w:rsid w:val="00BD3299"/>
    <w:rsid w:val="00BD32C6"/>
    <w:rsid w:val="00BD3711"/>
    <w:rsid w:val="00BD3AB5"/>
    <w:rsid w:val="00BD43CF"/>
    <w:rsid w:val="00BD4B50"/>
    <w:rsid w:val="00BD5632"/>
    <w:rsid w:val="00BD5D92"/>
    <w:rsid w:val="00BD5EE2"/>
    <w:rsid w:val="00BD63EC"/>
    <w:rsid w:val="00BD6C87"/>
    <w:rsid w:val="00BD78AF"/>
    <w:rsid w:val="00BD7CEB"/>
    <w:rsid w:val="00BE1ED3"/>
    <w:rsid w:val="00BE2121"/>
    <w:rsid w:val="00BE25E1"/>
    <w:rsid w:val="00BE3479"/>
    <w:rsid w:val="00BE3C43"/>
    <w:rsid w:val="00BE492C"/>
    <w:rsid w:val="00BE4C75"/>
    <w:rsid w:val="00BE5069"/>
    <w:rsid w:val="00BE5132"/>
    <w:rsid w:val="00BE6317"/>
    <w:rsid w:val="00BE6C0D"/>
    <w:rsid w:val="00BE7361"/>
    <w:rsid w:val="00BE759B"/>
    <w:rsid w:val="00BE773F"/>
    <w:rsid w:val="00BF0830"/>
    <w:rsid w:val="00BF0CAD"/>
    <w:rsid w:val="00BF0FD6"/>
    <w:rsid w:val="00BF148C"/>
    <w:rsid w:val="00BF1818"/>
    <w:rsid w:val="00BF1FF1"/>
    <w:rsid w:val="00BF2787"/>
    <w:rsid w:val="00BF2FF9"/>
    <w:rsid w:val="00BF426C"/>
    <w:rsid w:val="00BF48F9"/>
    <w:rsid w:val="00BF585E"/>
    <w:rsid w:val="00BF58F8"/>
    <w:rsid w:val="00BF60A9"/>
    <w:rsid w:val="00BF60BA"/>
    <w:rsid w:val="00BF6E2F"/>
    <w:rsid w:val="00BF7575"/>
    <w:rsid w:val="00BF7ABF"/>
    <w:rsid w:val="00BF7D53"/>
    <w:rsid w:val="00BF7ED2"/>
    <w:rsid w:val="00C009EF"/>
    <w:rsid w:val="00C01B4E"/>
    <w:rsid w:val="00C01D59"/>
    <w:rsid w:val="00C02980"/>
    <w:rsid w:val="00C02E6F"/>
    <w:rsid w:val="00C0391B"/>
    <w:rsid w:val="00C03A32"/>
    <w:rsid w:val="00C041FF"/>
    <w:rsid w:val="00C04682"/>
    <w:rsid w:val="00C047E7"/>
    <w:rsid w:val="00C05996"/>
    <w:rsid w:val="00C059B2"/>
    <w:rsid w:val="00C067AD"/>
    <w:rsid w:val="00C067F1"/>
    <w:rsid w:val="00C06EE0"/>
    <w:rsid w:val="00C07BB6"/>
    <w:rsid w:val="00C07E9D"/>
    <w:rsid w:val="00C1086D"/>
    <w:rsid w:val="00C1097D"/>
    <w:rsid w:val="00C11107"/>
    <w:rsid w:val="00C11618"/>
    <w:rsid w:val="00C121AF"/>
    <w:rsid w:val="00C12C84"/>
    <w:rsid w:val="00C12FF6"/>
    <w:rsid w:val="00C1456E"/>
    <w:rsid w:val="00C15EDF"/>
    <w:rsid w:val="00C1702B"/>
    <w:rsid w:val="00C17F4A"/>
    <w:rsid w:val="00C200B9"/>
    <w:rsid w:val="00C20101"/>
    <w:rsid w:val="00C20A35"/>
    <w:rsid w:val="00C20A4C"/>
    <w:rsid w:val="00C2179A"/>
    <w:rsid w:val="00C2498C"/>
    <w:rsid w:val="00C24F97"/>
    <w:rsid w:val="00C25F3A"/>
    <w:rsid w:val="00C26044"/>
    <w:rsid w:val="00C302E7"/>
    <w:rsid w:val="00C30F54"/>
    <w:rsid w:val="00C317D5"/>
    <w:rsid w:val="00C31A6F"/>
    <w:rsid w:val="00C31AC5"/>
    <w:rsid w:val="00C31D22"/>
    <w:rsid w:val="00C3294A"/>
    <w:rsid w:val="00C32E6F"/>
    <w:rsid w:val="00C336F2"/>
    <w:rsid w:val="00C3535E"/>
    <w:rsid w:val="00C353FD"/>
    <w:rsid w:val="00C3585C"/>
    <w:rsid w:val="00C35D61"/>
    <w:rsid w:val="00C35E94"/>
    <w:rsid w:val="00C36823"/>
    <w:rsid w:val="00C37801"/>
    <w:rsid w:val="00C406AC"/>
    <w:rsid w:val="00C40A47"/>
    <w:rsid w:val="00C4191A"/>
    <w:rsid w:val="00C41FBA"/>
    <w:rsid w:val="00C4220E"/>
    <w:rsid w:val="00C4231C"/>
    <w:rsid w:val="00C423FC"/>
    <w:rsid w:val="00C426A7"/>
    <w:rsid w:val="00C428E0"/>
    <w:rsid w:val="00C43FF8"/>
    <w:rsid w:val="00C442AA"/>
    <w:rsid w:val="00C45C4C"/>
    <w:rsid w:val="00C46202"/>
    <w:rsid w:val="00C462D8"/>
    <w:rsid w:val="00C46922"/>
    <w:rsid w:val="00C503BD"/>
    <w:rsid w:val="00C5048D"/>
    <w:rsid w:val="00C518ED"/>
    <w:rsid w:val="00C51983"/>
    <w:rsid w:val="00C51A02"/>
    <w:rsid w:val="00C52AB8"/>
    <w:rsid w:val="00C554BA"/>
    <w:rsid w:val="00C55DB2"/>
    <w:rsid w:val="00C561B9"/>
    <w:rsid w:val="00C570C0"/>
    <w:rsid w:val="00C600BB"/>
    <w:rsid w:val="00C60810"/>
    <w:rsid w:val="00C61CCE"/>
    <w:rsid w:val="00C6258E"/>
    <w:rsid w:val="00C62676"/>
    <w:rsid w:val="00C629EE"/>
    <w:rsid w:val="00C63206"/>
    <w:rsid w:val="00C6338D"/>
    <w:rsid w:val="00C6389A"/>
    <w:rsid w:val="00C63F97"/>
    <w:rsid w:val="00C64B7E"/>
    <w:rsid w:val="00C64B7F"/>
    <w:rsid w:val="00C64E92"/>
    <w:rsid w:val="00C64F78"/>
    <w:rsid w:val="00C6605A"/>
    <w:rsid w:val="00C6634F"/>
    <w:rsid w:val="00C6693A"/>
    <w:rsid w:val="00C66CA9"/>
    <w:rsid w:val="00C67C75"/>
    <w:rsid w:val="00C703E0"/>
    <w:rsid w:val="00C7042E"/>
    <w:rsid w:val="00C70708"/>
    <w:rsid w:val="00C7106D"/>
    <w:rsid w:val="00C710CB"/>
    <w:rsid w:val="00C71416"/>
    <w:rsid w:val="00C71BF9"/>
    <w:rsid w:val="00C722FA"/>
    <w:rsid w:val="00C73EC7"/>
    <w:rsid w:val="00C7402E"/>
    <w:rsid w:val="00C7475B"/>
    <w:rsid w:val="00C753FE"/>
    <w:rsid w:val="00C75566"/>
    <w:rsid w:val="00C762D1"/>
    <w:rsid w:val="00C772E3"/>
    <w:rsid w:val="00C774C6"/>
    <w:rsid w:val="00C77835"/>
    <w:rsid w:val="00C77ACA"/>
    <w:rsid w:val="00C77EA5"/>
    <w:rsid w:val="00C82261"/>
    <w:rsid w:val="00C826D4"/>
    <w:rsid w:val="00C828FC"/>
    <w:rsid w:val="00C82ACD"/>
    <w:rsid w:val="00C83024"/>
    <w:rsid w:val="00C83DF7"/>
    <w:rsid w:val="00C84EDB"/>
    <w:rsid w:val="00C851BB"/>
    <w:rsid w:val="00C85B71"/>
    <w:rsid w:val="00C85D01"/>
    <w:rsid w:val="00C869FD"/>
    <w:rsid w:val="00C86FCC"/>
    <w:rsid w:val="00C87264"/>
    <w:rsid w:val="00C87AA7"/>
    <w:rsid w:val="00C905AA"/>
    <w:rsid w:val="00C90D48"/>
    <w:rsid w:val="00C9213F"/>
    <w:rsid w:val="00C92617"/>
    <w:rsid w:val="00C93003"/>
    <w:rsid w:val="00C9359C"/>
    <w:rsid w:val="00C936FD"/>
    <w:rsid w:val="00C94419"/>
    <w:rsid w:val="00C95242"/>
    <w:rsid w:val="00C9578B"/>
    <w:rsid w:val="00C968EE"/>
    <w:rsid w:val="00C96B2C"/>
    <w:rsid w:val="00C9760D"/>
    <w:rsid w:val="00C97925"/>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94D"/>
    <w:rsid w:val="00CB1B85"/>
    <w:rsid w:val="00CB1CCD"/>
    <w:rsid w:val="00CB206F"/>
    <w:rsid w:val="00CB301B"/>
    <w:rsid w:val="00CB50D2"/>
    <w:rsid w:val="00CB5246"/>
    <w:rsid w:val="00CB596B"/>
    <w:rsid w:val="00CB5993"/>
    <w:rsid w:val="00CB5B41"/>
    <w:rsid w:val="00CB5B8B"/>
    <w:rsid w:val="00CB623A"/>
    <w:rsid w:val="00CB6E93"/>
    <w:rsid w:val="00CB70D4"/>
    <w:rsid w:val="00CB7B29"/>
    <w:rsid w:val="00CC101C"/>
    <w:rsid w:val="00CC2234"/>
    <w:rsid w:val="00CC3D41"/>
    <w:rsid w:val="00CC4590"/>
    <w:rsid w:val="00CC53AB"/>
    <w:rsid w:val="00CC544B"/>
    <w:rsid w:val="00CC5B81"/>
    <w:rsid w:val="00CC5D92"/>
    <w:rsid w:val="00CC60F8"/>
    <w:rsid w:val="00CC6111"/>
    <w:rsid w:val="00CC633C"/>
    <w:rsid w:val="00CC6A5A"/>
    <w:rsid w:val="00CC7D68"/>
    <w:rsid w:val="00CD06DD"/>
    <w:rsid w:val="00CD2716"/>
    <w:rsid w:val="00CD5549"/>
    <w:rsid w:val="00CD5A38"/>
    <w:rsid w:val="00CD6276"/>
    <w:rsid w:val="00CD63EF"/>
    <w:rsid w:val="00CD650F"/>
    <w:rsid w:val="00CD7D8F"/>
    <w:rsid w:val="00CD7EED"/>
    <w:rsid w:val="00CE1470"/>
    <w:rsid w:val="00CE1E49"/>
    <w:rsid w:val="00CE1F8B"/>
    <w:rsid w:val="00CE2B12"/>
    <w:rsid w:val="00CE3CCE"/>
    <w:rsid w:val="00CE3F79"/>
    <w:rsid w:val="00CE51AE"/>
    <w:rsid w:val="00CE51ED"/>
    <w:rsid w:val="00CE5DB9"/>
    <w:rsid w:val="00CE5EAA"/>
    <w:rsid w:val="00CE6966"/>
    <w:rsid w:val="00CE6CD0"/>
    <w:rsid w:val="00CE6E52"/>
    <w:rsid w:val="00CE7AFF"/>
    <w:rsid w:val="00CF0661"/>
    <w:rsid w:val="00CF171A"/>
    <w:rsid w:val="00CF17DF"/>
    <w:rsid w:val="00CF2311"/>
    <w:rsid w:val="00CF320C"/>
    <w:rsid w:val="00CF3500"/>
    <w:rsid w:val="00CF39AC"/>
    <w:rsid w:val="00CF3E77"/>
    <w:rsid w:val="00CF4431"/>
    <w:rsid w:val="00CF47CE"/>
    <w:rsid w:val="00CF6335"/>
    <w:rsid w:val="00CF6418"/>
    <w:rsid w:val="00CF72F8"/>
    <w:rsid w:val="00CF74F8"/>
    <w:rsid w:val="00CF7502"/>
    <w:rsid w:val="00CF7CEE"/>
    <w:rsid w:val="00D001F0"/>
    <w:rsid w:val="00D0089B"/>
    <w:rsid w:val="00D00D1B"/>
    <w:rsid w:val="00D011FA"/>
    <w:rsid w:val="00D012B2"/>
    <w:rsid w:val="00D0144E"/>
    <w:rsid w:val="00D02601"/>
    <w:rsid w:val="00D02706"/>
    <w:rsid w:val="00D0386E"/>
    <w:rsid w:val="00D03AAE"/>
    <w:rsid w:val="00D03F07"/>
    <w:rsid w:val="00D04457"/>
    <w:rsid w:val="00D04A0F"/>
    <w:rsid w:val="00D04C57"/>
    <w:rsid w:val="00D06276"/>
    <w:rsid w:val="00D06320"/>
    <w:rsid w:val="00D06355"/>
    <w:rsid w:val="00D06966"/>
    <w:rsid w:val="00D072D3"/>
    <w:rsid w:val="00D07CCD"/>
    <w:rsid w:val="00D07FCC"/>
    <w:rsid w:val="00D10B62"/>
    <w:rsid w:val="00D10D31"/>
    <w:rsid w:val="00D114FF"/>
    <w:rsid w:val="00D11BC2"/>
    <w:rsid w:val="00D11F86"/>
    <w:rsid w:val="00D12689"/>
    <w:rsid w:val="00D12DCA"/>
    <w:rsid w:val="00D12F31"/>
    <w:rsid w:val="00D13155"/>
    <w:rsid w:val="00D141E5"/>
    <w:rsid w:val="00D156CC"/>
    <w:rsid w:val="00D156E2"/>
    <w:rsid w:val="00D158DA"/>
    <w:rsid w:val="00D15942"/>
    <w:rsid w:val="00D1627E"/>
    <w:rsid w:val="00D16AA3"/>
    <w:rsid w:val="00D172EF"/>
    <w:rsid w:val="00D17DA1"/>
    <w:rsid w:val="00D20067"/>
    <w:rsid w:val="00D20533"/>
    <w:rsid w:val="00D20920"/>
    <w:rsid w:val="00D20EF6"/>
    <w:rsid w:val="00D216DB"/>
    <w:rsid w:val="00D2193F"/>
    <w:rsid w:val="00D22700"/>
    <w:rsid w:val="00D22750"/>
    <w:rsid w:val="00D22AFC"/>
    <w:rsid w:val="00D24C0A"/>
    <w:rsid w:val="00D24E40"/>
    <w:rsid w:val="00D25A40"/>
    <w:rsid w:val="00D265D0"/>
    <w:rsid w:val="00D2697A"/>
    <w:rsid w:val="00D27421"/>
    <w:rsid w:val="00D27FF1"/>
    <w:rsid w:val="00D31827"/>
    <w:rsid w:val="00D31BB9"/>
    <w:rsid w:val="00D31C2B"/>
    <w:rsid w:val="00D32139"/>
    <w:rsid w:val="00D322EC"/>
    <w:rsid w:val="00D32759"/>
    <w:rsid w:val="00D329AB"/>
    <w:rsid w:val="00D32E9B"/>
    <w:rsid w:val="00D3546F"/>
    <w:rsid w:val="00D354D6"/>
    <w:rsid w:val="00D358E5"/>
    <w:rsid w:val="00D37EB4"/>
    <w:rsid w:val="00D407E3"/>
    <w:rsid w:val="00D40B45"/>
    <w:rsid w:val="00D40D38"/>
    <w:rsid w:val="00D4159F"/>
    <w:rsid w:val="00D41CF5"/>
    <w:rsid w:val="00D42611"/>
    <w:rsid w:val="00D4295A"/>
    <w:rsid w:val="00D448FA"/>
    <w:rsid w:val="00D45594"/>
    <w:rsid w:val="00D47688"/>
    <w:rsid w:val="00D478C0"/>
    <w:rsid w:val="00D502EE"/>
    <w:rsid w:val="00D506CC"/>
    <w:rsid w:val="00D5076F"/>
    <w:rsid w:val="00D5079D"/>
    <w:rsid w:val="00D52812"/>
    <w:rsid w:val="00D537A0"/>
    <w:rsid w:val="00D54048"/>
    <w:rsid w:val="00D54249"/>
    <w:rsid w:val="00D548B3"/>
    <w:rsid w:val="00D54C4D"/>
    <w:rsid w:val="00D54D8B"/>
    <w:rsid w:val="00D5561A"/>
    <w:rsid w:val="00D556F1"/>
    <w:rsid w:val="00D5608D"/>
    <w:rsid w:val="00D56CD9"/>
    <w:rsid w:val="00D60B84"/>
    <w:rsid w:val="00D61842"/>
    <w:rsid w:val="00D61C09"/>
    <w:rsid w:val="00D61E4D"/>
    <w:rsid w:val="00D62203"/>
    <w:rsid w:val="00D628FB"/>
    <w:rsid w:val="00D62969"/>
    <w:rsid w:val="00D62DA9"/>
    <w:rsid w:val="00D6428C"/>
    <w:rsid w:val="00D6442D"/>
    <w:rsid w:val="00D644FB"/>
    <w:rsid w:val="00D6524B"/>
    <w:rsid w:val="00D658D9"/>
    <w:rsid w:val="00D65A08"/>
    <w:rsid w:val="00D65A64"/>
    <w:rsid w:val="00D6605C"/>
    <w:rsid w:val="00D66448"/>
    <w:rsid w:val="00D6647F"/>
    <w:rsid w:val="00D669B4"/>
    <w:rsid w:val="00D669FB"/>
    <w:rsid w:val="00D671EA"/>
    <w:rsid w:val="00D67512"/>
    <w:rsid w:val="00D67537"/>
    <w:rsid w:val="00D67AC6"/>
    <w:rsid w:val="00D702B2"/>
    <w:rsid w:val="00D70452"/>
    <w:rsid w:val="00D706EA"/>
    <w:rsid w:val="00D707A7"/>
    <w:rsid w:val="00D70BA1"/>
    <w:rsid w:val="00D70F3D"/>
    <w:rsid w:val="00D72239"/>
    <w:rsid w:val="00D738D2"/>
    <w:rsid w:val="00D73961"/>
    <w:rsid w:val="00D74680"/>
    <w:rsid w:val="00D74811"/>
    <w:rsid w:val="00D74CEE"/>
    <w:rsid w:val="00D75A98"/>
    <w:rsid w:val="00D7602F"/>
    <w:rsid w:val="00D77001"/>
    <w:rsid w:val="00D7747B"/>
    <w:rsid w:val="00D803B8"/>
    <w:rsid w:val="00D8117A"/>
    <w:rsid w:val="00D814D0"/>
    <w:rsid w:val="00D816BF"/>
    <w:rsid w:val="00D824F6"/>
    <w:rsid w:val="00D826F0"/>
    <w:rsid w:val="00D82C07"/>
    <w:rsid w:val="00D83699"/>
    <w:rsid w:val="00D838DF"/>
    <w:rsid w:val="00D83D9D"/>
    <w:rsid w:val="00D846F6"/>
    <w:rsid w:val="00D84937"/>
    <w:rsid w:val="00D85968"/>
    <w:rsid w:val="00D85D25"/>
    <w:rsid w:val="00D85E62"/>
    <w:rsid w:val="00D86E17"/>
    <w:rsid w:val="00D87669"/>
    <w:rsid w:val="00D92699"/>
    <w:rsid w:val="00D9275B"/>
    <w:rsid w:val="00D93656"/>
    <w:rsid w:val="00D93669"/>
    <w:rsid w:val="00D94A21"/>
    <w:rsid w:val="00D94D96"/>
    <w:rsid w:val="00D94FCE"/>
    <w:rsid w:val="00D95881"/>
    <w:rsid w:val="00D95C4A"/>
    <w:rsid w:val="00D95DB4"/>
    <w:rsid w:val="00D9632E"/>
    <w:rsid w:val="00D96F05"/>
    <w:rsid w:val="00D97A14"/>
    <w:rsid w:val="00DA0182"/>
    <w:rsid w:val="00DA0757"/>
    <w:rsid w:val="00DA08BF"/>
    <w:rsid w:val="00DA09DD"/>
    <w:rsid w:val="00DA1487"/>
    <w:rsid w:val="00DA15C9"/>
    <w:rsid w:val="00DA180E"/>
    <w:rsid w:val="00DA2139"/>
    <w:rsid w:val="00DA224E"/>
    <w:rsid w:val="00DA2BB7"/>
    <w:rsid w:val="00DA2E2B"/>
    <w:rsid w:val="00DA2ED8"/>
    <w:rsid w:val="00DA3391"/>
    <w:rsid w:val="00DA3851"/>
    <w:rsid w:val="00DA3D7E"/>
    <w:rsid w:val="00DA3E83"/>
    <w:rsid w:val="00DA475B"/>
    <w:rsid w:val="00DA4F36"/>
    <w:rsid w:val="00DA6385"/>
    <w:rsid w:val="00DA7136"/>
    <w:rsid w:val="00DA7618"/>
    <w:rsid w:val="00DA7DE7"/>
    <w:rsid w:val="00DA7F15"/>
    <w:rsid w:val="00DB01A7"/>
    <w:rsid w:val="00DB085A"/>
    <w:rsid w:val="00DB09D2"/>
    <w:rsid w:val="00DB1531"/>
    <w:rsid w:val="00DB19A3"/>
    <w:rsid w:val="00DB1A88"/>
    <w:rsid w:val="00DB1F58"/>
    <w:rsid w:val="00DB2965"/>
    <w:rsid w:val="00DB2A1D"/>
    <w:rsid w:val="00DB2B56"/>
    <w:rsid w:val="00DB3AB8"/>
    <w:rsid w:val="00DB3C6A"/>
    <w:rsid w:val="00DB3CD1"/>
    <w:rsid w:val="00DB4C5F"/>
    <w:rsid w:val="00DB51BC"/>
    <w:rsid w:val="00DB5BF3"/>
    <w:rsid w:val="00DB636B"/>
    <w:rsid w:val="00DB74AF"/>
    <w:rsid w:val="00DB7953"/>
    <w:rsid w:val="00DC000A"/>
    <w:rsid w:val="00DC00F8"/>
    <w:rsid w:val="00DC01B4"/>
    <w:rsid w:val="00DC1344"/>
    <w:rsid w:val="00DC181E"/>
    <w:rsid w:val="00DC2128"/>
    <w:rsid w:val="00DC22CB"/>
    <w:rsid w:val="00DC3254"/>
    <w:rsid w:val="00DC332D"/>
    <w:rsid w:val="00DC3A9B"/>
    <w:rsid w:val="00DC3F85"/>
    <w:rsid w:val="00DC4403"/>
    <w:rsid w:val="00DC4920"/>
    <w:rsid w:val="00DC5CEE"/>
    <w:rsid w:val="00DC5F9B"/>
    <w:rsid w:val="00DC6637"/>
    <w:rsid w:val="00DC6923"/>
    <w:rsid w:val="00DC6DED"/>
    <w:rsid w:val="00DC71A5"/>
    <w:rsid w:val="00DC741C"/>
    <w:rsid w:val="00DC75BE"/>
    <w:rsid w:val="00DC7845"/>
    <w:rsid w:val="00DC78A3"/>
    <w:rsid w:val="00DC7F3E"/>
    <w:rsid w:val="00DC7F7F"/>
    <w:rsid w:val="00DD049A"/>
    <w:rsid w:val="00DD1916"/>
    <w:rsid w:val="00DD1FF6"/>
    <w:rsid w:val="00DD25E4"/>
    <w:rsid w:val="00DD2E76"/>
    <w:rsid w:val="00DD57C3"/>
    <w:rsid w:val="00DD58AE"/>
    <w:rsid w:val="00DD6983"/>
    <w:rsid w:val="00DD6BDB"/>
    <w:rsid w:val="00DD6CDB"/>
    <w:rsid w:val="00DD7200"/>
    <w:rsid w:val="00DD7321"/>
    <w:rsid w:val="00DD7461"/>
    <w:rsid w:val="00DD7727"/>
    <w:rsid w:val="00DE035B"/>
    <w:rsid w:val="00DE0432"/>
    <w:rsid w:val="00DE0688"/>
    <w:rsid w:val="00DE1185"/>
    <w:rsid w:val="00DE19F4"/>
    <w:rsid w:val="00DE2368"/>
    <w:rsid w:val="00DE36E9"/>
    <w:rsid w:val="00DE39BD"/>
    <w:rsid w:val="00DE479F"/>
    <w:rsid w:val="00DE499A"/>
    <w:rsid w:val="00DE609E"/>
    <w:rsid w:val="00DE6158"/>
    <w:rsid w:val="00DE64EB"/>
    <w:rsid w:val="00DE6D9C"/>
    <w:rsid w:val="00DF02BE"/>
    <w:rsid w:val="00DF0C97"/>
    <w:rsid w:val="00DF116B"/>
    <w:rsid w:val="00DF230C"/>
    <w:rsid w:val="00DF5951"/>
    <w:rsid w:val="00DF7147"/>
    <w:rsid w:val="00DF78B9"/>
    <w:rsid w:val="00DF7E0E"/>
    <w:rsid w:val="00E001A8"/>
    <w:rsid w:val="00E00261"/>
    <w:rsid w:val="00E00862"/>
    <w:rsid w:val="00E012B4"/>
    <w:rsid w:val="00E028E3"/>
    <w:rsid w:val="00E03361"/>
    <w:rsid w:val="00E03EF6"/>
    <w:rsid w:val="00E040FA"/>
    <w:rsid w:val="00E042F4"/>
    <w:rsid w:val="00E0472F"/>
    <w:rsid w:val="00E04D88"/>
    <w:rsid w:val="00E05EA6"/>
    <w:rsid w:val="00E05FA4"/>
    <w:rsid w:val="00E06485"/>
    <w:rsid w:val="00E06560"/>
    <w:rsid w:val="00E06E5D"/>
    <w:rsid w:val="00E071E4"/>
    <w:rsid w:val="00E07783"/>
    <w:rsid w:val="00E07913"/>
    <w:rsid w:val="00E07BDB"/>
    <w:rsid w:val="00E109F9"/>
    <w:rsid w:val="00E10FDB"/>
    <w:rsid w:val="00E114E4"/>
    <w:rsid w:val="00E11650"/>
    <w:rsid w:val="00E11C02"/>
    <w:rsid w:val="00E120FD"/>
    <w:rsid w:val="00E124AF"/>
    <w:rsid w:val="00E12EA2"/>
    <w:rsid w:val="00E13096"/>
    <w:rsid w:val="00E134EB"/>
    <w:rsid w:val="00E13F6C"/>
    <w:rsid w:val="00E1461B"/>
    <w:rsid w:val="00E1678B"/>
    <w:rsid w:val="00E16B09"/>
    <w:rsid w:val="00E17577"/>
    <w:rsid w:val="00E21295"/>
    <w:rsid w:val="00E21773"/>
    <w:rsid w:val="00E218B3"/>
    <w:rsid w:val="00E223F4"/>
    <w:rsid w:val="00E22AF7"/>
    <w:rsid w:val="00E22DCE"/>
    <w:rsid w:val="00E24B93"/>
    <w:rsid w:val="00E257A9"/>
    <w:rsid w:val="00E25920"/>
    <w:rsid w:val="00E25A3A"/>
    <w:rsid w:val="00E25CFD"/>
    <w:rsid w:val="00E266AC"/>
    <w:rsid w:val="00E273D3"/>
    <w:rsid w:val="00E27959"/>
    <w:rsid w:val="00E304C5"/>
    <w:rsid w:val="00E312E4"/>
    <w:rsid w:val="00E31620"/>
    <w:rsid w:val="00E31632"/>
    <w:rsid w:val="00E3183D"/>
    <w:rsid w:val="00E31879"/>
    <w:rsid w:val="00E31EE6"/>
    <w:rsid w:val="00E325F4"/>
    <w:rsid w:val="00E327E5"/>
    <w:rsid w:val="00E3286E"/>
    <w:rsid w:val="00E32C60"/>
    <w:rsid w:val="00E32ED5"/>
    <w:rsid w:val="00E3357B"/>
    <w:rsid w:val="00E33749"/>
    <w:rsid w:val="00E34077"/>
    <w:rsid w:val="00E34F2A"/>
    <w:rsid w:val="00E35C48"/>
    <w:rsid w:val="00E36B96"/>
    <w:rsid w:val="00E37050"/>
    <w:rsid w:val="00E370AB"/>
    <w:rsid w:val="00E3746D"/>
    <w:rsid w:val="00E405F7"/>
    <w:rsid w:val="00E41712"/>
    <w:rsid w:val="00E420F8"/>
    <w:rsid w:val="00E42E12"/>
    <w:rsid w:val="00E44B09"/>
    <w:rsid w:val="00E44B90"/>
    <w:rsid w:val="00E45419"/>
    <w:rsid w:val="00E45B3E"/>
    <w:rsid w:val="00E460A8"/>
    <w:rsid w:val="00E4771C"/>
    <w:rsid w:val="00E50426"/>
    <w:rsid w:val="00E50F00"/>
    <w:rsid w:val="00E51155"/>
    <w:rsid w:val="00E512EF"/>
    <w:rsid w:val="00E51A6D"/>
    <w:rsid w:val="00E51DD8"/>
    <w:rsid w:val="00E51FD1"/>
    <w:rsid w:val="00E52447"/>
    <w:rsid w:val="00E530B6"/>
    <w:rsid w:val="00E53F4A"/>
    <w:rsid w:val="00E5498D"/>
    <w:rsid w:val="00E55A31"/>
    <w:rsid w:val="00E5641D"/>
    <w:rsid w:val="00E56759"/>
    <w:rsid w:val="00E567A9"/>
    <w:rsid w:val="00E6159B"/>
    <w:rsid w:val="00E6250C"/>
    <w:rsid w:val="00E6310E"/>
    <w:rsid w:val="00E63FB5"/>
    <w:rsid w:val="00E64D85"/>
    <w:rsid w:val="00E64FC5"/>
    <w:rsid w:val="00E6526E"/>
    <w:rsid w:val="00E6550F"/>
    <w:rsid w:val="00E65638"/>
    <w:rsid w:val="00E66E82"/>
    <w:rsid w:val="00E671F3"/>
    <w:rsid w:val="00E675C5"/>
    <w:rsid w:val="00E676BA"/>
    <w:rsid w:val="00E67C0E"/>
    <w:rsid w:val="00E67C2C"/>
    <w:rsid w:val="00E71AC1"/>
    <w:rsid w:val="00E743A5"/>
    <w:rsid w:val="00E743C8"/>
    <w:rsid w:val="00E74543"/>
    <w:rsid w:val="00E75767"/>
    <w:rsid w:val="00E757AF"/>
    <w:rsid w:val="00E75A5B"/>
    <w:rsid w:val="00E75AEB"/>
    <w:rsid w:val="00E75F91"/>
    <w:rsid w:val="00E7688C"/>
    <w:rsid w:val="00E76B71"/>
    <w:rsid w:val="00E76D5A"/>
    <w:rsid w:val="00E7707B"/>
    <w:rsid w:val="00E77F4D"/>
    <w:rsid w:val="00E80092"/>
    <w:rsid w:val="00E81A53"/>
    <w:rsid w:val="00E82139"/>
    <w:rsid w:val="00E8282E"/>
    <w:rsid w:val="00E829F7"/>
    <w:rsid w:val="00E82C0E"/>
    <w:rsid w:val="00E82CD0"/>
    <w:rsid w:val="00E83813"/>
    <w:rsid w:val="00E84D5F"/>
    <w:rsid w:val="00E85501"/>
    <w:rsid w:val="00E855B3"/>
    <w:rsid w:val="00E86278"/>
    <w:rsid w:val="00E86A81"/>
    <w:rsid w:val="00E875A6"/>
    <w:rsid w:val="00E87BE5"/>
    <w:rsid w:val="00E90CBB"/>
    <w:rsid w:val="00E915B3"/>
    <w:rsid w:val="00E91734"/>
    <w:rsid w:val="00E91DFC"/>
    <w:rsid w:val="00E9215A"/>
    <w:rsid w:val="00E92D18"/>
    <w:rsid w:val="00E92D20"/>
    <w:rsid w:val="00E943BA"/>
    <w:rsid w:val="00E957C5"/>
    <w:rsid w:val="00E95800"/>
    <w:rsid w:val="00E95FF3"/>
    <w:rsid w:val="00E96669"/>
    <w:rsid w:val="00EA19DF"/>
    <w:rsid w:val="00EA1A09"/>
    <w:rsid w:val="00EA1BD8"/>
    <w:rsid w:val="00EA293D"/>
    <w:rsid w:val="00EA2F4F"/>
    <w:rsid w:val="00EA3045"/>
    <w:rsid w:val="00EA32F0"/>
    <w:rsid w:val="00EA3AA4"/>
    <w:rsid w:val="00EA4425"/>
    <w:rsid w:val="00EA4525"/>
    <w:rsid w:val="00EA463E"/>
    <w:rsid w:val="00EA5236"/>
    <w:rsid w:val="00EA5400"/>
    <w:rsid w:val="00EA583E"/>
    <w:rsid w:val="00EA5869"/>
    <w:rsid w:val="00EA5A19"/>
    <w:rsid w:val="00EB050A"/>
    <w:rsid w:val="00EB063A"/>
    <w:rsid w:val="00EB07D3"/>
    <w:rsid w:val="00EB1619"/>
    <w:rsid w:val="00EB1E97"/>
    <w:rsid w:val="00EB2530"/>
    <w:rsid w:val="00EB2AF6"/>
    <w:rsid w:val="00EB2B28"/>
    <w:rsid w:val="00EB2EEB"/>
    <w:rsid w:val="00EB39C6"/>
    <w:rsid w:val="00EB4D10"/>
    <w:rsid w:val="00EB5C63"/>
    <w:rsid w:val="00EB6FF1"/>
    <w:rsid w:val="00EB712C"/>
    <w:rsid w:val="00EC05C1"/>
    <w:rsid w:val="00EC0ABC"/>
    <w:rsid w:val="00EC0CCD"/>
    <w:rsid w:val="00EC1766"/>
    <w:rsid w:val="00EC1962"/>
    <w:rsid w:val="00EC1A36"/>
    <w:rsid w:val="00EC1E98"/>
    <w:rsid w:val="00EC2809"/>
    <w:rsid w:val="00EC427C"/>
    <w:rsid w:val="00EC5069"/>
    <w:rsid w:val="00EC5093"/>
    <w:rsid w:val="00EC52E1"/>
    <w:rsid w:val="00EC652F"/>
    <w:rsid w:val="00EC6B7F"/>
    <w:rsid w:val="00EC784C"/>
    <w:rsid w:val="00EC7B88"/>
    <w:rsid w:val="00ED27D1"/>
    <w:rsid w:val="00ED2EC8"/>
    <w:rsid w:val="00ED3E43"/>
    <w:rsid w:val="00ED4AA1"/>
    <w:rsid w:val="00ED4D33"/>
    <w:rsid w:val="00ED50E0"/>
    <w:rsid w:val="00ED6D58"/>
    <w:rsid w:val="00ED7373"/>
    <w:rsid w:val="00ED7481"/>
    <w:rsid w:val="00ED7936"/>
    <w:rsid w:val="00EE0D84"/>
    <w:rsid w:val="00EE1246"/>
    <w:rsid w:val="00EE177D"/>
    <w:rsid w:val="00EE1AE2"/>
    <w:rsid w:val="00EE1C2E"/>
    <w:rsid w:val="00EE20B6"/>
    <w:rsid w:val="00EE273F"/>
    <w:rsid w:val="00EE285E"/>
    <w:rsid w:val="00EE2AAB"/>
    <w:rsid w:val="00EE3141"/>
    <w:rsid w:val="00EE3247"/>
    <w:rsid w:val="00EE3F4C"/>
    <w:rsid w:val="00EE4924"/>
    <w:rsid w:val="00EE4B95"/>
    <w:rsid w:val="00EE4D2A"/>
    <w:rsid w:val="00EE524C"/>
    <w:rsid w:val="00EE5C37"/>
    <w:rsid w:val="00EE6BAA"/>
    <w:rsid w:val="00EE6FE2"/>
    <w:rsid w:val="00EE7086"/>
    <w:rsid w:val="00EE7A24"/>
    <w:rsid w:val="00EF0988"/>
    <w:rsid w:val="00EF0E0F"/>
    <w:rsid w:val="00EF14D1"/>
    <w:rsid w:val="00EF1A83"/>
    <w:rsid w:val="00EF1E17"/>
    <w:rsid w:val="00EF2063"/>
    <w:rsid w:val="00EF215C"/>
    <w:rsid w:val="00EF2F22"/>
    <w:rsid w:val="00EF300D"/>
    <w:rsid w:val="00EF4B0A"/>
    <w:rsid w:val="00EF4BB5"/>
    <w:rsid w:val="00EF4E6A"/>
    <w:rsid w:val="00EF52C3"/>
    <w:rsid w:val="00EF58CD"/>
    <w:rsid w:val="00EF652F"/>
    <w:rsid w:val="00EF6DC3"/>
    <w:rsid w:val="00EF7B13"/>
    <w:rsid w:val="00F0059D"/>
    <w:rsid w:val="00F00678"/>
    <w:rsid w:val="00F00C33"/>
    <w:rsid w:val="00F010F7"/>
    <w:rsid w:val="00F014F5"/>
    <w:rsid w:val="00F0178E"/>
    <w:rsid w:val="00F038AE"/>
    <w:rsid w:val="00F04A52"/>
    <w:rsid w:val="00F05662"/>
    <w:rsid w:val="00F059B0"/>
    <w:rsid w:val="00F065BA"/>
    <w:rsid w:val="00F0740E"/>
    <w:rsid w:val="00F1051B"/>
    <w:rsid w:val="00F109B3"/>
    <w:rsid w:val="00F10C7D"/>
    <w:rsid w:val="00F1157C"/>
    <w:rsid w:val="00F125D7"/>
    <w:rsid w:val="00F13052"/>
    <w:rsid w:val="00F139C4"/>
    <w:rsid w:val="00F1408D"/>
    <w:rsid w:val="00F14B5A"/>
    <w:rsid w:val="00F1579D"/>
    <w:rsid w:val="00F15932"/>
    <w:rsid w:val="00F159D8"/>
    <w:rsid w:val="00F15BA0"/>
    <w:rsid w:val="00F15C32"/>
    <w:rsid w:val="00F16215"/>
    <w:rsid w:val="00F16CDA"/>
    <w:rsid w:val="00F17636"/>
    <w:rsid w:val="00F17E54"/>
    <w:rsid w:val="00F20455"/>
    <w:rsid w:val="00F20836"/>
    <w:rsid w:val="00F21000"/>
    <w:rsid w:val="00F2119A"/>
    <w:rsid w:val="00F21B3C"/>
    <w:rsid w:val="00F236B1"/>
    <w:rsid w:val="00F23E7B"/>
    <w:rsid w:val="00F2527A"/>
    <w:rsid w:val="00F25B15"/>
    <w:rsid w:val="00F26AF0"/>
    <w:rsid w:val="00F26E31"/>
    <w:rsid w:val="00F306E4"/>
    <w:rsid w:val="00F30A61"/>
    <w:rsid w:val="00F30E5E"/>
    <w:rsid w:val="00F314A3"/>
    <w:rsid w:val="00F31AB8"/>
    <w:rsid w:val="00F31D69"/>
    <w:rsid w:val="00F31EB1"/>
    <w:rsid w:val="00F32177"/>
    <w:rsid w:val="00F324A4"/>
    <w:rsid w:val="00F32C69"/>
    <w:rsid w:val="00F33304"/>
    <w:rsid w:val="00F334C0"/>
    <w:rsid w:val="00F354FD"/>
    <w:rsid w:val="00F35508"/>
    <w:rsid w:val="00F355CC"/>
    <w:rsid w:val="00F356C8"/>
    <w:rsid w:val="00F35817"/>
    <w:rsid w:val="00F35EFD"/>
    <w:rsid w:val="00F35F3A"/>
    <w:rsid w:val="00F36198"/>
    <w:rsid w:val="00F36CA8"/>
    <w:rsid w:val="00F40016"/>
    <w:rsid w:val="00F4248F"/>
    <w:rsid w:val="00F430A4"/>
    <w:rsid w:val="00F43A67"/>
    <w:rsid w:val="00F44016"/>
    <w:rsid w:val="00F44333"/>
    <w:rsid w:val="00F44385"/>
    <w:rsid w:val="00F44AA7"/>
    <w:rsid w:val="00F4516A"/>
    <w:rsid w:val="00F4522A"/>
    <w:rsid w:val="00F453F9"/>
    <w:rsid w:val="00F457E9"/>
    <w:rsid w:val="00F46335"/>
    <w:rsid w:val="00F46489"/>
    <w:rsid w:val="00F46850"/>
    <w:rsid w:val="00F47096"/>
    <w:rsid w:val="00F50675"/>
    <w:rsid w:val="00F516C5"/>
    <w:rsid w:val="00F51DCB"/>
    <w:rsid w:val="00F5249E"/>
    <w:rsid w:val="00F527DC"/>
    <w:rsid w:val="00F528D5"/>
    <w:rsid w:val="00F52EE0"/>
    <w:rsid w:val="00F5393F"/>
    <w:rsid w:val="00F54A51"/>
    <w:rsid w:val="00F56D35"/>
    <w:rsid w:val="00F56D44"/>
    <w:rsid w:val="00F5783A"/>
    <w:rsid w:val="00F57C93"/>
    <w:rsid w:val="00F607B3"/>
    <w:rsid w:val="00F61B23"/>
    <w:rsid w:val="00F62199"/>
    <w:rsid w:val="00F62A16"/>
    <w:rsid w:val="00F62DEA"/>
    <w:rsid w:val="00F638C7"/>
    <w:rsid w:val="00F638CC"/>
    <w:rsid w:val="00F6394D"/>
    <w:rsid w:val="00F63CDA"/>
    <w:rsid w:val="00F641B2"/>
    <w:rsid w:val="00F643CE"/>
    <w:rsid w:val="00F65116"/>
    <w:rsid w:val="00F65505"/>
    <w:rsid w:val="00F664A3"/>
    <w:rsid w:val="00F675E7"/>
    <w:rsid w:val="00F676D1"/>
    <w:rsid w:val="00F67740"/>
    <w:rsid w:val="00F678B7"/>
    <w:rsid w:val="00F67CF8"/>
    <w:rsid w:val="00F70F94"/>
    <w:rsid w:val="00F7124F"/>
    <w:rsid w:val="00F7208E"/>
    <w:rsid w:val="00F72A1C"/>
    <w:rsid w:val="00F72D66"/>
    <w:rsid w:val="00F72DCC"/>
    <w:rsid w:val="00F734C6"/>
    <w:rsid w:val="00F743C0"/>
    <w:rsid w:val="00F7484F"/>
    <w:rsid w:val="00F75746"/>
    <w:rsid w:val="00F757F1"/>
    <w:rsid w:val="00F7641C"/>
    <w:rsid w:val="00F76B03"/>
    <w:rsid w:val="00F76E73"/>
    <w:rsid w:val="00F77927"/>
    <w:rsid w:val="00F77935"/>
    <w:rsid w:val="00F80057"/>
    <w:rsid w:val="00F803AC"/>
    <w:rsid w:val="00F80416"/>
    <w:rsid w:val="00F80A5D"/>
    <w:rsid w:val="00F81161"/>
    <w:rsid w:val="00F81329"/>
    <w:rsid w:val="00F81626"/>
    <w:rsid w:val="00F820F3"/>
    <w:rsid w:val="00F823E8"/>
    <w:rsid w:val="00F82CFC"/>
    <w:rsid w:val="00F839E8"/>
    <w:rsid w:val="00F84883"/>
    <w:rsid w:val="00F8546B"/>
    <w:rsid w:val="00F86802"/>
    <w:rsid w:val="00F86F9F"/>
    <w:rsid w:val="00F87214"/>
    <w:rsid w:val="00F87277"/>
    <w:rsid w:val="00F87412"/>
    <w:rsid w:val="00F90A99"/>
    <w:rsid w:val="00F9179F"/>
    <w:rsid w:val="00F91998"/>
    <w:rsid w:val="00F923DA"/>
    <w:rsid w:val="00F93B9D"/>
    <w:rsid w:val="00F93C2A"/>
    <w:rsid w:val="00F9425A"/>
    <w:rsid w:val="00F957DB"/>
    <w:rsid w:val="00F96183"/>
    <w:rsid w:val="00F96208"/>
    <w:rsid w:val="00F96246"/>
    <w:rsid w:val="00F965F5"/>
    <w:rsid w:val="00F96E73"/>
    <w:rsid w:val="00F972D3"/>
    <w:rsid w:val="00F976E6"/>
    <w:rsid w:val="00F97EA4"/>
    <w:rsid w:val="00FA0E0D"/>
    <w:rsid w:val="00FA149E"/>
    <w:rsid w:val="00FA15A9"/>
    <w:rsid w:val="00FA1D8E"/>
    <w:rsid w:val="00FA26F6"/>
    <w:rsid w:val="00FA3A4F"/>
    <w:rsid w:val="00FA4190"/>
    <w:rsid w:val="00FA4574"/>
    <w:rsid w:val="00FA4847"/>
    <w:rsid w:val="00FA50B6"/>
    <w:rsid w:val="00FA6509"/>
    <w:rsid w:val="00FA6E3C"/>
    <w:rsid w:val="00FA7255"/>
    <w:rsid w:val="00FA779C"/>
    <w:rsid w:val="00FA791A"/>
    <w:rsid w:val="00FB05F4"/>
    <w:rsid w:val="00FB0879"/>
    <w:rsid w:val="00FB1497"/>
    <w:rsid w:val="00FB20E2"/>
    <w:rsid w:val="00FB37E5"/>
    <w:rsid w:val="00FB3804"/>
    <w:rsid w:val="00FB4B92"/>
    <w:rsid w:val="00FB4C2C"/>
    <w:rsid w:val="00FB52DD"/>
    <w:rsid w:val="00FB5640"/>
    <w:rsid w:val="00FB7B46"/>
    <w:rsid w:val="00FC0141"/>
    <w:rsid w:val="00FC0575"/>
    <w:rsid w:val="00FC08FB"/>
    <w:rsid w:val="00FC0A2F"/>
    <w:rsid w:val="00FC0F72"/>
    <w:rsid w:val="00FC13DB"/>
    <w:rsid w:val="00FC176A"/>
    <w:rsid w:val="00FC1B89"/>
    <w:rsid w:val="00FC20F4"/>
    <w:rsid w:val="00FC30BC"/>
    <w:rsid w:val="00FC3387"/>
    <w:rsid w:val="00FC3E25"/>
    <w:rsid w:val="00FC4715"/>
    <w:rsid w:val="00FC498C"/>
    <w:rsid w:val="00FC4E3E"/>
    <w:rsid w:val="00FC5ED9"/>
    <w:rsid w:val="00FC6507"/>
    <w:rsid w:val="00FC6E5E"/>
    <w:rsid w:val="00FC714E"/>
    <w:rsid w:val="00FC73BE"/>
    <w:rsid w:val="00FD00B4"/>
    <w:rsid w:val="00FD0450"/>
    <w:rsid w:val="00FD06A2"/>
    <w:rsid w:val="00FD0709"/>
    <w:rsid w:val="00FD070E"/>
    <w:rsid w:val="00FD0E54"/>
    <w:rsid w:val="00FD0EF0"/>
    <w:rsid w:val="00FD185C"/>
    <w:rsid w:val="00FD18EB"/>
    <w:rsid w:val="00FD23F1"/>
    <w:rsid w:val="00FD4288"/>
    <w:rsid w:val="00FD43C2"/>
    <w:rsid w:val="00FD4517"/>
    <w:rsid w:val="00FD594D"/>
    <w:rsid w:val="00FD6042"/>
    <w:rsid w:val="00FD6197"/>
    <w:rsid w:val="00FD6BE2"/>
    <w:rsid w:val="00FD6FFF"/>
    <w:rsid w:val="00FD7032"/>
    <w:rsid w:val="00FD735D"/>
    <w:rsid w:val="00FD7FA4"/>
    <w:rsid w:val="00FE0314"/>
    <w:rsid w:val="00FE088D"/>
    <w:rsid w:val="00FE0DCD"/>
    <w:rsid w:val="00FE0EE8"/>
    <w:rsid w:val="00FE15C8"/>
    <w:rsid w:val="00FE2469"/>
    <w:rsid w:val="00FE2C7E"/>
    <w:rsid w:val="00FE30A4"/>
    <w:rsid w:val="00FE3CF4"/>
    <w:rsid w:val="00FE4C24"/>
    <w:rsid w:val="00FE4D15"/>
    <w:rsid w:val="00FE58AB"/>
    <w:rsid w:val="00FE6368"/>
    <w:rsid w:val="00FE68D2"/>
    <w:rsid w:val="00FE6B34"/>
    <w:rsid w:val="00FE6F4E"/>
    <w:rsid w:val="00FF3403"/>
    <w:rsid w:val="00FF521F"/>
    <w:rsid w:val="00FF6CFA"/>
    <w:rsid w:val="00FF6EFD"/>
    <w:rsid w:val="00FF77B9"/>
    <w:rsid w:val="00FF7952"/>
    <w:rsid w:val="00FF7C19"/>
    <w:rsid w:val="01270094"/>
    <w:rsid w:val="01C810C5"/>
    <w:rsid w:val="021C4299"/>
    <w:rsid w:val="021D7741"/>
    <w:rsid w:val="02304712"/>
    <w:rsid w:val="0242549F"/>
    <w:rsid w:val="029A0CE1"/>
    <w:rsid w:val="02E0600E"/>
    <w:rsid w:val="034E3DBB"/>
    <w:rsid w:val="03514104"/>
    <w:rsid w:val="039840F6"/>
    <w:rsid w:val="03EE62F0"/>
    <w:rsid w:val="03EF7C55"/>
    <w:rsid w:val="03FD6E43"/>
    <w:rsid w:val="040808EC"/>
    <w:rsid w:val="042F3099"/>
    <w:rsid w:val="0438440B"/>
    <w:rsid w:val="04396C99"/>
    <w:rsid w:val="043C52F4"/>
    <w:rsid w:val="047E2E01"/>
    <w:rsid w:val="051E1A33"/>
    <w:rsid w:val="053B6FBB"/>
    <w:rsid w:val="055B706D"/>
    <w:rsid w:val="057D77DA"/>
    <w:rsid w:val="05B72EA8"/>
    <w:rsid w:val="05C72C19"/>
    <w:rsid w:val="05DA3153"/>
    <w:rsid w:val="06164241"/>
    <w:rsid w:val="068018D0"/>
    <w:rsid w:val="06C565FB"/>
    <w:rsid w:val="06CA6F0E"/>
    <w:rsid w:val="06E24F86"/>
    <w:rsid w:val="07B61A95"/>
    <w:rsid w:val="082E46E1"/>
    <w:rsid w:val="0840402D"/>
    <w:rsid w:val="089E7788"/>
    <w:rsid w:val="09B9104A"/>
    <w:rsid w:val="0A335CE2"/>
    <w:rsid w:val="0A405F0F"/>
    <w:rsid w:val="0A4B6D27"/>
    <w:rsid w:val="0ACF3097"/>
    <w:rsid w:val="0AD0081F"/>
    <w:rsid w:val="0B0E35AD"/>
    <w:rsid w:val="0B596598"/>
    <w:rsid w:val="0B8956E5"/>
    <w:rsid w:val="0BCC05FF"/>
    <w:rsid w:val="0BD44B69"/>
    <w:rsid w:val="0BF531A9"/>
    <w:rsid w:val="0C243E2A"/>
    <w:rsid w:val="0C47227F"/>
    <w:rsid w:val="0CE97A4D"/>
    <w:rsid w:val="0D044FAD"/>
    <w:rsid w:val="0D787973"/>
    <w:rsid w:val="0D823044"/>
    <w:rsid w:val="0D945C06"/>
    <w:rsid w:val="0DF1769F"/>
    <w:rsid w:val="0E4634E0"/>
    <w:rsid w:val="0E5B3A0C"/>
    <w:rsid w:val="0E634228"/>
    <w:rsid w:val="0E7C5F73"/>
    <w:rsid w:val="0E8C396F"/>
    <w:rsid w:val="0EBE0829"/>
    <w:rsid w:val="0F3E0844"/>
    <w:rsid w:val="0F4C18E0"/>
    <w:rsid w:val="0F9B5267"/>
    <w:rsid w:val="0F9D05FF"/>
    <w:rsid w:val="0FC039B3"/>
    <w:rsid w:val="0FCA5AD3"/>
    <w:rsid w:val="10A238B1"/>
    <w:rsid w:val="10D10D1E"/>
    <w:rsid w:val="110314EA"/>
    <w:rsid w:val="11B97957"/>
    <w:rsid w:val="12415939"/>
    <w:rsid w:val="12456D1C"/>
    <w:rsid w:val="12720635"/>
    <w:rsid w:val="12844ED5"/>
    <w:rsid w:val="12BE3C37"/>
    <w:rsid w:val="12CB5EEF"/>
    <w:rsid w:val="12E94559"/>
    <w:rsid w:val="12F21368"/>
    <w:rsid w:val="131A5191"/>
    <w:rsid w:val="137C4C7C"/>
    <w:rsid w:val="13CC3122"/>
    <w:rsid w:val="141447AF"/>
    <w:rsid w:val="14357DDE"/>
    <w:rsid w:val="14432211"/>
    <w:rsid w:val="1481640D"/>
    <w:rsid w:val="14B82098"/>
    <w:rsid w:val="14EC700B"/>
    <w:rsid w:val="151F48AF"/>
    <w:rsid w:val="154553E0"/>
    <w:rsid w:val="159E5D1D"/>
    <w:rsid w:val="15B20C35"/>
    <w:rsid w:val="15EC5AE8"/>
    <w:rsid w:val="1643064E"/>
    <w:rsid w:val="16C45B7E"/>
    <w:rsid w:val="16D434AF"/>
    <w:rsid w:val="171D255A"/>
    <w:rsid w:val="180E23B5"/>
    <w:rsid w:val="189C6D8B"/>
    <w:rsid w:val="19346A2C"/>
    <w:rsid w:val="194E5882"/>
    <w:rsid w:val="19537834"/>
    <w:rsid w:val="19850CDD"/>
    <w:rsid w:val="19BA0B7E"/>
    <w:rsid w:val="19CA0525"/>
    <w:rsid w:val="1A2623A5"/>
    <w:rsid w:val="1A272089"/>
    <w:rsid w:val="1A2B4494"/>
    <w:rsid w:val="1A687794"/>
    <w:rsid w:val="1A6B148E"/>
    <w:rsid w:val="1A6F6369"/>
    <w:rsid w:val="1ACB7166"/>
    <w:rsid w:val="1B2A3090"/>
    <w:rsid w:val="1B5E6D85"/>
    <w:rsid w:val="1B6563DC"/>
    <w:rsid w:val="1B784E96"/>
    <w:rsid w:val="1B8161E5"/>
    <w:rsid w:val="1BA46498"/>
    <w:rsid w:val="1BF0048C"/>
    <w:rsid w:val="1C204B72"/>
    <w:rsid w:val="1C5406CF"/>
    <w:rsid w:val="1C5811A9"/>
    <w:rsid w:val="1C760DB1"/>
    <w:rsid w:val="1C790F69"/>
    <w:rsid w:val="1CC225DD"/>
    <w:rsid w:val="1CC51F1F"/>
    <w:rsid w:val="1D6B2E98"/>
    <w:rsid w:val="1D76424A"/>
    <w:rsid w:val="1E445FD9"/>
    <w:rsid w:val="1E58446C"/>
    <w:rsid w:val="1E8B1540"/>
    <w:rsid w:val="1E8F760C"/>
    <w:rsid w:val="1E993B66"/>
    <w:rsid w:val="1EA34C59"/>
    <w:rsid w:val="1F884AE3"/>
    <w:rsid w:val="1FE67A2A"/>
    <w:rsid w:val="1FFC0903"/>
    <w:rsid w:val="1FFF2F3E"/>
    <w:rsid w:val="20051B17"/>
    <w:rsid w:val="20564A82"/>
    <w:rsid w:val="206F69C2"/>
    <w:rsid w:val="20B05CFB"/>
    <w:rsid w:val="20BB6C85"/>
    <w:rsid w:val="20BE6BA1"/>
    <w:rsid w:val="20D23055"/>
    <w:rsid w:val="20D36468"/>
    <w:rsid w:val="20E67327"/>
    <w:rsid w:val="210F5757"/>
    <w:rsid w:val="216476AD"/>
    <w:rsid w:val="21B71CE9"/>
    <w:rsid w:val="21B92752"/>
    <w:rsid w:val="21DE342F"/>
    <w:rsid w:val="21E008EA"/>
    <w:rsid w:val="22142A77"/>
    <w:rsid w:val="22175505"/>
    <w:rsid w:val="221E32A1"/>
    <w:rsid w:val="223E6938"/>
    <w:rsid w:val="228A21E5"/>
    <w:rsid w:val="22D4131B"/>
    <w:rsid w:val="230C79F5"/>
    <w:rsid w:val="23511A08"/>
    <w:rsid w:val="23D47A6E"/>
    <w:rsid w:val="23DC3736"/>
    <w:rsid w:val="23E30F7D"/>
    <w:rsid w:val="24102A3A"/>
    <w:rsid w:val="24A04F90"/>
    <w:rsid w:val="24D5565B"/>
    <w:rsid w:val="25575A26"/>
    <w:rsid w:val="25591046"/>
    <w:rsid w:val="2590650A"/>
    <w:rsid w:val="26417CD1"/>
    <w:rsid w:val="26853417"/>
    <w:rsid w:val="26894890"/>
    <w:rsid w:val="269A44E4"/>
    <w:rsid w:val="272D3BD4"/>
    <w:rsid w:val="272F1962"/>
    <w:rsid w:val="276044FA"/>
    <w:rsid w:val="27E93CF3"/>
    <w:rsid w:val="27FD63AB"/>
    <w:rsid w:val="282C6621"/>
    <w:rsid w:val="283041A1"/>
    <w:rsid w:val="286B09FD"/>
    <w:rsid w:val="286F0388"/>
    <w:rsid w:val="28823B1D"/>
    <w:rsid w:val="28A509E7"/>
    <w:rsid w:val="28B6396C"/>
    <w:rsid w:val="28BB15EC"/>
    <w:rsid w:val="28E51BF8"/>
    <w:rsid w:val="294E702D"/>
    <w:rsid w:val="29F36FE0"/>
    <w:rsid w:val="2A392EBA"/>
    <w:rsid w:val="2A424296"/>
    <w:rsid w:val="2A665476"/>
    <w:rsid w:val="2A7A562D"/>
    <w:rsid w:val="2B6503F8"/>
    <w:rsid w:val="2BDB5D99"/>
    <w:rsid w:val="2BEA0493"/>
    <w:rsid w:val="2BFD65DC"/>
    <w:rsid w:val="2C1D4692"/>
    <w:rsid w:val="2C214BFE"/>
    <w:rsid w:val="2C463410"/>
    <w:rsid w:val="2C6110AC"/>
    <w:rsid w:val="2C6E28C9"/>
    <w:rsid w:val="2C8941F8"/>
    <w:rsid w:val="2CCA7B38"/>
    <w:rsid w:val="2CE72CE7"/>
    <w:rsid w:val="2D460466"/>
    <w:rsid w:val="2D693427"/>
    <w:rsid w:val="2DA97EE5"/>
    <w:rsid w:val="2DAA589F"/>
    <w:rsid w:val="2DC97042"/>
    <w:rsid w:val="2DF132C8"/>
    <w:rsid w:val="2DFA17AB"/>
    <w:rsid w:val="2E5B2E08"/>
    <w:rsid w:val="2E762F34"/>
    <w:rsid w:val="2F5812A3"/>
    <w:rsid w:val="2F6C600D"/>
    <w:rsid w:val="2F7259F1"/>
    <w:rsid w:val="2F790E12"/>
    <w:rsid w:val="2FDB5CC5"/>
    <w:rsid w:val="2FEB6BA3"/>
    <w:rsid w:val="30567BF9"/>
    <w:rsid w:val="30A93EF8"/>
    <w:rsid w:val="30E71649"/>
    <w:rsid w:val="31000E7D"/>
    <w:rsid w:val="310966F9"/>
    <w:rsid w:val="31164EBF"/>
    <w:rsid w:val="316E04D9"/>
    <w:rsid w:val="31A06A0D"/>
    <w:rsid w:val="31E8196D"/>
    <w:rsid w:val="32096279"/>
    <w:rsid w:val="32352D3F"/>
    <w:rsid w:val="323A5DC0"/>
    <w:rsid w:val="32D16197"/>
    <w:rsid w:val="337E3E96"/>
    <w:rsid w:val="33DE72AC"/>
    <w:rsid w:val="33F27615"/>
    <w:rsid w:val="341E58C1"/>
    <w:rsid w:val="342127BC"/>
    <w:rsid w:val="346A59C5"/>
    <w:rsid w:val="3496063A"/>
    <w:rsid w:val="34DC1C6A"/>
    <w:rsid w:val="354D0784"/>
    <w:rsid w:val="35AD4789"/>
    <w:rsid w:val="35B175EE"/>
    <w:rsid w:val="36C02EA2"/>
    <w:rsid w:val="37813D7F"/>
    <w:rsid w:val="378A27B4"/>
    <w:rsid w:val="38D73AED"/>
    <w:rsid w:val="38E607DB"/>
    <w:rsid w:val="3912728A"/>
    <w:rsid w:val="39323D9E"/>
    <w:rsid w:val="394861CD"/>
    <w:rsid w:val="395F1B8E"/>
    <w:rsid w:val="39796E85"/>
    <w:rsid w:val="39893797"/>
    <w:rsid w:val="3A686D76"/>
    <w:rsid w:val="3A99316B"/>
    <w:rsid w:val="3A9C6FDA"/>
    <w:rsid w:val="3AA749C0"/>
    <w:rsid w:val="3ACD55C6"/>
    <w:rsid w:val="3AE8398C"/>
    <w:rsid w:val="3B7D3ED4"/>
    <w:rsid w:val="3BBF6AD2"/>
    <w:rsid w:val="3BCE68FE"/>
    <w:rsid w:val="3C095919"/>
    <w:rsid w:val="3C174C97"/>
    <w:rsid w:val="3C79332E"/>
    <w:rsid w:val="3C881F33"/>
    <w:rsid w:val="3C903142"/>
    <w:rsid w:val="3CA238C9"/>
    <w:rsid w:val="3CF0024D"/>
    <w:rsid w:val="3CFF1135"/>
    <w:rsid w:val="3D15380C"/>
    <w:rsid w:val="3D1B2B3C"/>
    <w:rsid w:val="3D4D0E07"/>
    <w:rsid w:val="3D592D70"/>
    <w:rsid w:val="3D5F3304"/>
    <w:rsid w:val="3DB85315"/>
    <w:rsid w:val="3E285BC3"/>
    <w:rsid w:val="3E487591"/>
    <w:rsid w:val="3E4E0BA2"/>
    <w:rsid w:val="3E726D31"/>
    <w:rsid w:val="3E7A4BD8"/>
    <w:rsid w:val="3E7E4532"/>
    <w:rsid w:val="3F490C31"/>
    <w:rsid w:val="3FB14895"/>
    <w:rsid w:val="3FB25C77"/>
    <w:rsid w:val="4089679F"/>
    <w:rsid w:val="40A1219A"/>
    <w:rsid w:val="40B3437B"/>
    <w:rsid w:val="40DA1A79"/>
    <w:rsid w:val="40F1187B"/>
    <w:rsid w:val="41163263"/>
    <w:rsid w:val="412B58E5"/>
    <w:rsid w:val="4181399C"/>
    <w:rsid w:val="425B741B"/>
    <w:rsid w:val="425C35C5"/>
    <w:rsid w:val="428003B2"/>
    <w:rsid w:val="42A477E4"/>
    <w:rsid w:val="42B710A8"/>
    <w:rsid w:val="42C313C4"/>
    <w:rsid w:val="42D20206"/>
    <w:rsid w:val="430E4C1A"/>
    <w:rsid w:val="4375327F"/>
    <w:rsid w:val="437835D9"/>
    <w:rsid w:val="4395248E"/>
    <w:rsid w:val="43D24261"/>
    <w:rsid w:val="43FE553A"/>
    <w:rsid w:val="441950C4"/>
    <w:rsid w:val="44BB1D18"/>
    <w:rsid w:val="455C5EDE"/>
    <w:rsid w:val="45910A50"/>
    <w:rsid w:val="45CE48B2"/>
    <w:rsid w:val="467825C8"/>
    <w:rsid w:val="46855A4B"/>
    <w:rsid w:val="46A27346"/>
    <w:rsid w:val="46D755F8"/>
    <w:rsid w:val="46EE1E8D"/>
    <w:rsid w:val="47167D81"/>
    <w:rsid w:val="47D622E3"/>
    <w:rsid w:val="48362755"/>
    <w:rsid w:val="48AC2899"/>
    <w:rsid w:val="48BC623E"/>
    <w:rsid w:val="48C02B4C"/>
    <w:rsid w:val="491A5CD9"/>
    <w:rsid w:val="491E7603"/>
    <w:rsid w:val="494818E7"/>
    <w:rsid w:val="499E293D"/>
    <w:rsid w:val="49EE7331"/>
    <w:rsid w:val="4A024B76"/>
    <w:rsid w:val="4AAD488C"/>
    <w:rsid w:val="4ACF0BAA"/>
    <w:rsid w:val="4AF75E1B"/>
    <w:rsid w:val="4B122CFD"/>
    <w:rsid w:val="4B4E04B7"/>
    <w:rsid w:val="4B972B0E"/>
    <w:rsid w:val="4BF52545"/>
    <w:rsid w:val="4C1919B7"/>
    <w:rsid w:val="4C1F6574"/>
    <w:rsid w:val="4C22792B"/>
    <w:rsid w:val="4C89590F"/>
    <w:rsid w:val="4D034D01"/>
    <w:rsid w:val="4D6F34B8"/>
    <w:rsid w:val="4E5858B0"/>
    <w:rsid w:val="4E6D044E"/>
    <w:rsid w:val="4E95578B"/>
    <w:rsid w:val="4EBD4FC8"/>
    <w:rsid w:val="4F7E3F1A"/>
    <w:rsid w:val="4F823D66"/>
    <w:rsid w:val="4FB62B66"/>
    <w:rsid w:val="4FBC4948"/>
    <w:rsid w:val="4FED50E7"/>
    <w:rsid w:val="50374A6C"/>
    <w:rsid w:val="504340CD"/>
    <w:rsid w:val="505E1FF8"/>
    <w:rsid w:val="50655A0E"/>
    <w:rsid w:val="506C4203"/>
    <w:rsid w:val="50CA0741"/>
    <w:rsid w:val="50D24058"/>
    <w:rsid w:val="51463AF4"/>
    <w:rsid w:val="514650F6"/>
    <w:rsid w:val="51617223"/>
    <w:rsid w:val="517235C5"/>
    <w:rsid w:val="521A10C4"/>
    <w:rsid w:val="523B06B4"/>
    <w:rsid w:val="525F1ED7"/>
    <w:rsid w:val="52723CB9"/>
    <w:rsid w:val="52DD009F"/>
    <w:rsid w:val="52DF7371"/>
    <w:rsid w:val="52FD7A4F"/>
    <w:rsid w:val="531050B2"/>
    <w:rsid w:val="535545D3"/>
    <w:rsid w:val="539E1E5B"/>
    <w:rsid w:val="53AF7213"/>
    <w:rsid w:val="53D81C5E"/>
    <w:rsid w:val="548010BF"/>
    <w:rsid w:val="54855236"/>
    <w:rsid w:val="54BA63B6"/>
    <w:rsid w:val="54BD1B7B"/>
    <w:rsid w:val="54C8136A"/>
    <w:rsid w:val="54EC3572"/>
    <w:rsid w:val="55381829"/>
    <w:rsid w:val="555D10CA"/>
    <w:rsid w:val="555E4E86"/>
    <w:rsid w:val="55940359"/>
    <w:rsid w:val="562B26BE"/>
    <w:rsid w:val="563E37DD"/>
    <w:rsid w:val="56496B2B"/>
    <w:rsid w:val="568C2856"/>
    <w:rsid w:val="569C0E89"/>
    <w:rsid w:val="56B247A1"/>
    <w:rsid w:val="56F47B7E"/>
    <w:rsid w:val="570A3FF4"/>
    <w:rsid w:val="571A3CDF"/>
    <w:rsid w:val="578A05BF"/>
    <w:rsid w:val="57995BA2"/>
    <w:rsid w:val="58335A19"/>
    <w:rsid w:val="58501EDA"/>
    <w:rsid w:val="586B27D5"/>
    <w:rsid w:val="58D60E9C"/>
    <w:rsid w:val="59077D7A"/>
    <w:rsid w:val="592A0548"/>
    <w:rsid w:val="592C4C1F"/>
    <w:rsid w:val="59444C1B"/>
    <w:rsid w:val="594D3595"/>
    <w:rsid w:val="59902F65"/>
    <w:rsid w:val="5A1200AF"/>
    <w:rsid w:val="5A2016DD"/>
    <w:rsid w:val="5A256F22"/>
    <w:rsid w:val="5A350DBE"/>
    <w:rsid w:val="5A353C94"/>
    <w:rsid w:val="5A412053"/>
    <w:rsid w:val="5AC37629"/>
    <w:rsid w:val="5B06484C"/>
    <w:rsid w:val="5B2C5C4C"/>
    <w:rsid w:val="5B9E3038"/>
    <w:rsid w:val="5BBA5D28"/>
    <w:rsid w:val="5BED19F4"/>
    <w:rsid w:val="5C26315F"/>
    <w:rsid w:val="5C4B1859"/>
    <w:rsid w:val="5C7349A0"/>
    <w:rsid w:val="5CA666B6"/>
    <w:rsid w:val="5CB179C5"/>
    <w:rsid w:val="5CFC55C4"/>
    <w:rsid w:val="5D203FD6"/>
    <w:rsid w:val="5D8A7EB7"/>
    <w:rsid w:val="5D8E40F4"/>
    <w:rsid w:val="5DE54F2D"/>
    <w:rsid w:val="5E00069E"/>
    <w:rsid w:val="5EA502A8"/>
    <w:rsid w:val="5EDF4EE7"/>
    <w:rsid w:val="5EF4726A"/>
    <w:rsid w:val="5F656AE2"/>
    <w:rsid w:val="5F7E2967"/>
    <w:rsid w:val="5FB5175A"/>
    <w:rsid w:val="5FCF623B"/>
    <w:rsid w:val="6038114B"/>
    <w:rsid w:val="61007A6D"/>
    <w:rsid w:val="610B478D"/>
    <w:rsid w:val="614C332E"/>
    <w:rsid w:val="62095DE1"/>
    <w:rsid w:val="621351FE"/>
    <w:rsid w:val="627C1875"/>
    <w:rsid w:val="62A15DA4"/>
    <w:rsid w:val="62AA47FB"/>
    <w:rsid w:val="62D831F8"/>
    <w:rsid w:val="62D968EB"/>
    <w:rsid w:val="63213BE2"/>
    <w:rsid w:val="6349244E"/>
    <w:rsid w:val="638B6788"/>
    <w:rsid w:val="63A4068B"/>
    <w:rsid w:val="64522081"/>
    <w:rsid w:val="64766A7E"/>
    <w:rsid w:val="655818C7"/>
    <w:rsid w:val="65D96729"/>
    <w:rsid w:val="65FF60B8"/>
    <w:rsid w:val="661063CD"/>
    <w:rsid w:val="66867E32"/>
    <w:rsid w:val="66CC797F"/>
    <w:rsid w:val="67224B97"/>
    <w:rsid w:val="67312A58"/>
    <w:rsid w:val="67B0064D"/>
    <w:rsid w:val="67F10051"/>
    <w:rsid w:val="68755983"/>
    <w:rsid w:val="689A4F37"/>
    <w:rsid w:val="68D25207"/>
    <w:rsid w:val="68DA7C00"/>
    <w:rsid w:val="699C0F3E"/>
    <w:rsid w:val="699F7C0C"/>
    <w:rsid w:val="69A14905"/>
    <w:rsid w:val="69D82783"/>
    <w:rsid w:val="69E2568B"/>
    <w:rsid w:val="6A3D3DFF"/>
    <w:rsid w:val="6A6C5263"/>
    <w:rsid w:val="6A8F5E03"/>
    <w:rsid w:val="6AEC269B"/>
    <w:rsid w:val="6AF26D6D"/>
    <w:rsid w:val="6B171960"/>
    <w:rsid w:val="6B3523FA"/>
    <w:rsid w:val="6B634765"/>
    <w:rsid w:val="6BE054A1"/>
    <w:rsid w:val="6C2D6EA2"/>
    <w:rsid w:val="6C3058F1"/>
    <w:rsid w:val="6C9E720C"/>
    <w:rsid w:val="6CCB01A1"/>
    <w:rsid w:val="6D1D6F91"/>
    <w:rsid w:val="6D740954"/>
    <w:rsid w:val="6DBB7A2C"/>
    <w:rsid w:val="6DE94FF2"/>
    <w:rsid w:val="6DF71F59"/>
    <w:rsid w:val="6E3E1358"/>
    <w:rsid w:val="6E7E5383"/>
    <w:rsid w:val="6E88454A"/>
    <w:rsid w:val="6E971CE5"/>
    <w:rsid w:val="6EFA01C7"/>
    <w:rsid w:val="6F900C02"/>
    <w:rsid w:val="6FE83C32"/>
    <w:rsid w:val="70150337"/>
    <w:rsid w:val="70294CD2"/>
    <w:rsid w:val="70FE47A5"/>
    <w:rsid w:val="71020D5A"/>
    <w:rsid w:val="71190330"/>
    <w:rsid w:val="7124039A"/>
    <w:rsid w:val="718C2353"/>
    <w:rsid w:val="71942299"/>
    <w:rsid w:val="723C64AD"/>
    <w:rsid w:val="723D2CB9"/>
    <w:rsid w:val="72505446"/>
    <w:rsid w:val="72982659"/>
    <w:rsid w:val="72C34A4E"/>
    <w:rsid w:val="72F04EE3"/>
    <w:rsid w:val="72F1136F"/>
    <w:rsid w:val="72FB3629"/>
    <w:rsid w:val="73A20BE1"/>
    <w:rsid w:val="73BE6D5C"/>
    <w:rsid w:val="73FA4804"/>
    <w:rsid w:val="7403775D"/>
    <w:rsid w:val="74EF00E9"/>
    <w:rsid w:val="751A1D59"/>
    <w:rsid w:val="75431DF5"/>
    <w:rsid w:val="75A83403"/>
    <w:rsid w:val="75BF6EEC"/>
    <w:rsid w:val="75D2262A"/>
    <w:rsid w:val="75E34212"/>
    <w:rsid w:val="75EE0105"/>
    <w:rsid w:val="76135043"/>
    <w:rsid w:val="761F6F48"/>
    <w:rsid w:val="76494774"/>
    <w:rsid w:val="76547256"/>
    <w:rsid w:val="767D2E2C"/>
    <w:rsid w:val="76907AF5"/>
    <w:rsid w:val="76D05882"/>
    <w:rsid w:val="76D86923"/>
    <w:rsid w:val="7729645E"/>
    <w:rsid w:val="773E029C"/>
    <w:rsid w:val="7759530C"/>
    <w:rsid w:val="77A34DA4"/>
    <w:rsid w:val="77EC6E67"/>
    <w:rsid w:val="780A0594"/>
    <w:rsid w:val="782869F8"/>
    <w:rsid w:val="785D0F4A"/>
    <w:rsid w:val="78F16D49"/>
    <w:rsid w:val="7A35200C"/>
    <w:rsid w:val="7A366FBF"/>
    <w:rsid w:val="7AAA72FB"/>
    <w:rsid w:val="7AB0795F"/>
    <w:rsid w:val="7B036831"/>
    <w:rsid w:val="7B91726B"/>
    <w:rsid w:val="7BD92342"/>
    <w:rsid w:val="7C215D74"/>
    <w:rsid w:val="7CAA66E6"/>
    <w:rsid w:val="7D5170DA"/>
    <w:rsid w:val="7D7609EE"/>
    <w:rsid w:val="7E0E0A6A"/>
    <w:rsid w:val="7E6C2F45"/>
    <w:rsid w:val="7E7A28A3"/>
    <w:rsid w:val="7EF06394"/>
    <w:rsid w:val="7EF348F9"/>
    <w:rsid w:val="7F5E6069"/>
    <w:rsid w:val="7F5F04E4"/>
    <w:rsid w:val="7FD900A1"/>
    <w:rsid w:val="7FEE6A0D"/>
    <w:rsid w:val="7FF437CF"/>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3"/>
    <w:qFormat/>
    <w:uiPriority w:val="0"/>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4"/>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5"/>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76"/>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7"/>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78"/>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79"/>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1">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微软雅黑"/>
      <w:sz w:val="24"/>
      <w:szCs w:val="21"/>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link w:val="119"/>
    <w:qFormat/>
    <w:uiPriority w:val="99"/>
    <w:pPr>
      <w:ind w:firstLine="420" w:firstLineChars="200"/>
    </w:pPr>
    <w:rPr>
      <w:rFonts w:asciiTheme="minorHAnsi" w:hAnsiTheme="minorHAnsi" w:eastAsiaTheme="minorEastAsia" w:cstheme="minorBidi"/>
    </w:rPr>
  </w:style>
  <w:style w:type="paragraph" w:styleId="18">
    <w:name w:val="caption"/>
    <w:basedOn w:val="1"/>
    <w:next w:val="1"/>
    <w:link w:val="200"/>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57"/>
    <w:qFormat/>
    <w:uiPriority w:val="99"/>
    <w:pPr>
      <w:shd w:val="clear" w:color="auto" w:fill="000080"/>
    </w:pPr>
    <w:rPr>
      <w:rFonts w:asciiTheme="minorHAnsi" w:hAnsiTheme="minorHAnsi" w:eastAsiaTheme="minorEastAsia" w:cstheme="minorBidi"/>
    </w:rPr>
  </w:style>
  <w:style w:type="paragraph" w:styleId="22">
    <w:name w:val="annotation text"/>
    <w:basedOn w:val="1"/>
    <w:link w:val="244"/>
    <w:unhideWhenUsed/>
    <w:qFormat/>
    <w:uiPriority w:val="0"/>
    <w:pPr>
      <w:jc w:val="left"/>
    </w:pPr>
  </w:style>
  <w:style w:type="paragraph" w:styleId="23">
    <w:name w:val="Salutation"/>
    <w:basedOn w:val="1"/>
    <w:next w:val="1"/>
    <w:link w:val="254"/>
    <w:qFormat/>
    <w:uiPriority w:val="0"/>
    <w:rPr>
      <w:rFonts w:asciiTheme="minorHAnsi" w:hAnsiTheme="minorHAnsi" w:eastAsiaTheme="minorEastAsia" w:cstheme="minorBidi"/>
    </w:rPr>
  </w:style>
  <w:style w:type="paragraph" w:styleId="24">
    <w:name w:val="Body Text 3"/>
    <w:basedOn w:val="1"/>
    <w:link w:val="224"/>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86"/>
    <w:qFormat/>
    <w:uiPriority w:val="0"/>
    <w:pPr>
      <w:ind w:left="100" w:leftChars="2100"/>
    </w:pPr>
    <w:rPr>
      <w:rFonts w:ascii="宋体" w:hAnsi="宋体" w:eastAsiaTheme="minorEastAsia" w:cstheme="minorBidi"/>
      <w:b/>
      <w:sz w:val="24"/>
    </w:rPr>
  </w:style>
  <w:style w:type="paragraph" w:styleId="26">
    <w:name w:val="List Bullet 3"/>
    <w:basedOn w:val="1"/>
    <w:unhideWhenUsed/>
    <w:qFormat/>
    <w:uiPriority w:val="0"/>
    <w:pPr>
      <w:tabs>
        <w:tab w:val="left" w:pos="1200"/>
      </w:tabs>
      <w:ind w:left="1200" w:leftChars="400" w:hanging="360" w:hangingChars="200"/>
      <w:contextualSpacing/>
    </w:pPr>
    <w:rPr>
      <w:szCs w:val="20"/>
    </w:rPr>
  </w:style>
  <w:style w:type="paragraph" w:styleId="27">
    <w:name w:val="Body Text"/>
    <w:basedOn w:val="1"/>
    <w:link w:val="251"/>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Indent"/>
    <w:basedOn w:val="1"/>
    <w:link w:val="221"/>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spacing w:beforeLines="50" w:afterLines="50" w:line="360" w:lineRule="auto"/>
      <w:ind w:left="1440" w:leftChars="700" w:right="1440" w:rightChars="700"/>
    </w:pPr>
    <w:rPr>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link w:val="236"/>
    <w:qFormat/>
    <w:uiPriority w:val="0"/>
    <w:rPr>
      <w:rFonts w:ascii="宋体" w:hAnsi="Courier New" w:cs="Courier New" w:eastAsiaTheme="minorEastAsia"/>
      <w:szCs w:val="21"/>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261"/>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4"/>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90"/>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2"/>
    <w:qFormat/>
    <w:uiPriority w:val="0"/>
    <w:rPr>
      <w:rFonts w:asciiTheme="minorHAnsi" w:hAnsiTheme="minorHAnsi" w:eastAsiaTheme="minorEastAsia" w:cstheme="minorBidi"/>
      <w:sz w:val="18"/>
      <w:szCs w:val="18"/>
    </w:rPr>
  </w:style>
  <w:style w:type="paragraph" w:styleId="39">
    <w:name w:val="footer"/>
    <w:basedOn w:val="1"/>
    <w:link w:val="70"/>
    <w:unhideWhenUsed/>
    <w:qFormat/>
    <w:uiPriority w:val="99"/>
    <w:pPr>
      <w:tabs>
        <w:tab w:val="center" w:pos="4153"/>
        <w:tab w:val="right" w:pos="8306"/>
      </w:tabs>
      <w:snapToGrid w:val="0"/>
      <w:jc w:val="left"/>
    </w:pPr>
    <w:rPr>
      <w:sz w:val="18"/>
      <w:szCs w:val="18"/>
    </w:rPr>
  </w:style>
  <w:style w:type="paragraph" w:styleId="40">
    <w:name w:val="header"/>
    <w:basedOn w:val="1"/>
    <w:link w:val="69"/>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287"/>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39"/>
    <w:pPr>
      <w:ind w:left="1050"/>
      <w:jc w:val="left"/>
    </w:pPr>
    <w:rPr>
      <w:sz w:val="18"/>
      <w:szCs w:val="18"/>
    </w:rPr>
  </w:style>
  <w:style w:type="paragraph" w:styleId="47">
    <w:name w:val="Body Text Indent 3"/>
    <w:basedOn w:val="1"/>
    <w:link w:val="246"/>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qFormat/>
    <w:uiPriority w:val="99"/>
    <w:pPr>
      <w:ind w:left="200" w:leftChars="200" w:hanging="200" w:hangingChars="200"/>
    </w:pPr>
  </w:style>
  <w:style w:type="paragraph" w:styleId="49">
    <w:name w:val="toc 2"/>
    <w:basedOn w:val="1"/>
    <w:next w:val="1"/>
    <w:qFormat/>
    <w:uiPriority w:val="39"/>
    <w:pPr>
      <w:ind w:left="210"/>
      <w:jc w:val="left"/>
    </w:pPr>
    <w:rPr>
      <w:smallCaps/>
      <w:sz w:val="20"/>
      <w:szCs w:val="20"/>
    </w:rPr>
  </w:style>
  <w:style w:type="paragraph" w:styleId="50">
    <w:name w:val="toc 9"/>
    <w:basedOn w:val="1"/>
    <w:next w:val="1"/>
    <w:qFormat/>
    <w:uiPriority w:val="39"/>
    <w:pPr>
      <w:ind w:left="1680"/>
      <w:jc w:val="left"/>
    </w:pPr>
    <w:rPr>
      <w:sz w:val="18"/>
      <w:szCs w:val="18"/>
    </w:rPr>
  </w:style>
  <w:style w:type="paragraph" w:styleId="51">
    <w:name w:val="Body Text 2"/>
    <w:basedOn w:val="1"/>
    <w:link w:val="281"/>
    <w:qFormat/>
    <w:uiPriority w:val="0"/>
    <w:pPr>
      <w:jc w:val="center"/>
    </w:pPr>
    <w:rPr>
      <w:rFonts w:ascii="宋体" w:hAnsi="宋体" w:eastAsiaTheme="minorEastAsia" w:cstheme="minorBidi"/>
      <w:sz w:val="24"/>
    </w:rPr>
  </w:style>
  <w:style w:type="paragraph" w:styleId="52">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kern w:val="0"/>
      <w:sz w:val="24"/>
      <w:szCs w:val="21"/>
    </w:rPr>
  </w:style>
  <w:style w:type="paragraph" w:styleId="55">
    <w:name w:val="Title"/>
    <w:basedOn w:val="1"/>
    <w:next w:val="1"/>
    <w:link w:val="227"/>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2"/>
    <w:next w:val="22"/>
    <w:link w:val="245"/>
    <w:qFormat/>
    <w:uiPriority w:val="0"/>
    <w:rPr>
      <w:rFonts w:asciiTheme="minorHAnsi" w:hAnsiTheme="minorHAnsi" w:eastAsiaTheme="minorEastAsia" w:cstheme="minorBidi"/>
      <w:b/>
    </w:rPr>
  </w:style>
  <w:style w:type="paragraph" w:styleId="57">
    <w:name w:val="Body Text First Indent"/>
    <w:basedOn w:val="27"/>
    <w:link w:val="280"/>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8"/>
    <w:link w:val="232"/>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qFormat/>
    <w:uiPriority w:val="0"/>
    <w:rPr>
      <w:i/>
      <w:iCs/>
    </w:rPr>
  </w:style>
  <w:style w:type="character" w:styleId="67">
    <w:name w:val="Hyperlink"/>
    <w:qFormat/>
    <w:uiPriority w:val="99"/>
    <w:rPr>
      <w:color w:val="0000FF"/>
      <w:u w:val="single"/>
    </w:rPr>
  </w:style>
  <w:style w:type="character" w:styleId="68">
    <w:name w:val="annotation reference"/>
    <w:qFormat/>
    <w:uiPriority w:val="0"/>
    <w:rPr>
      <w:sz w:val="21"/>
    </w:rPr>
  </w:style>
  <w:style w:type="character" w:customStyle="1" w:styleId="69">
    <w:name w:val="页眉 Char"/>
    <w:basedOn w:val="61"/>
    <w:link w:val="40"/>
    <w:qFormat/>
    <w:uiPriority w:val="0"/>
    <w:rPr>
      <w:sz w:val="18"/>
      <w:szCs w:val="18"/>
    </w:rPr>
  </w:style>
  <w:style w:type="character" w:customStyle="1" w:styleId="70">
    <w:name w:val="页脚 Char"/>
    <w:basedOn w:val="61"/>
    <w:link w:val="39"/>
    <w:qFormat/>
    <w:uiPriority w:val="99"/>
    <w:rPr>
      <w:sz w:val="18"/>
      <w:szCs w:val="18"/>
    </w:rPr>
  </w:style>
  <w:style w:type="character" w:customStyle="1" w:styleId="71">
    <w:name w:val="标题 1 Char"/>
    <w:basedOn w:val="61"/>
    <w:link w:val="3"/>
    <w:qFormat/>
    <w:uiPriority w:val="0"/>
    <w:rPr>
      <w:rFonts w:ascii="Times New Roman" w:hAnsi="Times New Roman" w:eastAsia="宋体" w:cs="Times New Roman"/>
      <w:b/>
      <w:kern w:val="44"/>
      <w:sz w:val="32"/>
      <w:szCs w:val="20"/>
    </w:rPr>
  </w:style>
  <w:style w:type="character" w:customStyle="1" w:styleId="72">
    <w:name w:val="标题 2 Char"/>
    <w:basedOn w:val="61"/>
    <w:link w:val="4"/>
    <w:qFormat/>
    <w:uiPriority w:val="0"/>
    <w:rPr>
      <w:rFonts w:ascii="Arial" w:hAnsi="Arial" w:eastAsia="黑体" w:cs="Times New Roman"/>
      <w:b/>
      <w:bCs/>
      <w:sz w:val="32"/>
      <w:szCs w:val="32"/>
    </w:rPr>
  </w:style>
  <w:style w:type="character" w:customStyle="1" w:styleId="73">
    <w:name w:val="标题 3 Char"/>
    <w:basedOn w:val="61"/>
    <w:link w:val="5"/>
    <w:qFormat/>
    <w:uiPriority w:val="0"/>
    <w:rPr>
      <w:rFonts w:ascii="Times New Roman" w:hAnsi="Times New Roman" w:eastAsia="Arial Unicode MS" w:cs="Times New Roman"/>
      <w:b/>
      <w:szCs w:val="20"/>
    </w:rPr>
  </w:style>
  <w:style w:type="character" w:customStyle="1" w:styleId="74">
    <w:name w:val="标题 4 Char"/>
    <w:basedOn w:val="61"/>
    <w:link w:val="6"/>
    <w:qFormat/>
    <w:uiPriority w:val="0"/>
    <w:rPr>
      <w:rFonts w:ascii="Cambria" w:hAnsi="Cambria" w:eastAsia="宋体" w:cs="Times New Roman"/>
      <w:b/>
      <w:bCs/>
      <w:sz w:val="28"/>
      <w:szCs w:val="28"/>
    </w:rPr>
  </w:style>
  <w:style w:type="character" w:customStyle="1" w:styleId="75">
    <w:name w:val="标题 5 Char"/>
    <w:basedOn w:val="61"/>
    <w:link w:val="7"/>
    <w:qFormat/>
    <w:uiPriority w:val="0"/>
    <w:rPr>
      <w:rFonts w:ascii="Calibri" w:hAnsi="Calibri" w:eastAsia="宋体" w:cs="Times New Roman"/>
      <w:b/>
      <w:bCs/>
      <w:sz w:val="28"/>
      <w:szCs w:val="28"/>
    </w:rPr>
  </w:style>
  <w:style w:type="character" w:customStyle="1" w:styleId="76">
    <w:name w:val="标题 6 Char"/>
    <w:basedOn w:val="61"/>
    <w:link w:val="8"/>
    <w:qFormat/>
    <w:uiPriority w:val="0"/>
    <w:rPr>
      <w:rFonts w:ascii="Arial" w:hAnsi="Arial" w:eastAsia="黑体" w:cs="Times New Roman"/>
      <w:b/>
      <w:bCs/>
      <w:kern w:val="0"/>
      <w:sz w:val="24"/>
      <w:szCs w:val="24"/>
    </w:rPr>
  </w:style>
  <w:style w:type="character" w:customStyle="1" w:styleId="77">
    <w:name w:val="标题 7 Char"/>
    <w:basedOn w:val="61"/>
    <w:link w:val="9"/>
    <w:qFormat/>
    <w:uiPriority w:val="0"/>
    <w:rPr>
      <w:rFonts w:ascii="Times New Roman" w:hAnsi="Times New Roman" w:eastAsia="宋体" w:cs="Times New Roman"/>
      <w:b/>
      <w:bCs/>
      <w:kern w:val="0"/>
      <w:sz w:val="24"/>
      <w:szCs w:val="24"/>
    </w:rPr>
  </w:style>
  <w:style w:type="character" w:customStyle="1" w:styleId="78">
    <w:name w:val="标题 8 Char"/>
    <w:basedOn w:val="61"/>
    <w:link w:val="10"/>
    <w:qFormat/>
    <w:uiPriority w:val="0"/>
    <w:rPr>
      <w:rFonts w:ascii="Arial" w:hAnsi="Arial" w:eastAsia="黑体" w:cs="Times New Roman"/>
      <w:kern w:val="0"/>
      <w:sz w:val="24"/>
      <w:szCs w:val="24"/>
    </w:rPr>
  </w:style>
  <w:style w:type="character" w:customStyle="1" w:styleId="79">
    <w:name w:val="标题 9 Char"/>
    <w:basedOn w:val="61"/>
    <w:link w:val="11"/>
    <w:qFormat/>
    <w:uiPriority w:val="0"/>
    <w:rPr>
      <w:rFonts w:ascii="Arial" w:hAnsi="Arial" w:eastAsia="黑体" w:cs="Times New Roman"/>
      <w:kern w:val="0"/>
      <w:szCs w:val="21"/>
    </w:rPr>
  </w:style>
  <w:style w:type="character" w:customStyle="1" w:styleId="80">
    <w:name w:val="hei12"/>
    <w:basedOn w:val="61"/>
    <w:qFormat/>
    <w:uiPriority w:val="0"/>
  </w:style>
  <w:style w:type="character" w:customStyle="1" w:styleId="81">
    <w:name w:val="正文缩进2格 Char"/>
    <w:link w:val="82"/>
    <w:qFormat/>
    <w:uiPriority w:val="0"/>
    <w:rPr>
      <w:rFonts w:ascii="仿宋_GB2312" w:hAnsi="宋体" w:eastAsia="仿宋_GB2312"/>
      <w:sz w:val="31"/>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cstheme="minorBidi"/>
      <w:sz w:val="31"/>
      <w:szCs w:val="22"/>
    </w:rPr>
  </w:style>
  <w:style w:type="character" w:customStyle="1" w:styleId="83">
    <w:name w:val="font51"/>
    <w:qFormat/>
    <w:uiPriority w:val="0"/>
    <w:rPr>
      <w:rFonts w:hint="eastAsia" w:ascii="宋体" w:hAnsi="宋体" w:eastAsia="宋体" w:cs="宋体"/>
      <w:color w:val="000000"/>
      <w:sz w:val="20"/>
      <w:szCs w:val="20"/>
      <w:u w:val="none"/>
    </w:rPr>
  </w:style>
  <w:style w:type="character" w:customStyle="1" w:styleId="84">
    <w:name w:val="font61"/>
    <w:qFormat/>
    <w:uiPriority w:val="0"/>
    <w:rPr>
      <w:rFonts w:hint="default" w:ascii="Times New Roman" w:hAnsi="Times New Roman" w:cs="Times New Roman"/>
      <w:color w:val="000000"/>
      <w:sz w:val="20"/>
      <w:szCs w:val="20"/>
      <w:u w:val="none"/>
    </w:rPr>
  </w:style>
  <w:style w:type="character" w:customStyle="1" w:styleId="85">
    <w:name w:val="表中左小5 Char"/>
    <w:link w:val="86"/>
    <w:qFormat/>
    <w:uiPriority w:val="0"/>
    <w:rPr>
      <w:color w:val="0000FF"/>
      <w:sz w:val="18"/>
      <w:szCs w:val="18"/>
    </w:rPr>
  </w:style>
  <w:style w:type="paragraph" w:customStyle="1" w:styleId="86">
    <w:name w:val="表中左小5"/>
    <w:link w:val="85"/>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7">
    <w:name w:val="font71"/>
    <w:qFormat/>
    <w:uiPriority w:val="0"/>
    <w:rPr>
      <w:rFonts w:hint="eastAsia" w:ascii="宋体" w:hAnsi="宋体" w:eastAsia="宋体" w:cs="宋体"/>
      <w:color w:val="000000"/>
      <w:sz w:val="20"/>
      <w:szCs w:val="20"/>
      <w:u w:val="none"/>
    </w:rPr>
  </w:style>
  <w:style w:type="character" w:customStyle="1" w:styleId="88">
    <w:name w:val="z-窗体底端 Char"/>
    <w:qFormat/>
    <w:uiPriority w:val="99"/>
    <w:rPr>
      <w:rFonts w:ascii="Arial" w:hAnsi="Arial" w:cs="Arial"/>
      <w:vanish/>
      <w:sz w:val="16"/>
      <w:szCs w:val="16"/>
    </w:rPr>
  </w:style>
  <w:style w:type="paragraph" w:customStyle="1" w:styleId="89">
    <w:name w:val="z-窗体底端1"/>
    <w:basedOn w:val="1"/>
    <w:next w:val="1"/>
    <w:link w:val="276"/>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0">
    <w:name w:val="ca-251"/>
    <w:qFormat/>
    <w:uiPriority w:val="0"/>
    <w:rPr>
      <w:rFonts w:hint="default" w:ascii="Times New Roman" w:hAnsi="Times New Roman" w:cs="Times New Roman"/>
      <w:sz w:val="24"/>
      <w:szCs w:val="24"/>
    </w:rPr>
  </w:style>
  <w:style w:type="character" w:customStyle="1" w:styleId="91">
    <w:name w:val="Char Char3"/>
    <w:semiHidden/>
    <w:qFormat/>
    <w:uiPriority w:val="0"/>
    <w:rPr>
      <w:sz w:val="18"/>
      <w:szCs w:val="18"/>
    </w:rPr>
  </w:style>
  <w:style w:type="character" w:customStyle="1" w:styleId="92">
    <w:name w:val="批注文字 Char"/>
    <w:qFormat/>
    <w:uiPriority w:val="0"/>
    <w:rPr>
      <w:kern w:val="2"/>
      <w:sz w:val="21"/>
      <w:szCs w:val="24"/>
    </w:rPr>
  </w:style>
  <w:style w:type="character" w:customStyle="1" w:styleId="93">
    <w:name w:val="apple-converted-space"/>
    <w:basedOn w:val="61"/>
    <w:qFormat/>
    <w:uiPriority w:val="0"/>
  </w:style>
  <w:style w:type="character" w:customStyle="1" w:styleId="94">
    <w:name w:val="chanpinname"/>
    <w:basedOn w:val="61"/>
    <w:qFormat/>
    <w:uiPriority w:val="0"/>
  </w:style>
  <w:style w:type="character" w:customStyle="1" w:styleId="95">
    <w:name w:val="副标题 Char"/>
    <w:qFormat/>
    <w:uiPriority w:val="0"/>
    <w:rPr>
      <w:rFonts w:ascii="Cambria" w:hAnsi="Cambria"/>
      <w:b/>
      <w:bCs/>
      <w:kern w:val="28"/>
      <w:sz w:val="32"/>
      <w:szCs w:val="32"/>
    </w:rPr>
  </w:style>
  <w:style w:type="character" w:customStyle="1" w:styleId="96">
    <w:name w:val="ca-231"/>
    <w:qFormat/>
    <w:uiPriority w:val="0"/>
    <w:rPr>
      <w:rFonts w:hint="eastAsia" w:ascii="宋体" w:hAnsi="宋体" w:eastAsia="宋体"/>
      <w:sz w:val="24"/>
      <w:szCs w:val="24"/>
    </w:rPr>
  </w:style>
  <w:style w:type="character" w:customStyle="1" w:styleId="97">
    <w:name w:val="Figure Text Char"/>
    <w:link w:val="98"/>
    <w:qFormat/>
    <w:uiPriority w:val="0"/>
    <w:rPr>
      <w:rFonts w:ascii="Arial" w:hAnsi="Arial" w:cs="Arial"/>
      <w:sz w:val="18"/>
      <w:szCs w:val="18"/>
      <w:lang w:eastAsia="en-US"/>
    </w:rPr>
  </w:style>
  <w:style w:type="paragraph" w:customStyle="1" w:styleId="98">
    <w:name w:val="Figure Text"/>
    <w:link w:val="97"/>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9">
    <w:name w:val="font91"/>
    <w:qFormat/>
    <w:uiPriority w:val="0"/>
    <w:rPr>
      <w:rFonts w:hint="eastAsia" w:ascii="宋体" w:hAnsi="宋体" w:eastAsia="宋体" w:cs="宋体"/>
      <w:color w:val="000000"/>
      <w:sz w:val="20"/>
      <w:szCs w:val="20"/>
      <w:u w:val="none"/>
    </w:rPr>
  </w:style>
  <w:style w:type="character" w:customStyle="1" w:styleId="100">
    <w:name w:val="正文小四 Char"/>
    <w:link w:val="101"/>
    <w:qFormat/>
    <w:uiPriority w:val="0"/>
    <w:rPr>
      <w:rFonts w:ascii="宋体" w:hAnsi="宋体"/>
      <w:sz w:val="24"/>
    </w:rPr>
  </w:style>
  <w:style w:type="paragraph" w:customStyle="1" w:styleId="101">
    <w:name w:val="正文小四"/>
    <w:link w:val="100"/>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2">
    <w:name w:val="正文文本 3 Char"/>
    <w:qFormat/>
    <w:uiPriority w:val="0"/>
    <w:rPr>
      <w:sz w:val="16"/>
      <w:szCs w:val="16"/>
    </w:rPr>
  </w:style>
  <w:style w:type="character" w:customStyle="1" w:styleId="103">
    <w:name w:val="font01"/>
    <w:basedOn w:val="61"/>
    <w:qFormat/>
    <w:uiPriority w:val="0"/>
    <w:rPr>
      <w:rFonts w:hint="eastAsia" w:ascii="宋体" w:hAnsi="宋体" w:eastAsia="宋体" w:cs="宋体"/>
      <w:color w:val="000000"/>
      <w:sz w:val="24"/>
      <w:szCs w:val="24"/>
      <w:u w:val="none"/>
      <w:vertAlign w:val="superscript"/>
    </w:rPr>
  </w:style>
  <w:style w:type="character" w:customStyle="1" w:styleId="104">
    <w:name w:val="Table Description Char Char"/>
    <w:link w:val="105"/>
    <w:qFormat/>
    <w:uiPriority w:val="0"/>
    <w:rPr>
      <w:rFonts w:ascii="Arial" w:hAnsi="Arial" w:eastAsia="黑体"/>
      <w:sz w:val="18"/>
    </w:rPr>
  </w:style>
  <w:style w:type="paragraph" w:customStyle="1" w:styleId="105">
    <w:name w:val="Table Description"/>
    <w:next w:val="1"/>
    <w:link w:val="104"/>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6">
    <w:name w:val="表格标题(居中) Char"/>
    <w:link w:val="107"/>
    <w:qFormat/>
    <w:uiPriority w:val="0"/>
    <w:rPr>
      <w:rFonts w:eastAsia="黑体"/>
      <w:sz w:val="24"/>
    </w:rPr>
  </w:style>
  <w:style w:type="paragraph" w:customStyle="1" w:styleId="107">
    <w:name w:val="表格标题(居中)"/>
    <w:basedOn w:val="1"/>
    <w:link w:val="106"/>
    <w:qFormat/>
    <w:uiPriority w:val="0"/>
    <w:pPr>
      <w:snapToGrid w:val="0"/>
      <w:spacing w:line="300" w:lineRule="auto"/>
      <w:jc w:val="center"/>
    </w:pPr>
    <w:rPr>
      <w:rFonts w:eastAsia="黑体" w:asciiTheme="minorHAnsi" w:hAnsiTheme="minorHAnsi" w:cstheme="minorBidi"/>
      <w:sz w:val="24"/>
      <w:szCs w:val="22"/>
    </w:rPr>
  </w:style>
  <w:style w:type="character" w:customStyle="1" w:styleId="108">
    <w:name w:val="称呼 Char"/>
    <w:qFormat/>
    <w:uiPriority w:val="0"/>
    <w:rPr>
      <w:szCs w:val="24"/>
    </w:rPr>
  </w:style>
  <w:style w:type="character" w:customStyle="1" w:styleId="109">
    <w:name w:val="样式 目录 2 + 宋体 Char"/>
    <w:link w:val="110"/>
    <w:qFormat/>
    <w:uiPriority w:val="0"/>
    <w:rPr>
      <w:rFonts w:ascii="宋体" w:hAnsi="宋体"/>
      <w:sz w:val="28"/>
    </w:rPr>
  </w:style>
  <w:style w:type="paragraph" w:customStyle="1" w:styleId="110">
    <w:name w:val="样式 目录 2 + 宋体"/>
    <w:basedOn w:val="27"/>
    <w:next w:val="27"/>
    <w:link w:val="109"/>
    <w:qFormat/>
    <w:uiPriority w:val="0"/>
    <w:pPr>
      <w:autoSpaceDE/>
      <w:autoSpaceDN/>
      <w:adjustRightInd/>
      <w:spacing w:after="120" w:line="240" w:lineRule="auto"/>
      <w:jc w:val="both"/>
    </w:pPr>
    <w:rPr>
      <w:rFonts w:hAnsi="宋体"/>
      <w:color w:val="auto"/>
      <w:szCs w:val="22"/>
    </w:rPr>
  </w:style>
  <w:style w:type="character" w:customStyle="1" w:styleId="111">
    <w:name w:val="副标题 Char1"/>
    <w:qFormat/>
    <w:uiPriority w:val="0"/>
    <w:rPr>
      <w:rFonts w:ascii="Cambria" w:hAnsi="Cambria" w:cs="Times New Roman"/>
      <w:b/>
      <w:bCs/>
      <w:kern w:val="28"/>
      <w:sz w:val="32"/>
      <w:szCs w:val="32"/>
    </w:rPr>
  </w:style>
  <w:style w:type="character" w:customStyle="1" w:styleId="112">
    <w:name w:val="正文首行缩进 Char"/>
    <w:qFormat/>
    <w:uiPriority w:val="0"/>
    <w:rPr>
      <w:rFonts w:ascii="宋体"/>
      <w:color w:val="000000"/>
      <w:szCs w:val="32"/>
    </w:rPr>
  </w:style>
  <w:style w:type="character" w:customStyle="1" w:styleId="113">
    <w:name w:val="正文文本缩进 2 Char"/>
    <w:qFormat/>
    <w:locked/>
    <w:uiPriority w:val="0"/>
    <w:rPr>
      <w:rFonts w:ascii="幼圆" w:eastAsia="幼圆"/>
      <w:color w:val="000000"/>
      <w:sz w:val="30"/>
      <w:szCs w:val="32"/>
    </w:rPr>
  </w:style>
  <w:style w:type="character" w:customStyle="1" w:styleId="114">
    <w:name w:val="font81"/>
    <w:qFormat/>
    <w:uiPriority w:val="0"/>
    <w:rPr>
      <w:rFonts w:hint="eastAsia" w:ascii="宋体" w:hAnsi="宋体" w:eastAsia="宋体" w:cs="宋体"/>
      <w:color w:val="000000"/>
      <w:sz w:val="20"/>
      <w:szCs w:val="20"/>
      <w:u w:val="none"/>
    </w:rPr>
  </w:style>
  <w:style w:type="character" w:customStyle="1" w:styleId="115">
    <w:name w:val="正文文本 Char"/>
    <w:qFormat/>
    <w:uiPriority w:val="0"/>
    <w:rPr>
      <w:rFonts w:ascii="宋体"/>
      <w:color w:val="000000"/>
      <w:sz w:val="28"/>
      <w:szCs w:val="32"/>
    </w:rPr>
  </w:style>
  <w:style w:type="character" w:customStyle="1" w:styleId="116">
    <w:name w:val="尾注文本 Char"/>
    <w:basedOn w:val="61"/>
    <w:qFormat/>
    <w:uiPriority w:val="0"/>
  </w:style>
  <w:style w:type="character" w:customStyle="1" w:styleId="117">
    <w:name w:val="HTML 预设格式 Char1"/>
    <w:semiHidden/>
    <w:qFormat/>
    <w:uiPriority w:val="0"/>
    <w:rPr>
      <w:rFonts w:ascii="Courier New" w:hAnsi="Courier New" w:eastAsia="宋体" w:cs="Courier New"/>
      <w:sz w:val="20"/>
      <w:szCs w:val="20"/>
    </w:rPr>
  </w:style>
  <w:style w:type="character" w:customStyle="1" w:styleId="118">
    <w:name w:val="3zw1"/>
    <w:qFormat/>
    <w:uiPriority w:val="0"/>
    <w:rPr>
      <w:color w:val="000000"/>
      <w:sz w:val="21"/>
      <w:szCs w:val="21"/>
    </w:rPr>
  </w:style>
  <w:style w:type="character" w:customStyle="1" w:styleId="119">
    <w:name w:val="正文缩进 Char"/>
    <w:link w:val="17"/>
    <w:qFormat/>
    <w:uiPriority w:val="0"/>
    <w:rPr>
      <w:szCs w:val="24"/>
    </w:rPr>
  </w:style>
  <w:style w:type="character" w:customStyle="1" w:styleId="120">
    <w:name w:val="正文2级 Char"/>
    <w:link w:val="121"/>
    <w:qFormat/>
    <w:uiPriority w:val="0"/>
    <w:rPr>
      <w:bCs/>
      <w:kern w:val="44"/>
      <w:sz w:val="24"/>
      <w:szCs w:val="44"/>
    </w:rPr>
  </w:style>
  <w:style w:type="paragraph" w:customStyle="1" w:styleId="121">
    <w:name w:val="正文2级"/>
    <w:link w:val="120"/>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2">
    <w:name w:val="param-name"/>
    <w:qFormat/>
    <w:uiPriority w:val="0"/>
  </w:style>
  <w:style w:type="character" w:customStyle="1" w:styleId="123">
    <w:name w:val="Table Text Char1"/>
    <w:qFormat/>
    <w:uiPriority w:val="0"/>
    <w:rPr>
      <w:rFonts w:ascii="Arial" w:hAnsi="Arial" w:eastAsia="宋体" w:cs="Arial"/>
      <w:snapToGrid w:val="0"/>
      <w:sz w:val="21"/>
      <w:szCs w:val="21"/>
      <w:lang w:val="en-US" w:eastAsia="zh-CN" w:bidi="ar-SA"/>
    </w:rPr>
  </w:style>
  <w:style w:type="character" w:customStyle="1" w:styleId="124">
    <w:name w:val="word21"/>
    <w:qFormat/>
    <w:uiPriority w:val="0"/>
    <w:rPr>
      <w:b/>
      <w:bCs/>
      <w:color w:val="194D7C"/>
      <w:spacing w:val="400"/>
      <w:sz w:val="24"/>
      <w:szCs w:val="24"/>
    </w:rPr>
  </w:style>
  <w:style w:type="character" w:customStyle="1" w:styleId="125">
    <w:name w:val="页眉 Char1"/>
    <w:semiHidden/>
    <w:qFormat/>
    <w:uiPriority w:val="99"/>
    <w:rPr>
      <w:rFonts w:ascii="Times New Roman" w:hAnsi="Times New Roman" w:eastAsia="宋体" w:cs="Times New Roman"/>
      <w:sz w:val="18"/>
      <w:szCs w:val="18"/>
    </w:rPr>
  </w:style>
  <w:style w:type="character" w:customStyle="1" w:styleId="126">
    <w:name w:val="表格非标题文字 Char"/>
    <w:link w:val="127"/>
    <w:qFormat/>
    <w:uiPriority w:val="0"/>
    <w:rPr>
      <w:rFonts w:ascii="Arial" w:hAnsi="Arial"/>
      <w:sz w:val="18"/>
      <w:szCs w:val="21"/>
    </w:rPr>
  </w:style>
  <w:style w:type="paragraph" w:customStyle="1" w:styleId="127">
    <w:name w:val="表格非标题文字"/>
    <w:link w:val="126"/>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8">
    <w:name w:val="正文首行缩进 2 Char1"/>
    <w:basedOn w:val="129"/>
    <w:qFormat/>
    <w:uiPriority w:val="0"/>
    <w:rPr>
      <w:rFonts w:ascii="楷体_GB2312" w:eastAsia="楷体_GB2312"/>
      <w:kern w:val="2"/>
      <w:sz w:val="28"/>
      <w:szCs w:val="31"/>
    </w:rPr>
  </w:style>
  <w:style w:type="character" w:customStyle="1" w:styleId="129">
    <w:name w:val="正文文本缩进 Char1"/>
    <w:qFormat/>
    <w:uiPriority w:val="0"/>
    <w:rPr>
      <w:rFonts w:ascii="楷体_GB2312" w:eastAsia="楷体_GB2312"/>
      <w:kern w:val="2"/>
      <w:sz w:val="28"/>
      <w:szCs w:val="31"/>
    </w:rPr>
  </w:style>
  <w:style w:type="character" w:customStyle="1" w:styleId="130">
    <w:name w:val="正文新 Char"/>
    <w:link w:val="131"/>
    <w:qFormat/>
    <w:uiPriority w:val="0"/>
    <w:rPr>
      <w:rFonts w:ascii="宋体" w:hAnsi="宋体"/>
      <w:sz w:val="28"/>
    </w:rPr>
  </w:style>
  <w:style w:type="paragraph" w:customStyle="1" w:styleId="131">
    <w:name w:val="正文新"/>
    <w:basedOn w:val="1"/>
    <w:link w:val="130"/>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B正文 Char"/>
    <w:link w:val="134"/>
    <w:qFormat/>
    <w:locked/>
    <w:uiPriority w:val="0"/>
    <w:rPr>
      <w:rFonts w:ascii="宋体" w:hAnsi="宋体"/>
      <w:sz w:val="24"/>
    </w:rPr>
  </w:style>
  <w:style w:type="paragraph" w:customStyle="1" w:styleId="134">
    <w:name w:val="B正文"/>
    <w:basedOn w:val="1"/>
    <w:link w:val="133"/>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5">
    <w:name w:val="日期 Char"/>
    <w:qFormat/>
    <w:locked/>
    <w:uiPriority w:val="0"/>
    <w:rPr>
      <w:rFonts w:eastAsia="仿宋_GB2312"/>
      <w:color w:val="000000"/>
      <w:sz w:val="28"/>
      <w:szCs w:val="24"/>
    </w:rPr>
  </w:style>
  <w:style w:type="character" w:customStyle="1" w:styleId="136">
    <w:name w:val="缩进 Char"/>
    <w:link w:val="137"/>
    <w:qFormat/>
    <w:uiPriority w:val="0"/>
    <w:rPr>
      <w:color w:val="0000FF"/>
      <w:szCs w:val="18"/>
    </w:rPr>
  </w:style>
  <w:style w:type="paragraph" w:customStyle="1" w:styleId="137">
    <w:name w:val="缩进"/>
    <w:link w:val="136"/>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8">
    <w:name w:val="font41"/>
    <w:qFormat/>
    <w:uiPriority w:val="0"/>
    <w:rPr>
      <w:rFonts w:hint="eastAsia" w:ascii="宋体" w:hAnsi="宋体" w:eastAsia="宋体" w:cs="宋体"/>
      <w:color w:val="000000"/>
      <w:sz w:val="20"/>
      <w:szCs w:val="20"/>
      <w:u w:val="none"/>
    </w:rPr>
  </w:style>
  <w:style w:type="character" w:customStyle="1" w:styleId="139">
    <w:name w:val="txt"/>
    <w:basedOn w:val="61"/>
    <w:qFormat/>
    <w:uiPriority w:val="0"/>
  </w:style>
  <w:style w:type="character" w:customStyle="1" w:styleId="140">
    <w:name w:val="首行缩进 Char Char1"/>
    <w:link w:val="141"/>
    <w:qFormat/>
    <w:locked/>
    <w:uiPriority w:val="0"/>
    <w:rPr>
      <w:sz w:val="24"/>
      <w:szCs w:val="24"/>
    </w:rPr>
  </w:style>
  <w:style w:type="paragraph" w:customStyle="1" w:styleId="141">
    <w:name w:val="首行缩进 Char"/>
    <w:basedOn w:val="1"/>
    <w:next w:val="17"/>
    <w:link w:val="140"/>
    <w:qFormat/>
    <w:uiPriority w:val="0"/>
    <w:pPr>
      <w:spacing w:line="300" w:lineRule="auto"/>
      <w:ind w:firstLine="420"/>
    </w:pPr>
    <w:rPr>
      <w:rFonts w:asciiTheme="minorHAnsi" w:hAnsiTheme="minorHAnsi" w:eastAsiaTheme="minorEastAsia" w:cstheme="minorBidi"/>
      <w:sz w:val="24"/>
    </w:rPr>
  </w:style>
  <w:style w:type="character" w:customStyle="1" w:styleId="142">
    <w:name w:val="ca-131"/>
    <w:qFormat/>
    <w:uiPriority w:val="0"/>
    <w:rPr>
      <w:rFonts w:hint="default" w:ascii="Times New Roman" w:hAnsi="Times New Roman" w:cs="Times New Roman"/>
      <w:sz w:val="21"/>
      <w:szCs w:val="21"/>
    </w:rPr>
  </w:style>
  <w:style w:type="character" w:customStyle="1" w:styleId="143">
    <w:name w:val="标题 Char"/>
    <w:qFormat/>
    <w:uiPriority w:val="0"/>
    <w:rPr>
      <w:rFonts w:ascii="Arial" w:hAnsi="Arial"/>
      <w:b/>
      <w:bCs/>
      <w:sz w:val="32"/>
      <w:szCs w:val="32"/>
    </w:rPr>
  </w:style>
  <w:style w:type="character" w:customStyle="1" w:styleId="144">
    <w:name w:val="悬挂22 Char"/>
    <w:link w:val="145"/>
    <w:qFormat/>
    <w:uiPriority w:val="0"/>
    <w:rPr>
      <w:color w:val="FF0000"/>
      <w:szCs w:val="28"/>
    </w:rPr>
  </w:style>
  <w:style w:type="paragraph" w:customStyle="1" w:styleId="145">
    <w:name w:val="悬挂22"/>
    <w:link w:val="144"/>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6">
    <w:name w:val="正文文本 Char1"/>
    <w:qFormat/>
    <w:uiPriority w:val="0"/>
    <w:rPr>
      <w:rFonts w:ascii="楷体_GB2312" w:eastAsia="楷体_GB2312"/>
      <w:kern w:val="2"/>
      <w:sz w:val="28"/>
    </w:rPr>
  </w:style>
  <w:style w:type="character" w:customStyle="1" w:styleId="147">
    <w:name w:val="纯文本 Char"/>
    <w:qFormat/>
    <w:uiPriority w:val="0"/>
    <w:rPr>
      <w:rFonts w:ascii="宋体" w:hAnsi="Courier New" w:cs="Courier New"/>
      <w:szCs w:val="21"/>
    </w:rPr>
  </w:style>
  <w:style w:type="character" w:customStyle="1" w:styleId="148">
    <w:name w:val="正文文本缩进 3 Char"/>
    <w:qFormat/>
    <w:locked/>
    <w:uiPriority w:val="0"/>
    <w:rPr>
      <w:rFonts w:ascii="幼圆" w:eastAsia="幼圆"/>
      <w:sz w:val="24"/>
      <w:szCs w:val="32"/>
    </w:rPr>
  </w:style>
  <w:style w:type="character" w:customStyle="1" w:styleId="149">
    <w:name w:val="悬挂2 Char"/>
    <w:link w:val="150"/>
    <w:qFormat/>
    <w:uiPriority w:val="0"/>
    <w:rPr>
      <w:szCs w:val="21"/>
    </w:rPr>
  </w:style>
  <w:style w:type="paragraph" w:customStyle="1" w:styleId="150">
    <w:name w:val="悬挂2"/>
    <w:link w:val="149"/>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1">
    <w:name w:val="Char Char5"/>
    <w:qFormat/>
    <w:uiPriority w:val="0"/>
    <w:rPr>
      <w:rFonts w:ascii="Times New Roman" w:hAnsi="Times New Roman" w:eastAsia="宋体"/>
      <w:sz w:val="18"/>
    </w:rPr>
  </w:style>
  <w:style w:type="character" w:customStyle="1" w:styleId="152">
    <w:name w:val="prod_content_font_011"/>
    <w:qFormat/>
    <w:uiPriority w:val="0"/>
    <w:rPr>
      <w:rFonts w:hint="default" w:ascii="Verdana" w:hAnsi="Verdana"/>
      <w:color w:val="5E5E5E"/>
      <w:sz w:val="17"/>
      <w:szCs w:val="17"/>
    </w:rPr>
  </w:style>
  <w:style w:type="character" w:customStyle="1" w:styleId="153">
    <w:name w:val="尾注文本 Char1"/>
    <w:qFormat/>
    <w:uiPriority w:val="99"/>
    <w:rPr>
      <w:kern w:val="2"/>
      <w:sz w:val="21"/>
      <w:szCs w:val="24"/>
    </w:rPr>
  </w:style>
  <w:style w:type="character" w:customStyle="1" w:styleId="154">
    <w:name w:val="普通 (Web) Char"/>
    <w:link w:val="155"/>
    <w:qFormat/>
    <w:uiPriority w:val="99"/>
    <w:rPr>
      <w:rFonts w:ascii="宋体" w:hAnsi="宋体"/>
      <w:sz w:val="24"/>
      <w:szCs w:val="24"/>
    </w:rPr>
  </w:style>
  <w:style w:type="paragraph" w:customStyle="1" w:styleId="155">
    <w:name w:val="普通 (Web)"/>
    <w:basedOn w:val="1"/>
    <w:link w:val="154"/>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6">
    <w:name w:val="标题 Char1"/>
    <w:qFormat/>
    <w:uiPriority w:val="0"/>
    <w:rPr>
      <w:rFonts w:ascii="Cambria" w:hAnsi="Cambria" w:cs="Times New Roman"/>
      <w:b/>
      <w:bCs/>
      <w:kern w:val="2"/>
      <w:sz w:val="32"/>
      <w:szCs w:val="32"/>
    </w:rPr>
  </w:style>
  <w:style w:type="character" w:customStyle="1" w:styleId="157">
    <w:name w:val="正文缩进 Char1"/>
    <w:qFormat/>
    <w:uiPriority w:val="0"/>
    <w:rPr>
      <w:rFonts w:eastAsia="宋体"/>
      <w:kern w:val="2"/>
      <w:sz w:val="21"/>
      <w:szCs w:val="24"/>
      <w:lang w:val="en-US" w:eastAsia="zh-CN" w:bidi="ar-SA"/>
    </w:rPr>
  </w:style>
  <w:style w:type="character" w:customStyle="1" w:styleId="158">
    <w:name w:val="正文文本缩进 Char"/>
    <w:qFormat/>
    <w:uiPriority w:val="99"/>
    <w:rPr>
      <w:rFonts w:ascii="宋体"/>
      <w:color w:val="000000"/>
      <w:sz w:val="32"/>
      <w:szCs w:val="32"/>
    </w:rPr>
  </w:style>
  <w:style w:type="character" w:customStyle="1" w:styleId="159">
    <w:name w:val="Table Text Char"/>
    <w:link w:val="160"/>
    <w:qFormat/>
    <w:uiPriority w:val="0"/>
    <w:rPr>
      <w:rFonts w:ascii="Arial" w:hAnsi="Arial"/>
      <w:sz w:val="18"/>
    </w:rPr>
  </w:style>
  <w:style w:type="paragraph" w:customStyle="1" w:styleId="160">
    <w:name w:val="Table Text"/>
    <w:link w:val="159"/>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1">
    <w:name w:val="批注框文本 Char"/>
    <w:qFormat/>
    <w:uiPriority w:val="0"/>
    <w:rPr>
      <w:rFonts w:ascii="Times New Roman" w:hAnsi="Times New Roman"/>
      <w:kern w:val="2"/>
      <w:sz w:val="18"/>
      <w:szCs w:val="18"/>
    </w:rPr>
  </w:style>
  <w:style w:type="character" w:customStyle="1" w:styleId="162">
    <w:name w:val="Table Heading Char"/>
    <w:link w:val="163"/>
    <w:qFormat/>
    <w:uiPriority w:val="0"/>
    <w:rPr>
      <w:rFonts w:ascii="Arial" w:hAnsi="Arial" w:eastAsia="黑体" w:cs="Book Antiqua"/>
      <w:bCs/>
      <w:snapToGrid w:val="0"/>
      <w:szCs w:val="21"/>
    </w:rPr>
  </w:style>
  <w:style w:type="paragraph" w:customStyle="1" w:styleId="163">
    <w:name w:val="Table Heading"/>
    <w:basedOn w:val="1"/>
    <w:link w:val="162"/>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4">
    <w:name w:val="样式 宋体"/>
    <w:qFormat/>
    <w:uiPriority w:val="0"/>
    <w:rPr>
      <w:rFonts w:ascii="宋体" w:hAnsi="宋体" w:eastAsia="宋体"/>
      <w:sz w:val="24"/>
      <w:szCs w:val="24"/>
    </w:rPr>
  </w:style>
  <w:style w:type="character" w:customStyle="1" w:styleId="165">
    <w:name w:val="正文文本 2 Char"/>
    <w:qFormat/>
    <w:uiPriority w:val="0"/>
    <w:rPr>
      <w:rFonts w:ascii="宋体" w:hAnsi="宋体"/>
      <w:sz w:val="24"/>
      <w:szCs w:val="24"/>
    </w:rPr>
  </w:style>
  <w:style w:type="character" w:customStyle="1" w:styleId="166">
    <w:name w:val="myp1111"/>
    <w:qFormat/>
    <w:uiPriority w:val="0"/>
    <w:rPr>
      <w:rFonts w:hint="default" w:ascii="ˎ̥" w:hAnsi="ˎ̥"/>
      <w:color w:val="000000"/>
      <w:sz w:val="15"/>
      <w:szCs w:val="15"/>
      <w:u w:val="none"/>
    </w:rPr>
  </w:style>
  <w:style w:type="character" w:customStyle="1" w:styleId="167">
    <w:name w:val="hang1"/>
    <w:basedOn w:val="61"/>
    <w:qFormat/>
    <w:uiPriority w:val="0"/>
  </w:style>
  <w:style w:type="character" w:customStyle="1" w:styleId="168">
    <w:name w:val="段 Char Char"/>
    <w:qFormat/>
    <w:uiPriority w:val="0"/>
    <w:rPr>
      <w:rFonts w:ascii="宋体"/>
      <w:sz w:val="21"/>
      <w:lang w:val="en-US" w:eastAsia="zh-CN" w:bidi="ar-SA"/>
    </w:rPr>
  </w:style>
  <w:style w:type="character" w:customStyle="1" w:styleId="169">
    <w:name w:val="悬挂1 Char"/>
    <w:link w:val="170"/>
    <w:qFormat/>
    <w:uiPriority w:val="0"/>
    <w:rPr>
      <w:szCs w:val="21"/>
    </w:rPr>
  </w:style>
  <w:style w:type="paragraph" w:customStyle="1" w:styleId="170">
    <w:name w:val="悬挂1"/>
    <w:link w:val="169"/>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1">
    <w:name w:val="text_12_black1"/>
    <w:qFormat/>
    <w:uiPriority w:val="0"/>
    <w:rPr>
      <w:rFonts w:hint="default" w:ascii="ˎ̥" w:hAnsi="ˎ̥"/>
      <w:color w:val="333333"/>
      <w:sz w:val="18"/>
      <w:szCs w:val="18"/>
      <w:u w:val="none"/>
    </w:rPr>
  </w:style>
  <w:style w:type="character" w:customStyle="1" w:styleId="172">
    <w:name w:val="font11"/>
    <w:qFormat/>
    <w:uiPriority w:val="0"/>
    <w:rPr>
      <w:rFonts w:hint="eastAsia" w:ascii="宋体" w:hAnsi="宋体" w:eastAsia="宋体" w:cs="宋体"/>
      <w:color w:val="000000"/>
      <w:sz w:val="20"/>
      <w:szCs w:val="20"/>
      <w:u w:val="none"/>
    </w:rPr>
  </w:style>
  <w:style w:type="character" w:customStyle="1" w:styleId="173">
    <w:name w:val="正文缩进(ALT+Z) Char"/>
    <w:link w:val="174"/>
    <w:qFormat/>
    <w:uiPriority w:val="0"/>
    <w:rPr>
      <w:sz w:val="24"/>
      <w:szCs w:val="24"/>
    </w:rPr>
  </w:style>
  <w:style w:type="paragraph" w:customStyle="1" w:styleId="174">
    <w:name w:val="正文缩进(ALT+Z)"/>
    <w:basedOn w:val="1"/>
    <w:link w:val="17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5">
    <w:name w:val="font21"/>
    <w:qFormat/>
    <w:uiPriority w:val="0"/>
    <w:rPr>
      <w:rFonts w:hint="eastAsia" w:ascii="宋体" w:hAnsi="宋体" w:eastAsia="宋体" w:cs="宋体"/>
      <w:color w:val="000000"/>
      <w:sz w:val="24"/>
      <w:szCs w:val="24"/>
      <w:u w:val="none"/>
    </w:rPr>
  </w:style>
  <w:style w:type="character" w:customStyle="1" w:styleId="176">
    <w:name w:val="标题 3 Char1"/>
    <w:qFormat/>
    <w:uiPriority w:val="0"/>
    <w:rPr>
      <w:b/>
      <w:bCs/>
      <w:kern w:val="2"/>
      <w:sz w:val="32"/>
      <w:szCs w:val="32"/>
    </w:rPr>
  </w:style>
  <w:style w:type="character" w:customStyle="1" w:styleId="177">
    <w:name w:val="页脚 Char1"/>
    <w:semiHidden/>
    <w:qFormat/>
    <w:uiPriority w:val="0"/>
    <w:rPr>
      <w:rFonts w:ascii="Times New Roman" w:hAnsi="Times New Roman" w:eastAsia="宋体" w:cs="Times New Roman"/>
      <w:sz w:val="18"/>
      <w:szCs w:val="18"/>
    </w:rPr>
  </w:style>
  <w:style w:type="character" w:customStyle="1" w:styleId="178">
    <w:name w:val="z71"/>
    <w:qFormat/>
    <w:uiPriority w:val="0"/>
    <w:rPr>
      <w:spacing w:val="300"/>
      <w:sz w:val="18"/>
      <w:szCs w:val="18"/>
    </w:rPr>
  </w:style>
  <w:style w:type="character" w:customStyle="1" w:styleId="179">
    <w:name w:val="四级大纲 Char"/>
    <w:link w:val="180"/>
    <w:qFormat/>
    <w:uiPriority w:val="0"/>
    <w:rPr>
      <w:rFonts w:ascii="Calibri" w:hAnsi="Calibri"/>
      <w:b/>
      <w:sz w:val="30"/>
    </w:rPr>
  </w:style>
  <w:style w:type="paragraph" w:customStyle="1" w:styleId="180">
    <w:name w:val="四级大纲"/>
    <w:next w:val="101"/>
    <w:link w:val="17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1">
    <w:name w:val="文档正文 Char"/>
    <w:link w:val="182"/>
    <w:qFormat/>
    <w:uiPriority w:val="0"/>
    <w:rPr>
      <w:rFonts w:ascii="Arial" w:eastAsia="长城仿宋"/>
      <w:sz w:val="28"/>
    </w:rPr>
  </w:style>
  <w:style w:type="paragraph" w:customStyle="1" w:styleId="182">
    <w:name w:val="文档正文"/>
    <w:basedOn w:val="1"/>
    <w:link w:val="181"/>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3">
    <w:name w:val="15"/>
    <w:qFormat/>
    <w:uiPriority w:val="0"/>
    <w:rPr>
      <w:rFonts w:hint="default" w:ascii="Times New Roman" w:hAnsi="Times New Roman" w:cs="Times New Roman"/>
      <w:color w:val="0000FF"/>
      <w:u w:val="single"/>
    </w:rPr>
  </w:style>
  <w:style w:type="character" w:customStyle="1" w:styleId="184">
    <w:name w:val="批注主题 Char"/>
    <w:qFormat/>
    <w:uiPriority w:val="0"/>
    <w:rPr>
      <w:b/>
      <w:szCs w:val="24"/>
    </w:rPr>
  </w:style>
  <w:style w:type="character" w:customStyle="1" w:styleId="185">
    <w:name w:val="纯文本 Char1"/>
    <w:qFormat/>
    <w:uiPriority w:val="0"/>
    <w:rPr>
      <w:rFonts w:ascii="宋体" w:hAnsi="Courier New" w:cs="Courier New"/>
      <w:kern w:val="2"/>
      <w:sz w:val="21"/>
      <w:szCs w:val="21"/>
    </w:rPr>
  </w:style>
  <w:style w:type="character" w:customStyle="1" w:styleId="186">
    <w:name w:val="批注框文本 Char1"/>
    <w:qFormat/>
    <w:locked/>
    <w:uiPriority w:val="0"/>
    <w:rPr>
      <w:sz w:val="18"/>
      <w:szCs w:val="18"/>
    </w:rPr>
  </w:style>
  <w:style w:type="character" w:customStyle="1" w:styleId="187">
    <w:name w:val="结束语 Char"/>
    <w:qFormat/>
    <w:uiPriority w:val="0"/>
    <w:rPr>
      <w:rFonts w:ascii="宋体" w:hAnsi="宋体"/>
      <w:b/>
      <w:sz w:val="24"/>
      <w:szCs w:val="24"/>
    </w:rPr>
  </w:style>
  <w:style w:type="character" w:customStyle="1" w:styleId="188">
    <w:name w:val="正文文本 Char2"/>
    <w:qFormat/>
    <w:uiPriority w:val="0"/>
    <w:rPr>
      <w:rFonts w:ascii="宋体"/>
      <w:color w:val="000000"/>
      <w:sz w:val="28"/>
      <w:szCs w:val="32"/>
    </w:rPr>
  </w:style>
  <w:style w:type="character" w:customStyle="1" w:styleId="189">
    <w:name w:val="文档结构图 Char"/>
    <w:qFormat/>
    <w:uiPriority w:val="99"/>
    <w:rPr>
      <w:szCs w:val="24"/>
      <w:shd w:val="clear" w:color="auto" w:fill="000080"/>
    </w:rPr>
  </w:style>
  <w:style w:type="character" w:customStyle="1" w:styleId="190">
    <w:name w:val="contentheaderrev1"/>
    <w:qFormat/>
    <w:uiPriority w:val="0"/>
    <w:rPr>
      <w:rFonts w:hint="default" w:ascii="Arial" w:hAnsi="Arial" w:cs="Arial"/>
      <w:b/>
      <w:bCs/>
      <w:color w:val="FFFFFF"/>
      <w:sz w:val="18"/>
      <w:szCs w:val="18"/>
      <w:u w:val="none"/>
    </w:rPr>
  </w:style>
  <w:style w:type="character" w:customStyle="1" w:styleId="191">
    <w:name w:val="z-窗体底端 Char1"/>
    <w:qFormat/>
    <w:uiPriority w:val="0"/>
    <w:rPr>
      <w:rFonts w:ascii="Arial" w:hAnsi="Arial" w:cs="Arial"/>
      <w:vanish/>
      <w:kern w:val="2"/>
      <w:sz w:val="16"/>
      <w:szCs w:val="16"/>
    </w:rPr>
  </w:style>
  <w:style w:type="character" w:customStyle="1" w:styleId="192">
    <w:name w:val="content021"/>
    <w:qFormat/>
    <w:uiPriority w:val="0"/>
    <w:rPr>
      <w:color w:val="444444"/>
      <w:spacing w:val="330"/>
      <w:sz w:val="21"/>
      <w:szCs w:val="21"/>
      <w:u w:val="none"/>
    </w:rPr>
  </w:style>
  <w:style w:type="character" w:customStyle="1" w:styleId="193">
    <w:name w:val="abcde1"/>
    <w:qFormat/>
    <w:uiPriority w:val="0"/>
    <w:rPr>
      <w:spacing w:val="400"/>
      <w:sz w:val="26"/>
      <w:szCs w:val="26"/>
    </w:rPr>
  </w:style>
  <w:style w:type="character" w:customStyle="1" w:styleId="194">
    <w:name w:val="HTML 预设格式 Char"/>
    <w:qFormat/>
    <w:uiPriority w:val="99"/>
    <w:rPr>
      <w:rFonts w:ascii="宋体" w:hAnsi="宋体" w:cs="宋体"/>
      <w:sz w:val="24"/>
      <w:szCs w:val="24"/>
    </w:rPr>
  </w:style>
  <w:style w:type="character" w:customStyle="1" w:styleId="195">
    <w:name w:val="结束语 Char1"/>
    <w:qFormat/>
    <w:uiPriority w:val="0"/>
    <w:rPr>
      <w:kern w:val="2"/>
      <w:sz w:val="21"/>
      <w:szCs w:val="24"/>
    </w:rPr>
  </w:style>
  <w:style w:type="character" w:customStyle="1" w:styleId="196">
    <w:name w:val="常规 Char"/>
    <w:link w:val="197"/>
    <w:qFormat/>
    <w:uiPriority w:val="0"/>
    <w:rPr>
      <w:rFonts w:ascii="Tahoma" w:hAnsi="Tahoma"/>
      <w:color w:val="000000"/>
      <w:sz w:val="28"/>
      <w:szCs w:val="21"/>
    </w:rPr>
  </w:style>
  <w:style w:type="paragraph" w:customStyle="1" w:styleId="197">
    <w:name w:val="常规"/>
    <w:basedOn w:val="1"/>
    <w:link w:val="196"/>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8">
    <w:name w:val="正文首行缩进 2 Char"/>
    <w:qFormat/>
    <w:uiPriority w:val="0"/>
    <w:rPr>
      <w:rFonts w:ascii="仿宋_GB2312" w:eastAsia="仿宋_GB2312"/>
      <w:color w:val="000000"/>
      <w:sz w:val="24"/>
      <w:szCs w:val="24"/>
    </w:rPr>
  </w:style>
  <w:style w:type="character" w:customStyle="1" w:styleId="199">
    <w:name w:val="unnamed11"/>
    <w:qFormat/>
    <w:uiPriority w:val="0"/>
    <w:rPr>
      <w:sz w:val="20"/>
      <w:szCs w:val="20"/>
    </w:rPr>
  </w:style>
  <w:style w:type="character" w:customStyle="1" w:styleId="200">
    <w:name w:val="题注 Char"/>
    <w:link w:val="18"/>
    <w:qFormat/>
    <w:locked/>
    <w:uiPriority w:val="0"/>
    <w:rPr>
      <w:rFonts w:ascii="Arial" w:hAnsi="Arial" w:eastAsia="黑体"/>
    </w:rPr>
  </w:style>
  <w:style w:type="character" w:customStyle="1" w:styleId="201">
    <w:name w:val="text_12_subject1"/>
    <w:qFormat/>
    <w:uiPriority w:val="0"/>
    <w:rPr>
      <w:rFonts w:hint="default" w:ascii="ˎ̥" w:hAnsi="ˎ̥"/>
      <w:b/>
      <w:bCs/>
      <w:color w:val="006699"/>
      <w:sz w:val="18"/>
      <w:szCs w:val="18"/>
      <w:u w:val="none"/>
    </w:rPr>
  </w:style>
  <w:style w:type="character" w:customStyle="1" w:styleId="202">
    <w:name w:val="正文文本 3 Char1"/>
    <w:qFormat/>
    <w:uiPriority w:val="0"/>
    <w:rPr>
      <w:kern w:val="2"/>
      <w:sz w:val="16"/>
      <w:szCs w:val="16"/>
    </w:rPr>
  </w:style>
  <w:style w:type="character" w:customStyle="1" w:styleId="203">
    <w:name w:val="正文文本缩进 Char2"/>
    <w:qFormat/>
    <w:uiPriority w:val="0"/>
    <w:rPr>
      <w:rFonts w:ascii="宋体"/>
      <w:color w:val="000000"/>
      <w:sz w:val="32"/>
      <w:szCs w:val="32"/>
    </w:rPr>
  </w:style>
  <w:style w:type="character" w:customStyle="1" w:styleId="204">
    <w:name w:val="z21"/>
    <w:qFormat/>
    <w:uiPriority w:val="0"/>
    <w:rPr>
      <w:color w:val="000000"/>
      <w:spacing w:val="255"/>
      <w:sz w:val="18"/>
      <w:szCs w:val="18"/>
    </w:rPr>
  </w:style>
  <w:style w:type="character" w:customStyle="1" w:styleId="205">
    <w:name w:val="段 Char"/>
    <w:link w:val="206"/>
    <w:qFormat/>
    <w:locked/>
    <w:uiPriority w:val="0"/>
    <w:rPr>
      <w:rFonts w:ascii="宋体" w:hAnsi="宋体"/>
    </w:rPr>
  </w:style>
  <w:style w:type="paragraph" w:customStyle="1" w:styleId="206">
    <w:name w:val="段"/>
    <w:link w:val="205"/>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7">
    <w:name w:val="line14pj"/>
    <w:basedOn w:val="61"/>
    <w:qFormat/>
    <w:uiPriority w:val="0"/>
  </w:style>
  <w:style w:type="character" w:customStyle="1" w:styleId="208">
    <w:name w:val="ca-121"/>
    <w:qFormat/>
    <w:uiPriority w:val="0"/>
    <w:rPr>
      <w:rFonts w:hint="eastAsia" w:ascii="宋体" w:hAnsi="宋体" w:eastAsia="宋体"/>
      <w:sz w:val="21"/>
      <w:szCs w:val="21"/>
    </w:rPr>
  </w:style>
  <w:style w:type="character" w:customStyle="1" w:styleId="209">
    <w:name w:val="页脚 Char2"/>
    <w:basedOn w:val="61"/>
    <w:semiHidden/>
    <w:qFormat/>
    <w:uiPriority w:val="99"/>
    <w:rPr>
      <w:rFonts w:ascii="Times New Roman" w:hAnsi="Times New Roman" w:eastAsia="宋体" w:cs="Times New Roman"/>
      <w:sz w:val="18"/>
      <w:szCs w:val="18"/>
    </w:rPr>
  </w:style>
  <w:style w:type="paragraph" w:customStyle="1" w:styleId="210">
    <w:name w:val="样式 标题 + 段前: 0.5 行 段后: 0.5 行"/>
    <w:basedOn w:val="55"/>
    <w:qFormat/>
    <w:uiPriority w:val="0"/>
  </w:style>
  <w:style w:type="paragraph" w:customStyle="1" w:styleId="211">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2">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3">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4">
    <w:name w:val="正文文本缩进 2 Char1"/>
    <w:basedOn w:val="61"/>
    <w:link w:val="36"/>
    <w:semiHidden/>
    <w:qFormat/>
    <w:uiPriority w:val="99"/>
    <w:rPr>
      <w:rFonts w:ascii="Times New Roman" w:hAnsi="Times New Roman" w:eastAsia="宋体" w:cs="Times New Roman"/>
      <w:szCs w:val="24"/>
    </w:rPr>
  </w:style>
  <w:style w:type="paragraph" w:customStyle="1" w:styleId="215">
    <w:name w:val="表2"/>
    <w:basedOn w:val="216"/>
    <w:qFormat/>
    <w:uiPriority w:val="0"/>
    <w:pPr>
      <w:numPr>
        <w:ilvl w:val="0"/>
        <w:numId w:val="4"/>
      </w:numPr>
    </w:pPr>
  </w:style>
  <w:style w:type="paragraph" w:customStyle="1" w:styleId="216">
    <w:name w:val="表1"/>
    <w:basedOn w:val="217"/>
    <w:qFormat/>
    <w:uiPriority w:val="0"/>
  </w:style>
  <w:style w:type="paragraph" w:customStyle="1" w:styleId="217">
    <w:name w:val="表格样式"/>
    <w:basedOn w:val="1"/>
    <w:qFormat/>
    <w:uiPriority w:val="0"/>
    <w:pPr>
      <w:spacing w:before="156" w:after="156"/>
      <w:jc w:val="center"/>
    </w:pPr>
    <w:rPr>
      <w:rFonts w:ascii="宋体" w:hAnsi="宋体" w:cs="宋体"/>
      <w:b/>
      <w:bCs/>
      <w:kern w:val="0"/>
      <w:szCs w:val="20"/>
    </w:rPr>
  </w:style>
  <w:style w:type="paragraph" w:customStyle="1" w:styleId="21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0">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1">
    <w:name w:val="正文文本缩进 Char3"/>
    <w:basedOn w:val="61"/>
    <w:link w:val="28"/>
    <w:semiHidden/>
    <w:qFormat/>
    <w:uiPriority w:val="99"/>
    <w:rPr>
      <w:rFonts w:ascii="Times New Roman" w:hAnsi="Times New Roman" w:eastAsia="宋体" w:cs="Times New Roman"/>
      <w:szCs w:val="24"/>
    </w:rPr>
  </w:style>
  <w:style w:type="paragraph" w:customStyle="1" w:styleId="222">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3">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4">
    <w:name w:val="正文文本 3 Char2"/>
    <w:basedOn w:val="61"/>
    <w:link w:val="24"/>
    <w:semiHidden/>
    <w:qFormat/>
    <w:uiPriority w:val="99"/>
    <w:rPr>
      <w:rFonts w:ascii="Times New Roman" w:hAnsi="Times New Roman" w:eastAsia="宋体" w:cs="Times New Roman"/>
      <w:sz w:val="16"/>
      <w:szCs w:val="16"/>
    </w:rPr>
  </w:style>
  <w:style w:type="paragraph" w:customStyle="1" w:styleId="225">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7">
    <w:name w:val="标题 Char2"/>
    <w:basedOn w:val="61"/>
    <w:link w:val="55"/>
    <w:qFormat/>
    <w:uiPriority w:val="10"/>
    <w:rPr>
      <w:rFonts w:eastAsia="宋体" w:asciiTheme="majorHAnsi" w:hAnsiTheme="majorHAnsi" w:cstheme="majorBidi"/>
      <w:b/>
      <w:bCs/>
      <w:sz w:val="32"/>
      <w:szCs w:val="32"/>
    </w:rPr>
  </w:style>
  <w:style w:type="paragraph" w:customStyle="1" w:styleId="228">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9">
    <w:name w:val="表格2"/>
    <w:basedOn w:val="1"/>
    <w:qFormat/>
    <w:uiPriority w:val="0"/>
    <w:pPr>
      <w:snapToGrid w:val="0"/>
      <w:jc w:val="center"/>
    </w:pPr>
    <w:rPr>
      <w:rFonts w:ascii="Arial" w:hAnsi="Arial" w:cs="Arial"/>
      <w:snapToGrid w:val="0"/>
      <w:kern w:val="0"/>
      <w:sz w:val="24"/>
    </w:rPr>
  </w:style>
  <w:style w:type="paragraph" w:customStyle="1" w:styleId="2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2">
    <w:name w:val="正文首行缩进 2 Char2"/>
    <w:basedOn w:val="221"/>
    <w:link w:val="58"/>
    <w:semiHidden/>
    <w:qFormat/>
    <w:uiPriority w:val="99"/>
    <w:rPr>
      <w:rFonts w:ascii="Times New Roman" w:hAnsi="Times New Roman" w:eastAsia="宋体" w:cs="Times New Roman"/>
      <w:szCs w:val="24"/>
    </w:rPr>
  </w:style>
  <w:style w:type="paragraph" w:customStyle="1" w:styleId="233">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4">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5">
    <w:name w:val="说明正文"/>
    <w:basedOn w:val="1"/>
    <w:qFormat/>
    <w:uiPriority w:val="0"/>
    <w:pPr>
      <w:spacing w:line="360" w:lineRule="auto"/>
      <w:ind w:firstLine="480" w:firstLineChars="200"/>
    </w:pPr>
    <w:rPr>
      <w:rFonts w:ascii="宋体" w:hAnsi="宋体"/>
      <w:sz w:val="24"/>
    </w:rPr>
  </w:style>
  <w:style w:type="character" w:customStyle="1" w:styleId="236">
    <w:name w:val="纯文本 Char2"/>
    <w:basedOn w:val="61"/>
    <w:link w:val="33"/>
    <w:semiHidden/>
    <w:qFormat/>
    <w:uiPriority w:val="99"/>
    <w:rPr>
      <w:rFonts w:ascii="宋体" w:hAnsi="Courier New" w:eastAsia="宋体" w:cs="Courier New"/>
      <w:szCs w:val="21"/>
    </w:rPr>
  </w:style>
  <w:style w:type="paragraph" w:customStyle="1" w:styleId="237">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8">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9">
    <w:name w:val="lgh排序1"/>
    <w:basedOn w:val="33"/>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0">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2">
    <w:name w:val="批注框文本 Char2"/>
    <w:basedOn w:val="61"/>
    <w:link w:val="38"/>
    <w:semiHidden/>
    <w:qFormat/>
    <w:uiPriority w:val="99"/>
    <w:rPr>
      <w:rFonts w:ascii="Times New Roman" w:hAnsi="Times New Roman" w:eastAsia="宋体" w:cs="Times New Roman"/>
      <w:sz w:val="18"/>
      <w:szCs w:val="18"/>
    </w:rPr>
  </w:style>
  <w:style w:type="paragraph" w:customStyle="1" w:styleId="243">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4">
    <w:name w:val="批注文字 Char1"/>
    <w:basedOn w:val="61"/>
    <w:link w:val="22"/>
    <w:qFormat/>
    <w:uiPriority w:val="0"/>
    <w:rPr>
      <w:rFonts w:ascii="Times New Roman" w:hAnsi="Times New Roman" w:eastAsia="宋体" w:cs="Times New Roman"/>
      <w:szCs w:val="24"/>
    </w:rPr>
  </w:style>
  <w:style w:type="character" w:customStyle="1" w:styleId="245">
    <w:name w:val="批注主题 Char1"/>
    <w:basedOn w:val="244"/>
    <w:link w:val="56"/>
    <w:semiHidden/>
    <w:qFormat/>
    <w:uiPriority w:val="99"/>
    <w:rPr>
      <w:rFonts w:ascii="Times New Roman" w:hAnsi="Times New Roman" w:eastAsia="宋体" w:cs="Times New Roman"/>
      <w:b/>
      <w:bCs/>
      <w:szCs w:val="24"/>
    </w:rPr>
  </w:style>
  <w:style w:type="character" w:customStyle="1" w:styleId="246">
    <w:name w:val="正文文本缩进 3 Char1"/>
    <w:basedOn w:val="61"/>
    <w:link w:val="47"/>
    <w:semiHidden/>
    <w:qFormat/>
    <w:uiPriority w:val="99"/>
    <w:rPr>
      <w:rFonts w:ascii="Times New Roman" w:hAnsi="Times New Roman" w:eastAsia="宋体" w:cs="Times New Roman"/>
      <w:sz w:val="16"/>
      <w:szCs w:val="16"/>
    </w:rPr>
  </w:style>
  <w:style w:type="paragraph" w:customStyle="1" w:styleId="247">
    <w:name w:val="CM2"/>
    <w:basedOn w:val="248"/>
    <w:next w:val="248"/>
    <w:qFormat/>
    <w:uiPriority w:val="0"/>
    <w:pPr>
      <w:spacing w:line="623" w:lineRule="atLeast"/>
    </w:pPr>
    <w:rPr>
      <w:rFonts w:ascii=".a..DD.." w:eastAsia=".a..DD.."/>
      <w:color w:val="auto"/>
      <w:szCs w:val="24"/>
    </w:rPr>
  </w:style>
  <w:style w:type="paragraph" w:customStyle="1" w:styleId="24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9">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0">
    <w:name w:val="复选框1"/>
    <w:basedOn w:val="1"/>
    <w:qFormat/>
    <w:uiPriority w:val="0"/>
    <w:pPr>
      <w:widowControl/>
      <w:spacing w:before="360" w:after="360"/>
      <w:jc w:val="left"/>
    </w:pPr>
    <w:rPr>
      <w:kern w:val="0"/>
      <w:sz w:val="20"/>
      <w:szCs w:val="20"/>
    </w:rPr>
  </w:style>
  <w:style w:type="character" w:customStyle="1" w:styleId="251">
    <w:name w:val="正文文本 Char3"/>
    <w:basedOn w:val="61"/>
    <w:link w:val="27"/>
    <w:semiHidden/>
    <w:qFormat/>
    <w:uiPriority w:val="99"/>
    <w:rPr>
      <w:rFonts w:ascii="Times New Roman" w:hAnsi="Times New Roman" w:eastAsia="宋体" w:cs="Times New Roman"/>
      <w:szCs w:val="24"/>
    </w:rPr>
  </w:style>
  <w:style w:type="paragraph" w:customStyle="1" w:styleId="252">
    <w:name w:val="yd正文"/>
    <w:basedOn w:val="1"/>
    <w:qFormat/>
    <w:uiPriority w:val="0"/>
    <w:pPr>
      <w:widowControl/>
      <w:spacing w:line="360" w:lineRule="auto"/>
      <w:ind w:firstLine="482"/>
    </w:pPr>
    <w:rPr>
      <w:rFonts w:ascii="宋体" w:hAnsi="Arial Unicode MS"/>
      <w:bCs/>
      <w:kern w:val="0"/>
      <w:sz w:val="24"/>
    </w:rPr>
  </w:style>
  <w:style w:type="paragraph" w:customStyle="1" w:styleId="253">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4">
    <w:name w:val="称呼 Char1"/>
    <w:basedOn w:val="61"/>
    <w:link w:val="23"/>
    <w:semiHidden/>
    <w:qFormat/>
    <w:uiPriority w:val="99"/>
    <w:rPr>
      <w:rFonts w:ascii="Times New Roman" w:hAnsi="Times New Roman" w:eastAsia="宋体" w:cs="Times New Roman"/>
      <w:szCs w:val="24"/>
    </w:rPr>
  </w:style>
  <w:style w:type="paragraph" w:customStyle="1" w:styleId="255">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7">
    <w:name w:val="文档结构图 Char1"/>
    <w:basedOn w:val="61"/>
    <w:link w:val="21"/>
    <w:semiHidden/>
    <w:qFormat/>
    <w:uiPriority w:val="99"/>
    <w:rPr>
      <w:rFonts w:ascii="宋体" w:hAnsi="Times New Roman" w:eastAsia="宋体" w:cs="Times New Roman"/>
      <w:sz w:val="18"/>
      <w:szCs w:val="18"/>
    </w:rPr>
  </w:style>
  <w:style w:type="paragraph" w:customStyle="1" w:styleId="258">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0">
    <w:name w:val="页眉 Char2"/>
    <w:basedOn w:val="61"/>
    <w:semiHidden/>
    <w:qFormat/>
    <w:uiPriority w:val="99"/>
    <w:rPr>
      <w:rFonts w:ascii="Times New Roman" w:hAnsi="Times New Roman" w:eastAsia="宋体" w:cs="Times New Roman"/>
      <w:sz w:val="18"/>
      <w:szCs w:val="18"/>
    </w:rPr>
  </w:style>
  <w:style w:type="character" w:customStyle="1" w:styleId="261">
    <w:name w:val="日期 Char1"/>
    <w:basedOn w:val="61"/>
    <w:link w:val="35"/>
    <w:semiHidden/>
    <w:qFormat/>
    <w:uiPriority w:val="99"/>
    <w:rPr>
      <w:rFonts w:ascii="Times New Roman" w:hAnsi="Times New Roman" w:eastAsia="宋体" w:cs="Times New Roman"/>
      <w:szCs w:val="24"/>
    </w:rPr>
  </w:style>
  <w:style w:type="paragraph" w:customStyle="1" w:styleId="262">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3">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5">
    <w:name w:val="样式5"/>
    <w:basedOn w:val="14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6">
    <w:name w:val="五级条标题"/>
    <w:basedOn w:val="267"/>
    <w:next w:val="1"/>
    <w:qFormat/>
    <w:uiPriority w:val="0"/>
    <w:pPr>
      <w:outlineLvl w:val="6"/>
    </w:pPr>
  </w:style>
  <w:style w:type="paragraph" w:customStyle="1" w:styleId="267">
    <w:name w:val="四级条标题"/>
    <w:basedOn w:val="268"/>
    <w:next w:val="1"/>
    <w:qFormat/>
    <w:uiPriority w:val="0"/>
    <w:pPr>
      <w:outlineLvl w:val="5"/>
    </w:pPr>
  </w:style>
  <w:style w:type="paragraph" w:customStyle="1" w:styleId="268">
    <w:name w:val="三级条标题"/>
    <w:basedOn w:val="269"/>
    <w:next w:val="1"/>
    <w:qFormat/>
    <w:uiPriority w:val="0"/>
    <w:pPr>
      <w:outlineLvl w:val="4"/>
    </w:pPr>
  </w:style>
  <w:style w:type="paragraph" w:customStyle="1" w:styleId="269">
    <w:name w:val="二级条标题"/>
    <w:basedOn w:val="223"/>
    <w:next w:val="1"/>
    <w:qFormat/>
    <w:uiPriority w:val="0"/>
    <w:pPr>
      <w:outlineLvl w:val="3"/>
    </w:pPr>
  </w:style>
  <w:style w:type="paragraph" w:customStyle="1" w:styleId="270">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1">
    <w:name w:val="CM3"/>
    <w:basedOn w:val="248"/>
    <w:next w:val="248"/>
    <w:qFormat/>
    <w:uiPriority w:val="0"/>
    <w:pPr>
      <w:spacing w:line="626" w:lineRule="atLeast"/>
    </w:pPr>
    <w:rPr>
      <w:rFonts w:ascii=".a..DD.." w:eastAsia=".a..DD.."/>
      <w:color w:val="auto"/>
      <w:szCs w:val="24"/>
    </w:rPr>
  </w:style>
  <w:style w:type="paragraph" w:customStyle="1" w:styleId="27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3">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6">
    <w:name w:val="z-窗体底端 Char2"/>
    <w:basedOn w:val="61"/>
    <w:link w:val="89"/>
    <w:semiHidden/>
    <w:qFormat/>
    <w:uiPriority w:val="99"/>
    <w:rPr>
      <w:rFonts w:ascii="Arial" w:hAnsi="Arial" w:eastAsia="宋体" w:cs="Arial"/>
      <w:vanish/>
      <w:sz w:val="16"/>
      <w:szCs w:val="16"/>
    </w:rPr>
  </w:style>
  <w:style w:type="character" w:customStyle="1" w:styleId="277">
    <w:name w:val="HTML 预设格式 Char2"/>
    <w:basedOn w:val="61"/>
    <w:link w:val="52"/>
    <w:semiHidden/>
    <w:qFormat/>
    <w:uiPriority w:val="99"/>
    <w:rPr>
      <w:rFonts w:ascii="Courier New" w:hAnsi="Courier New" w:eastAsia="宋体" w:cs="Courier New"/>
      <w:sz w:val="20"/>
      <w:szCs w:val="20"/>
    </w:rPr>
  </w:style>
  <w:style w:type="paragraph" w:customStyle="1" w:styleId="278">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0">
    <w:name w:val="正文首行缩进 Char1"/>
    <w:basedOn w:val="251"/>
    <w:link w:val="57"/>
    <w:semiHidden/>
    <w:qFormat/>
    <w:uiPriority w:val="99"/>
    <w:rPr>
      <w:rFonts w:ascii="Times New Roman" w:hAnsi="Times New Roman" w:eastAsia="宋体" w:cs="Times New Roman"/>
      <w:szCs w:val="24"/>
    </w:rPr>
  </w:style>
  <w:style w:type="character" w:customStyle="1" w:styleId="281">
    <w:name w:val="正文文本 2 Char1"/>
    <w:basedOn w:val="61"/>
    <w:link w:val="51"/>
    <w:semiHidden/>
    <w:qFormat/>
    <w:uiPriority w:val="99"/>
    <w:rPr>
      <w:rFonts w:ascii="Times New Roman" w:hAnsi="Times New Roman" w:eastAsia="宋体" w:cs="Times New Roman"/>
      <w:szCs w:val="24"/>
    </w:rPr>
  </w:style>
  <w:style w:type="paragraph" w:customStyle="1" w:styleId="282">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3">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4">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6">
    <w:name w:val="结束语 Char2"/>
    <w:basedOn w:val="61"/>
    <w:link w:val="25"/>
    <w:semiHidden/>
    <w:qFormat/>
    <w:uiPriority w:val="99"/>
    <w:rPr>
      <w:rFonts w:ascii="Times New Roman" w:hAnsi="Times New Roman" w:eastAsia="宋体" w:cs="Times New Roman"/>
      <w:szCs w:val="24"/>
    </w:rPr>
  </w:style>
  <w:style w:type="character" w:customStyle="1" w:styleId="287">
    <w:name w:val="副标题 Char2"/>
    <w:basedOn w:val="61"/>
    <w:link w:val="43"/>
    <w:qFormat/>
    <w:uiPriority w:val="11"/>
    <w:rPr>
      <w:rFonts w:eastAsia="宋体" w:asciiTheme="majorHAnsi" w:hAnsiTheme="majorHAnsi" w:cstheme="majorBidi"/>
      <w:b/>
      <w:bCs/>
      <w:kern w:val="28"/>
      <w:sz w:val="32"/>
      <w:szCs w:val="32"/>
    </w:rPr>
  </w:style>
  <w:style w:type="paragraph" w:customStyle="1" w:styleId="288">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0">
    <w:name w:val="尾注文本 Char2"/>
    <w:basedOn w:val="61"/>
    <w:link w:val="37"/>
    <w:semiHidden/>
    <w:qFormat/>
    <w:uiPriority w:val="99"/>
    <w:rPr>
      <w:rFonts w:ascii="Times New Roman" w:hAnsi="Times New Roman" w:eastAsia="宋体" w:cs="Times New Roman"/>
      <w:szCs w:val="24"/>
    </w:rPr>
  </w:style>
  <w:style w:type="paragraph" w:customStyle="1" w:styleId="29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2">
    <w:name w:val="样式3"/>
    <w:qFormat/>
    <w:uiPriority w:val="0"/>
    <w:pPr>
      <w:spacing w:line="300" w:lineRule="auto"/>
    </w:pPr>
    <w:rPr>
      <w:rFonts w:ascii="Times New Roman" w:hAnsi="Times New Roman" w:eastAsia="宋体" w:cs="Times New Roman"/>
      <w:lang w:val="en-US" w:eastAsia="zh-CN" w:bidi="ar-SA"/>
    </w:rPr>
  </w:style>
  <w:style w:type="paragraph" w:customStyle="1" w:styleId="293">
    <w:name w:val="Char11"/>
    <w:basedOn w:val="1"/>
    <w:qFormat/>
    <w:uiPriority w:val="0"/>
  </w:style>
  <w:style w:type="paragraph" w:customStyle="1" w:styleId="294">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5">
    <w:name w:val="不缩进"/>
    <w:basedOn w:val="1"/>
    <w:qFormat/>
    <w:uiPriority w:val="0"/>
    <w:pPr>
      <w:spacing w:line="360" w:lineRule="auto"/>
      <w:jc w:val="center"/>
    </w:pPr>
    <w:rPr>
      <w:b/>
      <w:bCs/>
      <w:sz w:val="28"/>
      <w:szCs w:val="21"/>
    </w:rPr>
  </w:style>
  <w:style w:type="paragraph" w:customStyle="1" w:styleId="29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7">
    <w:name w:val="标题2"/>
    <w:basedOn w:val="1"/>
    <w:qFormat/>
    <w:uiPriority w:val="0"/>
    <w:pPr>
      <w:spacing w:beforeLines="50" w:afterLines="50" w:line="300" w:lineRule="exact"/>
    </w:pPr>
    <w:rPr>
      <w:b/>
      <w:bCs/>
    </w:rPr>
  </w:style>
  <w:style w:type="paragraph" w:customStyle="1" w:styleId="298">
    <w:name w:val="表格1"/>
    <w:basedOn w:val="1"/>
    <w:qFormat/>
    <w:uiPriority w:val="0"/>
    <w:pPr>
      <w:tabs>
        <w:tab w:val="left" w:pos="203"/>
      </w:tabs>
      <w:spacing w:before="40" w:after="40"/>
      <w:jc w:val="center"/>
    </w:pPr>
    <w:rPr>
      <w:b/>
      <w:sz w:val="28"/>
      <w:szCs w:val="20"/>
    </w:rPr>
  </w:style>
  <w:style w:type="paragraph" w:customStyle="1" w:styleId="299">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0">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1">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2">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4">
    <w:name w:val="项目编号一级"/>
    <w:basedOn w:val="1"/>
    <w:qFormat/>
    <w:uiPriority w:val="0"/>
    <w:pPr>
      <w:tabs>
        <w:tab w:val="left" w:pos="900"/>
      </w:tabs>
      <w:spacing w:line="360" w:lineRule="auto"/>
      <w:ind w:left="900" w:hanging="420"/>
    </w:pPr>
  </w:style>
  <w:style w:type="paragraph" w:customStyle="1" w:styleId="305">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6">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8">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9">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0">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1">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2">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3">
    <w:name w:val="DLP正文"/>
    <w:basedOn w:val="1"/>
    <w:qFormat/>
    <w:uiPriority w:val="0"/>
    <w:pPr>
      <w:snapToGrid w:val="0"/>
      <w:spacing w:line="360" w:lineRule="auto"/>
      <w:ind w:firstLine="473"/>
    </w:pPr>
    <w:rPr>
      <w:rFonts w:hAnsi="宋体"/>
      <w:sz w:val="24"/>
      <w:szCs w:val="22"/>
    </w:rPr>
  </w:style>
  <w:style w:type="paragraph" w:customStyle="1" w:styleId="314">
    <w:name w:val="CM19"/>
    <w:basedOn w:val="248"/>
    <w:next w:val="248"/>
    <w:qFormat/>
    <w:uiPriority w:val="0"/>
    <w:pPr>
      <w:spacing w:line="440" w:lineRule="atLeast"/>
    </w:pPr>
    <w:rPr>
      <w:rFonts w:ascii="方正小标宋简体" w:eastAsia="方正小标宋简体"/>
      <w:color w:val="auto"/>
      <w:szCs w:val="24"/>
    </w:rPr>
  </w:style>
  <w:style w:type="paragraph" w:customStyle="1" w:styleId="315">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6">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7">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8">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19">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0">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1">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2">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3">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4">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5">
    <w:name w:val="Block"/>
    <w:basedOn w:val="1"/>
    <w:next w:val="197"/>
    <w:qFormat/>
    <w:uiPriority w:val="0"/>
    <w:pPr>
      <w:tabs>
        <w:tab w:val="left" w:pos="0"/>
      </w:tabs>
    </w:pPr>
    <w:rPr>
      <w:rFonts w:ascii="Arial" w:hAnsi="Arial" w:eastAsia="楷体_GB2312"/>
      <w:color w:val="000080"/>
      <w:sz w:val="28"/>
      <w:szCs w:val="28"/>
    </w:rPr>
  </w:style>
  <w:style w:type="paragraph" w:customStyle="1" w:styleId="326">
    <w:name w:val="_Style 20"/>
    <w:basedOn w:val="1"/>
    <w:qFormat/>
    <w:uiPriority w:val="0"/>
    <w:rPr>
      <w:rFonts w:ascii="Tahoma" w:hAnsi="Tahoma"/>
      <w:sz w:val="24"/>
      <w:szCs w:val="20"/>
    </w:rPr>
  </w:style>
  <w:style w:type="paragraph" w:customStyle="1" w:styleId="327">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8">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0">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2">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3">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4">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5">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6">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7">
    <w:name w:val="GP正文(首行缩进)"/>
    <w:basedOn w:val="1"/>
    <w:qFormat/>
    <w:uiPriority w:val="0"/>
    <w:pPr>
      <w:spacing w:line="360" w:lineRule="auto"/>
      <w:ind w:firstLine="200" w:firstLineChars="200"/>
      <w:jc w:val="left"/>
    </w:pPr>
    <w:rPr>
      <w:sz w:val="24"/>
      <w:szCs w:val="21"/>
    </w:rPr>
  </w:style>
  <w:style w:type="paragraph" w:customStyle="1" w:styleId="338">
    <w:name w:val="目录"/>
    <w:basedOn w:val="1"/>
    <w:qFormat/>
    <w:uiPriority w:val="0"/>
    <w:pPr>
      <w:widowControl/>
      <w:jc w:val="center"/>
    </w:pPr>
    <w:rPr>
      <w:rFonts w:ascii="宋体"/>
      <w:b/>
      <w:kern w:val="0"/>
      <w:sz w:val="36"/>
      <w:szCs w:val="20"/>
    </w:rPr>
  </w:style>
  <w:style w:type="paragraph" w:customStyle="1" w:styleId="3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0">
    <w:name w:val="样式 小四 行距: 1.5 倍行距"/>
    <w:basedOn w:val="1"/>
    <w:qFormat/>
    <w:uiPriority w:val="0"/>
    <w:pPr>
      <w:tabs>
        <w:tab w:val="left" w:pos="740"/>
      </w:tabs>
      <w:ind w:left="1081" w:hanging="1081"/>
    </w:pPr>
  </w:style>
  <w:style w:type="paragraph" w:customStyle="1" w:styleId="341">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5">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6">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7">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8">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49">
    <w:name w:val="Char Char Char Char Char Char Char1"/>
    <w:basedOn w:val="1"/>
    <w:qFormat/>
    <w:uiPriority w:val="0"/>
  </w:style>
  <w:style w:type="paragraph" w:customStyle="1" w:styleId="350">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1">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2">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5">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6">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7">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8">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0">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1">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2">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3">
    <w:name w:val="列表 21"/>
    <w:basedOn w:val="1"/>
    <w:qFormat/>
    <w:uiPriority w:val="0"/>
    <w:pPr>
      <w:ind w:left="100" w:leftChars="200" w:hanging="200" w:hangingChars="200"/>
    </w:pPr>
  </w:style>
  <w:style w:type="paragraph" w:customStyle="1" w:styleId="364">
    <w:name w:val="Char Char Char Char Char Char Char"/>
    <w:basedOn w:val="1"/>
    <w:qFormat/>
    <w:uiPriority w:val="0"/>
  </w:style>
  <w:style w:type="paragraph" w:customStyle="1" w:styleId="365">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6">
    <w:name w:val="一级无"/>
    <w:basedOn w:val="223"/>
    <w:qFormat/>
    <w:uiPriority w:val="0"/>
    <w:pPr>
      <w:spacing w:beforeLines="0" w:afterLines="0"/>
    </w:pPr>
    <w:rPr>
      <w:rFonts w:ascii="宋体" w:eastAsia="宋体"/>
    </w:rPr>
  </w:style>
  <w:style w:type="paragraph" w:customStyle="1" w:styleId="367">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8">
    <w:name w:val="手动目录"/>
    <w:basedOn w:val="1"/>
    <w:qFormat/>
    <w:uiPriority w:val="0"/>
    <w:pPr>
      <w:numPr>
        <w:ilvl w:val="0"/>
        <w:numId w:val="3"/>
      </w:numPr>
      <w:spacing w:line="360" w:lineRule="auto"/>
    </w:pPr>
    <w:rPr>
      <w:sz w:val="24"/>
    </w:rPr>
  </w:style>
  <w:style w:type="paragraph" w:customStyle="1" w:styleId="369">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0">
    <w:name w:val="默认段落字体 Para Char Char Char Char"/>
    <w:basedOn w:val="1"/>
    <w:qFormat/>
    <w:uiPriority w:val="0"/>
    <w:rPr>
      <w:szCs w:val="20"/>
    </w:rPr>
  </w:style>
  <w:style w:type="paragraph" w:customStyle="1" w:styleId="371">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2">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3">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5">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6">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7">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9">
    <w:name w:val="CM20"/>
    <w:basedOn w:val="248"/>
    <w:next w:val="248"/>
    <w:qFormat/>
    <w:uiPriority w:val="0"/>
    <w:pPr>
      <w:spacing w:after="115"/>
    </w:pPr>
    <w:rPr>
      <w:rFonts w:ascii=".a..DD.." w:eastAsia=".a..DD.."/>
      <w:color w:val="auto"/>
      <w:szCs w:val="24"/>
    </w:rPr>
  </w:style>
  <w:style w:type="paragraph" w:customStyle="1" w:styleId="380">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3">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4">
    <w:name w:val="书目1"/>
    <w:basedOn w:val="1"/>
    <w:next w:val="1"/>
    <w:unhideWhenUsed/>
    <w:qFormat/>
    <w:uiPriority w:val="37"/>
    <w:pPr>
      <w:spacing w:line="360" w:lineRule="auto"/>
      <w:ind w:firstLine="200" w:firstLineChars="200"/>
      <w:jc w:val="left"/>
    </w:pPr>
    <w:rPr>
      <w:sz w:val="24"/>
    </w:rPr>
  </w:style>
  <w:style w:type="paragraph" w:customStyle="1" w:styleId="385">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表文"/>
    <w:basedOn w:val="1"/>
    <w:qFormat/>
    <w:uiPriority w:val="0"/>
    <w:pPr>
      <w:spacing w:line="300" w:lineRule="auto"/>
      <w:jc w:val="center"/>
      <w:textAlignment w:val="baseline"/>
    </w:pPr>
    <w:rPr>
      <w:kern w:val="0"/>
      <w:szCs w:val="20"/>
    </w:rPr>
  </w:style>
  <w:style w:type="paragraph" w:customStyle="1" w:styleId="387">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8">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9">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0">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2">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4">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5">
    <w:name w:val="样式 样式 标题 2 + 段前: 0.5 行 段后: 0.5 行 + 段前: 0.5 行 段后: 0.5 行"/>
    <w:basedOn w:val="396"/>
    <w:qFormat/>
    <w:uiPriority w:val="0"/>
    <w:pPr>
      <w:tabs>
        <w:tab w:val="left" w:pos="1320"/>
      </w:tabs>
      <w:spacing w:beforeLines="0" w:beforeAutospacing="1" w:afterLines="0" w:afterAutospacing="1"/>
      <w:ind w:left="576" w:hanging="576"/>
    </w:pPr>
    <w:rPr>
      <w:bCs w:val="0"/>
    </w:rPr>
  </w:style>
  <w:style w:type="paragraph" w:customStyle="1" w:styleId="396">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97">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8">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9">
    <w:name w:val="标准"/>
    <w:basedOn w:val="1"/>
    <w:qFormat/>
    <w:uiPriority w:val="0"/>
    <w:pPr>
      <w:autoSpaceDE w:val="0"/>
      <w:autoSpaceDN w:val="0"/>
      <w:adjustRightInd w:val="0"/>
      <w:ind w:firstLine="600"/>
      <w:textAlignment w:val="baseline"/>
    </w:pPr>
    <w:rPr>
      <w:kern w:val="0"/>
      <w:sz w:val="28"/>
      <w:szCs w:val="20"/>
    </w:rPr>
  </w:style>
  <w:style w:type="paragraph" w:customStyle="1" w:styleId="400">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1">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2">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3">
    <w:name w:val="表项"/>
    <w:next w:val="404"/>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5">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8">
    <w:name w:val="Char2"/>
    <w:basedOn w:val="1"/>
    <w:qFormat/>
    <w:uiPriority w:val="0"/>
    <w:pPr>
      <w:jc w:val="center"/>
    </w:pPr>
    <w:rPr>
      <w:rFonts w:ascii="宋体" w:hAnsi="宋体"/>
      <w:b/>
      <w:szCs w:val="21"/>
    </w:rPr>
  </w:style>
  <w:style w:type="paragraph" w:customStyle="1" w:styleId="409">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0">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3">
    <w:name w:val="样式 样式 标题 2 + 段前: 0.5 行 段后: 0.5 行2 + 段前: 0.5 行 段后: 0.5 行"/>
    <w:basedOn w:val="321"/>
    <w:qFormat/>
    <w:uiPriority w:val="0"/>
    <w:rPr>
      <w:b w:val="0"/>
    </w:rPr>
  </w:style>
  <w:style w:type="paragraph" w:customStyle="1" w:styleId="414">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5">
    <w:name w:val="Figure Description"/>
    <w:basedOn w:val="1"/>
    <w:next w:val="197"/>
    <w:qFormat/>
    <w:uiPriority w:val="0"/>
    <w:pPr>
      <w:keepNext/>
      <w:keepLines/>
      <w:spacing w:afterLines="100" w:line="360" w:lineRule="auto"/>
      <w:jc w:val="center"/>
    </w:pPr>
    <w:rPr>
      <w:rFonts w:ascii="Tahoma" w:hAnsi="Tahoma"/>
      <w:sz w:val="24"/>
    </w:rPr>
  </w:style>
  <w:style w:type="paragraph" w:customStyle="1" w:styleId="416">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7">
    <w:name w:val="pa-13"/>
    <w:basedOn w:val="1"/>
    <w:qFormat/>
    <w:uiPriority w:val="0"/>
    <w:pPr>
      <w:widowControl/>
      <w:spacing w:line="240" w:lineRule="atLeast"/>
    </w:pPr>
    <w:rPr>
      <w:rFonts w:ascii="宋体" w:hAnsi="宋体" w:cs="宋体"/>
      <w:kern w:val="0"/>
      <w:sz w:val="24"/>
    </w:rPr>
  </w:style>
  <w:style w:type="paragraph" w:customStyle="1" w:styleId="418">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9">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0">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1">
    <w:name w:val="样式 小四 首行缩进:  2 字符"/>
    <w:basedOn w:val="1"/>
    <w:qFormat/>
    <w:uiPriority w:val="0"/>
    <w:pPr>
      <w:spacing w:line="300" w:lineRule="auto"/>
      <w:ind w:firstLine="480" w:firstLineChars="200"/>
    </w:pPr>
    <w:rPr>
      <w:sz w:val="24"/>
      <w:szCs w:val="20"/>
    </w:rPr>
  </w:style>
  <w:style w:type="paragraph" w:customStyle="1" w:styleId="422">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3">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4">
    <w:name w:val="列出段落2"/>
    <w:basedOn w:val="1"/>
    <w:qFormat/>
    <w:uiPriority w:val="0"/>
    <w:pPr>
      <w:ind w:firstLine="420" w:firstLineChars="200"/>
    </w:pPr>
  </w:style>
  <w:style w:type="paragraph" w:customStyle="1" w:styleId="425">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6">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9">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0">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1">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2">
    <w:name w:val="Char Char Char"/>
    <w:basedOn w:val="1"/>
    <w:qFormat/>
    <w:uiPriority w:val="0"/>
    <w:rPr>
      <w:rFonts w:ascii="Tahoma" w:hAnsi="Tahoma" w:cs="Angsana New"/>
      <w:sz w:val="24"/>
      <w:szCs w:val="20"/>
    </w:rPr>
  </w:style>
  <w:style w:type="paragraph" w:customStyle="1" w:styleId="433">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4">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5">
    <w:name w:val="样式 标题 1章H11. heading 1标准章Alt+1h1Huvudrubrikh11h12h13h..."/>
    <w:basedOn w:val="1"/>
    <w:qFormat/>
    <w:uiPriority w:val="0"/>
  </w:style>
  <w:style w:type="paragraph" w:customStyle="1" w:styleId="436">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7">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8">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9">
    <w:name w:val="正文居中小5"/>
    <w:basedOn w:val="1"/>
    <w:qFormat/>
    <w:uiPriority w:val="0"/>
    <w:pPr>
      <w:spacing w:line="360" w:lineRule="auto"/>
      <w:jc w:val="center"/>
    </w:pPr>
    <w:rPr>
      <w:rFonts w:ascii="Arial" w:hAnsi="Arial"/>
      <w:sz w:val="18"/>
    </w:rPr>
  </w:style>
  <w:style w:type="paragraph" w:customStyle="1" w:styleId="440">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1">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2">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3">
    <w:name w:val="二级大纲"/>
    <w:next w:val="101"/>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4">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6">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7">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8">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9">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0">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2">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3">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4">
    <w:name w:val="样式 样式 标题 + 段前: 0.5 行 段后: 0.5 行 + 段前: 0.5 行 段后: 0.5 行"/>
    <w:basedOn w:val="210"/>
    <w:qFormat/>
    <w:uiPriority w:val="0"/>
    <w:pPr>
      <w:spacing w:beforeLines="50" w:afterLines="50" w:line="360" w:lineRule="auto"/>
    </w:pPr>
    <w:rPr>
      <w:rFonts w:eastAsia="黑体" w:cs="宋体"/>
      <w:sz w:val="72"/>
      <w:szCs w:val="20"/>
      <w:u w:val="double"/>
    </w:rPr>
  </w:style>
  <w:style w:type="paragraph" w:customStyle="1" w:styleId="455">
    <w:name w:val="正文居中"/>
    <w:basedOn w:val="1"/>
    <w:next w:val="36"/>
    <w:qFormat/>
    <w:uiPriority w:val="0"/>
    <w:pPr>
      <w:adjustRightInd w:val="0"/>
      <w:snapToGrid w:val="0"/>
      <w:ind w:firstLine="480" w:firstLineChars="200"/>
    </w:pPr>
    <w:rPr>
      <w:rFonts w:ascii="宋体" w:hAnsi="宋体"/>
      <w:sz w:val="24"/>
    </w:rPr>
  </w:style>
  <w:style w:type="paragraph" w:customStyle="1" w:styleId="456">
    <w:name w:val="文档控制号等"/>
    <w:basedOn w:val="1"/>
    <w:qFormat/>
    <w:uiPriority w:val="0"/>
    <w:pPr>
      <w:spacing w:line="360" w:lineRule="auto"/>
      <w:jc w:val="left"/>
    </w:pPr>
  </w:style>
  <w:style w:type="paragraph" w:customStyle="1" w:styleId="457">
    <w:name w:val="小四 段落 宋体 Char Char"/>
    <w:basedOn w:val="458"/>
    <w:qFormat/>
    <w:uiPriority w:val="0"/>
    <w:pPr>
      <w:tabs>
        <w:tab w:val="left" w:pos="360"/>
        <w:tab w:val="left" w:pos="840"/>
      </w:tabs>
    </w:pPr>
  </w:style>
  <w:style w:type="paragraph" w:customStyle="1" w:styleId="458">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9">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0">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1">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2">
    <w:name w:val="表格内容五号(V1)"/>
    <w:basedOn w:val="1"/>
    <w:qFormat/>
    <w:uiPriority w:val="0"/>
    <w:pPr>
      <w:jc w:val="center"/>
    </w:pPr>
    <w:rPr>
      <w:rFonts w:cs="Arial Unicode MS"/>
      <w:kern w:val="0"/>
      <w:szCs w:val="21"/>
    </w:rPr>
  </w:style>
  <w:style w:type="paragraph" w:customStyle="1" w:styleId="463">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4">
    <w:name w:val="10"/>
    <w:basedOn w:val="1"/>
    <w:qFormat/>
    <w:uiPriority w:val="0"/>
    <w:pPr>
      <w:spacing w:line="360" w:lineRule="auto"/>
      <w:ind w:firstLine="454"/>
    </w:pPr>
    <w:rPr>
      <w:rFonts w:ascii="Tahoma" w:hAnsi="Tahoma"/>
      <w:sz w:val="24"/>
      <w:szCs w:val="20"/>
    </w:rPr>
  </w:style>
  <w:style w:type="paragraph" w:customStyle="1" w:styleId="465">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6">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7">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8">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9">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0">
    <w:name w:val="样式 日期 + 行距: 1.5 倍行距"/>
    <w:basedOn w:val="35"/>
    <w:qFormat/>
    <w:uiPriority w:val="0"/>
    <w:pPr>
      <w:widowControl/>
      <w:spacing w:line="360" w:lineRule="auto"/>
      <w:ind w:left="0" w:leftChars="0" w:firstLine="540"/>
    </w:pPr>
    <w:rPr>
      <w:rFonts w:ascii="宋体" w:eastAsia="宋体" w:cs="宋体"/>
      <w:color w:val="auto"/>
      <w:sz w:val="24"/>
      <w:szCs w:val="20"/>
    </w:rPr>
  </w:style>
  <w:style w:type="paragraph" w:customStyle="1" w:styleId="471">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2">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4">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5">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6">
    <w:name w:val="三级无"/>
    <w:basedOn w:val="268"/>
    <w:qFormat/>
    <w:uiPriority w:val="0"/>
    <w:pPr>
      <w:spacing w:beforeLines="0" w:afterLines="0"/>
    </w:pPr>
    <w:rPr>
      <w:rFonts w:ascii="宋体" w:eastAsia="宋体"/>
    </w:rPr>
  </w:style>
  <w:style w:type="paragraph" w:customStyle="1" w:styleId="47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8">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9">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0">
    <w:name w:val="Figure"/>
    <w:basedOn w:val="1"/>
    <w:next w:val="415"/>
    <w:qFormat/>
    <w:uiPriority w:val="0"/>
    <w:pPr>
      <w:keepNext/>
      <w:ind w:left="1701"/>
    </w:pPr>
  </w:style>
  <w:style w:type="paragraph" w:customStyle="1" w:styleId="481">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2">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3">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4">
    <w:name w:val="正文悬挂缩进4"/>
    <w:basedOn w:val="1"/>
    <w:qFormat/>
    <w:uiPriority w:val="0"/>
    <w:pPr>
      <w:spacing w:line="360" w:lineRule="auto"/>
      <w:ind w:left="839"/>
    </w:pPr>
  </w:style>
  <w:style w:type="paragraph" w:customStyle="1" w:styleId="485">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6">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7">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8">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9">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0">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1">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2">
    <w:name w:val="项目编号1级"/>
    <w:basedOn w:val="493"/>
    <w:qFormat/>
    <w:uiPriority w:val="0"/>
    <w:pPr>
      <w:tabs>
        <w:tab w:val="left" w:pos="840"/>
      </w:tabs>
      <w:ind w:left="840" w:hanging="420" w:firstLineChars="0"/>
    </w:pPr>
  </w:style>
  <w:style w:type="paragraph" w:customStyle="1" w:styleId="493">
    <w:name w:val="正文缩进2"/>
    <w:basedOn w:val="1"/>
    <w:qFormat/>
    <w:uiPriority w:val="0"/>
    <w:pPr>
      <w:spacing w:line="360" w:lineRule="auto"/>
      <w:ind w:firstLine="200" w:firstLineChars="200"/>
    </w:pPr>
  </w:style>
  <w:style w:type="paragraph" w:customStyle="1" w:styleId="49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7">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8">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499">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0">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1">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2">
    <w:name w:val="列出段落1"/>
    <w:basedOn w:val="1"/>
    <w:qFormat/>
    <w:uiPriority w:val="34"/>
    <w:pPr>
      <w:ind w:firstLine="420" w:firstLineChars="200"/>
    </w:pPr>
    <w:rPr>
      <w:szCs w:val="20"/>
    </w:rPr>
  </w:style>
  <w:style w:type="paragraph" w:customStyle="1" w:styleId="503">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5">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7">
    <w:name w:val="一级"/>
    <w:basedOn w:val="101"/>
    <w:next w:val="101"/>
    <w:qFormat/>
    <w:uiPriority w:val="0"/>
    <w:pPr>
      <w:tabs>
        <w:tab w:val="left" w:pos="360"/>
        <w:tab w:val="left" w:pos="780"/>
      </w:tabs>
      <w:ind w:left="780" w:hanging="360" w:firstLineChars="0"/>
      <w:jc w:val="center"/>
      <w:outlineLvl w:val="0"/>
    </w:pPr>
    <w:rPr>
      <w:b/>
      <w:sz w:val="44"/>
    </w:rPr>
  </w:style>
  <w:style w:type="paragraph" w:customStyle="1" w:styleId="508">
    <w:name w:val="警告"/>
    <w:basedOn w:val="1"/>
    <w:next w:val="197"/>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9">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0">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1">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2">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3">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5">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6">
    <w:name w:val="正文(单倍行距)"/>
    <w:basedOn w:val="1"/>
    <w:qFormat/>
    <w:uiPriority w:val="0"/>
    <w:pPr>
      <w:adjustRightInd w:val="0"/>
      <w:snapToGrid w:val="0"/>
      <w:jc w:val="center"/>
    </w:pPr>
  </w:style>
  <w:style w:type="paragraph" w:customStyle="1" w:styleId="517">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8">
    <w:name w:val="二级无"/>
    <w:basedOn w:val="269"/>
    <w:qFormat/>
    <w:uiPriority w:val="0"/>
    <w:pPr>
      <w:spacing w:beforeLines="0" w:afterLines="0"/>
    </w:pPr>
    <w:rPr>
      <w:rFonts w:ascii="宋体" w:eastAsia="宋体"/>
    </w:rPr>
  </w:style>
  <w:style w:type="paragraph" w:customStyle="1" w:styleId="519">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0">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1">
    <w:name w:val="pa-10"/>
    <w:basedOn w:val="1"/>
    <w:qFormat/>
    <w:uiPriority w:val="0"/>
    <w:pPr>
      <w:widowControl/>
      <w:spacing w:line="280" w:lineRule="atLeast"/>
    </w:pPr>
    <w:rPr>
      <w:rFonts w:ascii="宋体" w:hAnsi="宋体" w:cs="宋体"/>
      <w:kern w:val="0"/>
      <w:sz w:val="24"/>
    </w:rPr>
  </w:style>
  <w:style w:type="paragraph" w:customStyle="1" w:styleId="522">
    <w:name w:val="WPS Plain"/>
    <w:qFormat/>
    <w:uiPriority w:val="0"/>
    <w:rPr>
      <w:rFonts w:ascii="Times New Roman" w:hAnsi="Times New Roman" w:eastAsia="宋体" w:cs="Times New Roman"/>
      <w:lang w:val="en-US" w:eastAsia="zh-CN" w:bidi="ar-SA"/>
    </w:rPr>
  </w:style>
  <w:style w:type="paragraph" w:customStyle="1" w:styleId="523">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4">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5">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6">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8">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9">
    <w:name w:val="表身（中）"/>
    <w:basedOn w:val="404"/>
    <w:qFormat/>
    <w:uiPriority w:val="0"/>
    <w:pPr>
      <w:jc w:val="center"/>
    </w:pPr>
  </w:style>
  <w:style w:type="paragraph" w:customStyle="1" w:styleId="530">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1">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2">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3">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4">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6">
    <w:name w:val="表格正文2"/>
    <w:basedOn w:val="1"/>
    <w:qFormat/>
    <w:uiPriority w:val="0"/>
    <w:pPr>
      <w:adjustRightInd w:val="0"/>
      <w:snapToGrid w:val="0"/>
      <w:spacing w:line="400" w:lineRule="atLeast"/>
      <w:jc w:val="left"/>
    </w:pPr>
    <w:rPr>
      <w:sz w:val="24"/>
      <w:szCs w:val="20"/>
    </w:rPr>
  </w:style>
  <w:style w:type="paragraph" w:customStyle="1" w:styleId="537">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8">
    <w:name w:val="样式 首行缩进:  2 字符2 + 居中"/>
    <w:basedOn w:val="219"/>
    <w:qFormat/>
    <w:uiPriority w:val="0"/>
    <w:pPr>
      <w:adjustRightInd/>
      <w:snapToGrid/>
      <w:ind w:firstLine="0" w:firstLineChars="0"/>
      <w:jc w:val="center"/>
    </w:pPr>
    <w:rPr>
      <w:sz w:val="28"/>
      <w:szCs w:val="20"/>
    </w:rPr>
  </w:style>
  <w:style w:type="paragraph" w:customStyle="1" w:styleId="539">
    <w:name w:val="Absatz2AL"/>
    <w:basedOn w:val="27"/>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2">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3">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6">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7">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8">
    <w:name w:val="def正文"/>
    <w:basedOn w:val="27"/>
    <w:qFormat/>
    <w:uiPriority w:val="0"/>
    <w:pPr>
      <w:widowControl/>
      <w:autoSpaceDE/>
      <w:autoSpaceDN/>
      <w:adjustRightInd/>
      <w:ind w:firstLine="482"/>
      <w:jc w:val="both"/>
    </w:pPr>
    <w:rPr>
      <w:rFonts w:ascii="Times New Roman"/>
      <w:b/>
      <w:sz w:val="24"/>
      <w:szCs w:val="24"/>
    </w:rPr>
  </w:style>
  <w:style w:type="paragraph" w:customStyle="1" w:styleId="549">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1">
    <w:name w:val="三级大纲"/>
    <w:next w:val="101"/>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2">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3">
    <w:name w:val="1"/>
    <w:basedOn w:val="40"/>
    <w:qFormat/>
    <w:uiPriority w:val="0"/>
    <w:pPr>
      <w:pBdr>
        <w:bottom w:val="none" w:color="auto" w:sz="0" w:space="0"/>
      </w:pBdr>
    </w:pPr>
    <w:rPr>
      <w:rFonts w:ascii="Calibri" w:hAnsi="Calibri" w:eastAsia="华文新魏"/>
      <w:kern w:val="0"/>
      <w:sz w:val="21"/>
      <w:szCs w:val="20"/>
    </w:rPr>
  </w:style>
  <w:style w:type="paragraph" w:customStyle="1" w:styleId="554">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6">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7">
    <w:name w:val="Item Step in Table"/>
    <w:basedOn w:val="1"/>
    <w:qFormat/>
    <w:uiPriority w:val="0"/>
    <w:pPr>
      <w:tabs>
        <w:tab w:val="left" w:pos="420"/>
      </w:tabs>
      <w:ind w:left="420" w:hanging="420"/>
      <w:jc w:val="left"/>
    </w:pPr>
    <w:rPr>
      <w:rFonts w:ascii="Tahoma" w:hAnsi="Tahoma"/>
      <w:sz w:val="28"/>
      <w:szCs w:val="21"/>
    </w:rPr>
  </w:style>
  <w:style w:type="paragraph" w:customStyle="1" w:styleId="558">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9">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1">
    <w:name w:val="正文悬挂缩进6"/>
    <w:basedOn w:val="484"/>
    <w:qFormat/>
    <w:uiPriority w:val="0"/>
    <w:pPr>
      <w:tabs>
        <w:tab w:val="left" w:pos="1259"/>
      </w:tabs>
      <w:ind w:left="600" w:leftChars="600"/>
    </w:pPr>
  </w:style>
  <w:style w:type="paragraph" w:customStyle="1" w:styleId="56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4">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5">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6">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7">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8">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9">
    <w:name w:val="表3"/>
    <w:basedOn w:val="215"/>
    <w:qFormat/>
    <w:uiPriority w:val="0"/>
    <w:pPr>
      <w:numPr>
        <w:numId w:val="0"/>
      </w:numPr>
      <w:ind w:left="902" w:hanging="420"/>
    </w:pPr>
  </w:style>
  <w:style w:type="paragraph" w:customStyle="1" w:styleId="57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1">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2">
    <w:name w:val="Char21"/>
    <w:basedOn w:val="1"/>
    <w:qFormat/>
    <w:uiPriority w:val="0"/>
  </w:style>
  <w:style w:type="paragraph" w:customStyle="1" w:styleId="573">
    <w:name w:val="正文1"/>
    <w:basedOn w:val="1"/>
    <w:qFormat/>
    <w:uiPriority w:val="0"/>
    <w:pPr>
      <w:spacing w:line="360" w:lineRule="auto"/>
      <w:ind w:firstLine="200" w:firstLineChars="200"/>
    </w:pPr>
  </w:style>
  <w:style w:type="paragraph" w:customStyle="1" w:styleId="574">
    <w:name w:val="Char1"/>
    <w:basedOn w:val="1"/>
    <w:qFormat/>
    <w:uiPriority w:val="0"/>
  </w:style>
  <w:style w:type="paragraph" w:customStyle="1" w:styleId="575">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6">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8">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79">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0">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1">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2">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3">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4">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6">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7">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8">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0">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1">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4">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5">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6">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7">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9">
    <w:name w:val="Char"/>
    <w:basedOn w:val="1"/>
    <w:qFormat/>
    <w:uiPriority w:val="0"/>
    <w:rPr>
      <w:rFonts w:ascii="Tahoma" w:hAnsi="Tahoma" w:cs="仿宋_GB2312"/>
      <w:sz w:val="24"/>
      <w:szCs w:val="28"/>
    </w:rPr>
  </w:style>
  <w:style w:type="paragraph" w:customStyle="1" w:styleId="60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1">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2">
    <w:name w:val="我的正文格式"/>
    <w:basedOn w:val="1"/>
    <w:next w:val="1"/>
    <w:qFormat/>
    <w:uiPriority w:val="0"/>
    <w:pPr>
      <w:snapToGrid w:val="0"/>
      <w:spacing w:line="288" w:lineRule="auto"/>
      <w:ind w:left="540" w:hanging="540" w:hangingChars="225"/>
    </w:pPr>
    <w:rPr>
      <w:sz w:val="24"/>
    </w:rPr>
  </w:style>
  <w:style w:type="paragraph" w:customStyle="1" w:styleId="603">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4">
    <w:name w:val="_Style 56"/>
    <w:basedOn w:val="1"/>
    <w:qFormat/>
    <w:uiPriority w:val="0"/>
    <w:pPr>
      <w:ind w:firstLine="420" w:firstLineChars="200"/>
    </w:pPr>
    <w:rPr>
      <w:rFonts w:ascii="Calibri" w:hAnsi="Calibri"/>
      <w:szCs w:val="22"/>
    </w:rPr>
  </w:style>
  <w:style w:type="paragraph" w:styleId="605">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606">
    <w:name w:val="Char1 Char Char Char"/>
    <w:basedOn w:val="1"/>
    <w:qFormat/>
    <w:uiPriority w:val="0"/>
    <w:rPr>
      <w:rFonts w:ascii="Tahoma" w:hAnsi="Tahoma"/>
      <w:sz w:val="24"/>
      <w:szCs w:val="20"/>
    </w:rPr>
  </w:style>
  <w:style w:type="paragraph" w:customStyle="1" w:styleId="607">
    <w:name w:val="Char Char Char Char1"/>
    <w:basedOn w:val="1"/>
    <w:qFormat/>
    <w:uiPriority w:val="0"/>
    <w:rPr>
      <w:rFonts w:ascii="仿宋_GB2312" w:eastAsia="仿宋_GB2312"/>
      <w:b/>
      <w:sz w:val="32"/>
      <w:szCs w:val="32"/>
    </w:rPr>
  </w:style>
  <w:style w:type="paragraph" w:customStyle="1" w:styleId="60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9">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0">
    <w:name w:val="标准小四"/>
    <w:basedOn w:val="1"/>
    <w:qFormat/>
    <w:uiPriority w:val="0"/>
    <w:pPr>
      <w:spacing w:line="360" w:lineRule="auto"/>
      <w:ind w:firstLine="480" w:firstLineChars="200"/>
    </w:pPr>
    <w:rPr>
      <w:rFonts w:ascii="Arial" w:hAnsi="Arial"/>
      <w:sz w:val="24"/>
      <w:szCs w:val="21"/>
    </w:rPr>
  </w:style>
  <w:style w:type="paragraph" w:customStyle="1" w:styleId="611">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2">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3">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4">
    <w:name w:val="书目11"/>
    <w:basedOn w:val="1"/>
    <w:next w:val="1"/>
    <w:unhideWhenUsed/>
    <w:qFormat/>
    <w:uiPriority w:val="37"/>
    <w:pPr>
      <w:spacing w:line="360" w:lineRule="auto"/>
      <w:ind w:firstLine="200" w:firstLineChars="200"/>
      <w:jc w:val="left"/>
    </w:pPr>
    <w:rPr>
      <w:sz w:val="24"/>
    </w:rPr>
  </w:style>
  <w:style w:type="paragraph" w:customStyle="1" w:styleId="61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6">
    <w:name w:val="小标"/>
    <w:basedOn w:val="1"/>
    <w:qFormat/>
    <w:uiPriority w:val="0"/>
    <w:rPr>
      <w:rFonts w:hint="eastAsia" w:ascii="黑体" w:eastAsia="黑体"/>
      <w:spacing w:val="20"/>
      <w:szCs w:val="20"/>
    </w:rPr>
  </w:style>
  <w:style w:type="paragraph" w:customStyle="1" w:styleId="617">
    <w:name w:val="表格标题3"/>
    <w:basedOn w:val="414"/>
    <w:qFormat/>
    <w:uiPriority w:val="0"/>
    <w:pPr>
      <w:tabs>
        <w:tab w:val="left" w:pos="570"/>
        <w:tab w:val="left" w:pos="720"/>
        <w:tab w:val="clear" w:pos="1620"/>
      </w:tabs>
      <w:ind w:left="570" w:hanging="570"/>
    </w:pPr>
  </w:style>
  <w:style w:type="paragraph" w:customStyle="1" w:styleId="618">
    <w:name w:val="五级大纲"/>
    <w:next w:val="101"/>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19">
    <w:name w:val="默认段落字体 Para Char Char Char Char Char Char Char"/>
    <w:basedOn w:val="1"/>
    <w:qFormat/>
    <w:uiPriority w:val="0"/>
    <w:pPr>
      <w:jc w:val="left"/>
    </w:pPr>
    <w:rPr>
      <w:rFonts w:ascii="Tahoma" w:hAnsi="Tahoma"/>
      <w:sz w:val="24"/>
      <w:szCs w:val="20"/>
    </w:rPr>
  </w:style>
  <w:style w:type="paragraph" w:customStyle="1" w:styleId="620">
    <w:name w:val="默认段落字体 Para Char Char Char Char Char Char Char Char Char Char Char Char Char Char"/>
    <w:basedOn w:val="21"/>
    <w:qFormat/>
    <w:uiPriority w:val="0"/>
    <w:rPr>
      <w:rFonts w:ascii="Tahoma" w:hAnsi="Tahoma"/>
      <w:sz w:val="24"/>
    </w:rPr>
  </w:style>
  <w:style w:type="paragraph" w:customStyle="1" w:styleId="6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2">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4">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5">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6">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8">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9">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0">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1">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2">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3">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5">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6">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7">
    <w:name w:val="版权所有"/>
    <w:basedOn w:val="1"/>
    <w:qFormat/>
    <w:uiPriority w:val="0"/>
    <w:pPr>
      <w:spacing w:beforeLines="100" w:afterLines="100" w:line="360" w:lineRule="auto"/>
    </w:pPr>
    <w:rPr>
      <w:rFonts w:ascii="Arial" w:hAnsi="Arial" w:eastAsia="黑体"/>
      <w:b/>
      <w:sz w:val="30"/>
      <w:u w:val="single"/>
    </w:rPr>
  </w:style>
  <w:style w:type="paragraph" w:customStyle="1" w:styleId="638">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9">
    <w:name w:val="项目编号2级"/>
    <w:basedOn w:val="492"/>
    <w:qFormat/>
    <w:uiPriority w:val="0"/>
  </w:style>
  <w:style w:type="paragraph" w:customStyle="1" w:styleId="640">
    <w:name w:val="四级无"/>
    <w:basedOn w:val="267"/>
    <w:qFormat/>
    <w:uiPriority w:val="0"/>
    <w:pPr>
      <w:tabs>
        <w:tab w:val="left" w:pos="360"/>
      </w:tabs>
      <w:spacing w:beforeLines="0" w:afterLines="0"/>
    </w:pPr>
    <w:rPr>
      <w:rFonts w:ascii="宋体" w:eastAsia="宋体"/>
    </w:rPr>
  </w:style>
  <w:style w:type="paragraph" w:customStyle="1" w:styleId="641">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2">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3">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4">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5">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6">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7">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8">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49">
    <w:name w:val="Default Text"/>
    <w:link w:val="70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0">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1">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2">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3">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4">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5">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6">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7">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8">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9">
    <w:name w:val="表头"/>
    <w:basedOn w:val="1"/>
    <w:qFormat/>
    <w:uiPriority w:val="0"/>
    <w:pPr>
      <w:autoSpaceDE w:val="0"/>
      <w:autoSpaceDN w:val="0"/>
      <w:adjustRightInd w:val="0"/>
      <w:jc w:val="center"/>
    </w:pPr>
    <w:rPr>
      <w:rFonts w:ascii="Arial" w:hAnsi="Arial"/>
      <w:kern w:val="0"/>
      <w:sz w:val="18"/>
    </w:rPr>
  </w:style>
  <w:style w:type="paragraph" w:customStyle="1" w:styleId="6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1">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2">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3">
    <w:name w:val="Body Text 21"/>
    <w:basedOn w:val="1"/>
    <w:qFormat/>
    <w:uiPriority w:val="0"/>
    <w:pPr>
      <w:adjustRightInd w:val="0"/>
      <w:spacing w:line="240" w:lineRule="exact"/>
      <w:textAlignment w:val="baseline"/>
    </w:pPr>
    <w:rPr>
      <w:rFonts w:ascii="宋体"/>
      <w:kern w:val="0"/>
      <w:sz w:val="18"/>
      <w:szCs w:val="20"/>
    </w:rPr>
  </w:style>
  <w:style w:type="paragraph" w:customStyle="1" w:styleId="66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6">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7">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8">
    <w:name w:val="样式 样式 标题 5 + 段前: 0.5 行 段后: 0.5 行 + 段前: 0.5 行 段后: 0.5 行"/>
    <w:basedOn w:val="594"/>
    <w:qFormat/>
    <w:uiPriority w:val="0"/>
    <w:rPr>
      <w:bCs w:val="0"/>
    </w:rPr>
  </w:style>
  <w:style w:type="paragraph" w:customStyle="1" w:styleId="6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0">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2">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3">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4">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5">
    <w:name w:val="标书正文"/>
    <w:basedOn w:val="1"/>
    <w:qFormat/>
    <w:uiPriority w:val="0"/>
    <w:pPr>
      <w:spacing w:line="360" w:lineRule="auto"/>
      <w:ind w:firstLine="497" w:firstLineChars="207"/>
    </w:pPr>
    <w:rPr>
      <w:sz w:val="24"/>
      <w:szCs w:val="20"/>
    </w:rPr>
  </w:style>
  <w:style w:type="paragraph" w:customStyle="1" w:styleId="676">
    <w:name w:val="标题3"/>
    <w:basedOn w:val="1"/>
    <w:qFormat/>
    <w:uiPriority w:val="0"/>
    <w:pPr>
      <w:spacing w:beforeLines="50" w:afterLines="50" w:line="300" w:lineRule="exact"/>
    </w:pPr>
    <w:rPr>
      <w:b/>
      <w:bCs/>
    </w:rPr>
  </w:style>
  <w:style w:type="paragraph" w:customStyle="1" w:styleId="677">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0">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1">
    <w:name w:val="表格(五号)"/>
    <w:basedOn w:val="1"/>
    <w:qFormat/>
    <w:uiPriority w:val="0"/>
    <w:pPr>
      <w:adjustRightInd w:val="0"/>
      <w:snapToGrid w:val="0"/>
      <w:spacing w:before="60" w:after="60"/>
      <w:ind w:left="11"/>
      <w:jc w:val="center"/>
    </w:pPr>
    <w:rPr>
      <w:kern w:val="0"/>
      <w:szCs w:val="20"/>
    </w:rPr>
  </w:style>
  <w:style w:type="paragraph" w:customStyle="1" w:styleId="682">
    <w:name w:val="表格标题1"/>
    <w:basedOn w:val="593"/>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3">
    <w:name w:val="默认段落字体 Para Char"/>
    <w:basedOn w:val="1"/>
    <w:qFormat/>
    <w:uiPriority w:val="0"/>
  </w:style>
  <w:style w:type="paragraph" w:customStyle="1" w:styleId="684">
    <w:name w:val="正"/>
    <w:basedOn w:val="1"/>
    <w:qFormat/>
    <w:uiPriority w:val="0"/>
    <w:pPr>
      <w:ind w:firstLine="525"/>
    </w:pPr>
    <w:rPr>
      <w:spacing w:val="20"/>
      <w:szCs w:val="20"/>
    </w:rPr>
  </w:style>
  <w:style w:type="paragraph" w:customStyle="1" w:styleId="6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6">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8">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9">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0">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1">
    <w:name w:val="无间隔 Char"/>
    <w:basedOn w:val="61"/>
    <w:link w:val="692"/>
    <w:qFormat/>
    <w:locked/>
    <w:uiPriority w:val="0"/>
    <w:rPr>
      <w:rFonts w:ascii="Calibri" w:hAnsi="Calibri" w:eastAsia="宋体" w:cs="Times New Roman"/>
    </w:rPr>
  </w:style>
  <w:style w:type="paragraph" w:styleId="692">
    <w:name w:val="No Spacing"/>
    <w:basedOn w:val="1"/>
    <w:link w:val="691"/>
    <w:qFormat/>
    <w:uiPriority w:val="0"/>
    <w:rPr>
      <w:rFonts w:ascii="Calibri" w:hAnsi="Calibri"/>
      <w:szCs w:val="22"/>
    </w:rPr>
  </w:style>
  <w:style w:type="character" w:customStyle="1" w:styleId="693">
    <w:name w:val="short_text"/>
    <w:basedOn w:val="61"/>
    <w:qFormat/>
    <w:uiPriority w:val="0"/>
  </w:style>
  <w:style w:type="character" w:customStyle="1" w:styleId="694">
    <w:name w:val="未处理的提及1"/>
    <w:basedOn w:val="61"/>
    <w:semiHidden/>
    <w:unhideWhenUsed/>
    <w:qFormat/>
    <w:uiPriority w:val="99"/>
    <w:rPr>
      <w:color w:val="605E5C"/>
      <w:shd w:val="clear" w:color="auto" w:fill="E1DFDD"/>
    </w:rPr>
  </w:style>
  <w:style w:type="paragraph" w:customStyle="1" w:styleId="695">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6">
    <w:name w:val="未处理的提及2"/>
    <w:basedOn w:val="61"/>
    <w:semiHidden/>
    <w:unhideWhenUsed/>
    <w:qFormat/>
    <w:uiPriority w:val="99"/>
    <w:rPr>
      <w:color w:val="605E5C"/>
      <w:shd w:val="clear" w:color="auto" w:fill="E1DFDD"/>
    </w:rPr>
  </w:style>
  <w:style w:type="paragraph" w:customStyle="1" w:styleId="69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8">
    <w:name w:val="Normal_2"/>
    <w:qFormat/>
    <w:uiPriority w:val="0"/>
    <w:rPr>
      <w:rFonts w:ascii="Calibri" w:hAnsi="Calibri" w:eastAsia="宋体" w:cs="Times New Roman"/>
      <w:sz w:val="24"/>
      <w:szCs w:val="24"/>
      <w:lang w:val="en-US" w:eastAsia="zh-CN" w:bidi="ar-SA"/>
    </w:rPr>
  </w:style>
  <w:style w:type="character" w:customStyle="1" w:styleId="699">
    <w:name w:val="7）页眉页脚"/>
    <w:qFormat/>
    <w:uiPriority w:val="0"/>
    <w:rPr>
      <w:rFonts w:ascii="仿宋_GB2312" w:eastAsia="仿宋_GB2312"/>
      <w:b/>
      <w:i/>
      <w:sz w:val="18"/>
      <w:vertAlign w:val="baseline"/>
    </w:rPr>
  </w:style>
  <w:style w:type="character" w:customStyle="1" w:styleId="700">
    <w:name w:val="Default Text Char"/>
    <w:link w:val="649"/>
    <w:qFormat/>
    <w:uiPriority w:val="0"/>
    <w:rPr>
      <w:rFonts w:ascii="Times New Roman" w:hAnsi="Times New Roman"/>
      <w:color w:val="000000"/>
      <w:sz w:val="24"/>
      <w:szCs w:val="24"/>
    </w:rPr>
  </w:style>
  <w:style w:type="paragraph" w:customStyle="1" w:styleId="701">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2">
    <w:name w:val="Normal_5"/>
    <w:qFormat/>
    <w:uiPriority w:val="0"/>
    <w:rPr>
      <w:rFonts w:ascii="黑体" w:hAnsi="黑体" w:eastAsia="黑体" w:cs="Times New Roman"/>
      <w:b/>
      <w:sz w:val="32"/>
      <w:szCs w:val="24"/>
      <w:lang w:val="en-US" w:eastAsia="zh-CN" w:bidi="ar-SA"/>
    </w:rPr>
  </w:style>
  <w:style w:type="paragraph" w:customStyle="1" w:styleId="70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正文文本缩进_3"/>
    <w:basedOn w:val="703"/>
    <w:link w:val="705"/>
    <w:qFormat/>
    <w:uiPriority w:val="0"/>
    <w:pPr>
      <w:spacing w:line="500" w:lineRule="exact"/>
      <w:ind w:left="1588" w:leftChars="832" w:firstLine="433" w:firstLineChars="196"/>
    </w:pPr>
    <w:rPr>
      <w:rFonts w:ascii="Calibri" w:hAnsi="Calibri"/>
      <w:sz w:val="24"/>
    </w:rPr>
  </w:style>
  <w:style w:type="character" w:customStyle="1" w:styleId="705">
    <w:name w:val="正文文本缩进 Char_3"/>
    <w:link w:val="704"/>
    <w:qFormat/>
    <w:uiPriority w:val="0"/>
    <w:rPr>
      <w:kern w:val="2"/>
      <w:sz w:val="24"/>
      <w:szCs w:val="24"/>
      <w:lang w:val="en-US" w:eastAsia="zh-CN"/>
    </w:rPr>
  </w:style>
  <w:style w:type="paragraph" w:customStyle="1" w:styleId="706">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7">
    <w:name w:val="超链接1"/>
    <w:unhideWhenUsed/>
    <w:qFormat/>
    <w:uiPriority w:val="99"/>
    <w:rPr>
      <w:rFonts w:eastAsia="Times New Roman"/>
      <w:color w:val="0000FF"/>
      <w:u w:val="single"/>
    </w:rPr>
  </w:style>
  <w:style w:type="paragraph" w:customStyle="1" w:styleId="708">
    <w:name w:val="正文_0_3"/>
    <w:qFormat/>
    <w:uiPriority w:val="0"/>
    <w:pPr>
      <w:widowControl w:val="0"/>
      <w:jc w:val="both"/>
    </w:pPr>
    <w:rPr>
      <w:rFonts w:ascii="Calibri" w:hAnsi="Calibri" w:eastAsia="宋体" w:cs="Times New Roman"/>
      <w:lang w:val="en-US" w:eastAsia="zh-CN" w:bidi="ar-SA"/>
    </w:rPr>
  </w:style>
  <w:style w:type="paragraph" w:customStyle="1" w:styleId="70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0">
    <w:name w:val="Normal_8_0"/>
    <w:qFormat/>
    <w:uiPriority w:val="0"/>
    <w:rPr>
      <w:rFonts w:ascii="黑体" w:hAnsi="黑体" w:eastAsia="黑体" w:cs="Times New Roman"/>
      <w:b/>
      <w:sz w:val="32"/>
      <w:szCs w:val="24"/>
      <w:lang w:val="en-US" w:eastAsia="zh-CN" w:bidi="ar-SA"/>
    </w:rPr>
  </w:style>
  <w:style w:type="paragraph" w:customStyle="1" w:styleId="711">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12">
    <w:name w:val="Heading 1"/>
    <w:basedOn w:val="1"/>
    <w:qFormat/>
    <w:uiPriority w:val="1"/>
    <w:pPr>
      <w:spacing w:before="38"/>
      <w:ind w:left="1482" w:right="1677"/>
      <w:jc w:val="center"/>
      <w:outlineLvl w:val="1"/>
    </w:pPr>
    <w:rPr>
      <w:rFonts w:ascii="宋体" w:hAnsi="宋体" w:cs="宋体"/>
      <w:b/>
      <w:bCs/>
      <w:sz w:val="36"/>
      <w:szCs w:val="36"/>
    </w:rPr>
  </w:style>
  <w:style w:type="paragraph" w:customStyle="1" w:styleId="713">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14">
    <w:name w:val="正文_0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15">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0">
    <w:name w:val="正文_1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二级标题_0"/>
    <w:basedOn w:val="1"/>
    <w:next w:val="1"/>
    <w:qFormat/>
    <w:uiPriority w:val="0"/>
    <w:pPr>
      <w:tabs>
        <w:tab w:val="left" w:pos="360"/>
      </w:tabs>
      <w:spacing w:line="360" w:lineRule="auto"/>
      <w:outlineLvl w:val="1"/>
    </w:pPr>
    <w:rPr>
      <w:rFonts w:ascii="宋体" w:hAnsi="宋体"/>
      <w:b/>
      <w:sz w:val="24"/>
    </w:rPr>
  </w:style>
  <w:style w:type="character" w:customStyle="1" w:styleId="722">
    <w:name w:val="bookmark-item"/>
    <w:basedOn w:val="61"/>
    <w:qFormat/>
    <w:uiPriority w:val="0"/>
  </w:style>
  <w:style w:type="paragraph" w:customStyle="1" w:styleId="723">
    <w:name w:val="Heading #1|1"/>
    <w:basedOn w:val="1"/>
    <w:qFormat/>
    <w:uiPriority w:val="0"/>
    <w:pPr>
      <w:spacing w:after="240"/>
      <w:jc w:val="center"/>
      <w:outlineLvl w:val="0"/>
    </w:pPr>
    <w:rPr>
      <w:rFonts w:ascii="宋体" w:hAnsi="宋体" w:cs="宋体"/>
      <w:sz w:val="28"/>
      <w:szCs w:val="28"/>
      <w:lang w:val="zh-TW" w:eastAsia="zh-TW" w:bidi="zh-TW"/>
    </w:rPr>
  </w:style>
  <w:style w:type="paragraph" w:customStyle="1" w:styleId="724">
    <w:name w:val="Body text|1"/>
    <w:basedOn w:val="1"/>
    <w:qFormat/>
    <w:uiPriority w:val="0"/>
    <w:pPr>
      <w:spacing w:line="449" w:lineRule="auto"/>
    </w:pPr>
    <w:rPr>
      <w:rFonts w:ascii="宋体" w:hAnsi="宋体" w:cs="宋体"/>
      <w:sz w:val="19"/>
      <w:szCs w:val="19"/>
      <w:lang w:val="zh-TW" w:eastAsia="zh-TW" w:bidi="zh-TW"/>
    </w:rPr>
  </w:style>
  <w:style w:type="paragraph" w:customStyle="1" w:styleId="725">
    <w:name w:val="Table caption|1"/>
    <w:basedOn w:val="1"/>
    <w:qFormat/>
    <w:uiPriority w:val="0"/>
    <w:pPr>
      <w:jc w:val="center"/>
    </w:pPr>
    <w:rPr>
      <w:rFonts w:ascii="宋体" w:hAnsi="宋体" w:cs="宋体"/>
      <w:sz w:val="19"/>
      <w:szCs w:val="19"/>
      <w:lang w:val="zh-TW" w:eastAsia="zh-TW" w:bidi="zh-TW"/>
    </w:rPr>
  </w:style>
  <w:style w:type="paragraph" w:customStyle="1" w:styleId="726">
    <w:name w:val="Other|1"/>
    <w:basedOn w:val="1"/>
    <w:qFormat/>
    <w:uiPriority w:val="0"/>
    <w:pPr>
      <w:spacing w:line="449" w:lineRule="auto"/>
    </w:pPr>
    <w:rPr>
      <w:rFonts w:ascii="宋体" w:hAnsi="宋体" w:cs="宋体"/>
      <w:sz w:val="19"/>
      <w:szCs w:val="19"/>
      <w:lang w:val="zh-TW" w:eastAsia="zh-TW" w:bidi="zh-TW"/>
    </w:rPr>
  </w:style>
  <w:style w:type="paragraph" w:customStyle="1" w:styleId="727">
    <w:name w:val="Header or footer|2"/>
    <w:basedOn w:val="1"/>
    <w:qFormat/>
    <w:uiPriority w:val="0"/>
    <w:rPr>
      <w:sz w:val="20"/>
      <w:szCs w:val="20"/>
      <w:lang w:val="zh-TW" w:eastAsia="zh-TW" w:bidi="zh-TW"/>
    </w:rPr>
  </w:style>
  <w:style w:type="paragraph" w:customStyle="1" w:styleId="728">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7ED39-3B5A-4CBF-98AE-80AA208AB3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26479</Words>
  <Characters>5569</Characters>
  <Lines>46</Lines>
  <Paragraphs>63</Paragraphs>
  <TotalTime>42</TotalTime>
  <ScaleCrop>false</ScaleCrop>
  <LinksUpToDate>false</LinksUpToDate>
  <CharactersWithSpaces>31985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2021-12-26T14:44:00Z</dcterms:created>
  <dc:creator>China</dc:creator>
  <cp:lastModifiedBy>Glitter</cp:lastModifiedBy>
  <cp:lastPrinted>2021-07-26T08:07:00Z</cp:lastPrinted>
  <dcterms:modified xsi:type="dcterms:W3CDTF">2021-12-29T07:44:18Z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A5F801E2CB5F44D1B4B3D6D2DFAF78F1</vt:lpwstr>
  </property>
</Properties>
</file>