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left="0" w:leftChars="0" w:firstLine="0" w:firstLineChars="0"/>
        <w:jc w:val="center"/>
        <w:rPr>
          <w:rFonts w:hint="eastAsia" w:asciiTheme="majorEastAsia" w:hAnsiTheme="majorEastAsia" w:eastAsiaTheme="majorEastAsia" w:cstheme="majorEastAsia"/>
          <w:b/>
          <w:bCs/>
          <w:sz w:val="48"/>
          <w:szCs w:val="48"/>
          <w:highlight w:val="none"/>
          <w:lang w:val="en-US" w:eastAsia="zh-CN"/>
        </w:rPr>
      </w:pPr>
    </w:p>
    <w:p>
      <w:pPr>
        <w:pStyle w:val="21"/>
        <w:ind w:left="0" w:leftChars="0" w:firstLine="0" w:firstLineChars="0"/>
        <w:jc w:val="center"/>
        <w:rPr>
          <w:rFonts w:hint="eastAsia" w:asciiTheme="majorEastAsia" w:hAnsiTheme="majorEastAsia" w:eastAsiaTheme="majorEastAsia" w:cstheme="majorEastAsia"/>
          <w:b/>
          <w:bCs/>
          <w:sz w:val="48"/>
          <w:szCs w:val="48"/>
          <w:highlight w:val="none"/>
          <w:lang w:val="en-US" w:eastAsia="zh-CN"/>
        </w:rPr>
      </w:pPr>
      <w:r>
        <w:rPr>
          <w:rFonts w:hint="eastAsia" w:asciiTheme="majorEastAsia" w:hAnsiTheme="majorEastAsia" w:eastAsiaTheme="majorEastAsia" w:cstheme="majorEastAsia"/>
          <w:b/>
          <w:bCs/>
          <w:sz w:val="48"/>
          <w:szCs w:val="48"/>
          <w:highlight w:val="none"/>
          <w:lang w:val="en-US" w:eastAsia="zh-CN"/>
        </w:rPr>
        <w:t>哈密市自治区级</w:t>
      </w:r>
    </w:p>
    <w:p>
      <w:pPr>
        <w:pStyle w:val="21"/>
        <w:ind w:left="0" w:leftChars="0" w:firstLine="0" w:firstLineChars="0"/>
        <w:jc w:val="center"/>
        <w:rPr>
          <w:rFonts w:hint="eastAsia" w:asciiTheme="majorEastAsia" w:hAnsiTheme="majorEastAsia" w:eastAsiaTheme="majorEastAsia" w:cstheme="majorEastAsia"/>
          <w:b/>
          <w:bCs/>
          <w:sz w:val="56"/>
          <w:szCs w:val="56"/>
          <w:highlight w:val="none"/>
          <w:lang w:val="en-US" w:eastAsia="zh-CN"/>
        </w:rPr>
      </w:pPr>
      <w:r>
        <w:rPr>
          <w:rFonts w:hint="eastAsia" w:asciiTheme="majorEastAsia" w:hAnsiTheme="majorEastAsia" w:eastAsiaTheme="majorEastAsia" w:cstheme="majorEastAsia"/>
          <w:b/>
          <w:bCs/>
          <w:sz w:val="48"/>
          <w:szCs w:val="48"/>
          <w:highlight w:val="none"/>
          <w:lang w:val="en-US" w:eastAsia="zh-CN"/>
        </w:rPr>
        <w:t>市级文物保护单位文物保护标志牌、说明牌  制作安装项目</w:t>
      </w:r>
    </w:p>
    <w:p>
      <w:pPr>
        <w:pStyle w:val="21"/>
        <w:ind w:left="0" w:leftChars="0" w:firstLine="0" w:firstLineChars="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w:t>
      </w:r>
      <w:r>
        <w:rPr>
          <w:rFonts w:hint="eastAsia"/>
          <w:sz w:val="28"/>
          <w:szCs w:val="28"/>
          <w:highlight w:val="none"/>
          <w:lang w:val="en-US" w:eastAsia="zh-CN"/>
        </w:rPr>
        <w:t>CYZC-2022-001</w:t>
      </w:r>
    </w:p>
    <w:p>
      <w:pPr>
        <w:pStyle w:val="9"/>
        <w:rPr>
          <w:rFonts w:hint="eastAsia" w:ascii="宋体" w:hAnsi="宋体" w:eastAsia="宋体" w:cs="宋体"/>
          <w:highlight w:val="none"/>
        </w:rPr>
      </w:pPr>
    </w:p>
    <w:p>
      <w:pPr>
        <w:pStyle w:val="14"/>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2364105" cy="1670050"/>
            <wp:effectExtent l="0" t="0" r="13335" b="6350"/>
            <wp:docPr id="121" name="图片 121" descr="成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成源LOGO"/>
                    <pic:cNvPicPr>
                      <a:picLocks noChangeAspect="1"/>
                    </pic:cNvPicPr>
                  </pic:nvPicPr>
                  <pic:blipFill>
                    <a:blip r:embed="rId11"/>
                    <a:stretch>
                      <a:fillRect/>
                    </a:stretch>
                  </pic:blipFill>
                  <pic:spPr>
                    <a:xfrm>
                      <a:off x="0" y="0"/>
                      <a:ext cx="2364105" cy="1670050"/>
                    </a:xfrm>
                    <a:prstGeom prst="rect">
                      <a:avLst/>
                    </a:prstGeom>
                  </pic:spPr>
                </pic:pic>
              </a:graphicData>
            </a:graphic>
          </wp:inline>
        </w:drawing>
      </w:r>
    </w:p>
    <w:p>
      <w:pPr>
        <w:tabs>
          <w:tab w:val="left" w:pos="3699"/>
        </w:tabs>
        <w:rPr>
          <w:rFonts w:hint="eastAsia" w:ascii="宋体" w:hAnsi="宋体" w:eastAsia="宋体" w:cs="宋体"/>
          <w:highlight w:val="none"/>
          <w:lang w:eastAsia="zh-CN"/>
        </w:rPr>
      </w:pPr>
      <w:r>
        <w:rPr>
          <w:rFonts w:hint="eastAsia" w:ascii="宋体" w:hAnsi="宋体" w:cs="宋体"/>
          <w:highlight w:val="none"/>
          <w:lang w:eastAsia="zh-CN"/>
        </w:rPr>
        <w:tab/>
      </w:r>
    </w:p>
    <w:p>
      <w:pPr>
        <w:pStyle w:val="9"/>
        <w:tabs>
          <w:tab w:val="left" w:pos="3669"/>
        </w:tabs>
        <w:rPr>
          <w:rFonts w:hint="eastAsia" w:ascii="宋体" w:hAnsi="宋体" w:eastAsia="宋体" w:cs="宋体"/>
          <w:highlight w:val="none"/>
          <w:lang w:eastAsia="zh-CN"/>
        </w:rPr>
      </w:pPr>
      <w:r>
        <w:rPr>
          <w:rFonts w:hint="eastAsia" w:ascii="宋体" w:hAnsi="宋体" w:cs="宋体"/>
          <w:highlight w:val="none"/>
          <w:lang w:eastAsia="zh-CN"/>
        </w:rPr>
        <w:tab/>
      </w:r>
    </w:p>
    <w:p>
      <w:pPr>
        <w:pStyle w:val="9"/>
        <w:rPr>
          <w:rFonts w:hint="eastAsia" w:ascii="宋体" w:hAnsi="宋体" w:eastAsia="宋体" w:cs="宋体"/>
          <w:highlight w:val="none"/>
        </w:rPr>
      </w:pPr>
    </w:p>
    <w:p>
      <w:pPr>
        <w:pStyle w:val="9"/>
        <w:ind w:firstLine="360"/>
        <w:rPr>
          <w:rFonts w:hint="eastAsia" w:ascii="宋体" w:hAnsi="宋体" w:eastAsia="宋体" w:cs="宋体"/>
          <w:sz w:val="18"/>
          <w:szCs w:val="18"/>
          <w:highlight w:val="none"/>
        </w:rPr>
      </w:pPr>
    </w:p>
    <w:p>
      <w:pPr>
        <w:pStyle w:val="14"/>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3"/>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9"/>
        <w:spacing w:line="360" w:lineRule="auto"/>
        <w:ind w:left="0" w:leftChars="0" w:firstLine="1285" w:firstLineChars="400"/>
        <w:jc w:val="both"/>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cs="宋体"/>
          <w:b/>
          <w:bCs/>
          <w:sz w:val="32"/>
          <w:szCs w:val="32"/>
          <w:highlight w:val="none"/>
          <w:lang w:eastAsia="zh-CN"/>
        </w:rPr>
        <w:t>哈密市文化体育广播电视和旅游局</w:t>
      </w:r>
    </w:p>
    <w:p>
      <w:pPr>
        <w:spacing w:line="360" w:lineRule="auto"/>
        <w:ind w:leftChars="600"/>
        <w:rPr>
          <w:rFonts w:hint="eastAsia" w:ascii="宋体" w:hAnsi="宋体" w:eastAsia="宋体" w:cs="宋体"/>
          <w:b/>
          <w:bCs/>
          <w:sz w:val="32"/>
          <w:szCs w:val="32"/>
          <w:highlight w:val="none"/>
          <w:u w:val="none"/>
          <w:lang w:eastAsia="zh-CN"/>
        </w:rPr>
      </w:pPr>
    </w:p>
    <w:p>
      <w:pPr>
        <w:spacing w:line="360" w:lineRule="auto"/>
        <w:ind w:leftChars="6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代理机构：新疆</w:t>
      </w:r>
      <w:r>
        <w:rPr>
          <w:rFonts w:hint="eastAsia" w:ascii="宋体" w:hAnsi="宋体" w:cs="宋体"/>
          <w:b/>
          <w:bCs/>
          <w:sz w:val="32"/>
          <w:szCs w:val="32"/>
          <w:highlight w:val="none"/>
          <w:u w:val="none"/>
          <w:lang w:eastAsia="zh-CN"/>
        </w:rPr>
        <w:t>成源项目管理咨询有限公司</w:t>
      </w:r>
      <w:r>
        <w:rPr>
          <w:rFonts w:hint="eastAsia" w:ascii="宋体" w:hAnsi="宋体" w:eastAsia="宋体" w:cs="宋体"/>
          <w:b/>
          <w:bCs/>
          <w:sz w:val="32"/>
          <w:szCs w:val="32"/>
          <w:highlight w:val="none"/>
          <w:u w:val="none"/>
        </w:rPr>
        <w:t xml:space="preserve">  </w:t>
      </w: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b/>
          <w:bCs/>
          <w:sz w:val="32"/>
          <w:szCs w:val="32"/>
          <w:highlight w:val="none"/>
          <w:u w:val="none"/>
          <w:lang w:val="en-US" w:eastAsia="zh-CN"/>
        </w:rPr>
      </w:pP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2</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01</w:t>
      </w:r>
      <w:r>
        <w:rPr>
          <w:rFonts w:hint="eastAsia" w:ascii="宋体" w:hAnsi="宋体" w:eastAsia="宋体" w:cs="宋体"/>
          <w:b/>
          <w:bCs/>
          <w:sz w:val="32"/>
          <w:szCs w:val="32"/>
          <w:highlight w:val="none"/>
          <w:u w:val="none"/>
          <w:lang w:val="en-US" w:eastAsia="zh-CN"/>
        </w:rPr>
        <w:t>月</w:t>
      </w:r>
      <w:bookmarkStart w:id="0" w:name="_Toc179632527"/>
      <w:bookmarkStart w:id="1" w:name="_Toc363119275"/>
    </w:p>
    <w:bookmarkEnd w:id="0"/>
    <w:bookmarkEnd w:id="1"/>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0"/>
        <w:ind w:left="0"/>
        <w:rPr>
          <w:rFonts w:hint="eastAsia" w:ascii="宋体" w:hAnsi="宋体" w:eastAsia="宋体" w:cs="宋体"/>
          <w:b/>
          <w:bCs/>
          <w:sz w:val="20"/>
          <w:szCs w:val="20"/>
          <w:highlight w:val="none"/>
        </w:rPr>
      </w:pPr>
    </w:p>
    <w:p>
      <w:pPr>
        <w:pStyle w:val="3"/>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4" w:type="first"/>
          <w:footerReference r:id="rId3"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3"/>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TOC \o "1-3" \h \z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_Toc6155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第一章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投标邀请书</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fldChar w:fldCharType="end"/>
      </w:r>
    </w:p>
    <w:p>
      <w:pPr>
        <w:pStyle w:val="13"/>
        <w:tabs>
          <w:tab w:val="right" w:leader="dot" w:pos="9541"/>
          <w:tab w:val="clear" w:pos="9400"/>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_Toc15730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竞争性磋商公告</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fldChar w:fldCharType="end"/>
      </w:r>
    </w:p>
    <w:p>
      <w:pPr>
        <w:pStyle w:val="13"/>
        <w:tabs>
          <w:tab w:val="right" w:pos="2400"/>
          <w:tab w:val="right" w:leader="dot" w:pos="9541"/>
          <w:tab w:val="clear" w:pos="9400"/>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_Toc25669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第二章</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供应商须知及前附表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_Toc7077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（一）供应商须知前附表</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0</w:t>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_Toc24361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（二）供应商须知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_Toc24361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_Toc20516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（三）《竞争性磋商文件》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_Toc20516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_Toc8528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（四）《磋商响应性文件》的编制</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_Toc8528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_Toc32099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（五）磋商响应性文件的提交及相关事项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8</w:t>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_Toc1690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六</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_Toc1690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_Toc11796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七</w:t>
      </w:r>
      <w:r>
        <w:rPr>
          <w:rFonts w:hint="eastAsia" w:asciiTheme="minorEastAsia" w:hAnsiTheme="minorEastAsia" w:eastAsiaTheme="minorEastAsia" w:cstheme="minorEastAsia"/>
          <w:sz w:val="24"/>
          <w:szCs w:val="24"/>
          <w:highlight w:val="none"/>
        </w:rPr>
        <w:t>）定标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_Toc11796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_Toc23542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八</w:t>
      </w:r>
      <w:r>
        <w:rPr>
          <w:rFonts w:hint="eastAsia" w:asciiTheme="minorEastAsia" w:hAnsiTheme="minorEastAsia" w:eastAsiaTheme="minorEastAsia" w:cstheme="minorEastAsia"/>
          <w:sz w:val="24"/>
          <w:szCs w:val="24"/>
          <w:highlight w:val="none"/>
        </w:rPr>
        <w:t>）合同签订及履行</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_Toc23542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_Toc23631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九</w:t>
      </w:r>
      <w:r>
        <w:rPr>
          <w:rFonts w:hint="eastAsia" w:asciiTheme="minorEastAsia" w:hAnsiTheme="minorEastAsia" w:eastAsiaTheme="minorEastAsia" w:cstheme="minorEastAsia"/>
          <w:sz w:val="24"/>
          <w:szCs w:val="24"/>
          <w:highlight w:val="none"/>
        </w:rPr>
        <w:t>）重新招标和不再招标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_Toc23631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_Toc6269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（十）纪律和监督</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_Toc6269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_Toc23224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）无效投标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_Toc23224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_Toc25703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highlight w:val="none"/>
        </w:rPr>
        <w:t>）废标</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_Toc25703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6"/>
        <w:tabs>
          <w:tab w:val="right" w:leader="dot" w:pos="9541"/>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_Toc30761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sz w:val="24"/>
          <w:szCs w:val="24"/>
          <w:highlight w:val="none"/>
          <w:lang w:eastAsia="zh-CN"/>
        </w:rPr>
        <w:t>三</w:t>
      </w:r>
      <w:r>
        <w:rPr>
          <w:rFonts w:hint="eastAsia" w:asciiTheme="minorEastAsia" w:hAnsiTheme="minorEastAsia" w:eastAsiaTheme="minorEastAsia" w:cstheme="minorEastAsia"/>
          <w:sz w:val="24"/>
          <w:szCs w:val="24"/>
          <w:highlight w:val="none"/>
        </w:rPr>
        <w:t>）质疑和投诉</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_Toc30761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3"/>
        <w:tabs>
          <w:tab w:val="right" w:leader="dot" w:pos="9541"/>
          <w:tab w:val="clear" w:pos="9400"/>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_Toc1184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第三章</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评标办法</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PAGEREF _Toc1184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fldChar w:fldCharType="end"/>
      </w:r>
    </w:p>
    <w:p>
      <w:pPr>
        <w:pStyle w:val="13"/>
        <w:tabs>
          <w:tab w:val="right" w:leader="dot" w:pos="9541"/>
          <w:tab w:val="clear" w:pos="9400"/>
        </w:tabs>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_Toc14707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第四章 磋商内容</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0</w:t>
      </w:r>
    </w:p>
    <w:p>
      <w:pPr>
        <w:pStyle w:val="13"/>
        <w:tabs>
          <w:tab w:val="right" w:pos="2400"/>
          <w:tab w:val="right" w:leader="dot" w:pos="9541"/>
          <w:tab w:val="clear" w:pos="9400"/>
        </w:tabs>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_Toc14342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第五章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合同条款及合同格式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4</w:t>
      </w:r>
    </w:p>
    <w:p>
      <w:pPr>
        <w:pStyle w:val="13"/>
        <w:tabs>
          <w:tab w:val="right" w:pos="2400"/>
          <w:tab w:val="right" w:leader="dot" w:pos="9541"/>
          <w:tab w:val="clear" w:pos="9400"/>
        </w:tabs>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_Toc8733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第六章</w:t>
      </w:r>
      <w:r>
        <w:rPr>
          <w:rFonts w:hint="eastAsia" w:asciiTheme="minorEastAsia" w:hAnsiTheme="minorEastAsia" w:eastAsiaTheme="minorEastAsia" w:cstheme="minorEastAsia"/>
          <w:spacing w:val="1"/>
          <w:sz w:val="24"/>
          <w:szCs w:val="24"/>
          <w:highlight w:val="none"/>
        </w:rPr>
        <w:tab/>
      </w:r>
      <w:r>
        <w:rPr>
          <w:rFonts w:hint="eastAsia" w:asciiTheme="minorEastAsia" w:hAnsiTheme="minorEastAsia" w:eastAsiaTheme="minorEastAsia" w:cstheme="minorEastAsia"/>
          <w:w w:val="95"/>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磋商响应性文件格式</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val="en-US" w:eastAsia="zh-CN"/>
        </w:rPr>
        <w:t>0</w:t>
      </w:r>
    </w:p>
    <w:p>
      <w:pPr>
        <w:pStyle w:val="6"/>
        <w:rPr>
          <w:rFonts w:hint="eastAsia" w:ascii="宋体" w:hAnsi="宋体" w:eastAsia="宋体" w:cs="宋体"/>
          <w:highlight w:val="none"/>
        </w:rPr>
        <w:sectPr>
          <w:footerReference r:id="rId5"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sz w:val="24"/>
          <w:szCs w:val="24"/>
          <w:highlight w:val="none"/>
        </w:rPr>
        <w:fldChar w:fldCharType="end"/>
      </w:r>
      <w:bookmarkStart w:id="2" w:name="_Toc6155"/>
    </w:p>
    <w:p>
      <w:pPr>
        <w:pStyle w:val="6"/>
        <w:jc w:val="center"/>
        <w:rPr>
          <w:rFonts w:hint="eastAsia" w:ascii="宋体" w:hAnsi="宋体" w:eastAsia="宋体" w:cs="宋体"/>
          <w:highlight w:val="none"/>
        </w:rPr>
      </w:pP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6"/>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15730"/>
      <w:bookmarkStart w:id="4" w:name="_Toc35393797"/>
      <w:bookmarkStart w:id="5" w:name="_Toc28359011"/>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u w:val="single"/>
          <w:lang w:eastAsia="zh-CN"/>
        </w:rPr>
        <w:t>哈密市自治区级、市级文物保护单位文物保护标志牌、说明牌制作安装项目</w:t>
      </w:r>
      <w:r>
        <w:rPr>
          <w:rFonts w:hint="eastAsia" w:ascii="宋体" w:hAnsi="宋体" w:eastAsia="宋体" w:cs="宋体"/>
          <w:sz w:val="28"/>
          <w:szCs w:val="28"/>
          <w:highlight w:val="none"/>
        </w:rPr>
        <w:t>的潜在供应商应在</w:t>
      </w:r>
      <w:r>
        <w:rPr>
          <w:rFonts w:hint="eastAsia" w:ascii="宋体" w:hAnsi="宋体" w:eastAsia="宋体" w:cs="宋体"/>
          <w:sz w:val="28"/>
          <w:szCs w:val="28"/>
          <w:highlight w:val="none"/>
          <w:u w:val="single"/>
        </w:rPr>
        <w:t>新疆维吾尔自治区</w:t>
      </w:r>
      <w:r>
        <w:rPr>
          <w:rFonts w:hint="eastAsia" w:ascii="宋体" w:hAnsi="宋体" w:cs="宋体"/>
          <w:sz w:val="28"/>
          <w:szCs w:val="28"/>
          <w:highlight w:val="none"/>
          <w:u w:val="single"/>
          <w:lang w:eastAsia="zh-CN"/>
        </w:rPr>
        <w:t>哈密市伊州区八一路魔方广场</w:t>
      </w:r>
      <w:r>
        <w:rPr>
          <w:rFonts w:hint="eastAsia" w:ascii="宋体" w:hAnsi="宋体" w:cs="宋体"/>
          <w:sz w:val="28"/>
          <w:szCs w:val="28"/>
          <w:highlight w:val="none"/>
          <w:u w:val="single"/>
          <w:lang w:val="en-US" w:eastAsia="zh-CN"/>
        </w:rPr>
        <w:t>B1616室</w:t>
      </w:r>
      <w:r>
        <w:rPr>
          <w:rFonts w:hint="eastAsia" w:ascii="宋体" w:hAnsi="宋体" w:eastAsia="宋体" w:cs="宋体"/>
          <w:sz w:val="28"/>
          <w:szCs w:val="28"/>
          <w:highlight w:val="none"/>
        </w:rPr>
        <w:t>获取采购文件，并于</w:t>
      </w:r>
      <w:r>
        <w:rPr>
          <w:rFonts w:hint="eastAsia" w:ascii="宋体" w:hAnsi="宋体" w:eastAsia="宋体" w:cs="宋体"/>
          <w:sz w:val="28"/>
          <w:szCs w:val="28"/>
          <w:highlight w:val="none"/>
          <w:u w:val="single"/>
          <w:lang w:val="en-US" w:eastAsia="zh-CN"/>
        </w:rPr>
        <w:t>202</w:t>
      </w:r>
      <w:r>
        <w:rPr>
          <w:rFonts w:hint="eastAsia" w:ascii="宋体" w:hAnsi="宋体" w:cs="宋体"/>
          <w:sz w:val="28"/>
          <w:szCs w:val="28"/>
          <w:highlight w:val="none"/>
          <w:u w:val="single"/>
          <w:lang w:val="en-US" w:eastAsia="zh-CN"/>
        </w:rPr>
        <w:t>2</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02</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07</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1</w:t>
      </w:r>
      <w:r>
        <w:rPr>
          <w:rFonts w:hint="eastAsia" w:ascii="宋体" w:hAnsi="宋体" w:cs="宋体"/>
          <w:sz w:val="28"/>
          <w:szCs w:val="28"/>
          <w:highlight w:val="none"/>
          <w:u w:val="single"/>
          <w:lang w:val="en-US" w:eastAsia="zh-CN"/>
        </w:rPr>
        <w:t>0</w:t>
      </w:r>
      <w:r>
        <w:rPr>
          <w:rFonts w:hint="eastAsia" w:ascii="宋体" w:hAnsi="宋体" w:eastAsia="宋体" w:cs="宋体"/>
          <w:sz w:val="28"/>
          <w:szCs w:val="28"/>
          <w:highlight w:val="none"/>
          <w:u w:val="single"/>
        </w:rPr>
        <w:t>点</w:t>
      </w:r>
      <w:r>
        <w:rPr>
          <w:rFonts w:hint="eastAsia" w:ascii="宋体" w:hAnsi="宋体" w:cs="宋体"/>
          <w:sz w:val="28"/>
          <w:szCs w:val="28"/>
          <w:highlight w:val="none"/>
          <w:u w:val="single"/>
          <w:lang w:val="en-US" w:eastAsia="zh-CN"/>
        </w:rPr>
        <w:t>30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35393629"/>
      <w:bookmarkStart w:id="7" w:name="_Toc35393798"/>
      <w:bookmarkStart w:id="8" w:name="_Toc28359089"/>
      <w:bookmarkStart w:id="9" w:name="_Toc28359012"/>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none"/>
          <w:lang w:val="en-US" w:eastAsia="zh-CN"/>
        </w:rPr>
        <w:t>XJCYZC-2022-002</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哈密市自治区级、市级文物保护单位文物保护标志牌、说明牌制作安装项目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60.00万元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60.00万元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制作安装文物保护标志牌100处，文物界桩400个，文物安全公示牌75处（详细说明见磋商文件）。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val="0"/>
          <w:bCs w:val="0"/>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t>合同履行期限：</w:t>
      </w:r>
      <w:r>
        <w:rPr>
          <w:rFonts w:hint="eastAsia" w:ascii="宋体" w:hAnsi="宋体" w:cs="宋体"/>
          <w:b w:val="0"/>
          <w:bCs w:val="0"/>
          <w:i w:val="0"/>
          <w:iCs w:val="0"/>
          <w:color w:val="000000" w:themeColor="text1"/>
          <w:sz w:val="24"/>
          <w:szCs w:val="24"/>
          <w:highlight w:val="none"/>
          <w:lang w:val="en-US" w:eastAsia="zh-CN"/>
          <w14:textFill>
            <w14:solidFill>
              <w14:schemeClr w14:val="tx1"/>
            </w14:solidFill>
          </w14:textFill>
        </w:rPr>
        <w:t>签订合同之日起至本项目结束止。</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35393630"/>
      <w:bookmarkStart w:id="11" w:name="_Toc28359013"/>
      <w:bookmarkStart w:id="12" w:name="_Toc28359090"/>
      <w:bookmarkStart w:id="13" w:name="_Toc35393799"/>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91"/>
      <w:bookmarkStart w:id="15" w:name="_Toc35393631"/>
      <w:bookmarkStart w:id="16" w:name="_Toc28359014"/>
      <w:bookmarkStart w:id="17" w:name="_Toc35393800"/>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具有履行合同所必需的专业技术能力，能够按时保质保量地完成</w:t>
      </w:r>
      <w:r>
        <w:rPr>
          <w:rFonts w:hint="eastAsia" w:ascii="宋体" w:hAnsi="宋体" w:cs="宋体"/>
          <w:b w:val="0"/>
          <w:bCs w:val="0"/>
          <w:i w:val="0"/>
          <w:iCs w:val="0"/>
          <w:color w:val="auto"/>
          <w:sz w:val="24"/>
          <w:szCs w:val="24"/>
          <w:highlight w:val="none"/>
          <w:lang w:val="en-US" w:eastAsia="zh-CN"/>
        </w:rPr>
        <w:t>招标文件所要求的的全部</w:t>
      </w:r>
      <w:r>
        <w:rPr>
          <w:rFonts w:hint="eastAsia" w:ascii="宋体" w:hAnsi="宋体" w:eastAsia="宋体" w:cs="宋体"/>
          <w:b w:val="0"/>
          <w:bCs w:val="0"/>
          <w:i w:val="0"/>
          <w:iCs w:val="0"/>
          <w:color w:val="auto"/>
          <w:sz w:val="24"/>
          <w:szCs w:val="24"/>
          <w:highlight w:val="none"/>
          <w:lang w:val="en-US" w:eastAsia="zh-CN"/>
        </w:rPr>
        <w:t>工作任务；</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sz w:val="24"/>
          <w:szCs w:val="24"/>
          <w:highlight w:val="none"/>
          <w:u w:val="none"/>
          <w:lang w:eastAsia="zh-CN"/>
        </w:rPr>
        <w:t>供应商</w:t>
      </w:r>
      <w:r>
        <w:rPr>
          <w:rFonts w:hint="eastAsia" w:ascii="宋体" w:hAnsi="宋体" w:eastAsia="宋体" w:cs="宋体"/>
          <w:b w:val="0"/>
          <w:bCs w:val="0"/>
          <w:i w:val="0"/>
          <w:iCs w:val="0"/>
          <w:sz w:val="24"/>
          <w:szCs w:val="24"/>
          <w:highlight w:val="none"/>
          <w:u w:val="none"/>
        </w:rPr>
        <w:t>需在中华人民共和国境内注册，具有信誉良好的独立法人资格，事业单位法人证书或工商营业执照通过年检合格有效</w:t>
      </w:r>
      <w:r>
        <w:rPr>
          <w:rFonts w:hint="eastAsia" w:ascii="宋体" w:hAnsi="宋体" w:eastAsia="宋体" w:cs="宋体"/>
          <w:b w:val="0"/>
          <w:bCs w:val="0"/>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有能力提供本项目全部采购内容及服务能力的供应商</w:t>
      </w:r>
      <w:r>
        <w:rPr>
          <w:rFonts w:hint="eastAsia" w:ascii="宋体" w:hAnsi="宋体" w:cs="宋体"/>
          <w:b w:val="0"/>
          <w:bCs w:val="0"/>
          <w:i w:val="0"/>
          <w:iCs w:val="0"/>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有文物保护工程资质的优先</w:t>
      </w:r>
      <w:r>
        <w:rPr>
          <w:rFonts w:hint="eastAsia" w:ascii="宋体" w:hAnsi="宋体" w:cs="宋体"/>
          <w:b w:val="0"/>
          <w:bCs w:val="0"/>
          <w:i w:val="0"/>
          <w:iCs w:val="0"/>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i w:val="0"/>
          <w:iCs w:val="0"/>
          <w:sz w:val="24"/>
          <w:szCs w:val="24"/>
          <w:highlight w:val="none"/>
          <w:u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b w:val="0"/>
          <w:bCs w:val="0"/>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rPr>
        <w:t>以网页截图</w:t>
      </w:r>
      <w:r>
        <w:rPr>
          <w:rFonts w:hint="eastAsia" w:ascii="宋体" w:hAnsi="宋体" w:eastAsia="宋体" w:cs="宋体"/>
          <w:b w:val="0"/>
          <w:bCs w:val="0"/>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lang w:val="en-US" w:eastAsia="zh-CN"/>
        </w:rPr>
        <w:t>需显示查询时间）</w:t>
      </w:r>
      <w:r>
        <w:rPr>
          <w:rFonts w:hint="eastAsia" w:ascii="宋体" w:hAnsi="宋体" w:eastAsia="宋体" w:cs="宋体"/>
          <w:b w:val="0"/>
          <w:bCs w:val="0"/>
          <w:i w:val="0"/>
          <w:iCs w:val="0"/>
          <w:sz w:val="24"/>
          <w:szCs w:val="24"/>
          <w:highlight w:val="none"/>
          <w:u w:val="none"/>
        </w:rPr>
        <w:t>加盖投标人公章为准</w:t>
      </w:r>
      <w:r>
        <w:rPr>
          <w:rFonts w:hint="eastAsia" w:ascii="宋体" w:hAnsi="宋体" w:eastAsia="宋体" w:cs="宋体"/>
          <w:b w:val="0"/>
          <w:bCs w:val="0"/>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4</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01</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21</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01</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29</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w:t>
      </w:r>
      <w:r>
        <w:rPr>
          <w:rFonts w:hint="eastAsia" w:ascii="宋体" w:hAnsi="宋体" w:cs="宋体"/>
          <w:i w:val="0"/>
          <w:iCs w:val="0"/>
          <w:sz w:val="24"/>
          <w:szCs w:val="24"/>
          <w:highlight w:val="none"/>
          <w:u w:val="single"/>
          <w:lang w:val="en-US" w:eastAsia="zh-CN"/>
        </w:rPr>
        <w:t>00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cs="宋体"/>
          <w:i w:val="0"/>
          <w:iCs w:val="0"/>
          <w:sz w:val="24"/>
          <w:szCs w:val="24"/>
          <w:highlight w:val="none"/>
          <w:lang w:val="en-US"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ind w:firstLine="540"/>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cs="宋体"/>
          <w:i w:val="0"/>
          <w:iCs w:val="0"/>
          <w:color w:val="auto"/>
          <w:sz w:val="24"/>
          <w:szCs w:val="24"/>
          <w:highlight w:val="none"/>
          <w:lang w:val="en-US" w:eastAsia="zh-CN"/>
        </w:rPr>
        <w:t>证件</w:t>
      </w:r>
      <w:r>
        <w:rPr>
          <w:rFonts w:hint="eastAsia" w:ascii="宋体" w:hAnsi="宋体" w:eastAsia="宋体" w:cs="宋体"/>
          <w:i w:val="0"/>
          <w:iCs w:val="0"/>
          <w:color w:val="auto"/>
          <w:sz w:val="24"/>
          <w:szCs w:val="24"/>
          <w:highlight w:val="none"/>
        </w:rPr>
        <w:t>（能通过互联网或者相关信息系统查询的信息除外）查验、加盖公章的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1</w:t>
      </w:r>
      <w:r>
        <w:rPr>
          <w:rFonts w:hint="eastAsia" w:ascii="宋体" w:hAnsi="宋体" w:eastAsia="宋体" w:cs="宋体"/>
          <w:i w:val="0"/>
          <w:iCs w:val="0"/>
          <w:sz w:val="24"/>
          <w:szCs w:val="24"/>
          <w:highlight w:val="none"/>
        </w:rPr>
        <w:t>）</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2</w:t>
      </w:r>
      <w:r>
        <w:rPr>
          <w:rFonts w:hint="eastAsia" w:ascii="宋体" w:hAnsi="宋体" w:eastAsia="宋体" w:cs="宋体"/>
          <w:i w:val="0"/>
          <w:iCs w:val="0"/>
          <w:sz w:val="24"/>
          <w:szCs w:val="24"/>
          <w:highlight w:val="none"/>
        </w:rPr>
        <w:t>）</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需在中华人民共和国境内注册，具有信誉良好的独立法人资格，事业单位法人证书或工商营业执照通过年检合格有效</w:t>
      </w:r>
      <w:r>
        <w:rPr>
          <w:rFonts w:hint="eastAsia" w:ascii="宋体" w:hAnsi="宋体" w:eastAsia="宋体" w:cs="宋体"/>
          <w:i w:val="0"/>
          <w:iCs w:val="0"/>
          <w:color w:val="auto"/>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）社会保障资金缴纳证明：供应商提供近半年内的社会保障资金缴存单据或社保机构开具的社会保险参保缴费情况证明，依法不需要缴纳社会保障资金的供应商应提供相关文件证明；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）财务状况报告：供应商提供</w:t>
      </w:r>
      <w:r>
        <w:rPr>
          <w:rFonts w:hint="eastAsia" w:ascii="宋体" w:hAnsi="宋体" w:cs="宋体"/>
          <w:i w:val="0"/>
          <w:iCs w:val="0"/>
          <w:sz w:val="24"/>
          <w:szCs w:val="24"/>
          <w:highlight w:val="none"/>
          <w:lang w:eastAsia="zh-CN"/>
        </w:rPr>
        <w:t>（</w:t>
      </w:r>
      <w:r>
        <w:rPr>
          <w:rFonts w:hint="eastAsia" w:ascii="宋体" w:hAnsi="宋体" w:cs="宋体"/>
          <w:i w:val="0"/>
          <w:iCs w:val="0"/>
          <w:sz w:val="24"/>
          <w:szCs w:val="24"/>
          <w:highlight w:val="none"/>
          <w:lang w:val="en-US" w:eastAsia="zh-CN"/>
        </w:rPr>
        <w:t>2020年度</w:t>
      </w:r>
      <w:r>
        <w:rPr>
          <w:rFonts w:hint="eastAsia" w:ascii="宋体" w:hAnsi="宋体" w:cs="宋体"/>
          <w:i w:val="0"/>
          <w:iCs w:val="0"/>
          <w:sz w:val="24"/>
          <w:szCs w:val="24"/>
          <w:highlight w:val="none"/>
          <w:lang w:eastAsia="zh-CN"/>
        </w:rPr>
        <w:t>）</w:t>
      </w:r>
      <w:r>
        <w:rPr>
          <w:rFonts w:hint="eastAsia" w:ascii="宋体" w:hAnsi="宋体" w:eastAsia="宋体" w:cs="宋体"/>
          <w:i w:val="0"/>
          <w:iCs w:val="0"/>
          <w:sz w:val="24"/>
          <w:szCs w:val="24"/>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rPr>
        <w:t>）税收缴纳证明：供应商提供近半年内的纳税证明或完税证明，纳税证明或完税证明上应有代收机构或税务机关的公章，依法免税的供应商应提供相关文件证明；</w:t>
      </w:r>
    </w:p>
    <w:p>
      <w:pPr>
        <w:numPr>
          <w:ilvl w:val="0"/>
          <w:numId w:val="0"/>
        </w:numPr>
        <w:spacing w:line="360" w:lineRule="auto"/>
        <w:ind w:firstLine="480" w:firstLineChars="200"/>
        <w:jc w:val="both"/>
        <w:outlineLvl w:val="9"/>
        <w:rPr>
          <w:rFonts w:hint="eastAsia" w:ascii="宋体" w:hAnsi="宋体" w:cs="宋体"/>
          <w:b w:val="0"/>
          <w:bCs w:val="0"/>
          <w:i w:val="0"/>
          <w:iCs w:val="0"/>
          <w:kern w:val="2"/>
          <w:sz w:val="24"/>
          <w:szCs w:val="24"/>
          <w:highlight w:val="none"/>
          <w:u w:val="none"/>
          <w:lang w:val="en-US" w:eastAsia="zh-CN" w:bidi="ar-SA"/>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rPr>
        <w:t>）</w:t>
      </w:r>
      <w:r>
        <w:rPr>
          <w:rFonts w:hint="eastAsia" w:ascii="宋体" w:hAnsi="宋体" w:cs="宋体"/>
          <w:b w:val="0"/>
          <w:bCs w:val="0"/>
          <w:i w:val="0"/>
          <w:iCs w:val="0"/>
          <w:kern w:val="2"/>
          <w:sz w:val="24"/>
          <w:szCs w:val="24"/>
          <w:highlight w:val="none"/>
          <w:u w:val="none"/>
          <w:lang w:val="en-US" w:eastAsia="zh-CN" w:bidi="ar-SA"/>
        </w:rPr>
        <w:t>供应商在投标前需要提供综合信用评价报告，对信用等级为D级的供应商，拒绝其参与政府采购活动。</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7</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200</w:t>
      </w:r>
      <w:r>
        <w:rPr>
          <w:rFonts w:hint="eastAsia" w:ascii="宋体" w:hAnsi="宋体" w:eastAsia="宋体" w:cs="宋体"/>
          <w:i w:val="0"/>
          <w:iCs w:val="0"/>
          <w:sz w:val="24"/>
          <w:szCs w:val="24"/>
          <w:highlight w:val="none"/>
        </w:rPr>
        <w:t>元/本，逾期不售、售后不退。</w:t>
      </w:r>
    </w:p>
    <w:p>
      <w:pPr>
        <w:spacing w:line="360" w:lineRule="auto"/>
        <w:jc w:val="left"/>
        <w:outlineLvl w:val="9"/>
        <w:rPr>
          <w:rFonts w:ascii="黑体" w:hAnsi="黑体" w:cs="宋体"/>
          <w:b/>
          <w:bCs w:val="0"/>
          <w:sz w:val="28"/>
          <w:szCs w:val="28"/>
          <w:highlight w:val="none"/>
        </w:rPr>
      </w:pPr>
      <w:bookmarkStart w:id="18" w:name="_Toc28359015"/>
      <w:bookmarkStart w:id="19" w:name="_Toc28359092"/>
      <w:bookmarkStart w:id="20" w:name="_Toc35393801"/>
      <w:bookmarkStart w:id="21" w:name="_Toc35393632"/>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02</w:t>
      </w:r>
      <w:r>
        <w:rPr>
          <w:rFonts w:hint="eastAsia" w:ascii="宋体" w:hAnsi="宋体" w:eastAsia="宋体" w:cs="宋体"/>
          <w:bCs/>
          <w:i w:val="0"/>
          <w:iCs w:val="0"/>
          <w:sz w:val="24"/>
          <w:szCs w:val="24"/>
          <w:highlight w:val="none"/>
          <w:u w:val="single"/>
        </w:rPr>
        <w:t>月</w:t>
      </w:r>
      <w:r>
        <w:rPr>
          <w:rFonts w:hint="eastAsia" w:ascii="宋体" w:hAnsi="宋体" w:cs="宋体"/>
          <w:bCs/>
          <w:i w:val="0"/>
          <w:iCs w:val="0"/>
          <w:sz w:val="24"/>
          <w:szCs w:val="24"/>
          <w:highlight w:val="none"/>
          <w:u w:val="single"/>
          <w:lang w:val="en-US" w:eastAsia="zh-CN"/>
        </w:rPr>
        <w:t>07</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16</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spacing w:line="360" w:lineRule="auto"/>
        <w:ind w:firstLine="482" w:firstLineChars="200"/>
        <w:rPr>
          <w:rFonts w:hint="eastAsia" w:ascii="宋体" w:hAnsi="宋体" w:cs="宋体"/>
          <w:i w:val="0"/>
          <w:iCs w:val="0"/>
          <w:sz w:val="24"/>
          <w:szCs w:val="24"/>
          <w:highlight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jc w:val="both"/>
        <w:outlineLvl w:val="9"/>
        <w:rPr>
          <w:rFonts w:ascii="黑体" w:hAnsi="黑体" w:cs="宋体"/>
          <w:b/>
          <w:bCs w:val="0"/>
          <w:sz w:val="28"/>
          <w:szCs w:val="28"/>
          <w:highlight w:val="none"/>
        </w:rPr>
      </w:pPr>
      <w:bookmarkStart w:id="22" w:name="_Toc35393802"/>
      <w:bookmarkStart w:id="23" w:name="_Toc35393633"/>
      <w:bookmarkStart w:id="24" w:name="_Toc28359093"/>
      <w:bookmarkStart w:id="25" w:name="_Toc28359016"/>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35393803"/>
      <w:bookmarkStart w:id="27" w:name="_Toc28359094"/>
      <w:bookmarkStart w:id="28" w:name="_Toc35393634"/>
      <w:bookmarkStart w:id="29" w:name="_Toc28359017"/>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02</w:t>
      </w:r>
      <w:r>
        <w:rPr>
          <w:rFonts w:hint="eastAsia" w:ascii="宋体" w:hAnsi="宋体" w:eastAsia="宋体" w:cs="宋体"/>
          <w:bCs/>
          <w:i w:val="0"/>
          <w:iCs w:val="0"/>
          <w:sz w:val="24"/>
          <w:szCs w:val="24"/>
          <w:highlight w:val="none"/>
          <w:u w:val="single"/>
        </w:rPr>
        <w:t>月</w:t>
      </w:r>
      <w:r>
        <w:rPr>
          <w:rFonts w:hint="eastAsia" w:ascii="宋体" w:hAnsi="宋体" w:cs="宋体"/>
          <w:bCs/>
          <w:i w:val="0"/>
          <w:iCs w:val="0"/>
          <w:sz w:val="24"/>
          <w:szCs w:val="24"/>
          <w:highlight w:val="none"/>
          <w:u w:val="single"/>
          <w:lang w:val="en-US" w:eastAsia="zh-CN"/>
        </w:rPr>
        <w:t>07</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16</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00</w:t>
      </w:r>
      <w:bookmarkStart w:id="83" w:name="_GoBack"/>
      <w:bookmarkEnd w:id="83"/>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numPr>
          <w:ilvl w:val="0"/>
          <w:numId w:val="2"/>
        </w:numPr>
        <w:spacing w:line="360" w:lineRule="auto"/>
        <w:jc w:val="both"/>
        <w:outlineLvl w:val="9"/>
        <w:rPr>
          <w:rFonts w:hint="eastAsia" w:ascii="黑体" w:hAnsi="黑体" w:cs="宋体"/>
          <w:b/>
          <w:bCs w:val="0"/>
          <w:sz w:val="28"/>
          <w:szCs w:val="28"/>
          <w:highlight w:val="none"/>
          <w:lang w:val="en-US" w:eastAsia="zh-CN"/>
        </w:rPr>
      </w:pPr>
      <w:bookmarkStart w:id="30" w:name="_Toc35393635"/>
      <w:bookmarkStart w:id="31" w:name="_Toc35393804"/>
      <w:r>
        <w:rPr>
          <w:rFonts w:hint="eastAsia" w:ascii="黑体" w:hAnsi="黑体" w:cs="宋体"/>
          <w:b/>
          <w:bCs w:val="0"/>
          <w:sz w:val="28"/>
          <w:szCs w:val="28"/>
          <w:highlight w:val="none"/>
          <w:lang w:val="en-US" w:eastAsia="zh-CN"/>
        </w:rPr>
        <w:t>其他补充事宜</w:t>
      </w:r>
      <w:bookmarkEnd w:id="30"/>
      <w:bookmarkEnd w:id="31"/>
      <w:r>
        <w:rPr>
          <w:rFonts w:hint="eastAsia" w:ascii="黑体" w:hAnsi="黑体" w:cs="宋体"/>
          <w:b/>
          <w:bCs w:val="0"/>
          <w:sz w:val="28"/>
          <w:szCs w:val="28"/>
          <w:highlight w:val="none"/>
          <w:lang w:val="en-US" w:eastAsia="zh-CN"/>
        </w:rPr>
        <w:t xml:space="preserve">  </w:t>
      </w:r>
    </w:p>
    <w:p>
      <w:pPr>
        <w:numPr>
          <w:ilvl w:val="0"/>
          <w:numId w:val="0"/>
        </w:numPr>
        <w:spacing w:line="360" w:lineRule="auto"/>
        <w:ind w:firstLine="480" w:firstLineChars="200"/>
        <w:jc w:val="both"/>
        <w:outlineLvl w:val="9"/>
        <w:rPr>
          <w:rFonts w:hint="eastAsia" w:ascii="宋体" w:hAnsi="宋体" w:cs="宋体"/>
          <w:b w:val="0"/>
          <w:bCs w:val="0"/>
          <w:i w:val="0"/>
          <w:iCs w:val="0"/>
          <w:kern w:val="2"/>
          <w:sz w:val="24"/>
          <w:szCs w:val="24"/>
          <w:highlight w:val="none"/>
          <w:u w:val="none"/>
          <w:lang w:val="en-US" w:eastAsia="zh-CN" w:bidi="ar-SA"/>
        </w:rPr>
      </w:pPr>
      <w:r>
        <w:rPr>
          <w:rFonts w:hint="eastAsia" w:ascii="宋体" w:hAnsi="宋体" w:cs="宋体"/>
          <w:b w:val="0"/>
          <w:bCs w:val="0"/>
          <w:i w:val="0"/>
          <w:iCs w:val="0"/>
          <w:kern w:val="2"/>
          <w:sz w:val="24"/>
          <w:szCs w:val="24"/>
          <w:highlight w:val="none"/>
          <w:u w:val="none"/>
          <w:lang w:val="en-US" w:eastAsia="zh-CN" w:bidi="ar-SA"/>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pPr>
        <w:numPr>
          <w:ilvl w:val="0"/>
          <w:numId w:val="0"/>
        </w:numPr>
        <w:spacing w:line="360" w:lineRule="auto"/>
        <w:ind w:firstLine="240" w:firstLineChars="100"/>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综合信用评价报告出具方式：</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可前往哈密市发展改革委备案通过的信用服务机构网站建立信用档案，出具信用报告。</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 xml:space="preserve">网址：http://www.xhlfzx.com.cn               </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 xml:space="preserve">地址：哈密市融合路2号哈密市政务服务和公共资源交易中心二楼203房间信用服务窗口 </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联系电话：</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0902-2203560</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公司：长风国际信用评价新疆有限公司</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地址：新疆乌鲁木齐市水磨沟区南湖东路77号第伍层503室</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联系人：刘颖</w:t>
      </w:r>
    </w:p>
    <w:p>
      <w:pPr>
        <w:pStyle w:val="2"/>
        <w:ind w:left="0" w:leftChars="0" w:firstLine="240" w:firstLineChars="100"/>
        <w:rPr>
          <w:rFonts w:hint="eastAsia" w:ascii="宋体" w:hAnsi="宋体" w:eastAsia="宋体" w:cs="宋体"/>
          <w:lang w:val="en-US" w:eastAsia="zh-CN"/>
        </w:rPr>
      </w:pPr>
      <w:r>
        <w:rPr>
          <w:rFonts w:hint="eastAsia" w:ascii="宋体" w:hAnsi="宋体" w:eastAsia="宋体" w:cs="宋体"/>
          <w:lang w:val="en-US" w:eastAsia="zh-CN"/>
        </w:rPr>
        <w:t>电话：19999101966</w:t>
      </w:r>
    </w:p>
    <w:p>
      <w:pPr>
        <w:spacing w:line="240" w:lineRule="auto"/>
        <w:jc w:val="both"/>
        <w:outlineLvl w:val="9"/>
        <w:rPr>
          <w:rFonts w:ascii="黑体" w:hAnsi="黑体" w:cs="宋体"/>
          <w:b/>
          <w:bCs w:val="0"/>
          <w:sz w:val="28"/>
          <w:szCs w:val="28"/>
          <w:highlight w:val="none"/>
        </w:rPr>
      </w:pPr>
      <w:bookmarkStart w:id="32" w:name="_Toc35393636"/>
      <w:bookmarkStart w:id="33" w:name="_Toc28359018"/>
      <w:bookmarkStart w:id="34" w:name="_Toc35393805"/>
      <w:bookmarkStart w:id="35" w:name="_Toc28359095"/>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bookmarkStart w:id="36" w:name="_Toc28359096"/>
      <w:bookmarkStart w:id="37" w:name="_Toc28359019"/>
      <w:bookmarkStart w:id="38" w:name="_Toc35393806"/>
      <w:bookmarkStart w:id="39" w:name="_Toc35393637"/>
      <w:r>
        <w:rPr>
          <w:rFonts w:hint="eastAsia" w:asciiTheme="minorEastAsia" w:hAnsiTheme="minorEastAsia" w:eastAsiaTheme="minorEastAsia" w:cstheme="minorEastAsia"/>
          <w:b w:val="0"/>
          <w:i w:val="0"/>
          <w:iCs w:val="0"/>
          <w:color w:val="auto"/>
          <w:sz w:val="24"/>
          <w:szCs w:val="24"/>
          <w:highlight w:val="none"/>
          <w:u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名    称：</w:t>
      </w:r>
      <w:r>
        <w:rPr>
          <w:rFonts w:hint="eastAsia" w:asciiTheme="minorEastAsia" w:hAnsiTheme="minorEastAsia" w:eastAsiaTheme="minorEastAsia" w:cstheme="minorEastAsia"/>
          <w:i w:val="0"/>
          <w:iCs w:val="0"/>
          <w:color w:val="auto"/>
          <w:sz w:val="24"/>
          <w:szCs w:val="24"/>
          <w:highlight w:val="none"/>
          <w:u w:val="none"/>
          <w:lang w:eastAsia="zh-CN"/>
        </w:rPr>
        <w:t>哈密市文化体育广播电视和旅游局</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地    址：</w:t>
      </w:r>
      <w:r>
        <w:rPr>
          <w:rFonts w:hint="eastAsia" w:asciiTheme="minorEastAsia" w:hAnsiTheme="minorEastAsia" w:eastAsiaTheme="minorEastAsia" w:cstheme="minorEastAsia"/>
          <w:i w:val="0"/>
          <w:iCs w:val="0"/>
          <w:color w:val="auto"/>
          <w:sz w:val="24"/>
          <w:szCs w:val="24"/>
          <w:highlight w:val="none"/>
          <w:u w:val="none"/>
          <w:lang w:eastAsia="zh-CN"/>
        </w:rPr>
        <w:t>新疆维吾尔自治区哈密市伊州区环城路</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u w:val="none"/>
        </w:rPr>
        <w:t>系</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人：玉素甫·哈力克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18999449621</w:t>
      </w:r>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bookmarkStart w:id="40" w:name="_Toc35393807"/>
      <w:bookmarkStart w:id="41" w:name="_Toc28359097"/>
      <w:bookmarkStart w:id="42" w:name="_Toc28359020"/>
      <w:bookmarkStart w:id="43" w:name="_Toc35393638"/>
      <w:r>
        <w:rPr>
          <w:rFonts w:hint="eastAsia" w:asciiTheme="minorEastAsia" w:hAnsiTheme="minorEastAsia" w:eastAsiaTheme="minorEastAsia" w:cstheme="minorEastAsia"/>
          <w:b w:val="0"/>
          <w:i w:val="0"/>
          <w:iCs w:val="0"/>
          <w:color w:val="auto"/>
          <w:sz w:val="24"/>
          <w:szCs w:val="24"/>
          <w:highlight w:val="none"/>
          <w:u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名    称：新疆</w:t>
      </w:r>
      <w:r>
        <w:rPr>
          <w:rFonts w:hint="eastAsia" w:asciiTheme="minorEastAsia" w:hAnsiTheme="minorEastAsia" w:eastAsiaTheme="minorEastAsia" w:cstheme="minorEastAsia"/>
          <w:i w:val="0"/>
          <w:iCs w:val="0"/>
          <w:color w:val="auto"/>
          <w:sz w:val="24"/>
          <w:szCs w:val="24"/>
          <w:highlight w:val="none"/>
          <w:u w:val="none"/>
          <w:lang w:eastAsia="zh-CN"/>
        </w:rPr>
        <w:t>成源项目管理咨询有限公司</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地　　址：</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u w:val="none"/>
        </w:rPr>
        <w:t>系</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人：周静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13369022654</w:t>
      </w:r>
    </w:p>
    <w:p>
      <w:pPr>
        <w:pStyle w:val="7"/>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u w:val="none"/>
        </w:rPr>
      </w:pPr>
      <w:r>
        <w:rPr>
          <w:rFonts w:hint="eastAsia" w:asciiTheme="minorEastAsia" w:hAnsiTheme="minorEastAsia" w:eastAsiaTheme="minorEastAsia" w:cstheme="minorEastAsia"/>
          <w:b w:val="0"/>
          <w:i w:val="0"/>
          <w:iCs w:val="0"/>
          <w:color w:val="auto"/>
          <w:sz w:val="24"/>
          <w:szCs w:val="24"/>
          <w:highlight w:val="none"/>
          <w:u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 xml:space="preserve">项目联系人：周静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rPr>
        <w:t>联系方式</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 13369022654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6"/>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7"/>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vAlign w:val="top"/>
          </w:tcPr>
          <w:p>
            <w:pPr>
              <w:pStyle w:val="23"/>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vAlign w:val="top"/>
          </w:tcPr>
          <w:p>
            <w:pPr>
              <w:pStyle w:val="23"/>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vAlign w:val="top"/>
          </w:tcPr>
          <w:p>
            <w:pPr>
              <w:pStyle w:val="23"/>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哈密市文化体育广播电视和旅游局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vAlign w:val="center"/>
          </w:tcPr>
          <w:p>
            <w:pPr>
              <w:pStyle w:val="23"/>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lang w:eastAsia="zh-CN"/>
              </w:rPr>
              <w:t>新疆维吾尔自治区哈密市伊州区环城路</w:t>
            </w:r>
          </w:p>
          <w:p>
            <w:pPr>
              <w:pStyle w:val="23"/>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宋体" w:hAnsi="宋体" w:cs="宋体"/>
                <w:b/>
                <w:bCs/>
                <w:highlight w:val="none"/>
                <w:u w:val="none"/>
                <w:lang w:eastAsia="zh-CN"/>
              </w:rPr>
              <w:t>：</w:t>
            </w:r>
            <w:r>
              <w:rPr>
                <w:rFonts w:hint="eastAsia" w:asciiTheme="minorEastAsia" w:hAnsiTheme="minorEastAsia" w:eastAsiaTheme="minorEastAsia" w:cstheme="minorEastAsia"/>
                <w:i w:val="0"/>
                <w:iCs w:val="0"/>
                <w:color w:val="auto"/>
                <w:sz w:val="24"/>
                <w:szCs w:val="24"/>
                <w:highlight w:val="none"/>
                <w:u w:val="none"/>
                <w:lang w:val="en-US" w:eastAsia="zh-CN"/>
              </w:rPr>
              <w:t>玉素甫·哈力克</w:t>
            </w:r>
          </w:p>
          <w:p>
            <w:pPr>
              <w:pStyle w:val="23"/>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vAlign w:val="center"/>
          </w:tcPr>
          <w:p>
            <w:pPr>
              <w:pStyle w:val="23"/>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vAlign w:val="top"/>
          </w:tcPr>
          <w:p>
            <w:pPr>
              <w:pStyle w:val="23"/>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18999449621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Theme="minorEastAsia" w:hAnsiTheme="minorEastAsia" w:eastAsiaTheme="minorEastAsia" w:cstheme="minorEastAsia"/>
                <w:i w:val="0"/>
                <w:iCs w:val="0"/>
                <w:color w:val="auto"/>
                <w:sz w:val="24"/>
                <w:szCs w:val="24"/>
                <w:highlight w:val="none"/>
                <w:u w:val="none"/>
              </w:rPr>
              <w:t>新疆</w:t>
            </w:r>
            <w:r>
              <w:rPr>
                <w:rFonts w:hint="eastAsia" w:asciiTheme="minorEastAsia" w:hAnsiTheme="minorEastAsia" w:eastAsiaTheme="minorEastAsia" w:cstheme="minorEastAsia"/>
                <w:i w:val="0"/>
                <w:iCs w:val="0"/>
                <w:color w:val="auto"/>
                <w:sz w:val="24"/>
                <w:szCs w:val="24"/>
                <w:highlight w:val="none"/>
                <w:u w:val="none"/>
                <w:lang w:eastAsia="zh-CN"/>
              </w:rPr>
              <w:t>成源项目管理咨询有限公司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672" w:type="dxa"/>
            <w:vMerge w:val="continue"/>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3"/>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3"/>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vAlign w:val="top"/>
          </w:tcPr>
          <w:p>
            <w:pPr>
              <w:pStyle w:val="23"/>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val="en-US" w:eastAsia="zh-CN"/>
              </w:rPr>
              <w:t>13369022654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672" w:type="dxa"/>
            <w:vMerge w:val="continue"/>
            <w:vAlign w:val="center"/>
          </w:tcPr>
          <w:p>
            <w:pPr>
              <w:pStyle w:val="23"/>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vAlign w:val="top"/>
          </w:tcPr>
          <w:p>
            <w:pPr>
              <w:pStyle w:val="23"/>
              <w:kinsoku w:val="0"/>
              <w:overflowPunct w:val="0"/>
              <w:spacing w:before="16" w:line="320" w:lineRule="auto"/>
              <w:ind w:left="1788" w:leftChars="48" w:right="77" w:hanging="1687" w:hangingChars="700"/>
              <w:jc w:val="left"/>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b/>
                <w:bCs/>
                <w:highlight w:val="none"/>
                <w:lang w:eastAsia="zh-CN"/>
              </w:rPr>
              <w:t>：</w:t>
            </w:r>
            <w:r>
              <w:rPr>
                <w:rFonts w:hint="eastAsia" w:ascii="宋体" w:hAnsi="宋体" w:cs="宋体"/>
                <w:b/>
                <w:bCs/>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u w:val="none"/>
                <w:lang w:eastAsia="zh-CN"/>
              </w:rPr>
              <w:t>哈密市自治区级、市级文物保护单位文物保护标志牌、说明牌制作安装项目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vAlign w:val="center"/>
          </w:tcPr>
          <w:p>
            <w:pPr>
              <w:pStyle w:val="23"/>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vAlign w:val="top"/>
          </w:tcPr>
          <w:p>
            <w:pPr>
              <w:pStyle w:val="23"/>
              <w:kinsoku w:val="0"/>
              <w:overflowPunct w:val="0"/>
              <w:spacing w:before="16"/>
              <w:ind w:left="102"/>
              <w:rPr>
                <w:rFonts w:hint="default" w:ascii="宋体" w:hAnsi="宋体" w:eastAsia="宋体" w:cs="宋体"/>
                <w:highlight w:val="none"/>
                <w:lang w:val="en-US" w:eastAsia="zh-CN"/>
              </w:rPr>
            </w:pPr>
            <w:r>
              <w:rPr>
                <w:rFonts w:hint="eastAsia" w:ascii="宋体" w:hAnsi="宋体" w:eastAsia="宋体" w:cs="宋体"/>
                <w:b/>
                <w:bCs/>
                <w:highlight w:val="none"/>
              </w:rPr>
              <w:t>2、磋商文件编号：</w:t>
            </w:r>
            <w:r>
              <w:rPr>
                <w:rFonts w:hint="eastAsia" w:ascii="宋体" w:hAnsi="宋体" w:eastAsia="宋体" w:cs="宋体"/>
                <w:b w:val="0"/>
                <w:bCs w:val="0"/>
                <w:highlight w:val="none"/>
                <w:lang w:val="en-US" w:eastAsia="zh-CN"/>
              </w:rPr>
              <w:t>XJCYZC-202</w:t>
            </w: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-0</w:t>
            </w:r>
            <w:r>
              <w:rPr>
                <w:rFonts w:hint="eastAsia" w:ascii="宋体" w:hAnsi="宋体" w:cs="宋体"/>
                <w:b w:val="0"/>
                <w:bCs w:val="0"/>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vAlign w:val="top"/>
          </w:tcPr>
          <w:p>
            <w:pPr>
              <w:pStyle w:val="23"/>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highlight w:val="none"/>
              </w:rPr>
            </w:pPr>
            <w:r>
              <w:rPr>
                <w:rFonts w:hint="eastAsia" w:ascii="宋体" w:hAnsi="宋体" w:eastAsia="宋体" w:cs="宋体"/>
                <w:b/>
                <w:bCs/>
                <w:kern w:val="0"/>
                <w:sz w:val="24"/>
                <w:szCs w:val="24"/>
                <w:highlight w:val="none"/>
                <w:lang w:val="en-US" w:eastAsia="zh-CN" w:bidi="ar-SA"/>
              </w:rPr>
              <w:t>1、主要磋商内容：</w:t>
            </w:r>
            <w:r>
              <w:rPr>
                <w:rFonts w:hint="eastAsia" w:ascii="宋体" w:hAnsi="宋体" w:cs="宋体"/>
                <w:b w:val="0"/>
                <w:bCs w:val="0"/>
                <w:i w:val="0"/>
                <w:iCs w:val="0"/>
                <w:sz w:val="24"/>
                <w:szCs w:val="24"/>
                <w:highlight w:val="none"/>
                <w:lang w:val="en-US" w:eastAsia="zh-CN"/>
              </w:rPr>
              <w:t>制作安装文物保护标志牌100处，文物界桩400个，文物安全公示牌100处（详细说明见磋商文件）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vAlign w:val="top"/>
          </w:tcPr>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highlight w:val="none"/>
                <w:lang w:val="en-US" w:eastAsia="zh-CN"/>
              </w:rPr>
              <w:t>600000</w:t>
            </w:r>
            <w:r>
              <w:rPr>
                <w:rFonts w:hint="eastAsia" w:ascii="宋体" w:hAnsi="宋体" w:eastAsia="宋体" w:cs="宋体"/>
                <w:highlight w:val="none"/>
              </w:rPr>
              <w:t>.00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:陆拾万</w:t>
            </w:r>
            <w:r>
              <w:rPr>
                <w:rFonts w:hint="eastAsia" w:ascii="宋体" w:hAnsi="宋体" w:eastAsia="宋体" w:cs="宋体"/>
                <w:highlight w:val="none"/>
              </w:rPr>
              <w:t>元整）</w:t>
            </w:r>
          </w:p>
          <w:p>
            <w:pPr>
              <w:pStyle w:val="23"/>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vAlign w:val="top"/>
          </w:tcPr>
          <w:p>
            <w:pPr>
              <w:pStyle w:val="23"/>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3"/>
              <w:kinsoku w:val="0"/>
              <w:overflowPunct w:val="0"/>
              <w:spacing w:before="122"/>
              <w:ind w:left="1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（2）在中华人民共和国境内注册的法人、其他组织或者自然人，</w:t>
            </w:r>
            <w:r>
              <w:rPr>
                <w:rFonts w:hint="eastAsia" w:ascii="宋体" w:hAnsi="宋体" w:cs="宋体"/>
                <w:color w:val="000000" w:themeColor="text1"/>
                <w:highlight w:val="none"/>
                <w:lang w:eastAsia="zh-CN"/>
                <w14:textFill>
                  <w14:solidFill>
                    <w14:schemeClr w14:val="tx1"/>
                  </w14:solidFill>
                </w14:textFill>
              </w:rPr>
              <w:t>且</w:t>
            </w:r>
            <w:r>
              <w:rPr>
                <w:rFonts w:hint="eastAsia" w:ascii="宋体" w:hAnsi="宋体" w:eastAsia="宋体" w:cs="宋体"/>
                <w:b w:val="0"/>
                <w:bCs w:val="0"/>
                <w:i w:val="0"/>
                <w:iCs w:val="0"/>
                <w:sz w:val="24"/>
                <w:szCs w:val="24"/>
                <w:highlight w:val="none"/>
                <w:u w:val="none"/>
              </w:rPr>
              <w:t>有能力提供本项目全部采购内容及服务能力的供应商</w:t>
            </w:r>
            <w:r>
              <w:rPr>
                <w:rFonts w:hint="eastAsia" w:ascii="宋体" w:hAnsi="宋体" w:cs="宋体"/>
                <w:b w:val="0"/>
                <w:bCs w:val="0"/>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rPr>
              <w:t>有文物保护工程资质的优先</w:t>
            </w:r>
            <w:r>
              <w:rPr>
                <w:rFonts w:hint="eastAsia" w:ascii="宋体" w:hAnsi="宋体" w:cs="宋体"/>
                <w:b w:val="0"/>
                <w:bCs w:val="0"/>
                <w:i w:val="0"/>
                <w:iCs w:val="0"/>
                <w:sz w:val="24"/>
                <w:szCs w:val="24"/>
                <w:highlight w:val="none"/>
                <w:u w:val="none"/>
                <w:lang w:eastAsia="zh-CN"/>
              </w:rPr>
              <w:t>）</w:t>
            </w:r>
            <w:r>
              <w:rPr>
                <w:rFonts w:hint="eastAsia" w:ascii="宋体" w:hAnsi="宋体" w:eastAsia="宋体" w:cs="宋体"/>
                <w:color w:val="000000" w:themeColor="text1"/>
                <w:highlight w:val="none"/>
                <w14:textFill>
                  <w14:solidFill>
                    <w14:schemeClr w14:val="tx1"/>
                  </w14:solidFill>
                </w14:textFill>
              </w:rPr>
              <w:t>；</w:t>
            </w:r>
          </w:p>
          <w:p>
            <w:pPr>
              <w:pStyle w:val="23"/>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3"/>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）为充分保证完善的售后服务，本项目不接受联合体投标。</w:t>
            </w:r>
          </w:p>
          <w:p>
            <w:pPr>
              <w:pStyle w:val="23"/>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w:t>
            </w:r>
            <w:r>
              <w:rPr>
                <w:rFonts w:hint="eastAsia" w:ascii="宋体" w:hAnsi="宋体" w:cs="宋体"/>
                <w:b/>
                <w:bCs/>
                <w:w w:val="95"/>
                <w:highlight w:val="none"/>
                <w:lang w:eastAsia="zh-CN"/>
              </w:rPr>
              <w:t>原件</w:t>
            </w:r>
            <w:r>
              <w:rPr>
                <w:rFonts w:hint="eastAsia" w:ascii="宋体" w:hAnsi="宋体" w:cs="宋体"/>
                <w:b/>
                <w:bCs/>
                <w:w w:val="95"/>
                <w:highlight w:val="none"/>
                <w:lang w:val="en-US" w:eastAsia="zh-CN"/>
              </w:rPr>
              <w:t>(</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宋体" w:hAnsi="宋体" w:eastAsia="宋体" w:cs="宋体"/>
                <w:b/>
                <w:bCs/>
                <w:i w:val="0"/>
                <w:iCs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供应商提供</w:t>
            </w:r>
            <w:r>
              <w:rPr>
                <w:rFonts w:hint="eastAsia" w:ascii="宋体" w:hAnsi="宋体" w:cs="宋体"/>
                <w:b/>
                <w:bCs/>
                <w:color w:val="auto"/>
                <w:sz w:val="24"/>
                <w:szCs w:val="24"/>
                <w:highlight w:val="none"/>
                <w:lang w:val="en-US" w:eastAsia="zh-CN"/>
              </w:rPr>
              <w:t>2020年度</w:t>
            </w:r>
            <w:r>
              <w:rPr>
                <w:rFonts w:hint="eastAsia" w:ascii="宋体" w:hAnsi="宋体" w:eastAsia="宋体" w:cs="宋体"/>
                <w:b/>
                <w:bCs/>
                <w:color w:val="auto"/>
                <w:sz w:val="24"/>
                <w:szCs w:val="24"/>
                <w:highlight w:val="none"/>
                <w:lang w:eastAsia="zh-CN"/>
              </w:rPr>
              <w:t>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Theme="minorEastAsia" w:hAnsiTheme="minorEastAsia" w:eastAsiaTheme="minorEastAsia" w:cstheme="minorEastAsia"/>
                <w:b/>
                <w:bCs/>
                <w:color w:val="auto"/>
                <w:kern w:val="0"/>
                <w:sz w:val="24"/>
                <w:szCs w:val="24"/>
                <w:highlight w:val="none"/>
                <w:lang w:val="zh-CN" w:eastAsia="zh-CN"/>
              </w:rPr>
              <w:t>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31"/>
                <w:szCs w:val="31"/>
                <w:highlight w:val="none"/>
                <w:shd w:val="clear" w:fill="FFFFFF"/>
              </w:rPr>
            </w:pPr>
            <w:r>
              <w:rPr>
                <w:rFonts w:hint="eastAsia" w:asciiTheme="minorEastAsia" w:hAnsiTheme="minorEastAsia" w:eastAsiaTheme="minorEastAsia" w:cstheme="minorEastAsia"/>
                <w:b/>
                <w:bCs/>
                <w:color w:val="auto"/>
                <w:kern w:val="0"/>
                <w:sz w:val="24"/>
                <w:szCs w:val="24"/>
                <w:highlight w:val="none"/>
                <w:lang w:val="en-US" w:eastAsia="zh-CN"/>
              </w:rPr>
              <w:t>8、供应商在投标前需要提供综合信用评价报告，对信用等级为D级的供应商，拒绝其参与政府采购活动。</w:t>
            </w:r>
          </w:p>
          <w:p>
            <w:pPr>
              <w:pageBreakBefore w:val="0"/>
              <w:widowControl w:val="0"/>
              <w:kinsoku/>
              <w:wordWrap/>
              <w:overflowPunct/>
              <w:topLinePunct w:val="0"/>
              <w:bidi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w:t>
            </w:r>
            <w:r>
              <w:rPr>
                <w:rFonts w:hint="eastAsia" w:ascii="宋体" w:hAnsi="宋体" w:cs="宋体"/>
                <w:highlight w:val="none"/>
                <w:lang w:eastAsia="zh-CN"/>
              </w:rPr>
              <w:t>证件</w:t>
            </w:r>
            <w:r>
              <w:rPr>
                <w:rFonts w:hint="eastAsia" w:ascii="宋体" w:hAnsi="宋体" w:eastAsia="宋体" w:cs="宋体"/>
                <w:highlight w:val="none"/>
              </w:rPr>
              <w:t>，请供应商在开标现场一次性提供。供应商提交的所有证明文件及材料必须清晰、准确、真实、有效；对于不提供或提供不真实或虚假资料者按无效标处理。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vAlign w:val="top"/>
          </w:tcPr>
          <w:p>
            <w:pPr>
              <w:pStyle w:val="23"/>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eastAsia="宋体" w:cs="宋体"/>
                <w:highlight w:val="none"/>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3"/>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default" w:ascii="宋体" w:hAnsi="宋体" w:eastAsia="宋体" w:cs="宋体"/>
                <w:highlight w:val="none"/>
                <w:lang w:val="en-US" w:eastAsia="zh-CN"/>
              </w:rPr>
            </w:pPr>
            <w:r>
              <w:rPr>
                <w:rFonts w:hint="eastAsia" w:ascii="宋体" w:hAnsi="宋体" w:cs="宋体"/>
                <w:highlight w:val="none"/>
                <w:lang w:val="en-US" w:eastAsia="zh-CN"/>
              </w:rPr>
              <w:t>10</w:t>
            </w:r>
          </w:p>
        </w:tc>
        <w:tc>
          <w:tcPr>
            <w:tcW w:w="8475" w:type="dxa"/>
            <w:vAlign w:val="top"/>
          </w:tcPr>
          <w:p>
            <w:pPr>
              <w:pStyle w:val="23"/>
              <w:kinsoku w:val="0"/>
              <w:overflowPunct w:val="0"/>
              <w:spacing w:before="72"/>
              <w:ind w:left="102"/>
              <w:rPr>
                <w:rFonts w:hint="default" w:ascii="宋体" w:hAnsi="宋体" w:eastAsia="宋体" w:cs="宋体"/>
                <w:b/>
                <w:bCs/>
                <w:color w:val="FF0000"/>
                <w:highlight w:val="none"/>
                <w:lang w:val="en-US" w:eastAsia="zh-CN"/>
              </w:rPr>
            </w:pPr>
            <w:r>
              <w:rPr>
                <w:rFonts w:hint="eastAsia" w:ascii="宋体" w:hAnsi="宋体" w:cs="宋体"/>
                <w:b/>
                <w:bCs/>
                <w:color w:val="FF0000"/>
                <w:highlight w:val="none"/>
                <w:lang w:eastAsia="zh-CN"/>
              </w:rPr>
              <w:t>工</w:t>
            </w:r>
            <w:r>
              <w:rPr>
                <w:rFonts w:hint="eastAsia" w:ascii="宋体" w:hAnsi="宋体" w:cs="宋体"/>
                <w:b/>
                <w:bCs/>
                <w:color w:val="FF0000"/>
                <w:highlight w:val="none"/>
                <w:lang w:val="en-US" w:eastAsia="zh-CN"/>
              </w:rPr>
              <w:t xml:space="preserve">    </w:t>
            </w:r>
            <w:r>
              <w:rPr>
                <w:rFonts w:hint="eastAsia" w:ascii="宋体" w:hAnsi="宋体" w:cs="宋体"/>
                <w:b/>
                <w:bCs/>
                <w:color w:val="FF0000"/>
                <w:highlight w:val="none"/>
                <w:lang w:eastAsia="zh-CN"/>
              </w:rPr>
              <w:t>期：</w:t>
            </w:r>
            <w:r>
              <w:rPr>
                <w:rFonts w:hint="eastAsia" w:ascii="宋体" w:hAnsi="宋体" w:cs="宋体"/>
                <w:b/>
                <w:bCs/>
                <w:color w:val="FF0000"/>
                <w:highlight w:val="none"/>
                <w:lang w:val="en-US" w:eastAsia="zh-CN"/>
              </w:rPr>
              <w:t>2022年3月1日-2022年9月30日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default" w:ascii="宋体" w:hAnsi="宋体" w:eastAsia="宋体" w:cs="宋体"/>
                <w:highlight w:val="none"/>
                <w:lang w:val="en-US" w:eastAsia="zh-CN"/>
              </w:rPr>
            </w:pPr>
            <w:r>
              <w:rPr>
                <w:rFonts w:hint="eastAsia" w:ascii="宋体" w:hAnsi="宋体" w:cs="宋体"/>
                <w:highlight w:val="none"/>
                <w:lang w:val="en-US" w:eastAsia="zh-CN"/>
              </w:rPr>
              <w:t>11</w:t>
            </w:r>
          </w:p>
        </w:tc>
        <w:tc>
          <w:tcPr>
            <w:tcW w:w="8475" w:type="dxa"/>
            <w:vAlign w:val="top"/>
          </w:tcPr>
          <w:p>
            <w:pPr>
              <w:pStyle w:val="23"/>
              <w:kinsoku w:val="0"/>
              <w:overflowPunct w:val="0"/>
              <w:spacing w:before="72"/>
              <w:ind w:left="102"/>
              <w:rPr>
                <w:rFonts w:hint="default" w:ascii="宋体" w:hAnsi="宋体" w:eastAsia="宋体" w:cs="宋体"/>
                <w:b/>
                <w:bCs/>
                <w:color w:val="FF0000"/>
                <w:highlight w:val="none"/>
                <w:lang w:val="en-US" w:eastAsia="zh-CN"/>
              </w:rPr>
            </w:pPr>
            <w:r>
              <w:rPr>
                <w:rFonts w:hint="eastAsia" w:ascii="宋体" w:hAnsi="宋体" w:cs="宋体"/>
                <w:b/>
                <w:bCs/>
                <w:color w:val="FF0000"/>
                <w:highlight w:val="none"/>
                <w:lang w:eastAsia="zh-CN"/>
              </w:rPr>
              <w:t>质保期限：</w:t>
            </w:r>
            <w:r>
              <w:rPr>
                <w:rFonts w:hint="eastAsia" w:ascii="宋体" w:hAnsi="宋体" w:cs="宋体"/>
                <w:b/>
                <w:bCs/>
                <w:color w:val="FF000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4"/>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2</w:t>
            </w:r>
          </w:p>
        </w:tc>
        <w:tc>
          <w:tcPr>
            <w:tcW w:w="8475" w:type="dxa"/>
            <w:vAlign w:val="top"/>
          </w:tcPr>
          <w:p>
            <w:pPr>
              <w:pStyle w:val="23"/>
              <w:kinsoku w:val="0"/>
              <w:overflowPunct w:val="0"/>
              <w:spacing w:before="74"/>
              <w:ind w:left="102"/>
              <w:rPr>
                <w:rFonts w:hint="default" w:ascii="宋体" w:hAnsi="宋体" w:eastAsia="宋体" w:cs="宋体"/>
                <w:highlight w:val="none"/>
                <w:lang w:val="en-US" w:eastAsia="zh-CN"/>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02</w:t>
            </w:r>
            <w:r>
              <w:rPr>
                <w:rFonts w:hint="eastAsia" w:ascii="宋体" w:hAnsi="宋体" w:eastAsia="宋体" w:cs="宋体"/>
                <w:highlight w:val="none"/>
              </w:rPr>
              <w:t>月</w:t>
            </w:r>
            <w:r>
              <w:rPr>
                <w:rFonts w:hint="eastAsia" w:ascii="宋体" w:hAnsi="宋体" w:cs="宋体"/>
                <w:highlight w:val="none"/>
                <w:lang w:val="en-US" w:eastAsia="zh-CN"/>
              </w:rPr>
              <w:t>07</w:t>
            </w:r>
            <w:r>
              <w:rPr>
                <w:rFonts w:hint="eastAsia" w:ascii="宋体" w:hAnsi="宋体" w:eastAsia="宋体" w:cs="宋体"/>
                <w:highlight w:val="none"/>
              </w:rPr>
              <w:t>日</w:t>
            </w:r>
            <w:r>
              <w:rPr>
                <w:rFonts w:hint="eastAsia" w:ascii="宋体" w:hAnsi="宋体" w:cs="宋体"/>
                <w:highlight w:val="none"/>
                <w:lang w:val="en-US" w:eastAsia="zh-CN"/>
              </w:rPr>
              <w:t>16:00时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3</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200</w:t>
            </w:r>
            <w:r>
              <w:rPr>
                <w:rFonts w:hint="eastAsia" w:ascii="宋体" w:hAnsi="宋体" w:eastAsia="宋体" w:cs="宋体"/>
                <w:b/>
                <w:bCs/>
                <w:highlight w:val="none"/>
              </w:rPr>
              <w:t>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4</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4"/>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5</w:t>
            </w:r>
          </w:p>
        </w:tc>
        <w:tc>
          <w:tcPr>
            <w:tcW w:w="8475" w:type="dxa"/>
            <w:vAlign w:val="top"/>
          </w:tcPr>
          <w:p>
            <w:pPr>
              <w:pStyle w:val="23"/>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6</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7</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vAlign w:val="center"/>
          </w:tcPr>
          <w:p>
            <w:pPr>
              <w:pStyle w:val="23"/>
              <w:kinsoku w:val="0"/>
              <w:overflowPunct w:val="0"/>
              <w:spacing w:before="201"/>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8</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3"/>
              <w:kinsoku w:val="0"/>
              <w:overflowPunct w:val="0"/>
              <w:spacing w:before="7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9</w:t>
            </w:r>
          </w:p>
        </w:tc>
        <w:tc>
          <w:tcPr>
            <w:tcW w:w="8475" w:type="dxa"/>
            <w:vAlign w:val="top"/>
          </w:tcPr>
          <w:p>
            <w:pPr>
              <w:pStyle w:val="23"/>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20</w:t>
            </w:r>
          </w:p>
        </w:tc>
        <w:tc>
          <w:tcPr>
            <w:tcW w:w="8475" w:type="dxa"/>
            <w:vAlign w:val="top"/>
          </w:tcPr>
          <w:p>
            <w:pPr>
              <w:pStyle w:val="23"/>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21</w:t>
            </w:r>
          </w:p>
        </w:tc>
        <w:tc>
          <w:tcPr>
            <w:tcW w:w="8475" w:type="dxa"/>
            <w:vAlign w:val="top"/>
          </w:tcPr>
          <w:p>
            <w:pPr>
              <w:pStyle w:val="23"/>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2</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12000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eastAsia="zh-CN"/>
              </w:rPr>
              <w:t>壹万贰仟元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新疆成源项目管理咨询有限公司</w:t>
            </w:r>
          </w:p>
          <w:p>
            <w:pPr>
              <w:pStyle w:val="23"/>
              <w:spacing w:before="132" w:line="345" w:lineRule="auto"/>
              <w:ind w:right="15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lang w:eastAsia="zh-CN"/>
              </w:rPr>
              <w:t>哈密市商业银行股份有限公司八一路支行</w:t>
            </w:r>
          </w:p>
          <w:p>
            <w:pPr>
              <w:pStyle w:val="23"/>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w:t>
            </w:r>
            <w:r>
              <w:rPr>
                <w:rFonts w:hint="eastAsia" w:asciiTheme="minorEastAsia" w:hAnsiTheme="minorEastAsia" w:eastAsiaTheme="minorEastAsia" w:cstheme="minorEastAsia"/>
                <w:color w:val="auto"/>
                <w:sz w:val="24"/>
                <w:highlight w:val="none"/>
                <w:lang w:val="en-US" w:eastAsia="zh-CN"/>
              </w:rPr>
              <w:t>908210100100094447</w:t>
            </w:r>
            <w:r>
              <w:rPr>
                <w:rFonts w:hint="eastAsia" w:asciiTheme="minorEastAsia" w:hAnsiTheme="minorEastAsia" w:eastAsiaTheme="minorEastAsia" w:cstheme="minorEastAsia"/>
                <w:color w:val="auto"/>
                <w:sz w:val="24"/>
                <w:highlight w:val="none"/>
              </w:rPr>
              <w:t xml:space="preserve"> </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3</w:t>
            </w:r>
          </w:p>
        </w:tc>
        <w:tc>
          <w:tcPr>
            <w:tcW w:w="8475" w:type="dxa"/>
            <w:vAlign w:val="top"/>
          </w:tcPr>
          <w:p>
            <w:pPr>
              <w:pStyle w:val="23"/>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3"/>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3"/>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3"/>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4</w:t>
            </w:r>
          </w:p>
        </w:tc>
        <w:tc>
          <w:tcPr>
            <w:tcW w:w="8475" w:type="dxa"/>
            <w:vAlign w:val="top"/>
          </w:tcPr>
          <w:p>
            <w:pPr>
              <w:pStyle w:val="23"/>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3"/>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 xml:space="preserve"> 2</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3"/>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3"/>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02</w:t>
            </w:r>
            <w:r>
              <w:rPr>
                <w:rFonts w:hint="eastAsia" w:ascii="宋体" w:hAnsi="宋体" w:eastAsia="宋体" w:cs="宋体"/>
                <w:highlight w:val="none"/>
              </w:rPr>
              <w:t>月</w:t>
            </w:r>
            <w:r>
              <w:rPr>
                <w:rFonts w:hint="eastAsia" w:ascii="宋体" w:hAnsi="宋体" w:cs="宋体"/>
                <w:highlight w:val="none"/>
                <w:lang w:val="en-US" w:eastAsia="zh-CN"/>
              </w:rPr>
              <w:t>07</w:t>
            </w:r>
            <w:r>
              <w:rPr>
                <w:rFonts w:hint="eastAsia" w:ascii="宋体" w:hAnsi="宋体" w:eastAsia="宋体" w:cs="宋体"/>
                <w:highlight w:val="none"/>
              </w:rPr>
              <w:t>日</w:t>
            </w:r>
            <w:r>
              <w:rPr>
                <w:rFonts w:hint="eastAsia" w:ascii="宋体" w:hAnsi="宋体" w:cs="宋体"/>
                <w:highlight w:val="none"/>
                <w:lang w:val="en-US" w:eastAsia="zh-CN"/>
              </w:rPr>
              <w:t>16:00</w:t>
            </w:r>
            <w:r>
              <w:rPr>
                <w:rFonts w:hint="eastAsia" w:ascii="宋体" w:hAnsi="宋体" w:cs="宋体"/>
                <w:highlight w:val="none"/>
                <w:lang w:eastAsia="zh-CN"/>
              </w:rPr>
              <w:t>分</w:t>
            </w:r>
            <w:r>
              <w:rPr>
                <w:rFonts w:hint="eastAsia" w:ascii="宋体" w:hAnsi="宋体" w:eastAsia="宋体" w:cs="宋体"/>
                <w:highlight w:val="none"/>
              </w:rPr>
              <w:t>（北京时间）</w:t>
            </w:r>
          </w:p>
          <w:p>
            <w:pPr>
              <w:pStyle w:val="23"/>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宋体" w:hAnsi="宋体" w:eastAsia="宋体" w:cs="宋体"/>
                <w:i w:val="0"/>
                <w:iCs w:val="0"/>
                <w:sz w:val="24"/>
                <w:szCs w:val="24"/>
                <w:highlight w:val="none"/>
              </w:rPr>
              <w:t>新疆</w:t>
            </w:r>
            <w:r>
              <w:rPr>
                <w:rFonts w:hint="eastAsia" w:ascii="宋体" w:hAnsi="宋体" w:cs="宋体"/>
                <w:i w:val="0"/>
                <w:iCs w:val="0"/>
                <w:sz w:val="24"/>
                <w:szCs w:val="24"/>
                <w:highlight w:val="none"/>
                <w:lang w:eastAsia="zh-CN"/>
              </w:rPr>
              <w:t>哈密</w:t>
            </w:r>
            <w:r>
              <w:rPr>
                <w:rFonts w:hint="eastAsia" w:ascii="宋体" w:hAnsi="宋体" w:eastAsia="宋体" w:cs="宋体"/>
                <w:i w:val="0"/>
                <w:iCs w:val="0"/>
                <w:sz w:val="24"/>
                <w:szCs w:val="24"/>
                <w:highlight w:val="none"/>
              </w:rPr>
              <w:t>市</w:t>
            </w:r>
            <w:r>
              <w:rPr>
                <w:rFonts w:hint="eastAsia" w:ascii="宋体" w:hAnsi="宋体" w:cs="宋体"/>
                <w:i w:val="0"/>
                <w:iCs w:val="0"/>
                <w:sz w:val="24"/>
                <w:szCs w:val="24"/>
                <w:highlight w:val="none"/>
                <w:lang w:eastAsia="zh-CN"/>
              </w:rPr>
              <w:t>伊州区八一路魔方广场</w:t>
            </w:r>
            <w:r>
              <w:rPr>
                <w:rFonts w:hint="eastAsia" w:ascii="宋体" w:hAnsi="宋体" w:cs="宋体"/>
                <w:i w:val="0"/>
                <w:iCs w:val="0"/>
                <w:sz w:val="24"/>
                <w:szCs w:val="24"/>
                <w:highlight w:val="none"/>
                <w:lang w:val="en-US" w:eastAsia="zh-CN"/>
              </w:rPr>
              <w:t>B1616室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5</w:t>
            </w:r>
          </w:p>
        </w:tc>
        <w:tc>
          <w:tcPr>
            <w:tcW w:w="8475" w:type="dxa"/>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3"/>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3"/>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分之前不得启封”字样。</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3"/>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6</w:t>
            </w:r>
          </w:p>
        </w:tc>
        <w:tc>
          <w:tcPr>
            <w:tcW w:w="8475" w:type="dxa"/>
            <w:vAlign w:val="top"/>
          </w:tcPr>
          <w:p>
            <w:pPr>
              <w:pStyle w:val="23"/>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p>
          <w:p>
            <w:pPr>
              <w:pStyle w:val="23"/>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3"/>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7</w:t>
            </w:r>
          </w:p>
        </w:tc>
        <w:tc>
          <w:tcPr>
            <w:tcW w:w="8475" w:type="dxa"/>
            <w:vAlign w:val="top"/>
          </w:tcPr>
          <w:p>
            <w:pPr>
              <w:pStyle w:val="23"/>
              <w:kinsoku w:val="0"/>
              <w:overflowPunct w:val="0"/>
              <w:spacing w:before="56"/>
              <w:rPr>
                <w:rFonts w:hint="eastAsia" w:ascii="宋体" w:hAnsi="宋体" w:eastAsia="宋体" w:cs="宋体"/>
                <w:highlight w:val="none"/>
                <w:lang w:val="en-US" w:eastAsia="zh-CN"/>
              </w:rPr>
            </w:pPr>
            <w:r>
              <w:rPr>
                <w:rFonts w:hint="eastAsia" w:ascii="宋体" w:hAnsi="宋体" w:eastAsia="宋体" w:cs="宋体"/>
                <w:b/>
                <w:bCs/>
                <w:color w:val="FF0000"/>
                <w:highlight w:val="none"/>
              </w:rPr>
              <w:t>付款方式：</w:t>
            </w:r>
            <w:r>
              <w:rPr>
                <w:rFonts w:hint="eastAsia" w:ascii="宋体" w:hAnsi="宋体" w:cs="宋体"/>
                <w:b/>
                <w:bCs/>
                <w:color w:val="FF0000"/>
                <w:highlight w:val="none"/>
                <w:lang w:eastAsia="zh-CN"/>
              </w:rPr>
              <w:t>甲乙双方自拟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8</w:t>
            </w:r>
          </w:p>
        </w:tc>
        <w:tc>
          <w:tcPr>
            <w:tcW w:w="8475" w:type="dxa"/>
            <w:vAlign w:val="top"/>
          </w:tcPr>
          <w:p>
            <w:pPr>
              <w:pStyle w:val="23"/>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vAlign w:val="center"/>
          </w:tcPr>
          <w:p>
            <w:pPr>
              <w:pStyle w:val="23"/>
              <w:kinsoku w:val="0"/>
              <w:overflowPunct w:val="0"/>
              <w:spacing w:before="73"/>
              <w:jc w:val="center"/>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cs="宋体"/>
                <w:highlight w:val="none"/>
                <w:lang w:val="en-US" w:eastAsia="zh-CN"/>
              </w:rPr>
              <w:t>9</w:t>
            </w:r>
          </w:p>
        </w:tc>
        <w:tc>
          <w:tcPr>
            <w:tcW w:w="8475" w:type="dxa"/>
            <w:vAlign w:val="top"/>
          </w:tcPr>
          <w:p>
            <w:pPr>
              <w:pStyle w:val="23"/>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3"/>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vAlign w:val="top"/>
          </w:tcPr>
          <w:p>
            <w:pPr>
              <w:pStyle w:val="23"/>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3"/>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31</w:t>
            </w:r>
          </w:p>
        </w:tc>
        <w:tc>
          <w:tcPr>
            <w:tcW w:w="8475" w:type="dxa"/>
            <w:vAlign w:val="top"/>
          </w:tcPr>
          <w:p>
            <w:pPr>
              <w:pStyle w:val="23"/>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bookmark3"/>
            <w:bookmarkEnd w:id="48"/>
            <w:bookmarkStart w:id="49" w:name="（二）供应商须知"/>
            <w:bookmarkEnd w:id="49"/>
            <w:r>
              <w:rPr>
                <w:rFonts w:hint="eastAsia" w:ascii="宋体" w:hAnsi="宋体" w:eastAsia="宋体" w:cs="宋体"/>
                <w:b/>
                <w:bCs/>
                <w:highlight w:val="none"/>
              </w:rPr>
              <w:t xml:space="preserve">要求： </w:t>
            </w:r>
          </w:p>
          <w:p>
            <w:pPr>
              <w:pStyle w:val="23"/>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32</w:t>
            </w:r>
          </w:p>
        </w:tc>
        <w:tc>
          <w:tcPr>
            <w:tcW w:w="8475" w:type="dxa"/>
            <w:vAlign w:val="top"/>
          </w:tcPr>
          <w:p>
            <w:pPr>
              <w:pStyle w:val="23"/>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3"/>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33</w:t>
            </w:r>
          </w:p>
        </w:tc>
        <w:tc>
          <w:tcPr>
            <w:tcW w:w="8475" w:type="dxa"/>
            <w:vAlign w:val="top"/>
          </w:tcPr>
          <w:p>
            <w:pPr>
              <w:pStyle w:val="23"/>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7"/>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3"/>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3"/>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3"/>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哈密市文化体育广播电视和旅游局</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宋体" w:hAnsi="宋体" w:eastAsia="宋体" w:cs="宋体"/>
          <w:color w:val="000000"/>
          <w:spacing w:val="4"/>
          <w:highlight w:val="none"/>
          <w:lang w:eastAsia="zh-CN"/>
        </w:rPr>
        <w:t>新疆成源项目管理咨询有限公司</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3"/>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3"/>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3"/>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w:t>
      </w:r>
      <w:r>
        <w:rPr>
          <w:rFonts w:hint="eastAsia" w:ascii="宋体" w:hAnsi="宋体" w:eastAsia="宋体" w:cs="宋体"/>
          <w:bCs/>
          <w:color w:val="000000"/>
          <w:highlight w:val="none"/>
          <w:lang w:eastAsia="zh-CN"/>
        </w:rPr>
        <w:t>中标通知书</w:t>
      </w:r>
      <w:r>
        <w:rPr>
          <w:rFonts w:hint="eastAsia" w:ascii="宋体" w:hAnsi="宋体" w:eastAsia="宋体" w:cs="宋体"/>
          <w:bCs/>
          <w:color w:val="000000"/>
          <w:highlight w:val="none"/>
        </w:rPr>
        <w:t>》时须一次性付给采购代理单位采购代理服务费，招标代理服务费参照国家计委《招标代理服务收费管理暂行办法》(计价格﹝2002﹞1980 号)所规定取费。</w:t>
      </w:r>
    </w:p>
    <w:p>
      <w:pPr>
        <w:pStyle w:val="3"/>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3"/>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3"/>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3"/>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招标投标管理办法》、《政府购买服务管理办法（暂行）》、《政府采购竞争性磋商采购方式管理暂行办法》和本项目采购人本级和上级财政部门政府采购有关规定的约束，其权利受到上述法律法规的保护。</w:t>
      </w:r>
    </w:p>
    <w:p>
      <w:pPr>
        <w:pStyle w:val="7"/>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3"/>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3"/>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3"/>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3"/>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7"/>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3"/>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3"/>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3"/>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3"/>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3"/>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3"/>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3"/>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3"/>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3"/>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3"/>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12000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eastAsia="zh-CN"/>
        </w:rPr>
        <w:t>壹万贰仟元</w:t>
      </w:r>
      <w:r>
        <w:rPr>
          <w:rFonts w:hint="eastAsia" w:ascii="宋体" w:hAnsi="宋体" w:eastAsia="宋体" w:cs="宋体"/>
          <w:kern w:val="0"/>
          <w:sz w:val="24"/>
          <w:szCs w:val="24"/>
          <w:highlight w:val="none"/>
        </w:rPr>
        <w:t>整）</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3"/>
        <w:kinsoku w:val="0"/>
        <w:overflowPunct w:val="0"/>
        <w:spacing w:before="130" w:line="355" w:lineRule="auto"/>
        <w:ind w:right="7"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新疆成源项目管理咨询有限公司</w:t>
      </w:r>
    </w:p>
    <w:p>
      <w:pPr>
        <w:pStyle w:val="3"/>
        <w:kinsoku w:val="0"/>
        <w:overflowPunct w:val="0"/>
        <w:spacing w:before="130" w:line="355" w:lineRule="auto"/>
        <w:ind w:right="7" w:firstLine="480" w:firstLineChars="200"/>
        <w:rPr>
          <w:rFonts w:hint="eastAsia" w:asciiTheme="minorEastAsia" w:hAnsiTheme="minorEastAsia" w:eastAsiaTheme="minorEastAsia" w:cstheme="minorEastAsia"/>
          <w:color w:val="auto"/>
          <w:sz w:val="24"/>
          <w:highlight w:val="none"/>
          <w:lang w:eastAsia="zh-CN"/>
        </w:rPr>
      </w:pPr>
      <w:r>
        <w:rPr>
          <w:rFonts w:hint="eastAsia" w:ascii="宋体" w:hAnsi="宋体" w:eastAsia="宋体" w:cs="宋体"/>
          <w:kern w:val="0"/>
          <w:sz w:val="24"/>
          <w:szCs w:val="24"/>
          <w:highlight w:val="none"/>
        </w:rPr>
        <w:t>开户银行：</w:t>
      </w:r>
      <w:r>
        <w:rPr>
          <w:rFonts w:hint="eastAsia" w:asciiTheme="minorEastAsia" w:hAnsiTheme="minorEastAsia" w:eastAsiaTheme="minorEastAsia" w:cstheme="minorEastAsia"/>
          <w:color w:val="auto"/>
          <w:sz w:val="24"/>
          <w:highlight w:val="none"/>
          <w:lang w:eastAsia="zh-CN"/>
        </w:rPr>
        <w:t>哈密市商业银行股份有限公司八一路支行</w:t>
      </w:r>
    </w:p>
    <w:p>
      <w:pPr>
        <w:pStyle w:val="3"/>
        <w:kinsoku w:val="0"/>
        <w:overflowPunct w:val="0"/>
        <w:spacing w:before="130" w:line="355" w:lineRule="auto"/>
        <w:ind w:right="7"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3"/>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3"/>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3"/>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3"/>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3"/>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二</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一</w:t>
      </w:r>
      <w:r>
        <w:rPr>
          <w:rFonts w:hint="eastAsia" w:ascii="宋体" w:hAnsi="宋体" w:eastAsia="宋体" w:cs="宋体"/>
          <w:highlight w:val="none"/>
        </w:rPr>
        <w:t>份。</w:t>
      </w:r>
    </w:p>
    <w:p>
      <w:pPr>
        <w:pStyle w:val="3"/>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3"/>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3"/>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7"/>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本次招标接受邮寄的磋商响应性文件。</w:t>
      </w:r>
    </w:p>
    <w:p>
      <w:pPr>
        <w:pStyle w:val="3"/>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3"/>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3"/>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7"/>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3"/>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3"/>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3"/>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3"/>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3"/>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3"/>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3"/>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3"/>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7"/>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3"/>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3"/>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pStyle w:val="3"/>
        <w:tabs>
          <w:tab w:val="left" w:pos="1080"/>
        </w:tabs>
        <w:kinsoku w:val="0"/>
        <w:overflowPunct w:val="0"/>
        <w:spacing w:before="26" w:line="355" w:lineRule="auto"/>
        <w:ind w:right="234" w:firstLine="48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2.3</w:t>
      </w:r>
      <w:r>
        <w:rPr>
          <w:rFonts w:hint="eastAsia" w:ascii="宋体" w:hAnsi="宋体" w:eastAsia="宋体" w:cs="宋体"/>
          <w:highlight w:val="none"/>
        </w:rPr>
        <w:t xml:space="preserve"> </w:t>
      </w:r>
      <w:r>
        <w:rPr>
          <w:rFonts w:hint="eastAsia" w:ascii="宋体" w:hAnsi="宋体" w:eastAsia="宋体" w:cs="宋体"/>
          <w:sz w:val="24"/>
          <w:szCs w:val="24"/>
          <w:highlight w:val="none"/>
        </w:rPr>
        <w:t>中标结果在“新疆政府采购网” 上予以公告。同时向中标人发出中标通知书。</w:t>
      </w:r>
    </w:p>
    <w:p>
      <w:pPr>
        <w:pStyle w:val="3"/>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7"/>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3"/>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3"/>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3"/>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w:t>
      </w:r>
      <w:r>
        <w:rPr>
          <w:rFonts w:hint="eastAsia" w:ascii="宋体" w:hAnsi="宋体" w:eastAsia="宋体" w:cs="宋体"/>
          <w:highlight w:val="none"/>
          <w:lang w:eastAsia="zh-CN"/>
        </w:rPr>
        <w:t>民法典</w:t>
      </w:r>
      <w:r>
        <w:rPr>
          <w:rFonts w:hint="eastAsia" w:ascii="宋体" w:hAnsi="宋体" w:eastAsia="宋体" w:cs="宋体"/>
          <w:highlight w:val="none"/>
        </w:rPr>
        <w:t>》定金罚则及损害赔偿的原则处罚并办理。若由于中标单位的原因逾期未与采购人签订采购合同的，将视为放弃中标，取消其中标资格并将按照《中华人民共和国政府采购法》相关规定进行处理。</w:t>
      </w:r>
    </w:p>
    <w:p>
      <w:pPr>
        <w:pStyle w:val="3"/>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3"/>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在合同履行过程中，如发生合同纠纷，合同双方应按照《中华人民共和国</w:t>
      </w:r>
      <w:r>
        <w:rPr>
          <w:rFonts w:hint="eastAsia" w:ascii="宋体" w:hAnsi="宋体" w:eastAsia="宋体" w:cs="宋体"/>
          <w:highlight w:val="none"/>
          <w:lang w:eastAsia="zh-CN"/>
        </w:rPr>
        <w:t>民法典</w:t>
      </w:r>
      <w:r>
        <w:rPr>
          <w:rFonts w:hint="eastAsia" w:ascii="宋体" w:hAnsi="宋体" w:eastAsia="宋体" w:cs="宋体"/>
          <w:highlight w:val="none"/>
        </w:rPr>
        <w:t>》的有关规定进行处理。</w:t>
      </w:r>
    </w:p>
    <w:p>
      <w:pPr>
        <w:pStyle w:val="7"/>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3"/>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3"/>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3"/>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7"/>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3"/>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3"/>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3"/>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二）无效投标"/>
      <w:bookmarkEnd w:id="63"/>
      <w:bookmarkStart w:id="64" w:name="（十三）废标"/>
      <w:bookmarkEnd w:id="64"/>
      <w:bookmarkStart w:id="65" w:name="bookmark14"/>
      <w:bookmarkEnd w:id="65"/>
      <w:bookmarkStart w:id="66" w:name="bookmark13"/>
      <w:bookmarkEnd w:id="66"/>
      <w:r>
        <w:rPr>
          <w:rFonts w:hint="eastAsia" w:ascii="宋体" w:hAnsi="宋体" w:eastAsia="宋体" w:cs="宋体"/>
          <w:highlight w:val="none"/>
        </w:rPr>
        <w:t>影响评标程序正常进行，不得使用“评标办法”没有规定的 评审因素和标准进行评标。</w:t>
      </w:r>
    </w:p>
    <w:p>
      <w:pPr>
        <w:pStyle w:val="3"/>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7"/>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4"/>
        <w:rPr>
          <w:rFonts w:hint="eastAsia"/>
        </w:rPr>
      </w:pP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7"/>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7"/>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6"/>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spacing w:val="1"/>
          <w:highlight w:val="none"/>
        </w:rPr>
        <w:t>第三章评标办法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3"/>
        <w:numPr>
          <w:ilvl w:val="0"/>
          <w:numId w:val="0"/>
        </w:numPr>
        <w:kinsoku w:val="0"/>
        <w:overflowPunct w:val="0"/>
        <w:spacing w:before="34" w:line="357" w:lineRule="auto"/>
        <w:ind w:right="126" w:rightChars="0" w:firstLine="480" w:firstLineChars="20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3"/>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3"/>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624" w:firstLineChars="2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 xml:space="preserve">1.1 </w:t>
      </w:r>
      <w:r>
        <w:rPr>
          <w:rFonts w:hint="eastAsia" w:ascii="宋体" w:hAnsi="宋体" w:eastAsia="宋体" w:cs="宋体"/>
          <w:b/>
          <w:bCs/>
          <w:color w:val="000000"/>
          <w:sz w:val="24"/>
          <w:szCs w:val="24"/>
          <w:highlight w:val="none"/>
          <w:lang w:eastAsia="zh-CN"/>
        </w:rPr>
        <w:t>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宋体" w:hAnsi="宋体" w:eastAsia="宋体" w:cs="宋体"/>
          <w:b/>
          <w:bCs/>
          <w:i w:val="0"/>
          <w:iCs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供应商提供</w:t>
      </w:r>
      <w:r>
        <w:rPr>
          <w:rFonts w:hint="eastAsia" w:ascii="宋体" w:hAnsi="宋体" w:cs="宋体"/>
          <w:b/>
          <w:bCs/>
          <w:color w:val="auto"/>
          <w:sz w:val="24"/>
          <w:szCs w:val="24"/>
          <w:highlight w:val="none"/>
          <w:lang w:val="en-US" w:eastAsia="zh-CN"/>
        </w:rPr>
        <w:t>2020年度</w:t>
      </w:r>
      <w:r>
        <w:rPr>
          <w:rFonts w:hint="eastAsia" w:ascii="宋体" w:hAnsi="宋体" w:eastAsia="宋体" w:cs="宋体"/>
          <w:b/>
          <w:bCs/>
          <w:color w:val="auto"/>
          <w:sz w:val="24"/>
          <w:szCs w:val="24"/>
          <w:highlight w:val="none"/>
          <w:lang w:eastAsia="zh-CN"/>
        </w:rPr>
        <w:t>财务审计报告（至少包括审计报告、资产负债表和利润表，成立时间至提交投标文件截止时间不足一年的可提供成立后任意时段的资产负债表），或其开标前三个月内基本存款账户开户银行出具的资信证明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Theme="minorEastAsia" w:hAnsiTheme="minorEastAsia" w:eastAsiaTheme="minorEastAsia" w:cstheme="minorEastAsia"/>
          <w:b/>
          <w:bCs/>
          <w:color w:val="auto"/>
          <w:kern w:val="0"/>
          <w:sz w:val="24"/>
          <w:szCs w:val="24"/>
          <w:highlight w:val="none"/>
          <w:lang w:val="zh-CN" w:eastAsia="zh-CN"/>
        </w:rPr>
        <w:t>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7、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31"/>
          <w:szCs w:val="31"/>
          <w:highlight w:val="none"/>
          <w:shd w:val="clear" w:fill="FFFFFF"/>
        </w:rPr>
      </w:pPr>
      <w:r>
        <w:rPr>
          <w:rFonts w:hint="eastAsia" w:asciiTheme="minorEastAsia" w:hAnsiTheme="minorEastAsia" w:eastAsiaTheme="minorEastAsia" w:cstheme="minorEastAsia"/>
          <w:b/>
          <w:bCs/>
          <w:color w:val="auto"/>
          <w:kern w:val="0"/>
          <w:sz w:val="24"/>
          <w:szCs w:val="24"/>
          <w:highlight w:val="none"/>
          <w:lang w:val="en-US" w:eastAsia="zh-CN"/>
        </w:rPr>
        <w:t>8、供应商在投标前需要提供综合信用评价报告，对信用等级为D级的供应商，拒绝其参与政府采购活动。</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val="0"/>
          <w:bCs w:val="0"/>
          <w:highlight w:val="none"/>
        </w:rPr>
        <w:t>备注：竞争性磋商文件涉及要求供应商在开标时所带的</w:t>
      </w:r>
      <w:r>
        <w:rPr>
          <w:rFonts w:hint="eastAsia" w:ascii="宋体" w:hAnsi="宋体" w:eastAsia="宋体" w:cs="宋体"/>
          <w:b w:val="0"/>
          <w:bCs w:val="0"/>
          <w:highlight w:val="none"/>
          <w:lang w:eastAsia="zh-CN"/>
        </w:rPr>
        <w:t>证件</w:t>
      </w:r>
      <w:r>
        <w:rPr>
          <w:rFonts w:hint="eastAsia" w:ascii="宋体" w:hAnsi="宋体" w:eastAsia="宋体" w:cs="宋体"/>
          <w:b w:val="0"/>
          <w:bCs w:val="0"/>
          <w:highlight w:val="none"/>
        </w:rPr>
        <w:t>，请供应商在开标现场一次性提供。供应商提交的所有证明文件及材料必须清晰、准确、真实、有效；对于不提供或提供不真实或虚假资料者按无效标处理。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（1）未按照招标文件的规定提交投标保证金的；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（2）投标文件未按招标文件要求签署、盖章的；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（3）不具备招标文件中规定的资格要求的；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（4）报价超过招标文件中规定的预算金额或者最高限价的；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（5）投标文件含有采购人不能接受的附加条件的；</w:t>
      </w:r>
    </w:p>
    <w:p>
      <w:pPr>
        <w:pStyle w:val="3"/>
        <w:kinsoku w:val="0"/>
        <w:overflowPunct w:val="0"/>
        <w:spacing w:before="34" w:line="357" w:lineRule="auto"/>
        <w:ind w:right="126" w:firstLine="480"/>
        <w:rPr>
          <w:rFonts w:hint="eastAsia" w:ascii="宋体" w:hAnsi="宋体" w:eastAsia="宋体" w:cs="宋体"/>
          <w:b/>
          <w:bCs/>
          <w:highlight w:val="none"/>
        </w:rPr>
      </w:pPr>
      <w:r>
        <w:rPr>
          <w:rFonts w:hint="eastAsia" w:ascii="宋体" w:hAnsi="宋体" w:eastAsia="宋体" w:cs="宋体"/>
          <w:b/>
          <w:bCs/>
          <w:highlight w:val="none"/>
        </w:rPr>
        <w:t>（6）法律、法规和招标文件规定的其他无效情形；</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由磋商小组采用综合评分法对提交最终报价的供应商的响应文件和最终报价进行打分；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18"/>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3"/>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23"/>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3"/>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highlight w:val="none"/>
              </w:rPr>
              <w:t>（总分100分)</w:t>
            </w:r>
          </w:p>
        </w:tc>
        <w:tc>
          <w:tcPr>
            <w:tcW w:w="6603" w:type="dxa"/>
          </w:tcPr>
          <w:p>
            <w:pPr>
              <w:pStyle w:val="23"/>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评审价格：</w:t>
            </w:r>
            <w:r>
              <w:rPr>
                <w:rFonts w:hint="eastAsia" w:asciiTheme="minorEastAsia" w:hAnsiTheme="minorEastAsia" w:eastAsiaTheme="minorEastAsia" w:cstheme="minorEastAsia"/>
                <w:b/>
                <w:bCs/>
                <w:color w:val="auto"/>
                <w:sz w:val="21"/>
                <w:szCs w:val="21"/>
                <w:highlight w:val="none"/>
                <w:lang w:val="en-US" w:eastAsia="zh-CN"/>
              </w:rPr>
              <w:t>30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restart"/>
            <w:vAlign w:val="center"/>
          </w:tcPr>
          <w:p>
            <w:pPr>
              <w:pStyle w:val="23"/>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3"/>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3"/>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3"/>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50</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3"/>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3"/>
              <w:jc w:val="both"/>
              <w:rPr>
                <w:rFonts w:hint="eastAsia" w:asciiTheme="minorEastAsia" w:hAnsiTheme="minorEastAsia" w:eastAsiaTheme="minorEastAsia" w:cstheme="minorEastAsia"/>
                <w:color w:val="auto"/>
                <w:sz w:val="21"/>
                <w:szCs w:val="21"/>
                <w:highlight w:val="none"/>
              </w:rPr>
            </w:pPr>
          </w:p>
          <w:p>
            <w:pPr>
              <w:pStyle w:val="23"/>
              <w:spacing w:before="10"/>
              <w:jc w:val="both"/>
              <w:rPr>
                <w:rFonts w:hint="eastAsia" w:asciiTheme="minorEastAsia" w:hAnsiTheme="minorEastAsia" w:eastAsiaTheme="minorEastAsia" w:cstheme="minorEastAsia"/>
                <w:color w:val="auto"/>
                <w:sz w:val="21"/>
                <w:szCs w:val="21"/>
                <w:highlight w:val="none"/>
              </w:rPr>
            </w:pPr>
          </w:p>
          <w:p>
            <w:pPr>
              <w:pStyle w:val="23"/>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23"/>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6603" w:type="dxa"/>
            <w:vAlign w:val="center"/>
          </w:tcPr>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满足磋商文件要求且最终报价最低的报价为评审基准价，其价格分为满分。其他满足磋商文件要求的供应商的价格分统一按照下列公式计算：</w:t>
            </w:r>
          </w:p>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评审价格分数=(评标基准价／投标报价)×30分</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投标人不得低于成本或市场价恶意竞标，评标委员会认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为投标人的报价明显低于其他通过符合性审查投标人的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报价，有可能影响产品质量或者不能诚信履约的，应当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要求其在评标现场合理的时间内提供书面说明，必要时 </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kern w:val="0"/>
                <w:sz w:val="24"/>
                <w:szCs w:val="24"/>
                <w:lang w:bidi="ar"/>
              </w:rPr>
              <w:t xml:space="preserve">提交相关证明材料；投标人不能 证明其报价合理性的， </w:t>
            </w:r>
          </w:p>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b/>
                <w:color w:val="000000"/>
                <w:kern w:val="0"/>
                <w:sz w:val="24"/>
                <w:szCs w:val="24"/>
                <w:lang w:bidi="ar"/>
              </w:rPr>
              <w:t>评标委员会应当将其作为无效投标处理。</w:t>
            </w:r>
          </w:p>
        </w:tc>
        <w:tc>
          <w:tcPr>
            <w:tcW w:w="741" w:type="dxa"/>
            <w:vAlign w:val="center"/>
          </w:tcPr>
          <w:p>
            <w:pPr>
              <w:pStyle w:val="23"/>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2" w:hRule="atLeast"/>
        </w:trPr>
        <w:tc>
          <w:tcPr>
            <w:tcW w:w="736" w:type="dxa"/>
            <w:vMerge w:val="restart"/>
            <w:vAlign w:val="center"/>
          </w:tcPr>
          <w:p>
            <w:pPr>
              <w:pStyle w:val="23"/>
              <w:jc w:val="center"/>
              <w:rPr>
                <w:rFonts w:hint="eastAsia" w:asciiTheme="minorEastAsia" w:hAnsiTheme="minorEastAsia" w:eastAsiaTheme="minorEastAsia" w:cstheme="minorEastAsia"/>
                <w:color w:val="auto"/>
                <w:sz w:val="21"/>
                <w:szCs w:val="21"/>
                <w:highlight w:val="none"/>
              </w:rPr>
            </w:pPr>
          </w:p>
          <w:p>
            <w:pPr>
              <w:pStyle w:val="23"/>
              <w:spacing w:before="10"/>
              <w:jc w:val="center"/>
              <w:rPr>
                <w:rFonts w:hint="eastAsia" w:asciiTheme="minorEastAsia" w:hAnsiTheme="minorEastAsia" w:eastAsiaTheme="minorEastAsia" w:cstheme="minorEastAsia"/>
                <w:color w:val="auto"/>
                <w:sz w:val="21"/>
                <w:szCs w:val="21"/>
                <w:highlight w:val="none"/>
              </w:rPr>
            </w:pPr>
          </w:p>
          <w:p>
            <w:pPr>
              <w:pStyle w:val="23"/>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23"/>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20分</w:t>
            </w:r>
          </w:p>
        </w:tc>
        <w:tc>
          <w:tcPr>
            <w:tcW w:w="94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企业类似业绩</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pPr>
              <w:pStyle w:val="23"/>
              <w:spacing w:before="6" w:line="358" w:lineRule="exact"/>
              <w:ind w:right="79"/>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3"/>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供应商提供近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2019年11月1日至投标文件递交截止日前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独立承担的</w:t>
            </w:r>
            <w:r>
              <w:rPr>
                <w:rFonts w:hint="eastAsia" w:asciiTheme="minorEastAsia" w:hAnsiTheme="minorEastAsia" w:eastAsiaTheme="minorEastAsia" w:cstheme="minorEastAsia"/>
                <w:color w:val="auto"/>
                <w:spacing w:val="-8"/>
                <w:sz w:val="21"/>
                <w:szCs w:val="21"/>
                <w:highlight w:val="none"/>
                <w:lang w:eastAsia="zh-CN"/>
              </w:rPr>
              <w:t>与本项目类似的</w:t>
            </w:r>
            <w:r>
              <w:rPr>
                <w:rFonts w:hint="eastAsia" w:asciiTheme="minorEastAsia" w:hAnsiTheme="minorEastAsia" w:eastAsiaTheme="minorEastAsia" w:cstheme="minorEastAsia"/>
                <w:color w:val="auto"/>
                <w:spacing w:val="-8"/>
                <w:sz w:val="21"/>
                <w:szCs w:val="21"/>
                <w:highlight w:val="none"/>
              </w:rPr>
              <w:t>业绩</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pacing w:val="-8"/>
                <w:sz w:val="21"/>
                <w:szCs w:val="21"/>
                <w:highlight w:val="none"/>
                <w:lang w:val="en-US" w:eastAsia="zh-CN"/>
              </w:rPr>
              <w:t>8</w:t>
            </w:r>
            <w:r>
              <w:rPr>
                <w:rFonts w:hint="eastAsia" w:asciiTheme="minorEastAsia" w:hAnsiTheme="minorEastAsia" w:eastAsiaTheme="minorEastAsia" w:cstheme="minorEastAsia"/>
                <w:color w:val="auto"/>
                <w:spacing w:val="-8"/>
                <w:sz w:val="21"/>
                <w:szCs w:val="21"/>
                <w:highlight w:val="none"/>
              </w:rPr>
              <w:t>分。</w:t>
            </w:r>
          </w:p>
          <w:p>
            <w:pPr>
              <w:pStyle w:val="23"/>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rPr>
              <w:t>业绩证明（以合同</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w:t>
            </w:r>
            <w:r>
              <w:rPr>
                <w:rFonts w:hint="eastAsia" w:asciiTheme="minorEastAsia" w:hAnsiTheme="minorEastAsia" w:eastAsiaTheme="minorEastAsia" w:cstheme="minorEastAsia"/>
                <w:color w:val="auto"/>
                <w:spacing w:val="-8"/>
                <w:sz w:val="21"/>
                <w:szCs w:val="21"/>
                <w:highlight w:val="none"/>
              </w:rPr>
              <w:t>为准，在投标文件中附合同扫描件</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中标通知书扫描件</w:t>
            </w:r>
            <w:r>
              <w:rPr>
                <w:rFonts w:hint="eastAsia" w:asciiTheme="minorEastAsia" w:hAnsiTheme="minorEastAsia" w:eastAsiaTheme="minorEastAsia" w:cstheme="minorEastAsia"/>
                <w:color w:val="auto"/>
                <w:spacing w:val="-8"/>
                <w:sz w:val="21"/>
                <w:szCs w:val="21"/>
                <w:highlight w:val="none"/>
              </w:rPr>
              <w:t>加盖单位公章，弄虚作假者取消其投标资格）</w:t>
            </w:r>
            <w:r>
              <w:rPr>
                <w:rFonts w:hint="eastAsia" w:asciiTheme="minorEastAsia" w:hAnsiTheme="minorEastAsia" w:eastAsiaTheme="minorEastAsia" w:cstheme="minorEastAsia"/>
                <w:color w:val="auto"/>
                <w:spacing w:val="-8"/>
                <w:sz w:val="21"/>
                <w:szCs w:val="21"/>
                <w:highlight w:val="none"/>
                <w:lang w:eastAsia="zh-CN"/>
              </w:rPr>
              <w:t>。</w:t>
            </w:r>
          </w:p>
        </w:tc>
        <w:tc>
          <w:tcPr>
            <w:tcW w:w="741" w:type="dxa"/>
            <w:vAlign w:val="center"/>
          </w:tcPr>
          <w:p>
            <w:pPr>
              <w:pStyle w:val="23"/>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w:t>
            </w:r>
          </w:p>
          <w:p>
            <w:pPr>
              <w:jc w:val="center"/>
              <w:rPr>
                <w:rFonts w:hint="eastAsia" w:asciiTheme="minorEastAsia" w:hAnsiTheme="minorEastAsia" w:eastAsiaTheme="minorEastAsia" w:cstheme="minorEastAsia"/>
                <w:highlight w:val="none"/>
              </w:rPr>
            </w:pPr>
          </w:p>
          <w:p>
            <w:pPr>
              <w:pStyle w:val="23"/>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6603" w:type="dxa"/>
            <w:vAlign w:val="center"/>
          </w:tcPr>
          <w:p>
            <w:pPr>
              <w:pStyle w:val="23"/>
              <w:spacing w:before="97" w:line="360" w:lineRule="auto"/>
              <w:ind w:left="4" w:right="-15"/>
              <w:jc w:val="both"/>
              <w:rPr>
                <w:rFonts w:hint="default"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TW"/>
              </w:rPr>
              <w:t>根据投标人提供的售后服务承诺，详细说明质保期和免费服务期时间、质保期以内的服务项目，接到故障通知的响应时间、到达现场时间、解决问题的时间等进行综合评价,</w:t>
            </w:r>
            <w:r>
              <w:rPr>
                <w:rFonts w:hint="eastAsia" w:asciiTheme="minorEastAsia" w:hAnsiTheme="minorEastAsia" w:eastAsiaTheme="minorEastAsia" w:cstheme="minorEastAsia"/>
                <w:color w:val="auto"/>
                <w:spacing w:val="-8"/>
                <w:sz w:val="21"/>
                <w:szCs w:val="21"/>
                <w:highlight w:val="none"/>
                <w:lang w:eastAsia="zh-CN"/>
              </w:rPr>
              <w:t>根据优良情况，优得</w:t>
            </w:r>
            <w:r>
              <w:rPr>
                <w:rFonts w:hint="eastAsia" w:asciiTheme="minorEastAsia" w:hAnsiTheme="minorEastAsia" w:eastAsiaTheme="minorEastAsia" w:cstheme="minorEastAsia"/>
                <w:color w:val="auto"/>
                <w:spacing w:val="-8"/>
                <w:sz w:val="21"/>
                <w:szCs w:val="21"/>
                <w:highlight w:val="none"/>
                <w:lang w:val="en-US" w:eastAsia="zh-CN"/>
              </w:rPr>
              <w:t>6-10分，良得1-5分，</w:t>
            </w:r>
            <w:r>
              <w:rPr>
                <w:rFonts w:hint="eastAsia" w:asciiTheme="minorEastAsia" w:hAnsiTheme="minorEastAsia" w:eastAsiaTheme="minorEastAsia" w:cstheme="minorEastAsia"/>
                <w:color w:val="auto"/>
                <w:spacing w:val="-8"/>
                <w:sz w:val="21"/>
                <w:szCs w:val="21"/>
                <w:highlight w:val="none"/>
                <w:lang w:eastAsia="zh-CN"/>
              </w:rPr>
              <w:t>未提供不得分。</w:t>
            </w:r>
          </w:p>
        </w:tc>
        <w:tc>
          <w:tcPr>
            <w:tcW w:w="741" w:type="dxa"/>
            <w:vAlign w:val="center"/>
          </w:tcPr>
          <w:p>
            <w:pPr>
              <w:pStyle w:val="23"/>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pStyle w:val="23"/>
              <w:spacing w:line="266" w:lineRule="exact"/>
              <w:ind w:right="96"/>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3"/>
              <w:jc w:val="center"/>
              <w:rPr>
                <w:rFonts w:hint="eastAsia" w:asciiTheme="minorEastAsia" w:hAnsiTheme="minorEastAsia" w:eastAsiaTheme="minorEastAsia" w:cstheme="minorEastAsia"/>
                <w:highlight w:val="none"/>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响应文件制作质量</w:t>
            </w:r>
          </w:p>
          <w:p>
            <w:pPr>
              <w:pStyle w:val="21"/>
              <w:ind w:left="0" w:leftChars="0" w:firstLine="0" w:firstLine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1"/>
                <w:szCs w:val="22"/>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ar-SA"/>
              </w:rPr>
              <w:t>分</w:t>
            </w:r>
            <w:r>
              <w:rPr>
                <w:rFonts w:hint="eastAsia" w:asciiTheme="minorEastAsia" w:hAnsiTheme="minorEastAsia" w:eastAsiaTheme="minorEastAsia" w:cstheme="minorEastAsia"/>
                <w:kern w:val="2"/>
                <w:sz w:val="21"/>
                <w:szCs w:val="22"/>
                <w:highlight w:val="none"/>
                <w:lang w:val="en-US" w:eastAsia="zh-CN" w:bidi="ar-SA"/>
              </w:rPr>
              <w:t>）</w:t>
            </w:r>
          </w:p>
        </w:tc>
        <w:tc>
          <w:tcPr>
            <w:tcW w:w="6603" w:type="dxa"/>
            <w:vAlign w:val="center"/>
          </w:tcPr>
          <w:p>
            <w:pPr>
              <w:pStyle w:val="21"/>
              <w:spacing w:line="36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编制内容完整、齐全、叙述严谨、响应文件无涂改、错页、漏页现象，否则酌情扣分。</w:t>
            </w:r>
          </w:p>
        </w:tc>
        <w:tc>
          <w:tcPr>
            <w:tcW w:w="741" w:type="dxa"/>
            <w:vAlign w:val="center"/>
          </w:tcPr>
          <w:p>
            <w:pPr>
              <w:pStyle w:val="23"/>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36" w:type="dxa"/>
            <w:vMerge w:val="continue"/>
            <w:vAlign w:val="center"/>
          </w:tcPr>
          <w:p>
            <w:pPr>
              <w:pStyle w:val="23"/>
              <w:spacing w:line="266" w:lineRule="exact"/>
              <w:ind w:right="96"/>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1"/>
              <w:ind w:left="0" w:leftChars="0" w:firstLine="0" w:firstLineChars="0"/>
              <w:jc w:val="center"/>
              <w:rPr>
                <w:rFonts w:hint="eastAsia" w:asciiTheme="minorEastAsia" w:hAnsiTheme="minorEastAsia" w:eastAsiaTheme="minorEastAsia" w:cstheme="minorEastAsia"/>
                <w:kern w:val="2"/>
                <w:sz w:val="21"/>
                <w:szCs w:val="22"/>
                <w:highlight w:val="none"/>
                <w:lang w:val="en-US" w:eastAsia="zh-CN" w:bidi="ar-SA"/>
              </w:rPr>
            </w:pPr>
            <w:r>
              <w:rPr>
                <w:rFonts w:hint="eastAsia" w:asciiTheme="minorEastAsia" w:hAnsiTheme="minorEastAsia" w:eastAsiaTheme="minorEastAsia" w:cstheme="minorEastAsia"/>
                <w:kern w:val="2"/>
                <w:sz w:val="21"/>
                <w:szCs w:val="22"/>
                <w:highlight w:val="none"/>
                <w:lang w:val="en-US" w:eastAsia="zh-CN" w:bidi="ar-SA"/>
              </w:rPr>
              <w:t>企业资质（1分）</w:t>
            </w:r>
          </w:p>
        </w:tc>
        <w:tc>
          <w:tcPr>
            <w:tcW w:w="6603" w:type="dxa"/>
            <w:vAlign w:val="center"/>
          </w:tcPr>
          <w:p>
            <w:pPr>
              <w:pStyle w:val="21"/>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有文物保护工程资质。</w:t>
            </w:r>
          </w:p>
        </w:tc>
        <w:tc>
          <w:tcPr>
            <w:tcW w:w="741" w:type="dxa"/>
            <w:vAlign w:val="center"/>
          </w:tcPr>
          <w:p>
            <w:pPr>
              <w:pStyle w:val="23"/>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restart"/>
            <w:vAlign w:val="center"/>
          </w:tcPr>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部分</w:t>
            </w:r>
            <w:r>
              <w:rPr>
                <w:rFonts w:hint="eastAsia" w:asciiTheme="minorEastAsia" w:hAnsiTheme="minorEastAsia" w:eastAsiaTheme="minorEastAsia" w:cstheme="minorEastAsia"/>
                <w:highlight w:val="none"/>
                <w:lang w:val="en-US" w:eastAsia="zh-CN"/>
              </w:rPr>
              <w:t xml:space="preserve">   50</w:t>
            </w:r>
            <w:r>
              <w:rPr>
                <w:rFonts w:hint="eastAsia" w:asciiTheme="minorEastAsia" w:hAnsiTheme="minorEastAsia" w:eastAsiaTheme="minorEastAsia" w:cstheme="minorEastAsia"/>
                <w:highlight w:val="none"/>
              </w:rPr>
              <w:t>分</w:t>
            </w:r>
          </w:p>
        </w:tc>
        <w:tc>
          <w:tcPr>
            <w:tcW w:w="948" w:type="dxa"/>
            <w:vAlign w:val="center"/>
          </w:tcPr>
          <w:p>
            <w:pPr>
              <w:jc w:val="center"/>
              <w:rPr>
                <w:rFonts w:hint="eastAsia" w:asciiTheme="minorEastAsia" w:hAnsiTheme="minorEastAsia" w:eastAsiaTheme="minorEastAsia" w:cstheme="minorEastAsia"/>
                <w:highlight w:val="none"/>
              </w:rPr>
            </w:pPr>
          </w:p>
          <w:p>
            <w:pPr>
              <w:jc w:val="center"/>
              <w:rPr>
                <w:rFonts w:ascii="Tahoma" w:hAnsi="Tahoma" w:cs="Tahoma"/>
                <w:color w:val="000000"/>
                <w:szCs w:val="21"/>
                <w:lang w:eastAsia="zh-TW"/>
              </w:rPr>
            </w:pPr>
            <w:r>
              <w:rPr>
                <w:rFonts w:ascii="Tahoma" w:hAnsi="Tahoma" w:cs="Tahoma"/>
                <w:color w:val="000000"/>
                <w:szCs w:val="21"/>
                <w:lang w:eastAsia="zh-TW"/>
              </w:rPr>
              <w:t>设计方案及指标参数</w:t>
            </w: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15</w:t>
            </w:r>
            <w:r>
              <w:rPr>
                <w:rFonts w:hint="eastAsia" w:asciiTheme="minorEastAsia" w:hAnsiTheme="minorEastAsia" w:eastAsiaTheme="minorEastAsia" w:cstheme="minorEastAsia"/>
                <w:highlight w:val="none"/>
              </w:rPr>
              <w:t>分）</w:t>
            </w:r>
          </w:p>
        </w:tc>
        <w:tc>
          <w:tcPr>
            <w:tcW w:w="6603" w:type="dxa"/>
            <w:vAlign w:val="center"/>
          </w:tcPr>
          <w:p>
            <w:pPr>
              <w:pStyle w:val="23"/>
              <w:spacing w:line="360" w:lineRule="auto"/>
              <w:jc w:val="both"/>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8"/>
                <w:sz w:val="21"/>
                <w:szCs w:val="21"/>
                <w:highlight w:val="none"/>
                <w:lang w:val="en-US" w:eastAsia="zh-TW"/>
              </w:rPr>
              <w:t>设计图、效果图、制作图、结构图符合性、实用性符合实际情况，能全面描述本项目建设现状，充分理解建设目标和建设要求，描述准确、清晰、合理。优秀</w:t>
            </w:r>
            <w:r>
              <w:rPr>
                <w:rFonts w:hint="eastAsia" w:asciiTheme="minorEastAsia" w:hAnsiTheme="minorEastAsia" w:eastAsiaTheme="minorEastAsia" w:cstheme="minorEastAsia"/>
                <w:color w:val="auto"/>
                <w:spacing w:val="-8"/>
                <w:sz w:val="21"/>
                <w:szCs w:val="21"/>
                <w:highlight w:val="none"/>
                <w:lang w:val="en-US" w:eastAsia="zh-CN"/>
              </w:rPr>
              <w:t>13-15</w:t>
            </w:r>
            <w:r>
              <w:rPr>
                <w:rFonts w:hint="eastAsia" w:asciiTheme="minorEastAsia" w:hAnsiTheme="minorEastAsia" w:eastAsiaTheme="minorEastAsia" w:cstheme="minorEastAsia"/>
                <w:color w:val="auto"/>
                <w:spacing w:val="-8"/>
                <w:sz w:val="21"/>
                <w:szCs w:val="21"/>
                <w:highlight w:val="none"/>
                <w:lang w:val="en-US" w:eastAsia="zh-TW"/>
              </w:rPr>
              <w:t>分，良好</w:t>
            </w:r>
            <w:r>
              <w:rPr>
                <w:rFonts w:hint="eastAsia" w:asciiTheme="minorEastAsia" w:hAnsiTheme="minorEastAsia" w:eastAsiaTheme="minorEastAsia" w:cstheme="minorEastAsia"/>
                <w:color w:val="auto"/>
                <w:spacing w:val="-8"/>
                <w:sz w:val="21"/>
                <w:szCs w:val="21"/>
                <w:highlight w:val="none"/>
                <w:lang w:val="en-US" w:eastAsia="zh-CN"/>
              </w:rPr>
              <w:t>9-12</w:t>
            </w:r>
            <w:r>
              <w:rPr>
                <w:rFonts w:hint="eastAsia" w:asciiTheme="minorEastAsia" w:hAnsiTheme="minorEastAsia" w:eastAsiaTheme="minorEastAsia" w:cstheme="minorEastAsia"/>
                <w:color w:val="auto"/>
                <w:spacing w:val="-8"/>
                <w:sz w:val="21"/>
                <w:szCs w:val="21"/>
                <w:highlight w:val="none"/>
                <w:lang w:val="en-US" w:eastAsia="zh-TW"/>
              </w:rPr>
              <w:t>分，一般</w:t>
            </w:r>
            <w:r>
              <w:rPr>
                <w:rFonts w:hint="eastAsia" w:asciiTheme="minorEastAsia" w:hAnsiTheme="minorEastAsia" w:eastAsiaTheme="minorEastAsia" w:cstheme="minorEastAsia"/>
                <w:color w:val="auto"/>
                <w:spacing w:val="-8"/>
                <w:sz w:val="21"/>
                <w:szCs w:val="21"/>
                <w:highlight w:val="none"/>
                <w:lang w:val="en-US" w:eastAsia="zh-CN"/>
              </w:rPr>
              <w:t>5-8</w:t>
            </w:r>
            <w:r>
              <w:rPr>
                <w:rFonts w:hint="eastAsia" w:asciiTheme="minorEastAsia" w:hAnsiTheme="minorEastAsia" w:eastAsiaTheme="minorEastAsia" w:cstheme="minorEastAsia"/>
                <w:color w:val="auto"/>
                <w:spacing w:val="-8"/>
                <w:sz w:val="21"/>
                <w:szCs w:val="21"/>
                <w:highlight w:val="none"/>
                <w:lang w:val="en-US" w:eastAsia="zh-TW"/>
              </w:rPr>
              <w:t>分，差0-</w:t>
            </w:r>
            <w:r>
              <w:rPr>
                <w:rFonts w:hint="eastAsia" w:asciiTheme="minorEastAsia" w:hAnsiTheme="minorEastAsia" w:eastAsiaTheme="minorEastAsia" w:cstheme="minorEastAsia"/>
                <w:color w:val="auto"/>
                <w:spacing w:val="-8"/>
                <w:sz w:val="21"/>
                <w:szCs w:val="21"/>
                <w:highlight w:val="none"/>
                <w:lang w:val="en-US" w:eastAsia="zh-CN"/>
              </w:rPr>
              <w:t>4</w:t>
            </w:r>
            <w:r>
              <w:rPr>
                <w:rFonts w:hint="eastAsia" w:asciiTheme="minorEastAsia" w:hAnsiTheme="minorEastAsia" w:eastAsiaTheme="minorEastAsia" w:cstheme="minorEastAsia"/>
                <w:color w:val="auto"/>
                <w:spacing w:val="-8"/>
                <w:sz w:val="21"/>
                <w:szCs w:val="21"/>
                <w:highlight w:val="none"/>
                <w:lang w:val="en-US" w:eastAsia="zh-TW"/>
              </w:rPr>
              <w:t>分</w:t>
            </w:r>
            <w:r>
              <w:rPr>
                <w:rFonts w:hint="eastAsia" w:asciiTheme="minorEastAsia" w:hAnsiTheme="minorEastAsia" w:eastAsiaTheme="minorEastAsia" w:cstheme="minorEastAsia"/>
                <w:color w:val="auto"/>
                <w:spacing w:val="-8"/>
                <w:sz w:val="21"/>
                <w:szCs w:val="21"/>
                <w:highlight w:val="none"/>
              </w:rPr>
              <w:t>。</w:t>
            </w:r>
          </w:p>
        </w:tc>
        <w:tc>
          <w:tcPr>
            <w:tcW w:w="741" w:type="dxa"/>
            <w:vAlign w:val="center"/>
          </w:tcPr>
          <w:p>
            <w:pPr>
              <w:pStyle w:val="23"/>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总体</w:t>
            </w:r>
            <w:r>
              <w:rPr>
                <w:rFonts w:hint="eastAsia" w:asciiTheme="minorEastAsia" w:hAnsiTheme="minorEastAsia" w:eastAsiaTheme="minorEastAsia" w:cstheme="minorEastAsia"/>
                <w:highlight w:val="none"/>
                <w:lang w:val="en-US" w:eastAsia="zh-CN"/>
              </w:rPr>
              <w:t>实施</w:t>
            </w:r>
            <w:r>
              <w:rPr>
                <w:rFonts w:hint="eastAsia" w:asciiTheme="minorEastAsia" w:hAnsiTheme="minorEastAsia" w:eastAsiaTheme="minorEastAsia" w:cstheme="minorEastAsia"/>
                <w:highlight w:val="none"/>
              </w:rPr>
              <w:t>方案</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15</w:t>
            </w:r>
            <w:r>
              <w:rPr>
                <w:rFonts w:hint="eastAsia" w:asciiTheme="minorEastAsia" w:hAnsiTheme="minorEastAsia" w:eastAsiaTheme="minorEastAsia" w:cstheme="minorEastAsia"/>
                <w:highlight w:val="none"/>
                <w:lang w:val="en-US" w:eastAsia="zh-CN"/>
              </w:rPr>
              <w:t>分）</w:t>
            </w:r>
          </w:p>
        </w:tc>
        <w:tc>
          <w:tcPr>
            <w:tcW w:w="6603" w:type="dxa"/>
            <w:vAlign w:val="center"/>
          </w:tcPr>
          <w:p>
            <w:pPr>
              <w:numPr>
                <w:ilvl w:val="0"/>
                <w:numId w:val="0"/>
              </w:numPr>
              <w:ind w:left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000000"/>
                <w:kern w:val="0"/>
                <w:szCs w:val="21"/>
                <w:lang w:val="en-US" w:eastAsia="zh-CN"/>
              </w:rPr>
              <w:t>1.</w:t>
            </w:r>
            <w:r>
              <w:rPr>
                <w:rFonts w:hint="eastAsia" w:asciiTheme="minorEastAsia" w:hAnsiTheme="minorEastAsia" w:eastAsiaTheme="minorEastAsia" w:cstheme="minorEastAsia"/>
                <w:color w:val="000000"/>
                <w:kern w:val="0"/>
                <w:szCs w:val="21"/>
              </w:rPr>
              <w:t>投标人需提供整体</w:t>
            </w:r>
            <w:r>
              <w:rPr>
                <w:rFonts w:hint="eastAsia" w:asciiTheme="minorEastAsia" w:hAnsiTheme="minorEastAsia" w:eastAsiaTheme="minorEastAsia" w:cstheme="minorEastAsia"/>
                <w:color w:val="000000"/>
                <w:kern w:val="0"/>
                <w:szCs w:val="21"/>
                <w:lang w:eastAsia="zh-CN"/>
              </w:rPr>
              <w:t>实施</w:t>
            </w:r>
            <w:r>
              <w:rPr>
                <w:rFonts w:hint="eastAsia" w:asciiTheme="minorEastAsia" w:hAnsiTheme="minorEastAsia" w:eastAsiaTheme="minorEastAsia" w:cstheme="minorEastAsia"/>
                <w:color w:val="000000"/>
                <w:kern w:val="0"/>
                <w:szCs w:val="21"/>
              </w:rPr>
              <w:t>技术方案，评标专家根据方案的合理性、全面性、技术措施可行先进性，依据方案最能够解决馆内文物保存环境问题，进行综合评比，</w:t>
            </w:r>
            <w:r>
              <w:rPr>
                <w:rFonts w:hint="eastAsia" w:asciiTheme="minorEastAsia" w:hAnsiTheme="minorEastAsia" w:eastAsiaTheme="minorEastAsia" w:cstheme="minorEastAsia"/>
                <w:kern w:val="0"/>
                <w:szCs w:val="21"/>
              </w:rPr>
              <w:t>方案优秀得</w:t>
            </w:r>
            <w:r>
              <w:rPr>
                <w:rFonts w:hint="eastAsia" w:asciiTheme="minorEastAsia" w:hAnsiTheme="minorEastAsia" w:eastAsiaTheme="minorEastAsia" w:cstheme="minorEastAsia"/>
                <w:kern w:val="0"/>
                <w:szCs w:val="21"/>
                <w:lang w:val="en-US" w:eastAsia="zh-CN"/>
              </w:rPr>
              <w:t>10-15</w:t>
            </w:r>
            <w:r>
              <w:rPr>
                <w:rFonts w:hint="eastAsia" w:asciiTheme="minorEastAsia" w:hAnsiTheme="minorEastAsia" w:eastAsiaTheme="minorEastAsia" w:cstheme="minorEastAsia"/>
                <w:kern w:val="0"/>
                <w:szCs w:val="21"/>
              </w:rPr>
              <w:t>分，方案良得</w:t>
            </w:r>
            <w:r>
              <w:rPr>
                <w:rFonts w:hint="eastAsia" w:asciiTheme="minorEastAsia" w:hAnsiTheme="minorEastAsia" w:eastAsiaTheme="minorEastAsia" w:cstheme="minorEastAsia"/>
                <w:kern w:val="0"/>
                <w:szCs w:val="21"/>
                <w:lang w:val="en-US" w:eastAsia="zh-CN"/>
              </w:rPr>
              <w:t>5-9</w:t>
            </w:r>
            <w:r>
              <w:rPr>
                <w:rFonts w:hint="eastAsia" w:asciiTheme="minorEastAsia" w:hAnsiTheme="minorEastAsia" w:eastAsiaTheme="minorEastAsia" w:cstheme="minorEastAsia"/>
                <w:kern w:val="0"/>
                <w:szCs w:val="21"/>
              </w:rPr>
              <w:t>分，方案一般得</w:t>
            </w:r>
            <w:r>
              <w:rPr>
                <w:rFonts w:hint="eastAsia" w:asciiTheme="minorEastAsia" w:hAnsiTheme="minorEastAsia" w:eastAsiaTheme="minorEastAsia" w:cstheme="minorEastAsia"/>
                <w:kern w:val="0"/>
                <w:szCs w:val="21"/>
                <w:lang w:val="en-US" w:eastAsia="zh-CN"/>
              </w:rPr>
              <w:t>2-4</w:t>
            </w:r>
            <w:r>
              <w:rPr>
                <w:rFonts w:hint="eastAsia" w:asciiTheme="minorEastAsia" w:hAnsiTheme="minorEastAsia" w:eastAsiaTheme="minorEastAsia" w:cstheme="minorEastAsia"/>
                <w:kern w:val="0"/>
                <w:szCs w:val="21"/>
              </w:rPr>
              <w:t>分，方案差或未提供方案得</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0</w:t>
            </w:r>
            <w:r>
              <w:rPr>
                <w:rFonts w:hint="eastAsia" w:asciiTheme="minorEastAsia" w:hAnsiTheme="minorEastAsia" w:eastAsiaTheme="minorEastAsia" w:cstheme="minorEastAsia"/>
                <w:kern w:val="0"/>
                <w:szCs w:val="21"/>
                <w:lang w:eastAsia="zh-CN"/>
              </w:rPr>
              <w:t>分</w:t>
            </w:r>
            <w:r>
              <w:rPr>
                <w:rFonts w:hint="eastAsia" w:asciiTheme="minorEastAsia" w:hAnsiTheme="minorEastAsia" w:eastAsiaTheme="minorEastAsia" w:cstheme="minorEastAsia"/>
                <w:color w:val="auto"/>
                <w:spacing w:val="-8"/>
                <w:sz w:val="21"/>
                <w:szCs w:val="21"/>
                <w:highlight w:val="none"/>
              </w:rPr>
              <w:t>。</w:t>
            </w:r>
          </w:p>
        </w:tc>
        <w:tc>
          <w:tcPr>
            <w:tcW w:w="741" w:type="dxa"/>
            <w:vAlign w:val="center"/>
          </w:tcPr>
          <w:p>
            <w:pPr>
              <w:pStyle w:val="23"/>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工期保障</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highlight w:val="none"/>
              </w:rPr>
              <w:t>分）</w:t>
            </w:r>
          </w:p>
        </w:tc>
        <w:tc>
          <w:tcPr>
            <w:tcW w:w="6603" w:type="dxa"/>
            <w:vAlign w:val="center"/>
          </w:tcPr>
          <w:p>
            <w:pPr>
              <w:pStyle w:val="23"/>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kern w:val="0"/>
                <w:sz w:val="21"/>
                <w:szCs w:val="21"/>
                <w:lang w:val="en-US" w:eastAsia="zh-TW" w:bidi="ar-SA"/>
              </w:rPr>
              <w:t>根据投标人提供的</w:t>
            </w:r>
            <w:r>
              <w:rPr>
                <w:rFonts w:hint="eastAsia" w:asciiTheme="minorEastAsia" w:hAnsiTheme="minorEastAsia" w:eastAsiaTheme="minorEastAsia" w:cstheme="minorEastAsia"/>
                <w:color w:val="000000"/>
                <w:kern w:val="0"/>
                <w:sz w:val="21"/>
                <w:szCs w:val="21"/>
                <w:lang w:val="en-US" w:eastAsia="zh-CN" w:bidi="ar-SA"/>
              </w:rPr>
              <w:t>保障按时完工的</w:t>
            </w:r>
            <w:r>
              <w:rPr>
                <w:rFonts w:hint="eastAsia" w:asciiTheme="minorEastAsia" w:hAnsiTheme="minorEastAsia" w:eastAsiaTheme="minorEastAsia" w:cstheme="minorEastAsia"/>
                <w:color w:val="000000"/>
                <w:kern w:val="0"/>
                <w:sz w:val="21"/>
                <w:szCs w:val="21"/>
                <w:lang w:val="en-US" w:eastAsia="zh-TW" w:bidi="ar-SA"/>
              </w:rPr>
              <w:t>方案综合对比评价，</w:t>
            </w:r>
            <w:r>
              <w:rPr>
                <w:rFonts w:hint="eastAsia" w:asciiTheme="minorEastAsia" w:hAnsiTheme="minorEastAsia" w:eastAsiaTheme="minorEastAsia" w:cstheme="minorEastAsia"/>
                <w:color w:val="000000"/>
                <w:kern w:val="0"/>
                <w:sz w:val="21"/>
                <w:szCs w:val="21"/>
                <w:lang w:val="en-US" w:eastAsia="zh-CN" w:bidi="ar-SA"/>
              </w:rPr>
              <w:t>可行性方案，优秀的得5分，良好的得2-4分，一般的得1分</w:t>
            </w: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color w:val="000000"/>
                <w:kern w:val="0"/>
                <w:sz w:val="21"/>
                <w:szCs w:val="21"/>
                <w:lang w:val="en-US" w:eastAsia="zh-CN" w:bidi="ar-SA"/>
              </w:rPr>
              <w:t xml:space="preserve"> </w:t>
            </w:r>
          </w:p>
        </w:tc>
        <w:tc>
          <w:tcPr>
            <w:tcW w:w="741" w:type="dxa"/>
            <w:vAlign w:val="center"/>
          </w:tcPr>
          <w:p>
            <w:pPr>
              <w:pStyle w:val="23"/>
              <w:spacing w:before="6" w:line="358" w:lineRule="exact"/>
              <w:ind w:left="4" w:right="2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工作进度和服务质量控制措施</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asciiTheme="minorEastAsia" w:hAnsiTheme="minorEastAsia" w:eastAsiaTheme="minorEastAsia" w:cstheme="minorEastAsia"/>
                <w:highlight w:val="none"/>
              </w:rPr>
              <w:t>分</w:t>
            </w:r>
            <w:r>
              <w:rPr>
                <w:rFonts w:hint="eastAsia" w:asciiTheme="minorEastAsia" w:hAnsiTheme="minorEastAsia" w:eastAsiaTheme="minorEastAsia" w:cstheme="minorEastAsia"/>
                <w:highlight w:val="none"/>
                <w:lang w:eastAsia="zh-CN"/>
              </w:rPr>
              <w:t>）</w:t>
            </w:r>
          </w:p>
        </w:tc>
        <w:tc>
          <w:tcPr>
            <w:tcW w:w="6603" w:type="dxa"/>
            <w:vAlign w:val="center"/>
          </w:tcPr>
          <w:p>
            <w:pPr>
              <w:pStyle w:val="23"/>
              <w:spacing w:before="4" w:line="360" w:lineRule="auto"/>
              <w:ind w:left="4" w:right="12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本项目时间紧，任务重，</w:t>
            </w:r>
            <w:r>
              <w:rPr>
                <w:rFonts w:hint="eastAsia" w:asciiTheme="minorEastAsia" w:hAnsiTheme="minorEastAsia" w:eastAsiaTheme="minorEastAsia" w:cstheme="minorEastAsia"/>
                <w:color w:val="auto"/>
                <w:sz w:val="21"/>
                <w:szCs w:val="21"/>
                <w:highlight w:val="none"/>
              </w:rPr>
              <w:t>工作进度和服务质量控制措施</w:t>
            </w:r>
            <w:r>
              <w:rPr>
                <w:rFonts w:hint="eastAsia" w:asciiTheme="minorEastAsia" w:hAnsiTheme="minorEastAsia" w:eastAsiaTheme="minorEastAsia" w:cstheme="minorEastAsia"/>
                <w:color w:val="auto"/>
                <w:sz w:val="21"/>
                <w:szCs w:val="21"/>
                <w:highlight w:val="none"/>
                <w:lang w:eastAsia="zh-CN"/>
              </w:rPr>
              <w:t>均需</w:t>
            </w:r>
            <w:r>
              <w:rPr>
                <w:rFonts w:hint="eastAsia" w:asciiTheme="minorEastAsia" w:hAnsiTheme="minorEastAsia" w:eastAsiaTheme="minorEastAsia" w:cstheme="minorEastAsia"/>
                <w:color w:val="auto"/>
                <w:sz w:val="21"/>
                <w:szCs w:val="21"/>
                <w:highlight w:val="none"/>
              </w:rPr>
              <w:t>有力</w:t>
            </w:r>
            <w:r>
              <w:rPr>
                <w:rFonts w:hint="eastAsia" w:asciiTheme="minorEastAsia" w:hAnsiTheme="minorEastAsia" w:eastAsiaTheme="minorEastAsia" w:cstheme="minorEastAsia"/>
                <w:color w:val="auto"/>
                <w:sz w:val="21"/>
                <w:szCs w:val="21"/>
                <w:highlight w:val="none"/>
                <w:lang w:eastAsia="zh-CN"/>
              </w:rPr>
              <w:t>可行</w:t>
            </w:r>
            <w:r>
              <w:rPr>
                <w:rFonts w:hint="eastAsia" w:asciiTheme="minorEastAsia" w:hAnsiTheme="minorEastAsia" w:eastAsiaTheme="minorEastAsia" w:cstheme="minorEastAsia"/>
                <w:color w:val="auto"/>
                <w:sz w:val="21"/>
                <w:szCs w:val="21"/>
                <w:highlight w:val="none"/>
              </w:rPr>
              <w:t>，有针对性较强的</w:t>
            </w:r>
            <w:r>
              <w:rPr>
                <w:rFonts w:hint="eastAsia" w:asciiTheme="minorEastAsia" w:hAnsiTheme="minorEastAsia" w:eastAsiaTheme="minorEastAsia" w:cstheme="minorEastAsia"/>
                <w:color w:val="auto"/>
                <w:sz w:val="21"/>
                <w:szCs w:val="21"/>
                <w:highlight w:val="none"/>
                <w:lang w:eastAsia="zh-CN"/>
              </w:rPr>
              <w:t>工作进度保证体系和</w:t>
            </w:r>
            <w:r>
              <w:rPr>
                <w:rFonts w:hint="eastAsia" w:asciiTheme="minorEastAsia" w:hAnsiTheme="minorEastAsia" w:eastAsiaTheme="minorEastAsia" w:cstheme="minorEastAsia"/>
                <w:color w:val="auto"/>
                <w:sz w:val="21"/>
                <w:szCs w:val="21"/>
                <w:highlight w:val="none"/>
              </w:rPr>
              <w:t>质量保证体系</w:t>
            </w:r>
            <w:r>
              <w:rPr>
                <w:rFonts w:hint="eastAsia" w:asciiTheme="minorEastAsia" w:hAnsiTheme="minorEastAsia" w:eastAsiaTheme="minorEastAsia" w:cstheme="minorEastAsia"/>
                <w:color w:val="auto"/>
                <w:sz w:val="21"/>
                <w:szCs w:val="21"/>
                <w:highlight w:val="none"/>
                <w:lang w:eastAsia="zh-CN"/>
              </w:rPr>
              <w:t>：</w:t>
            </w:r>
          </w:p>
          <w:p>
            <w:pPr>
              <w:pStyle w:val="23"/>
              <w:spacing w:before="4" w:line="360" w:lineRule="auto"/>
              <w:ind w:left="4" w:right="12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 8-10 分；良好得 4-7 分；一般得 0-3 分。 </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安全与应急预案</w:t>
            </w:r>
          </w:p>
          <w:p>
            <w:pPr>
              <w:pStyle w:val="21"/>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highlight w:val="none"/>
                <w:lang w:val="en-US" w:eastAsia="zh-CN"/>
              </w:rPr>
              <w:t>分）</w:t>
            </w:r>
          </w:p>
        </w:tc>
        <w:tc>
          <w:tcPr>
            <w:tcW w:w="6603" w:type="dxa"/>
            <w:vAlign w:val="center"/>
          </w:tcPr>
          <w:p>
            <w:pPr>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具有完善健全的安全保证措施及应急预案，应急预案需按照国家、地方政策及现状和有关规定进行编制，并满足本项目需求（项目执行应在疫情防控下进行，需符合各地疫情防控要求）。根据供应商所提供措施和预案的全面性、针对性、精细性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优4-5分；良 2-3 分；差 0-1；不提供者不得分。</w:t>
            </w:r>
          </w:p>
        </w:tc>
        <w:tc>
          <w:tcPr>
            <w:tcW w:w="741"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w:t>
            </w:r>
          </w:p>
        </w:tc>
      </w:tr>
    </w:tbl>
    <w:p>
      <w:pPr>
        <w:rPr>
          <w:rFonts w:hint="eastAsia" w:ascii="宋体" w:hAnsi="宋体" w:eastAsia="宋体" w:cs="宋体"/>
          <w:szCs w:val="24"/>
          <w:highlight w:val="none"/>
        </w:rPr>
      </w:pPr>
    </w:p>
    <w:p>
      <w:pPr>
        <w:pStyle w:val="3"/>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3"/>
        <w:kinsoku w:val="0"/>
        <w:overflowPunct w:val="0"/>
        <w:spacing w:before="34"/>
        <w:ind w:left="0"/>
        <w:jc w:val="both"/>
        <w:rPr>
          <w:rFonts w:hint="eastAsia" w:ascii="宋体" w:hAnsi="宋体" w:eastAsia="宋体" w:cs="宋体"/>
          <w:b/>
          <w:bCs/>
          <w:highlight w:val="none"/>
        </w:rPr>
      </w:pPr>
    </w:p>
    <w:p>
      <w:pPr>
        <w:pStyle w:val="3"/>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3"/>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3"/>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3"/>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3"/>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3"/>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3"/>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3"/>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6"/>
        <w:numPr>
          <w:ilvl w:val="0"/>
          <w:numId w:val="3"/>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spacing w:val="1"/>
          <w:highlight w:val="none"/>
        </w:rPr>
        <w:t>磋商内容</w:t>
      </w:r>
      <w:bookmarkEnd w:id="71"/>
    </w:p>
    <w:p>
      <w:pPr>
        <w:jc w:val="center"/>
        <w:rPr>
          <w:rFonts w:hint="eastAsia" w:ascii="宋体" w:hAnsi="宋体" w:cs="宋体"/>
          <w:spacing w:val="1"/>
          <w:sz w:val="32"/>
          <w:szCs w:val="36"/>
          <w:highlight w:val="none"/>
          <w:lang w:eastAsia="zh-CN"/>
        </w:rPr>
      </w:pPr>
    </w:p>
    <w:p>
      <w:pPr>
        <w:jc w:val="center"/>
        <w:rPr>
          <w:rFonts w:hint="eastAsia" w:ascii="方正小标宋_GBK" w:hAnsi="方正小标宋_GBK" w:eastAsia="方正小标宋_GBK" w:cs="方正小标宋_GBK"/>
          <w:b/>
          <w:bCs/>
          <w:sz w:val="32"/>
          <w:szCs w:val="32"/>
          <w:lang w:val="en-US" w:eastAsia="zh-CN"/>
        </w:rPr>
      </w:pPr>
      <w:r>
        <w:rPr>
          <w:rFonts w:hint="eastAsia" w:ascii="宋体" w:hAnsi="宋体" w:eastAsia="宋体" w:cs="宋体"/>
          <w:b/>
          <w:bCs/>
          <w:sz w:val="32"/>
          <w:szCs w:val="32"/>
          <w:lang w:val="en-US" w:eastAsia="zh-CN"/>
        </w:rPr>
        <w:t>《哈密市自治区级、市级文物保护单位文物保护标志牌、说明牌制作、安装项目》（2022年文化+项目）</w:t>
      </w: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基本情况</w:t>
      </w:r>
    </w:p>
    <w:p>
      <w:pPr>
        <w:spacing w:line="360" w:lineRule="auto"/>
        <w:jc w:val="both"/>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   </w:t>
      </w:r>
    </w:p>
    <w:p>
      <w:pPr>
        <w:spacing w:line="360" w:lineRule="auto"/>
        <w:ind w:firstLine="560" w:firstLineChars="200"/>
        <w:jc w:val="both"/>
        <w:rPr>
          <w:rFonts w:hint="eastAsia" w:ascii="宋体" w:hAnsi="宋体"/>
          <w:sz w:val="28"/>
          <w:szCs w:val="28"/>
          <w:lang w:val="en-US" w:eastAsia="zh-CN"/>
        </w:rPr>
      </w:pPr>
      <w:r>
        <w:rPr>
          <w:rFonts w:hint="eastAsia" w:ascii="宋体" w:hAnsi="宋体"/>
          <w:sz w:val="28"/>
          <w:szCs w:val="28"/>
          <w:lang w:eastAsia="zh-CN"/>
        </w:rPr>
        <w:t>文物保护标志牌文物“四有”工作的重要部分，为加强哈密市不可移动文物的保护管理，完善不可移动文物的“四有”工作，计划实施《哈密市不可移动文物保护标志牌制作、安装项目》，项目总投资</w:t>
      </w:r>
      <w:r>
        <w:rPr>
          <w:rFonts w:hint="eastAsia" w:ascii="宋体" w:hAnsi="宋体"/>
          <w:sz w:val="28"/>
          <w:szCs w:val="28"/>
          <w:lang w:val="en-US" w:eastAsia="zh-CN"/>
        </w:rPr>
        <w:t>60万元，</w:t>
      </w:r>
      <w:r>
        <w:rPr>
          <w:rFonts w:hint="eastAsia" w:ascii="宋体" w:hAnsi="宋体"/>
          <w:sz w:val="28"/>
          <w:szCs w:val="28"/>
          <w:lang w:eastAsia="zh-CN"/>
        </w:rPr>
        <w:t>项目主要内容：对</w:t>
      </w:r>
      <w:r>
        <w:rPr>
          <w:rFonts w:hint="eastAsia" w:ascii="宋体" w:hAnsi="宋体"/>
          <w:sz w:val="28"/>
          <w:szCs w:val="28"/>
          <w:lang w:val="en-US" w:eastAsia="zh-CN"/>
        </w:rPr>
        <w:t>100</w:t>
      </w:r>
      <w:r>
        <w:rPr>
          <w:rFonts w:hint="eastAsia" w:ascii="宋体" w:hAnsi="宋体"/>
          <w:sz w:val="28"/>
          <w:szCs w:val="28"/>
          <w:lang w:eastAsia="zh-CN"/>
        </w:rPr>
        <w:t>处</w:t>
      </w:r>
      <w:r>
        <w:rPr>
          <w:rFonts w:hint="eastAsia" w:ascii="宋体" w:hAnsi="宋体"/>
          <w:sz w:val="28"/>
          <w:szCs w:val="28"/>
          <w:lang w:val="en-US" w:eastAsia="zh-CN"/>
        </w:rPr>
        <w:t>自治区</w:t>
      </w:r>
      <w:r>
        <w:rPr>
          <w:rFonts w:hint="eastAsia" w:ascii="宋体" w:hAnsi="宋体"/>
          <w:sz w:val="28"/>
          <w:szCs w:val="28"/>
          <w:lang w:eastAsia="zh-CN"/>
        </w:rPr>
        <w:t>级、市级不可移动文物制作安装大理石保护标志碑、制作安装文物界桩</w:t>
      </w:r>
      <w:r>
        <w:rPr>
          <w:rFonts w:hint="eastAsia" w:ascii="宋体" w:hAnsi="宋体"/>
          <w:sz w:val="28"/>
          <w:szCs w:val="28"/>
          <w:lang w:val="en-US" w:eastAsia="zh-CN"/>
        </w:rPr>
        <w:t>400个，制作安装文物安全责任公示牌75处</w:t>
      </w:r>
      <w:r>
        <w:rPr>
          <w:rFonts w:hint="eastAsia" w:ascii="宋体" w:hAnsi="宋体"/>
          <w:sz w:val="28"/>
          <w:szCs w:val="28"/>
          <w:lang w:eastAsia="zh-CN"/>
        </w:rPr>
        <w:t>。文物保护标志碑的规格，材质，颜色，式样，文字内容等严格按照«中华人民共和国国家标准文物保护单位标志»制作。标志碑正面注明文物保护单位的级别、名称、公布机关与公布日期、文化遗产标志、树立机关与树立日期，背面为文物保护单位简介、保护范围和建设控制地带。</w:t>
      </w:r>
      <w:r>
        <w:rPr>
          <w:rFonts w:hint="eastAsia" w:ascii="宋体" w:hAnsi="宋体"/>
          <w:sz w:val="28"/>
          <w:szCs w:val="28"/>
          <w:lang w:val="en-US" w:eastAsia="zh-CN"/>
        </w:rPr>
        <w:t>2022年，3月开工建设，9月30日前完工。</w:t>
      </w:r>
    </w:p>
    <w:p>
      <w:pPr>
        <w:pStyle w:val="6"/>
        <w:spacing w:line="360" w:lineRule="auto"/>
        <w:jc w:val="center"/>
        <w:rPr>
          <w:rFonts w:hint="eastAsia" w:ascii="宋体" w:hAnsi="宋体" w:eastAsia="宋体" w:cs="宋体"/>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jc w:val="center"/>
        <w:rPr>
          <w:rFonts w:hint="eastAsia" w:ascii="宋体" w:hAnsi="宋体" w:eastAsia="宋体" w:cs="宋体"/>
          <w:highlight w:val="none"/>
        </w:rPr>
      </w:pPr>
      <w:bookmarkStart w:id="72" w:name="_Toc14342"/>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1"/>
        <w:rPr>
          <w:rFonts w:hint="eastAsia" w:ascii="宋体" w:hAnsi="宋体" w:cs="宋体"/>
          <w:highlight w:val="none"/>
          <w:lang w:eastAsia="zh-CN"/>
        </w:rPr>
      </w:pPr>
    </w:p>
    <w:p>
      <w:pPr>
        <w:pStyle w:val="3"/>
        <w:spacing w:before="41" w:line="364" w:lineRule="auto"/>
        <w:ind w:left="0" w:leftChars="0" w:right="677" w:firstLine="0" w:firstLineChars="0"/>
        <w:rPr>
          <w:rFonts w:hint="eastAsia" w:ascii="宋体" w:eastAsiaTheme="minorEastAsia"/>
          <w:color w:val="auto"/>
          <w:sz w:val="24"/>
          <w:highlight w:val="none"/>
          <w:lang w:eastAsia="zh-CN"/>
        </w:rPr>
      </w:pPr>
      <w:r>
        <w:rPr>
          <w:rFonts w:hint="eastAsia" w:asciiTheme="minorEastAsia" w:hAnsiTheme="minorEastAsia" w:eastAsiaTheme="minorEastAsia" w:cstheme="minorEastAsia"/>
          <w:spacing w:val="-7"/>
          <w:sz w:val="24"/>
          <w:szCs w:val="24"/>
          <w:highlight w:val="none"/>
        </w:rPr>
        <w:t>本合同条款将作为中标合同的基础，具体合同内容在签订合同时由甲乙双方协商</w:t>
      </w:r>
      <w:r>
        <w:rPr>
          <w:rFonts w:hint="eastAsia" w:asciiTheme="minorEastAsia" w:hAnsiTheme="minorEastAsia" w:eastAsiaTheme="minorEastAsia" w:cstheme="minorEastAsia"/>
          <w:sz w:val="24"/>
          <w:szCs w:val="24"/>
          <w:highlight w:val="none"/>
        </w:rPr>
        <w:t>确定</w:t>
      </w:r>
      <w:r>
        <w:rPr>
          <w:rFonts w:hint="eastAsia" w:asciiTheme="minorEastAsia" w:hAnsiTheme="minorEastAsia" w:eastAsiaTheme="minorEastAsia" w:cstheme="minorEastAsia"/>
          <w:sz w:val="24"/>
          <w:szCs w:val="24"/>
          <w:highlight w:val="none"/>
          <w:lang w:eastAsia="zh-CN"/>
        </w:rPr>
        <w:t>。</w:t>
      </w:r>
    </w:p>
    <w:p>
      <w:pPr>
        <w:shd w:val="clear" w:color="auto" w:fill="auto"/>
        <w:spacing w:line="420" w:lineRule="exact"/>
        <w:ind w:firstLine="420" w:firstLineChars="200"/>
        <w:rPr>
          <w:rFonts w:hint="eastAsia" w:ascii="宋体" w:cs="宋体"/>
          <w:color w:val="auto"/>
          <w:szCs w:val="21"/>
          <w:highlight w:val="none"/>
        </w:rPr>
      </w:pPr>
      <w:bookmarkStart w:id="73" w:name="_Toc152045610"/>
      <w:bookmarkStart w:id="74" w:name="_Toc144974578"/>
      <w:bookmarkStart w:id="75" w:name="_Toc469495742"/>
      <w:bookmarkStart w:id="76" w:name="_Toc246996253"/>
      <w:bookmarkStart w:id="77" w:name="_Toc296602498"/>
      <w:bookmarkStart w:id="78" w:name="_Toc246996996"/>
      <w:bookmarkStart w:id="79" w:name="_Toc247085768"/>
      <w:bookmarkStart w:id="80" w:name="_Toc152042388"/>
      <w:bookmarkStart w:id="81" w:name="_Toc179632628"/>
      <w:r>
        <w:rPr>
          <w:rFonts w:hint="eastAsia" w:ascii="宋体" w:cs="宋体"/>
          <w:color w:val="auto"/>
          <w:szCs w:val="21"/>
          <w:highlight w:val="none"/>
        </w:rPr>
        <w:t>买    方：                                   卖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买  方：                          卖  方：</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10"/>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黑体" w:eastAsia="黑体"/>
          <w:b/>
          <w:color w:val="auto"/>
          <w:sz w:val="30"/>
          <w:szCs w:val="30"/>
          <w:highlight w:val="none"/>
        </w:rPr>
      </w:pPr>
      <w:r>
        <w:rPr>
          <w:rFonts w:hint="eastAsia" w:ascii="黑体" w:eastAsia="黑体"/>
          <w:b/>
          <w:color w:val="auto"/>
          <w:sz w:val="30"/>
          <w:szCs w:val="30"/>
          <w:highlight w:val="none"/>
        </w:rPr>
        <w:t>二  合同条款</w:t>
      </w:r>
      <w:bookmarkEnd w:id="73"/>
      <w:bookmarkEnd w:id="74"/>
      <w:bookmarkEnd w:id="75"/>
      <w:bookmarkEnd w:id="76"/>
      <w:bookmarkEnd w:id="77"/>
      <w:bookmarkEnd w:id="78"/>
      <w:bookmarkEnd w:id="79"/>
      <w:bookmarkEnd w:id="80"/>
      <w:bookmarkEnd w:id="81"/>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9"/>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9"/>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要求的标的物。</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9"/>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9"/>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9"/>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17、履约保证金</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的约定提供相应的履约保证金，保证金的有效期应不低于合同有效期。</w:t>
      </w:r>
    </w:p>
    <w:p>
      <w:pPr>
        <w:pStyle w:val="9"/>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9"/>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9"/>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9"/>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9"/>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9"/>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9"/>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0" w:firstLineChars="1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》之规定解释。</w:t>
      </w:r>
    </w:p>
    <w:p>
      <w:pPr>
        <w:pStyle w:val="3"/>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bookmarkStart w:id="82" w:name="_Toc8733"/>
    </w:p>
    <w:p>
      <w:pPr>
        <w:pStyle w:val="3"/>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82"/>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30"/>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30"/>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3"/>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3"/>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3"/>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报价一览表；</w:t>
      </w:r>
    </w:p>
    <w:p>
      <w:pPr>
        <w:pStyle w:val="3"/>
        <w:spacing w:before="0"/>
        <w:ind w:firstLine="240" w:firstLineChars="1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投标产品名称、数量、规格及报价明细表</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近一年</w:t>
      </w:r>
      <w:r>
        <w:rPr>
          <w:rFonts w:hint="eastAsia" w:ascii="宋体" w:hAnsi="宋体" w:eastAsia="宋体" w:cs="宋体"/>
          <w:highlight w:val="none"/>
        </w:rPr>
        <w:t>财务状况报告相关材料；</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rPr>
        <w:t>4）税收缴纳证明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w:t>
      </w:r>
      <w:r>
        <w:rPr>
          <w:rFonts w:hint="eastAsia" w:ascii="宋体" w:hAnsi="宋体" w:eastAsia="宋体" w:cs="宋体"/>
          <w:highlight w:val="none"/>
          <w:lang w:eastAsia="zh-CN"/>
        </w:rPr>
        <w:t>；</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3"/>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w:t>
      </w:r>
    </w:p>
    <w:p>
      <w:pPr>
        <w:pStyle w:val="3"/>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3"/>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3"/>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3"/>
        <w:spacing w:before="0"/>
        <w:ind w:left="0" w:firstLine="480" w:firstLineChars="200"/>
        <w:rPr>
          <w:rFonts w:hint="eastAsia" w:ascii="宋体" w:hAnsi="宋体" w:eastAsia="宋体" w:cs="宋体"/>
          <w:highlight w:val="none"/>
        </w:rPr>
      </w:pPr>
    </w:p>
    <w:p>
      <w:pPr>
        <w:pStyle w:val="3"/>
        <w:spacing w:before="0"/>
        <w:ind w:left="0" w:firstLine="480" w:firstLineChars="200"/>
        <w:rPr>
          <w:rFonts w:hint="eastAsia" w:ascii="宋体" w:hAnsi="宋体" w:eastAsia="宋体" w:cs="宋体"/>
          <w:highlight w:val="none"/>
        </w:rPr>
      </w:pPr>
    </w:p>
    <w:p>
      <w:pPr>
        <w:pStyle w:val="3"/>
        <w:kinsoku w:val="0"/>
        <w:overflowPunct w:val="0"/>
        <w:spacing w:before="130" w:line="360" w:lineRule="exact"/>
        <w:ind w:left="119" w:right="6" w:firstLine="480"/>
        <w:rPr>
          <w:rFonts w:hint="eastAsia" w:ascii="宋体" w:hAnsi="宋体" w:eastAsia="宋体" w:cs="宋体"/>
          <w:spacing w:val="4"/>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pStyle w:val="26"/>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3"/>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7"/>
        <w:ind w:left="0"/>
        <w:rPr>
          <w:rFonts w:hint="eastAsia" w:ascii="宋体" w:hAnsi="宋体" w:eastAsia="宋体" w:cs="宋体"/>
          <w:sz w:val="25"/>
          <w:szCs w:val="25"/>
          <w:highlight w:val="none"/>
        </w:rPr>
      </w:pPr>
    </w:p>
    <w:p>
      <w:pPr>
        <w:pStyle w:val="3"/>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3"/>
                          <w:ind w:left="0"/>
                          <w:rPr>
                            <w:sz w:val="28"/>
                            <w:szCs w:val="28"/>
                          </w:rPr>
                        </w:pPr>
                      </w:p>
                      <w:p>
                        <w:pPr>
                          <w:pStyle w:val="3"/>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3"/>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3"/>
        <w:kinsoku w:val="0"/>
        <w:overflowPunct w:val="0"/>
        <w:spacing w:before="12"/>
        <w:ind w:left="0"/>
        <w:rPr>
          <w:rFonts w:hint="eastAsia" w:ascii="宋体" w:hAnsi="宋体" w:eastAsia="宋体" w:cs="宋体"/>
          <w:sz w:val="4"/>
          <w:szCs w:val="4"/>
          <w:highlight w:val="none"/>
        </w:rPr>
      </w:pPr>
    </w:p>
    <w:p>
      <w:pPr>
        <w:pStyle w:val="3"/>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12"/>
                          <w:ind w:left="0"/>
                          <w:rPr>
                            <w:sz w:val="28"/>
                            <w:szCs w:val="28"/>
                          </w:rPr>
                        </w:pPr>
                      </w:p>
                      <w:p>
                        <w:pPr>
                          <w:pStyle w:val="3"/>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1"/>
        <w:ind w:left="0"/>
        <w:rPr>
          <w:rFonts w:hint="eastAsia" w:ascii="宋体" w:hAnsi="宋体" w:eastAsia="宋体" w:cs="宋体"/>
          <w:sz w:val="19"/>
          <w:szCs w:val="19"/>
          <w:highlight w:val="none"/>
        </w:rPr>
      </w:pPr>
    </w:p>
    <w:p>
      <w:pPr>
        <w:pStyle w:val="3"/>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3"/>
                          <w:kinsoku w:val="0"/>
                          <w:overflowPunct w:val="0"/>
                          <w:spacing w:before="0"/>
                          <w:ind w:left="0"/>
                        </w:pPr>
                      </w:p>
                      <w:p>
                        <w:pPr>
                          <w:pStyle w:val="3"/>
                          <w:kinsoku w:val="0"/>
                          <w:overflowPunct w:val="0"/>
                          <w:spacing w:before="0"/>
                          <w:ind w:left="0"/>
                        </w:pPr>
                      </w:p>
                      <w:p>
                        <w:pPr>
                          <w:pStyle w:val="3"/>
                          <w:kinsoku w:val="0"/>
                          <w:overflowPunct w:val="0"/>
                          <w:spacing w:before="7"/>
                          <w:ind w:left="0"/>
                        </w:pPr>
                      </w:p>
                      <w:p>
                        <w:pPr>
                          <w:pStyle w:val="3"/>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7"/>
        <w:ind w:left="0"/>
        <w:rPr>
          <w:rFonts w:hint="eastAsia" w:ascii="宋体" w:hAnsi="宋体" w:eastAsia="宋体" w:cs="宋体"/>
          <w:sz w:val="20"/>
          <w:szCs w:val="20"/>
          <w:highlight w:val="none"/>
        </w:rPr>
      </w:pPr>
    </w:p>
    <w:p>
      <w:pPr>
        <w:pStyle w:val="3"/>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3"/>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3"/>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3"/>
        <w:kinsoku w:val="0"/>
        <w:overflowPunct w:val="0"/>
        <w:spacing w:before="7"/>
        <w:ind w:left="0"/>
        <w:rPr>
          <w:rFonts w:hint="eastAsia" w:ascii="宋体" w:hAnsi="宋体" w:eastAsia="宋体" w:cs="宋体"/>
          <w:sz w:val="22"/>
          <w:szCs w:val="22"/>
          <w:highlight w:val="none"/>
        </w:rPr>
      </w:pPr>
    </w:p>
    <w:p>
      <w:pPr>
        <w:pStyle w:val="3"/>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w:t>
      </w:r>
      <w:r>
        <w:rPr>
          <w:rFonts w:hint="eastAsia" w:ascii="宋体" w:hAnsi="宋体" w:eastAsia="宋体" w:cs="宋体"/>
          <w:b/>
          <w:highlight w:val="none"/>
          <w:lang w:eastAsia="zh-CN"/>
        </w:rPr>
        <w:t>另单独</w:t>
      </w:r>
      <w:r>
        <w:rPr>
          <w:rFonts w:hint="eastAsia" w:ascii="宋体" w:hAnsi="宋体" w:eastAsia="宋体" w:cs="宋体"/>
          <w:b/>
          <w:highlight w:val="none"/>
        </w:rPr>
        <w:t>递交一份。</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3"/>
        <w:kinsoku w:val="0"/>
        <w:overflowPunct w:val="0"/>
        <w:spacing w:before="0"/>
        <w:ind w:left="0"/>
        <w:rPr>
          <w:rFonts w:hint="eastAsia" w:ascii="宋体" w:hAnsi="宋体" w:eastAsia="宋体" w:cs="宋体"/>
          <w:b/>
          <w:bCs/>
          <w:sz w:val="20"/>
          <w:szCs w:val="20"/>
          <w:highlight w:val="none"/>
        </w:rPr>
      </w:pPr>
    </w:p>
    <w:p>
      <w:pPr>
        <w:pStyle w:val="3"/>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5"/>
        <w:ind w:left="0"/>
        <w:rPr>
          <w:rFonts w:hint="eastAsia" w:ascii="宋体" w:hAnsi="宋体" w:eastAsia="宋体" w:cs="宋体"/>
          <w:sz w:val="25"/>
          <w:szCs w:val="25"/>
          <w:highlight w:val="none"/>
        </w:rPr>
      </w:pPr>
    </w:p>
    <w:p>
      <w:pPr>
        <w:pStyle w:val="3"/>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3"/>
        <w:kinsoku w:val="0"/>
        <w:overflowPunct w:val="0"/>
        <w:spacing w:before="0"/>
        <w:ind w:left="0"/>
        <w:rPr>
          <w:rFonts w:hint="eastAsia" w:ascii="宋体" w:hAnsi="宋体" w:eastAsia="宋体" w:cs="宋体"/>
          <w:sz w:val="20"/>
          <w:szCs w:val="20"/>
          <w:highlight w:val="none"/>
        </w:rPr>
      </w:pPr>
    </w:p>
    <w:p>
      <w:pPr>
        <w:pStyle w:val="3"/>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3"/>
        <w:kinsoku w:val="0"/>
        <w:overflowPunct w:val="0"/>
        <w:spacing w:before="174"/>
        <w:rPr>
          <w:rFonts w:hint="eastAsia" w:ascii="宋体" w:hAnsi="宋体" w:eastAsia="宋体" w:cs="宋体"/>
          <w:b/>
          <w:bCs/>
          <w:spacing w:val="1"/>
          <w:sz w:val="21"/>
          <w:szCs w:val="21"/>
          <w:highlight w:val="none"/>
        </w:rPr>
      </w:pPr>
    </w:p>
    <w:p>
      <w:pPr>
        <w:pStyle w:val="3"/>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snapToGrid w:val="0"/>
        <w:ind w:firstLine="420" w:firstLineChars="200"/>
        <w:rPr>
          <w:rFonts w:ascii="仿宋" w:hAnsi="仿宋" w:eastAsia="仿宋"/>
          <w:b/>
          <w:color w:val="000000"/>
          <w:sz w:val="28"/>
          <w:szCs w:val="28"/>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3"/>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3"/>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0"/>
        <w:gridCol w:w="1011"/>
        <w:gridCol w:w="2748"/>
        <w:gridCol w:w="730"/>
        <w:gridCol w:w="16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exac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保证金缴纳方式</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noWrap w:val="0"/>
            <w:vAlign w:val="center"/>
          </w:tcPr>
          <w:p>
            <w:pPr>
              <w:jc w:val="center"/>
              <w:rPr>
                <w:rFonts w:hint="eastAsia" w:ascii="宋体" w:hAnsi="宋体" w:eastAsia="宋体" w:cs="宋体"/>
                <w:color w:val="000000"/>
                <w:sz w:val="24"/>
                <w:szCs w:val="24"/>
              </w:rPr>
            </w:pPr>
          </w:p>
        </w:tc>
        <w:tc>
          <w:tcPr>
            <w:tcW w:w="1011" w:type="dxa"/>
            <w:noWrap w:val="0"/>
            <w:vAlign w:val="center"/>
          </w:tcPr>
          <w:p>
            <w:pPr>
              <w:jc w:val="center"/>
              <w:rPr>
                <w:rFonts w:hint="eastAsia" w:ascii="宋体" w:hAnsi="宋体" w:eastAsia="宋体" w:cs="宋体"/>
                <w:color w:val="000000"/>
                <w:sz w:val="24"/>
                <w:szCs w:val="24"/>
              </w:rPr>
            </w:pPr>
          </w:p>
        </w:tc>
        <w:tc>
          <w:tcPr>
            <w:tcW w:w="2748" w:type="dxa"/>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投标总报价（元）</w:t>
            </w:r>
          </w:p>
        </w:tc>
        <w:tc>
          <w:tcPr>
            <w:tcW w:w="5469" w:type="dxa"/>
            <w:gridSpan w:val="5"/>
            <w:tcBorders>
              <w:bottom w:val="single" w:color="auto" w:sz="4" w:space="0"/>
            </w:tcBorders>
            <w:noWrap w:val="0"/>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w:t>
            </w:r>
          </w:p>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w:t>
      </w:r>
      <w:r>
        <w:rPr>
          <w:rFonts w:hint="eastAsia" w:ascii="宋体" w:hAnsi="宋体" w:cs="宋体"/>
          <w:kern w:val="0"/>
          <w:sz w:val="24"/>
          <w:szCs w:val="24"/>
          <w:highlight w:val="none"/>
          <w:lang w:eastAsia="zh-CN"/>
        </w:rPr>
        <w:t>所有</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3"/>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highlight w:val="none"/>
        </w:rPr>
      </w:pPr>
    </w:p>
    <w:p>
      <w:pPr>
        <w:pStyle w:val="3"/>
        <w:kinsoku w:val="0"/>
        <w:overflowPunct w:val="0"/>
        <w:spacing w:before="34" w:line="357" w:lineRule="auto"/>
        <w:ind w:right="126" w:firstLine="480"/>
        <w:jc w:val="center"/>
        <w:rPr>
          <w:rFonts w:hint="eastAsia" w:ascii="宋体" w:hAnsi="宋体" w:eastAsia="宋体" w:cs="宋体"/>
          <w:b/>
          <w:bCs/>
          <w:color w:val="FF0000"/>
          <w:highlight w:val="none"/>
        </w:rPr>
      </w:pPr>
      <w:r>
        <w:rPr>
          <w:rFonts w:hint="eastAsia" w:ascii="宋体" w:hAnsi="宋体" w:eastAsia="宋体" w:cs="宋体"/>
          <w:b/>
          <w:bCs/>
          <w:color w:val="FF0000"/>
          <w:sz w:val="36"/>
          <w:szCs w:val="36"/>
          <w:highlight w:val="none"/>
          <w:lang w:eastAsia="zh-CN"/>
        </w:rPr>
        <w:t>报价一览表（最终报价）</w:t>
      </w:r>
    </w:p>
    <w:p>
      <w:pPr>
        <w:pStyle w:val="3"/>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3"/>
        <w:rPr>
          <w:rFonts w:hint="eastAsia"/>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0"/>
        <w:gridCol w:w="1011"/>
        <w:gridCol w:w="2748"/>
        <w:gridCol w:w="730"/>
        <w:gridCol w:w="16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exac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质保期</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保证金缴纳方式</w:t>
            </w: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1011"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2748" w:type="dxa"/>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c>
          <w:tcPr>
            <w:tcW w:w="0" w:type="auto"/>
            <w:tcBorders>
              <w:bottom w:val="single" w:color="auto" w:sz="4" w:space="0"/>
            </w:tcBorders>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noWrap w:val="0"/>
            <w:vAlign w:val="center"/>
          </w:tcPr>
          <w:p>
            <w:pPr>
              <w:jc w:val="center"/>
              <w:rPr>
                <w:rFonts w:hint="eastAsia" w:ascii="宋体" w:hAnsi="宋体" w:eastAsia="宋体" w:cs="宋体"/>
                <w:color w:val="000000"/>
                <w:sz w:val="24"/>
                <w:szCs w:val="24"/>
              </w:rPr>
            </w:pPr>
          </w:p>
        </w:tc>
        <w:tc>
          <w:tcPr>
            <w:tcW w:w="1011" w:type="dxa"/>
            <w:noWrap w:val="0"/>
            <w:vAlign w:val="center"/>
          </w:tcPr>
          <w:p>
            <w:pPr>
              <w:jc w:val="center"/>
              <w:rPr>
                <w:rFonts w:hint="eastAsia" w:ascii="宋体" w:hAnsi="宋体" w:eastAsia="宋体" w:cs="宋体"/>
                <w:color w:val="000000"/>
                <w:sz w:val="24"/>
                <w:szCs w:val="24"/>
              </w:rPr>
            </w:pPr>
          </w:p>
        </w:tc>
        <w:tc>
          <w:tcPr>
            <w:tcW w:w="2748" w:type="dxa"/>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c>
          <w:tcPr>
            <w:tcW w:w="0" w:type="auto"/>
            <w:noWrap w:val="0"/>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930" w:type="dxa"/>
            <w:tcBorders>
              <w:bottom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投标总报价（元）</w:t>
            </w:r>
          </w:p>
        </w:tc>
        <w:tc>
          <w:tcPr>
            <w:tcW w:w="5469" w:type="dxa"/>
            <w:gridSpan w:val="5"/>
            <w:tcBorders>
              <w:bottom w:val="single" w:color="auto" w:sz="4" w:space="0"/>
            </w:tcBorders>
            <w:noWrap w:val="0"/>
            <w:vAlign w:val="center"/>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小写：</w:t>
            </w:r>
          </w:p>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1.此表总报价是所有需采购人支付的金额总数，包括《磋商内容》要求的全部内容。</w:t>
      </w:r>
    </w:p>
    <w:p>
      <w:pPr>
        <w:spacing w:line="48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w:t>
      </w:r>
      <w:r>
        <w:rPr>
          <w:rFonts w:hint="eastAsia" w:ascii="宋体" w:hAnsi="宋体" w:cs="宋体"/>
          <w:kern w:val="0"/>
          <w:sz w:val="24"/>
          <w:szCs w:val="24"/>
          <w:highlight w:val="none"/>
          <w:lang w:eastAsia="zh-CN"/>
        </w:rPr>
        <w:t>所有</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964" w:firstLineChars="4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FF0000"/>
          <w:kern w:val="0"/>
          <w:sz w:val="24"/>
          <w:szCs w:val="24"/>
          <w:highlight w:val="none"/>
        </w:rPr>
        <w:t>3.</w:t>
      </w:r>
      <w:r>
        <w:rPr>
          <w:rFonts w:hint="eastAsia" w:ascii="宋体" w:hAnsi="宋体" w:cs="宋体"/>
          <w:b/>
          <w:bCs/>
          <w:color w:val="FF0000"/>
          <w:kern w:val="0"/>
          <w:sz w:val="24"/>
          <w:szCs w:val="24"/>
          <w:highlight w:val="none"/>
          <w:lang w:eastAsia="zh-CN"/>
        </w:rPr>
        <w:t>加盖供应商公章后，带到磋商地点，不随响应文件一同递交，开评标时开启二次报价时在现场递交，可以提前填好最终报价，也可现场填写最终报价。</w:t>
      </w:r>
    </w:p>
    <w:p>
      <w:pPr>
        <w:pStyle w:val="3"/>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7"/>
        <w:ind w:firstLine="725"/>
        <w:rPr>
          <w:rFonts w:hint="eastAsia" w:ascii="宋体" w:hAnsi="宋体" w:eastAsia="宋体" w:cs="宋体"/>
          <w:color w:val="000000"/>
        </w:rPr>
      </w:pPr>
    </w:p>
    <w:p>
      <w:pPr>
        <w:pStyle w:val="37"/>
        <w:ind w:firstLine="725"/>
        <w:rPr>
          <w:rFonts w:hint="eastAsia" w:ascii="宋体" w:hAnsi="宋体" w:eastAsia="宋体" w:cs="宋体"/>
          <w:color w:val="000000"/>
        </w:rPr>
      </w:pPr>
    </w:p>
    <w:p>
      <w:pPr>
        <w:pStyle w:val="37"/>
        <w:ind w:firstLine="725"/>
        <w:rPr>
          <w:rFonts w:hint="eastAsia" w:ascii="宋体" w:hAnsi="宋体" w:eastAsia="宋体" w:cs="宋体"/>
          <w:color w:val="000000"/>
        </w:rPr>
      </w:pPr>
      <w:r>
        <w:rPr>
          <w:rFonts w:hint="eastAsia" w:ascii="宋体" w:hAnsi="宋体" w:eastAsia="宋体" w:cs="宋体"/>
          <w:color w:val="000000"/>
        </w:rPr>
        <w:t>投标产品名称、数量、规格及报价明细表</w:t>
      </w:r>
    </w:p>
    <w:p>
      <w:pPr>
        <w:pStyle w:val="38"/>
        <w:spacing w:after="160" w:afterLines="50"/>
        <w:ind w:left="0" w:lef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此表参照下表由各投标人按照招标货物内容、顺序编制填写，包括详细的产品配置清单数量、产地、价格、运杂费、产品品牌及生产厂家等内容。</w:t>
      </w:r>
    </w:p>
    <w:p>
      <w:pPr>
        <w:snapToGrid w:val="0"/>
        <w:spacing w:before="160" w:beforeLines="50"/>
        <w:ind w:firstLine="482" w:firstLineChars="200"/>
        <w:rPr>
          <w:rFonts w:hint="eastAsia" w:asciiTheme="minorEastAsia" w:hAnsiTheme="minorEastAsia" w:eastAsiaTheme="minorEastAsia" w:cstheme="minorEastAsia"/>
          <w:b/>
          <w:color w:val="000000"/>
          <w:sz w:val="24"/>
          <w:szCs w:val="24"/>
        </w:rPr>
      </w:pPr>
    </w:p>
    <w:tbl>
      <w:tblPr>
        <w:tblStyle w:val="18"/>
        <w:tblpPr w:leftFromText="180" w:rightFromText="180" w:vertAnchor="text" w:horzAnchor="page" w:tblpX="1609" w:tblpY="1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104"/>
        <w:gridCol w:w="573"/>
        <w:gridCol w:w="573"/>
        <w:gridCol w:w="808"/>
        <w:gridCol w:w="1400"/>
        <w:gridCol w:w="1171"/>
        <w:gridCol w:w="1171"/>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名 称</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品牌</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型号</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生产厂家</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数量（标明单位）</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单价（元）</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小计（元）</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（所投的全部货物、服务内容）</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c>
          <w:tcPr>
            <w:tcW w:w="0" w:type="auto"/>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运杂费（含保险）</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安装调试、培训费</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税费</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trPr>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0" w:type="auto"/>
            <w:noWrap w:val="0"/>
            <w:vAlign w:val="center"/>
          </w:tcPr>
          <w:p>
            <w:pPr>
              <w:spacing w:line="4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w:t>
            </w:r>
          </w:p>
        </w:tc>
        <w:tc>
          <w:tcPr>
            <w:tcW w:w="0" w:type="auto"/>
            <w:gridSpan w:val="7"/>
            <w:noWrap w:val="0"/>
            <w:vAlign w:val="center"/>
          </w:tcPr>
          <w:p>
            <w:pPr>
              <w:pStyle w:val="39"/>
              <w:tabs>
                <w:tab w:val="left" w:pos="1337"/>
              </w:tabs>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trPr>
        <w:tc>
          <w:tcPr>
            <w:tcW w:w="0" w:type="auto"/>
            <w:gridSpan w:val="2"/>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合计总价（元）</w:t>
            </w:r>
          </w:p>
        </w:tc>
        <w:tc>
          <w:tcPr>
            <w:tcW w:w="0" w:type="auto"/>
            <w:gridSpan w:val="7"/>
            <w:noWrap w:val="0"/>
            <w:vAlign w:val="center"/>
          </w:tcPr>
          <w:p>
            <w:pPr>
              <w:spacing w:line="420" w:lineRule="exact"/>
              <w:ind w:firstLine="480"/>
              <w:jc w:val="center"/>
              <w:rPr>
                <w:rFonts w:hint="eastAsia" w:asciiTheme="minorEastAsia" w:hAnsiTheme="minorEastAsia" w:eastAsiaTheme="minorEastAsia" w:cstheme="minorEastAsia"/>
                <w:color w:val="000000"/>
                <w:sz w:val="24"/>
                <w:szCs w:val="24"/>
              </w:rPr>
            </w:pPr>
          </w:p>
        </w:tc>
      </w:tr>
    </w:tbl>
    <w:p>
      <w:pPr>
        <w:snapToGrid w:val="0"/>
        <w:spacing w:before="160" w:beforeLines="50"/>
        <w:ind w:firstLine="482" w:firstLineChars="200"/>
        <w:rPr>
          <w:rFonts w:hint="eastAsia" w:asciiTheme="minorEastAsia" w:hAnsiTheme="minorEastAsia" w:eastAsiaTheme="minorEastAsia" w:cstheme="minorEastAsia"/>
          <w:b/>
          <w:color w:val="000000"/>
          <w:sz w:val="24"/>
          <w:szCs w:val="24"/>
        </w:rPr>
      </w:pPr>
    </w:p>
    <w:p>
      <w:pPr>
        <w:snapToGrid w:val="0"/>
        <w:spacing w:before="160" w:beforeLines="50"/>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注明</w:t>
      </w:r>
      <w:r>
        <w:rPr>
          <w:rFonts w:hint="eastAsia" w:asciiTheme="minorEastAsia" w:hAnsiTheme="minorEastAsia" w:eastAsiaTheme="minorEastAsia" w:cstheme="minorEastAsia"/>
          <w:color w:val="000000"/>
          <w:sz w:val="24"/>
          <w:szCs w:val="24"/>
        </w:rPr>
        <w:t xml:space="preserve"> ：</w:t>
      </w:r>
    </w:p>
    <w:p>
      <w:pPr>
        <w:snapToGrid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1、如果按单价计算的结果与总价不一致，以单价为准修正总价。</w:t>
      </w:r>
    </w:p>
    <w:p>
      <w:pPr>
        <w:pStyle w:val="11"/>
        <w:snapToGrid w:val="0"/>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2、投标人须参照</w:t>
      </w:r>
      <w:r>
        <w:rPr>
          <w:rFonts w:hint="eastAsia" w:asciiTheme="minorEastAsia" w:hAnsiTheme="minorEastAsia" w:eastAsiaTheme="minorEastAsia" w:cstheme="minorEastAsia"/>
          <w:b/>
          <w:color w:val="000000"/>
          <w:sz w:val="24"/>
          <w:szCs w:val="24"/>
          <w:lang w:eastAsia="zh-CN"/>
        </w:rPr>
        <w:t>磋商内容</w:t>
      </w:r>
      <w:r>
        <w:rPr>
          <w:rFonts w:hint="eastAsia" w:asciiTheme="minorEastAsia" w:hAnsiTheme="minorEastAsia" w:eastAsiaTheme="minorEastAsia" w:cstheme="minorEastAsia"/>
          <w:b/>
          <w:color w:val="000000"/>
          <w:sz w:val="24"/>
          <w:szCs w:val="24"/>
        </w:rPr>
        <w:t>所列明的内容全部报价。如果不提供详细分项报价视为没有实质性响应招标文件。</w:t>
      </w:r>
    </w:p>
    <w:p>
      <w:pPr>
        <w:pStyle w:val="11"/>
        <w:snapToGrid w:val="0"/>
        <w:ind w:firstLine="120" w:firstLineChars="50"/>
        <w:jc w:val="center"/>
        <w:rPr>
          <w:rFonts w:hint="eastAsia" w:asciiTheme="minorEastAsia" w:hAnsiTheme="minorEastAsia" w:eastAsiaTheme="minorEastAsia" w:cstheme="minorEastAsia"/>
          <w:color w:val="000000"/>
          <w:sz w:val="24"/>
          <w:szCs w:val="24"/>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cs="宋体"/>
          <w:kern w:val="0"/>
          <w:sz w:val="24"/>
          <w:szCs w:val="24"/>
          <w:highlight w:val="none"/>
          <w:u w:val="none"/>
          <w:lang w:val="en-US" w:eastAsia="zh-CN"/>
        </w:rPr>
        <w:t xml:space="preserve">                               </w:t>
      </w:r>
      <w:r>
        <w:rPr>
          <w:rFonts w:hint="eastAsia" w:ascii="宋体" w:hAnsi="宋体" w:eastAsia="宋体" w:cs="宋体"/>
          <w:kern w:val="0"/>
          <w:sz w:val="24"/>
          <w:szCs w:val="24"/>
          <w:highlight w:val="none"/>
          <w:lang w:val="en-US" w:eastAsia="zh-CN" w:bidi="ar-SA"/>
        </w:rPr>
        <w:t xml:space="preserve">   日 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投标</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hint="eastAsia" w:ascii="宋体" w:hAnsi="宋体" w:eastAsia="宋体" w:cs="宋体"/>
                <w:kern w:val="0"/>
                <w:sz w:val="24"/>
                <w:szCs w:val="24"/>
                <w:highlight w:val="none"/>
              </w:rPr>
            </w:pPr>
          </w:p>
        </w:tc>
        <w:tc>
          <w:tcPr>
            <w:tcW w:w="1327" w:type="dxa"/>
            <w:vAlign w:val="center"/>
          </w:tcPr>
          <w:p>
            <w:pPr>
              <w:rPr>
                <w:rFonts w:hint="eastAsia" w:ascii="宋体" w:hAnsi="宋体" w:eastAsia="宋体" w:cs="宋体"/>
                <w:kern w:val="0"/>
                <w:sz w:val="24"/>
                <w:szCs w:val="24"/>
                <w:highlight w:val="none"/>
              </w:rPr>
            </w:pPr>
          </w:p>
        </w:tc>
        <w:tc>
          <w:tcPr>
            <w:tcW w:w="1871" w:type="dxa"/>
            <w:vAlign w:val="center"/>
          </w:tcPr>
          <w:p>
            <w:pPr>
              <w:rPr>
                <w:rFonts w:hint="eastAsia" w:ascii="宋体" w:hAnsi="宋体" w:eastAsia="宋体" w:cs="宋体"/>
                <w:kern w:val="0"/>
                <w:sz w:val="24"/>
                <w:szCs w:val="24"/>
                <w:highlight w:val="none"/>
              </w:rPr>
            </w:pPr>
          </w:p>
        </w:tc>
        <w:tc>
          <w:tcPr>
            <w:tcW w:w="1052" w:type="dxa"/>
            <w:vAlign w:val="center"/>
          </w:tcPr>
          <w:p>
            <w:pPr>
              <w:rPr>
                <w:rFonts w:hint="eastAsia" w:ascii="宋体" w:hAnsi="宋体" w:eastAsia="宋体" w:cs="宋体"/>
                <w:kern w:val="0"/>
                <w:sz w:val="24"/>
                <w:szCs w:val="24"/>
                <w:highlight w:val="none"/>
              </w:rPr>
            </w:pPr>
          </w:p>
        </w:tc>
        <w:tc>
          <w:tcPr>
            <w:tcW w:w="1106" w:type="dxa"/>
            <w:vAlign w:val="center"/>
          </w:tcPr>
          <w:p>
            <w:pPr>
              <w:rPr>
                <w:rFonts w:hint="eastAsia" w:ascii="宋体" w:hAnsi="宋体" w:eastAsia="宋体" w:cs="宋体"/>
                <w:kern w:val="0"/>
                <w:sz w:val="24"/>
                <w:szCs w:val="24"/>
                <w:highlight w:val="none"/>
              </w:rPr>
            </w:pPr>
          </w:p>
        </w:tc>
        <w:tc>
          <w:tcPr>
            <w:tcW w:w="929" w:type="dxa"/>
            <w:vAlign w:val="center"/>
          </w:tcPr>
          <w:p>
            <w:pPr>
              <w:rPr>
                <w:rFonts w:hint="eastAsia" w:ascii="宋体" w:hAnsi="宋体" w:eastAsia="宋体" w:cs="宋体"/>
                <w:kern w:val="0"/>
                <w:sz w:val="24"/>
                <w:szCs w:val="24"/>
                <w:highlight w:val="none"/>
              </w:rPr>
            </w:pPr>
          </w:p>
        </w:tc>
        <w:tc>
          <w:tcPr>
            <w:tcW w:w="1158" w:type="dxa"/>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3"/>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3"/>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3"/>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制造商</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节能</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3、企业为小型或微型企业如不填写或填写不全，后果自行承担。</w:t>
      </w:r>
    </w:p>
    <w:p>
      <w:pPr>
        <w:pStyle w:val="3"/>
        <w:tabs>
          <w:tab w:val="left" w:pos="8227"/>
        </w:tabs>
        <w:kinsoku w:val="0"/>
        <w:overflowPunct w:val="0"/>
        <w:spacing w:before="0" w:line="381" w:lineRule="auto"/>
        <w:ind w:left="4027" w:right="118"/>
        <w:rPr>
          <w:rFonts w:hint="eastAsia" w:ascii="宋体" w:hAnsi="宋体" w:eastAsia="宋体" w:cs="宋体"/>
          <w:b/>
          <w:bCs/>
          <w:highlight w:val="none"/>
        </w:rPr>
      </w:pPr>
    </w:p>
    <w:p>
      <w:pPr>
        <w:pStyle w:val="3"/>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3"/>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3"/>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3"/>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3"/>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3"/>
        <w:kinsoku w:val="0"/>
        <w:overflowPunct w:val="0"/>
        <w:spacing w:before="5"/>
        <w:ind w:left="0"/>
        <w:rPr>
          <w:rFonts w:hint="eastAsia" w:ascii="宋体" w:hAnsi="宋体" w:eastAsia="宋体" w:cs="宋体"/>
          <w:b/>
          <w:bCs/>
          <w:sz w:val="6"/>
          <w:szCs w:val="6"/>
          <w:highlight w:val="none"/>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4"/>
              <w:rPr>
                <w:rFonts w:hint="eastAsia" w:ascii="宋体" w:hAnsi="宋体" w:eastAsia="宋体" w:cs="宋体"/>
                <w:b/>
                <w:bCs/>
                <w:sz w:val="20"/>
                <w:szCs w:val="20"/>
                <w:highlight w:val="none"/>
              </w:rPr>
            </w:pPr>
          </w:p>
          <w:p>
            <w:pPr>
              <w:pStyle w:val="23"/>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vAlign w:val="top"/>
          </w:tcPr>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rPr>
                <w:rFonts w:hint="eastAsia" w:ascii="宋体" w:hAnsi="宋体" w:eastAsia="宋体" w:cs="宋体"/>
                <w:b/>
                <w:bCs/>
                <w:highlight w:val="none"/>
              </w:rPr>
            </w:pPr>
          </w:p>
          <w:p>
            <w:pPr>
              <w:pStyle w:val="23"/>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pStyle w:val="23"/>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pStyle w:val="23"/>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pStyle w:val="23"/>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vAlign w:val="top"/>
          </w:tcPr>
          <w:p>
            <w:pPr>
              <w:pStyle w:val="23"/>
              <w:kinsoku w:val="0"/>
              <w:overflowPunct w:val="0"/>
              <w:rPr>
                <w:rFonts w:hint="eastAsia" w:ascii="宋体" w:hAnsi="宋体" w:eastAsia="宋体" w:cs="宋体"/>
                <w:b/>
                <w:bCs/>
                <w:highlight w:val="none"/>
              </w:rPr>
            </w:pPr>
          </w:p>
          <w:p>
            <w:pPr>
              <w:pStyle w:val="23"/>
              <w:kinsoku w:val="0"/>
              <w:overflowPunct w:val="0"/>
              <w:spacing w:before="1"/>
              <w:rPr>
                <w:rFonts w:hint="eastAsia" w:ascii="宋体" w:hAnsi="宋体" w:eastAsia="宋体" w:cs="宋体"/>
                <w:b/>
                <w:bCs/>
                <w:sz w:val="23"/>
                <w:szCs w:val="23"/>
                <w:highlight w:val="none"/>
              </w:rPr>
            </w:pPr>
          </w:p>
          <w:p>
            <w:pPr>
              <w:pStyle w:val="23"/>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宋体"/>
                <w:highlight w:val="none"/>
              </w:rPr>
            </w:pPr>
          </w:p>
        </w:tc>
      </w:tr>
    </w:tbl>
    <w:p>
      <w:pPr>
        <w:pStyle w:val="3"/>
        <w:kinsoku w:val="0"/>
        <w:overflowPunct w:val="0"/>
        <w:spacing w:before="26" w:line="320" w:lineRule="auto"/>
        <w:ind w:left="1772" w:hanging="1640"/>
        <w:rPr>
          <w:rFonts w:hint="eastAsia" w:ascii="宋体" w:hAnsi="宋体" w:eastAsia="宋体" w:cs="宋体"/>
          <w:b/>
          <w:bCs/>
          <w:w w:val="95"/>
          <w:highlight w:val="none"/>
        </w:rPr>
      </w:pPr>
    </w:p>
    <w:p>
      <w:pPr>
        <w:pStyle w:val="3"/>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3"/>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w:t>
      </w:r>
      <w:r>
        <w:rPr>
          <w:rFonts w:hint="eastAsia" w:ascii="宋体" w:hAnsi="宋体" w:eastAsia="宋体" w:cs="宋体"/>
          <w:b/>
          <w:bCs/>
          <w:highlight w:val="none"/>
          <w:lang w:eastAsia="zh-CN"/>
        </w:rPr>
        <w:t>近一年</w:t>
      </w:r>
      <w:r>
        <w:rPr>
          <w:rFonts w:hint="eastAsia" w:ascii="宋体" w:hAnsi="宋体" w:eastAsia="宋体" w:cs="宋体"/>
          <w:b/>
          <w:bCs/>
          <w:highlight w:val="none"/>
        </w:rPr>
        <w:t>财务状况报告相关材料（复印件加盖单位公章）</w:t>
      </w:r>
    </w:p>
    <w:p>
      <w:pPr>
        <w:pStyle w:val="11"/>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2020年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numPr>
          <w:ilvl w:val="0"/>
          <w:numId w:val="0"/>
        </w:numPr>
        <w:spacing w:line="360" w:lineRule="auto"/>
        <w:ind w:firstLine="480" w:firstLineChars="20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11"/>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11"/>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3"/>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11"/>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的</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11"/>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11"/>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11"/>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11"/>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1"/>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1"/>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具有履行合同所必需的专业技术能力，能够按时保质保量地完成招标文件所要求的的全部工作任务</w:t>
      </w:r>
      <w:r>
        <w:rPr>
          <w:rFonts w:hint="eastAsia" w:ascii="宋体" w:hAnsi="宋体" w:cs="宋体"/>
          <w:b/>
          <w:bCs/>
          <w:sz w:val="24"/>
          <w:szCs w:val="24"/>
          <w:highlight w:val="none"/>
          <w:lang w:val="en-US" w:eastAsia="zh-CN"/>
        </w:rPr>
        <w:t>（承诺书）格式自拟</w:t>
      </w:r>
      <w:r>
        <w:rPr>
          <w:rFonts w:hint="eastAsia" w:ascii="宋体" w:hAnsi="宋体" w:eastAsia="宋体" w:cs="宋体"/>
          <w:sz w:val="24"/>
          <w:szCs w:val="24"/>
          <w:highlight w:val="none"/>
          <w:lang w:val="en-US" w:eastAsia="zh-CN"/>
        </w:rPr>
        <w:t>；</w:t>
      </w:r>
    </w:p>
    <w:p>
      <w:pPr>
        <w:pStyle w:val="21"/>
        <w:ind w:firstLine="480"/>
        <w:rPr>
          <w:rFonts w:hint="eastAsia" w:ascii="宋体" w:hAnsi="宋体" w:eastAsia="宋体" w:cs="宋体"/>
          <w:sz w:val="24"/>
          <w:szCs w:val="24"/>
          <w:highlight w:val="none"/>
          <w:lang w:eastAsia="zh-CN"/>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14"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89"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vAlign w:val="center"/>
          </w:tcPr>
          <w:p>
            <w:pPr>
              <w:rPr>
                <w:rFonts w:hint="eastAsia" w:ascii="宋体" w:hAnsi="宋体" w:eastAsia="宋体" w:cs="宋体"/>
                <w:spacing w:val="-1"/>
                <w:kern w:val="0"/>
                <w:sz w:val="24"/>
                <w:szCs w:val="24"/>
                <w:highlight w:val="none"/>
              </w:rPr>
            </w:pPr>
          </w:p>
        </w:tc>
        <w:tc>
          <w:tcPr>
            <w:tcW w:w="2114" w:type="dxa"/>
            <w:vAlign w:val="center"/>
          </w:tcPr>
          <w:p>
            <w:pPr>
              <w:rPr>
                <w:rFonts w:hint="eastAsia" w:ascii="宋体" w:hAnsi="宋体" w:eastAsia="宋体" w:cs="宋体"/>
                <w:spacing w:val="-1"/>
                <w:kern w:val="0"/>
                <w:sz w:val="24"/>
                <w:szCs w:val="24"/>
                <w:highlight w:val="none"/>
              </w:rPr>
            </w:pPr>
          </w:p>
        </w:tc>
        <w:tc>
          <w:tcPr>
            <w:tcW w:w="1289" w:type="dxa"/>
            <w:vAlign w:val="center"/>
          </w:tcPr>
          <w:p>
            <w:pPr>
              <w:rPr>
                <w:rFonts w:hint="eastAsia" w:ascii="宋体" w:hAnsi="宋体" w:eastAsia="宋体" w:cs="宋体"/>
                <w:spacing w:val="-1"/>
                <w:kern w:val="0"/>
                <w:sz w:val="24"/>
                <w:szCs w:val="24"/>
                <w:highlight w:val="none"/>
              </w:rPr>
            </w:pPr>
          </w:p>
        </w:tc>
        <w:tc>
          <w:tcPr>
            <w:tcW w:w="2658" w:type="dxa"/>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3"/>
        <w:kinsoku w:val="0"/>
        <w:overflowPunct w:val="0"/>
        <w:spacing w:before="34" w:line="357" w:lineRule="auto"/>
        <w:ind w:right="126" w:firstLine="480"/>
        <w:jc w:val="center"/>
        <w:rPr>
          <w:rFonts w:hint="eastAsia" w:ascii="宋体" w:hAnsi="宋体" w:eastAsia="宋体" w:cs="宋体"/>
          <w:sz w:val="18"/>
          <w:szCs w:val="18"/>
          <w:highlight w:val="none"/>
        </w:rPr>
      </w:pPr>
    </w:p>
    <w:p>
      <w:pPr>
        <w:pStyle w:val="3"/>
        <w:tabs>
          <w:tab w:val="left" w:pos="6736"/>
        </w:tabs>
        <w:kinsoku w:val="0"/>
        <w:overflowPunct w:val="0"/>
        <w:spacing w:before="26" w:line="337" w:lineRule="auto"/>
        <w:ind w:right="33" w:rightChars="0" w:firstLine="5355" w:firstLineChars="22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3"/>
        <w:tabs>
          <w:tab w:val="left" w:pos="6736"/>
        </w:tabs>
        <w:kinsoku w:val="0"/>
        <w:overflowPunct w:val="0"/>
        <w:spacing w:before="26" w:line="337" w:lineRule="auto"/>
        <w:ind w:right="33" w:rightChars="0" w:firstLine="3927" w:firstLineChars="16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3"/>
        <w:kinsoku w:val="0"/>
        <w:overflowPunct w:val="0"/>
        <w:spacing w:before="11"/>
        <w:ind w:left="0"/>
        <w:rPr>
          <w:rFonts w:hint="eastAsia" w:ascii="宋体" w:hAnsi="宋体" w:eastAsia="宋体" w:cs="宋体"/>
          <w:sz w:val="9"/>
          <w:szCs w:val="9"/>
          <w:highlight w:val="none"/>
        </w:rPr>
      </w:pPr>
    </w:p>
    <w:p>
      <w:pPr>
        <w:pStyle w:val="3"/>
        <w:tabs>
          <w:tab w:val="left" w:pos="5418"/>
          <w:tab w:val="left" w:pos="6258"/>
          <w:tab w:val="left" w:pos="7098"/>
        </w:tabs>
        <w:kinsoku w:val="0"/>
        <w:overflowPunct w:val="0"/>
        <w:spacing w:before="26"/>
        <w:ind w:firstLine="6480" w:firstLineChars="27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3"/>
        <w:numPr>
          <w:ilvl w:val="0"/>
          <w:numId w:val="4"/>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01</w:t>
      </w:r>
      <w:r>
        <w:rPr>
          <w:rFonts w:hint="eastAsia" w:ascii="宋体" w:hAnsi="宋体" w:eastAsia="宋体" w:cs="宋体"/>
          <w:spacing w:val="-1"/>
          <w:kern w:val="0"/>
          <w:sz w:val="24"/>
          <w:szCs w:val="24"/>
          <w:highlight w:val="none"/>
        </w:rPr>
        <w:t>月</w:t>
      </w:r>
      <w:r>
        <w:rPr>
          <w:rFonts w:hint="eastAsia" w:ascii="宋体" w:hAnsi="宋体" w:cs="宋体"/>
          <w:spacing w:val="-1"/>
          <w:kern w:val="0"/>
          <w:sz w:val="24"/>
          <w:szCs w:val="24"/>
          <w:highlight w:val="none"/>
          <w:lang w:val="en-US" w:eastAsia="zh-CN"/>
        </w:rPr>
        <w:t>20</w:t>
      </w:r>
      <w:r>
        <w:rPr>
          <w:rFonts w:hint="eastAsia" w:ascii="宋体" w:hAnsi="宋体" w:eastAsia="宋体" w:cs="宋体"/>
          <w:spacing w:val="-1"/>
          <w:kern w:val="0"/>
          <w:sz w:val="24"/>
          <w:szCs w:val="24"/>
          <w:highlight w:val="none"/>
        </w:rPr>
        <w:t>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3"/>
        <w:kinsoku w:val="0"/>
        <w:overflowPunct w:val="0"/>
        <w:spacing w:before="0"/>
        <w:ind w:left="0"/>
        <w:rPr>
          <w:rFonts w:hint="eastAsia" w:ascii="宋体" w:hAnsi="宋体" w:eastAsia="宋体" w:cs="宋体"/>
          <w:b/>
          <w:bCs/>
          <w:sz w:val="20"/>
          <w:szCs w:val="20"/>
          <w:highlight w:val="none"/>
        </w:rPr>
      </w:pPr>
    </w:p>
    <w:tbl>
      <w:tblPr>
        <w:tblStyle w:val="18"/>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03"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30"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vAlign w:val="center"/>
          </w:tcPr>
          <w:p>
            <w:pPr>
              <w:jc w:val="center"/>
              <w:rPr>
                <w:rFonts w:hint="eastAsia" w:ascii="宋体" w:hAnsi="宋体" w:eastAsia="宋体" w:cs="宋体"/>
                <w:spacing w:val="-1"/>
                <w:kern w:val="0"/>
                <w:sz w:val="24"/>
                <w:szCs w:val="24"/>
                <w:highlight w:val="none"/>
              </w:rPr>
            </w:pPr>
          </w:p>
        </w:tc>
        <w:tc>
          <w:tcPr>
            <w:tcW w:w="3103" w:type="dxa"/>
            <w:vAlign w:val="center"/>
          </w:tcPr>
          <w:p>
            <w:pPr>
              <w:jc w:val="center"/>
              <w:rPr>
                <w:rFonts w:hint="eastAsia" w:ascii="宋体" w:hAnsi="宋体" w:eastAsia="宋体" w:cs="宋体"/>
                <w:spacing w:val="-1"/>
                <w:kern w:val="0"/>
                <w:sz w:val="24"/>
                <w:szCs w:val="24"/>
                <w:highlight w:val="none"/>
              </w:rPr>
            </w:pPr>
          </w:p>
        </w:tc>
        <w:tc>
          <w:tcPr>
            <w:tcW w:w="1230" w:type="dxa"/>
            <w:vAlign w:val="center"/>
          </w:tcPr>
          <w:p>
            <w:pPr>
              <w:jc w:val="center"/>
              <w:rPr>
                <w:rFonts w:hint="eastAsia" w:ascii="宋体" w:hAnsi="宋体" w:eastAsia="宋体" w:cs="宋体"/>
                <w:spacing w:val="-1"/>
                <w:kern w:val="0"/>
                <w:sz w:val="24"/>
                <w:szCs w:val="24"/>
                <w:highlight w:val="none"/>
              </w:rPr>
            </w:pPr>
          </w:p>
        </w:tc>
        <w:tc>
          <w:tcPr>
            <w:tcW w:w="1725" w:type="dxa"/>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10"/>
        <w:ind w:left="0"/>
        <w:rPr>
          <w:rFonts w:hint="eastAsia" w:ascii="宋体" w:hAnsi="宋体" w:eastAsia="宋体" w:cs="宋体"/>
          <w:sz w:val="29"/>
          <w:szCs w:val="29"/>
          <w:highlight w:val="none"/>
        </w:rPr>
      </w:pPr>
    </w:p>
    <w:p>
      <w:pPr>
        <w:pStyle w:val="3"/>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3"/>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3"/>
        <w:kinsoku w:val="0"/>
        <w:overflowPunct w:val="0"/>
        <w:spacing w:before="11"/>
        <w:ind w:left="0"/>
        <w:rPr>
          <w:rFonts w:hint="eastAsia" w:ascii="宋体" w:hAnsi="宋体" w:eastAsia="宋体" w:cs="宋体"/>
          <w:sz w:val="9"/>
          <w:szCs w:val="9"/>
          <w:highlight w:val="none"/>
        </w:rPr>
      </w:pPr>
    </w:p>
    <w:p>
      <w:pPr>
        <w:pStyle w:val="3"/>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3"/>
        <w:kinsoku w:val="0"/>
        <w:overflowPunct w:val="0"/>
        <w:spacing w:before="0"/>
        <w:ind w:left="0"/>
        <w:rPr>
          <w:rFonts w:hint="eastAsia" w:ascii="宋体" w:hAnsi="宋体" w:eastAsia="宋体" w:cs="宋体"/>
          <w:b/>
          <w:bCs/>
          <w:sz w:val="32"/>
          <w:szCs w:val="32"/>
          <w:highlight w:val="none"/>
        </w:rPr>
      </w:pPr>
    </w:p>
    <w:p>
      <w:pPr>
        <w:pStyle w:val="3"/>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3"/>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3"/>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3"/>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3"/>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9"/>
        <w:ind w:left="0"/>
        <w:rPr>
          <w:rFonts w:hint="eastAsia" w:ascii="宋体" w:hAnsi="宋体" w:eastAsia="宋体" w:cs="宋体"/>
          <w:sz w:val="19"/>
          <w:szCs w:val="19"/>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3"/>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3"/>
        <w:kinsoku w:val="0"/>
        <w:overflowPunct w:val="0"/>
        <w:spacing w:before="11"/>
        <w:ind w:left="0"/>
        <w:rPr>
          <w:rFonts w:hint="eastAsia" w:ascii="宋体" w:hAnsi="宋体" w:eastAsia="宋体" w:cs="宋体"/>
          <w:sz w:val="9"/>
          <w:szCs w:val="9"/>
          <w:highlight w:val="none"/>
        </w:rPr>
      </w:pPr>
    </w:p>
    <w:p>
      <w:pPr>
        <w:pStyle w:val="3"/>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w:t>
      </w:r>
      <w:r>
        <w:rPr>
          <w:rFonts w:hint="eastAsia" w:ascii="宋体" w:hAnsi="宋体" w:eastAsia="宋体" w:cs="宋体"/>
          <w:w w:val="95"/>
          <w:sz w:val="21"/>
          <w:szCs w:val="21"/>
          <w:highlight w:val="none"/>
        </w:rPr>
        <w:t>于印发中小企业划型标准规定的通知》（工信部联企业[2011]300 号）和《财政部工业和信息化部关于印发《政府采购促进中小企业发展管理办法》（财库﹝2020﹞46 号）相关规定。</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3"/>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3"/>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3"/>
        <w:kinsoku w:val="0"/>
        <w:overflowPunct w:val="0"/>
        <w:spacing w:before="0"/>
        <w:ind w:left="0"/>
        <w:rPr>
          <w:rFonts w:hint="eastAsia" w:ascii="宋体" w:hAnsi="宋体" w:eastAsia="宋体" w:cs="宋体"/>
          <w:b/>
          <w:bCs/>
          <w:sz w:val="32"/>
          <w:szCs w:val="32"/>
          <w:highlight w:val="none"/>
        </w:rPr>
      </w:pPr>
    </w:p>
    <w:p>
      <w:pPr>
        <w:pStyle w:val="3"/>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3"/>
        <w:ind w:left="0"/>
        <w:rPr>
          <w:rFonts w:hint="eastAsia" w:ascii="宋体" w:hAnsi="宋体" w:eastAsia="宋体" w:cs="宋体"/>
          <w:sz w:val="26"/>
          <w:szCs w:val="26"/>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3"/>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3"/>
        <w:kinsoku w:val="0"/>
        <w:overflowPunct w:val="0"/>
        <w:spacing w:before="0"/>
        <w:ind w:left="0"/>
        <w:rPr>
          <w:rFonts w:hint="eastAsia" w:ascii="宋体" w:hAnsi="宋体" w:eastAsia="宋体" w:cs="宋体"/>
          <w:highlight w:val="none"/>
        </w:rPr>
      </w:pPr>
    </w:p>
    <w:p>
      <w:pPr>
        <w:pStyle w:val="3"/>
        <w:kinsoku w:val="0"/>
        <w:overflowPunct w:val="0"/>
        <w:spacing w:before="0"/>
        <w:ind w:left="0"/>
        <w:rPr>
          <w:rFonts w:hint="eastAsia" w:ascii="宋体" w:hAnsi="宋体" w:eastAsia="宋体" w:cs="宋体"/>
          <w:highlight w:val="none"/>
        </w:rPr>
      </w:pPr>
    </w:p>
    <w:p>
      <w:pPr>
        <w:pStyle w:val="3"/>
        <w:kinsoku w:val="0"/>
        <w:overflowPunct w:val="0"/>
        <w:spacing w:before="3"/>
        <w:ind w:left="0"/>
        <w:rPr>
          <w:rFonts w:hint="eastAsia" w:ascii="宋体" w:hAnsi="宋体" w:eastAsia="宋体" w:cs="宋体"/>
          <w:sz w:val="26"/>
          <w:szCs w:val="26"/>
          <w:highlight w:val="none"/>
        </w:rPr>
      </w:pPr>
    </w:p>
    <w:p>
      <w:pPr>
        <w:pStyle w:val="3"/>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3"/>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3"/>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残疾人福利性单位应在本声明函后提供相关证明材料。</w:t>
      </w:r>
    </w:p>
    <w:p>
      <w:pPr>
        <w:pStyle w:val="3"/>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3"/>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3"/>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新疆成源项目管理咨询有限公司</w:t>
      </w:r>
    </w:p>
    <w:p>
      <w:pPr>
        <w:pStyle w:val="3"/>
        <w:kinsoku w:val="0"/>
        <w:overflowPunct w:val="0"/>
        <w:spacing w:before="10"/>
        <w:ind w:left="0"/>
        <w:rPr>
          <w:rFonts w:hint="eastAsia" w:ascii="宋体" w:hAnsi="宋体" w:eastAsia="宋体" w:cs="宋体"/>
          <w:b/>
          <w:bCs/>
          <w:sz w:val="14"/>
          <w:szCs w:val="14"/>
          <w:highlight w:val="none"/>
        </w:rPr>
      </w:pPr>
    </w:p>
    <w:p>
      <w:pPr>
        <w:pStyle w:val="3"/>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w:t>
      </w:r>
      <w:r>
        <w:rPr>
          <w:rFonts w:hint="eastAsia" w:ascii="宋体" w:hAnsi="宋体" w:eastAsia="宋体" w:cs="宋体"/>
          <w:highlight w:val="none"/>
          <w:lang w:eastAsia="zh-CN"/>
        </w:rPr>
        <w:t>中标通知书</w:t>
      </w:r>
      <w:r>
        <w:rPr>
          <w:rFonts w:hint="eastAsia" w:ascii="宋体" w:hAnsi="宋体" w:eastAsia="宋体" w:cs="宋体"/>
          <w:highlight w:val="none"/>
        </w:rPr>
        <w:t>》前，按照磋商文件的规定向贵公司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3"/>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新疆成源项目管理咨询有限公司</w:t>
      </w:r>
      <w:r>
        <w:rPr>
          <w:rFonts w:hint="eastAsia" w:ascii="宋体" w:hAnsi="宋体" w:eastAsia="宋体" w:cs="宋体"/>
          <w:highlight w:val="none"/>
        </w:rPr>
        <w:t>）办理支付手续。</w:t>
      </w:r>
    </w:p>
    <w:p>
      <w:pPr>
        <w:pStyle w:val="3"/>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（签字）</w:t>
      </w:r>
    </w:p>
    <w:p>
      <w:pPr>
        <w:pStyle w:val="3"/>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3"/>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3"/>
        <w:kinsoku w:val="0"/>
        <w:overflowPunct w:val="0"/>
        <w:spacing w:before="6"/>
        <w:ind w:left="0"/>
        <w:rPr>
          <w:rFonts w:hint="eastAsia" w:ascii="宋体" w:hAnsi="宋体" w:eastAsia="宋体" w:cs="宋体"/>
          <w:b/>
          <w:bCs/>
          <w:sz w:val="26"/>
          <w:szCs w:val="26"/>
          <w:highlight w:val="none"/>
        </w:rPr>
      </w:pPr>
    </w:p>
    <w:p>
      <w:pPr>
        <w:pStyle w:val="27"/>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新疆成源项目管理咨询有限公司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11"/>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11"/>
        <w:spacing w:line="360" w:lineRule="auto"/>
        <w:rPr>
          <w:rFonts w:hint="eastAsia" w:ascii="宋体" w:hAnsi="宋体" w:eastAsia="宋体" w:cs="宋体"/>
          <w:kern w:val="0"/>
          <w:sz w:val="24"/>
          <w:highlight w:val="none"/>
        </w:rPr>
      </w:pPr>
    </w:p>
    <w:p>
      <w:pPr>
        <w:pStyle w:val="11"/>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3"/>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3"/>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p>
    <w:p>
      <w:pPr>
        <w:pStyle w:val="3"/>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8"/>
        <w:tabs>
          <w:tab w:val="left" w:pos="2763"/>
        </w:tabs>
        <w:kinsoku w:val="0"/>
        <w:overflowPunct w:val="0"/>
        <w:spacing w:before="143"/>
        <w:jc w:val="center"/>
        <w:outlineLvl w:val="9"/>
        <w:rPr>
          <w:rFonts w:hint="eastAsia" w:ascii="宋体" w:hAnsi="宋体" w:eastAsia="宋体" w:cs="宋体"/>
          <w:b w:val="0"/>
          <w:bCs w:val="0"/>
          <w:highlight w:val="none"/>
        </w:rPr>
      </w:pPr>
    </w:p>
    <w:p>
      <w:pPr>
        <w:pStyle w:val="3"/>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3"/>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3"/>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highlight w:val="none"/>
        </w:rPr>
      </w:pPr>
    </w:p>
    <w:p>
      <w:pPr>
        <w:pStyle w:val="3"/>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3"/>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p>
    <w:p>
      <w:pPr>
        <w:pStyle w:val="3"/>
        <w:kinsoku w:val="0"/>
        <w:overflowPunct w:val="0"/>
        <w:spacing w:before="34" w:line="357" w:lineRule="auto"/>
        <w:ind w:right="126" w:firstLine="480"/>
        <w:jc w:val="center"/>
        <w:rPr>
          <w:rFonts w:hint="eastAsia" w:ascii="宋体" w:hAnsi="宋体" w:eastAsia="宋体" w:cs="宋体"/>
          <w:highlight w:val="none"/>
        </w:rPr>
      </w:pPr>
    </w:p>
    <w:p>
      <w:pPr>
        <w:pStyle w:val="3"/>
        <w:kinsoku w:val="0"/>
        <w:overflowPunct w:val="0"/>
        <w:spacing w:before="34" w:line="357" w:lineRule="auto"/>
        <w:ind w:left="0" w:leftChars="0" w:right="126" w:firstLine="0" w:firstLineChars="0"/>
        <w:jc w:val="center"/>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1"/>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1"/>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vAlign w:val="center"/>
          </w:tcPr>
          <w:p>
            <w:pPr>
              <w:rPr>
                <w:rFonts w:hint="eastAsia" w:ascii="宋体" w:hAnsi="宋体" w:eastAsia="宋体" w:cs="宋体"/>
                <w:kern w:val="0"/>
                <w:sz w:val="24"/>
                <w:szCs w:val="24"/>
                <w:highlight w:val="none"/>
              </w:rPr>
            </w:pPr>
          </w:p>
        </w:tc>
        <w:tc>
          <w:tcPr>
            <w:tcW w:w="3438" w:type="dxa"/>
            <w:vAlign w:val="center"/>
          </w:tcPr>
          <w:p>
            <w:pPr>
              <w:rPr>
                <w:rFonts w:hint="eastAsia" w:ascii="宋体" w:hAnsi="宋体" w:eastAsia="宋体" w:cs="宋体"/>
                <w:kern w:val="0"/>
                <w:sz w:val="24"/>
                <w:szCs w:val="24"/>
                <w:highlight w:val="none"/>
              </w:rPr>
            </w:pPr>
          </w:p>
        </w:tc>
        <w:tc>
          <w:tcPr>
            <w:tcW w:w="2197" w:type="dxa"/>
            <w:vAlign w:val="center"/>
          </w:tcPr>
          <w:p>
            <w:pPr>
              <w:rPr>
                <w:rFonts w:hint="eastAsia" w:ascii="宋体" w:hAnsi="宋体" w:eastAsia="宋体" w:cs="宋体"/>
                <w:kern w:val="0"/>
                <w:sz w:val="24"/>
                <w:szCs w:val="24"/>
                <w:highlight w:val="none"/>
              </w:rPr>
            </w:pPr>
          </w:p>
        </w:tc>
        <w:tc>
          <w:tcPr>
            <w:tcW w:w="727" w:type="dxa"/>
            <w:vAlign w:val="center"/>
          </w:tcPr>
          <w:p>
            <w:pPr>
              <w:rPr>
                <w:rFonts w:hint="eastAsia" w:ascii="宋体" w:hAnsi="宋体" w:eastAsia="宋体" w:cs="宋体"/>
                <w:kern w:val="0"/>
                <w:sz w:val="24"/>
                <w:szCs w:val="24"/>
                <w:highlight w:val="none"/>
              </w:rPr>
            </w:pPr>
          </w:p>
        </w:tc>
        <w:tc>
          <w:tcPr>
            <w:tcW w:w="1260" w:type="dxa"/>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项目总体实施方案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 xml:space="preserve">4  </w:t>
      </w:r>
      <w:r>
        <w:rPr>
          <w:rFonts w:hint="eastAsia" w:ascii="宋体" w:hAnsi="宋体" w:eastAsia="宋体" w:cs="宋体"/>
          <w:b/>
          <w:kern w:val="0"/>
          <w:sz w:val="24"/>
          <w:szCs w:val="24"/>
          <w:highlight w:val="none"/>
        </w:rPr>
        <w:t>工作进度和服务质量控制措施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1.5  配套服务措施：</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3"/>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1.6  安全与应急预案：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曾主持/参与的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项目首席设计师</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项目施工技术负责人</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2636" w:type="dxa"/>
            <w:vAlign w:val="center"/>
          </w:tcPr>
          <w:p>
            <w:pPr>
              <w:jc w:val="center"/>
              <w:rPr>
                <w:rFonts w:hint="eastAsia" w:ascii="宋体" w:hAnsi="宋体" w:eastAsia="宋体" w:cs="宋体"/>
                <w:color w:val="auto"/>
                <w:kern w:val="0"/>
                <w:sz w:val="24"/>
                <w:szCs w:val="24"/>
                <w:highlight w:val="none"/>
              </w:rPr>
            </w:pPr>
          </w:p>
        </w:tc>
        <w:tc>
          <w:tcPr>
            <w:tcW w:w="697" w:type="dxa"/>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hint="eastAsia" w:ascii="宋体" w:hAnsi="宋体" w:eastAsia="宋体" w:cs="宋体"/>
                <w:kern w:val="0"/>
                <w:sz w:val="24"/>
                <w:szCs w:val="24"/>
                <w:highlight w:val="none"/>
              </w:rPr>
            </w:pPr>
          </w:p>
        </w:tc>
        <w:tc>
          <w:tcPr>
            <w:tcW w:w="2618"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vAlign w:val="center"/>
          </w:tcPr>
          <w:p>
            <w:pPr>
              <w:rPr>
                <w:rFonts w:hint="eastAsia" w:ascii="宋体" w:hAnsi="宋体" w:eastAsia="宋体" w:cs="宋体"/>
                <w:kern w:val="0"/>
                <w:sz w:val="24"/>
                <w:szCs w:val="24"/>
                <w:highlight w:val="none"/>
              </w:rPr>
            </w:pPr>
          </w:p>
        </w:tc>
        <w:tc>
          <w:tcPr>
            <w:tcW w:w="2510" w:type="dxa"/>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6</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8"/>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3"/>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- 70 -</w:t>
                    </w:r>
                    <w:r>
                      <w:fldChar w:fldCharType="end"/>
                    </w:r>
                  </w:p>
                </w:txbxContent>
              </v:textbox>
            </v:shape>
          </w:pict>
        </mc:Fallback>
      </mc:AlternateContent>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C1C76"/>
    <w:multiLevelType w:val="singleLevel"/>
    <w:tmpl w:val="96DC1C76"/>
    <w:lvl w:ilvl="0" w:tentative="0">
      <w:start w:val="7"/>
      <w:numFmt w:val="chineseCounting"/>
      <w:suff w:val="nothing"/>
      <w:lvlText w:val="%1、"/>
      <w:lvlJc w:val="left"/>
      <w:rPr>
        <w:rFonts w:hint="eastAsia"/>
      </w:rPr>
    </w:lvl>
  </w:abstractNum>
  <w:abstractNum w:abstractNumId="1">
    <w:nsid w:val="C3D7BE3C"/>
    <w:multiLevelType w:val="singleLevel"/>
    <w:tmpl w:val="C3D7BE3C"/>
    <w:lvl w:ilvl="0" w:tentative="0">
      <w:start w:val="4"/>
      <w:numFmt w:val="chineseCounting"/>
      <w:lvlText w:val="第%1章"/>
      <w:lvlJc w:val="left"/>
      <w:rPr>
        <w:rFonts w:hint="eastAsia"/>
      </w:rPr>
    </w:lvl>
  </w:abstractNum>
  <w:abstractNum w:abstractNumId="2">
    <w:nsid w:val="DDD85877"/>
    <w:multiLevelType w:val="singleLevel"/>
    <w:tmpl w:val="DDD85877"/>
    <w:lvl w:ilvl="0" w:tentative="0">
      <w:start w:val="9"/>
      <w:numFmt w:val="chineseCounting"/>
      <w:suff w:val="nothing"/>
      <w:lvlText w:val="%1、"/>
      <w:lvlJc w:val="left"/>
      <w:rPr>
        <w:rFonts w:hint="eastAsia"/>
      </w:rPr>
    </w:lvl>
  </w:abstractNum>
  <w:abstractNum w:abstractNumId="3">
    <w:nsid w:val="7E333B28"/>
    <w:multiLevelType w:val="multilevel"/>
    <w:tmpl w:val="7E333B28"/>
    <w:lvl w:ilvl="0" w:tentative="0">
      <w:start w:val="1"/>
      <w:numFmt w:val="bullet"/>
      <w:pStyle w:val="2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1D5257"/>
    <w:rsid w:val="01695955"/>
    <w:rsid w:val="01A641D0"/>
    <w:rsid w:val="01C0753F"/>
    <w:rsid w:val="01D34DAF"/>
    <w:rsid w:val="02443CCC"/>
    <w:rsid w:val="024A5072"/>
    <w:rsid w:val="0264502E"/>
    <w:rsid w:val="02C859F1"/>
    <w:rsid w:val="02D54BBE"/>
    <w:rsid w:val="031C219B"/>
    <w:rsid w:val="03660413"/>
    <w:rsid w:val="037647BE"/>
    <w:rsid w:val="03C908B5"/>
    <w:rsid w:val="03ED74D6"/>
    <w:rsid w:val="04853622"/>
    <w:rsid w:val="04C156A3"/>
    <w:rsid w:val="04D33A99"/>
    <w:rsid w:val="04DF5654"/>
    <w:rsid w:val="04FC6AE0"/>
    <w:rsid w:val="05024DDA"/>
    <w:rsid w:val="052D54A2"/>
    <w:rsid w:val="05377B18"/>
    <w:rsid w:val="05882CC2"/>
    <w:rsid w:val="05AF18B5"/>
    <w:rsid w:val="06163B01"/>
    <w:rsid w:val="062510FF"/>
    <w:rsid w:val="065D6CA9"/>
    <w:rsid w:val="06A04B82"/>
    <w:rsid w:val="06AE1072"/>
    <w:rsid w:val="06C41957"/>
    <w:rsid w:val="06F86967"/>
    <w:rsid w:val="07033AF5"/>
    <w:rsid w:val="07832581"/>
    <w:rsid w:val="07B50185"/>
    <w:rsid w:val="07D171D5"/>
    <w:rsid w:val="084E2693"/>
    <w:rsid w:val="088B6211"/>
    <w:rsid w:val="088C5518"/>
    <w:rsid w:val="08CB2A51"/>
    <w:rsid w:val="0943552D"/>
    <w:rsid w:val="09AA1EA5"/>
    <w:rsid w:val="09C72922"/>
    <w:rsid w:val="0A176093"/>
    <w:rsid w:val="0A490BCF"/>
    <w:rsid w:val="0A5C6FD9"/>
    <w:rsid w:val="0A6273E5"/>
    <w:rsid w:val="0ACB4F8A"/>
    <w:rsid w:val="0B0D16E9"/>
    <w:rsid w:val="0B3F1C7B"/>
    <w:rsid w:val="0B6207EB"/>
    <w:rsid w:val="0BCE228A"/>
    <w:rsid w:val="0BE462B0"/>
    <w:rsid w:val="0C945EC1"/>
    <w:rsid w:val="0D413693"/>
    <w:rsid w:val="0D722B9F"/>
    <w:rsid w:val="0D8D4779"/>
    <w:rsid w:val="0E19425F"/>
    <w:rsid w:val="0E3D36FB"/>
    <w:rsid w:val="0E5D6819"/>
    <w:rsid w:val="0F105F11"/>
    <w:rsid w:val="0FDD7132"/>
    <w:rsid w:val="10296D60"/>
    <w:rsid w:val="106E3A04"/>
    <w:rsid w:val="107F3032"/>
    <w:rsid w:val="10901B56"/>
    <w:rsid w:val="10B7577E"/>
    <w:rsid w:val="10F94AA3"/>
    <w:rsid w:val="11591364"/>
    <w:rsid w:val="12295B4E"/>
    <w:rsid w:val="12370660"/>
    <w:rsid w:val="12391468"/>
    <w:rsid w:val="126058CD"/>
    <w:rsid w:val="128214B9"/>
    <w:rsid w:val="12A45171"/>
    <w:rsid w:val="12F34AEA"/>
    <w:rsid w:val="1469427D"/>
    <w:rsid w:val="14C33176"/>
    <w:rsid w:val="14EC0895"/>
    <w:rsid w:val="155B6F0B"/>
    <w:rsid w:val="15B37880"/>
    <w:rsid w:val="16172039"/>
    <w:rsid w:val="164F5D70"/>
    <w:rsid w:val="16C1237E"/>
    <w:rsid w:val="16D27FFE"/>
    <w:rsid w:val="16E57034"/>
    <w:rsid w:val="17263548"/>
    <w:rsid w:val="17714319"/>
    <w:rsid w:val="17AC6144"/>
    <w:rsid w:val="17F46788"/>
    <w:rsid w:val="180A0683"/>
    <w:rsid w:val="188E0099"/>
    <w:rsid w:val="18AA7D07"/>
    <w:rsid w:val="18F76906"/>
    <w:rsid w:val="19CD436B"/>
    <w:rsid w:val="1A2D1A0E"/>
    <w:rsid w:val="1AA12531"/>
    <w:rsid w:val="1AAB70F6"/>
    <w:rsid w:val="1AF36883"/>
    <w:rsid w:val="1B293CB2"/>
    <w:rsid w:val="1B440995"/>
    <w:rsid w:val="1BDB75AB"/>
    <w:rsid w:val="1C0E372A"/>
    <w:rsid w:val="1C156D03"/>
    <w:rsid w:val="1C9B0535"/>
    <w:rsid w:val="1CE82666"/>
    <w:rsid w:val="1D557B0E"/>
    <w:rsid w:val="1E171CEE"/>
    <w:rsid w:val="1FD60202"/>
    <w:rsid w:val="204A1F5A"/>
    <w:rsid w:val="206B641A"/>
    <w:rsid w:val="20B21509"/>
    <w:rsid w:val="20B71E96"/>
    <w:rsid w:val="211357DE"/>
    <w:rsid w:val="212C654D"/>
    <w:rsid w:val="218119C1"/>
    <w:rsid w:val="21C26E21"/>
    <w:rsid w:val="21D33428"/>
    <w:rsid w:val="222F737A"/>
    <w:rsid w:val="23684ACA"/>
    <w:rsid w:val="237F76D1"/>
    <w:rsid w:val="23983876"/>
    <w:rsid w:val="23B3162D"/>
    <w:rsid w:val="23DD5C4D"/>
    <w:rsid w:val="240F5A90"/>
    <w:rsid w:val="241B62AB"/>
    <w:rsid w:val="24332C5B"/>
    <w:rsid w:val="2443369A"/>
    <w:rsid w:val="24786279"/>
    <w:rsid w:val="247A4E23"/>
    <w:rsid w:val="24D72DED"/>
    <w:rsid w:val="24F86524"/>
    <w:rsid w:val="26684208"/>
    <w:rsid w:val="26BE0C19"/>
    <w:rsid w:val="26C95D55"/>
    <w:rsid w:val="26F0470B"/>
    <w:rsid w:val="27F66A6E"/>
    <w:rsid w:val="28E15F27"/>
    <w:rsid w:val="28FB2ED3"/>
    <w:rsid w:val="290335BB"/>
    <w:rsid w:val="29063BB1"/>
    <w:rsid w:val="291749B1"/>
    <w:rsid w:val="29BB4774"/>
    <w:rsid w:val="29C831A3"/>
    <w:rsid w:val="29DE4A09"/>
    <w:rsid w:val="2AFE4DF2"/>
    <w:rsid w:val="2B322628"/>
    <w:rsid w:val="2B83756B"/>
    <w:rsid w:val="2B934EF2"/>
    <w:rsid w:val="2BBD51F7"/>
    <w:rsid w:val="2C350533"/>
    <w:rsid w:val="2D7541B6"/>
    <w:rsid w:val="2DA03BFD"/>
    <w:rsid w:val="2E1D4C72"/>
    <w:rsid w:val="2E432C8D"/>
    <w:rsid w:val="2EC61441"/>
    <w:rsid w:val="2F0F4910"/>
    <w:rsid w:val="2F915AF5"/>
    <w:rsid w:val="307F59AB"/>
    <w:rsid w:val="30C343DF"/>
    <w:rsid w:val="30CC3056"/>
    <w:rsid w:val="30DB3D98"/>
    <w:rsid w:val="310778EB"/>
    <w:rsid w:val="314F5833"/>
    <w:rsid w:val="317402E2"/>
    <w:rsid w:val="321278B4"/>
    <w:rsid w:val="3261280F"/>
    <w:rsid w:val="329D5129"/>
    <w:rsid w:val="331F1703"/>
    <w:rsid w:val="33200116"/>
    <w:rsid w:val="33AF3455"/>
    <w:rsid w:val="33CF656B"/>
    <w:rsid w:val="33DE0756"/>
    <w:rsid w:val="33DF1E85"/>
    <w:rsid w:val="3431484C"/>
    <w:rsid w:val="34831FC2"/>
    <w:rsid w:val="34DB4D3A"/>
    <w:rsid w:val="351D643D"/>
    <w:rsid w:val="354D1097"/>
    <w:rsid w:val="359978AF"/>
    <w:rsid w:val="362E6837"/>
    <w:rsid w:val="36A65EDA"/>
    <w:rsid w:val="373B07C5"/>
    <w:rsid w:val="37FB3F4A"/>
    <w:rsid w:val="387C458C"/>
    <w:rsid w:val="388B5124"/>
    <w:rsid w:val="38EA35B2"/>
    <w:rsid w:val="393E70DB"/>
    <w:rsid w:val="39C649EB"/>
    <w:rsid w:val="3A330F69"/>
    <w:rsid w:val="3A80103E"/>
    <w:rsid w:val="3AD60C5E"/>
    <w:rsid w:val="3B2C4D22"/>
    <w:rsid w:val="3B9901C7"/>
    <w:rsid w:val="3B9D79CE"/>
    <w:rsid w:val="3BB07701"/>
    <w:rsid w:val="3CC25D2D"/>
    <w:rsid w:val="3DEC5593"/>
    <w:rsid w:val="3E411439"/>
    <w:rsid w:val="3EE337B2"/>
    <w:rsid w:val="3F1119D1"/>
    <w:rsid w:val="3FD17199"/>
    <w:rsid w:val="3FF67D83"/>
    <w:rsid w:val="40266B78"/>
    <w:rsid w:val="409046A2"/>
    <w:rsid w:val="40D87544"/>
    <w:rsid w:val="410636DF"/>
    <w:rsid w:val="41AC3749"/>
    <w:rsid w:val="420F7B33"/>
    <w:rsid w:val="42430954"/>
    <w:rsid w:val="42605233"/>
    <w:rsid w:val="42ED11CB"/>
    <w:rsid w:val="437B38B5"/>
    <w:rsid w:val="43E25048"/>
    <w:rsid w:val="444156E9"/>
    <w:rsid w:val="446C345B"/>
    <w:rsid w:val="44930DA6"/>
    <w:rsid w:val="449D35EC"/>
    <w:rsid w:val="44F75541"/>
    <w:rsid w:val="45A2455E"/>
    <w:rsid w:val="46640791"/>
    <w:rsid w:val="468C1193"/>
    <w:rsid w:val="47207FE2"/>
    <w:rsid w:val="47423130"/>
    <w:rsid w:val="48855DD8"/>
    <w:rsid w:val="492A66C2"/>
    <w:rsid w:val="49FF700A"/>
    <w:rsid w:val="4B7D0C82"/>
    <w:rsid w:val="4B7F667A"/>
    <w:rsid w:val="4B870B30"/>
    <w:rsid w:val="4C0564A9"/>
    <w:rsid w:val="4C0A37FB"/>
    <w:rsid w:val="4C7A0B36"/>
    <w:rsid w:val="4C8D6FAC"/>
    <w:rsid w:val="4CDC4388"/>
    <w:rsid w:val="4CE80E9B"/>
    <w:rsid w:val="4CF16737"/>
    <w:rsid w:val="4D812072"/>
    <w:rsid w:val="4DB3209E"/>
    <w:rsid w:val="4DDB7614"/>
    <w:rsid w:val="4DE54EF3"/>
    <w:rsid w:val="4E1E6F51"/>
    <w:rsid w:val="4F9D2711"/>
    <w:rsid w:val="4FC50091"/>
    <w:rsid w:val="50280577"/>
    <w:rsid w:val="504F2C4B"/>
    <w:rsid w:val="50FD6AED"/>
    <w:rsid w:val="51B01DB1"/>
    <w:rsid w:val="52244813"/>
    <w:rsid w:val="53696C7A"/>
    <w:rsid w:val="539D0113"/>
    <w:rsid w:val="53A54260"/>
    <w:rsid w:val="53AE2D7B"/>
    <w:rsid w:val="545A7810"/>
    <w:rsid w:val="54613DA6"/>
    <w:rsid w:val="54BC322C"/>
    <w:rsid w:val="54F614E1"/>
    <w:rsid w:val="55546EF7"/>
    <w:rsid w:val="55C6152F"/>
    <w:rsid w:val="5617749A"/>
    <w:rsid w:val="56761C3C"/>
    <w:rsid w:val="56A13F29"/>
    <w:rsid w:val="56EB5639"/>
    <w:rsid w:val="571D7746"/>
    <w:rsid w:val="57477C09"/>
    <w:rsid w:val="580E2E06"/>
    <w:rsid w:val="58337298"/>
    <w:rsid w:val="58F64E79"/>
    <w:rsid w:val="595249D1"/>
    <w:rsid w:val="597B4419"/>
    <w:rsid w:val="59CF1242"/>
    <w:rsid w:val="5A0F1D95"/>
    <w:rsid w:val="5A2107E0"/>
    <w:rsid w:val="5A2A6A29"/>
    <w:rsid w:val="5B586E8A"/>
    <w:rsid w:val="5BF6333D"/>
    <w:rsid w:val="5C3B7CB4"/>
    <w:rsid w:val="5C556A6C"/>
    <w:rsid w:val="5C6A74BC"/>
    <w:rsid w:val="5C895F12"/>
    <w:rsid w:val="5DBA57B6"/>
    <w:rsid w:val="5ECD4E4C"/>
    <w:rsid w:val="5FD43BAF"/>
    <w:rsid w:val="5FE656F6"/>
    <w:rsid w:val="60B65262"/>
    <w:rsid w:val="60FD6695"/>
    <w:rsid w:val="611F0FB1"/>
    <w:rsid w:val="619C6F27"/>
    <w:rsid w:val="61D16D07"/>
    <w:rsid w:val="61FC658F"/>
    <w:rsid w:val="62284795"/>
    <w:rsid w:val="62AF7E63"/>
    <w:rsid w:val="62F27A68"/>
    <w:rsid w:val="63631E53"/>
    <w:rsid w:val="63827325"/>
    <w:rsid w:val="63D03541"/>
    <w:rsid w:val="641F1F24"/>
    <w:rsid w:val="642218CB"/>
    <w:rsid w:val="64390033"/>
    <w:rsid w:val="644E1569"/>
    <w:rsid w:val="649671AB"/>
    <w:rsid w:val="64F34126"/>
    <w:rsid w:val="65B633F8"/>
    <w:rsid w:val="65E330FF"/>
    <w:rsid w:val="66175069"/>
    <w:rsid w:val="67703F3D"/>
    <w:rsid w:val="680A01E0"/>
    <w:rsid w:val="68D64BC1"/>
    <w:rsid w:val="69721CA2"/>
    <w:rsid w:val="699831AE"/>
    <w:rsid w:val="6A0115D7"/>
    <w:rsid w:val="6A0C577D"/>
    <w:rsid w:val="6A1468B4"/>
    <w:rsid w:val="6CDE36E8"/>
    <w:rsid w:val="6CF43C6B"/>
    <w:rsid w:val="6D157F1D"/>
    <w:rsid w:val="6D2D6F42"/>
    <w:rsid w:val="6D32361F"/>
    <w:rsid w:val="6DD67BF8"/>
    <w:rsid w:val="6DFB2C95"/>
    <w:rsid w:val="6E9E234F"/>
    <w:rsid w:val="6F7820D5"/>
    <w:rsid w:val="6FBE6EFA"/>
    <w:rsid w:val="6FF3138F"/>
    <w:rsid w:val="6FF757B1"/>
    <w:rsid w:val="702A1822"/>
    <w:rsid w:val="70A74698"/>
    <w:rsid w:val="70D43078"/>
    <w:rsid w:val="70F91EEA"/>
    <w:rsid w:val="71416653"/>
    <w:rsid w:val="71CF7331"/>
    <w:rsid w:val="72141B8D"/>
    <w:rsid w:val="7263008B"/>
    <w:rsid w:val="72665640"/>
    <w:rsid w:val="72B426CE"/>
    <w:rsid w:val="72C65418"/>
    <w:rsid w:val="73007C3B"/>
    <w:rsid w:val="732D2E0A"/>
    <w:rsid w:val="7334147F"/>
    <w:rsid w:val="734F49CC"/>
    <w:rsid w:val="735642F7"/>
    <w:rsid w:val="73D17C39"/>
    <w:rsid w:val="74525D34"/>
    <w:rsid w:val="74634609"/>
    <w:rsid w:val="748875E0"/>
    <w:rsid w:val="752E52B2"/>
    <w:rsid w:val="752E6E5E"/>
    <w:rsid w:val="75821E12"/>
    <w:rsid w:val="75CE7976"/>
    <w:rsid w:val="763C007B"/>
    <w:rsid w:val="76FC6368"/>
    <w:rsid w:val="770937CE"/>
    <w:rsid w:val="772E0620"/>
    <w:rsid w:val="779B1E77"/>
    <w:rsid w:val="77A633C3"/>
    <w:rsid w:val="780660C3"/>
    <w:rsid w:val="780E6661"/>
    <w:rsid w:val="786617BC"/>
    <w:rsid w:val="78BD078C"/>
    <w:rsid w:val="7A140A44"/>
    <w:rsid w:val="7A323CFA"/>
    <w:rsid w:val="7A783AA1"/>
    <w:rsid w:val="7AAC6D0A"/>
    <w:rsid w:val="7B2430C6"/>
    <w:rsid w:val="7B6475E5"/>
    <w:rsid w:val="7B7D1600"/>
    <w:rsid w:val="7C030931"/>
    <w:rsid w:val="7C6D0260"/>
    <w:rsid w:val="7CD13A0A"/>
    <w:rsid w:val="7D1E2869"/>
    <w:rsid w:val="7D5B0D49"/>
    <w:rsid w:val="7DB10760"/>
    <w:rsid w:val="7DEA19F0"/>
    <w:rsid w:val="7E0C05DA"/>
    <w:rsid w:val="7E1D4F8D"/>
    <w:rsid w:val="7E2A48A3"/>
    <w:rsid w:val="7E493A04"/>
    <w:rsid w:val="7F005678"/>
    <w:rsid w:val="7F636E3E"/>
    <w:rsid w:val="7FF2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7">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8">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4"/>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4">
    <w:name w:val="footer"/>
    <w:basedOn w:val="1"/>
    <w:next w:val="5"/>
    <w:unhideWhenUsed/>
    <w:qFormat/>
    <w:uiPriority w:val="99"/>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9">
    <w:name w:val="Normal Indent"/>
    <w:basedOn w:val="1"/>
    <w:next w:val="1"/>
    <w:qFormat/>
    <w:uiPriority w:val="0"/>
    <w:pPr>
      <w:ind w:firstLine="420"/>
    </w:pPr>
    <w:rPr>
      <w:szCs w:val="20"/>
    </w:rPr>
  </w:style>
  <w:style w:type="paragraph" w:styleId="10">
    <w:name w:val="Body Text Indent"/>
    <w:basedOn w:val="1"/>
    <w:next w:val="1"/>
    <w:qFormat/>
    <w:uiPriority w:val="0"/>
    <w:pPr>
      <w:spacing w:after="120"/>
      <w:ind w:left="200" w:leftChars="200"/>
    </w:pPr>
  </w:style>
  <w:style w:type="paragraph" w:styleId="11">
    <w:name w:val="Plain Text"/>
    <w:basedOn w:val="1"/>
    <w:qFormat/>
    <w:uiPriority w:val="0"/>
    <w:rPr>
      <w:rFonts w:ascii="宋体" w:hAnsi="Times New Roman"/>
      <w:szCs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toc 4"/>
    <w:basedOn w:val="1"/>
    <w:next w:val="1"/>
    <w:unhideWhenUsed/>
    <w:qFormat/>
    <w:uiPriority w:val="39"/>
    <w:pPr>
      <w:ind w:left="1260" w:leftChars="600"/>
    </w:pPr>
  </w:style>
  <w:style w:type="paragraph" w:styleId="15">
    <w:name w:val="Body Text Indent 3"/>
    <w:basedOn w:val="1"/>
    <w:qFormat/>
    <w:uiPriority w:val="0"/>
    <w:pPr>
      <w:spacing w:line="410" w:lineRule="exact"/>
      <w:ind w:left="619" w:leftChars="295" w:firstLine="390" w:firstLineChars="179"/>
    </w:pPr>
    <w:rPr>
      <w:rFonts w:ascii="宋体" w:hAnsi="宋体"/>
      <w:spacing w:val="4"/>
    </w:r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Hyperlink"/>
    <w:unhideWhenUsed/>
    <w:qFormat/>
    <w:uiPriority w:val="99"/>
    <w:rPr>
      <w:color w:val="0000FF"/>
      <w:u w:val="single"/>
    </w:rPr>
  </w:style>
  <w:style w:type="paragraph" w:customStyle="1" w:styleId="21">
    <w:name w:val="正文缩进1"/>
    <w:basedOn w:val="1"/>
    <w:qFormat/>
    <w:uiPriority w:val="0"/>
    <w:pPr>
      <w:ind w:firstLine="420" w:firstLineChars="200"/>
    </w:pPr>
  </w:style>
  <w:style w:type="character" w:customStyle="1" w:styleId="22">
    <w:name w:val="NormalCharacter"/>
    <w:semiHidden/>
    <w:qFormat/>
    <w:uiPriority w:val="0"/>
  </w:style>
  <w:style w:type="paragraph" w:customStyle="1" w:styleId="2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4">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5">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6">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7">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8">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9">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3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2">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3">
    <w:name w:val="font41"/>
    <w:basedOn w:val="19"/>
    <w:qFormat/>
    <w:uiPriority w:val="0"/>
    <w:rPr>
      <w:rFonts w:hint="eastAsia" w:ascii="黑体" w:hAnsi="宋体" w:eastAsia="黑体" w:cs="黑体"/>
      <w:b/>
      <w:bCs/>
      <w:color w:val="000000"/>
      <w:sz w:val="18"/>
      <w:szCs w:val="18"/>
      <w:u w:val="none"/>
    </w:rPr>
  </w:style>
  <w:style w:type="character" w:customStyle="1" w:styleId="34">
    <w:name w:val="font01"/>
    <w:basedOn w:val="19"/>
    <w:qFormat/>
    <w:uiPriority w:val="0"/>
    <w:rPr>
      <w:rFonts w:hint="eastAsia" w:ascii="黑体" w:hAnsi="宋体" w:eastAsia="黑体" w:cs="黑体"/>
      <w:color w:val="000000"/>
      <w:sz w:val="18"/>
      <w:szCs w:val="18"/>
      <w:u w:val="none"/>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 w:type="paragraph" w:customStyle="1" w:styleId="3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WPS_1495013870</cp:lastModifiedBy>
  <cp:lastPrinted>2021-08-31T02:58:00Z</cp:lastPrinted>
  <dcterms:modified xsi:type="dcterms:W3CDTF">2022-01-24T04:34:14Z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B0DA3A79BFC5462EB5FC0122EBA3B735</vt:lpwstr>
  </property>
</Properties>
</file>