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before="0" w:line="580" w:lineRule="exact"/>
        <w:ind w:left="74" w:right="-58"/>
        <w:rPr>
          <w:rFonts w:hint="eastAsia" w:ascii="宋体" w:hAnsi="宋体" w:eastAsia="宋体" w:cs="宋体"/>
          <w:b/>
          <w:bCs/>
          <w:sz w:val="32"/>
          <w:szCs w:val="32"/>
          <w:highlight w:val="none"/>
        </w:rPr>
      </w:pPr>
    </w:p>
    <w:p>
      <w:pPr>
        <w:pStyle w:val="3"/>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lang w:val="en-US" w:eastAsia="zh-CN"/>
        </w:rPr>
      </w:pPr>
      <w:r>
        <w:rPr>
          <w:rFonts w:hint="eastAsia" w:asciiTheme="majorEastAsia" w:hAnsiTheme="majorEastAsia" w:eastAsiaTheme="majorEastAsia" w:cstheme="majorEastAsia"/>
          <w:b/>
          <w:bCs/>
          <w:sz w:val="56"/>
          <w:szCs w:val="56"/>
          <w:highlight w:val="none"/>
          <w:lang w:val="en-US" w:eastAsia="zh-CN"/>
        </w:rPr>
        <w:t>哈密市博物馆干尸预防性保护项目</w:t>
      </w:r>
    </w:p>
    <w:p>
      <w:pPr>
        <w:pStyle w:val="21"/>
        <w:rPr>
          <w:rFonts w:hint="eastAsia" w:asciiTheme="majorEastAsia" w:hAnsiTheme="majorEastAsia" w:eastAsiaTheme="majorEastAsia" w:cstheme="majorEastAsia"/>
          <w:b/>
          <w:bCs/>
          <w:sz w:val="56"/>
          <w:szCs w:val="56"/>
          <w:highlight w:val="none"/>
        </w:rPr>
      </w:pPr>
    </w:p>
    <w:p>
      <w:pPr>
        <w:pStyle w:val="21"/>
        <w:ind w:left="0" w:leftChars="0" w:firstLine="0" w:firstLineChars="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w:t>
      </w:r>
      <w:r>
        <w:rPr>
          <w:rFonts w:hint="eastAsia"/>
          <w:sz w:val="28"/>
          <w:szCs w:val="28"/>
          <w:highlight w:val="none"/>
          <w:lang w:val="en-US" w:eastAsia="zh-CN"/>
        </w:rPr>
        <w:t>CYZC-2022-001</w:t>
      </w:r>
    </w:p>
    <w:p>
      <w:pPr>
        <w:pStyle w:val="9"/>
        <w:rPr>
          <w:rFonts w:hint="eastAsia" w:ascii="宋体" w:hAnsi="宋体" w:eastAsia="宋体" w:cs="宋体"/>
          <w:highlight w:val="none"/>
        </w:rPr>
      </w:pPr>
    </w:p>
    <w:p>
      <w:pPr>
        <w:pStyle w:val="14"/>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2364105" cy="1670050"/>
            <wp:effectExtent l="0" t="0" r="13335" b="6350"/>
            <wp:docPr id="121" name="图片 121" descr="成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成源LOGO"/>
                    <pic:cNvPicPr>
                      <a:picLocks noChangeAspect="1"/>
                    </pic:cNvPicPr>
                  </pic:nvPicPr>
                  <pic:blipFill>
                    <a:blip r:embed="rId12"/>
                    <a:stretch>
                      <a:fillRect/>
                    </a:stretch>
                  </pic:blipFill>
                  <pic:spPr>
                    <a:xfrm>
                      <a:off x="0" y="0"/>
                      <a:ext cx="2364105" cy="1670050"/>
                    </a:xfrm>
                    <a:prstGeom prst="rect">
                      <a:avLst/>
                    </a:prstGeom>
                  </pic:spPr>
                </pic:pic>
              </a:graphicData>
            </a:graphic>
          </wp:inline>
        </w:drawing>
      </w:r>
    </w:p>
    <w:p>
      <w:pPr>
        <w:tabs>
          <w:tab w:val="left" w:pos="3699"/>
        </w:tabs>
        <w:rPr>
          <w:rFonts w:hint="eastAsia" w:ascii="宋体" w:hAnsi="宋体" w:eastAsia="宋体" w:cs="宋体"/>
          <w:highlight w:val="none"/>
          <w:lang w:eastAsia="zh-CN"/>
        </w:rPr>
      </w:pPr>
      <w:r>
        <w:rPr>
          <w:rFonts w:hint="eastAsia" w:ascii="宋体" w:hAnsi="宋体" w:cs="宋体"/>
          <w:highlight w:val="none"/>
          <w:lang w:eastAsia="zh-CN"/>
        </w:rPr>
        <w:tab/>
      </w:r>
    </w:p>
    <w:p>
      <w:pPr>
        <w:pStyle w:val="9"/>
        <w:tabs>
          <w:tab w:val="left" w:pos="3669"/>
        </w:tabs>
        <w:rPr>
          <w:rFonts w:hint="eastAsia" w:ascii="宋体" w:hAnsi="宋体" w:eastAsia="宋体" w:cs="宋体"/>
          <w:highlight w:val="none"/>
          <w:lang w:eastAsia="zh-CN"/>
        </w:rPr>
      </w:pPr>
      <w:r>
        <w:rPr>
          <w:rFonts w:hint="eastAsia" w:ascii="宋体" w:hAnsi="宋体" w:cs="宋体"/>
          <w:highlight w:val="none"/>
          <w:lang w:eastAsia="zh-CN"/>
        </w:rPr>
        <w:tab/>
      </w:r>
    </w:p>
    <w:p>
      <w:pPr>
        <w:pStyle w:val="9"/>
        <w:rPr>
          <w:rFonts w:hint="eastAsia" w:ascii="宋体" w:hAnsi="宋体" w:eastAsia="宋体" w:cs="宋体"/>
          <w:highlight w:val="none"/>
        </w:rPr>
      </w:pPr>
    </w:p>
    <w:p>
      <w:pPr>
        <w:pStyle w:val="9"/>
        <w:ind w:firstLine="360"/>
        <w:rPr>
          <w:rFonts w:hint="eastAsia" w:ascii="宋体" w:hAnsi="宋体" w:eastAsia="宋体" w:cs="宋体"/>
          <w:sz w:val="18"/>
          <w:szCs w:val="18"/>
          <w:highlight w:val="none"/>
        </w:rPr>
      </w:pPr>
    </w:p>
    <w:p>
      <w:pPr>
        <w:pStyle w:val="14"/>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3"/>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9"/>
        <w:spacing w:line="360" w:lineRule="auto"/>
        <w:ind w:left="0" w:leftChars="0" w:firstLine="1285" w:firstLineChars="400"/>
        <w:jc w:val="both"/>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cs="宋体"/>
          <w:b/>
          <w:bCs/>
          <w:sz w:val="32"/>
          <w:szCs w:val="32"/>
          <w:highlight w:val="none"/>
          <w:lang w:eastAsia="zh-CN"/>
        </w:rPr>
        <w:t>哈密市博物馆</w:t>
      </w:r>
    </w:p>
    <w:p>
      <w:pPr>
        <w:spacing w:line="360" w:lineRule="auto"/>
        <w:ind w:leftChars="600"/>
        <w:rPr>
          <w:rFonts w:hint="eastAsia" w:ascii="宋体" w:hAnsi="宋体" w:eastAsia="宋体" w:cs="宋体"/>
          <w:b/>
          <w:bCs/>
          <w:sz w:val="32"/>
          <w:szCs w:val="32"/>
          <w:highlight w:val="none"/>
          <w:u w:val="none"/>
          <w:lang w:eastAsia="zh-CN"/>
        </w:rPr>
      </w:pPr>
    </w:p>
    <w:p>
      <w:pPr>
        <w:spacing w:line="360" w:lineRule="auto"/>
        <w:ind w:leftChars="6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代理机构：新疆</w:t>
      </w:r>
      <w:r>
        <w:rPr>
          <w:rFonts w:hint="eastAsia" w:ascii="宋体" w:hAnsi="宋体" w:cs="宋体"/>
          <w:b/>
          <w:bCs/>
          <w:sz w:val="32"/>
          <w:szCs w:val="32"/>
          <w:highlight w:val="none"/>
          <w:u w:val="none"/>
          <w:lang w:eastAsia="zh-CN"/>
        </w:rPr>
        <w:t>成源项目管理咨询有限公司</w:t>
      </w:r>
      <w:r>
        <w:rPr>
          <w:rFonts w:hint="eastAsia" w:ascii="宋体" w:hAnsi="宋体" w:eastAsia="宋体" w:cs="宋体"/>
          <w:b/>
          <w:bCs/>
          <w:sz w:val="32"/>
          <w:szCs w:val="32"/>
          <w:highlight w:val="none"/>
          <w:u w:val="none"/>
        </w:rPr>
        <w:t xml:space="preserve">  </w:t>
      </w: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2</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01</w:t>
      </w:r>
      <w:r>
        <w:rPr>
          <w:rFonts w:hint="eastAsia" w:ascii="宋体" w:hAnsi="宋体" w:eastAsia="宋体" w:cs="宋体"/>
          <w:b/>
          <w:bCs/>
          <w:sz w:val="32"/>
          <w:szCs w:val="32"/>
          <w:highlight w:val="none"/>
          <w:u w:val="none"/>
          <w:lang w:val="en-US" w:eastAsia="zh-CN"/>
        </w:rPr>
        <w:t>月</w:t>
      </w:r>
      <w:bookmarkStart w:id="0" w:name="_Toc179632527"/>
      <w:bookmarkStart w:id="1" w:name="_Toc363119275"/>
    </w:p>
    <w:bookmarkEnd w:id="0"/>
    <w:bookmarkEnd w:id="1"/>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0"/>
        <w:ind w:left="0"/>
        <w:rPr>
          <w:rFonts w:hint="eastAsia" w:ascii="宋体" w:hAnsi="宋体" w:eastAsia="宋体" w:cs="宋体"/>
          <w:b/>
          <w:bCs/>
          <w:sz w:val="20"/>
          <w:szCs w:val="20"/>
          <w:highlight w:val="none"/>
        </w:rPr>
      </w:pPr>
    </w:p>
    <w:p>
      <w:pPr>
        <w:pStyle w:val="3"/>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4" w:type="first"/>
          <w:footerReference r:id="rId3"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3"/>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_Toc6155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_Toc15730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p>
    <w:p>
      <w:pPr>
        <w:pStyle w:val="13"/>
        <w:tabs>
          <w:tab w:val="right" w:pos="2400"/>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_Toc25669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供应商须知及前附表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_Toc7077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_Toc24361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_Toc20516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（三）《竞争性磋商文件》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_Toc20516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_Toc8528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（四）《磋商响应性文件》的编制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_Toc32099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（五）磋商响应性文件的提交及相关事项</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_Toc11796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）合同签订及履行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）重新招标和不再招标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_Toc6269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）无效投标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_Toc25703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）废标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954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_Toc30761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）质疑和投诉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_Toc1184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第三章</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3"/>
        <w:tabs>
          <w:tab w:val="right" w:leader="dot" w:pos="9541"/>
          <w:tab w:val="clear" w:pos="9400"/>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_Toc14707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第四章 磋商内容</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pPr>
        <w:pStyle w:val="13"/>
        <w:tabs>
          <w:tab w:val="right" w:pos="2400"/>
          <w:tab w:val="right" w:leader="dot" w:pos="9541"/>
          <w:tab w:val="clear" w:pos="9400"/>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_Toc14342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合同条款及合同格式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4</w:t>
      </w:r>
    </w:p>
    <w:p>
      <w:pPr>
        <w:pStyle w:val="13"/>
        <w:tabs>
          <w:tab w:val="right" w:pos="2400"/>
          <w:tab w:val="right" w:leader="dot" w:pos="9541"/>
          <w:tab w:val="clear" w:pos="9400"/>
        </w:tabs>
        <w:rPr>
          <w:rFonts w:hint="eastAsia" w:eastAsia="宋体"/>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_Toc8733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第六章</w:t>
      </w:r>
      <w:r>
        <w:rPr>
          <w:rFonts w:hint="eastAsia" w:ascii="宋体" w:hAnsi="宋体" w:eastAsia="宋体" w:cs="宋体"/>
          <w:spacing w:val="1"/>
          <w:sz w:val="24"/>
          <w:szCs w:val="24"/>
          <w:highlight w:val="none"/>
        </w:rPr>
        <w:tab/>
      </w:r>
      <w:r>
        <w:rPr>
          <w:rFonts w:hint="eastAsia" w:ascii="宋体" w:hAnsi="宋体" w:eastAsia="宋体" w:cs="宋体"/>
          <w:w w:val="95"/>
          <w:sz w:val="24"/>
          <w:szCs w:val="24"/>
          <w:highlight w:val="none"/>
          <w:lang w:val="en-US" w:eastAsia="zh-CN"/>
        </w:rPr>
        <w:t xml:space="preserve"> </w:t>
      </w:r>
      <w:r>
        <w:rPr>
          <w:rFonts w:hint="eastAsia" w:ascii="宋体" w:hAnsi="宋体" w:eastAsia="宋体" w:cs="宋体"/>
          <w:sz w:val="24"/>
          <w:szCs w:val="24"/>
          <w:highlight w:val="none"/>
        </w:rPr>
        <w:t>磋商响应性文件格式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fldChar w:fldCharType="end"/>
      </w:r>
      <w:r>
        <w:rPr>
          <w:rFonts w:hint="eastAsia" w:ascii="宋体" w:hAnsi="宋体" w:cs="宋体"/>
          <w:highlight w:val="none"/>
          <w:lang w:val="en-US" w:eastAsia="zh-CN"/>
        </w:rPr>
        <w:t>0</w:t>
      </w:r>
    </w:p>
    <w:p>
      <w:pPr>
        <w:pStyle w:val="6"/>
        <w:rPr>
          <w:rFonts w:hint="eastAsia" w:ascii="宋体" w:hAnsi="宋体" w:eastAsia="宋体" w:cs="宋体"/>
          <w:highlight w:val="none"/>
        </w:rPr>
        <w:sectPr>
          <w:footerReference r:id="rId5"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highlight w:val="none"/>
        </w:rPr>
        <w:fldChar w:fldCharType="end"/>
      </w:r>
      <w:bookmarkStart w:id="2" w:name="_Toc6155"/>
    </w:p>
    <w:p>
      <w:pPr>
        <w:pStyle w:val="6"/>
        <w:jc w:val="center"/>
        <w:rPr>
          <w:rFonts w:hint="eastAsia" w:ascii="宋体" w:hAnsi="宋体" w:eastAsia="宋体" w:cs="宋体"/>
          <w:highlight w:val="none"/>
        </w:rPr>
      </w:pP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6"/>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35393797"/>
      <w:bookmarkStart w:id="4" w:name="_Toc15730"/>
      <w:bookmarkStart w:id="5" w:name="_Toc28359011"/>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u w:val="single"/>
          <w:lang w:eastAsia="zh-CN"/>
        </w:rPr>
        <w:t>哈密市博物馆干尸预防性保护</w:t>
      </w:r>
      <w:r>
        <w:rPr>
          <w:rFonts w:hint="eastAsia" w:ascii="宋体" w:hAnsi="宋体" w:eastAsia="宋体" w:cs="宋体"/>
          <w:sz w:val="28"/>
          <w:szCs w:val="28"/>
          <w:highlight w:val="none"/>
          <w:u w:val="single"/>
        </w:rPr>
        <w:t>项目</w:t>
      </w:r>
      <w:r>
        <w:rPr>
          <w:rFonts w:hint="eastAsia" w:ascii="宋体" w:hAnsi="宋体" w:eastAsia="宋体" w:cs="宋体"/>
          <w:sz w:val="28"/>
          <w:szCs w:val="28"/>
          <w:highlight w:val="none"/>
        </w:rPr>
        <w:t>的潜在供应商应在</w:t>
      </w:r>
      <w:r>
        <w:rPr>
          <w:rFonts w:hint="eastAsia" w:ascii="宋体" w:hAnsi="宋体" w:eastAsia="宋体" w:cs="宋体"/>
          <w:sz w:val="28"/>
          <w:szCs w:val="28"/>
          <w:highlight w:val="none"/>
          <w:u w:val="single"/>
        </w:rPr>
        <w:t>新疆维吾尔自治区</w:t>
      </w:r>
      <w:r>
        <w:rPr>
          <w:rFonts w:hint="eastAsia" w:ascii="宋体" w:hAnsi="宋体" w:cs="宋体"/>
          <w:sz w:val="28"/>
          <w:szCs w:val="28"/>
          <w:highlight w:val="none"/>
          <w:u w:val="single"/>
          <w:lang w:eastAsia="zh-CN"/>
        </w:rPr>
        <w:t>哈密市伊州区八一路魔方广场</w:t>
      </w:r>
      <w:r>
        <w:rPr>
          <w:rFonts w:hint="eastAsia" w:ascii="宋体" w:hAnsi="宋体" w:cs="宋体"/>
          <w:sz w:val="28"/>
          <w:szCs w:val="28"/>
          <w:highlight w:val="none"/>
          <w:u w:val="single"/>
          <w:lang w:val="en-US" w:eastAsia="zh-CN"/>
        </w:rPr>
        <w:t>B1616室</w:t>
      </w:r>
      <w:r>
        <w:rPr>
          <w:rFonts w:hint="eastAsia" w:ascii="宋体" w:hAnsi="宋体" w:eastAsia="宋体" w:cs="宋体"/>
          <w:sz w:val="28"/>
          <w:szCs w:val="28"/>
          <w:highlight w:val="none"/>
        </w:rPr>
        <w:t>获取采购文件，并于</w:t>
      </w:r>
      <w:r>
        <w:rPr>
          <w:rFonts w:hint="eastAsia" w:ascii="宋体" w:hAnsi="宋体" w:eastAsia="宋体" w:cs="宋体"/>
          <w:sz w:val="28"/>
          <w:szCs w:val="28"/>
          <w:highlight w:val="none"/>
          <w:u w:val="single"/>
          <w:lang w:val="en-US" w:eastAsia="zh-CN"/>
        </w:rPr>
        <w:t>202</w:t>
      </w:r>
      <w:r>
        <w:rPr>
          <w:rFonts w:hint="eastAsia" w:ascii="宋体" w:hAnsi="宋体" w:cs="宋体"/>
          <w:sz w:val="28"/>
          <w:szCs w:val="28"/>
          <w:highlight w:val="none"/>
          <w:u w:val="single"/>
          <w:lang w:val="en-US" w:eastAsia="zh-CN"/>
        </w:rPr>
        <w:t>2</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02</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08</w:t>
      </w:r>
      <w:r>
        <w:rPr>
          <w:rFonts w:hint="eastAsia" w:ascii="宋体" w:hAnsi="宋体" w:eastAsia="宋体" w:cs="宋体"/>
          <w:sz w:val="28"/>
          <w:szCs w:val="28"/>
          <w:highlight w:val="none"/>
          <w:u w:val="single"/>
        </w:rPr>
        <w:t>日</w:t>
      </w:r>
      <w:r>
        <w:rPr>
          <w:rFonts w:hint="eastAsia" w:ascii="宋体" w:hAnsi="宋体" w:cs="宋体"/>
          <w:sz w:val="28"/>
          <w:szCs w:val="28"/>
          <w:highlight w:val="none"/>
          <w:u w:val="single"/>
          <w:lang w:val="en-US" w:eastAsia="zh-CN"/>
        </w:rPr>
        <w:t>10</w:t>
      </w:r>
      <w:r>
        <w:rPr>
          <w:rFonts w:hint="eastAsia" w:ascii="宋体" w:hAnsi="宋体" w:eastAsia="宋体" w:cs="宋体"/>
          <w:sz w:val="28"/>
          <w:szCs w:val="28"/>
          <w:highlight w:val="none"/>
          <w:u w:val="single"/>
        </w:rPr>
        <w:t>点</w:t>
      </w:r>
      <w:r>
        <w:rPr>
          <w:rFonts w:hint="eastAsia" w:ascii="宋体" w:hAnsi="宋体" w:cs="宋体"/>
          <w:sz w:val="28"/>
          <w:szCs w:val="28"/>
          <w:highlight w:val="none"/>
          <w:u w:val="single"/>
          <w:lang w:val="en-US" w:eastAsia="zh-CN"/>
        </w:rPr>
        <w:t>30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28359089"/>
      <w:bookmarkStart w:id="7" w:name="_Toc35393798"/>
      <w:bookmarkStart w:id="8" w:name="_Toc28359012"/>
      <w:bookmarkStart w:id="9" w:name="_Toc3539362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none"/>
          <w:lang w:val="en-US" w:eastAsia="zh-CN"/>
        </w:rPr>
        <w:t>XJCYZC-2022-001</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哈密市博物馆干尸预防性保护项目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50.00万元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49.50万元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哈密市博物馆为了收藏干尸的科学保护，并延长干尸的保存寿命和防止干尸的腐烂，进一步完善干尸的保护设施和环境，需要订做高科技的恒温恒湿储存柜和恒温恒湿展示柜。干尸储存柜3组（每组三层），展示柜1组。（详细说明见磋商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35393799"/>
      <w:bookmarkStart w:id="11" w:name="_Toc35393630"/>
      <w:bookmarkStart w:id="12" w:name="_Toc28359090"/>
      <w:bookmarkStart w:id="13" w:name="_Toc28359013"/>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14"/>
      <w:bookmarkStart w:id="15" w:name="_Toc35393631"/>
      <w:bookmarkStart w:id="16" w:name="_Toc28359091"/>
      <w:bookmarkStart w:id="17" w:name="_Toc35393800"/>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具有履行合同所必需的专业技术能力，能够按时保质保量地完成</w:t>
      </w:r>
      <w:r>
        <w:rPr>
          <w:rFonts w:hint="eastAsia" w:ascii="宋体" w:hAnsi="宋体" w:cs="宋体"/>
          <w:b w:val="0"/>
          <w:bCs w:val="0"/>
          <w:i w:val="0"/>
          <w:iCs w:val="0"/>
          <w:color w:val="auto"/>
          <w:sz w:val="24"/>
          <w:szCs w:val="24"/>
          <w:highlight w:val="none"/>
          <w:lang w:val="en-US" w:eastAsia="zh-CN"/>
        </w:rPr>
        <w:t>招标文件所要求的的全部</w:t>
      </w:r>
      <w:r>
        <w:rPr>
          <w:rFonts w:hint="eastAsia" w:ascii="宋体" w:hAnsi="宋体" w:eastAsia="宋体" w:cs="宋体"/>
          <w:b w:val="0"/>
          <w:bCs w:val="0"/>
          <w:i w:val="0"/>
          <w:iCs w:val="0"/>
          <w:color w:val="auto"/>
          <w:sz w:val="24"/>
          <w:szCs w:val="24"/>
          <w:highlight w:val="none"/>
          <w:lang w:val="en-US" w:eastAsia="zh-CN"/>
        </w:rPr>
        <w:t>工作任务；</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eastAsia="zh-CN"/>
        </w:rPr>
        <w:t>供应商</w:t>
      </w:r>
      <w:r>
        <w:rPr>
          <w:rFonts w:hint="eastAsia" w:ascii="宋体" w:hAnsi="宋体" w:eastAsia="宋体" w:cs="宋体"/>
          <w:b w:val="0"/>
          <w:bCs w:val="0"/>
          <w:i w:val="0"/>
          <w:iCs w:val="0"/>
          <w:sz w:val="24"/>
          <w:szCs w:val="24"/>
          <w:highlight w:val="none"/>
          <w:u w:val="none"/>
        </w:rPr>
        <w:t>需在中华人民共和国境内注册，具有信誉良好的独立法人资格，事业单位法人证书或工商营业执照通过年检合格有效</w:t>
      </w:r>
      <w:r>
        <w:rPr>
          <w:rFonts w:hint="eastAsia" w:ascii="宋体" w:hAnsi="宋体" w:eastAsia="宋体" w:cs="宋体"/>
          <w:b w:val="0"/>
          <w:bCs w:val="0"/>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有能力提供本项目全部采购内容及服务能力的供应商；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b w:val="0"/>
          <w:bCs w:val="0"/>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rPr>
        <w:t>以网页截图</w:t>
      </w:r>
      <w:r>
        <w:rPr>
          <w:rFonts w:hint="eastAsia" w:ascii="宋体" w:hAnsi="宋体" w:eastAsia="宋体" w:cs="宋体"/>
          <w:b w:val="0"/>
          <w:bCs w:val="0"/>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lang w:val="en-US" w:eastAsia="zh-CN"/>
        </w:rPr>
        <w:t>需显示查询时间）</w:t>
      </w:r>
      <w:r>
        <w:rPr>
          <w:rFonts w:hint="eastAsia" w:ascii="宋体" w:hAnsi="宋体" w:eastAsia="宋体" w:cs="宋体"/>
          <w:b w:val="0"/>
          <w:bCs w:val="0"/>
          <w:i w:val="0"/>
          <w:iCs w:val="0"/>
          <w:sz w:val="24"/>
          <w:szCs w:val="24"/>
          <w:highlight w:val="none"/>
          <w:u w:val="none"/>
        </w:rPr>
        <w:t>加盖投标人公章为准</w:t>
      </w:r>
      <w:r>
        <w:rPr>
          <w:rFonts w:hint="eastAsia" w:ascii="宋体" w:hAnsi="宋体" w:eastAsia="宋体" w:cs="宋体"/>
          <w:b w:val="0"/>
          <w:bCs w:val="0"/>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4</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01</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26</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02</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07</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w:t>
      </w:r>
      <w:r>
        <w:rPr>
          <w:rFonts w:hint="eastAsia" w:ascii="宋体" w:hAnsi="宋体" w:cs="宋体"/>
          <w:i w:val="0"/>
          <w:iCs w:val="0"/>
          <w:sz w:val="24"/>
          <w:szCs w:val="24"/>
          <w:highlight w:val="none"/>
          <w:u w:val="single"/>
          <w:lang w:val="en-US" w:eastAsia="zh-CN"/>
        </w:rPr>
        <w:t>00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cs="宋体"/>
          <w:i w:val="0"/>
          <w:iCs w:val="0"/>
          <w:sz w:val="24"/>
          <w:szCs w:val="24"/>
          <w:highlight w:val="none"/>
          <w:lang w:val="en-US"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cs="宋体"/>
          <w:i w:val="0"/>
          <w:iCs w:val="0"/>
          <w:color w:val="auto"/>
          <w:sz w:val="24"/>
          <w:szCs w:val="24"/>
          <w:highlight w:val="none"/>
          <w:lang w:val="en-US" w:eastAsia="zh-CN"/>
        </w:rPr>
        <w:t>证件</w:t>
      </w:r>
      <w:r>
        <w:rPr>
          <w:rFonts w:hint="eastAsia" w:ascii="宋体" w:hAnsi="宋体" w:eastAsia="宋体" w:cs="宋体"/>
          <w:i w:val="0"/>
          <w:iCs w:val="0"/>
          <w:color w:val="auto"/>
          <w:sz w:val="24"/>
          <w:szCs w:val="24"/>
          <w:highlight w:val="none"/>
        </w:rPr>
        <w:t>（能通过互联网或者相关信息系统查询的信息除外）查验、加盖公章的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需在中华人民共和国境内注册，具有信誉良好的独立法人资格，事业单位法人证书或工商营业执照通过年检合格有效</w:t>
      </w:r>
      <w:r>
        <w:rPr>
          <w:rFonts w:hint="eastAsia" w:ascii="宋体" w:hAnsi="宋体" w:cs="宋体"/>
          <w:i w:val="0"/>
          <w:iCs w:val="0"/>
          <w:color w:val="auto"/>
          <w:sz w:val="24"/>
          <w:szCs w:val="24"/>
          <w:highlight w:val="none"/>
          <w:lang w:eastAsia="zh-CN"/>
        </w:rPr>
        <w:t>（加盖公章的</w:t>
      </w:r>
      <w:r>
        <w:rPr>
          <w:rFonts w:hint="eastAsia" w:ascii="宋体" w:hAnsi="宋体" w:cs="宋体"/>
          <w:i w:val="0"/>
          <w:iCs w:val="0"/>
          <w:color w:val="auto"/>
          <w:sz w:val="24"/>
          <w:szCs w:val="24"/>
          <w:highlight w:val="none"/>
          <w:lang w:val="en-US" w:eastAsia="zh-CN"/>
        </w:rPr>
        <w:t>A4复印件</w:t>
      </w: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）社会保障资金缴纳证明：供应商提供近半年内已缴存的社会保障资金缴存单据或社保机构开具的社会保险参保缴费情况证明，依法不需要缴纳社会保障资金的供应商应提供相关文件证明；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）财务状况报告：供应商提供</w:t>
      </w:r>
      <w:r>
        <w:rPr>
          <w:rFonts w:hint="eastAsia" w:ascii="宋体" w:hAnsi="宋体" w:cs="宋体"/>
          <w:i w:val="0"/>
          <w:iCs w:val="0"/>
          <w:sz w:val="24"/>
          <w:szCs w:val="24"/>
          <w:highlight w:val="none"/>
          <w:lang w:val="en-US" w:eastAsia="zh-CN"/>
        </w:rPr>
        <w:t>2020年度</w:t>
      </w:r>
      <w:r>
        <w:rPr>
          <w:rFonts w:hint="eastAsia" w:ascii="宋体" w:hAnsi="宋体" w:eastAsia="宋体" w:cs="宋体"/>
          <w:i w:val="0"/>
          <w:iCs w:val="0"/>
          <w:sz w:val="24"/>
          <w:szCs w:val="24"/>
          <w:highlight w:val="none"/>
        </w:rPr>
        <w:t>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宋体" w:hAnsi="宋体" w:cs="宋体"/>
          <w:i w:val="0"/>
          <w:iCs w:val="0"/>
          <w:color w:val="auto"/>
          <w:sz w:val="24"/>
          <w:szCs w:val="24"/>
          <w:highlight w:val="none"/>
          <w:lang w:eastAsia="zh-CN"/>
        </w:rPr>
        <w:t>（加盖公章的</w:t>
      </w:r>
      <w:r>
        <w:rPr>
          <w:rFonts w:hint="eastAsia" w:ascii="宋体" w:hAnsi="宋体" w:cs="宋体"/>
          <w:i w:val="0"/>
          <w:iCs w:val="0"/>
          <w:color w:val="auto"/>
          <w:sz w:val="24"/>
          <w:szCs w:val="24"/>
          <w:highlight w:val="none"/>
          <w:lang w:val="en-US" w:eastAsia="zh-CN"/>
        </w:rPr>
        <w:t>A4复印件</w:t>
      </w: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rPr>
        <w:t>）税收缴纳证明：供应商提供近半年内已缴纳的纳税证明或完税证明，纳税证明或完税证明上应有代收机构或税务机关的公章，依法免税的供应商应提供相关文件证明；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200</w:t>
      </w:r>
      <w:r>
        <w:rPr>
          <w:rFonts w:hint="eastAsia" w:ascii="宋体" w:hAnsi="宋体" w:eastAsia="宋体" w:cs="宋体"/>
          <w:i w:val="0"/>
          <w:iCs w:val="0"/>
          <w:sz w:val="24"/>
          <w:szCs w:val="24"/>
          <w:highlight w:val="none"/>
        </w:rPr>
        <w:t>元/本，逾期不售、售后不退。</w:t>
      </w:r>
    </w:p>
    <w:p>
      <w:pPr>
        <w:spacing w:line="360" w:lineRule="auto"/>
        <w:jc w:val="left"/>
        <w:outlineLvl w:val="9"/>
        <w:rPr>
          <w:rFonts w:ascii="黑体" w:hAnsi="黑体" w:cs="宋体"/>
          <w:b/>
          <w:bCs w:val="0"/>
          <w:sz w:val="28"/>
          <w:szCs w:val="28"/>
          <w:highlight w:val="none"/>
        </w:rPr>
      </w:pPr>
      <w:bookmarkStart w:id="18" w:name="_Toc28359015"/>
      <w:bookmarkStart w:id="19" w:name="_Toc35393801"/>
      <w:bookmarkStart w:id="20" w:name="_Toc35393632"/>
      <w:bookmarkStart w:id="21" w:name="_Toc28359092"/>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02</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08</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30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spacing w:line="360" w:lineRule="auto"/>
        <w:ind w:firstLine="482" w:firstLineChars="200"/>
        <w:rPr>
          <w:rFonts w:hint="eastAsia" w:ascii="宋体" w:hAnsi="宋体" w:cs="宋体"/>
          <w:i w:val="0"/>
          <w:iCs w:val="0"/>
          <w:sz w:val="24"/>
          <w:szCs w:val="24"/>
          <w:highlight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jc w:val="both"/>
        <w:outlineLvl w:val="9"/>
        <w:rPr>
          <w:rFonts w:ascii="黑体" w:hAnsi="黑体" w:cs="宋体"/>
          <w:b/>
          <w:bCs w:val="0"/>
          <w:sz w:val="28"/>
          <w:szCs w:val="28"/>
          <w:highlight w:val="none"/>
        </w:rPr>
      </w:pPr>
      <w:bookmarkStart w:id="22" w:name="_Toc28359016"/>
      <w:bookmarkStart w:id="23" w:name="_Toc35393633"/>
      <w:bookmarkStart w:id="24" w:name="_Toc28359093"/>
      <w:bookmarkStart w:id="25" w:name="_Toc35393802"/>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17"/>
      <w:bookmarkStart w:id="27" w:name="_Toc28359094"/>
      <w:bookmarkStart w:id="28" w:name="_Toc35393803"/>
      <w:bookmarkStart w:id="29" w:name="_Toc35393634"/>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02</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08</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30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numPr>
          <w:ilvl w:val="0"/>
          <w:numId w:val="2"/>
        </w:numPr>
        <w:spacing w:line="360" w:lineRule="auto"/>
        <w:jc w:val="both"/>
        <w:outlineLvl w:val="9"/>
        <w:rPr>
          <w:rFonts w:hint="eastAsia" w:ascii="黑体" w:hAnsi="黑体" w:cs="宋体"/>
          <w:b/>
          <w:bCs w:val="0"/>
          <w:sz w:val="28"/>
          <w:szCs w:val="28"/>
          <w:highlight w:val="none"/>
          <w:lang w:val="en-US" w:eastAsia="zh-CN"/>
        </w:rPr>
      </w:pPr>
      <w:bookmarkStart w:id="30" w:name="_Toc35393635"/>
      <w:bookmarkStart w:id="31" w:name="_Toc35393804"/>
      <w:r>
        <w:rPr>
          <w:rFonts w:hint="eastAsia" w:ascii="黑体" w:hAnsi="黑体" w:cs="宋体"/>
          <w:b/>
          <w:bCs w:val="0"/>
          <w:sz w:val="28"/>
          <w:szCs w:val="28"/>
          <w:highlight w:val="none"/>
          <w:lang w:val="en-US" w:eastAsia="zh-CN"/>
        </w:rPr>
        <w:t>其他补充事宜</w:t>
      </w:r>
      <w:bookmarkEnd w:id="30"/>
      <w:bookmarkEnd w:id="31"/>
      <w:r>
        <w:rPr>
          <w:rFonts w:hint="eastAsia" w:ascii="黑体" w:hAnsi="黑体" w:cs="宋体"/>
          <w:b/>
          <w:bCs w:val="0"/>
          <w:sz w:val="28"/>
          <w:szCs w:val="28"/>
          <w:highlight w:val="none"/>
          <w:lang w:val="en-US" w:eastAsia="zh-CN"/>
        </w:rPr>
        <w:t xml:space="preserve">  </w:t>
      </w:r>
    </w:p>
    <w:p>
      <w:pPr>
        <w:numPr>
          <w:ilvl w:val="0"/>
          <w:numId w:val="0"/>
        </w:numPr>
        <w:spacing w:line="360" w:lineRule="auto"/>
        <w:ind w:firstLine="480" w:firstLineChars="200"/>
        <w:jc w:val="both"/>
        <w:outlineLvl w:val="9"/>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636"/>
      <w:bookmarkStart w:id="33" w:name="_Toc28359095"/>
      <w:bookmarkStart w:id="34" w:name="_Toc28359018"/>
      <w:bookmarkStart w:id="35" w:name="_Toc35393805"/>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bookmarkStart w:id="36" w:name="_Toc28359096"/>
      <w:bookmarkStart w:id="37" w:name="_Toc28359019"/>
      <w:bookmarkStart w:id="38" w:name="_Toc35393637"/>
      <w:bookmarkStart w:id="39" w:name="_Toc35393806"/>
      <w:r>
        <w:rPr>
          <w:rFonts w:hint="eastAsia" w:asciiTheme="minorEastAsia" w:hAnsiTheme="minorEastAsia" w:eastAsiaTheme="minorEastAsia" w:cstheme="minorEastAsia"/>
          <w:b w:val="0"/>
          <w:i w:val="0"/>
          <w:iCs w:val="0"/>
          <w:color w:val="auto"/>
          <w:sz w:val="24"/>
          <w:szCs w:val="24"/>
          <w:highlight w:val="none"/>
          <w:u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名    称：</w:t>
      </w:r>
      <w:r>
        <w:rPr>
          <w:rFonts w:hint="eastAsia" w:asciiTheme="minorEastAsia" w:hAnsiTheme="minorEastAsia" w:eastAsiaTheme="minorEastAsia" w:cstheme="minorEastAsia"/>
          <w:i w:val="0"/>
          <w:iCs w:val="0"/>
          <w:color w:val="auto"/>
          <w:sz w:val="24"/>
          <w:szCs w:val="24"/>
          <w:highlight w:val="none"/>
          <w:u w:val="none"/>
          <w:lang w:eastAsia="zh-CN"/>
        </w:rPr>
        <w:t>哈密市博物馆</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地    址：</w:t>
      </w:r>
      <w:r>
        <w:rPr>
          <w:rFonts w:hint="eastAsia" w:asciiTheme="minorEastAsia" w:hAnsiTheme="minorEastAsia" w:eastAsiaTheme="minorEastAsia" w:cstheme="minorEastAsia"/>
          <w:i w:val="0"/>
          <w:iCs w:val="0"/>
          <w:color w:val="auto"/>
          <w:sz w:val="24"/>
          <w:szCs w:val="24"/>
          <w:highlight w:val="none"/>
          <w:u w:val="none"/>
          <w:lang w:eastAsia="zh-CN"/>
        </w:rPr>
        <w:t>新疆维吾尔自治区哈密市伊州区环城路</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u w:val="none"/>
        </w:rPr>
        <w:t>系</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人：库尔班·热合曼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13899335150</w:t>
      </w:r>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bookmarkStart w:id="40" w:name="_Toc28359097"/>
      <w:bookmarkStart w:id="41" w:name="_Toc35393807"/>
      <w:bookmarkStart w:id="42" w:name="_Toc28359020"/>
      <w:bookmarkStart w:id="43" w:name="_Toc35393638"/>
      <w:r>
        <w:rPr>
          <w:rFonts w:hint="eastAsia" w:asciiTheme="minorEastAsia" w:hAnsiTheme="minorEastAsia" w:eastAsiaTheme="minorEastAsia" w:cstheme="minorEastAsia"/>
          <w:b w:val="0"/>
          <w:i w:val="0"/>
          <w:iCs w:val="0"/>
          <w:color w:val="auto"/>
          <w:sz w:val="24"/>
          <w:szCs w:val="24"/>
          <w:highlight w:val="none"/>
          <w:u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名    称：新疆</w:t>
      </w:r>
      <w:r>
        <w:rPr>
          <w:rFonts w:hint="eastAsia" w:asciiTheme="minorEastAsia" w:hAnsiTheme="minorEastAsia" w:eastAsiaTheme="minorEastAsia" w:cstheme="minorEastAsia"/>
          <w:i w:val="0"/>
          <w:iCs w:val="0"/>
          <w:color w:val="auto"/>
          <w:sz w:val="24"/>
          <w:szCs w:val="24"/>
          <w:highlight w:val="none"/>
          <w:u w:val="none"/>
          <w:lang w:eastAsia="zh-CN"/>
        </w:rPr>
        <w:t>成源项目管理咨询有限公司</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地　　址：</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u w:val="none"/>
        </w:rPr>
        <w:t>系</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人：周静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13369022654</w:t>
      </w:r>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r>
        <w:rPr>
          <w:rFonts w:hint="eastAsia" w:asciiTheme="minorEastAsia" w:hAnsiTheme="minorEastAsia" w:eastAsiaTheme="minorEastAsia" w:cstheme="minorEastAsia"/>
          <w:b w:val="0"/>
          <w:i w:val="0"/>
          <w:iCs w:val="0"/>
          <w:color w:val="auto"/>
          <w:sz w:val="24"/>
          <w:szCs w:val="24"/>
          <w:highlight w:val="none"/>
          <w:u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 xml:space="preserve">项目联系人：周静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13369022654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6"/>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7"/>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vAlign w:val="top"/>
          </w:tcPr>
          <w:p>
            <w:pPr>
              <w:pStyle w:val="23"/>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vAlign w:val="top"/>
          </w:tcPr>
          <w:p>
            <w:pPr>
              <w:pStyle w:val="23"/>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vAlign w:val="top"/>
          </w:tcPr>
          <w:p>
            <w:pPr>
              <w:pStyle w:val="23"/>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哈密市博物馆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vAlign w:val="center"/>
          </w:tcPr>
          <w:p>
            <w:pPr>
              <w:pStyle w:val="23"/>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lang w:eastAsia="zh-CN"/>
              </w:rPr>
              <w:t>新疆维吾尔自治区哈密市伊州区环城路</w:t>
            </w:r>
          </w:p>
          <w:p>
            <w:pPr>
              <w:pStyle w:val="23"/>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宋体" w:hAnsi="宋体" w:cs="宋体"/>
                <w:b/>
                <w:bCs/>
                <w:highlight w:val="none"/>
                <w:u w:val="none"/>
                <w:lang w:eastAsia="zh-CN"/>
              </w:rPr>
              <w:t>：</w:t>
            </w:r>
            <w:r>
              <w:rPr>
                <w:rFonts w:hint="eastAsia" w:asciiTheme="minorEastAsia" w:hAnsiTheme="minorEastAsia" w:eastAsiaTheme="minorEastAsia" w:cstheme="minorEastAsia"/>
                <w:i w:val="0"/>
                <w:iCs w:val="0"/>
                <w:color w:val="auto"/>
                <w:sz w:val="24"/>
                <w:szCs w:val="24"/>
                <w:highlight w:val="none"/>
                <w:u w:val="none"/>
                <w:lang w:val="en-US" w:eastAsia="zh-CN"/>
              </w:rPr>
              <w:t>库尔班·热合曼</w:t>
            </w:r>
          </w:p>
          <w:p>
            <w:pPr>
              <w:pStyle w:val="23"/>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vAlign w:val="center"/>
          </w:tcPr>
          <w:p>
            <w:pPr>
              <w:pStyle w:val="23"/>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vAlign w:val="top"/>
          </w:tcPr>
          <w:p>
            <w:pPr>
              <w:pStyle w:val="23"/>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13899335150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Theme="minorEastAsia" w:hAnsiTheme="minorEastAsia" w:eastAsiaTheme="minorEastAsia" w:cstheme="minorEastAsia"/>
                <w:i w:val="0"/>
                <w:iCs w:val="0"/>
                <w:color w:val="auto"/>
                <w:sz w:val="24"/>
                <w:szCs w:val="24"/>
                <w:highlight w:val="none"/>
                <w:u w:val="none"/>
              </w:rPr>
              <w:t>新疆</w:t>
            </w:r>
            <w:r>
              <w:rPr>
                <w:rFonts w:hint="eastAsia" w:asciiTheme="minorEastAsia" w:hAnsiTheme="minorEastAsia" w:eastAsiaTheme="minorEastAsia" w:cstheme="minorEastAsia"/>
                <w:i w:val="0"/>
                <w:iCs w:val="0"/>
                <w:color w:val="auto"/>
                <w:sz w:val="24"/>
                <w:szCs w:val="24"/>
                <w:highlight w:val="none"/>
                <w:u w:val="none"/>
                <w:lang w:eastAsia="zh-CN"/>
              </w:rPr>
              <w:t>成源项目管理咨询有限公司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672" w:type="dxa"/>
            <w:vMerge w:val="continue"/>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3"/>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3"/>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vAlign w:val="top"/>
          </w:tcPr>
          <w:p>
            <w:pPr>
              <w:pStyle w:val="23"/>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val="en-US" w:eastAsia="zh-CN"/>
              </w:rPr>
              <w:t>13369022654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exact"/>
          <w:jc w:val="center"/>
        </w:trPr>
        <w:tc>
          <w:tcPr>
            <w:tcW w:w="672" w:type="dxa"/>
            <w:vMerge w:val="continue"/>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b/>
                <w:bCs/>
                <w:highlight w:val="none"/>
                <w:lang w:eastAsia="zh-CN"/>
              </w:rPr>
              <w:t>：</w:t>
            </w:r>
            <w:r>
              <w:rPr>
                <w:rFonts w:hint="eastAsia" w:asciiTheme="minorEastAsia" w:hAnsiTheme="minorEastAsia" w:eastAsiaTheme="minorEastAsia" w:cstheme="minorEastAsia"/>
                <w:i w:val="0"/>
                <w:iCs w:val="0"/>
                <w:color w:val="auto"/>
                <w:sz w:val="24"/>
                <w:szCs w:val="24"/>
                <w:highlight w:val="none"/>
                <w:u w:val="none"/>
                <w:lang w:eastAsia="zh-CN"/>
              </w:rPr>
              <w:t>哈密市博物馆干尸预防性保护项目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vAlign w:val="center"/>
          </w:tcPr>
          <w:p>
            <w:pPr>
              <w:pStyle w:val="23"/>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vAlign w:val="top"/>
          </w:tcPr>
          <w:p>
            <w:pPr>
              <w:pStyle w:val="23"/>
              <w:kinsoku w:val="0"/>
              <w:overflowPunct w:val="0"/>
              <w:spacing w:before="16"/>
              <w:ind w:left="102"/>
              <w:rPr>
                <w:rFonts w:hint="default" w:ascii="宋体" w:hAnsi="宋体" w:eastAsia="宋体" w:cs="宋体"/>
                <w:highlight w:val="none"/>
                <w:lang w:val="en-US" w:eastAsia="zh-CN"/>
              </w:rPr>
            </w:pPr>
            <w:r>
              <w:rPr>
                <w:rFonts w:hint="eastAsia" w:ascii="宋体" w:hAnsi="宋体" w:eastAsia="宋体" w:cs="宋体"/>
                <w:b/>
                <w:bCs/>
                <w:highlight w:val="none"/>
              </w:rPr>
              <w:t>2、磋商文件编号：</w:t>
            </w:r>
            <w:r>
              <w:rPr>
                <w:rFonts w:hint="eastAsia" w:ascii="宋体" w:hAnsi="宋体" w:eastAsia="宋体" w:cs="宋体"/>
                <w:b w:val="0"/>
                <w:bCs w:val="0"/>
                <w:highlight w:val="none"/>
                <w:lang w:val="en-US" w:eastAsia="zh-CN"/>
              </w:rPr>
              <w:t>XJCYZC-202</w:t>
            </w: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-0</w:t>
            </w:r>
            <w:r>
              <w:rPr>
                <w:rFonts w:hint="eastAsia" w:ascii="宋体" w:hAnsi="宋体" w:cs="宋体"/>
                <w:b w:val="0"/>
                <w:bCs w:val="0"/>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vAlign w:val="top"/>
          </w:tcPr>
          <w:p>
            <w:pPr>
              <w:pStyle w:val="23"/>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highlight w:val="none"/>
              </w:rPr>
            </w:pPr>
            <w:r>
              <w:rPr>
                <w:rFonts w:hint="eastAsia" w:ascii="宋体" w:hAnsi="宋体" w:eastAsia="宋体" w:cs="宋体"/>
                <w:b/>
                <w:bCs/>
                <w:kern w:val="0"/>
                <w:sz w:val="24"/>
                <w:szCs w:val="24"/>
                <w:highlight w:val="none"/>
                <w:lang w:val="en-US" w:eastAsia="zh-CN" w:bidi="ar-SA"/>
              </w:rPr>
              <w:t>1、主要磋商内容：</w:t>
            </w:r>
            <w:r>
              <w:rPr>
                <w:rFonts w:hint="eastAsia" w:ascii="宋体" w:hAnsi="宋体" w:cs="宋体"/>
                <w:b w:val="0"/>
                <w:bCs w:val="0"/>
                <w:i w:val="0"/>
                <w:iCs w:val="0"/>
                <w:sz w:val="24"/>
                <w:szCs w:val="24"/>
                <w:highlight w:val="none"/>
                <w:lang w:val="en-US" w:eastAsia="zh-CN"/>
              </w:rPr>
              <w:t>哈密市博物馆为了收藏干尸的科学保护，并延长干尸的保存寿命和防止干尸的腐烂，进一步完善干尸的保护设施和环境，需要订做高科技的恒温恒湿储存柜和恒温恒湿展示柜。干尸储存柜3组（每组三层），展示柜1组。（详细说明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vAlign w:val="top"/>
          </w:tcPr>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highlight w:val="none"/>
                <w:lang w:val="en-US" w:eastAsia="zh-CN"/>
              </w:rPr>
              <w:t>500000</w:t>
            </w:r>
            <w:r>
              <w:rPr>
                <w:rFonts w:hint="eastAsia" w:ascii="宋体" w:hAnsi="宋体" w:eastAsia="宋体" w:cs="宋体"/>
                <w:highlight w:val="none"/>
              </w:rPr>
              <w:t>.00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:伍拾万</w:t>
            </w:r>
            <w:r>
              <w:rPr>
                <w:rFonts w:hint="eastAsia" w:ascii="宋体" w:hAnsi="宋体" w:eastAsia="宋体" w:cs="宋体"/>
                <w:highlight w:val="none"/>
              </w:rPr>
              <w:t>元整）</w:t>
            </w:r>
          </w:p>
          <w:p>
            <w:pPr>
              <w:pStyle w:val="23"/>
              <w:kinsoku w:val="0"/>
              <w:overflowPunct w:val="0"/>
              <w:spacing w:before="122"/>
              <w:ind w:left="102"/>
              <w:rPr>
                <w:rFonts w:hint="eastAsia" w:ascii="宋体" w:hAnsi="宋体" w:eastAsia="宋体" w:cs="宋体"/>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eastAsia="宋体" w:cs="宋体"/>
                <w:b w:val="0"/>
                <w:bCs w:val="0"/>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495000元（大写：肆拾玖万伍仟元整）</w:t>
            </w:r>
          </w:p>
          <w:p>
            <w:pPr>
              <w:pStyle w:val="23"/>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w:t>
            </w:r>
            <w:r>
              <w:rPr>
                <w:rFonts w:hint="eastAsia" w:ascii="宋体" w:hAnsi="宋体" w:cs="宋体"/>
                <w:b/>
                <w:bCs/>
                <w:highlight w:val="none"/>
                <w:lang w:eastAsia="zh-CN"/>
              </w:rPr>
              <w:t>最高限价</w:t>
            </w:r>
            <w:r>
              <w:rPr>
                <w:rFonts w:hint="eastAsia" w:ascii="宋体" w:hAnsi="宋体" w:eastAsia="宋体" w:cs="宋体"/>
                <w:b/>
                <w:bCs/>
                <w:highlight w:val="none"/>
              </w:rPr>
              <w:t>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vAlign w:val="top"/>
          </w:tcPr>
          <w:p>
            <w:pPr>
              <w:pStyle w:val="23"/>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3"/>
              <w:kinsoku w:val="0"/>
              <w:overflowPunct w:val="0"/>
              <w:spacing w:before="122"/>
              <w:ind w:left="1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（2）在中华人民共和国境内注册的法人、其他组织或者自然人，</w:t>
            </w:r>
            <w:r>
              <w:rPr>
                <w:rFonts w:hint="eastAsia" w:ascii="宋体" w:hAnsi="宋体" w:cs="宋体"/>
                <w:color w:val="000000" w:themeColor="text1"/>
                <w:highlight w:val="none"/>
                <w:lang w:eastAsia="zh-CN"/>
                <w14:textFill>
                  <w14:solidFill>
                    <w14:schemeClr w14:val="tx1"/>
                  </w14:solidFill>
                </w14:textFill>
              </w:rPr>
              <w:t>且</w:t>
            </w:r>
            <w:r>
              <w:rPr>
                <w:rFonts w:hint="eastAsia" w:ascii="宋体" w:hAnsi="宋体" w:eastAsia="宋体" w:cs="宋体"/>
                <w:b w:val="0"/>
                <w:bCs w:val="0"/>
                <w:i w:val="0"/>
                <w:iCs w:val="0"/>
                <w:sz w:val="24"/>
                <w:szCs w:val="24"/>
                <w:highlight w:val="none"/>
                <w:u w:val="none"/>
              </w:rPr>
              <w:t>有能力提供本项目全部采购内容及服务能力的供应商</w:t>
            </w:r>
            <w:r>
              <w:rPr>
                <w:rFonts w:hint="eastAsia" w:ascii="宋体" w:hAnsi="宋体" w:eastAsia="宋体" w:cs="宋体"/>
                <w:color w:val="000000" w:themeColor="text1"/>
                <w:highlight w:val="none"/>
                <w14:textFill>
                  <w14:solidFill>
                    <w14:schemeClr w14:val="tx1"/>
                  </w14:solidFill>
                </w14:textFill>
              </w:rPr>
              <w:t>；</w:t>
            </w:r>
          </w:p>
          <w:p>
            <w:pPr>
              <w:pStyle w:val="23"/>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）为充分保证完善的售后服务，本项目不接受联合体投标。</w:t>
            </w:r>
          </w:p>
          <w:p>
            <w:pPr>
              <w:pStyle w:val="23"/>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w:t>
            </w:r>
            <w:r>
              <w:rPr>
                <w:rFonts w:hint="eastAsia" w:ascii="宋体" w:hAnsi="宋体" w:cs="宋体"/>
                <w:b/>
                <w:bCs/>
                <w:w w:val="95"/>
                <w:highlight w:val="none"/>
                <w:lang w:val="en-US" w:eastAsia="zh-CN"/>
              </w:rPr>
              <w:t>(</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；事业法人应提供事业单位法人证书；其他组织应提供合法登记证明文件（加盖公章的</w:t>
            </w:r>
            <w:r>
              <w:rPr>
                <w:rFonts w:hint="eastAsia" w:ascii="宋体" w:hAnsi="宋体" w:eastAsia="宋体" w:cs="宋体"/>
                <w:b/>
                <w:bCs/>
                <w:i w:val="0"/>
                <w:iCs w:val="0"/>
                <w:sz w:val="24"/>
                <w:szCs w:val="24"/>
                <w:highlight w:val="none"/>
                <w:lang w:val="en-US" w:eastAsia="zh-CN"/>
              </w:rPr>
              <w:t>A4复印件）</w:t>
            </w:r>
            <w:r>
              <w:rPr>
                <w:rFonts w:hint="eastAsia" w:ascii="宋体" w:hAnsi="宋体" w:eastAsia="宋体" w:cs="宋体"/>
                <w:b/>
                <w:bCs/>
                <w:i w:val="0"/>
                <w:iCs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提供近半年内已缴存的社会保障资金缴存单据或社保机构开具的社会保险参保缴费情况证明，依法不需要缴纳社会保障资金的投标人应提供相关文件证明</w:t>
            </w:r>
            <w:r>
              <w:rPr>
                <w:rFonts w:hint="eastAsia" w:ascii="宋体" w:hAnsi="宋体" w:eastAsia="宋体" w:cs="宋体"/>
                <w:b/>
                <w:bCs/>
                <w:color w:val="auto"/>
                <w:sz w:val="24"/>
                <w:szCs w:val="24"/>
                <w:highlight w:val="none"/>
                <w:lang w:eastAsia="zh-CN"/>
              </w:rPr>
              <w:t>（加盖公章的</w:t>
            </w:r>
            <w:r>
              <w:rPr>
                <w:rFonts w:hint="eastAsia" w:ascii="宋体" w:hAnsi="宋体" w:eastAsia="宋体" w:cs="宋体"/>
                <w:b/>
                <w:bCs/>
                <w:color w:val="auto"/>
                <w:sz w:val="24"/>
                <w:szCs w:val="24"/>
                <w:highlight w:val="none"/>
                <w:lang w:val="en-US" w:eastAsia="zh-CN"/>
              </w:rPr>
              <w:t>A4复印件</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供应商提供近</w:t>
            </w:r>
            <w:r>
              <w:rPr>
                <w:rFonts w:hint="eastAsia" w:ascii="宋体" w:hAnsi="宋体" w:cs="宋体"/>
                <w:b/>
                <w:bCs/>
                <w:color w:val="auto"/>
                <w:sz w:val="24"/>
                <w:szCs w:val="24"/>
                <w:highlight w:val="none"/>
                <w:lang w:val="en-US" w:eastAsia="zh-CN"/>
              </w:rPr>
              <w:t>2020年度</w:t>
            </w:r>
            <w:r>
              <w:rPr>
                <w:rFonts w:hint="eastAsia" w:ascii="宋体" w:hAnsi="宋体" w:eastAsia="宋体" w:cs="宋体"/>
                <w:b/>
                <w:bCs/>
                <w:color w:val="auto"/>
                <w:sz w:val="24"/>
                <w:szCs w:val="24"/>
                <w:highlight w:val="none"/>
                <w:lang w:eastAsia="zh-CN"/>
              </w:rPr>
              <w:t>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Theme="minorEastAsia" w:hAnsiTheme="minorEastAsia" w:eastAsiaTheme="minorEastAsia" w:cstheme="minorEastAsia"/>
                <w:b/>
                <w:bCs/>
                <w:color w:val="auto"/>
                <w:kern w:val="0"/>
                <w:sz w:val="24"/>
                <w:szCs w:val="24"/>
                <w:highlight w:val="none"/>
                <w:lang w:val="zh-CN" w:eastAsia="zh-CN"/>
              </w:rPr>
              <w:t>或基本开户银行出具的资信证明文件</w:t>
            </w:r>
            <w:r>
              <w:rPr>
                <w:rFonts w:hint="eastAsia" w:ascii="宋体" w:hAnsi="宋体" w:eastAsia="宋体" w:cs="宋体"/>
                <w:b/>
                <w:bCs/>
                <w:color w:val="auto"/>
                <w:sz w:val="24"/>
                <w:szCs w:val="24"/>
                <w:highlight w:val="none"/>
                <w:lang w:eastAsia="zh-CN"/>
              </w:rPr>
              <w:t>（加盖公章的</w:t>
            </w:r>
            <w:r>
              <w:rPr>
                <w:rFonts w:hint="eastAsia" w:ascii="宋体" w:hAnsi="宋体" w:eastAsia="宋体" w:cs="宋体"/>
                <w:b/>
                <w:bCs/>
                <w:color w:val="auto"/>
                <w:sz w:val="24"/>
                <w:szCs w:val="24"/>
                <w:highlight w:val="none"/>
                <w:lang w:val="en-US" w:eastAsia="zh-CN"/>
              </w:rPr>
              <w:t>A4复印件</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提供近半年内已缴纳的纳税证明或完税证明，纳税证明或完税证明上应有代收机构或税务机关的公章，依法免税的投标人应提供相关文件证明</w:t>
            </w:r>
            <w:r>
              <w:rPr>
                <w:rFonts w:hint="eastAsia" w:ascii="宋体" w:hAnsi="宋体" w:eastAsia="宋体" w:cs="宋体"/>
                <w:b/>
                <w:bCs/>
                <w:color w:val="auto"/>
                <w:sz w:val="24"/>
                <w:szCs w:val="24"/>
                <w:highlight w:val="none"/>
                <w:lang w:eastAsia="zh-CN"/>
              </w:rPr>
              <w:t>（加盖公章的</w:t>
            </w:r>
            <w:r>
              <w:rPr>
                <w:rFonts w:hint="eastAsia" w:ascii="宋体" w:hAnsi="宋体" w:eastAsia="宋体" w:cs="宋体"/>
                <w:b/>
                <w:bCs/>
                <w:color w:val="auto"/>
                <w:sz w:val="24"/>
                <w:szCs w:val="24"/>
                <w:highlight w:val="none"/>
                <w:lang w:val="en-US" w:eastAsia="zh-CN"/>
              </w:rPr>
              <w:t>A4复印件</w:t>
            </w:r>
            <w:r>
              <w:rPr>
                <w:rFonts w:hint="eastAsia" w:ascii="宋体" w:hAnsi="宋体" w:eastAsia="宋体" w:cs="宋体"/>
                <w:b/>
                <w:bCs/>
                <w:color w:val="auto"/>
                <w:sz w:val="24"/>
                <w:szCs w:val="24"/>
                <w:highlight w:val="none"/>
                <w:lang w:eastAsia="zh-CN"/>
              </w:rPr>
              <w:t>）</w:t>
            </w:r>
            <w:r>
              <w:rPr>
                <w:rFonts w:hint="eastAsia" w:ascii="宋体" w:hAnsi="宋体"/>
                <w:b/>
                <w:bCs/>
                <w:sz w:val="24"/>
                <w:szCs w:val="24"/>
                <w:highlight w:val="none"/>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凭证(原件）</w:t>
            </w:r>
            <w:r>
              <w:rPr>
                <w:rFonts w:hint="eastAsia" w:asciiTheme="minorEastAsia" w:hAnsiTheme="minorEastAsia" w:eastAsiaTheme="minorEastAsia" w:cstheme="minorEastAsia"/>
                <w:b/>
                <w:bCs/>
                <w:color w:val="auto"/>
                <w:kern w:val="0"/>
                <w:sz w:val="24"/>
                <w:szCs w:val="24"/>
                <w:highlight w:val="none"/>
                <w:lang w:val="zh-CN" w:eastAsia="zh-CN"/>
              </w:rPr>
              <w:t>；</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31"/>
                <w:szCs w:val="31"/>
                <w:highlight w:val="none"/>
                <w:shd w:val="clear" w:fill="FFFFFF"/>
              </w:rPr>
            </w:pPr>
            <w:r>
              <w:rPr>
                <w:rFonts w:hint="eastAsia" w:asciiTheme="minorEastAsia" w:hAnsiTheme="minorEastAsia" w:eastAsiaTheme="minorEastAsia" w:cstheme="minorEastAsia"/>
                <w:b/>
                <w:bCs/>
                <w:color w:val="auto"/>
                <w:kern w:val="0"/>
                <w:sz w:val="24"/>
                <w:szCs w:val="24"/>
                <w:highlight w:val="none"/>
                <w:lang w:val="en-US" w:eastAsia="zh-CN"/>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微软雅黑" w:hAnsi="微软雅黑" w:eastAsia="微软雅黑" w:cs="微软雅黑"/>
                <w:i w:val="0"/>
                <w:caps w:val="0"/>
                <w:spacing w:val="0"/>
                <w:sz w:val="31"/>
                <w:szCs w:val="31"/>
                <w:highlight w:val="none"/>
                <w:shd w:val="clear" w:fill="FFFFFF"/>
              </w:rPr>
              <w:t>　</w:t>
            </w:r>
          </w:p>
          <w:p>
            <w:pPr>
              <w:pageBreakBefore w:val="0"/>
              <w:widowControl w:val="0"/>
              <w:kinsoku/>
              <w:wordWrap/>
              <w:overflowPunct/>
              <w:topLinePunct w:val="0"/>
              <w:bidi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w:t>
            </w:r>
            <w:r>
              <w:rPr>
                <w:rFonts w:hint="eastAsia" w:ascii="宋体" w:hAnsi="宋体" w:cs="宋体"/>
                <w:highlight w:val="none"/>
                <w:lang w:eastAsia="zh-CN"/>
              </w:rPr>
              <w:t>证件</w:t>
            </w:r>
            <w:r>
              <w:rPr>
                <w:rFonts w:hint="eastAsia" w:ascii="宋体" w:hAnsi="宋体" w:eastAsia="宋体" w:cs="宋体"/>
                <w:highlight w:val="none"/>
              </w:rPr>
              <w:t>，请供应商在开标现场一次性提供。供应商提交的所有证明文件及材料必须清晰、准确、真实、有效；对于不提供或提供不真实或虚假资料者按无效标处理。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vAlign w:val="top"/>
          </w:tcPr>
          <w:p>
            <w:pPr>
              <w:pStyle w:val="23"/>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eastAsia="宋体" w:cs="宋体"/>
                <w:highlight w:val="none"/>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3"/>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default" w:ascii="宋体" w:hAnsi="宋体" w:eastAsia="宋体" w:cs="宋体"/>
                <w:highlight w:val="none"/>
                <w:lang w:val="en-US" w:eastAsia="zh-CN"/>
              </w:rPr>
            </w:pPr>
            <w:r>
              <w:rPr>
                <w:rFonts w:hint="eastAsia" w:ascii="宋体" w:hAnsi="宋体" w:cs="宋体"/>
                <w:highlight w:val="none"/>
                <w:lang w:val="en-US" w:eastAsia="zh-CN"/>
              </w:rPr>
              <w:t>10</w:t>
            </w:r>
          </w:p>
        </w:tc>
        <w:tc>
          <w:tcPr>
            <w:tcW w:w="8475" w:type="dxa"/>
            <w:vAlign w:val="top"/>
          </w:tcPr>
          <w:p>
            <w:pPr>
              <w:pStyle w:val="23"/>
              <w:kinsoku w:val="0"/>
              <w:overflowPunct w:val="0"/>
              <w:spacing w:before="72"/>
              <w:ind w:left="102"/>
              <w:rPr>
                <w:rFonts w:hint="eastAsia" w:ascii="宋体" w:hAnsi="宋体" w:eastAsia="宋体" w:cs="宋体"/>
                <w:b/>
                <w:bCs/>
                <w:highlight w:val="none"/>
                <w:lang w:val="en-US" w:eastAsia="zh-CN"/>
              </w:rPr>
            </w:pPr>
            <w:r>
              <w:rPr>
                <w:rFonts w:hint="eastAsia" w:ascii="宋体" w:hAnsi="宋体" w:cs="宋体"/>
                <w:b/>
                <w:bCs/>
                <w:color w:val="000000" w:themeColor="text1"/>
                <w:highlight w:val="none"/>
                <w:lang w:eastAsia="zh-CN"/>
                <w14:textFill>
                  <w14:solidFill>
                    <w14:schemeClr w14:val="tx1"/>
                  </w14:solidFill>
                </w14:textFill>
              </w:rPr>
              <w:t>供货周期：</w:t>
            </w:r>
            <w:r>
              <w:rPr>
                <w:rFonts w:hint="eastAsia" w:ascii="宋体" w:hAnsi="宋体" w:cs="宋体"/>
                <w:b w:val="0"/>
                <w:bCs w:val="0"/>
                <w:color w:val="000000" w:themeColor="text1"/>
                <w:highlight w:val="none"/>
                <w:lang w:eastAsia="zh-CN"/>
                <w14:textFill>
                  <w14:solidFill>
                    <w14:schemeClr w14:val="tx1"/>
                  </w14:solidFill>
                </w14:textFill>
              </w:rPr>
              <w:t>三个月（从签订合同之日算起）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default" w:ascii="宋体" w:hAnsi="宋体" w:eastAsia="宋体" w:cs="宋体"/>
                <w:highlight w:val="none"/>
                <w:lang w:val="en-US" w:eastAsia="zh-CN"/>
              </w:rPr>
            </w:pPr>
            <w:r>
              <w:rPr>
                <w:rFonts w:hint="eastAsia" w:ascii="宋体" w:hAnsi="宋体" w:cs="宋体"/>
                <w:highlight w:val="none"/>
                <w:lang w:val="en-US" w:eastAsia="zh-CN"/>
              </w:rPr>
              <w:t>11</w:t>
            </w:r>
          </w:p>
        </w:tc>
        <w:tc>
          <w:tcPr>
            <w:tcW w:w="8475" w:type="dxa"/>
            <w:vAlign w:val="top"/>
          </w:tcPr>
          <w:p>
            <w:pPr>
              <w:pStyle w:val="23"/>
              <w:kinsoku w:val="0"/>
              <w:overflowPunct w:val="0"/>
              <w:spacing w:before="72"/>
              <w:ind w:left="102"/>
              <w:rPr>
                <w:rFonts w:hint="eastAsia" w:ascii="宋体" w:hAnsi="宋体" w:eastAsia="宋体" w:cs="宋体"/>
                <w:b/>
                <w:bCs/>
                <w:highlight w:val="none"/>
                <w:lang w:val="en-US" w:eastAsia="zh-CN"/>
              </w:rPr>
            </w:pPr>
            <w:r>
              <w:rPr>
                <w:rFonts w:hint="eastAsia" w:ascii="宋体" w:hAnsi="宋体" w:cs="宋体"/>
                <w:b/>
                <w:bCs/>
                <w:color w:val="000000" w:themeColor="text1"/>
                <w:highlight w:val="none"/>
                <w:lang w:eastAsia="zh-CN"/>
                <w14:textFill>
                  <w14:solidFill>
                    <w14:schemeClr w14:val="tx1"/>
                  </w14:solidFill>
                </w14:textFill>
              </w:rPr>
              <w:t>质保期限：</w:t>
            </w:r>
            <w:r>
              <w:rPr>
                <w:rFonts w:hint="eastAsia" w:ascii="宋体" w:hAnsi="宋体" w:cs="宋体"/>
                <w:b w:val="0"/>
                <w:bCs w:val="0"/>
                <w:color w:val="000000" w:themeColor="text1"/>
                <w:highlight w:val="none"/>
                <w:lang w:val="en-US" w:eastAsia="zh-CN"/>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4"/>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2</w:t>
            </w:r>
          </w:p>
        </w:tc>
        <w:tc>
          <w:tcPr>
            <w:tcW w:w="8475" w:type="dxa"/>
            <w:vAlign w:val="top"/>
          </w:tcPr>
          <w:p>
            <w:pPr>
              <w:pStyle w:val="23"/>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02</w:t>
            </w:r>
            <w:r>
              <w:rPr>
                <w:rFonts w:hint="eastAsia" w:ascii="宋体" w:hAnsi="宋体" w:eastAsia="宋体" w:cs="宋体"/>
                <w:highlight w:val="none"/>
              </w:rPr>
              <w:t>月</w:t>
            </w:r>
            <w:r>
              <w:rPr>
                <w:rFonts w:hint="eastAsia" w:ascii="宋体" w:hAnsi="宋体" w:cs="宋体"/>
                <w:highlight w:val="none"/>
                <w:lang w:val="en-US" w:eastAsia="zh-CN"/>
              </w:rPr>
              <w:t>08</w:t>
            </w:r>
            <w:r>
              <w:rPr>
                <w:rFonts w:hint="eastAsia" w:ascii="宋体" w:hAnsi="宋体" w:eastAsia="宋体" w:cs="宋体"/>
                <w:highlight w:val="none"/>
              </w:rPr>
              <w:t>日1</w:t>
            </w:r>
            <w:r>
              <w:rPr>
                <w:rFonts w:hint="eastAsia" w:ascii="宋体" w:hAnsi="宋体" w:cs="宋体"/>
                <w:highlight w:val="none"/>
                <w:lang w:val="en-US" w:eastAsia="zh-CN"/>
              </w:rPr>
              <w:t>0</w:t>
            </w:r>
            <w:r>
              <w:rPr>
                <w:rFonts w:hint="eastAsia" w:ascii="宋体" w:hAnsi="宋体" w:eastAsia="宋体" w:cs="宋体"/>
                <w:highlight w:val="none"/>
              </w:rPr>
              <w:t>:</w:t>
            </w:r>
            <w:r>
              <w:rPr>
                <w:rFonts w:hint="eastAsia" w:ascii="宋体" w:hAnsi="宋体" w:cs="宋体"/>
                <w:highlight w:val="none"/>
                <w:lang w:val="en-US" w:eastAsia="zh-CN"/>
              </w:rPr>
              <w:t>30</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3</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200</w:t>
            </w:r>
            <w:r>
              <w:rPr>
                <w:rFonts w:hint="eastAsia" w:ascii="宋体" w:hAnsi="宋体" w:eastAsia="宋体" w:cs="宋体"/>
                <w:b/>
                <w:bCs/>
                <w:highlight w:val="none"/>
              </w:rPr>
              <w:t>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4</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4"/>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5</w:t>
            </w:r>
          </w:p>
        </w:tc>
        <w:tc>
          <w:tcPr>
            <w:tcW w:w="8475" w:type="dxa"/>
            <w:vAlign w:val="top"/>
          </w:tcPr>
          <w:p>
            <w:pPr>
              <w:pStyle w:val="23"/>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6</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7</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vAlign w:val="center"/>
          </w:tcPr>
          <w:p>
            <w:pPr>
              <w:pStyle w:val="23"/>
              <w:kinsoku w:val="0"/>
              <w:overflowPunct w:val="0"/>
              <w:spacing w:before="201"/>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8</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9</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20</w:t>
            </w:r>
          </w:p>
        </w:tc>
        <w:tc>
          <w:tcPr>
            <w:tcW w:w="8475" w:type="dxa"/>
            <w:vAlign w:val="top"/>
          </w:tcPr>
          <w:p>
            <w:pPr>
              <w:pStyle w:val="23"/>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21</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2</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10000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eastAsia="zh-CN"/>
              </w:rPr>
              <w:t>壹万元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新疆成源项目管理咨询有限公司</w:t>
            </w:r>
          </w:p>
          <w:p>
            <w:pPr>
              <w:pStyle w:val="23"/>
              <w:spacing w:before="132" w:line="345" w:lineRule="auto"/>
              <w:ind w:right="15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lang w:eastAsia="zh-CN"/>
              </w:rPr>
              <w:t>哈密市商业银行股份有限公司八一路支行</w:t>
            </w:r>
          </w:p>
          <w:p>
            <w:pPr>
              <w:pStyle w:val="23"/>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w:t>
            </w:r>
            <w:r>
              <w:rPr>
                <w:rFonts w:hint="eastAsia" w:asciiTheme="minorEastAsia" w:hAnsiTheme="minorEastAsia" w:eastAsiaTheme="minorEastAsia" w:cstheme="minorEastAsia"/>
                <w:color w:val="auto"/>
                <w:sz w:val="24"/>
                <w:highlight w:val="none"/>
                <w:lang w:val="en-US" w:eastAsia="zh-CN"/>
              </w:rPr>
              <w:t>908210100100094447</w:t>
            </w:r>
            <w:r>
              <w:rPr>
                <w:rFonts w:hint="eastAsia" w:asciiTheme="minorEastAsia" w:hAnsiTheme="minorEastAsia" w:eastAsiaTheme="minorEastAsia" w:cstheme="minorEastAsia"/>
                <w:color w:val="auto"/>
                <w:sz w:val="24"/>
                <w:highlight w:val="none"/>
              </w:rPr>
              <w:t xml:space="preserve"> </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3</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3"/>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3"/>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3"/>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4</w:t>
            </w:r>
          </w:p>
        </w:tc>
        <w:tc>
          <w:tcPr>
            <w:tcW w:w="8475" w:type="dxa"/>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3"/>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 xml:space="preserve"> 2</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02</w:t>
            </w:r>
            <w:r>
              <w:rPr>
                <w:rFonts w:hint="eastAsia" w:ascii="宋体" w:hAnsi="宋体" w:eastAsia="宋体" w:cs="宋体"/>
                <w:highlight w:val="none"/>
              </w:rPr>
              <w:t>月</w:t>
            </w:r>
            <w:r>
              <w:rPr>
                <w:rFonts w:hint="eastAsia" w:ascii="宋体" w:hAnsi="宋体" w:cs="宋体"/>
                <w:highlight w:val="none"/>
                <w:lang w:val="en-US" w:eastAsia="zh-CN"/>
              </w:rPr>
              <w:t>08</w:t>
            </w:r>
            <w:bookmarkStart w:id="83" w:name="_GoBack"/>
            <w:bookmarkEnd w:id="83"/>
            <w:r>
              <w:rPr>
                <w:rFonts w:hint="eastAsia" w:ascii="宋体" w:hAnsi="宋体" w:eastAsia="宋体" w:cs="宋体"/>
                <w:highlight w:val="none"/>
              </w:rPr>
              <w:t>日</w:t>
            </w: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cs="宋体"/>
                <w:highlight w:val="none"/>
                <w:lang w:val="en-US" w:eastAsia="zh-CN"/>
              </w:rPr>
              <w:t>30</w:t>
            </w:r>
            <w:r>
              <w:rPr>
                <w:rFonts w:hint="eastAsia" w:ascii="宋体" w:hAnsi="宋体" w:cs="宋体"/>
                <w:highlight w:val="none"/>
                <w:lang w:eastAsia="zh-CN"/>
              </w:rPr>
              <w:t>分</w:t>
            </w:r>
            <w:r>
              <w:rPr>
                <w:rFonts w:hint="eastAsia" w:ascii="宋体" w:hAnsi="宋体" w:eastAsia="宋体" w:cs="宋体"/>
                <w:highlight w:val="none"/>
              </w:rPr>
              <w:t>（北京时间）</w:t>
            </w:r>
          </w:p>
          <w:p>
            <w:pPr>
              <w:pStyle w:val="23"/>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5</w:t>
            </w:r>
          </w:p>
        </w:tc>
        <w:tc>
          <w:tcPr>
            <w:tcW w:w="8475" w:type="dxa"/>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3"/>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3"/>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分之前不得启封”字样。</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3"/>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6</w:t>
            </w:r>
          </w:p>
        </w:tc>
        <w:tc>
          <w:tcPr>
            <w:tcW w:w="8475" w:type="dxa"/>
            <w:vAlign w:val="top"/>
          </w:tcPr>
          <w:p>
            <w:pPr>
              <w:pStyle w:val="23"/>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p>
          <w:p>
            <w:pPr>
              <w:pStyle w:val="23"/>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3"/>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7</w:t>
            </w:r>
          </w:p>
        </w:tc>
        <w:tc>
          <w:tcPr>
            <w:tcW w:w="8475" w:type="dxa"/>
            <w:vAlign w:val="top"/>
          </w:tcPr>
          <w:p>
            <w:pPr>
              <w:pStyle w:val="23"/>
              <w:kinsoku w:val="0"/>
              <w:overflowPunct w:val="0"/>
              <w:spacing w:before="56"/>
              <w:rPr>
                <w:rFonts w:hint="default" w:ascii="宋体" w:hAnsi="宋体" w:eastAsia="宋体" w:cs="宋体"/>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付款方式：</w:t>
            </w:r>
            <w:r>
              <w:rPr>
                <w:rFonts w:hint="eastAsia" w:ascii="宋体" w:hAnsi="宋体" w:cs="宋体"/>
                <w:b w:val="0"/>
                <w:bCs w:val="0"/>
                <w:color w:val="000000" w:themeColor="text1"/>
                <w:highlight w:val="none"/>
                <w:lang w:eastAsia="zh-CN"/>
                <w14:textFill>
                  <w14:solidFill>
                    <w14:schemeClr w14:val="tx1"/>
                  </w14:solidFill>
                </w14:textFill>
              </w:rPr>
              <w:t>签订项目实施合同后一周内支付</w:t>
            </w:r>
            <w:r>
              <w:rPr>
                <w:rFonts w:hint="eastAsia" w:ascii="宋体" w:hAnsi="宋体" w:cs="宋体"/>
                <w:b w:val="0"/>
                <w:bCs w:val="0"/>
                <w:color w:val="000000" w:themeColor="text1"/>
                <w:highlight w:val="none"/>
                <w:lang w:val="en-US" w:eastAsia="zh-CN"/>
                <w14:textFill>
                  <w14:solidFill>
                    <w14:schemeClr w14:val="tx1"/>
                  </w14:solidFill>
                </w14:textFill>
              </w:rPr>
              <w:t>30%首付款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8</w:t>
            </w:r>
          </w:p>
        </w:tc>
        <w:tc>
          <w:tcPr>
            <w:tcW w:w="8475" w:type="dxa"/>
            <w:vAlign w:val="top"/>
          </w:tcPr>
          <w:p>
            <w:pPr>
              <w:pStyle w:val="23"/>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9</w:t>
            </w:r>
          </w:p>
        </w:tc>
        <w:tc>
          <w:tcPr>
            <w:tcW w:w="8475" w:type="dxa"/>
            <w:vAlign w:val="top"/>
          </w:tcPr>
          <w:p>
            <w:pPr>
              <w:pStyle w:val="23"/>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3"/>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31</w:t>
            </w:r>
          </w:p>
        </w:tc>
        <w:tc>
          <w:tcPr>
            <w:tcW w:w="8475" w:type="dxa"/>
            <w:vAlign w:val="top"/>
          </w:tcPr>
          <w:p>
            <w:pPr>
              <w:pStyle w:val="23"/>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23"/>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32</w:t>
            </w:r>
          </w:p>
        </w:tc>
        <w:tc>
          <w:tcPr>
            <w:tcW w:w="8475" w:type="dxa"/>
            <w:vAlign w:val="top"/>
          </w:tcPr>
          <w:p>
            <w:pPr>
              <w:pStyle w:val="23"/>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33</w:t>
            </w:r>
          </w:p>
        </w:tc>
        <w:tc>
          <w:tcPr>
            <w:tcW w:w="8475" w:type="dxa"/>
            <w:vAlign w:val="top"/>
          </w:tcPr>
          <w:p>
            <w:pPr>
              <w:pStyle w:val="23"/>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7"/>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3"/>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3"/>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3"/>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哈密市博物馆</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宋体" w:hAnsi="宋体" w:eastAsia="宋体" w:cs="宋体"/>
          <w:color w:val="000000"/>
          <w:spacing w:val="4"/>
          <w:highlight w:val="none"/>
          <w:lang w:eastAsia="zh-CN"/>
        </w:rPr>
        <w:t>新疆成源项目管理咨询有限公司</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3"/>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3"/>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w:t>
      </w:r>
      <w:r>
        <w:rPr>
          <w:rFonts w:hint="eastAsia" w:ascii="宋体" w:hAnsi="宋体" w:eastAsia="宋体" w:cs="宋体"/>
          <w:bCs/>
          <w:color w:val="000000"/>
          <w:highlight w:val="none"/>
          <w:lang w:eastAsia="zh-CN"/>
        </w:rPr>
        <w:t>中标通知书</w:t>
      </w:r>
      <w:r>
        <w:rPr>
          <w:rFonts w:hint="eastAsia" w:ascii="宋体" w:hAnsi="宋体" w:eastAsia="宋体" w:cs="宋体"/>
          <w:bCs/>
          <w:color w:val="000000"/>
          <w:highlight w:val="none"/>
        </w:rPr>
        <w:t>》时须一次性付给采购代理单位采购代理服务费，招标代理服务费参照国家计委《招标代理服务收费管理暂行办法》(计价格﹝2002﹞1980 号)所规定取费。</w:t>
      </w:r>
    </w:p>
    <w:p>
      <w:pPr>
        <w:pStyle w:val="3"/>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3"/>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3"/>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招标投标管理办法》、《政府购买服务管理办法（暂行）》、《政府采购竞争性磋商采购方式管理暂行办法》和本项目采购人本级和上级财政部门政府采购有关规定的约束，其权利受到上述法律法规的保护。</w:t>
      </w:r>
    </w:p>
    <w:p>
      <w:pPr>
        <w:pStyle w:val="7"/>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3"/>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3"/>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3"/>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3"/>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日内可对竞争性磋商文件的内容提出质疑，招标采购单位按规定时间答复，超过时间的质疑将不予接受。</w:t>
      </w:r>
    </w:p>
    <w:p>
      <w:pPr>
        <w:pStyle w:val="7"/>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3"/>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3"/>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3"/>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3"/>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3"/>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3"/>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w:t>
      </w:r>
      <w:r>
        <w:rPr>
          <w:rFonts w:hint="eastAsia" w:ascii="宋体" w:hAnsi="宋体" w:eastAsia="宋体" w:cs="宋体"/>
          <w:spacing w:val="4"/>
          <w:highlight w:val="none"/>
          <w:lang w:val="en-US" w:eastAsia="zh-CN"/>
        </w:rPr>
        <w:t>3</w:t>
      </w:r>
      <w:r>
        <w:rPr>
          <w:rFonts w:hint="eastAsia" w:ascii="宋体" w:hAnsi="宋体" w:eastAsia="宋体" w:cs="宋体"/>
          <w:spacing w:val="4"/>
          <w:highlight w:val="none"/>
        </w:rPr>
        <w:t>年财务状况报告相关材料；</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3"/>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3"/>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3"/>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10000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eastAsia="zh-CN"/>
        </w:rPr>
        <w:t>壹万元</w:t>
      </w:r>
      <w:r>
        <w:rPr>
          <w:rFonts w:hint="eastAsia" w:ascii="宋体" w:hAnsi="宋体" w:eastAsia="宋体" w:cs="宋体"/>
          <w:kern w:val="0"/>
          <w:sz w:val="24"/>
          <w:szCs w:val="24"/>
          <w:highlight w:val="none"/>
        </w:rPr>
        <w:t>整）</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3"/>
        <w:kinsoku w:val="0"/>
        <w:overflowPunct w:val="0"/>
        <w:spacing w:before="130" w:line="355" w:lineRule="auto"/>
        <w:ind w:right="7"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新疆成源项目管理咨询有限公司</w:t>
      </w:r>
    </w:p>
    <w:p>
      <w:pPr>
        <w:pStyle w:val="3"/>
        <w:kinsoku w:val="0"/>
        <w:overflowPunct w:val="0"/>
        <w:spacing w:before="130" w:line="355" w:lineRule="auto"/>
        <w:ind w:right="7" w:firstLine="480" w:firstLineChars="200"/>
        <w:rPr>
          <w:rFonts w:hint="eastAsia" w:asciiTheme="minorEastAsia" w:hAnsiTheme="minorEastAsia" w:eastAsiaTheme="minorEastAsia" w:cstheme="minorEastAsia"/>
          <w:color w:val="auto"/>
          <w:sz w:val="24"/>
          <w:highlight w:val="none"/>
          <w:lang w:eastAsia="zh-CN"/>
        </w:rPr>
      </w:pPr>
      <w:r>
        <w:rPr>
          <w:rFonts w:hint="eastAsia" w:ascii="宋体" w:hAnsi="宋体" w:eastAsia="宋体" w:cs="宋体"/>
          <w:kern w:val="0"/>
          <w:sz w:val="24"/>
          <w:szCs w:val="24"/>
          <w:highlight w:val="none"/>
        </w:rPr>
        <w:t>开户银行：</w:t>
      </w:r>
      <w:r>
        <w:rPr>
          <w:rFonts w:hint="eastAsia" w:asciiTheme="minorEastAsia" w:hAnsiTheme="minorEastAsia" w:eastAsiaTheme="minorEastAsia" w:cstheme="minorEastAsia"/>
          <w:color w:val="auto"/>
          <w:sz w:val="24"/>
          <w:highlight w:val="none"/>
          <w:lang w:eastAsia="zh-CN"/>
        </w:rPr>
        <w:t>哈密市商业银行股份有限公司八一路支行</w:t>
      </w:r>
    </w:p>
    <w:p>
      <w:pPr>
        <w:pStyle w:val="3"/>
        <w:kinsoku w:val="0"/>
        <w:overflowPunct w:val="0"/>
        <w:spacing w:before="130" w:line="355" w:lineRule="auto"/>
        <w:ind w:right="7"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3"/>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3"/>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3"/>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二</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一</w:t>
      </w:r>
      <w:r>
        <w:rPr>
          <w:rFonts w:hint="eastAsia" w:ascii="宋体" w:hAnsi="宋体" w:eastAsia="宋体" w:cs="宋体"/>
          <w:highlight w:val="none"/>
        </w:rPr>
        <w:t>份。</w:t>
      </w:r>
    </w:p>
    <w:p>
      <w:pPr>
        <w:pStyle w:val="3"/>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3"/>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3"/>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7"/>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采购人可按本须知规定以修改补充通知的方式，酌情延长提交磋商响应性文件的截止时间。在此情况下，供应商的所有权利和义务以及供应商受制约的截止时间，均以延长后新的投标截止时间为准。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本次招标接受邮寄的磋商响应性文件。</w:t>
      </w:r>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3"/>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3"/>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7"/>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3"/>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3"/>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3"/>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3"/>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3"/>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3"/>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3"/>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如果磋商响应性文件没有实质性响应竞争性磋商文件的要求，评委会将予以拒绝。供应商不得通过修正或撤消不合要求的偏离或保留从而使其投标成为实质性响应的投标。</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7"/>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3"/>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3"/>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pStyle w:val="3"/>
        <w:tabs>
          <w:tab w:val="left" w:pos="1080"/>
        </w:tabs>
        <w:kinsoku w:val="0"/>
        <w:overflowPunct w:val="0"/>
        <w:spacing w:before="26" w:line="355" w:lineRule="auto"/>
        <w:ind w:right="234" w:firstLine="48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2.3</w:t>
      </w:r>
      <w:r>
        <w:rPr>
          <w:rFonts w:hint="eastAsia" w:ascii="宋体" w:hAnsi="宋体" w:eastAsia="宋体" w:cs="宋体"/>
          <w:highlight w:val="none"/>
        </w:rPr>
        <w:t xml:space="preserve"> </w:t>
      </w:r>
      <w:r>
        <w:rPr>
          <w:rFonts w:hint="eastAsia" w:ascii="宋体" w:hAnsi="宋体" w:eastAsia="宋体" w:cs="宋体"/>
          <w:sz w:val="24"/>
          <w:szCs w:val="24"/>
          <w:highlight w:val="none"/>
        </w:rPr>
        <w:t>中标结果在“新疆政府采购网” 上予以公告。同时向中标人发出中标通知书。</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7"/>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3"/>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3"/>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w:t>
      </w:r>
      <w:r>
        <w:rPr>
          <w:rFonts w:hint="eastAsia" w:ascii="宋体" w:hAnsi="宋体" w:eastAsia="宋体" w:cs="宋体"/>
          <w:highlight w:val="none"/>
          <w:lang w:eastAsia="zh-CN"/>
        </w:rPr>
        <w:t>民法典</w:t>
      </w:r>
      <w:r>
        <w:rPr>
          <w:rFonts w:hint="eastAsia" w:ascii="宋体" w:hAnsi="宋体" w:eastAsia="宋体" w:cs="宋体"/>
          <w:highlight w:val="none"/>
        </w:rPr>
        <w:t>》定金罚则及损害赔偿的原则处罚并办理。若由于中标单位的原因逾期未与采购人签订采购合同的，将视为放弃中标，取消其中标资格并将按照《中华人民共和国政府采购法》相关规定进行处理。</w:t>
      </w:r>
    </w:p>
    <w:p>
      <w:pPr>
        <w:pStyle w:val="3"/>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3"/>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在合同履行过程中，如发生合同纠纷，合同双方应按照《中华人民共和国</w:t>
      </w:r>
      <w:r>
        <w:rPr>
          <w:rFonts w:hint="eastAsia" w:ascii="宋体" w:hAnsi="宋体" w:eastAsia="宋体" w:cs="宋体"/>
          <w:highlight w:val="none"/>
          <w:lang w:eastAsia="zh-CN"/>
        </w:rPr>
        <w:t>民法典</w:t>
      </w:r>
      <w:r>
        <w:rPr>
          <w:rFonts w:hint="eastAsia" w:ascii="宋体" w:hAnsi="宋体" w:eastAsia="宋体" w:cs="宋体"/>
          <w:highlight w:val="none"/>
        </w:rPr>
        <w:t>》的有关规定进行处理。</w:t>
      </w:r>
    </w:p>
    <w:p>
      <w:pPr>
        <w:pStyle w:val="7"/>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3"/>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3"/>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3"/>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7"/>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3"/>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3"/>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3"/>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三）废标"/>
      <w:bookmarkEnd w:id="63"/>
      <w:bookmarkStart w:id="64" w:name="bookmark13"/>
      <w:bookmarkEnd w:id="64"/>
      <w:bookmarkStart w:id="65" w:name="bookmark14"/>
      <w:bookmarkEnd w:id="65"/>
      <w:bookmarkStart w:id="66" w:name="（十二）无效投标"/>
      <w:bookmarkEnd w:id="66"/>
      <w:r>
        <w:rPr>
          <w:rFonts w:hint="eastAsia" w:ascii="宋体" w:hAnsi="宋体" w:eastAsia="宋体" w:cs="宋体"/>
          <w:highlight w:val="none"/>
        </w:rPr>
        <w:t>影响评标程序正常进行，不得使用“评标办法”没有规定的 评审因素和标准进行评标。</w:t>
      </w:r>
    </w:p>
    <w:p>
      <w:pPr>
        <w:pStyle w:val="3"/>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7"/>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7"/>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7"/>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6"/>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spacing w:val="1"/>
          <w:highlight w:val="none"/>
        </w:rPr>
        <w:t>第三章评标办法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3人，为单数，其中技术、经济等方面的专家不少于成员总数的三分之二。磋商小组由有关技术、经济等方面的专家组成。</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3"/>
        <w:numPr>
          <w:ilvl w:val="0"/>
          <w:numId w:val="0"/>
        </w:numPr>
        <w:kinsoku w:val="0"/>
        <w:overflowPunct w:val="0"/>
        <w:spacing w:before="34" w:line="357" w:lineRule="auto"/>
        <w:ind w:right="126" w:rightChars="0" w:firstLine="480" w:firstLineChars="20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2.磋商小组由业主代表与专家库随机抽取的专家共3人组成，磋商小组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624" w:firstLineChars="2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 xml:space="preserve">1.1 </w:t>
      </w:r>
      <w:r>
        <w:rPr>
          <w:rFonts w:hint="eastAsia" w:ascii="宋体" w:hAnsi="宋体" w:eastAsia="宋体" w:cs="宋体"/>
          <w:b/>
          <w:bCs/>
          <w:color w:val="000000"/>
          <w:sz w:val="24"/>
          <w:szCs w:val="24"/>
          <w:highlight w:val="none"/>
          <w:lang w:eastAsia="zh-CN"/>
        </w:rPr>
        <w:t>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有关资格证明材料的证书、证件备查。</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Style w:val="3"/>
        <w:kinsoku w:val="0"/>
        <w:overflowPunct w:val="0"/>
        <w:spacing w:before="34" w:line="357" w:lineRule="auto"/>
        <w:ind w:right="126" w:firstLine="48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法人授权委托书和被授权人有效身份证（法人直接参加的需出示法人身份</w:t>
      </w:r>
      <w:r>
        <w:rPr>
          <w:rFonts w:hint="eastAsia" w:ascii="宋体" w:hAnsi="宋体" w:eastAsia="宋体" w:cs="宋体"/>
          <w:b/>
          <w:bCs/>
          <w:highlight w:val="none"/>
          <w:lang w:eastAsia="zh-CN"/>
        </w:rPr>
        <w:t>证明及身份</w:t>
      </w:r>
      <w:r>
        <w:rPr>
          <w:rFonts w:hint="eastAsia" w:ascii="宋体" w:hAnsi="宋体" w:eastAsia="宋体" w:cs="宋体"/>
          <w:b/>
          <w:bCs/>
          <w:highlight w:val="none"/>
        </w:rPr>
        <w:t>证原件）</w:t>
      </w:r>
      <w:r>
        <w:rPr>
          <w:rFonts w:hint="eastAsia" w:ascii="宋体" w:hAnsi="宋体" w:eastAsia="宋体" w:cs="宋体"/>
          <w:b/>
          <w:bCs/>
          <w:highlight w:val="none"/>
          <w:lang w:val="zh-CN" w:eastAsia="zh-CN"/>
        </w:rPr>
        <w:t>；</w:t>
      </w:r>
    </w:p>
    <w:p>
      <w:pPr>
        <w:pStyle w:val="3"/>
        <w:kinsoku w:val="0"/>
        <w:overflowPunct w:val="0"/>
        <w:spacing w:before="34" w:line="357" w:lineRule="auto"/>
        <w:ind w:right="126" w:firstLine="480"/>
        <w:rPr>
          <w:rFonts w:hint="eastAsia" w:ascii="宋体" w:hAnsi="宋体" w:eastAsia="宋体" w:cs="宋体"/>
          <w:b/>
          <w:bCs/>
          <w:highlight w:val="none"/>
          <w:lang w:eastAsia="zh-CN"/>
        </w:rPr>
      </w:pP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供应商为企业法人应提供合法有效的标识有统一社会信用代码的营业执照；事业法人应提供事业单位法人证书；其他组织应提供合法登记证明文件（加盖公章的</w:t>
      </w:r>
      <w:r>
        <w:rPr>
          <w:rFonts w:hint="eastAsia" w:ascii="宋体" w:hAnsi="宋体" w:eastAsia="宋体" w:cs="宋体"/>
          <w:b/>
          <w:bCs/>
          <w:highlight w:val="none"/>
          <w:lang w:val="en-US" w:eastAsia="zh-CN"/>
        </w:rPr>
        <w:t>A4复印件）</w:t>
      </w:r>
      <w:r>
        <w:rPr>
          <w:rFonts w:hint="eastAsia" w:ascii="宋体" w:hAnsi="宋体" w:eastAsia="宋体" w:cs="宋体"/>
          <w:b/>
          <w:bCs/>
          <w:highlight w:val="none"/>
          <w:lang w:val="zh-CN" w:eastAsia="zh-CN"/>
        </w:rPr>
        <w:t>；</w:t>
      </w:r>
    </w:p>
    <w:p>
      <w:pPr>
        <w:pStyle w:val="3"/>
        <w:kinsoku w:val="0"/>
        <w:overflowPunct w:val="0"/>
        <w:spacing w:before="34" w:line="357" w:lineRule="auto"/>
        <w:ind w:right="126" w:firstLine="480"/>
        <w:rPr>
          <w:rFonts w:hint="eastAsia" w:ascii="宋体" w:hAnsi="宋体" w:eastAsia="宋体" w:cs="宋体"/>
          <w:b/>
          <w:bCs/>
          <w:highlight w:val="none"/>
          <w:lang w:val="zh-CN"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lang w:val="zh-CN" w:eastAsia="zh-CN"/>
        </w:rPr>
        <w:t>供应商</w:t>
      </w:r>
      <w:r>
        <w:rPr>
          <w:rFonts w:hint="eastAsia" w:ascii="宋体" w:hAnsi="宋体" w:eastAsia="宋体" w:cs="宋体"/>
          <w:b/>
          <w:bCs/>
          <w:highlight w:val="none"/>
        </w:rPr>
        <w:t>提供近半年内已缴存的社会保障资金缴存单据或社保机构开具的社会保险参保缴费情况证明，依法不需要缴纳社会保障资金的投标人应提供相关文件证明</w:t>
      </w:r>
      <w:r>
        <w:rPr>
          <w:rFonts w:hint="eastAsia" w:ascii="宋体" w:hAnsi="宋体" w:eastAsia="宋体" w:cs="宋体"/>
          <w:b/>
          <w:bCs/>
          <w:highlight w:val="none"/>
          <w:lang w:eastAsia="zh-CN"/>
        </w:rPr>
        <w:t>（加盖公章的</w:t>
      </w:r>
      <w:r>
        <w:rPr>
          <w:rFonts w:hint="eastAsia" w:ascii="宋体" w:hAnsi="宋体" w:eastAsia="宋体" w:cs="宋体"/>
          <w:b/>
          <w:bCs/>
          <w:highlight w:val="none"/>
          <w:lang w:val="en-US" w:eastAsia="zh-CN"/>
        </w:rPr>
        <w:t>A4复印件</w:t>
      </w:r>
      <w:r>
        <w:rPr>
          <w:rFonts w:hint="eastAsia" w:ascii="宋体" w:hAnsi="宋体" w:eastAsia="宋体" w:cs="宋体"/>
          <w:b/>
          <w:bCs/>
          <w:highlight w:val="none"/>
          <w:lang w:eastAsia="zh-CN"/>
        </w:rPr>
        <w:t>）</w:t>
      </w:r>
      <w:r>
        <w:rPr>
          <w:rFonts w:hint="eastAsia" w:ascii="宋体" w:hAnsi="宋体" w:eastAsia="宋体" w:cs="宋体"/>
          <w:b/>
          <w:bCs/>
          <w:highlight w:val="none"/>
          <w:lang w:val="zh-CN" w:eastAsia="zh-CN"/>
        </w:rPr>
        <w:t>；</w:t>
      </w:r>
    </w:p>
    <w:p>
      <w:pPr>
        <w:pStyle w:val="3"/>
        <w:kinsoku w:val="0"/>
        <w:overflowPunct w:val="0"/>
        <w:spacing w:before="34" w:line="357" w:lineRule="auto"/>
        <w:ind w:right="126" w:firstLine="480"/>
        <w:rPr>
          <w:rFonts w:hint="eastAsia" w:ascii="宋体" w:hAnsi="宋体" w:eastAsia="宋体" w:cs="宋体"/>
          <w:b/>
          <w:bCs/>
          <w:highlight w:val="none"/>
          <w:lang w:val="zh-CN" w:eastAsia="zh-CN"/>
        </w:rPr>
      </w:pPr>
      <w:r>
        <w:rPr>
          <w:rFonts w:hint="eastAsia" w:ascii="宋体" w:hAnsi="宋体" w:eastAsia="宋体" w:cs="宋体"/>
          <w:b/>
          <w:bCs/>
          <w:highlight w:val="none"/>
          <w:lang w:val="en-US" w:eastAsia="zh-CN"/>
        </w:rPr>
        <w:t>4、</w:t>
      </w:r>
      <w:r>
        <w:rPr>
          <w:rFonts w:hint="eastAsia" w:ascii="宋体" w:hAnsi="宋体" w:eastAsia="宋体" w:cs="宋体"/>
          <w:b/>
          <w:bCs/>
          <w:highlight w:val="none"/>
          <w:lang w:eastAsia="zh-CN"/>
        </w:rPr>
        <w:t>供应商提供近</w:t>
      </w:r>
      <w:r>
        <w:rPr>
          <w:rFonts w:hint="eastAsia" w:ascii="宋体" w:hAnsi="宋体" w:eastAsia="宋体" w:cs="宋体"/>
          <w:b/>
          <w:bCs/>
          <w:highlight w:val="none"/>
          <w:lang w:val="en-US" w:eastAsia="zh-CN"/>
        </w:rPr>
        <w:t>2020年度</w:t>
      </w:r>
      <w:r>
        <w:rPr>
          <w:rFonts w:hint="eastAsia" w:ascii="宋体" w:hAnsi="宋体" w:eastAsia="宋体" w:cs="宋体"/>
          <w:b/>
          <w:bCs/>
          <w:highlight w:val="none"/>
          <w:lang w:eastAsia="zh-CN"/>
        </w:rPr>
        <w:t>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宋体" w:hAnsi="宋体" w:eastAsia="宋体" w:cs="宋体"/>
          <w:b/>
          <w:bCs/>
          <w:highlight w:val="none"/>
          <w:lang w:val="zh-CN" w:eastAsia="zh-CN"/>
        </w:rPr>
        <w:t>或基本开户银行出具的资信证明文件</w:t>
      </w:r>
      <w:r>
        <w:rPr>
          <w:rFonts w:hint="eastAsia" w:ascii="宋体" w:hAnsi="宋体" w:eastAsia="宋体" w:cs="宋体"/>
          <w:b/>
          <w:bCs/>
          <w:highlight w:val="none"/>
          <w:lang w:eastAsia="zh-CN"/>
        </w:rPr>
        <w:t>（加盖公章的</w:t>
      </w:r>
      <w:r>
        <w:rPr>
          <w:rFonts w:hint="eastAsia" w:ascii="宋体" w:hAnsi="宋体" w:eastAsia="宋体" w:cs="宋体"/>
          <w:b/>
          <w:bCs/>
          <w:highlight w:val="none"/>
          <w:lang w:val="en-US" w:eastAsia="zh-CN"/>
        </w:rPr>
        <w:t>A4复印件</w:t>
      </w:r>
      <w:r>
        <w:rPr>
          <w:rFonts w:hint="eastAsia" w:ascii="宋体" w:hAnsi="宋体" w:eastAsia="宋体" w:cs="宋体"/>
          <w:b/>
          <w:bCs/>
          <w:highlight w:val="none"/>
          <w:lang w:eastAsia="zh-CN"/>
        </w:rPr>
        <w:t>）</w:t>
      </w:r>
      <w:r>
        <w:rPr>
          <w:rFonts w:hint="eastAsia" w:ascii="宋体" w:hAnsi="宋体" w:eastAsia="宋体" w:cs="宋体"/>
          <w:b/>
          <w:bCs/>
          <w:highlight w:val="none"/>
          <w:lang w:val="zh-CN" w:eastAsia="zh-CN"/>
        </w:rPr>
        <w:t>；</w:t>
      </w:r>
    </w:p>
    <w:p>
      <w:pPr>
        <w:pStyle w:val="3"/>
        <w:kinsoku w:val="0"/>
        <w:overflowPunct w:val="0"/>
        <w:spacing w:before="34" w:line="357" w:lineRule="auto"/>
        <w:ind w:right="126" w:firstLine="48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w:t>
      </w:r>
      <w:r>
        <w:rPr>
          <w:rFonts w:hint="eastAsia" w:ascii="宋体" w:hAnsi="宋体" w:eastAsia="宋体" w:cs="宋体"/>
          <w:b/>
          <w:bCs/>
          <w:highlight w:val="none"/>
          <w:lang w:val="zh-CN" w:eastAsia="zh-CN"/>
        </w:rPr>
        <w:t>供应商</w:t>
      </w:r>
      <w:r>
        <w:rPr>
          <w:rFonts w:hint="eastAsia" w:ascii="宋体" w:hAnsi="宋体" w:eastAsia="宋体" w:cs="宋体"/>
          <w:b/>
          <w:bCs/>
          <w:highlight w:val="none"/>
        </w:rPr>
        <w:t>提供近半年内已缴纳的纳税证明或完税证明，纳税证明或完税证明上应有代收机构或税务机关的公章，依法免税的投标人应提供相关文件证明</w:t>
      </w:r>
      <w:r>
        <w:rPr>
          <w:rFonts w:hint="eastAsia" w:ascii="宋体" w:hAnsi="宋体" w:eastAsia="宋体" w:cs="宋体"/>
          <w:b/>
          <w:bCs/>
          <w:highlight w:val="none"/>
          <w:lang w:eastAsia="zh-CN"/>
        </w:rPr>
        <w:t>（加盖公章的</w:t>
      </w:r>
      <w:r>
        <w:rPr>
          <w:rFonts w:hint="eastAsia" w:ascii="宋体" w:hAnsi="宋体" w:eastAsia="宋体" w:cs="宋体"/>
          <w:b/>
          <w:bCs/>
          <w:highlight w:val="none"/>
          <w:lang w:val="en-US" w:eastAsia="zh-CN"/>
        </w:rPr>
        <w:t>A4复印件</w:t>
      </w:r>
      <w:r>
        <w:rPr>
          <w:rFonts w:hint="eastAsia" w:ascii="宋体" w:hAnsi="宋体" w:eastAsia="宋体" w:cs="宋体"/>
          <w:b/>
          <w:bCs/>
          <w:highlight w:val="none"/>
          <w:lang w:eastAsia="zh-CN"/>
        </w:rPr>
        <w:t>）</w:t>
      </w:r>
      <w:r>
        <w:rPr>
          <w:rFonts w:hint="eastAsia" w:ascii="宋体" w:hAnsi="宋体" w:eastAsia="宋体" w:cs="宋体"/>
          <w:b/>
          <w:bCs/>
          <w:highlight w:val="none"/>
        </w:rPr>
        <w:t>；</w:t>
      </w:r>
    </w:p>
    <w:p>
      <w:pPr>
        <w:pStyle w:val="3"/>
        <w:kinsoku w:val="0"/>
        <w:overflowPunct w:val="0"/>
        <w:spacing w:before="34" w:line="357" w:lineRule="auto"/>
        <w:ind w:right="126" w:firstLine="480"/>
        <w:rPr>
          <w:rFonts w:hint="eastAsia" w:ascii="宋体" w:hAnsi="宋体" w:eastAsia="宋体" w:cs="宋体"/>
          <w:b/>
          <w:bCs/>
          <w:highlight w:val="none"/>
          <w:lang w:val="zh-CN" w:eastAsia="zh-CN"/>
        </w:rPr>
      </w:pPr>
      <w:r>
        <w:rPr>
          <w:rFonts w:hint="eastAsia" w:ascii="宋体" w:hAnsi="宋体" w:eastAsia="宋体" w:cs="宋体"/>
          <w:b/>
          <w:bCs/>
          <w:highlight w:val="none"/>
          <w:lang w:val="en-US" w:eastAsia="zh-CN"/>
        </w:rPr>
        <w:t>6、</w:t>
      </w:r>
      <w:r>
        <w:rPr>
          <w:rFonts w:hint="eastAsia" w:ascii="宋体" w:hAnsi="宋体" w:eastAsia="宋体" w:cs="宋体"/>
          <w:b/>
          <w:bCs/>
          <w:highlight w:val="none"/>
          <w:lang w:val="zh-CN" w:eastAsia="zh-CN"/>
        </w:rPr>
        <w:t>提供保证金缴纳</w:t>
      </w:r>
      <w:r>
        <w:rPr>
          <w:rFonts w:hint="eastAsia" w:ascii="宋体" w:hAnsi="宋体" w:eastAsia="宋体" w:cs="宋体"/>
          <w:b/>
          <w:bCs/>
          <w:highlight w:val="none"/>
          <w:lang w:val="en-US" w:eastAsia="zh-CN"/>
        </w:rPr>
        <w:t>凭证(原件）</w:t>
      </w:r>
      <w:r>
        <w:rPr>
          <w:rFonts w:hint="eastAsia" w:ascii="宋体" w:hAnsi="宋体" w:eastAsia="宋体" w:cs="宋体"/>
          <w:b/>
          <w:bCs/>
          <w:highlight w:val="none"/>
          <w:lang w:val="zh-CN" w:eastAsia="zh-CN"/>
        </w:rPr>
        <w:t>；</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lang w:val="en-US" w:eastAsia="zh-CN"/>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宋体" w:hAnsi="宋体" w:eastAsia="宋体" w:cs="宋体"/>
          <w:b/>
          <w:bCs/>
          <w:highlight w:val="none"/>
        </w:rPr>
        <w:t>　</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val="0"/>
          <w:bCs w:val="0"/>
          <w:highlight w:val="none"/>
        </w:rPr>
        <w:t>备注：竞争性磋商文件涉及要求供应商在开标时所带的</w:t>
      </w:r>
      <w:r>
        <w:rPr>
          <w:rFonts w:hint="eastAsia" w:ascii="宋体" w:hAnsi="宋体" w:eastAsia="宋体" w:cs="宋体"/>
          <w:b w:val="0"/>
          <w:bCs w:val="0"/>
          <w:highlight w:val="none"/>
          <w:lang w:eastAsia="zh-CN"/>
        </w:rPr>
        <w:t>证件</w:t>
      </w:r>
      <w:r>
        <w:rPr>
          <w:rFonts w:hint="eastAsia" w:ascii="宋体" w:hAnsi="宋体" w:eastAsia="宋体" w:cs="宋体"/>
          <w:b w:val="0"/>
          <w:bCs w:val="0"/>
          <w:highlight w:val="none"/>
        </w:rPr>
        <w:t>，请供应商在开标现场一次性提供。供应商提交的所有证明文件及材料必须清晰、准确、真实、有效；对于不提供或提供不真实或虚假资料者按无效标处理。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（1）未按照招标文件的规定提交投标保证金的；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（2）投标文件未按招标文件要求签署、盖章的；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（3）不具备招标文件中规定的资格要求的；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（4）报价超过招标文件中规定的预算金额或者最高限价的；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（5）投标文件含有采购人不能接受的附加条件的；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（6）法律、法规和招标文件规定的其他无效情形；</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由磋商小组采用综合评分法对提交最终报价的供应商的响应文件和最终报价进行打分；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18"/>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3"/>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23"/>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3"/>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highlight w:val="none"/>
              </w:rPr>
              <w:t>（总分100分)</w:t>
            </w:r>
          </w:p>
        </w:tc>
        <w:tc>
          <w:tcPr>
            <w:tcW w:w="6603" w:type="dxa"/>
          </w:tcPr>
          <w:p>
            <w:pPr>
              <w:pStyle w:val="23"/>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评审价格：</w:t>
            </w:r>
            <w:r>
              <w:rPr>
                <w:rFonts w:hint="eastAsia" w:asciiTheme="minorEastAsia" w:hAnsiTheme="minorEastAsia" w:eastAsiaTheme="minorEastAsia" w:cstheme="minorEastAsia"/>
                <w:b/>
                <w:bCs/>
                <w:color w:val="auto"/>
                <w:sz w:val="21"/>
                <w:szCs w:val="21"/>
                <w:highlight w:val="none"/>
                <w:lang w:val="en-US" w:eastAsia="zh-CN"/>
              </w:rPr>
              <w:t>30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restart"/>
            <w:vAlign w:val="center"/>
          </w:tcPr>
          <w:p>
            <w:pPr>
              <w:pStyle w:val="23"/>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3"/>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3"/>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3"/>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50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3"/>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7" w:hRule="atLeast"/>
        </w:trPr>
        <w:tc>
          <w:tcPr>
            <w:tcW w:w="1684" w:type="dxa"/>
            <w:gridSpan w:val="2"/>
          </w:tcPr>
          <w:p>
            <w:pPr>
              <w:pStyle w:val="23"/>
              <w:jc w:val="both"/>
              <w:rPr>
                <w:rFonts w:hint="eastAsia" w:asciiTheme="minorEastAsia" w:hAnsiTheme="minorEastAsia" w:eastAsiaTheme="minorEastAsia" w:cstheme="minorEastAsia"/>
                <w:color w:val="auto"/>
                <w:sz w:val="21"/>
                <w:szCs w:val="21"/>
                <w:highlight w:val="none"/>
              </w:rPr>
            </w:pPr>
          </w:p>
          <w:p>
            <w:pPr>
              <w:pStyle w:val="23"/>
              <w:spacing w:before="10"/>
              <w:jc w:val="both"/>
              <w:rPr>
                <w:rFonts w:hint="eastAsia" w:asciiTheme="minorEastAsia" w:hAnsiTheme="minorEastAsia" w:eastAsiaTheme="minorEastAsia" w:cstheme="minorEastAsia"/>
                <w:color w:val="auto"/>
                <w:sz w:val="21"/>
                <w:szCs w:val="21"/>
                <w:highlight w:val="none"/>
              </w:rPr>
            </w:pPr>
          </w:p>
          <w:p>
            <w:pPr>
              <w:pStyle w:val="23"/>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23"/>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6603" w:type="dxa"/>
            <w:vAlign w:val="center"/>
          </w:tcPr>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满足磋商文件要求且最终报价最低的报价为评审基准价，其价格分为满分。其他满足磋商文件要求的供应商的价格分统一按照下列公式计算：</w:t>
            </w:r>
          </w:p>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评审价格分数=(评标基准价／投标报价)×30分</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投标人不得低于成本或市场价恶意竞标，评标委员会认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为投标人的报价明显低于其他通过符合性审查投标人的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报价，有可能影响产品质量或者不能诚信履约的，应当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要求其在评标现场合理的时间内提供书面说明，必要时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提交相关证明材料；投标人不能 证明其报价合理性的， </w:t>
            </w:r>
          </w:p>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b/>
                <w:color w:val="000000"/>
                <w:kern w:val="0"/>
                <w:sz w:val="24"/>
                <w:szCs w:val="24"/>
                <w:lang w:bidi="ar"/>
              </w:rPr>
              <w:t>评标委员会应当将其作为无效投标处理。</w:t>
            </w:r>
          </w:p>
        </w:tc>
        <w:tc>
          <w:tcPr>
            <w:tcW w:w="741" w:type="dxa"/>
            <w:vAlign w:val="center"/>
          </w:tcPr>
          <w:p>
            <w:pPr>
              <w:pStyle w:val="23"/>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3"/>
              <w:jc w:val="center"/>
              <w:rPr>
                <w:rFonts w:hint="eastAsia" w:asciiTheme="minorEastAsia" w:hAnsiTheme="minorEastAsia" w:eastAsiaTheme="minorEastAsia" w:cstheme="minorEastAsia"/>
                <w:color w:val="auto"/>
                <w:sz w:val="21"/>
                <w:szCs w:val="21"/>
                <w:highlight w:val="none"/>
              </w:rPr>
            </w:pPr>
          </w:p>
          <w:p>
            <w:pPr>
              <w:pStyle w:val="23"/>
              <w:spacing w:before="10"/>
              <w:jc w:val="center"/>
              <w:rPr>
                <w:rFonts w:hint="eastAsia" w:asciiTheme="minorEastAsia" w:hAnsiTheme="minorEastAsia" w:eastAsiaTheme="minorEastAsia" w:cstheme="minorEastAsia"/>
                <w:color w:val="auto"/>
                <w:sz w:val="21"/>
                <w:szCs w:val="21"/>
                <w:highlight w:val="none"/>
              </w:rPr>
            </w:pPr>
          </w:p>
          <w:p>
            <w:pPr>
              <w:pStyle w:val="23"/>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23"/>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20分</w:t>
            </w:r>
          </w:p>
        </w:tc>
        <w:tc>
          <w:tcPr>
            <w:tcW w:w="94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企业类似业绩</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pPr>
              <w:pStyle w:val="23"/>
              <w:spacing w:before="6" w:line="358" w:lineRule="exact"/>
              <w:ind w:right="79"/>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供应商提供近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2018年11月1日至投标文件递交截止日前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独立承担的</w:t>
            </w:r>
            <w:r>
              <w:rPr>
                <w:rFonts w:hint="eastAsia" w:asciiTheme="minorEastAsia" w:hAnsiTheme="minorEastAsia" w:eastAsiaTheme="minorEastAsia" w:cstheme="minorEastAsia"/>
                <w:color w:val="auto"/>
                <w:spacing w:val="-8"/>
                <w:sz w:val="21"/>
                <w:szCs w:val="21"/>
                <w:highlight w:val="none"/>
                <w:lang w:eastAsia="zh-CN"/>
              </w:rPr>
              <w:t>与本项目类似的</w:t>
            </w:r>
            <w:r>
              <w:rPr>
                <w:rFonts w:hint="eastAsia" w:asciiTheme="minorEastAsia" w:hAnsiTheme="minorEastAsia" w:eastAsiaTheme="minorEastAsia" w:cstheme="minorEastAsia"/>
                <w:color w:val="auto"/>
                <w:spacing w:val="-8"/>
                <w:sz w:val="21"/>
                <w:szCs w:val="21"/>
                <w:highlight w:val="none"/>
              </w:rPr>
              <w:t>业绩</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pacing w:val="-8"/>
                <w:sz w:val="21"/>
                <w:szCs w:val="21"/>
                <w:highlight w:val="none"/>
                <w:lang w:val="en-US" w:eastAsia="zh-CN"/>
              </w:rPr>
              <w:t>8</w:t>
            </w:r>
            <w:r>
              <w:rPr>
                <w:rFonts w:hint="eastAsia" w:asciiTheme="minorEastAsia" w:hAnsiTheme="minorEastAsia" w:eastAsiaTheme="minorEastAsia" w:cstheme="minorEastAsia"/>
                <w:color w:val="auto"/>
                <w:spacing w:val="-8"/>
                <w:sz w:val="21"/>
                <w:szCs w:val="21"/>
                <w:highlight w:val="none"/>
              </w:rPr>
              <w:t>分。</w:t>
            </w:r>
          </w:p>
          <w:p>
            <w:pPr>
              <w:pStyle w:val="23"/>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rPr>
              <w:t>业绩证明（以合同</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w:t>
            </w:r>
            <w:r>
              <w:rPr>
                <w:rFonts w:hint="eastAsia" w:asciiTheme="minorEastAsia" w:hAnsiTheme="minorEastAsia" w:eastAsiaTheme="minorEastAsia" w:cstheme="minorEastAsia"/>
                <w:color w:val="auto"/>
                <w:spacing w:val="-8"/>
                <w:sz w:val="21"/>
                <w:szCs w:val="21"/>
                <w:highlight w:val="none"/>
              </w:rPr>
              <w:t>为准，在投标文件中附合同扫描件</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中标通知书扫描件</w:t>
            </w:r>
            <w:r>
              <w:rPr>
                <w:rFonts w:hint="eastAsia" w:asciiTheme="minorEastAsia" w:hAnsiTheme="minorEastAsia" w:eastAsiaTheme="minorEastAsia" w:cstheme="minorEastAsia"/>
                <w:color w:val="auto"/>
                <w:spacing w:val="-8"/>
                <w:sz w:val="21"/>
                <w:szCs w:val="21"/>
                <w:highlight w:val="none"/>
              </w:rPr>
              <w:t>加盖单位公章，弄虚作假者取消其投标资格）</w:t>
            </w:r>
            <w:r>
              <w:rPr>
                <w:rFonts w:hint="eastAsia" w:asciiTheme="minorEastAsia" w:hAnsiTheme="minorEastAsia" w:eastAsiaTheme="minorEastAsia" w:cstheme="minorEastAsia"/>
                <w:color w:val="auto"/>
                <w:spacing w:val="-8"/>
                <w:sz w:val="21"/>
                <w:szCs w:val="21"/>
                <w:highlight w:val="none"/>
                <w:lang w:eastAsia="zh-CN"/>
              </w:rPr>
              <w:t>。</w:t>
            </w:r>
          </w:p>
        </w:tc>
        <w:tc>
          <w:tcPr>
            <w:tcW w:w="741" w:type="dxa"/>
            <w:vAlign w:val="center"/>
          </w:tcPr>
          <w:p>
            <w:pPr>
              <w:pStyle w:val="23"/>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w:t>
            </w:r>
          </w:p>
          <w:p>
            <w:pPr>
              <w:jc w:val="center"/>
              <w:rPr>
                <w:rFonts w:hint="eastAsia" w:asciiTheme="minorEastAsia" w:hAnsiTheme="minorEastAsia" w:eastAsiaTheme="minorEastAsia" w:cstheme="minorEastAsia"/>
                <w:highlight w:val="none"/>
              </w:rPr>
            </w:pPr>
          </w:p>
          <w:p>
            <w:pPr>
              <w:pStyle w:val="23"/>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6603" w:type="dxa"/>
            <w:vAlign w:val="center"/>
          </w:tcPr>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rPr>
              <w:t>提供的售后服务承诺（保修期内）全面，对服务内容承诺、响应方式、响应时间、备件供应准备及质量、售后服务点设置情况等进行详细说明及具体实施方法的；保修期外，能为客户提供良好质保期外的服务承诺。根据优良情况，</w:t>
            </w:r>
            <w:r>
              <w:rPr>
                <w:rFonts w:hint="eastAsia" w:asciiTheme="minorEastAsia" w:hAnsiTheme="minorEastAsia" w:eastAsiaTheme="minorEastAsia" w:cstheme="minorEastAsia"/>
                <w:color w:val="auto"/>
                <w:spacing w:val="-8"/>
                <w:sz w:val="21"/>
                <w:szCs w:val="21"/>
                <w:highlight w:val="none"/>
                <w:lang w:eastAsia="zh-CN"/>
              </w:rPr>
              <w:t>优得</w:t>
            </w:r>
            <w:r>
              <w:rPr>
                <w:rFonts w:hint="eastAsia" w:asciiTheme="minorEastAsia" w:hAnsiTheme="minorEastAsia" w:eastAsiaTheme="minorEastAsia" w:cstheme="minorEastAsia"/>
                <w:color w:val="auto"/>
                <w:spacing w:val="-8"/>
                <w:sz w:val="21"/>
                <w:szCs w:val="21"/>
                <w:highlight w:val="none"/>
                <w:lang w:val="en-US" w:eastAsia="zh-CN"/>
              </w:rPr>
              <w:t>6-10分，良得1-5分，</w:t>
            </w:r>
            <w:r>
              <w:rPr>
                <w:rFonts w:hint="eastAsia" w:asciiTheme="minorEastAsia" w:hAnsiTheme="minorEastAsia" w:eastAsiaTheme="minorEastAsia" w:cstheme="minorEastAsia"/>
                <w:color w:val="auto"/>
                <w:spacing w:val="-8"/>
                <w:sz w:val="21"/>
                <w:szCs w:val="21"/>
                <w:highlight w:val="none"/>
              </w:rPr>
              <w:t>未提供不得分；</w:t>
            </w:r>
          </w:p>
        </w:tc>
        <w:tc>
          <w:tcPr>
            <w:tcW w:w="741" w:type="dxa"/>
            <w:vAlign w:val="center"/>
          </w:tcPr>
          <w:p>
            <w:pPr>
              <w:pStyle w:val="23"/>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736" w:type="dxa"/>
            <w:vMerge w:val="continue"/>
            <w:vAlign w:val="center"/>
          </w:tcPr>
          <w:p>
            <w:pPr>
              <w:pStyle w:val="23"/>
              <w:spacing w:line="266" w:lineRule="exact"/>
              <w:ind w:right="96"/>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3"/>
              <w:jc w:val="center"/>
              <w:rPr>
                <w:rFonts w:hint="eastAsia" w:asciiTheme="minorEastAsia" w:hAnsiTheme="minorEastAsia" w:eastAsiaTheme="minorEastAsia" w:cstheme="minorEastAsia"/>
                <w:highlight w:val="none"/>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响应文件制作质量</w:t>
            </w:r>
          </w:p>
          <w:p>
            <w:pPr>
              <w:pStyle w:val="21"/>
              <w:ind w:left="0" w:leftChars="0" w:firstLine="0" w:firstLine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1"/>
                <w:szCs w:val="22"/>
                <w:highlight w:val="none"/>
                <w:lang w:val="en-US" w:eastAsia="zh-CN" w:bidi="ar-SA"/>
              </w:rPr>
              <w:t>（</w:t>
            </w:r>
            <w:r>
              <w:rPr>
                <w:rFonts w:hint="eastAsia" w:asciiTheme="minorEastAsia" w:hAnsiTheme="minorEastAsia" w:eastAsiaTheme="minorEastAsia" w:cstheme="minorEastAsia"/>
                <w:color w:val="auto"/>
                <w:kern w:val="0"/>
                <w:sz w:val="21"/>
                <w:szCs w:val="21"/>
                <w:highlight w:val="none"/>
                <w:lang w:val="en-US" w:eastAsia="zh-CN" w:bidi="ar-SA"/>
              </w:rPr>
              <w:t>2分</w:t>
            </w:r>
            <w:r>
              <w:rPr>
                <w:rFonts w:hint="eastAsia" w:asciiTheme="minorEastAsia" w:hAnsiTheme="minorEastAsia" w:eastAsiaTheme="minorEastAsia" w:cstheme="minorEastAsia"/>
                <w:kern w:val="2"/>
                <w:sz w:val="21"/>
                <w:szCs w:val="22"/>
                <w:highlight w:val="none"/>
                <w:lang w:val="en-US" w:eastAsia="zh-CN" w:bidi="ar-SA"/>
              </w:rPr>
              <w:t>）</w:t>
            </w:r>
          </w:p>
        </w:tc>
        <w:tc>
          <w:tcPr>
            <w:tcW w:w="6603" w:type="dxa"/>
            <w:vAlign w:val="center"/>
          </w:tcPr>
          <w:p>
            <w:pPr>
              <w:pStyle w:val="21"/>
              <w:spacing w:line="36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编制内容完整、齐全、叙述严谨、响应文件无涂改、错页、漏页现象，否则酌情扣分。</w:t>
            </w:r>
          </w:p>
        </w:tc>
        <w:tc>
          <w:tcPr>
            <w:tcW w:w="741" w:type="dxa"/>
            <w:vAlign w:val="center"/>
          </w:tcPr>
          <w:p>
            <w:pPr>
              <w:pStyle w:val="23"/>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5" w:hRule="atLeast"/>
        </w:trPr>
        <w:tc>
          <w:tcPr>
            <w:tcW w:w="736" w:type="dxa"/>
            <w:vMerge w:val="restart"/>
            <w:vAlign w:val="center"/>
          </w:tcPr>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部分</w:t>
            </w:r>
            <w:r>
              <w:rPr>
                <w:rFonts w:hint="eastAsia" w:asciiTheme="minorEastAsia" w:hAnsiTheme="minorEastAsia" w:eastAsiaTheme="minorEastAsia" w:cstheme="minorEastAsia"/>
                <w:highlight w:val="none"/>
                <w:lang w:val="en-US" w:eastAsia="zh-CN"/>
              </w:rPr>
              <w:t xml:space="preserve">   50</w:t>
            </w:r>
            <w:r>
              <w:rPr>
                <w:rFonts w:hint="eastAsia" w:asciiTheme="minorEastAsia" w:hAnsiTheme="minorEastAsia" w:eastAsiaTheme="minorEastAsia" w:cstheme="minorEastAsia"/>
                <w:highlight w:val="none"/>
              </w:rPr>
              <w:t>分</w:t>
            </w:r>
          </w:p>
        </w:tc>
        <w:tc>
          <w:tcPr>
            <w:tcW w:w="948" w:type="dxa"/>
            <w:vAlign w:val="center"/>
          </w:tcPr>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技术指标、参数</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rPr>
              <w:t>分）</w:t>
            </w:r>
          </w:p>
        </w:tc>
        <w:tc>
          <w:tcPr>
            <w:tcW w:w="6603" w:type="dxa"/>
            <w:vAlign w:val="center"/>
          </w:tcPr>
          <w:p>
            <w:pPr>
              <w:pStyle w:val="23"/>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技术指标、参数完全符合招标文件技术指标、参数要求的得10分，以此为基础，投标人技术指标、参数高于招标文件规定的相应技术指标、参数的，每有一项加1分，最高加5分。</w:t>
            </w:r>
            <w:r>
              <w:rPr>
                <w:rFonts w:hint="eastAsia" w:asciiTheme="minorEastAsia" w:hAnsiTheme="minorEastAsia" w:eastAsiaTheme="minorEastAsia" w:cstheme="minorEastAsia"/>
                <w:b/>
                <w:bCs/>
                <w:color w:val="auto"/>
                <w:kern w:val="0"/>
                <w:sz w:val="21"/>
                <w:szCs w:val="21"/>
                <w:highlight w:val="none"/>
                <w:lang w:val="en-US" w:eastAsia="zh-CN" w:bidi="ar-SA"/>
              </w:rPr>
              <w:t>（注：投标人需提供相关证明材料）</w:t>
            </w:r>
          </w:p>
        </w:tc>
        <w:tc>
          <w:tcPr>
            <w:tcW w:w="741" w:type="dxa"/>
            <w:vAlign w:val="center"/>
          </w:tcPr>
          <w:p>
            <w:pPr>
              <w:pStyle w:val="23"/>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总体</w:t>
            </w:r>
            <w:r>
              <w:rPr>
                <w:rFonts w:hint="eastAsia" w:asciiTheme="minorEastAsia" w:hAnsiTheme="minorEastAsia" w:eastAsiaTheme="minorEastAsia" w:cstheme="minorEastAsia"/>
                <w:highlight w:val="none"/>
                <w:lang w:val="en-US" w:eastAsia="zh-CN"/>
              </w:rPr>
              <w:t>实施</w:t>
            </w:r>
            <w:r>
              <w:rPr>
                <w:rFonts w:hint="eastAsia" w:asciiTheme="minorEastAsia" w:hAnsiTheme="minorEastAsia" w:eastAsiaTheme="minorEastAsia" w:cstheme="minorEastAsia"/>
                <w:highlight w:val="none"/>
              </w:rPr>
              <w:t>方案</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asciiTheme="minorEastAsia" w:hAnsiTheme="minorEastAsia" w:eastAsiaTheme="minorEastAsia" w:cstheme="minorEastAsia"/>
                <w:highlight w:val="none"/>
                <w:lang w:val="en-US" w:eastAsia="zh-CN"/>
              </w:rPr>
              <w:t>分）</w:t>
            </w:r>
          </w:p>
        </w:tc>
        <w:tc>
          <w:tcPr>
            <w:tcW w:w="6603" w:type="dxa"/>
            <w:vAlign w:val="center"/>
          </w:tcPr>
          <w:p>
            <w:pPr>
              <w:numPr>
                <w:ilvl w:val="0"/>
                <w:numId w:val="0"/>
              </w:numPr>
              <w:ind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kern w:val="0"/>
                <w:szCs w:val="21"/>
                <w:lang w:val="en-US" w:eastAsia="zh-CN"/>
              </w:rPr>
              <w:t>1.</w:t>
            </w:r>
            <w:r>
              <w:rPr>
                <w:rFonts w:hint="eastAsia" w:asciiTheme="minorEastAsia" w:hAnsiTheme="minorEastAsia" w:eastAsiaTheme="minorEastAsia" w:cstheme="minorEastAsia"/>
                <w:color w:val="000000"/>
                <w:kern w:val="0"/>
                <w:szCs w:val="21"/>
              </w:rPr>
              <w:t>投标人需提供整体的文物保护技术方案，评标专家根据方案的合理性、全面性、技术措施可行先进性，依据方案最能够解决馆内文物保存环境问题，进行综合评比，</w:t>
            </w:r>
            <w:r>
              <w:rPr>
                <w:rFonts w:hint="eastAsia" w:asciiTheme="minorEastAsia" w:hAnsiTheme="minorEastAsia" w:eastAsiaTheme="minorEastAsia" w:cstheme="minorEastAsia"/>
                <w:kern w:val="0"/>
                <w:szCs w:val="21"/>
              </w:rPr>
              <w:t>方案优秀得</w:t>
            </w:r>
            <w:r>
              <w:rPr>
                <w:rFonts w:hint="eastAsia" w:asciiTheme="minorEastAsia" w:hAnsiTheme="minorEastAsia" w:eastAsiaTheme="minorEastAsia" w:cstheme="minorEastAsia"/>
                <w:kern w:val="0"/>
                <w:szCs w:val="21"/>
                <w:lang w:val="en-US" w:eastAsia="zh-CN"/>
              </w:rPr>
              <w:t>7-10</w:t>
            </w:r>
            <w:r>
              <w:rPr>
                <w:rFonts w:hint="eastAsia" w:asciiTheme="minorEastAsia" w:hAnsiTheme="minorEastAsia" w:eastAsiaTheme="minorEastAsia" w:cstheme="minorEastAsia"/>
                <w:kern w:val="0"/>
                <w:szCs w:val="21"/>
              </w:rPr>
              <w:t>分，方案良得</w:t>
            </w:r>
            <w:r>
              <w:rPr>
                <w:rFonts w:hint="eastAsia" w:asciiTheme="minorEastAsia" w:hAnsiTheme="minorEastAsia" w:eastAsiaTheme="minorEastAsia" w:cstheme="minorEastAsia"/>
                <w:kern w:val="0"/>
                <w:szCs w:val="21"/>
                <w:lang w:val="en-US" w:eastAsia="zh-CN"/>
              </w:rPr>
              <w:t>3-6</w:t>
            </w:r>
            <w:r>
              <w:rPr>
                <w:rFonts w:hint="eastAsia" w:asciiTheme="minorEastAsia" w:hAnsiTheme="minorEastAsia" w:eastAsiaTheme="minorEastAsia" w:cstheme="minorEastAsia"/>
                <w:kern w:val="0"/>
                <w:szCs w:val="21"/>
              </w:rPr>
              <w:t>分，方案一般得</w:t>
            </w:r>
            <w:r>
              <w:rPr>
                <w:rFonts w:hint="eastAsia" w:asciiTheme="minorEastAsia" w:hAnsiTheme="minorEastAsia" w:eastAsiaTheme="minorEastAsia" w:cstheme="minorEastAsia"/>
                <w:kern w:val="0"/>
                <w:szCs w:val="21"/>
                <w:lang w:val="en-US" w:eastAsia="zh-CN"/>
              </w:rPr>
              <w:t>1-2</w:t>
            </w:r>
            <w:r>
              <w:rPr>
                <w:rFonts w:hint="eastAsia" w:asciiTheme="minorEastAsia" w:hAnsiTheme="minorEastAsia" w:eastAsiaTheme="minorEastAsia" w:cstheme="minorEastAsia"/>
                <w:kern w:val="0"/>
                <w:szCs w:val="21"/>
              </w:rPr>
              <w:t>分，方案差或未提供方案得0</w:t>
            </w:r>
            <w:r>
              <w:rPr>
                <w:rFonts w:hint="eastAsia" w:asciiTheme="minorEastAsia" w:hAnsiTheme="minorEastAsia" w:eastAsiaTheme="minorEastAsia" w:cstheme="minorEastAsia"/>
                <w:kern w:val="0"/>
                <w:szCs w:val="21"/>
                <w:lang w:eastAsia="zh-CN"/>
              </w:rPr>
              <w:t>分</w:t>
            </w:r>
          </w:p>
        </w:tc>
        <w:tc>
          <w:tcPr>
            <w:tcW w:w="741" w:type="dxa"/>
            <w:vAlign w:val="center"/>
          </w:tcPr>
          <w:p>
            <w:pPr>
              <w:pStyle w:val="23"/>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供货</w:t>
            </w:r>
            <w:r>
              <w:rPr>
                <w:rFonts w:hint="eastAsia" w:asciiTheme="minorEastAsia" w:hAnsiTheme="minorEastAsia" w:eastAsiaTheme="minorEastAsia" w:cstheme="minorEastAsia"/>
                <w:highlight w:val="none"/>
              </w:rPr>
              <w:t>方案（</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highlight w:val="none"/>
              </w:rPr>
              <w:t>分）</w:t>
            </w:r>
          </w:p>
        </w:tc>
        <w:tc>
          <w:tcPr>
            <w:tcW w:w="6603" w:type="dxa"/>
            <w:vAlign w:val="center"/>
          </w:tcPr>
          <w:p>
            <w:pPr>
              <w:pStyle w:val="23"/>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lang w:val="en-US" w:eastAsia="zh-CN" w:bidi="ar-SA"/>
              </w:rPr>
              <w:t xml:space="preserve">项目的交货、安装、调试、验收等实施方案的合理性、可靠性进行综合评分。方案优良的得5分，良好的得2-4分，一般的得1分 </w:t>
            </w:r>
          </w:p>
        </w:tc>
        <w:tc>
          <w:tcPr>
            <w:tcW w:w="741" w:type="dxa"/>
            <w:vAlign w:val="center"/>
          </w:tcPr>
          <w:p>
            <w:pPr>
              <w:pStyle w:val="23"/>
              <w:spacing w:before="6" w:line="358" w:lineRule="exact"/>
              <w:ind w:left="4" w:right="2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工作进度和服务质量控制措施</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asciiTheme="minorEastAsia" w:hAnsiTheme="minorEastAsia" w:eastAsiaTheme="minorEastAsia" w:cstheme="minorEastAsia"/>
                <w:highlight w:val="none"/>
              </w:rPr>
              <w:t>分</w:t>
            </w:r>
            <w:r>
              <w:rPr>
                <w:rFonts w:hint="eastAsia" w:asciiTheme="minorEastAsia" w:hAnsiTheme="minorEastAsia" w:eastAsiaTheme="minorEastAsia" w:cstheme="minorEastAsia"/>
                <w:highlight w:val="none"/>
                <w:lang w:eastAsia="zh-CN"/>
              </w:rPr>
              <w:t>）</w:t>
            </w:r>
          </w:p>
        </w:tc>
        <w:tc>
          <w:tcPr>
            <w:tcW w:w="6603" w:type="dxa"/>
            <w:vAlign w:val="center"/>
          </w:tcPr>
          <w:p>
            <w:pPr>
              <w:pStyle w:val="23"/>
              <w:spacing w:before="4" w:line="360" w:lineRule="auto"/>
              <w:ind w:left="4" w:right="12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本项目时间紧，任务重，</w:t>
            </w:r>
            <w:r>
              <w:rPr>
                <w:rFonts w:hint="eastAsia" w:asciiTheme="minorEastAsia" w:hAnsiTheme="minorEastAsia" w:eastAsiaTheme="minorEastAsia" w:cstheme="minorEastAsia"/>
                <w:color w:val="auto"/>
                <w:sz w:val="21"/>
                <w:szCs w:val="21"/>
                <w:highlight w:val="none"/>
              </w:rPr>
              <w:t>工作进度和服务质量控制措施</w:t>
            </w:r>
            <w:r>
              <w:rPr>
                <w:rFonts w:hint="eastAsia" w:asciiTheme="minorEastAsia" w:hAnsiTheme="minorEastAsia" w:eastAsiaTheme="minorEastAsia" w:cstheme="minorEastAsia"/>
                <w:color w:val="auto"/>
                <w:sz w:val="21"/>
                <w:szCs w:val="21"/>
                <w:highlight w:val="none"/>
                <w:lang w:eastAsia="zh-CN"/>
              </w:rPr>
              <w:t>均需</w:t>
            </w:r>
            <w:r>
              <w:rPr>
                <w:rFonts w:hint="eastAsia" w:asciiTheme="minorEastAsia" w:hAnsiTheme="minorEastAsia" w:eastAsiaTheme="minorEastAsia" w:cstheme="minorEastAsia"/>
                <w:color w:val="auto"/>
                <w:sz w:val="21"/>
                <w:szCs w:val="21"/>
                <w:highlight w:val="none"/>
              </w:rPr>
              <w:t>有力</w:t>
            </w:r>
            <w:r>
              <w:rPr>
                <w:rFonts w:hint="eastAsia" w:asciiTheme="minorEastAsia" w:hAnsiTheme="minorEastAsia" w:eastAsiaTheme="minorEastAsia" w:cstheme="minorEastAsia"/>
                <w:color w:val="auto"/>
                <w:sz w:val="21"/>
                <w:szCs w:val="21"/>
                <w:highlight w:val="none"/>
                <w:lang w:eastAsia="zh-CN"/>
              </w:rPr>
              <w:t>可行</w:t>
            </w:r>
            <w:r>
              <w:rPr>
                <w:rFonts w:hint="eastAsia" w:asciiTheme="minorEastAsia" w:hAnsiTheme="minorEastAsia" w:eastAsiaTheme="minorEastAsia" w:cstheme="minorEastAsia"/>
                <w:color w:val="auto"/>
                <w:sz w:val="21"/>
                <w:szCs w:val="21"/>
                <w:highlight w:val="none"/>
              </w:rPr>
              <w:t>，有针对性较强的</w:t>
            </w:r>
            <w:r>
              <w:rPr>
                <w:rFonts w:hint="eastAsia" w:asciiTheme="minorEastAsia" w:hAnsiTheme="minorEastAsia" w:eastAsiaTheme="minorEastAsia" w:cstheme="minorEastAsia"/>
                <w:color w:val="auto"/>
                <w:sz w:val="21"/>
                <w:szCs w:val="21"/>
                <w:highlight w:val="none"/>
                <w:lang w:eastAsia="zh-CN"/>
              </w:rPr>
              <w:t>工作进度保证体系和</w:t>
            </w:r>
            <w:r>
              <w:rPr>
                <w:rFonts w:hint="eastAsia" w:asciiTheme="minorEastAsia" w:hAnsiTheme="minorEastAsia" w:eastAsiaTheme="minorEastAsia" w:cstheme="minorEastAsia"/>
                <w:color w:val="auto"/>
                <w:sz w:val="21"/>
                <w:szCs w:val="21"/>
                <w:highlight w:val="none"/>
              </w:rPr>
              <w:t>质量保证体系</w:t>
            </w:r>
            <w:r>
              <w:rPr>
                <w:rFonts w:hint="eastAsia" w:asciiTheme="minorEastAsia" w:hAnsiTheme="minorEastAsia" w:eastAsiaTheme="minorEastAsia" w:cstheme="minorEastAsia"/>
                <w:color w:val="auto"/>
                <w:sz w:val="21"/>
                <w:szCs w:val="21"/>
                <w:highlight w:val="none"/>
                <w:lang w:eastAsia="zh-CN"/>
              </w:rPr>
              <w:t>：</w:t>
            </w:r>
          </w:p>
          <w:p>
            <w:pPr>
              <w:pStyle w:val="23"/>
              <w:spacing w:before="4" w:line="360" w:lineRule="auto"/>
              <w:ind w:left="4" w:right="12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 8-10 分；良好得 4-7 分；一般得 0-3 分。 </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kern w:val="0"/>
                <w:sz w:val="21"/>
                <w:szCs w:val="21"/>
                <w:lang w:val="en-US" w:eastAsia="zh-CN" w:bidi="ar-SA"/>
              </w:rPr>
              <w:t xml:space="preserve">交货期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分）</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lang w:val="en-US" w:eastAsia="zh-CN" w:bidi="ar-SA"/>
              </w:rPr>
              <w:t>交货期优于招标文件要求的，每提前2天加1分，本项最高得分不得超过5分。</w:t>
            </w:r>
            <w:r>
              <w:rPr>
                <w:rFonts w:hint="eastAsia" w:asciiTheme="minorEastAsia" w:hAnsiTheme="minorEastAsia" w:eastAsiaTheme="minorEastAsia" w:cstheme="minorEastAsia"/>
                <w:sz w:val="21"/>
                <w:szCs w:val="21"/>
                <w:highlight w:val="none"/>
              </w:rPr>
              <w:t xml:space="preserve"> </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6" w:hRule="atLeast"/>
        </w:trPr>
        <w:tc>
          <w:tcPr>
            <w:tcW w:w="736" w:type="dxa"/>
            <w:vMerge w:val="continue"/>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安全与应急预案</w:t>
            </w:r>
          </w:p>
          <w:p>
            <w:pPr>
              <w:pStyle w:val="21"/>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highlight w:val="none"/>
                <w:lang w:val="en-US" w:eastAsia="zh-CN"/>
              </w:rPr>
              <w:t>分）</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具有完善健全的安全保证措施及应急预案，应急预案需按照国家、地方政策及现状和有关规定进行编制，并满足本项目需求（项目执行应在疫情防控下进行，需符合各地疫情防控要求）。根据供应商所提供措施和预案的全面性、针对性、精细性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优4-5分；良 2-3 分；差 0-1；不提供者不得分。</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w:t>
            </w:r>
          </w:p>
        </w:tc>
      </w:tr>
    </w:tbl>
    <w:p>
      <w:pPr>
        <w:rPr>
          <w:rFonts w:hint="eastAsia" w:ascii="宋体" w:hAnsi="宋体" w:eastAsia="宋体" w:cs="宋体"/>
          <w:szCs w:val="24"/>
          <w:highlight w:val="none"/>
        </w:rPr>
      </w:pPr>
    </w:p>
    <w:p>
      <w:pPr>
        <w:pStyle w:val="3"/>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3"/>
        <w:kinsoku w:val="0"/>
        <w:overflowPunct w:val="0"/>
        <w:spacing w:before="34"/>
        <w:ind w:left="0"/>
        <w:jc w:val="both"/>
        <w:rPr>
          <w:rFonts w:hint="eastAsia" w:ascii="宋体" w:hAnsi="宋体" w:eastAsia="宋体" w:cs="宋体"/>
          <w:b/>
          <w:bCs/>
          <w:highlight w:val="none"/>
        </w:rPr>
      </w:pPr>
    </w:p>
    <w:p>
      <w:pPr>
        <w:pStyle w:val="3"/>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3"/>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3"/>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（2）为了有助于对投标进行审查、评估和比较，磋商小组有权向供应商质疑、供应商解释投标内容。供应商有责任按照磋商小组通知的时间、地点指派专人进行答疑、澄清、提供有关资质。</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3"/>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6"/>
        <w:numPr>
          <w:ilvl w:val="0"/>
          <w:numId w:val="3"/>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spacing w:val="1"/>
          <w:highlight w:val="none"/>
        </w:rPr>
        <w:t>磋商内容</w:t>
      </w:r>
      <w:bookmarkEnd w:id="71"/>
    </w:p>
    <w:p>
      <w:pPr>
        <w:jc w:val="center"/>
        <w:rPr>
          <w:rFonts w:hint="eastAsia" w:ascii="宋体" w:hAnsi="宋体" w:cs="宋体"/>
          <w:spacing w:val="1"/>
          <w:sz w:val="32"/>
          <w:szCs w:val="36"/>
          <w:highlight w:val="none"/>
          <w:lang w:eastAsia="zh-CN"/>
        </w:rPr>
      </w:pPr>
    </w:p>
    <w:p>
      <w:pPr>
        <w:jc w:val="center"/>
        <w:rPr>
          <w:rFonts w:hint="eastAsia" w:eastAsia="宋体"/>
          <w:b/>
          <w:bCs/>
          <w:sz w:val="32"/>
          <w:szCs w:val="36"/>
          <w:lang w:eastAsia="zh-CN"/>
        </w:rPr>
      </w:pPr>
      <w:bookmarkStart w:id="72" w:name="_Toc14342"/>
      <w:r>
        <w:rPr>
          <w:rFonts w:hint="eastAsia" w:ascii="宋体" w:hAnsi="宋体" w:cs="宋体"/>
          <w:b/>
          <w:bCs/>
          <w:spacing w:val="1"/>
          <w:sz w:val="32"/>
          <w:szCs w:val="36"/>
          <w:highlight w:val="none"/>
          <w:lang w:eastAsia="zh-CN"/>
        </w:rPr>
        <w:t>（技术要求）产品参数</w:t>
      </w:r>
    </w:p>
    <w:p>
      <w:pPr>
        <w:pStyle w:val="1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恒温恒湿储藏柜（抽板式）</w:t>
      </w:r>
    </w:p>
    <w:p>
      <w:pPr>
        <w:pStyle w:val="11"/>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一、结构功能：</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恒温恒湿储藏</w:t>
      </w:r>
      <w:r>
        <w:rPr>
          <w:rFonts w:hint="eastAsia" w:asciiTheme="minorEastAsia" w:hAnsiTheme="minorEastAsia" w:eastAsiaTheme="minorEastAsia" w:cstheme="minorEastAsia"/>
          <w:sz w:val="24"/>
          <w:szCs w:val="24"/>
        </w:rPr>
        <w:t>柜由柜体、</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湿单元、加湿单元和控制系统组成，</w:t>
      </w:r>
      <w:r>
        <w:rPr>
          <w:rFonts w:hint="eastAsia" w:asciiTheme="minorEastAsia" w:hAnsiTheme="minorEastAsia" w:eastAsiaTheme="minorEastAsia" w:cstheme="minorEastAsia"/>
          <w:sz w:val="24"/>
          <w:szCs w:val="24"/>
          <w:lang w:eastAsia="zh-CN"/>
        </w:rPr>
        <w:t>可以满足</w:t>
      </w:r>
      <w:r>
        <w:rPr>
          <w:rFonts w:hint="eastAsia" w:asciiTheme="minorEastAsia" w:hAnsiTheme="minorEastAsia" w:eastAsiaTheme="minorEastAsia" w:cstheme="minorEastAsia"/>
          <w:sz w:val="24"/>
          <w:szCs w:val="24"/>
        </w:rPr>
        <w:t>小件珍贵文物对保存环境的不同需求。</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柜体为左右隔离</w:t>
      </w:r>
      <w:r>
        <w:rPr>
          <w:rFonts w:hint="eastAsia" w:asciiTheme="minorEastAsia" w:hAnsiTheme="minorEastAsia" w:eastAsiaTheme="minorEastAsia" w:cstheme="minorEastAsia"/>
          <w:sz w:val="24"/>
          <w:szCs w:val="24"/>
        </w:rPr>
        <w:t>设计，</w:t>
      </w:r>
      <w:r>
        <w:rPr>
          <w:rFonts w:hint="eastAsia" w:asciiTheme="minorEastAsia" w:hAnsiTheme="minorEastAsia" w:eastAsiaTheme="minorEastAsia" w:cstheme="minorEastAsia"/>
          <w:sz w:val="24"/>
          <w:szCs w:val="24"/>
          <w:lang w:eastAsia="zh-CN"/>
        </w:rPr>
        <w:t>工作设备区</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eastAsia="zh-CN"/>
        </w:rPr>
        <w:t>储藏</w:t>
      </w:r>
      <w:r>
        <w:rPr>
          <w:rFonts w:hint="eastAsia" w:asciiTheme="minorEastAsia" w:hAnsiTheme="minorEastAsia" w:eastAsiaTheme="minorEastAsia" w:cstheme="minorEastAsia"/>
          <w:sz w:val="24"/>
          <w:szCs w:val="24"/>
        </w:rPr>
        <w:t>区多重隔离，保障藏品安全。将藏品放置在层板上，关闭柜门，柜内</w:t>
      </w:r>
      <w:r>
        <w:rPr>
          <w:rFonts w:hint="eastAsia" w:asciiTheme="minorEastAsia" w:hAnsiTheme="minorEastAsia" w:eastAsiaTheme="minorEastAsia" w:cstheme="minorEastAsia"/>
          <w:sz w:val="24"/>
          <w:szCs w:val="24"/>
          <w:lang w:eastAsia="zh-CN"/>
        </w:rPr>
        <w:t>储藏</w:t>
      </w:r>
      <w:r>
        <w:rPr>
          <w:rFonts w:hint="eastAsia" w:asciiTheme="minorEastAsia" w:hAnsiTheme="minorEastAsia" w:eastAsiaTheme="minorEastAsia" w:cstheme="minorEastAsia"/>
          <w:sz w:val="24"/>
          <w:szCs w:val="24"/>
        </w:rPr>
        <w:t>区就是单独微环境，通过控制系统和工作单元，平稳调控柜内温湿度环境。模拟藏品最佳存储温湿度环境，减少和减缓外部环境对文物的不利影响，提高文物保存保管能力。</w:t>
      </w:r>
    </w:p>
    <w:p>
      <w:pPr>
        <w:pStyle w:val="11"/>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二、功能特点：</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调控稳定柜内微环境的温湿度，模拟文物适宜保存环境。恒温恒湿储藏柜具有自动调节柜内温湿度功能，当储存柜温度低于设定温度时，升温模组运行工作；当储存柜温度高于设定温度时，降温模组运行工作；当储存柜湿度低于设定湿度时，加湿模组运行工作；当储藏柜湿度高于设定湿度时，抽湿模组运行工作。注入到柜内的空气会被净化过滤，还具备去除空气中的甲醛、硫化物、挥发性有机物等对物料有害物质。</w:t>
      </w:r>
    </w:p>
    <w:p>
      <w:pPr>
        <w:pStyle w:val="11"/>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设备初次通电使用时，需运行约4-6小时，才会达到设置值效果。</w:t>
      </w:r>
    </w:p>
    <w:p>
      <w:pPr>
        <w:pStyle w:val="11"/>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三、技术参数：</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1、整柜采用精密模具一次性冲压成型，</w:t>
      </w:r>
      <w:r>
        <w:rPr>
          <w:rFonts w:hint="eastAsia" w:asciiTheme="minorEastAsia" w:hAnsiTheme="minorEastAsia" w:eastAsiaTheme="minorEastAsia" w:cstheme="minorEastAsia"/>
          <w:sz w:val="24"/>
          <w:szCs w:val="24"/>
          <w:lang w:eastAsia="zh-CN"/>
        </w:rPr>
        <w:t>柜体及柜门</w:t>
      </w:r>
      <w:r>
        <w:rPr>
          <w:rFonts w:hint="eastAsia" w:asciiTheme="minorEastAsia" w:hAnsiTheme="minorEastAsia" w:eastAsiaTheme="minorEastAsia" w:cstheme="minorEastAsia"/>
          <w:sz w:val="24"/>
          <w:szCs w:val="24"/>
        </w:rPr>
        <w:t>保温层为50mm厚超密聚氨酯，</w:t>
      </w:r>
      <w:r>
        <w:rPr>
          <w:rFonts w:hint="eastAsia" w:asciiTheme="minorEastAsia" w:hAnsiTheme="minorEastAsia" w:eastAsiaTheme="minorEastAsia" w:cstheme="minorEastAsia"/>
          <w:sz w:val="24"/>
          <w:szCs w:val="24"/>
          <w:lang w:eastAsia="zh-CN"/>
        </w:rPr>
        <w:t>材质</w:t>
      </w:r>
      <w:r>
        <w:rPr>
          <w:rFonts w:hint="eastAsia" w:asciiTheme="minorEastAsia" w:hAnsiTheme="minorEastAsia" w:eastAsiaTheme="minorEastAsia" w:cstheme="minorEastAsia"/>
          <w:sz w:val="24"/>
          <w:szCs w:val="24"/>
        </w:rPr>
        <w:t>选用厚度≥0.8mm无指纹不锈钢</w:t>
      </w:r>
      <w:r>
        <w:rPr>
          <w:rFonts w:hint="eastAsia" w:asciiTheme="minorEastAsia" w:hAnsiTheme="minorEastAsia" w:eastAsiaTheme="minorEastAsia" w:cstheme="minorEastAsia"/>
          <w:sz w:val="24"/>
          <w:szCs w:val="24"/>
          <w:lang w:eastAsia="zh-CN"/>
        </w:rPr>
        <w:t>，整柜板面光滑、平装、端正、牢固</w:t>
      </w:r>
      <w:r>
        <w:rPr>
          <w:rFonts w:hint="eastAsia" w:asciiTheme="minorEastAsia" w:hAnsiTheme="minorEastAsia" w:eastAsiaTheme="minorEastAsia" w:cstheme="minorEastAsia"/>
          <w:sz w:val="24"/>
          <w:szCs w:val="24"/>
        </w:rPr>
        <w:t>；</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双开门，窗口式玻璃门</w:t>
      </w:r>
      <w:r>
        <w:rPr>
          <w:rFonts w:hint="eastAsia" w:asciiTheme="minorEastAsia" w:hAnsiTheme="minorEastAsia" w:eastAsiaTheme="minorEastAsia" w:cstheme="minorEastAsia"/>
          <w:sz w:val="24"/>
          <w:szCs w:val="24"/>
          <w:lang w:eastAsia="zh-CN"/>
        </w:rPr>
        <w:t>，柜门安装弧形拉手。柜体采用无直柱密封设计，门内侧安装</w:t>
      </w:r>
      <w:r>
        <w:rPr>
          <w:rFonts w:hint="eastAsia" w:asciiTheme="minorEastAsia" w:hAnsiTheme="minorEastAsia" w:eastAsiaTheme="minorEastAsia" w:cstheme="minorEastAsia"/>
          <w:sz w:val="24"/>
          <w:szCs w:val="24"/>
        </w:rPr>
        <w:t>双层耐高低温、防老化、硬化硅胶密封条；</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整柜</w:t>
      </w:r>
      <w:r>
        <w:rPr>
          <w:rFonts w:hint="eastAsia" w:asciiTheme="minorEastAsia" w:hAnsiTheme="minorEastAsia" w:eastAsiaTheme="minorEastAsia" w:cstheme="minorEastAsia"/>
          <w:sz w:val="24"/>
          <w:szCs w:val="24"/>
        </w:rPr>
        <w:t>采用</w:t>
      </w:r>
      <w:r>
        <w:rPr>
          <w:rFonts w:hint="eastAsia" w:asciiTheme="minorEastAsia" w:hAnsiTheme="minorEastAsia" w:eastAsiaTheme="minorEastAsia" w:cstheme="minorEastAsia"/>
          <w:sz w:val="24"/>
          <w:szCs w:val="24"/>
          <w:lang w:eastAsia="zh-CN"/>
        </w:rPr>
        <w:t>上下隔离</w:t>
      </w:r>
      <w:r>
        <w:rPr>
          <w:rFonts w:hint="eastAsia" w:asciiTheme="minorEastAsia" w:hAnsiTheme="minorEastAsia" w:eastAsiaTheme="minorEastAsia" w:cstheme="minorEastAsia"/>
          <w:sz w:val="24"/>
          <w:szCs w:val="24"/>
        </w:rPr>
        <w:t>设计，</w:t>
      </w:r>
      <w:r>
        <w:rPr>
          <w:rFonts w:hint="eastAsia" w:asciiTheme="minorEastAsia" w:hAnsiTheme="minorEastAsia" w:eastAsiaTheme="minorEastAsia" w:cstheme="minorEastAsia"/>
          <w:sz w:val="24"/>
          <w:szCs w:val="24"/>
          <w:lang w:eastAsia="zh-CN"/>
        </w:rPr>
        <w:t>下部为设备区域，上部为储藏区域（各自有独立空间结构）</w:t>
      </w:r>
      <w:r>
        <w:rPr>
          <w:rFonts w:hint="eastAsia" w:asciiTheme="minorEastAsia" w:hAnsiTheme="minorEastAsia" w:eastAsiaTheme="minorEastAsia" w:cstheme="minorEastAsia"/>
          <w:sz w:val="24"/>
          <w:szCs w:val="24"/>
        </w:rPr>
        <w:t>；</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4、柜内配备</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层</w:t>
      </w:r>
      <w:r>
        <w:rPr>
          <w:rFonts w:hint="eastAsia" w:asciiTheme="minorEastAsia" w:hAnsiTheme="minorEastAsia" w:eastAsiaTheme="minorEastAsia" w:cstheme="minorEastAsia"/>
          <w:sz w:val="24"/>
          <w:szCs w:val="24"/>
          <w:lang w:eastAsia="zh-CN"/>
        </w:rPr>
        <w:t>抽拉板，承重</w:t>
      </w:r>
      <w:r>
        <w:rPr>
          <w:rFonts w:hint="eastAsia" w:asciiTheme="minorEastAsia" w:hAnsiTheme="minorEastAsia" w:eastAsiaTheme="minorEastAsia" w:cstheme="minorEastAsia"/>
          <w:sz w:val="24"/>
          <w:szCs w:val="24"/>
          <w:lang w:val="en-US" w:eastAsia="zh-CN"/>
        </w:rPr>
        <w:t>80Kg\层</w:t>
      </w:r>
      <w:r>
        <w:rPr>
          <w:rFonts w:hint="eastAsia" w:asciiTheme="minorEastAsia" w:hAnsiTheme="minorEastAsia" w:eastAsiaTheme="minorEastAsia" w:cstheme="minorEastAsia"/>
          <w:sz w:val="24"/>
          <w:szCs w:val="24"/>
        </w:rPr>
        <w:t>；</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柜内安装</w:t>
      </w:r>
      <w:r>
        <w:rPr>
          <w:rFonts w:hint="eastAsia" w:asciiTheme="minorEastAsia" w:hAnsiTheme="minorEastAsia" w:eastAsiaTheme="minorEastAsia" w:cstheme="minorEastAsia"/>
          <w:sz w:val="24"/>
          <w:szCs w:val="24"/>
        </w:rPr>
        <w:t>耐温低噪音循环风机，强化柜内恒温恒湿</w:t>
      </w:r>
      <w:r>
        <w:rPr>
          <w:rFonts w:hint="eastAsia" w:asciiTheme="minorEastAsia" w:hAnsiTheme="minorEastAsia" w:eastAsiaTheme="minorEastAsia" w:cstheme="minorEastAsia"/>
          <w:sz w:val="24"/>
          <w:szCs w:val="24"/>
          <w:lang w:eastAsia="zh-CN"/>
        </w:rPr>
        <w:t>储藏</w:t>
      </w:r>
      <w:r>
        <w:rPr>
          <w:rFonts w:hint="eastAsia" w:asciiTheme="minorEastAsia" w:hAnsiTheme="minorEastAsia" w:eastAsiaTheme="minorEastAsia" w:cstheme="minorEastAsia"/>
          <w:sz w:val="24"/>
          <w:szCs w:val="24"/>
        </w:rPr>
        <w:t>效果；</w:t>
      </w:r>
    </w:p>
    <w:p>
      <w:pPr>
        <w:pStyle w:val="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设备区域与储藏区域</w:t>
      </w:r>
      <w:r>
        <w:rPr>
          <w:rFonts w:hint="eastAsia" w:asciiTheme="minorEastAsia" w:hAnsiTheme="minorEastAsia" w:eastAsiaTheme="minorEastAsia" w:cstheme="minorEastAsia"/>
          <w:sz w:val="24"/>
          <w:szCs w:val="24"/>
        </w:rPr>
        <w:t>通</w:t>
      </w:r>
      <w:r>
        <w:rPr>
          <w:rFonts w:hint="eastAsia" w:asciiTheme="minorEastAsia" w:hAnsiTheme="minorEastAsia" w:eastAsiaTheme="minorEastAsia" w:cstheme="minorEastAsia"/>
          <w:sz w:val="24"/>
          <w:szCs w:val="24"/>
          <w:lang w:eastAsia="zh-CN"/>
        </w:rPr>
        <w:t>过气管连通，将经抽湿单元处理过滤后的洁净气体注入到储藏区域，稳定柜内湿度；</w:t>
      </w:r>
    </w:p>
    <w:p>
      <w:pPr>
        <w:pStyle w:val="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设备区域正面安装七寸PLC彩色触摸屏，界面友好易操作，实时监测显示柜内温湿度数值、工作状态及年月日时间等，每</w:t>
      </w:r>
      <w:r>
        <w:rPr>
          <w:rFonts w:hint="eastAsia" w:asciiTheme="minorEastAsia" w:hAnsiTheme="minorEastAsia" w:eastAsiaTheme="minorEastAsia" w:cstheme="minorEastAsia"/>
          <w:sz w:val="24"/>
          <w:szCs w:val="24"/>
          <w:lang w:val="en-US" w:eastAsia="zh-CN"/>
        </w:rPr>
        <w:t>10s频次</w:t>
      </w:r>
      <w:r>
        <w:rPr>
          <w:rFonts w:hint="eastAsia" w:asciiTheme="minorEastAsia" w:hAnsiTheme="minorEastAsia" w:eastAsiaTheme="minorEastAsia" w:cstheme="minorEastAsia"/>
          <w:sz w:val="24"/>
          <w:szCs w:val="24"/>
          <w:lang w:eastAsia="zh-CN"/>
        </w:rPr>
        <w:t>自动存储记录温湿度历史数据，支持USB数据导出。</w:t>
      </w:r>
      <w:r>
        <w:rPr>
          <w:rFonts w:hint="eastAsia" w:asciiTheme="minorEastAsia" w:hAnsiTheme="minorEastAsia" w:eastAsiaTheme="minorEastAsia" w:cstheme="minorEastAsia"/>
          <w:sz w:val="24"/>
          <w:szCs w:val="24"/>
          <w:lang w:val="en-US" w:eastAsia="zh-CN"/>
        </w:rPr>
        <w:t>配备温湿度传感器，精准检索温湿度数值</w:t>
      </w:r>
      <w:r>
        <w:rPr>
          <w:rFonts w:hint="eastAsia" w:asciiTheme="minorEastAsia" w:hAnsiTheme="minorEastAsia" w:eastAsiaTheme="minorEastAsia" w:cstheme="minorEastAsia"/>
          <w:sz w:val="24"/>
          <w:szCs w:val="24"/>
          <w:lang w:eastAsia="zh-CN"/>
        </w:rPr>
        <w:t>；</w:t>
      </w:r>
    </w:p>
    <w:p>
      <w:pPr>
        <w:pStyle w:val="11"/>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8、灯光功能：柜内两侧安装LED照明灯条，受开/门动作控制，开门亮灯，关门熄灯，显控屏另设灯光控制开关；</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9、扩展功能，为实现设备后期智能化控制，设备可连接监测系统软件，对柜内的环境温湿度、运行情况做实时监控。能通过手机App软件远程查看设备工作状况，并进行远程设置（选配）；</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 xml:space="preserve">设备采用间歇性运行模式，渐变式温湿度调节，当柜内温湿度调控至设定参数，会进入待机状态，降低能源损耗； </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设备突发断电，系统会记忆设置参数，来电后自动按原设定参数运作工作；</w:t>
      </w:r>
    </w:p>
    <w:p>
      <w:pPr>
        <w:pStyle w:val="11"/>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外形尺寸：≥W</w:t>
      </w:r>
      <w:r>
        <w:rPr>
          <w:rFonts w:hint="eastAsia" w:asciiTheme="minorEastAsia" w:hAnsiTheme="minorEastAsia" w:eastAsiaTheme="minorEastAsia" w:cstheme="minorEastAsia"/>
          <w:b/>
          <w:bCs/>
          <w:sz w:val="24"/>
          <w:szCs w:val="24"/>
          <w:lang w:val="en-US" w:eastAsia="zh-CN"/>
        </w:rPr>
        <w:t>230</w:t>
      </w:r>
      <w:r>
        <w:rPr>
          <w:rFonts w:hint="eastAsia" w:asciiTheme="minorEastAsia" w:hAnsiTheme="minorEastAsia" w:eastAsiaTheme="minorEastAsia" w:cstheme="minorEastAsia"/>
          <w:b/>
          <w:bCs/>
          <w:sz w:val="24"/>
          <w:szCs w:val="24"/>
          <w:lang w:eastAsia="zh-CN"/>
        </w:rPr>
        <w:t>0×D7</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0×H19</w:t>
      </w:r>
      <w:r>
        <w:rPr>
          <w:rFonts w:hint="eastAsia" w:asciiTheme="minorEastAsia" w:hAnsiTheme="minorEastAsia" w:eastAsiaTheme="minorEastAsia" w:cstheme="minorEastAsia"/>
          <w:b/>
          <w:bCs/>
          <w:sz w:val="24"/>
          <w:szCs w:val="24"/>
          <w:lang w:val="en-US" w:eastAsia="zh-CN"/>
        </w:rPr>
        <w:t>0</w:t>
      </w:r>
      <w:r>
        <w:rPr>
          <w:rFonts w:hint="eastAsia" w:asciiTheme="minorEastAsia" w:hAnsiTheme="minorEastAsia" w:eastAsiaTheme="minorEastAsia" w:cstheme="minorEastAsia"/>
          <w:b/>
          <w:bCs/>
          <w:sz w:val="24"/>
          <w:szCs w:val="24"/>
          <w:lang w:eastAsia="zh-CN"/>
        </w:rPr>
        <w:t>0mm；</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13、内部尺寸：≥</w:t>
      </w:r>
      <w:r>
        <w:rPr>
          <w:rFonts w:hint="eastAsia" w:asciiTheme="minorEastAsia" w:hAnsiTheme="minorEastAsia" w:eastAsiaTheme="minorEastAsia" w:cstheme="minorEastAsia"/>
          <w:sz w:val="24"/>
          <w:szCs w:val="24"/>
          <w:lang w:eastAsia="zh-CN"/>
        </w:rPr>
        <w:t>W</w:t>
      </w:r>
      <w:r>
        <w:rPr>
          <w:rFonts w:hint="eastAsia" w:asciiTheme="minorEastAsia" w:hAnsiTheme="minorEastAsia" w:eastAsiaTheme="minorEastAsia" w:cstheme="minorEastAsia"/>
          <w:sz w:val="24"/>
          <w:szCs w:val="24"/>
          <w:lang w:val="en-US" w:eastAsia="zh-CN"/>
        </w:rPr>
        <w:t>170</w:t>
      </w:r>
      <w:r>
        <w:rPr>
          <w:rFonts w:hint="eastAsia" w:asciiTheme="minorEastAsia" w:hAnsiTheme="minorEastAsia" w:eastAsiaTheme="minorEastAsia" w:cstheme="minorEastAsia"/>
          <w:sz w:val="24"/>
          <w:szCs w:val="24"/>
          <w:lang w:eastAsia="zh-CN"/>
        </w:rPr>
        <w:t>0×D</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0×H1</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lang w:eastAsia="zh-CN"/>
        </w:rPr>
        <w:t>0mm；</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、使用环境：&lt;0℃~40℃，10%~80%RH；</w:t>
      </w:r>
    </w:p>
    <w:p>
      <w:pPr>
        <w:pStyle w:val="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、恒温可调范围：15~30℃，控制精度：±1℃，波动范围：±2℃</w:t>
      </w:r>
      <w:r>
        <w:rPr>
          <w:rFonts w:hint="eastAsia" w:asciiTheme="minorEastAsia" w:hAnsiTheme="minorEastAsia" w:eastAsiaTheme="minorEastAsia" w:cstheme="minorEastAsia"/>
          <w:sz w:val="24"/>
          <w:szCs w:val="24"/>
          <w:lang w:eastAsia="zh-CN"/>
        </w:rPr>
        <w:t>；</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、恒湿可调范围：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0%RH，控制精度：±2%，波动范围：±10%；</w:t>
      </w:r>
    </w:p>
    <w:p>
      <w:pPr>
        <w:pStyle w:val="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、降温单元：原装封闭式压缩机，电脑控制单级制冷系统；</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、升温单元：半导体加热主机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安全稳定的为系统提供热量；</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湿单元：并联两套</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湿系统，循环交替</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湿-再生模式，实现连续不间断</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湿以确保柜内湿度的稳定；</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、加湿单元：采用湿膜加湿，加湿过程不会有水雾现象；</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、控制方式：降温、升温、</w:t>
      </w:r>
      <w:r>
        <w:rPr>
          <w:rFonts w:hint="eastAsia" w:asciiTheme="minorEastAsia" w:hAnsiTheme="minorEastAsia" w:eastAsiaTheme="minorEastAsia" w:cstheme="minorEastAsia"/>
          <w:sz w:val="24"/>
          <w:szCs w:val="24"/>
          <w:lang w:eastAsia="zh-CN"/>
        </w:rPr>
        <w:t>抽</w:t>
      </w:r>
      <w:r>
        <w:rPr>
          <w:rFonts w:hint="eastAsia" w:asciiTheme="minorEastAsia" w:hAnsiTheme="minorEastAsia" w:eastAsiaTheme="minorEastAsia" w:cstheme="minorEastAsia"/>
          <w:sz w:val="24"/>
          <w:szCs w:val="24"/>
        </w:rPr>
        <w:t>湿、加湿一体智能调控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对控温和控湿功能设有开启/关闭开关</w:t>
      </w:r>
      <w:r>
        <w:rPr>
          <w:rFonts w:hint="eastAsia" w:asciiTheme="minorEastAsia" w:hAnsiTheme="minorEastAsia" w:eastAsiaTheme="minorEastAsia" w:cstheme="minorEastAsia"/>
          <w:sz w:val="24"/>
          <w:szCs w:val="24"/>
          <w:lang w:eastAsia="zh-CN"/>
        </w:rPr>
        <w:t>，一机多用</w:t>
      </w:r>
      <w:r>
        <w:rPr>
          <w:rFonts w:hint="eastAsia" w:asciiTheme="minorEastAsia" w:hAnsiTheme="minorEastAsia" w:eastAsiaTheme="minorEastAsia" w:cstheme="minorEastAsia"/>
          <w:sz w:val="24"/>
          <w:szCs w:val="24"/>
        </w:rPr>
        <w:t>；</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lang w:eastAsia="zh-CN"/>
        </w:rPr>
        <w:t>柜</w:t>
      </w:r>
      <w:r>
        <w:rPr>
          <w:rFonts w:hint="eastAsia" w:asciiTheme="minorEastAsia" w:hAnsiTheme="minorEastAsia" w:eastAsiaTheme="minorEastAsia" w:cstheme="minorEastAsia"/>
          <w:sz w:val="24"/>
          <w:szCs w:val="24"/>
        </w:rPr>
        <w:t>方便搬移，柜体底部安装</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组承重</w:t>
      </w:r>
      <w:r>
        <w:rPr>
          <w:rFonts w:hint="eastAsia" w:asciiTheme="minorEastAsia" w:hAnsiTheme="minorEastAsia" w:eastAsiaTheme="minorEastAsia" w:cstheme="minorEastAsia"/>
          <w:sz w:val="24"/>
          <w:szCs w:val="24"/>
          <w:lang w:eastAsia="zh-CN"/>
        </w:rPr>
        <w:t>脚轮</w:t>
      </w:r>
      <w:r>
        <w:rPr>
          <w:rFonts w:hint="eastAsia" w:asciiTheme="minorEastAsia" w:hAnsiTheme="minorEastAsia" w:eastAsiaTheme="minorEastAsia" w:cstheme="minorEastAsia"/>
          <w:sz w:val="24"/>
          <w:szCs w:val="24"/>
        </w:rPr>
        <w:t>，带刹车</w:t>
      </w:r>
      <w:r>
        <w:rPr>
          <w:rFonts w:hint="eastAsia" w:asciiTheme="minorEastAsia" w:hAnsiTheme="minorEastAsia" w:eastAsiaTheme="minorEastAsia" w:cstheme="minorEastAsia"/>
          <w:sz w:val="24"/>
          <w:szCs w:val="24"/>
          <w:lang w:eastAsia="zh-CN"/>
        </w:rPr>
        <w:t>脚杯</w:t>
      </w:r>
      <w:r>
        <w:rPr>
          <w:rFonts w:hint="eastAsia" w:asciiTheme="minorEastAsia" w:hAnsiTheme="minorEastAsia" w:eastAsiaTheme="minorEastAsia" w:cstheme="minorEastAsia"/>
          <w:sz w:val="24"/>
          <w:szCs w:val="24"/>
        </w:rPr>
        <w:t>；</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23、安全保护：高低压电路保护，电路短路保护，压缩机过载过热保护，柜内温度异常保护；</w:t>
      </w:r>
    </w:p>
    <w:p>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24、运行功率：峰值功率2600W，均值功率240W；</w:t>
      </w:r>
    </w:p>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、使用电源：220V 50Hz 10A。</w:t>
      </w:r>
    </w:p>
    <w:p>
      <w:pPr>
        <w:pStyle w:val="11"/>
        <w:rPr>
          <w:rFonts w:hint="eastAsia" w:asciiTheme="minorEastAsia" w:hAnsiTheme="minorEastAsia" w:eastAsiaTheme="minorEastAsia" w:cstheme="minorEastAsia"/>
          <w:b/>
          <w:bCs/>
          <w:color w:val="0000FF"/>
          <w:sz w:val="24"/>
          <w:szCs w:val="24"/>
          <w:lang w:val="en-US" w:eastAsia="zh-CN"/>
        </w:rPr>
      </w:pPr>
    </w:p>
    <w:p>
      <w:pPr>
        <w:rPr>
          <w:rFonts w:hint="eastAsia" w:asciiTheme="minorEastAsia" w:hAnsiTheme="minorEastAsia" w:eastAsiaTheme="minorEastAsia" w:cstheme="minorEastAsia"/>
          <w:color w:val="000000"/>
          <w:sz w:val="24"/>
          <w:szCs w:val="24"/>
          <w:highlight w:val="none"/>
          <w:lang w:val="en-US" w:eastAsia="zh-CN"/>
        </w:rPr>
      </w:pPr>
    </w:p>
    <w:p>
      <w:pPr>
        <w:jc w:val="center"/>
        <w:rPr>
          <w:rFonts w:hint="eastAsia" w:ascii="宋体" w:hAnsi="宋体" w:eastAsia="宋体" w:cs="宋体"/>
          <w:b/>
          <w:bCs/>
          <w:spacing w:val="1"/>
          <w:sz w:val="32"/>
          <w:szCs w:val="36"/>
          <w:highlight w:val="none"/>
          <w:lang w:val="en-US" w:eastAsia="zh-CN"/>
        </w:rPr>
      </w:pPr>
      <w:r>
        <w:rPr>
          <w:rFonts w:hint="eastAsia" w:ascii="宋体" w:hAnsi="宋体" w:eastAsia="宋体" w:cs="宋体"/>
          <w:b/>
          <w:bCs/>
          <w:spacing w:val="1"/>
          <w:sz w:val="32"/>
          <w:szCs w:val="36"/>
          <w:highlight w:val="none"/>
          <w:lang w:val="en-US" w:eastAsia="zh-CN"/>
        </w:rPr>
        <w:t>商务要求</w:t>
      </w:r>
    </w:p>
    <w:p>
      <w:pPr>
        <w:pStyle w:val="11"/>
        <w:rPr>
          <w:rFonts w:hint="eastAsia"/>
          <w:lang w:val="en-US" w:eastAsia="zh-CN"/>
        </w:rPr>
      </w:pP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1、合同签订期：自中标通知书发出之日起30日内</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2、其他要求</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报价要求：报价为总价包干，包括：</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①货物的价格；</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②必要的保险费用和各项税金；</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③设计、搭建、劳务、管理、物料、运输、政策性文件规定及合同包含的应有风险、责任等其他应有费用；</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④完成本项目过程中可预见的和不可预见的一切费用。</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付款方式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①合同签订后一周内内支付合同总额的30%</w:t>
      </w:r>
    </w:p>
    <w:p>
      <w:pPr>
        <w:pStyle w:val="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②付款前，成交供应商须提供合法的当届结算金额全额增值税发票并经采购人财务审核后方可付款。</w:t>
      </w:r>
    </w:p>
    <w:p>
      <w:pPr>
        <w:pStyle w:val="6"/>
        <w:jc w:val="both"/>
        <w:rPr>
          <w:rFonts w:hint="eastAsia" w:ascii="宋体" w:hAnsi="宋体" w:eastAsia="宋体" w:cs="宋体"/>
          <w:color w:val="000000" w:themeColor="text1"/>
          <w:highlight w:val="none"/>
          <w14:textFill>
            <w14:solidFill>
              <w14:schemeClr w14:val="tx1"/>
            </w14:solidFill>
          </w14:textFill>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11"/>
        <w:rPr>
          <w:rFonts w:hint="eastAsia" w:ascii="宋体" w:hAnsi="宋体" w:eastAsia="宋体" w:cs="宋体"/>
          <w:highlight w:val="none"/>
          <w:lang w:eastAsia="zh-CN"/>
        </w:rPr>
      </w:pPr>
    </w:p>
    <w:p>
      <w:pPr>
        <w:pStyle w:val="11"/>
        <w:rPr>
          <w:rFonts w:hint="eastAsia" w:ascii="宋体" w:hAnsi="宋体" w:eastAsia="宋体" w:cs="宋体"/>
          <w:highlight w:val="none"/>
          <w:lang w:eastAsia="zh-CN"/>
        </w:rPr>
      </w:pPr>
    </w:p>
    <w:p>
      <w:pPr>
        <w:pStyle w:val="11"/>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7802880" cy="5463540"/>
            <wp:effectExtent l="0" t="0" r="7620" b="0"/>
            <wp:docPr id="134" name="图片 134" descr="图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图纸1"/>
                    <pic:cNvPicPr>
                      <a:picLocks noChangeAspect="1"/>
                    </pic:cNvPicPr>
                  </pic:nvPicPr>
                  <pic:blipFill>
                    <a:blip r:embed="rId13"/>
                    <a:stretch>
                      <a:fillRect/>
                    </a:stretch>
                  </pic:blipFill>
                  <pic:spPr>
                    <a:xfrm rot="5400000">
                      <a:off x="0" y="0"/>
                      <a:ext cx="7802880" cy="5463540"/>
                    </a:xfrm>
                    <a:prstGeom prst="rect">
                      <a:avLst/>
                    </a:prstGeom>
                  </pic:spPr>
                </pic:pic>
              </a:graphicData>
            </a:graphic>
          </wp:inline>
        </w:drawing>
      </w:r>
    </w:p>
    <w:p>
      <w:pPr>
        <w:pStyle w:val="6"/>
        <w:spacing w:line="240" w:lineRule="auto"/>
        <w:jc w:val="both"/>
        <w:rPr>
          <w:rFonts w:hint="eastAsia" w:ascii="宋体" w:hAnsi="宋体" w:eastAsia="宋体" w:cs="宋体"/>
          <w:highlight w:val="none"/>
          <w:lang w:eastAsia="zh-CN"/>
        </w:rPr>
      </w:pPr>
    </w:p>
    <w:p>
      <w:pPr>
        <w:pStyle w:val="6"/>
        <w:spacing w:line="240" w:lineRule="auto"/>
        <w:jc w:val="center"/>
        <w:rPr>
          <w:rFonts w:hint="eastAsia" w:ascii="宋体" w:hAnsi="宋体" w:eastAsia="宋体" w:cs="宋体"/>
          <w:highlight w:val="none"/>
          <w:lang w:eastAsia="zh-CN"/>
        </w:rPr>
      </w:pPr>
    </w:p>
    <w:p>
      <w:pPr>
        <w:spacing w:line="360" w:lineRule="auto"/>
        <w:ind w:firstLine="420" w:firstLineChars="200"/>
        <w:jc w:val="both"/>
        <w:rPr>
          <w:rFonts w:hint="eastAsia" w:ascii="宋体" w:hAnsi="宋体"/>
          <w:sz w:val="28"/>
          <w:szCs w:val="28"/>
          <w:lang w:val="en-US" w:eastAsia="zh-CN"/>
        </w:rPr>
      </w:pPr>
      <w:r>
        <w:rPr>
          <w:rFonts w:hint="eastAsia" w:ascii="宋体" w:hAnsi="宋体" w:eastAsia="宋体" w:cs="宋体"/>
          <w:highlight w:val="none"/>
          <w:lang w:eastAsia="zh-CN"/>
        </w:rPr>
        <w:drawing>
          <wp:inline distT="0" distB="0" distL="114300" distR="114300">
            <wp:extent cx="7810500" cy="5473700"/>
            <wp:effectExtent l="0" t="0" r="12700" b="7620"/>
            <wp:docPr id="137" name="图片 137" descr="图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图纸2"/>
                    <pic:cNvPicPr>
                      <a:picLocks noChangeAspect="1"/>
                    </pic:cNvPicPr>
                  </pic:nvPicPr>
                  <pic:blipFill>
                    <a:blip r:embed="rId14"/>
                    <a:stretch>
                      <a:fillRect/>
                    </a:stretch>
                  </pic:blipFill>
                  <pic:spPr>
                    <a:xfrm rot="5400000">
                      <a:off x="0" y="0"/>
                      <a:ext cx="7810500" cy="5473700"/>
                    </a:xfrm>
                    <a:prstGeom prst="rect">
                      <a:avLst/>
                    </a:prstGeom>
                  </pic:spPr>
                </pic:pic>
              </a:graphicData>
            </a:graphic>
          </wp:inline>
        </w:drawing>
      </w:r>
    </w:p>
    <w:p>
      <w:pPr>
        <w:pStyle w:val="6"/>
        <w:spacing w:line="360" w:lineRule="auto"/>
        <w:jc w:val="center"/>
        <w:rPr>
          <w:rFonts w:hint="eastAsia" w:ascii="宋体" w:hAnsi="宋体" w:eastAsia="宋体" w:cs="宋体"/>
          <w:highlight w:val="none"/>
          <w:lang w:eastAsia="zh-CN"/>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jc w:val="center"/>
        <w:rPr>
          <w:rFonts w:hint="eastAsia" w:ascii="宋体" w:hAnsi="宋体" w:eastAsia="宋体" w:cs="宋体"/>
          <w:highlight w:val="none"/>
        </w:rPr>
      </w:pPr>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1"/>
        <w:rPr>
          <w:rFonts w:hint="eastAsia" w:ascii="宋体" w:hAnsi="宋体" w:cs="宋体"/>
          <w:highlight w:val="none"/>
          <w:lang w:eastAsia="zh-CN"/>
        </w:rPr>
      </w:pPr>
    </w:p>
    <w:p>
      <w:pPr>
        <w:pStyle w:val="3"/>
        <w:spacing w:before="41" w:line="364" w:lineRule="auto"/>
        <w:ind w:left="0" w:leftChars="0" w:right="677" w:firstLine="0" w:firstLineChars="0"/>
        <w:rPr>
          <w:rFonts w:hint="eastAsia" w:ascii="宋体" w:eastAsiaTheme="minorEastAsia"/>
          <w:color w:val="auto"/>
          <w:sz w:val="24"/>
          <w:highlight w:val="none"/>
          <w:lang w:eastAsia="zh-CN"/>
        </w:rPr>
      </w:pPr>
      <w:r>
        <w:rPr>
          <w:rFonts w:hint="eastAsia" w:asciiTheme="minorEastAsia" w:hAnsiTheme="minorEastAsia" w:eastAsiaTheme="minorEastAsia" w:cstheme="minorEastAsia"/>
          <w:spacing w:val="-7"/>
          <w:sz w:val="24"/>
          <w:szCs w:val="24"/>
          <w:highlight w:val="none"/>
        </w:rPr>
        <w:t>本合同条款将作为中标合同的基础，具体合同内容在签订合同时由甲乙双方协商</w:t>
      </w:r>
      <w:r>
        <w:rPr>
          <w:rFonts w:hint="eastAsia" w:asciiTheme="minorEastAsia" w:hAnsiTheme="minorEastAsia" w:eastAsiaTheme="minorEastAsia" w:cstheme="minorEastAsia"/>
          <w:sz w:val="24"/>
          <w:szCs w:val="24"/>
          <w:highlight w:val="none"/>
        </w:rPr>
        <w:t>确定</w:t>
      </w:r>
      <w:r>
        <w:rPr>
          <w:rFonts w:hint="eastAsia" w:asciiTheme="minorEastAsia" w:hAnsiTheme="minorEastAsia" w:eastAsiaTheme="minorEastAsia" w:cstheme="minorEastAsia"/>
          <w:sz w:val="24"/>
          <w:szCs w:val="24"/>
          <w:highlight w:val="none"/>
          <w:lang w:eastAsia="zh-CN"/>
        </w:rPr>
        <w:t>。</w:t>
      </w:r>
    </w:p>
    <w:p>
      <w:pPr>
        <w:shd w:val="clear" w:color="auto" w:fill="auto"/>
        <w:spacing w:line="420" w:lineRule="exact"/>
        <w:ind w:firstLine="420" w:firstLineChars="200"/>
        <w:rPr>
          <w:rFonts w:hint="eastAsia" w:ascii="宋体" w:cs="宋体"/>
          <w:color w:val="auto"/>
          <w:szCs w:val="21"/>
          <w:highlight w:val="none"/>
        </w:rPr>
      </w:pPr>
      <w:bookmarkStart w:id="73" w:name="_Toc152045610"/>
      <w:bookmarkStart w:id="74" w:name="_Toc469495742"/>
      <w:bookmarkStart w:id="75" w:name="_Toc152042388"/>
      <w:bookmarkStart w:id="76" w:name="_Toc144974578"/>
      <w:bookmarkStart w:id="77" w:name="_Toc247085768"/>
      <w:bookmarkStart w:id="78" w:name="_Toc179632628"/>
      <w:bookmarkStart w:id="79" w:name="_Toc246996253"/>
      <w:bookmarkStart w:id="80" w:name="_Toc246996996"/>
      <w:bookmarkStart w:id="81" w:name="_Toc296602498"/>
      <w:r>
        <w:rPr>
          <w:rFonts w:hint="eastAsia" w:ascii="宋体" w:cs="宋体"/>
          <w:color w:val="auto"/>
          <w:szCs w:val="21"/>
          <w:highlight w:val="none"/>
        </w:rPr>
        <w:t>买    方：                                   卖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73"/>
      <w:bookmarkEnd w:id="74"/>
      <w:bookmarkEnd w:id="75"/>
      <w:bookmarkEnd w:id="76"/>
      <w:bookmarkEnd w:id="77"/>
      <w:bookmarkEnd w:id="78"/>
      <w:bookmarkEnd w:id="79"/>
      <w:bookmarkEnd w:id="80"/>
      <w:bookmarkEnd w:id="81"/>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9"/>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9"/>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要求的标的物。</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9"/>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9"/>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9"/>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17、履约保证金</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的约定提供相应的履约保证金，保证金的有效期应不低于合同有效期。</w:t>
      </w:r>
    </w:p>
    <w:p>
      <w:pPr>
        <w:pStyle w:val="9"/>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9"/>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9"/>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9"/>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9"/>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》之规定解释。</w:t>
      </w:r>
    </w:p>
    <w:p>
      <w:pPr>
        <w:pStyle w:val="3"/>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bookmarkStart w:id="82" w:name="_Toc8733"/>
    </w:p>
    <w:p>
      <w:pPr>
        <w:pStyle w:val="3"/>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82"/>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30"/>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30"/>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3"/>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3"/>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3"/>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报价一览表；</w:t>
      </w:r>
    </w:p>
    <w:p>
      <w:pPr>
        <w:pStyle w:val="3"/>
        <w:spacing w:before="0"/>
        <w:ind w:firstLine="240" w:firstLineChars="1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投标产品名称、数量、规格及报价明细表</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近三年</w:t>
      </w:r>
      <w:r>
        <w:rPr>
          <w:rFonts w:hint="eastAsia" w:ascii="宋体" w:hAnsi="宋体" w:eastAsia="宋体" w:cs="宋体"/>
          <w:highlight w:val="none"/>
        </w:rPr>
        <w:t>财务状况报告相关材料；</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rPr>
        <w:t>4）税收缴纳证明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3"/>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w:t>
      </w:r>
    </w:p>
    <w:p>
      <w:pPr>
        <w:pStyle w:val="3"/>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3"/>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3"/>
        <w:spacing w:before="0"/>
        <w:ind w:left="0" w:firstLine="480" w:firstLineChars="200"/>
        <w:rPr>
          <w:rFonts w:hint="eastAsia" w:ascii="宋体" w:hAnsi="宋体" w:eastAsia="宋体" w:cs="宋体"/>
          <w:highlight w:val="none"/>
        </w:rPr>
      </w:pPr>
    </w:p>
    <w:p>
      <w:pPr>
        <w:pStyle w:val="3"/>
        <w:spacing w:before="0"/>
        <w:ind w:left="0" w:firstLine="480" w:firstLineChars="200"/>
        <w:rPr>
          <w:rFonts w:hint="eastAsia" w:ascii="宋体" w:hAnsi="宋体" w:eastAsia="宋体" w:cs="宋体"/>
          <w:highlight w:val="none"/>
        </w:rPr>
      </w:pPr>
    </w:p>
    <w:p>
      <w:pPr>
        <w:pStyle w:val="3"/>
        <w:kinsoku w:val="0"/>
        <w:overflowPunct w:val="0"/>
        <w:spacing w:before="130" w:line="360" w:lineRule="exact"/>
        <w:ind w:left="119" w:right="6" w:firstLine="480"/>
        <w:rPr>
          <w:rFonts w:hint="eastAsia" w:ascii="宋体" w:hAnsi="宋体" w:eastAsia="宋体" w:cs="宋体"/>
          <w:spacing w:val="4"/>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3"/>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7"/>
        <w:ind w:left="0"/>
        <w:rPr>
          <w:rFonts w:hint="eastAsia" w:ascii="宋体" w:hAnsi="宋体" w:eastAsia="宋体" w:cs="宋体"/>
          <w:sz w:val="25"/>
          <w:szCs w:val="25"/>
          <w:highlight w:val="none"/>
        </w:rPr>
      </w:pPr>
    </w:p>
    <w:p>
      <w:pPr>
        <w:pStyle w:val="3"/>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3"/>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3"/>
        <w:kinsoku w:val="0"/>
        <w:overflowPunct w:val="0"/>
        <w:spacing w:before="12"/>
        <w:ind w:left="0"/>
        <w:rPr>
          <w:rFonts w:hint="eastAsia" w:ascii="宋体" w:hAnsi="宋体" w:eastAsia="宋体" w:cs="宋体"/>
          <w:sz w:val="4"/>
          <w:szCs w:val="4"/>
          <w:highlight w:val="none"/>
        </w:rPr>
      </w:pPr>
    </w:p>
    <w:p>
      <w:pPr>
        <w:pStyle w:val="3"/>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1"/>
        <w:ind w:left="0"/>
        <w:rPr>
          <w:rFonts w:hint="eastAsia" w:ascii="宋体" w:hAnsi="宋体" w:eastAsia="宋体" w:cs="宋体"/>
          <w:sz w:val="19"/>
          <w:szCs w:val="19"/>
          <w:highlight w:val="none"/>
        </w:rPr>
      </w:pPr>
    </w:p>
    <w:p>
      <w:pPr>
        <w:pStyle w:val="3"/>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7"/>
        <w:ind w:left="0"/>
        <w:rPr>
          <w:rFonts w:hint="eastAsia" w:ascii="宋体" w:hAnsi="宋体" w:eastAsia="宋体" w:cs="宋体"/>
          <w:sz w:val="20"/>
          <w:szCs w:val="20"/>
          <w:highlight w:val="none"/>
        </w:rPr>
      </w:pPr>
    </w:p>
    <w:p>
      <w:pPr>
        <w:pStyle w:val="3"/>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3"/>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3"/>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3"/>
        <w:kinsoku w:val="0"/>
        <w:overflowPunct w:val="0"/>
        <w:spacing w:before="7"/>
        <w:ind w:left="0"/>
        <w:rPr>
          <w:rFonts w:hint="eastAsia" w:ascii="宋体" w:hAnsi="宋体" w:eastAsia="宋体" w:cs="宋体"/>
          <w:sz w:val="22"/>
          <w:szCs w:val="22"/>
          <w:highlight w:val="none"/>
        </w:rPr>
      </w:pPr>
    </w:p>
    <w:p>
      <w:pPr>
        <w:pStyle w:val="3"/>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w:t>
      </w:r>
      <w:r>
        <w:rPr>
          <w:rFonts w:hint="eastAsia" w:ascii="宋体" w:hAnsi="宋体" w:eastAsia="宋体" w:cs="宋体"/>
          <w:b/>
          <w:highlight w:val="none"/>
          <w:lang w:eastAsia="zh-CN"/>
        </w:rPr>
        <w:t>另单独</w:t>
      </w:r>
      <w:r>
        <w:rPr>
          <w:rFonts w:hint="eastAsia" w:ascii="宋体" w:hAnsi="宋体" w:eastAsia="宋体" w:cs="宋体"/>
          <w:b/>
          <w:highlight w:val="none"/>
        </w:rPr>
        <w:t>递交一份。</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5"/>
        <w:ind w:left="0"/>
        <w:rPr>
          <w:rFonts w:hint="eastAsia" w:ascii="宋体" w:hAnsi="宋体" w:eastAsia="宋体" w:cs="宋体"/>
          <w:sz w:val="25"/>
          <w:szCs w:val="25"/>
          <w:highlight w:val="none"/>
        </w:rPr>
      </w:pPr>
    </w:p>
    <w:p>
      <w:pPr>
        <w:pStyle w:val="3"/>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3"/>
        <w:kinsoku w:val="0"/>
        <w:overflowPunct w:val="0"/>
        <w:spacing w:before="174"/>
        <w:rPr>
          <w:rFonts w:hint="eastAsia" w:ascii="宋体" w:hAnsi="宋体" w:eastAsia="宋体" w:cs="宋体"/>
          <w:b/>
          <w:bCs/>
          <w:spacing w:val="1"/>
          <w:sz w:val="21"/>
          <w:szCs w:val="21"/>
          <w:highlight w:val="none"/>
        </w:rPr>
      </w:pPr>
    </w:p>
    <w:p>
      <w:pPr>
        <w:pStyle w:val="3"/>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snapToGrid w:val="0"/>
        <w:ind w:firstLine="420" w:firstLineChars="200"/>
        <w:rPr>
          <w:rFonts w:ascii="仿宋" w:hAnsi="仿宋" w:eastAsia="仿宋"/>
          <w:b/>
          <w:color w:val="000000"/>
          <w:sz w:val="28"/>
          <w:szCs w:val="28"/>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3"/>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3"/>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0"/>
        <w:gridCol w:w="1011"/>
        <w:gridCol w:w="2748"/>
        <w:gridCol w:w="730"/>
        <w:gridCol w:w="16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exac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保证金缴纳方式</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noWrap w:val="0"/>
            <w:vAlign w:val="center"/>
          </w:tcPr>
          <w:p>
            <w:pPr>
              <w:jc w:val="center"/>
              <w:rPr>
                <w:rFonts w:hint="eastAsia" w:ascii="宋体" w:hAnsi="宋体" w:eastAsia="宋体" w:cs="宋体"/>
                <w:color w:val="000000"/>
                <w:sz w:val="24"/>
                <w:szCs w:val="24"/>
              </w:rPr>
            </w:pPr>
          </w:p>
        </w:tc>
        <w:tc>
          <w:tcPr>
            <w:tcW w:w="1011" w:type="dxa"/>
            <w:noWrap w:val="0"/>
            <w:vAlign w:val="center"/>
          </w:tcPr>
          <w:p>
            <w:pPr>
              <w:jc w:val="center"/>
              <w:rPr>
                <w:rFonts w:hint="eastAsia" w:ascii="宋体" w:hAnsi="宋体" w:eastAsia="宋体" w:cs="宋体"/>
                <w:color w:val="000000"/>
                <w:sz w:val="24"/>
                <w:szCs w:val="24"/>
              </w:rPr>
            </w:pPr>
          </w:p>
        </w:tc>
        <w:tc>
          <w:tcPr>
            <w:tcW w:w="2748" w:type="dxa"/>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投标总报价（元）</w:t>
            </w:r>
          </w:p>
        </w:tc>
        <w:tc>
          <w:tcPr>
            <w:tcW w:w="5469" w:type="dxa"/>
            <w:gridSpan w:val="5"/>
            <w:tcBorders>
              <w:bottom w:val="single" w:color="auto" w:sz="4" w:space="0"/>
            </w:tcBorders>
            <w:noWrap w:val="0"/>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w:t>
            </w:r>
          </w:p>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1.此表总报价是所有需采购人支付的金额总数，包括《磋商内容》要求的全部内容。</w:t>
      </w:r>
    </w:p>
    <w:p>
      <w:pPr>
        <w:spacing w:line="48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w:t>
      </w:r>
      <w:r>
        <w:rPr>
          <w:rFonts w:hint="eastAsia" w:ascii="宋体" w:hAnsi="宋体" w:cs="宋体"/>
          <w:kern w:val="0"/>
          <w:sz w:val="24"/>
          <w:szCs w:val="24"/>
          <w:highlight w:val="none"/>
          <w:lang w:eastAsia="zh-CN"/>
        </w:rPr>
        <w:t>所有</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3"/>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b/>
          <w:bCs/>
          <w:color w:val="FF0000"/>
          <w:highlight w:val="none"/>
        </w:rPr>
      </w:pPr>
      <w:r>
        <w:rPr>
          <w:rFonts w:hint="eastAsia" w:ascii="宋体" w:hAnsi="宋体" w:eastAsia="宋体" w:cs="宋体"/>
          <w:highlight w:val="none"/>
        </w:rPr>
        <w:br w:type="page"/>
      </w:r>
      <w:r>
        <w:rPr>
          <w:rFonts w:hint="eastAsia" w:ascii="宋体" w:hAnsi="宋体" w:eastAsia="宋体" w:cs="宋体"/>
          <w:b/>
          <w:bCs/>
          <w:color w:val="FF0000"/>
          <w:sz w:val="36"/>
          <w:szCs w:val="36"/>
          <w:highlight w:val="none"/>
          <w:lang w:eastAsia="zh-CN"/>
        </w:rPr>
        <w:t>报价一览表（最终报价）</w:t>
      </w:r>
    </w:p>
    <w:p>
      <w:pPr>
        <w:pStyle w:val="3"/>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3"/>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0"/>
        <w:gridCol w:w="1011"/>
        <w:gridCol w:w="2748"/>
        <w:gridCol w:w="730"/>
        <w:gridCol w:w="16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7" w:hRule="exac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保证金缴纳方式</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930" w:type="dxa"/>
            <w:noWrap w:val="0"/>
            <w:vAlign w:val="center"/>
          </w:tcPr>
          <w:p>
            <w:pPr>
              <w:jc w:val="center"/>
              <w:rPr>
                <w:rFonts w:hint="eastAsia" w:ascii="宋体" w:hAnsi="宋体" w:eastAsia="宋体" w:cs="宋体"/>
                <w:color w:val="000000"/>
                <w:sz w:val="24"/>
                <w:szCs w:val="24"/>
              </w:rPr>
            </w:pPr>
          </w:p>
        </w:tc>
        <w:tc>
          <w:tcPr>
            <w:tcW w:w="1011" w:type="dxa"/>
            <w:noWrap w:val="0"/>
            <w:vAlign w:val="center"/>
          </w:tcPr>
          <w:p>
            <w:pPr>
              <w:jc w:val="center"/>
              <w:rPr>
                <w:rFonts w:hint="eastAsia" w:ascii="宋体" w:hAnsi="宋体" w:eastAsia="宋体" w:cs="宋体"/>
                <w:color w:val="000000"/>
                <w:sz w:val="24"/>
                <w:szCs w:val="24"/>
              </w:rPr>
            </w:pPr>
          </w:p>
        </w:tc>
        <w:tc>
          <w:tcPr>
            <w:tcW w:w="2748" w:type="dxa"/>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投标总报价（元）</w:t>
            </w:r>
          </w:p>
        </w:tc>
        <w:tc>
          <w:tcPr>
            <w:tcW w:w="5469" w:type="dxa"/>
            <w:gridSpan w:val="5"/>
            <w:tcBorders>
              <w:bottom w:val="single" w:color="auto" w:sz="4" w:space="0"/>
            </w:tcBorders>
            <w:noWrap w:val="0"/>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w:t>
            </w:r>
          </w:p>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1.此表总报价是所有需采购人支付的金额总数，包括《磋商内容》要求的全部内容。</w:t>
      </w:r>
    </w:p>
    <w:p>
      <w:pPr>
        <w:spacing w:line="48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w:t>
      </w:r>
      <w:r>
        <w:rPr>
          <w:rFonts w:hint="eastAsia" w:ascii="宋体" w:hAnsi="宋体" w:cs="宋体"/>
          <w:kern w:val="0"/>
          <w:sz w:val="24"/>
          <w:szCs w:val="24"/>
          <w:highlight w:val="none"/>
          <w:lang w:eastAsia="zh-CN"/>
        </w:rPr>
        <w:t>所有</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964" w:firstLineChars="4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FF0000"/>
          <w:kern w:val="0"/>
          <w:sz w:val="24"/>
          <w:szCs w:val="24"/>
          <w:highlight w:val="none"/>
        </w:rPr>
        <w:t>3.</w:t>
      </w:r>
      <w:r>
        <w:rPr>
          <w:rFonts w:hint="eastAsia" w:ascii="宋体" w:hAnsi="宋体" w:cs="宋体"/>
          <w:b/>
          <w:bCs/>
          <w:color w:val="FF0000"/>
          <w:kern w:val="0"/>
          <w:sz w:val="24"/>
          <w:szCs w:val="24"/>
          <w:highlight w:val="none"/>
          <w:lang w:eastAsia="zh-CN"/>
        </w:rPr>
        <w:t>加盖供应商公章后，带到磋商地点，不随响应文件一同递交，开评标时开启二次报价时在现场递交，可以提前填好最终报价，也可现场填写最终报价。</w:t>
      </w:r>
    </w:p>
    <w:p>
      <w:pPr>
        <w:pStyle w:val="3"/>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7"/>
        <w:ind w:firstLine="725"/>
        <w:rPr>
          <w:rFonts w:hint="eastAsia" w:ascii="宋体" w:hAnsi="宋体" w:eastAsia="宋体" w:cs="宋体"/>
          <w:color w:val="000000"/>
        </w:rPr>
      </w:pPr>
    </w:p>
    <w:p>
      <w:pPr>
        <w:pStyle w:val="37"/>
        <w:ind w:firstLine="725"/>
        <w:rPr>
          <w:rFonts w:hint="eastAsia" w:ascii="宋体" w:hAnsi="宋体" w:eastAsia="宋体" w:cs="宋体"/>
          <w:color w:val="000000"/>
        </w:rPr>
      </w:pPr>
    </w:p>
    <w:p>
      <w:pPr>
        <w:pStyle w:val="37"/>
        <w:ind w:firstLine="725"/>
        <w:rPr>
          <w:rFonts w:hint="eastAsia" w:ascii="宋体" w:hAnsi="宋体" w:eastAsia="宋体" w:cs="宋体"/>
          <w:color w:val="000000"/>
        </w:rPr>
      </w:pPr>
    </w:p>
    <w:p>
      <w:pPr>
        <w:pStyle w:val="37"/>
        <w:ind w:firstLine="725"/>
        <w:rPr>
          <w:rFonts w:hint="eastAsia" w:ascii="宋体" w:hAnsi="宋体" w:eastAsia="宋体" w:cs="宋体"/>
          <w:color w:val="000000"/>
        </w:rPr>
      </w:pPr>
      <w:r>
        <w:rPr>
          <w:rFonts w:hint="eastAsia" w:ascii="宋体" w:hAnsi="宋体" w:eastAsia="宋体" w:cs="宋体"/>
          <w:color w:val="000000"/>
        </w:rPr>
        <w:t>投标产品名称、数量、规格及报价明细表</w:t>
      </w:r>
    </w:p>
    <w:p>
      <w:pPr>
        <w:pStyle w:val="38"/>
        <w:spacing w:after="160" w:afterLines="50"/>
        <w:ind w:left="0" w:lef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此表参照下表由各投标人按照招标货物内容、顺序编制填写，包括详细的产品配置清单数量、产地、价格、运杂费、产品品牌及生产厂家等内容。</w:t>
      </w:r>
    </w:p>
    <w:p>
      <w:pPr>
        <w:snapToGrid w:val="0"/>
        <w:spacing w:before="160" w:beforeLines="50"/>
        <w:ind w:firstLine="482" w:firstLineChars="200"/>
        <w:rPr>
          <w:rFonts w:hint="eastAsia" w:asciiTheme="minorEastAsia" w:hAnsiTheme="minorEastAsia" w:eastAsiaTheme="minorEastAsia" w:cstheme="minorEastAsia"/>
          <w:b/>
          <w:color w:val="000000"/>
          <w:sz w:val="24"/>
          <w:szCs w:val="24"/>
        </w:rPr>
      </w:pPr>
    </w:p>
    <w:tbl>
      <w:tblPr>
        <w:tblStyle w:val="18"/>
        <w:tblpPr w:leftFromText="180" w:rightFromText="180" w:vertAnchor="text" w:horzAnchor="page" w:tblpX="1609" w:tblpY="1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104"/>
        <w:gridCol w:w="573"/>
        <w:gridCol w:w="573"/>
        <w:gridCol w:w="808"/>
        <w:gridCol w:w="1400"/>
        <w:gridCol w:w="1171"/>
        <w:gridCol w:w="1171"/>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名 称</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品牌</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型号</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生产厂家</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数量（标明单位）</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单价（元）</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小计（元）</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（所投的全部货物、服务内容）</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运杂费（含保险）</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安装调试、培训费</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税费</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trPr>
        <w:tc>
          <w:tcPr>
            <w:tcW w:w="0" w:type="auto"/>
            <w:gridSpan w:val="2"/>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合计总价（元）</w:t>
            </w:r>
          </w:p>
        </w:tc>
        <w:tc>
          <w:tcPr>
            <w:tcW w:w="0" w:type="auto"/>
            <w:gridSpan w:val="7"/>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bl>
    <w:p>
      <w:pPr>
        <w:snapToGrid w:val="0"/>
        <w:spacing w:before="160" w:beforeLines="50"/>
        <w:ind w:firstLine="482" w:firstLineChars="200"/>
        <w:rPr>
          <w:rFonts w:hint="eastAsia" w:asciiTheme="minorEastAsia" w:hAnsiTheme="minorEastAsia" w:eastAsiaTheme="minorEastAsia" w:cstheme="minorEastAsia"/>
          <w:b/>
          <w:color w:val="000000"/>
          <w:sz w:val="24"/>
          <w:szCs w:val="24"/>
        </w:rPr>
      </w:pPr>
    </w:p>
    <w:p>
      <w:pPr>
        <w:snapToGrid w:val="0"/>
        <w:spacing w:before="160" w:beforeLines="50"/>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注明</w:t>
      </w:r>
      <w:r>
        <w:rPr>
          <w:rFonts w:hint="eastAsia" w:asciiTheme="minorEastAsia" w:hAnsiTheme="minorEastAsia" w:eastAsiaTheme="minorEastAsia" w:cstheme="minorEastAsia"/>
          <w:color w:val="000000"/>
          <w:sz w:val="24"/>
          <w:szCs w:val="24"/>
        </w:rPr>
        <w:t xml:space="preserve"> ：</w:t>
      </w:r>
    </w:p>
    <w:p>
      <w:pPr>
        <w:snapToGrid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1、如果按单价计算的结果与总价不一致，以单价为准修正总价。</w:t>
      </w:r>
    </w:p>
    <w:p>
      <w:pPr>
        <w:pStyle w:val="11"/>
        <w:snapToGrid w:val="0"/>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2、投标人须参照</w:t>
      </w:r>
      <w:r>
        <w:rPr>
          <w:rFonts w:hint="eastAsia" w:asciiTheme="minorEastAsia" w:hAnsiTheme="minorEastAsia" w:eastAsiaTheme="minorEastAsia" w:cstheme="minorEastAsia"/>
          <w:b/>
          <w:color w:val="000000"/>
          <w:sz w:val="24"/>
          <w:szCs w:val="24"/>
          <w:lang w:eastAsia="zh-CN"/>
        </w:rPr>
        <w:t>磋商内容</w:t>
      </w:r>
      <w:r>
        <w:rPr>
          <w:rFonts w:hint="eastAsia" w:asciiTheme="minorEastAsia" w:hAnsiTheme="minorEastAsia" w:eastAsiaTheme="minorEastAsia" w:cstheme="minorEastAsia"/>
          <w:b/>
          <w:color w:val="000000"/>
          <w:sz w:val="24"/>
          <w:szCs w:val="24"/>
        </w:rPr>
        <w:t>所列明的内容全部报价。如果不提供详细分项报价视为没有实质性响应招标文件。</w:t>
      </w:r>
    </w:p>
    <w:p>
      <w:pPr>
        <w:pStyle w:val="11"/>
        <w:snapToGrid w:val="0"/>
        <w:ind w:firstLine="120" w:firstLineChars="50"/>
        <w:jc w:val="center"/>
        <w:rPr>
          <w:rFonts w:hint="eastAsia" w:asciiTheme="minorEastAsia" w:hAnsiTheme="minorEastAsia" w:eastAsiaTheme="minorEastAsia" w:cstheme="minorEastAsia"/>
          <w:color w:val="000000"/>
          <w:sz w:val="24"/>
          <w:szCs w:val="24"/>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cs="宋体"/>
          <w:kern w:val="0"/>
          <w:sz w:val="24"/>
          <w:szCs w:val="24"/>
          <w:highlight w:val="none"/>
          <w:u w:val="none"/>
          <w:lang w:val="en-US" w:eastAsia="zh-CN"/>
        </w:rPr>
        <w:t xml:space="preserve">                               </w:t>
      </w:r>
      <w:r>
        <w:rPr>
          <w:rFonts w:hint="eastAsia" w:ascii="宋体" w:hAnsi="宋体" w:eastAsia="宋体" w:cs="宋体"/>
          <w:kern w:val="0"/>
          <w:sz w:val="24"/>
          <w:szCs w:val="24"/>
          <w:highlight w:val="none"/>
          <w:lang w:val="en-US" w:eastAsia="zh-CN" w:bidi="ar-SA"/>
        </w:rPr>
        <w:t xml:space="preserve">   日 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left="0" w:leftChars="0" w:right="126" w:firstLine="0" w:firstLine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投标</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3"/>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3"/>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3"/>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3、企业为小型或微型企业如不填写或填写不全，后果自行承担。</w:t>
      </w:r>
    </w:p>
    <w:p>
      <w:pPr>
        <w:pStyle w:val="3"/>
        <w:tabs>
          <w:tab w:val="left" w:pos="8227"/>
        </w:tabs>
        <w:kinsoku w:val="0"/>
        <w:overflowPunct w:val="0"/>
        <w:spacing w:before="0" w:line="381" w:lineRule="auto"/>
        <w:ind w:left="4027" w:right="118"/>
        <w:rPr>
          <w:rFonts w:hint="eastAsia" w:ascii="宋体" w:hAnsi="宋体" w:eastAsia="宋体" w:cs="宋体"/>
          <w:b/>
          <w:bCs/>
          <w:highlight w:val="none"/>
        </w:rPr>
      </w:pPr>
    </w:p>
    <w:p>
      <w:pPr>
        <w:pStyle w:val="3"/>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3"/>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3"/>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3"/>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3"/>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3"/>
        <w:kinsoku w:val="0"/>
        <w:overflowPunct w:val="0"/>
        <w:spacing w:before="5"/>
        <w:ind w:left="0"/>
        <w:rPr>
          <w:rFonts w:hint="eastAsia" w:ascii="宋体" w:hAnsi="宋体" w:eastAsia="宋体" w:cs="宋体"/>
          <w:b/>
          <w:bCs/>
          <w:sz w:val="6"/>
          <w:szCs w:val="6"/>
          <w:highlight w:val="none"/>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vAlign w:val="top"/>
          </w:tcPr>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pStyle w:val="23"/>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pStyle w:val="23"/>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rPr>
                <w:rFonts w:hint="eastAsia" w:ascii="宋体" w:hAnsi="宋体" w:eastAsia="宋体" w:cs="宋体"/>
                <w:b/>
                <w:bCs/>
                <w:highlight w:val="none"/>
              </w:rPr>
            </w:pPr>
          </w:p>
          <w:p>
            <w:pPr>
              <w:pStyle w:val="23"/>
              <w:kinsoku w:val="0"/>
              <w:overflowPunct w:val="0"/>
              <w:spacing w:before="1"/>
              <w:rPr>
                <w:rFonts w:hint="eastAsia" w:ascii="宋体" w:hAnsi="宋体" w:eastAsia="宋体" w:cs="宋体"/>
                <w:b/>
                <w:bCs/>
                <w:sz w:val="23"/>
                <w:szCs w:val="23"/>
                <w:highlight w:val="none"/>
              </w:rPr>
            </w:pPr>
          </w:p>
          <w:p>
            <w:pPr>
              <w:pStyle w:val="23"/>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bl>
    <w:p>
      <w:pPr>
        <w:pStyle w:val="3"/>
        <w:kinsoku w:val="0"/>
        <w:overflowPunct w:val="0"/>
        <w:spacing w:before="26" w:line="320" w:lineRule="auto"/>
        <w:ind w:left="1772" w:hanging="1640"/>
        <w:rPr>
          <w:rFonts w:hint="eastAsia" w:ascii="宋体" w:hAnsi="宋体" w:eastAsia="宋体" w:cs="宋体"/>
          <w:b/>
          <w:bCs/>
          <w:w w:val="95"/>
          <w:highlight w:val="none"/>
        </w:rPr>
      </w:pPr>
    </w:p>
    <w:p>
      <w:pPr>
        <w:pStyle w:val="3"/>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3"/>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（三）财务状况报告相关材料（复印件加盖单位公章）</w:t>
      </w:r>
    </w:p>
    <w:p>
      <w:pPr>
        <w:pStyle w:val="11"/>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2020年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numPr>
          <w:ilvl w:val="0"/>
          <w:numId w:val="0"/>
        </w:numPr>
        <w:spacing w:line="360" w:lineRule="auto"/>
        <w:ind w:firstLine="480" w:firstLineChars="20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11"/>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11"/>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3"/>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w:t>
      </w:r>
    </w:p>
    <w:p>
      <w:pPr>
        <w:pStyle w:val="11"/>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11"/>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11"/>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11"/>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1"/>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1"/>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具有履行合同所必需的专业技术能力，能够按时保质保量地完成招标文件所要求的的全部工作任务</w:t>
      </w:r>
      <w:r>
        <w:rPr>
          <w:rFonts w:hint="eastAsia" w:ascii="宋体" w:hAnsi="宋体" w:cs="宋体"/>
          <w:b/>
          <w:bCs/>
          <w:sz w:val="24"/>
          <w:szCs w:val="24"/>
          <w:highlight w:val="none"/>
          <w:lang w:val="en-US" w:eastAsia="zh-CN"/>
        </w:rPr>
        <w:t>（承诺书）格式自拟</w:t>
      </w:r>
      <w:r>
        <w:rPr>
          <w:rFonts w:hint="eastAsia" w:ascii="宋体" w:hAnsi="宋体" w:eastAsia="宋体" w:cs="宋体"/>
          <w:sz w:val="24"/>
          <w:szCs w:val="24"/>
          <w:highlight w:val="none"/>
          <w:lang w:val="en-US" w:eastAsia="zh-CN"/>
        </w:rPr>
        <w:t>；</w:t>
      </w:r>
    </w:p>
    <w:p>
      <w:pPr>
        <w:pStyle w:val="21"/>
        <w:ind w:firstLine="480"/>
        <w:rPr>
          <w:rFonts w:hint="eastAsia" w:ascii="宋体" w:hAnsi="宋体" w:eastAsia="宋体" w:cs="宋体"/>
          <w:sz w:val="24"/>
          <w:szCs w:val="24"/>
          <w:highlight w:val="none"/>
          <w:lang w:eastAsia="zh-CN"/>
        </w:rPr>
        <w:sectPr>
          <w:footerReference r:id="rId8"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sz w:val="24"/>
          <w:szCs w:val="24"/>
          <w:highlight w:val="none"/>
          <w:lang w:val="en-US" w:eastAsia="zh-CN"/>
        </w:rPr>
        <w:t>（3）</w:t>
      </w:r>
      <w:r>
        <w:rPr>
          <w:rFonts w:hint="eastAsia" w:ascii="宋体" w:hAnsi="宋体" w:cs="宋体"/>
          <w:b/>
          <w:bCs/>
          <w:sz w:val="24"/>
          <w:szCs w:val="24"/>
          <w:highlight w:val="none"/>
          <w:lang w:val="en-US" w:eastAsia="zh-CN"/>
        </w:rPr>
        <w:t>产品质保承诺书（格式自拟）</w:t>
      </w: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14"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89"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3"/>
        <w:kinsoku w:val="0"/>
        <w:overflowPunct w:val="0"/>
        <w:spacing w:before="34" w:line="357" w:lineRule="auto"/>
        <w:ind w:right="126" w:firstLine="480"/>
        <w:jc w:val="center"/>
        <w:rPr>
          <w:rFonts w:hint="eastAsia" w:ascii="宋体" w:hAnsi="宋体" w:eastAsia="宋体" w:cs="宋体"/>
          <w:sz w:val="18"/>
          <w:szCs w:val="18"/>
          <w:highlight w:val="none"/>
        </w:rPr>
      </w:pPr>
    </w:p>
    <w:p>
      <w:pPr>
        <w:pStyle w:val="3"/>
        <w:tabs>
          <w:tab w:val="left" w:pos="6736"/>
        </w:tabs>
        <w:kinsoku w:val="0"/>
        <w:overflowPunct w:val="0"/>
        <w:spacing w:before="26" w:line="337" w:lineRule="auto"/>
        <w:ind w:right="33" w:rightChars="0" w:firstLine="5355" w:firstLineChars="22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3"/>
        <w:tabs>
          <w:tab w:val="left" w:pos="6736"/>
        </w:tabs>
        <w:kinsoku w:val="0"/>
        <w:overflowPunct w:val="0"/>
        <w:spacing w:before="26" w:line="337" w:lineRule="auto"/>
        <w:ind w:right="33" w:rightChars="0" w:firstLine="3927" w:firstLineChars="16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3"/>
        <w:kinsoku w:val="0"/>
        <w:overflowPunct w:val="0"/>
        <w:spacing w:before="11"/>
        <w:ind w:left="0"/>
        <w:rPr>
          <w:rFonts w:hint="eastAsia" w:ascii="宋体" w:hAnsi="宋体" w:eastAsia="宋体" w:cs="宋体"/>
          <w:sz w:val="9"/>
          <w:szCs w:val="9"/>
          <w:highlight w:val="none"/>
        </w:rPr>
      </w:pPr>
    </w:p>
    <w:p>
      <w:pPr>
        <w:pStyle w:val="3"/>
        <w:tabs>
          <w:tab w:val="left" w:pos="5418"/>
          <w:tab w:val="left" w:pos="6258"/>
          <w:tab w:val="left" w:pos="7098"/>
        </w:tabs>
        <w:kinsoku w:val="0"/>
        <w:overflowPunct w:val="0"/>
        <w:spacing w:before="26"/>
        <w:ind w:firstLine="6480" w:firstLineChars="27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3"/>
        <w:numPr>
          <w:ilvl w:val="0"/>
          <w:numId w:val="4"/>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11</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3"/>
        <w:kinsoku w:val="0"/>
        <w:overflowPunct w:val="0"/>
        <w:spacing w:before="0"/>
        <w:ind w:left="0"/>
        <w:rPr>
          <w:rFonts w:hint="eastAsia" w:ascii="宋体" w:hAnsi="宋体" w:eastAsia="宋体" w:cs="宋体"/>
          <w:b/>
          <w:bCs/>
          <w:sz w:val="20"/>
          <w:szCs w:val="20"/>
          <w:highlight w:val="none"/>
        </w:rPr>
      </w:pPr>
    </w:p>
    <w:tbl>
      <w:tblPr>
        <w:tblStyle w:val="18"/>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03"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30"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业绩证明（以合同或中标通知书为准，在投标文件中附合同扫描件或中标通知书扫描件加盖单位公章，弄虚作假者取消其投标资格）。</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10"/>
        <w:ind w:left="0"/>
        <w:rPr>
          <w:rFonts w:hint="eastAsia" w:ascii="宋体" w:hAnsi="宋体" w:eastAsia="宋体" w:cs="宋体"/>
          <w:sz w:val="29"/>
          <w:szCs w:val="29"/>
          <w:highlight w:val="none"/>
        </w:rPr>
      </w:pPr>
    </w:p>
    <w:p>
      <w:pPr>
        <w:pStyle w:val="3"/>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3"/>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3"/>
        <w:kinsoku w:val="0"/>
        <w:overflowPunct w:val="0"/>
        <w:spacing w:before="11"/>
        <w:ind w:left="0"/>
        <w:rPr>
          <w:rFonts w:hint="eastAsia" w:ascii="宋体" w:hAnsi="宋体" w:eastAsia="宋体" w:cs="宋体"/>
          <w:sz w:val="9"/>
          <w:szCs w:val="9"/>
          <w:highlight w:val="none"/>
        </w:rPr>
      </w:pPr>
    </w:p>
    <w:p>
      <w:pPr>
        <w:pStyle w:val="3"/>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3"/>
        <w:kinsoku w:val="0"/>
        <w:overflowPunct w:val="0"/>
        <w:spacing w:before="0"/>
        <w:ind w:left="0"/>
        <w:rPr>
          <w:rFonts w:hint="eastAsia" w:ascii="宋体" w:hAnsi="宋体" w:eastAsia="宋体" w:cs="宋体"/>
          <w:b/>
          <w:bCs/>
          <w:sz w:val="32"/>
          <w:szCs w:val="32"/>
          <w:highlight w:val="none"/>
        </w:rPr>
      </w:pPr>
    </w:p>
    <w:p>
      <w:pPr>
        <w:pStyle w:val="3"/>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3"/>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3"/>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3"/>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3"/>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9"/>
        <w:ind w:left="0"/>
        <w:rPr>
          <w:rFonts w:hint="eastAsia" w:ascii="宋体" w:hAnsi="宋体" w:eastAsia="宋体" w:cs="宋体"/>
          <w:sz w:val="19"/>
          <w:szCs w:val="19"/>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3"/>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3"/>
        <w:kinsoku w:val="0"/>
        <w:overflowPunct w:val="0"/>
        <w:spacing w:before="11"/>
        <w:ind w:left="0"/>
        <w:rPr>
          <w:rFonts w:hint="eastAsia" w:ascii="宋体" w:hAnsi="宋体" w:eastAsia="宋体" w:cs="宋体"/>
          <w:sz w:val="9"/>
          <w:szCs w:val="9"/>
          <w:highlight w:val="none"/>
        </w:rPr>
      </w:pPr>
    </w:p>
    <w:p>
      <w:pPr>
        <w:pStyle w:val="3"/>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w:t>
      </w:r>
      <w:r>
        <w:rPr>
          <w:rFonts w:hint="eastAsia" w:ascii="宋体" w:hAnsi="宋体" w:eastAsia="宋体" w:cs="宋体"/>
          <w:w w:val="95"/>
          <w:sz w:val="21"/>
          <w:szCs w:val="21"/>
          <w:highlight w:val="none"/>
        </w:rPr>
        <w:t>于印发中小企业划型标准规定的通知》（工信部联企业[2011]300 号）和《财政部工业和信息化部关于印发《政府采购促进中小企业发展管理办法》（财库﹝2020﹞46 号）相关规定。</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3"/>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3"/>
        <w:kinsoku w:val="0"/>
        <w:overflowPunct w:val="0"/>
        <w:spacing w:before="0"/>
        <w:ind w:left="0"/>
        <w:rPr>
          <w:rFonts w:hint="eastAsia" w:ascii="宋体" w:hAnsi="宋体" w:eastAsia="宋体" w:cs="宋体"/>
          <w:b/>
          <w:bCs/>
          <w:sz w:val="32"/>
          <w:szCs w:val="32"/>
          <w:highlight w:val="none"/>
        </w:rPr>
      </w:pPr>
    </w:p>
    <w:p>
      <w:pPr>
        <w:pStyle w:val="3"/>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3"/>
        <w:ind w:left="0"/>
        <w:rPr>
          <w:rFonts w:hint="eastAsia" w:ascii="宋体" w:hAnsi="宋体" w:eastAsia="宋体" w:cs="宋体"/>
          <w:sz w:val="26"/>
          <w:szCs w:val="26"/>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3"/>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3"/>
        <w:ind w:left="0"/>
        <w:rPr>
          <w:rFonts w:hint="eastAsia" w:ascii="宋体" w:hAnsi="宋体" w:eastAsia="宋体" w:cs="宋体"/>
          <w:sz w:val="26"/>
          <w:szCs w:val="26"/>
          <w:highlight w:val="none"/>
        </w:rPr>
      </w:pPr>
    </w:p>
    <w:p>
      <w:pPr>
        <w:pStyle w:val="3"/>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3"/>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3"/>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残疾人福利性单位应在本声明函后提供相关证明材料。</w:t>
      </w:r>
    </w:p>
    <w:p>
      <w:pPr>
        <w:pStyle w:val="3"/>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3"/>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新疆成源项目管理咨询有限公司</w:t>
      </w:r>
    </w:p>
    <w:p>
      <w:pPr>
        <w:pStyle w:val="3"/>
        <w:kinsoku w:val="0"/>
        <w:overflowPunct w:val="0"/>
        <w:spacing w:before="10"/>
        <w:ind w:left="0"/>
        <w:rPr>
          <w:rFonts w:hint="eastAsia" w:ascii="宋体" w:hAnsi="宋体" w:eastAsia="宋体" w:cs="宋体"/>
          <w:b/>
          <w:bCs/>
          <w:sz w:val="14"/>
          <w:szCs w:val="14"/>
          <w:highlight w:val="none"/>
        </w:rPr>
      </w:pPr>
    </w:p>
    <w:p>
      <w:pPr>
        <w:pStyle w:val="3"/>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w:t>
      </w:r>
      <w:r>
        <w:rPr>
          <w:rFonts w:hint="eastAsia" w:ascii="宋体" w:hAnsi="宋体" w:eastAsia="宋体" w:cs="宋体"/>
          <w:highlight w:val="none"/>
          <w:lang w:eastAsia="zh-CN"/>
        </w:rPr>
        <w:t>中标通知书</w:t>
      </w:r>
      <w:r>
        <w:rPr>
          <w:rFonts w:hint="eastAsia" w:ascii="宋体" w:hAnsi="宋体" w:eastAsia="宋体" w:cs="宋体"/>
          <w:highlight w:val="none"/>
        </w:rPr>
        <w:t>》前，按照磋商文件的规定向贵公司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3"/>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新疆成源项目管理咨询有限公司</w:t>
      </w:r>
      <w:r>
        <w:rPr>
          <w:rFonts w:hint="eastAsia" w:ascii="宋体" w:hAnsi="宋体" w:eastAsia="宋体" w:cs="宋体"/>
          <w:highlight w:val="none"/>
        </w:rPr>
        <w:t>）办理支付手续。</w:t>
      </w:r>
    </w:p>
    <w:p>
      <w:pPr>
        <w:pStyle w:val="3"/>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（签字）</w:t>
      </w:r>
    </w:p>
    <w:p>
      <w:pPr>
        <w:pStyle w:val="3"/>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3"/>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3"/>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新疆成源项目管理咨询有限公司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11"/>
        <w:spacing w:line="360" w:lineRule="auto"/>
        <w:rPr>
          <w:rFonts w:hint="eastAsia" w:ascii="宋体" w:hAnsi="宋体" w:eastAsia="宋体" w:cs="宋体"/>
          <w:kern w:val="0"/>
          <w:sz w:val="24"/>
          <w:highlight w:val="none"/>
        </w:rPr>
      </w:pPr>
    </w:p>
    <w:p>
      <w:pPr>
        <w:pStyle w:val="11"/>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p>
    <w:p>
      <w:pPr>
        <w:pStyle w:val="3"/>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8"/>
        <w:tabs>
          <w:tab w:val="left" w:pos="2763"/>
        </w:tabs>
        <w:kinsoku w:val="0"/>
        <w:overflowPunct w:val="0"/>
        <w:spacing w:before="143"/>
        <w:jc w:val="center"/>
        <w:outlineLvl w:val="9"/>
        <w:rPr>
          <w:rFonts w:hint="eastAsia" w:ascii="宋体" w:hAnsi="宋体" w:eastAsia="宋体" w:cs="宋体"/>
          <w:b w:val="0"/>
          <w:bCs w:val="0"/>
          <w:highlight w:val="none"/>
        </w:rPr>
      </w:pPr>
    </w:p>
    <w:p>
      <w:pPr>
        <w:pStyle w:val="3"/>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3"/>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3"/>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34" w:line="357" w:lineRule="auto"/>
        <w:ind w:left="0" w:leftChars="0" w:right="126" w:firstLine="0" w:firstLineChars="0"/>
        <w:jc w:val="center"/>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1"/>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1"/>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项目总体实施方案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 xml:space="preserve">4  </w:t>
      </w:r>
      <w:r>
        <w:rPr>
          <w:rFonts w:hint="eastAsia" w:ascii="宋体" w:hAnsi="宋体" w:eastAsia="宋体" w:cs="宋体"/>
          <w:b/>
          <w:kern w:val="0"/>
          <w:sz w:val="24"/>
          <w:szCs w:val="24"/>
          <w:highlight w:val="none"/>
        </w:rPr>
        <w:t>工作进度和服务质量控制措施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1.5  配套服务措施：</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1.6  安全与应急预案：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曾主持/参与的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项目首席设计师</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项目施工技术负责人</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6</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8"/>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3"/>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10" w:type="first"/>
      <w:footerReference r:id="rId9" w:type="default"/>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- 70 -</w:t>
                    </w:r>
                    <w:r>
                      <w:fldChar w:fldCharType="end"/>
                    </w:r>
                  </w:p>
                </w:txbxContent>
              </v:textbox>
            </v:shape>
          </w:pict>
        </mc:Fallback>
      </mc:AlternateContent>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C1C76"/>
    <w:multiLevelType w:val="singleLevel"/>
    <w:tmpl w:val="96DC1C76"/>
    <w:lvl w:ilvl="0" w:tentative="0">
      <w:start w:val="7"/>
      <w:numFmt w:val="chineseCounting"/>
      <w:suff w:val="nothing"/>
      <w:lvlText w:val="%1、"/>
      <w:lvlJc w:val="left"/>
      <w:rPr>
        <w:rFonts w:hint="eastAsia"/>
      </w:rPr>
    </w:lvl>
  </w:abstractNum>
  <w:abstractNum w:abstractNumId="1">
    <w:nsid w:val="C3D7BE3C"/>
    <w:multiLevelType w:val="singleLevel"/>
    <w:tmpl w:val="C3D7BE3C"/>
    <w:lvl w:ilvl="0" w:tentative="0">
      <w:start w:val="4"/>
      <w:numFmt w:val="chineseCounting"/>
      <w:lvlText w:val="第%1章"/>
      <w:lvlJc w:val="left"/>
      <w:rPr>
        <w:rFonts w:hint="eastAsia"/>
      </w:rPr>
    </w:lvl>
  </w:abstractNum>
  <w:abstractNum w:abstractNumId="2">
    <w:nsid w:val="DDD85877"/>
    <w:multiLevelType w:val="singleLevel"/>
    <w:tmpl w:val="DDD85877"/>
    <w:lvl w:ilvl="0" w:tentative="0">
      <w:start w:val="9"/>
      <w:numFmt w:val="chineseCounting"/>
      <w:suff w:val="nothing"/>
      <w:lvlText w:val="%1、"/>
      <w:lvlJc w:val="left"/>
      <w:rPr>
        <w:rFonts w:hint="eastAsia"/>
      </w:rPr>
    </w:lvl>
  </w:abstractNum>
  <w:abstractNum w:abstractNumId="3">
    <w:nsid w:val="7E333B28"/>
    <w:multiLevelType w:val="multilevel"/>
    <w:tmpl w:val="7E333B28"/>
    <w:lvl w:ilvl="0" w:tentative="0">
      <w:start w:val="1"/>
      <w:numFmt w:val="bullet"/>
      <w:pStyle w:val="2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16100A"/>
    <w:rsid w:val="01695955"/>
    <w:rsid w:val="01A641D0"/>
    <w:rsid w:val="01C0753F"/>
    <w:rsid w:val="01D34DAF"/>
    <w:rsid w:val="0264502E"/>
    <w:rsid w:val="02C859F1"/>
    <w:rsid w:val="02D54BBE"/>
    <w:rsid w:val="031C219B"/>
    <w:rsid w:val="03660413"/>
    <w:rsid w:val="037647BE"/>
    <w:rsid w:val="03ED74D6"/>
    <w:rsid w:val="04247917"/>
    <w:rsid w:val="04853622"/>
    <w:rsid w:val="04C156A3"/>
    <w:rsid w:val="04D33A99"/>
    <w:rsid w:val="04FC6AE0"/>
    <w:rsid w:val="05024DDA"/>
    <w:rsid w:val="052D54A2"/>
    <w:rsid w:val="05377B18"/>
    <w:rsid w:val="05882CC2"/>
    <w:rsid w:val="05AF18B5"/>
    <w:rsid w:val="065D6CA9"/>
    <w:rsid w:val="06AE1072"/>
    <w:rsid w:val="06C41957"/>
    <w:rsid w:val="07033AF5"/>
    <w:rsid w:val="07832581"/>
    <w:rsid w:val="07B50185"/>
    <w:rsid w:val="07D171D5"/>
    <w:rsid w:val="08B60D54"/>
    <w:rsid w:val="09AA1EA5"/>
    <w:rsid w:val="09C72922"/>
    <w:rsid w:val="0A490BCF"/>
    <w:rsid w:val="0A6273E5"/>
    <w:rsid w:val="0B0D16E9"/>
    <w:rsid w:val="0B3F1C7B"/>
    <w:rsid w:val="0B6207EB"/>
    <w:rsid w:val="0BCE228A"/>
    <w:rsid w:val="0BE462B0"/>
    <w:rsid w:val="0C4B7371"/>
    <w:rsid w:val="0D413693"/>
    <w:rsid w:val="0D722B9F"/>
    <w:rsid w:val="0D8D4779"/>
    <w:rsid w:val="0E19425F"/>
    <w:rsid w:val="0E3D36FB"/>
    <w:rsid w:val="0E5D6819"/>
    <w:rsid w:val="0F105F11"/>
    <w:rsid w:val="0FCF5531"/>
    <w:rsid w:val="0FDD7132"/>
    <w:rsid w:val="10296D60"/>
    <w:rsid w:val="106E3A04"/>
    <w:rsid w:val="10901B56"/>
    <w:rsid w:val="10B7577E"/>
    <w:rsid w:val="10F94AA3"/>
    <w:rsid w:val="11591364"/>
    <w:rsid w:val="11692E07"/>
    <w:rsid w:val="12370660"/>
    <w:rsid w:val="128214B9"/>
    <w:rsid w:val="12A45171"/>
    <w:rsid w:val="12F34AEA"/>
    <w:rsid w:val="1469427D"/>
    <w:rsid w:val="14EC0895"/>
    <w:rsid w:val="155344FA"/>
    <w:rsid w:val="155B6F0B"/>
    <w:rsid w:val="15B37880"/>
    <w:rsid w:val="16172039"/>
    <w:rsid w:val="164F5D70"/>
    <w:rsid w:val="16C1237E"/>
    <w:rsid w:val="16D27FFE"/>
    <w:rsid w:val="16E57034"/>
    <w:rsid w:val="17263548"/>
    <w:rsid w:val="17F46788"/>
    <w:rsid w:val="180A0683"/>
    <w:rsid w:val="188E0099"/>
    <w:rsid w:val="18AA7D07"/>
    <w:rsid w:val="18F76906"/>
    <w:rsid w:val="19CD436B"/>
    <w:rsid w:val="1A2D1A0E"/>
    <w:rsid w:val="1A6745A4"/>
    <w:rsid w:val="1AA12531"/>
    <w:rsid w:val="1AAB70F6"/>
    <w:rsid w:val="1AF36883"/>
    <w:rsid w:val="1B293CB2"/>
    <w:rsid w:val="1B440995"/>
    <w:rsid w:val="1B47068B"/>
    <w:rsid w:val="1BDB75AB"/>
    <w:rsid w:val="1C0E372A"/>
    <w:rsid w:val="1C924FBA"/>
    <w:rsid w:val="1D557B0E"/>
    <w:rsid w:val="1D7608D8"/>
    <w:rsid w:val="1E171CEE"/>
    <w:rsid w:val="1EC34329"/>
    <w:rsid w:val="1FD60202"/>
    <w:rsid w:val="204A1F5A"/>
    <w:rsid w:val="206B641A"/>
    <w:rsid w:val="20B21509"/>
    <w:rsid w:val="20B71E96"/>
    <w:rsid w:val="21284599"/>
    <w:rsid w:val="212C654D"/>
    <w:rsid w:val="21C26E21"/>
    <w:rsid w:val="21D33428"/>
    <w:rsid w:val="21F11ABE"/>
    <w:rsid w:val="222F737A"/>
    <w:rsid w:val="23684ACA"/>
    <w:rsid w:val="237F76D1"/>
    <w:rsid w:val="23983876"/>
    <w:rsid w:val="23B3162D"/>
    <w:rsid w:val="241B62AB"/>
    <w:rsid w:val="24332C5B"/>
    <w:rsid w:val="2443369A"/>
    <w:rsid w:val="24786279"/>
    <w:rsid w:val="247A4E23"/>
    <w:rsid w:val="24D72DED"/>
    <w:rsid w:val="24F86524"/>
    <w:rsid w:val="26042F17"/>
    <w:rsid w:val="26BE0C19"/>
    <w:rsid w:val="26C95D55"/>
    <w:rsid w:val="26F0470B"/>
    <w:rsid w:val="27865D15"/>
    <w:rsid w:val="27F66A6E"/>
    <w:rsid w:val="28FB2ED3"/>
    <w:rsid w:val="291749B1"/>
    <w:rsid w:val="29984548"/>
    <w:rsid w:val="29BB4774"/>
    <w:rsid w:val="29C831A3"/>
    <w:rsid w:val="29DE4A09"/>
    <w:rsid w:val="2AFE4DF2"/>
    <w:rsid w:val="2B322628"/>
    <w:rsid w:val="2B83756B"/>
    <w:rsid w:val="2BAE1BCF"/>
    <w:rsid w:val="2BBD51F7"/>
    <w:rsid w:val="2C350533"/>
    <w:rsid w:val="2D5B4808"/>
    <w:rsid w:val="2D7541B6"/>
    <w:rsid w:val="2E1D4C72"/>
    <w:rsid w:val="2E432C8D"/>
    <w:rsid w:val="2F0F4910"/>
    <w:rsid w:val="2F915AF5"/>
    <w:rsid w:val="307B5BED"/>
    <w:rsid w:val="30C343DF"/>
    <w:rsid w:val="30DB3D98"/>
    <w:rsid w:val="310778EB"/>
    <w:rsid w:val="314F5833"/>
    <w:rsid w:val="317402E2"/>
    <w:rsid w:val="321278B4"/>
    <w:rsid w:val="3261280F"/>
    <w:rsid w:val="329D5129"/>
    <w:rsid w:val="33200116"/>
    <w:rsid w:val="33AF3455"/>
    <w:rsid w:val="33CF656B"/>
    <w:rsid w:val="33DE0756"/>
    <w:rsid w:val="33DF1E85"/>
    <w:rsid w:val="3431484C"/>
    <w:rsid w:val="34831FC2"/>
    <w:rsid w:val="34DB4D3A"/>
    <w:rsid w:val="351D643D"/>
    <w:rsid w:val="354D1097"/>
    <w:rsid w:val="359978AF"/>
    <w:rsid w:val="362E6837"/>
    <w:rsid w:val="36A65EDA"/>
    <w:rsid w:val="37266990"/>
    <w:rsid w:val="373B07C5"/>
    <w:rsid w:val="37FB3F4A"/>
    <w:rsid w:val="387C458C"/>
    <w:rsid w:val="38EA35B2"/>
    <w:rsid w:val="39C649EB"/>
    <w:rsid w:val="3AD60C5E"/>
    <w:rsid w:val="3ADC65AB"/>
    <w:rsid w:val="3AED0020"/>
    <w:rsid w:val="3B9901C7"/>
    <w:rsid w:val="3CC25D2D"/>
    <w:rsid w:val="3CE951FC"/>
    <w:rsid w:val="3D794E5D"/>
    <w:rsid w:val="3D8F14D9"/>
    <w:rsid w:val="3DEC5593"/>
    <w:rsid w:val="3E2367FB"/>
    <w:rsid w:val="3E411439"/>
    <w:rsid w:val="3EE337B2"/>
    <w:rsid w:val="3FF67D83"/>
    <w:rsid w:val="40266B78"/>
    <w:rsid w:val="40D87544"/>
    <w:rsid w:val="410636DF"/>
    <w:rsid w:val="41AC3749"/>
    <w:rsid w:val="420F7B33"/>
    <w:rsid w:val="42430954"/>
    <w:rsid w:val="42605233"/>
    <w:rsid w:val="42ED11CB"/>
    <w:rsid w:val="437B38B5"/>
    <w:rsid w:val="43E25048"/>
    <w:rsid w:val="44F75541"/>
    <w:rsid w:val="46640791"/>
    <w:rsid w:val="468C1193"/>
    <w:rsid w:val="470C0055"/>
    <w:rsid w:val="47207FE2"/>
    <w:rsid w:val="48855DD8"/>
    <w:rsid w:val="492A66C2"/>
    <w:rsid w:val="49B94722"/>
    <w:rsid w:val="4B702A09"/>
    <w:rsid w:val="4B7D0C82"/>
    <w:rsid w:val="4B7F667A"/>
    <w:rsid w:val="4B870B30"/>
    <w:rsid w:val="4C0A37FB"/>
    <w:rsid w:val="4C7A0B36"/>
    <w:rsid w:val="4CDC4388"/>
    <w:rsid w:val="4CE80E9B"/>
    <w:rsid w:val="4CF16737"/>
    <w:rsid w:val="4D3217B6"/>
    <w:rsid w:val="4D812072"/>
    <w:rsid w:val="4DE54EF3"/>
    <w:rsid w:val="4F9D2711"/>
    <w:rsid w:val="4FA613E7"/>
    <w:rsid w:val="4FC50091"/>
    <w:rsid w:val="50280577"/>
    <w:rsid w:val="504F2C4B"/>
    <w:rsid w:val="51B01DB1"/>
    <w:rsid w:val="52244813"/>
    <w:rsid w:val="53696C7A"/>
    <w:rsid w:val="539D0113"/>
    <w:rsid w:val="53AE2D7B"/>
    <w:rsid w:val="54254EA8"/>
    <w:rsid w:val="54613DA6"/>
    <w:rsid w:val="54BC322C"/>
    <w:rsid w:val="54E51A26"/>
    <w:rsid w:val="55546EF7"/>
    <w:rsid w:val="55C6152F"/>
    <w:rsid w:val="5617749A"/>
    <w:rsid w:val="56606CFA"/>
    <w:rsid w:val="56761C3C"/>
    <w:rsid w:val="56A13F29"/>
    <w:rsid w:val="571D7746"/>
    <w:rsid w:val="57477C09"/>
    <w:rsid w:val="58337298"/>
    <w:rsid w:val="58F64E79"/>
    <w:rsid w:val="595249D1"/>
    <w:rsid w:val="5A0F1D95"/>
    <w:rsid w:val="5A2107E0"/>
    <w:rsid w:val="5A2A6A29"/>
    <w:rsid w:val="5BF6333D"/>
    <w:rsid w:val="5C3B7CB4"/>
    <w:rsid w:val="5C556A6C"/>
    <w:rsid w:val="5C6A74BC"/>
    <w:rsid w:val="5C895F12"/>
    <w:rsid w:val="5DBA57B6"/>
    <w:rsid w:val="5ECD4E4C"/>
    <w:rsid w:val="5F4E654D"/>
    <w:rsid w:val="5FE656F6"/>
    <w:rsid w:val="60B65262"/>
    <w:rsid w:val="60FD6695"/>
    <w:rsid w:val="611F0FB1"/>
    <w:rsid w:val="619C6F27"/>
    <w:rsid w:val="61D16D07"/>
    <w:rsid w:val="61FC658F"/>
    <w:rsid w:val="62F27A68"/>
    <w:rsid w:val="630C35C4"/>
    <w:rsid w:val="6331696A"/>
    <w:rsid w:val="63631E53"/>
    <w:rsid w:val="636851D6"/>
    <w:rsid w:val="63D03541"/>
    <w:rsid w:val="641F1F24"/>
    <w:rsid w:val="642218CB"/>
    <w:rsid w:val="64390033"/>
    <w:rsid w:val="644E1569"/>
    <w:rsid w:val="64F34126"/>
    <w:rsid w:val="652047BA"/>
    <w:rsid w:val="65B633F8"/>
    <w:rsid w:val="65E330FF"/>
    <w:rsid w:val="66175069"/>
    <w:rsid w:val="673A43FA"/>
    <w:rsid w:val="67703F3D"/>
    <w:rsid w:val="68D64BC1"/>
    <w:rsid w:val="69721CA2"/>
    <w:rsid w:val="699831AE"/>
    <w:rsid w:val="6A0115D7"/>
    <w:rsid w:val="6A0C577D"/>
    <w:rsid w:val="6CDE36E8"/>
    <w:rsid w:val="6CF43C6B"/>
    <w:rsid w:val="6D2D6F42"/>
    <w:rsid w:val="6D32361F"/>
    <w:rsid w:val="6DD67BF8"/>
    <w:rsid w:val="6E9E234F"/>
    <w:rsid w:val="6F7820D5"/>
    <w:rsid w:val="6FB77476"/>
    <w:rsid w:val="6FBE6EFA"/>
    <w:rsid w:val="6FF3138F"/>
    <w:rsid w:val="6FF757B1"/>
    <w:rsid w:val="70D43078"/>
    <w:rsid w:val="70F91EEA"/>
    <w:rsid w:val="71416653"/>
    <w:rsid w:val="71CF7331"/>
    <w:rsid w:val="7263008B"/>
    <w:rsid w:val="72665640"/>
    <w:rsid w:val="72B426CE"/>
    <w:rsid w:val="73007C3B"/>
    <w:rsid w:val="7334147F"/>
    <w:rsid w:val="734F49CC"/>
    <w:rsid w:val="742D6E39"/>
    <w:rsid w:val="74525D34"/>
    <w:rsid w:val="74585848"/>
    <w:rsid w:val="74634609"/>
    <w:rsid w:val="748875E0"/>
    <w:rsid w:val="752E52B2"/>
    <w:rsid w:val="752E6E5E"/>
    <w:rsid w:val="75821E12"/>
    <w:rsid w:val="75B54F5F"/>
    <w:rsid w:val="75CE7976"/>
    <w:rsid w:val="763C007B"/>
    <w:rsid w:val="76FC6368"/>
    <w:rsid w:val="770937CE"/>
    <w:rsid w:val="772E0620"/>
    <w:rsid w:val="779B1E77"/>
    <w:rsid w:val="780660C3"/>
    <w:rsid w:val="786617BC"/>
    <w:rsid w:val="787559E6"/>
    <w:rsid w:val="78BA61D2"/>
    <w:rsid w:val="78BD078C"/>
    <w:rsid w:val="795C711C"/>
    <w:rsid w:val="7A323CFA"/>
    <w:rsid w:val="7A783AA1"/>
    <w:rsid w:val="7B40688B"/>
    <w:rsid w:val="7B7D1600"/>
    <w:rsid w:val="7C6D0260"/>
    <w:rsid w:val="7CD13A0A"/>
    <w:rsid w:val="7D5B0D49"/>
    <w:rsid w:val="7DB10760"/>
    <w:rsid w:val="7DEA19F0"/>
    <w:rsid w:val="7E0C05DA"/>
    <w:rsid w:val="7E1D4F8D"/>
    <w:rsid w:val="7E2A48A3"/>
    <w:rsid w:val="7E493A04"/>
    <w:rsid w:val="7F005678"/>
    <w:rsid w:val="7F636E3E"/>
    <w:rsid w:val="7FF2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7">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8">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4"/>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9">
    <w:name w:val="Normal Indent"/>
    <w:basedOn w:val="1"/>
    <w:next w:val="1"/>
    <w:qFormat/>
    <w:uiPriority w:val="0"/>
    <w:pPr>
      <w:ind w:firstLine="420"/>
    </w:pPr>
    <w:rPr>
      <w:szCs w:val="20"/>
    </w:rPr>
  </w:style>
  <w:style w:type="paragraph" w:styleId="10">
    <w:name w:val="Body Text Indent"/>
    <w:basedOn w:val="1"/>
    <w:next w:val="1"/>
    <w:qFormat/>
    <w:uiPriority w:val="0"/>
    <w:pPr>
      <w:spacing w:after="120"/>
      <w:ind w:left="200" w:leftChars="200"/>
    </w:pPr>
  </w:style>
  <w:style w:type="paragraph" w:styleId="11">
    <w:name w:val="Plain Text"/>
    <w:basedOn w:val="1"/>
    <w:qFormat/>
    <w:uiPriority w:val="0"/>
    <w:rPr>
      <w:rFonts w:ascii="宋体" w:hAnsi="Times New Roman"/>
      <w:szCs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toc 4"/>
    <w:basedOn w:val="1"/>
    <w:next w:val="1"/>
    <w:unhideWhenUsed/>
    <w:qFormat/>
    <w:uiPriority w:val="39"/>
    <w:pPr>
      <w:ind w:left="1260" w:leftChars="600"/>
    </w:pPr>
  </w:style>
  <w:style w:type="paragraph" w:styleId="15">
    <w:name w:val="Body Text Indent 3"/>
    <w:basedOn w:val="1"/>
    <w:qFormat/>
    <w:uiPriority w:val="0"/>
    <w:pPr>
      <w:spacing w:line="410" w:lineRule="exact"/>
      <w:ind w:left="619" w:leftChars="295" w:firstLine="390" w:firstLineChars="179"/>
    </w:pPr>
    <w:rPr>
      <w:rFonts w:ascii="宋体" w:hAnsi="宋体"/>
      <w:spacing w:val="4"/>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Hyperlink"/>
    <w:unhideWhenUsed/>
    <w:qFormat/>
    <w:uiPriority w:val="99"/>
    <w:rPr>
      <w:color w:val="0000FF"/>
      <w:u w:val="single"/>
    </w:rPr>
  </w:style>
  <w:style w:type="paragraph" w:customStyle="1" w:styleId="21">
    <w:name w:val="正文缩进1"/>
    <w:basedOn w:val="1"/>
    <w:qFormat/>
    <w:uiPriority w:val="0"/>
    <w:pPr>
      <w:ind w:firstLine="420" w:firstLineChars="200"/>
    </w:pPr>
  </w:style>
  <w:style w:type="character" w:customStyle="1" w:styleId="22">
    <w:name w:val="NormalCharacter"/>
    <w:semiHidden/>
    <w:qFormat/>
    <w:uiPriority w:val="0"/>
  </w:style>
  <w:style w:type="paragraph" w:customStyle="1" w:styleId="2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4">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5">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6">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7">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8">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9">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3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2">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3">
    <w:name w:val="font41"/>
    <w:basedOn w:val="19"/>
    <w:qFormat/>
    <w:uiPriority w:val="0"/>
    <w:rPr>
      <w:rFonts w:hint="eastAsia" w:ascii="黑体" w:hAnsi="宋体" w:eastAsia="黑体" w:cs="黑体"/>
      <w:b/>
      <w:bCs/>
      <w:color w:val="000000"/>
      <w:sz w:val="18"/>
      <w:szCs w:val="18"/>
      <w:u w:val="none"/>
    </w:rPr>
  </w:style>
  <w:style w:type="character" w:customStyle="1" w:styleId="34">
    <w:name w:val="font01"/>
    <w:basedOn w:val="19"/>
    <w:qFormat/>
    <w:uiPriority w:val="0"/>
    <w:rPr>
      <w:rFonts w:hint="eastAsia" w:ascii="黑体" w:hAnsi="宋体" w:eastAsia="黑体" w:cs="黑体"/>
      <w:color w:val="000000"/>
      <w:sz w:val="18"/>
      <w:szCs w:val="18"/>
      <w:u w:val="none"/>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 w:type="paragraph" w:customStyle="1" w:styleId="3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WPS_1495013870</cp:lastModifiedBy>
  <cp:lastPrinted>2021-08-31T02:58:00Z</cp:lastPrinted>
  <dcterms:modified xsi:type="dcterms:W3CDTF">2022-01-26T03:22:12Z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B0DA3A79BFC5462EB5FC0122EBA3B735</vt:lpwstr>
  </property>
</Properties>
</file>