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17"/>
          <w:rFonts w:hint="eastAsia" w:ascii="宋体" w:hAnsi="宋体" w:eastAsia="宋体" w:cs="宋体"/>
          <w:b/>
          <w:bCs/>
          <w:kern w:val="0"/>
          <w:sz w:val="36"/>
          <w:szCs w:val="36"/>
          <w:lang w:val="en-US" w:eastAsia="zh-CN" w:bidi="ar"/>
        </w:rPr>
        <w:t>阿克苏市林草局2021-2022年核桃标准基地建设</w:t>
      </w:r>
      <w:r>
        <w:rPr>
          <w:rFonts w:hint="eastAsia" w:ascii="黑体" w:hAnsi="宋体" w:eastAsia="黑体" w:cs="Arial"/>
          <w:b/>
          <w:kern w:val="0"/>
          <w:sz w:val="36"/>
          <w:szCs w:val="36"/>
          <w:lang w:val="en-US" w:eastAsia="zh-CN"/>
        </w:rPr>
        <w:t>项目</w:t>
      </w:r>
      <w:r>
        <w:rPr>
          <w:rFonts w:hint="eastAsia" w:ascii="仿宋_GB2312" w:hAnsi="仿宋_GB2312" w:eastAsia="仿宋_GB2312" w:cs="仿宋_GB2312"/>
          <w:sz w:val="28"/>
          <w:szCs w:val="28"/>
          <w:lang w:val="en-US" w:eastAsia="zh-CN"/>
        </w:rPr>
        <w:t>、</w:t>
      </w:r>
      <w:r>
        <w:rPr>
          <w:rFonts w:hint="eastAsia" w:ascii="宋体" w:hAnsi="宋体" w:eastAsia="宋体" w:cs="宋体"/>
          <w:b/>
          <w:bCs/>
          <w:sz w:val="36"/>
          <w:szCs w:val="36"/>
          <w:lang w:val="en-US" w:eastAsia="zh-CN"/>
        </w:rPr>
        <w:t>香梨低产低效林改造项目-林果技术服务</w:t>
      </w:r>
      <w:r>
        <w:rPr>
          <w:rFonts w:hint="eastAsia" w:ascii="黑体" w:hAnsi="宋体" w:eastAsia="黑体" w:cs="Arial"/>
          <w:b/>
          <w:kern w:val="0"/>
          <w:sz w:val="36"/>
          <w:szCs w:val="36"/>
          <w:lang w:val="en-US" w:eastAsia="zh-CN"/>
        </w:rPr>
        <w:t>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22</w:t>
      </w:r>
      <w:r>
        <w:rPr>
          <w:rFonts w:hint="eastAsia" w:ascii="黑体" w:hAnsi="黑体" w:eastAsia="黑体"/>
          <w:b/>
          <w:sz w:val="36"/>
          <w:lang w:eastAsia="zh-CN"/>
        </w:rPr>
        <w:t>-</w:t>
      </w:r>
      <w:r>
        <w:rPr>
          <w:rFonts w:hint="eastAsia" w:ascii="黑体" w:hAnsi="黑体" w:eastAsia="黑体"/>
          <w:b/>
          <w:sz w:val="36"/>
          <w:lang w:val="en-US" w:eastAsia="zh-CN"/>
        </w:rPr>
        <w:t>001</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宋体" w:hAnsi="宋体" w:eastAsia="宋体" w:cs="宋体"/>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8"/>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default" w:ascii="仿宋" w:hAnsi="仿宋" w:eastAsia="仿宋"/>
          <w:sz w:val="33"/>
          <w:lang w:val="en-US" w:eastAsia="zh-CN"/>
        </w:rPr>
      </w:pPr>
      <w:r>
        <w:rPr>
          <w:rFonts w:hint="eastAsia" w:ascii="仿宋" w:hAnsi="仿宋" w:eastAsia="仿宋"/>
          <w:sz w:val="33"/>
          <w:lang w:val="en-US" w:eastAsia="zh-CN"/>
        </w:rPr>
        <w:t xml:space="preserve">   </w:t>
      </w: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928" w:firstLineChars="6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2760" w:firstLineChars="859"/>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22</w:t>
      </w:r>
      <w:r>
        <w:rPr>
          <w:rFonts w:hint="eastAsia" w:ascii="宋体" w:hAnsi="宋体" w:eastAsia="宋体" w:cs="宋体"/>
          <w:b/>
          <w:sz w:val="32"/>
        </w:rPr>
        <w:t>年</w:t>
      </w:r>
      <w:r>
        <w:rPr>
          <w:rFonts w:hint="eastAsia" w:ascii="宋体" w:hAnsi="宋体" w:eastAsia="宋体" w:cs="宋体"/>
          <w:b/>
          <w:sz w:val="32"/>
          <w:lang w:val="en-US" w:eastAsia="zh-CN"/>
        </w:rPr>
        <w:t>2</w:t>
      </w:r>
      <w:r>
        <w:rPr>
          <w:rFonts w:hint="eastAsia" w:ascii="宋体" w:hAnsi="宋体" w:eastAsia="宋体" w:cs="宋体"/>
          <w:b/>
          <w:sz w:val="32"/>
        </w:rPr>
        <w:t>月</w:t>
      </w:r>
      <w:r>
        <w:rPr>
          <w:rFonts w:hint="eastAsia" w:ascii="宋体" w:hAnsi="宋体" w:eastAsia="宋体" w:cs="宋体"/>
          <w:b/>
          <w:sz w:val="32"/>
          <w:lang w:val="en-US" w:eastAsia="zh-CN"/>
        </w:rPr>
        <w:t>9</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7"/>
                <w:rFonts w:hint="eastAsia" w:ascii="仿宋" w:hAnsi="仿宋" w:eastAsia="仿宋" w:cs="仿宋"/>
                <w:b w:val="0"/>
                <w:bCs w:val="0"/>
                <w:kern w:val="0"/>
                <w:sz w:val="28"/>
                <w:szCs w:val="28"/>
                <w:lang w:val="en-US" w:eastAsia="zh-CN" w:bidi="ar"/>
              </w:rPr>
              <w:t>阿克苏市林草局2021-2022年核桃标准基地建设</w:t>
            </w:r>
            <w:r>
              <w:rPr>
                <w:rFonts w:hint="eastAsia" w:ascii="仿宋" w:hAnsi="仿宋" w:eastAsia="仿宋" w:cs="仿宋"/>
                <w:b w:val="0"/>
                <w:bCs w:val="0"/>
                <w:kern w:val="0"/>
                <w:sz w:val="28"/>
                <w:szCs w:val="28"/>
                <w:lang w:val="en-US" w:eastAsia="zh-CN"/>
              </w:rPr>
              <w:t>项目</w:t>
            </w:r>
            <w:r>
              <w:rPr>
                <w:rFonts w:hint="eastAsia" w:ascii="仿宋" w:hAnsi="仿宋" w:eastAsia="仿宋" w:cs="仿宋"/>
                <w:b w:val="0"/>
                <w:bCs w:val="0"/>
                <w:sz w:val="28"/>
                <w:szCs w:val="28"/>
                <w:lang w:val="en-US" w:eastAsia="zh-CN"/>
              </w:rPr>
              <w:t>、香梨低产低效林改造项目-林果技术服务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参加投标时必须携带以下证件（需经年度审验合格的原件）：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法人代表或其委托代理人应携带本人身份证原件及复印件，委托代理人还应携带《法人代表授权委托书》</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color w:val="auto"/>
                <w:sz w:val="28"/>
                <w:szCs w:val="28"/>
                <w:lang w:val="en-US" w:eastAsia="zh-CN"/>
              </w:rPr>
              <w:t>2、有效的经年检的三证合一营业执照（须有相关经营范围）副本原件；3、相互关联存在实际控制、管理关系的两个企业，不得参加同一项目的投标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kern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b w:val="0"/>
                <w:bCs w:val="0"/>
                <w:sz w:val="30"/>
                <w:szCs w:val="30"/>
                <w:lang w:val="en-US" w:eastAsia="zh-CN"/>
              </w:rPr>
              <w:t>近6个月社保缴费证明</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（北京时间）前将投标文件密封送交到阿克苏市公共资源交易中心二号开标室，逾期送达作无效标处理。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color w:val="FF0000"/>
                <w:sz w:val="28"/>
                <w:szCs w:val="28"/>
                <w:u w:val="single"/>
                <w:lang w:val="en-US" w:eastAsia="zh-CN"/>
              </w:rPr>
              <w:t>月14</w:t>
            </w:r>
            <w:r>
              <w:rPr>
                <w:rFonts w:hint="eastAsia" w:ascii="仿宋_GB2312" w:hAnsi="仿宋_GB2312" w:eastAsia="仿宋_GB2312" w:cs="仿宋_GB2312"/>
                <w:color w:val="auto"/>
                <w:sz w:val="28"/>
                <w:szCs w:val="28"/>
                <w:u w:val="non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30</w:t>
            </w:r>
            <w:r>
              <w:rPr>
                <w:rFonts w:hint="eastAsia" w:ascii="仿宋_GB2312" w:hAnsi="仿宋_GB2312" w:eastAsia="仿宋_GB2312" w:cs="仿宋_GB2312"/>
                <w:color w:val="FF0000"/>
                <w:sz w:val="28"/>
                <w:szCs w:val="28"/>
                <w:u w:val="single"/>
              </w:rPr>
              <w:t>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sz w:val="28"/>
                <w:szCs w:val="28"/>
                <w:lang w:val="en-US" w:eastAsia="zh-CN"/>
              </w:rPr>
              <w:t>最低评</w:t>
            </w:r>
            <w:r>
              <w:rPr>
                <w:rFonts w:hint="eastAsia" w:ascii="仿宋_GB2312" w:hAnsi="仿宋_GB2312" w:eastAsia="仿宋_GB2312" w:cs="仿宋_GB2312"/>
                <w:sz w:val="28"/>
                <w:szCs w:val="28"/>
              </w:rPr>
              <w:t>标价法</w:t>
            </w:r>
            <w:bookmarkStart w:id="45" w:name="_GoBack"/>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190</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jc w:val="center"/>
        <w:rPr>
          <w:rFonts w:hint="eastAsia" w:ascii="黑体" w:hAnsi="黑体" w:eastAsia="黑体"/>
          <w:b/>
          <w:sz w:val="30"/>
          <w:szCs w:val="30"/>
        </w:rPr>
      </w:pPr>
      <w:r>
        <w:rPr>
          <w:rStyle w:val="17"/>
          <w:rFonts w:hint="eastAsia" w:ascii="黑体" w:hAnsi="黑体" w:eastAsia="黑体" w:cs="黑体"/>
          <w:b/>
          <w:bCs/>
          <w:kern w:val="0"/>
          <w:sz w:val="32"/>
          <w:szCs w:val="32"/>
          <w:lang w:val="en-US" w:eastAsia="zh-CN" w:bidi="ar"/>
        </w:rPr>
        <w:t>阿克苏市林草局2021-2022年核桃标准基地建设</w:t>
      </w:r>
      <w:r>
        <w:rPr>
          <w:rFonts w:hint="eastAsia" w:ascii="黑体" w:hAnsi="黑体" w:eastAsia="黑体" w:cs="黑体"/>
          <w:b/>
          <w:kern w:val="0"/>
          <w:sz w:val="32"/>
          <w:szCs w:val="32"/>
          <w:lang w:val="en-US" w:eastAsia="zh-CN"/>
        </w:rPr>
        <w:t>项目</w:t>
      </w:r>
      <w:r>
        <w:rPr>
          <w:rFonts w:hint="eastAsia" w:ascii="黑体" w:hAnsi="黑体" w:eastAsia="黑体" w:cs="黑体"/>
          <w:sz w:val="32"/>
          <w:szCs w:val="32"/>
          <w:lang w:val="en-US" w:eastAsia="zh-CN"/>
        </w:rPr>
        <w:t>、</w:t>
      </w:r>
      <w:r>
        <w:rPr>
          <w:rFonts w:hint="eastAsia" w:ascii="黑体" w:hAnsi="黑体" w:eastAsia="黑体" w:cs="黑体"/>
          <w:b/>
          <w:bCs/>
          <w:sz w:val="32"/>
          <w:szCs w:val="32"/>
          <w:lang w:val="en-US" w:eastAsia="zh-CN"/>
        </w:rPr>
        <w:t>香梨低产低效林改造项目-林果技术服务</w:t>
      </w:r>
      <w:r>
        <w:rPr>
          <w:rFonts w:hint="eastAsia" w:ascii="黑体" w:hAnsi="黑体" w:eastAsia="黑体" w:cs="黑体"/>
          <w:b/>
          <w:kern w:val="0"/>
          <w:sz w:val="32"/>
          <w:szCs w:val="32"/>
          <w:lang w:val="en-US" w:eastAsia="zh-CN"/>
        </w:rPr>
        <w:t>竞争性谈判</w:t>
      </w:r>
      <w:r>
        <w:rPr>
          <w:rFonts w:hint="eastAsia" w:ascii="黑体" w:hAnsi="宋体" w:eastAsia="黑体" w:cs="Arial"/>
          <w:b/>
          <w:kern w:val="0"/>
          <w:sz w:val="30"/>
          <w:szCs w:val="30"/>
          <w:lang w:val="en-US" w:eastAsia="zh-CN"/>
        </w:rPr>
        <w:t>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ascii="仿宋" w:hAnsi="仿宋" w:eastAsia="仿宋" w:cs="仿宋"/>
          <w:sz w:val="27"/>
          <w:szCs w:val="27"/>
        </w:rPr>
        <w:t>   </w:t>
      </w:r>
      <w:r>
        <w:rPr>
          <w:rFonts w:hint="eastAsia" w:ascii="仿宋_GB2312" w:hAnsi="仿宋_GB2312" w:eastAsia="仿宋_GB2312" w:cs="仿宋_GB2312"/>
          <w:b w:val="0"/>
          <w:bCs w:val="0"/>
          <w:sz w:val="30"/>
          <w:szCs w:val="30"/>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阿克苏市林草局2021-2022年核桃标准基地建设</w:t>
      </w:r>
      <w:r>
        <w:rPr>
          <w:rFonts w:hint="eastAsia" w:ascii="仿宋" w:hAnsi="仿宋" w:eastAsia="仿宋" w:cs="仿宋"/>
          <w:b w:val="0"/>
          <w:bCs w:val="0"/>
          <w:kern w:val="0"/>
          <w:sz w:val="28"/>
          <w:szCs w:val="28"/>
          <w:lang w:val="en-US" w:eastAsia="zh-CN"/>
        </w:rPr>
        <w:t>项目</w:t>
      </w:r>
      <w:r>
        <w:rPr>
          <w:rFonts w:hint="eastAsia" w:ascii="仿宋" w:hAnsi="仿宋" w:eastAsia="仿宋" w:cs="仿宋"/>
          <w:b w:val="0"/>
          <w:bCs w:val="0"/>
          <w:sz w:val="28"/>
          <w:szCs w:val="28"/>
          <w:lang w:val="en-US" w:eastAsia="zh-CN"/>
        </w:rPr>
        <w:t>、香梨低产低效林改造项目-林果技术</w:t>
      </w:r>
      <w:r>
        <w:rPr>
          <w:rFonts w:hint="eastAsia" w:ascii="仿宋_GB2312" w:hAnsi="仿宋_GB2312" w:eastAsia="仿宋_GB2312" w:cs="仿宋_GB2312"/>
          <w:sz w:val="28"/>
          <w:szCs w:val="28"/>
          <w:lang w:val="en-US" w:eastAsia="zh-CN"/>
        </w:rPr>
        <w:t>的潜在供应商应在政采云平台获取采购文件,并于2022年2月14日上午10点30分（北京时间）前提交响应文件。   </w:t>
      </w:r>
      <w:r>
        <w:rPr>
          <w:rFonts w:hint="eastAsia" w:ascii="仿宋_GB2312" w:hAnsi="仿宋_GB2312" w:eastAsia="仿宋_GB2312" w:cs="仿宋_GB2312"/>
          <w:b w:val="0"/>
          <w:bCs w:val="0"/>
          <w:sz w:val="30"/>
          <w:szCs w:val="30"/>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项目编号：AKSSZF-CG-J202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001号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23" w:leftChars="426" w:right="0" w:hanging="1428" w:hangingChars="476"/>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w:t>
      </w:r>
      <w:r>
        <w:rPr>
          <w:rStyle w:val="17"/>
          <w:rFonts w:hint="eastAsia" w:ascii="仿宋" w:hAnsi="仿宋" w:eastAsia="仿宋" w:cs="仿宋"/>
          <w:b w:val="0"/>
          <w:bCs w:val="0"/>
          <w:kern w:val="0"/>
          <w:sz w:val="28"/>
          <w:szCs w:val="28"/>
          <w:lang w:val="en-US" w:eastAsia="zh-CN" w:bidi="ar"/>
        </w:rPr>
        <w:t>阿克苏市林草局2021-2022年核桃标准基地建设</w:t>
      </w:r>
      <w:r>
        <w:rPr>
          <w:rFonts w:hint="eastAsia" w:ascii="仿宋" w:hAnsi="仿宋" w:eastAsia="仿宋" w:cs="仿宋"/>
          <w:b w:val="0"/>
          <w:bCs w:val="0"/>
          <w:kern w:val="0"/>
          <w:sz w:val="28"/>
          <w:szCs w:val="28"/>
          <w:lang w:val="en-US" w:eastAsia="zh-CN"/>
        </w:rPr>
        <w:t>项目</w:t>
      </w:r>
      <w:r>
        <w:rPr>
          <w:rFonts w:hint="eastAsia" w:ascii="仿宋" w:hAnsi="仿宋" w:eastAsia="仿宋" w:cs="仿宋"/>
          <w:b w:val="0"/>
          <w:bCs w:val="0"/>
          <w:sz w:val="28"/>
          <w:szCs w:val="28"/>
          <w:lang w:val="en-US" w:eastAsia="zh-CN"/>
        </w:rPr>
        <w:t>、香梨低产低效林改造项目-林果技术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采购方式：竞争性谈判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预算金额（万元）：</w:t>
      </w:r>
      <w:r>
        <w:rPr>
          <w:rFonts w:hint="eastAsia" w:ascii="仿宋_GB2312" w:hAnsi="仿宋_GB2312" w:eastAsia="仿宋_GB2312" w:cs="仿宋_GB2312"/>
          <w:b w:val="0"/>
          <w:bCs w:val="0"/>
          <w:sz w:val="30"/>
          <w:szCs w:val="30"/>
          <w:lang w:val="en-US" w:eastAsia="zh-CN"/>
        </w:rPr>
        <w:t>190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最高限价（万元）：</w:t>
      </w:r>
      <w:r>
        <w:rPr>
          <w:rFonts w:hint="eastAsia" w:ascii="仿宋_GB2312" w:hAnsi="仿宋_GB2312" w:eastAsia="仿宋_GB2312" w:cs="仿宋_GB2312"/>
          <w:b w:val="0"/>
          <w:bCs w:val="0"/>
          <w:sz w:val="30"/>
          <w:szCs w:val="30"/>
          <w:lang w:val="en-US" w:eastAsia="zh-CN"/>
        </w:rPr>
        <w:t>190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合同履约期限：双方合同约定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法人代表或其委托代理人应携带本人身份证原件及复印件，委托代理人还应携带《法人代表授权委托书》</w:t>
      </w:r>
      <w:r>
        <w:rPr>
          <w:rFonts w:hint="eastAsia" w:ascii="仿宋_GB2312" w:hAnsi="仿宋_GB2312" w:eastAsia="仿宋_GB2312" w:cs="仿宋_GB2312"/>
          <w:b w:val="0"/>
          <w:bCs w:val="0"/>
          <w:sz w:val="30"/>
          <w:szCs w:val="30"/>
          <w:lang w:eastAsia="zh-CN"/>
        </w:rPr>
        <w:t>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有效的经年检的三证合一营业执照（</w:t>
      </w:r>
      <w:r>
        <w:rPr>
          <w:rFonts w:hint="eastAsia" w:ascii="仿宋_GB2312" w:hAnsi="仿宋_GB2312" w:eastAsia="仿宋_GB2312" w:cs="仿宋_GB2312"/>
          <w:b w:val="0"/>
          <w:bCs w:val="0"/>
          <w:sz w:val="30"/>
          <w:szCs w:val="30"/>
          <w:lang w:val="en-US" w:eastAsia="zh-CN"/>
        </w:rPr>
        <w:t>须有相关经营范围</w:t>
      </w:r>
      <w:r>
        <w:rPr>
          <w:rFonts w:hint="eastAsia" w:ascii="仿宋_GB2312" w:hAnsi="仿宋_GB2312" w:eastAsia="仿宋_GB2312" w:cs="仿宋_GB2312"/>
          <w:b w:val="0"/>
          <w:bCs w:val="0"/>
          <w:sz w:val="30"/>
          <w:szCs w:val="30"/>
        </w:rPr>
        <w:t>）副本原件</w:t>
      </w:r>
      <w:r>
        <w:rPr>
          <w:rFonts w:hint="eastAsia" w:ascii="仿宋_GB2312" w:hAnsi="仿宋_GB2312" w:eastAsia="仿宋_GB2312" w:cs="仿宋_GB2312"/>
          <w:b w:val="0"/>
          <w:bCs w:val="0"/>
          <w:sz w:val="30"/>
          <w:szCs w:val="30"/>
          <w:lang w:val="en-US"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3.本项目的特定资格要求：无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时间：202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0至19:</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四、响应文件提交</w:t>
      </w:r>
      <w:r>
        <w:rPr>
          <w:rStyle w:val="17"/>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14</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号楼4楼（公共资源交易中心）</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号开标室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五、响应文件开启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14</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地点：阿克苏市市民服务中心1号楼4楼</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开标室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七</w:t>
      </w:r>
      <w:r>
        <w:rPr>
          <w:rStyle w:val="17"/>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八、凡对本次招标提出询问，请按以下方式联系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名 称：</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阿克苏市林草局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地 址</w:t>
      </w:r>
      <w:r>
        <w:rPr>
          <w:rFonts w:hint="eastAsia" w:ascii="仿宋_GB2312" w:hAnsi="仿宋_GB2312" w:eastAsia="仿宋_GB2312" w:cs="仿宋_GB2312"/>
          <w:b w:val="0"/>
          <w:bCs w:val="0"/>
          <w:sz w:val="30"/>
          <w:szCs w:val="30"/>
        </w:rPr>
        <w:t>：阿克苏市传染病医院以东</w:t>
      </w:r>
      <w:r>
        <w:rPr>
          <w:rFonts w:hint="eastAsia" w:ascii="仿宋_GB2312" w:hAnsi="仿宋_GB2312" w:eastAsia="仿宋_GB2312" w:cs="仿宋_GB2312"/>
          <w:b w:val="0"/>
          <w:bCs w:val="0"/>
          <w:sz w:val="30"/>
          <w:szCs w:val="30"/>
          <w:lang w:val="en-US" w:eastAsia="zh-CN"/>
        </w:rPr>
        <w:t>400米综合办公区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联系方式：</w:t>
      </w:r>
      <w:r>
        <w:rPr>
          <w:rFonts w:hint="eastAsia" w:ascii="仿宋_GB2312" w:hAnsi="仿宋_GB2312" w:eastAsia="仿宋_GB2312" w:cs="仿宋_GB2312"/>
          <w:b w:val="0"/>
          <w:bCs w:val="0"/>
          <w:sz w:val="30"/>
          <w:szCs w:val="30"/>
          <w:lang w:val="en-US" w:eastAsia="zh-CN"/>
        </w:rPr>
        <w:t>18149970228</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联系人：唐燕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名 称：阿克苏市政务服务和</w:t>
      </w:r>
      <w:r>
        <w:rPr>
          <w:rFonts w:hint="eastAsia" w:ascii="仿宋_GB2312" w:hAnsi="仿宋_GB2312" w:eastAsia="仿宋_GB2312" w:cs="仿宋_GB2312"/>
          <w:b w:val="0"/>
          <w:bCs w:val="0"/>
          <w:sz w:val="30"/>
          <w:szCs w:val="30"/>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 址：阿克苏市市民服务中心一号楼</w:t>
      </w:r>
      <w:r>
        <w:rPr>
          <w:rFonts w:hint="eastAsia" w:ascii="仿宋_GB2312" w:hAnsi="仿宋_GB2312" w:eastAsia="仿宋_GB2312" w:cs="仿宋_GB2312"/>
          <w:b w:val="0"/>
          <w:bCs w:val="0"/>
          <w:sz w:val="30"/>
          <w:szCs w:val="30"/>
          <w:lang w:val="en-US" w:eastAsia="zh-CN"/>
        </w:rPr>
        <w:t>4楼</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联系方式：0997-2282002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项目联系人：张军</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0"/>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r>
        <w:rPr>
          <w:rFonts w:hint="eastAsia" w:ascii="仿宋" w:hAnsi="仿宋" w:eastAsia="仿宋"/>
          <w:b/>
          <w:color w:val="000000"/>
          <w:sz w:val="36"/>
          <w:szCs w:val="36"/>
          <w:lang w:val="en-US" w:eastAsia="zh-CN"/>
        </w:rPr>
        <w:t xml:space="preserve"> </w:t>
      </w:r>
    </w:p>
    <w:p>
      <w:pPr>
        <w:pStyle w:val="10"/>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24872"/>
      <w:bookmarkStart w:id="1" w:name="_Toc177825120"/>
      <w:bookmarkStart w:id="2" w:name="_Toc177824939"/>
      <w:bookmarkStart w:id="3" w:name="_Toc177870537"/>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w:t>
      </w:r>
      <w:r>
        <w:rPr>
          <w:rFonts w:hint="eastAsia" w:ascii="宋体" w:hAnsi="宋体" w:eastAsia="宋体" w:cs="宋体"/>
          <w:color w:val="000000"/>
          <w:sz w:val="32"/>
          <w:szCs w:val="32"/>
          <w:shd w:val="clear" w:color="auto" w:fill="FFFFFF"/>
          <w:lang w:val="en-US" w:eastAsia="zh-CN"/>
        </w:rPr>
        <w:t>谈判</w:t>
      </w:r>
      <w:r>
        <w:rPr>
          <w:rFonts w:hint="eastAsia" w:ascii="宋体" w:hAnsi="宋体" w:eastAsia="宋体" w:cs="宋体"/>
          <w:color w:val="000000"/>
          <w:sz w:val="32"/>
          <w:szCs w:val="32"/>
          <w:shd w:val="clear" w:color="auto" w:fill="FFFFFF"/>
        </w:rPr>
        <w:t>招标</w:t>
      </w:r>
      <w:r>
        <w:rPr>
          <w:rFonts w:hint="eastAsia" w:ascii="宋体" w:hAnsi="宋体" w:eastAsia="宋体" w:cs="宋体"/>
          <w:color w:val="000000"/>
          <w:sz w:val="28"/>
          <w:szCs w:val="28"/>
          <w:shd w:val="clear" w:color="auto" w:fill="FFFFFF"/>
        </w:rPr>
        <w:t>文件适用于</w:t>
      </w:r>
      <w:r>
        <w:rPr>
          <w:rStyle w:val="17"/>
          <w:rFonts w:hint="eastAsia" w:ascii="宋体" w:hAnsi="宋体" w:eastAsia="宋体" w:cs="宋体"/>
          <w:b w:val="0"/>
          <w:bCs w:val="0"/>
          <w:kern w:val="0"/>
          <w:sz w:val="28"/>
          <w:szCs w:val="28"/>
          <w:lang w:val="en-US" w:eastAsia="zh-CN" w:bidi="ar"/>
        </w:rPr>
        <w:t>阿克苏市林草局2021-2022年核桃标准基地建设</w:t>
      </w:r>
      <w:r>
        <w:rPr>
          <w:rFonts w:hint="eastAsia" w:ascii="宋体" w:hAnsi="宋体" w:eastAsia="宋体" w:cs="宋体"/>
          <w:b w:val="0"/>
          <w:bCs w:val="0"/>
          <w:kern w:val="0"/>
          <w:sz w:val="28"/>
          <w:szCs w:val="28"/>
          <w:lang w:val="en-US" w:eastAsia="zh-CN"/>
        </w:rPr>
        <w:t>项目</w:t>
      </w:r>
      <w:r>
        <w:rPr>
          <w:rFonts w:hint="eastAsia" w:ascii="宋体" w:hAnsi="宋体" w:eastAsia="宋体" w:cs="宋体"/>
          <w:b w:val="0"/>
          <w:bCs w:val="0"/>
          <w:sz w:val="28"/>
          <w:szCs w:val="28"/>
          <w:lang w:val="en-US" w:eastAsia="zh-CN"/>
        </w:rPr>
        <w:t>、香梨低产低效林改造项目-林果技术服务</w:t>
      </w:r>
      <w:r>
        <w:rPr>
          <w:rFonts w:hint="eastAsia" w:ascii="宋体" w:hAnsi="宋体" w:eastAsia="宋体" w:cs="宋体"/>
          <w:color w:val="000000"/>
          <w:sz w:val="28"/>
          <w:szCs w:val="28"/>
          <w:shd w:val="clear" w:color="auto" w:fill="FFFFFF"/>
        </w:rPr>
        <w:t>的招标、评标、定标、验收、合同履约、</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4873"/>
      <w:bookmarkStart w:id="5" w:name="_Toc177870538"/>
      <w:bookmarkStart w:id="6" w:name="_Toc177825121"/>
      <w:bookmarkStart w:id="7" w:name="_Toc177824940"/>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5122"/>
      <w:bookmarkStart w:id="10" w:name="_Toc177824941"/>
      <w:bookmarkStart w:id="11" w:name="_Toc177870540"/>
      <w:bookmarkStart w:id="12" w:name="_Toc177824874"/>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5123"/>
      <w:bookmarkStart w:id="14" w:name="_Toc177824942"/>
      <w:bookmarkStart w:id="15" w:name="_Toc177870541"/>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p>
    <w:p>
      <w:pPr>
        <w:spacing w:line="360" w:lineRule="auto"/>
        <w:ind w:firstLine="3373" w:firstLineChars="1200"/>
        <w:jc w:val="both"/>
        <w:rPr>
          <w:rFonts w:hint="eastAsia" w:ascii="宋体" w:hAnsi="宋体" w:eastAsia="宋体" w:cs="宋体"/>
          <w:b/>
          <w:color w:val="000000"/>
          <w:sz w:val="28"/>
          <w:szCs w:val="28"/>
          <w:shd w:val="clear" w:color="auto" w:fill="FFFFFF"/>
        </w:rPr>
      </w:pPr>
    </w:p>
    <w:p>
      <w:pPr>
        <w:spacing w:line="360" w:lineRule="auto"/>
        <w:ind w:firstLine="3373" w:firstLineChars="1200"/>
        <w:jc w:val="both"/>
        <w:rPr>
          <w:rFonts w:hint="eastAsia" w:ascii="宋体" w:hAnsi="宋体" w:eastAsia="宋体" w:cs="宋体"/>
          <w:b/>
          <w:color w:val="000000"/>
          <w:sz w:val="28"/>
          <w:szCs w:val="28"/>
          <w:shd w:val="clear" w:color="auto" w:fill="FFFFFF"/>
        </w:rPr>
      </w:pPr>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4"/>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17"/>
          <w:rFonts w:hint="eastAsia" w:ascii="宋体" w:hAnsi="宋体" w:eastAsia="宋体" w:cs="宋体"/>
          <w:b w:val="0"/>
          <w:bCs w:val="0"/>
          <w:color w:val="C00000"/>
          <w:kern w:val="0"/>
          <w:sz w:val="28"/>
          <w:szCs w:val="28"/>
          <w:lang w:val="en-US" w:eastAsia="zh-CN" w:bidi="ar"/>
        </w:rPr>
        <w:t>阿克苏市林草局2021-2022年核桃标准基地建设</w:t>
      </w:r>
      <w:r>
        <w:rPr>
          <w:rFonts w:hint="eastAsia" w:ascii="宋体" w:hAnsi="宋体" w:eastAsia="宋体" w:cs="宋体"/>
          <w:b w:val="0"/>
          <w:bCs w:val="0"/>
          <w:color w:val="C00000"/>
          <w:kern w:val="0"/>
          <w:sz w:val="28"/>
          <w:szCs w:val="28"/>
          <w:lang w:val="en-US" w:eastAsia="zh-CN"/>
        </w:rPr>
        <w:t>项目</w:t>
      </w:r>
      <w:r>
        <w:rPr>
          <w:rFonts w:hint="eastAsia" w:ascii="宋体" w:hAnsi="宋体" w:eastAsia="宋体" w:cs="宋体"/>
          <w:b w:val="0"/>
          <w:bCs w:val="0"/>
          <w:color w:val="C00000"/>
          <w:sz w:val="28"/>
          <w:szCs w:val="28"/>
          <w:lang w:val="en-US" w:eastAsia="zh-CN"/>
        </w:rPr>
        <w:t>、香梨低产低效林改造项目-林果技术服务</w:t>
      </w:r>
      <w:r>
        <w:rPr>
          <w:rFonts w:hint="eastAsia" w:ascii="宋体" w:hAnsi="宋体" w:eastAsia="宋体" w:cs="宋体"/>
          <w:color w:val="C00000"/>
          <w:sz w:val="28"/>
          <w:szCs w:val="28"/>
          <w:shd w:val="clear" w:color="auto" w:fill="FFFFFF"/>
        </w:rPr>
        <w:t>澄清或质疑使用</w:t>
      </w:r>
      <w:r>
        <w:rPr>
          <w:rFonts w:hint="eastAsia" w:ascii="宋体" w:hAnsi="宋体" w:eastAsia="宋体" w:cs="宋体"/>
          <w:color w:val="000000"/>
          <w:sz w:val="28"/>
          <w:szCs w:val="28"/>
          <w:shd w:val="clear" w:color="auto" w:fill="FFFFFF"/>
        </w:rPr>
        <w:t>”字样，并由身份证持有人签字确认。上述资料均须加盖公章。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17"/>
          <w:rFonts w:hint="eastAsia" w:ascii="宋体" w:hAnsi="宋体" w:eastAsia="宋体" w:cs="宋体"/>
          <w:b w:val="0"/>
          <w:bCs w:val="0"/>
          <w:color w:val="C00000"/>
          <w:kern w:val="0"/>
          <w:sz w:val="28"/>
          <w:szCs w:val="28"/>
          <w:lang w:val="en-US" w:eastAsia="zh-CN" w:bidi="ar"/>
        </w:rPr>
        <w:t>阿克苏市林草局2021-2022年核桃标准基地建设</w:t>
      </w:r>
      <w:r>
        <w:rPr>
          <w:rFonts w:hint="eastAsia" w:ascii="宋体" w:hAnsi="宋体" w:eastAsia="宋体" w:cs="宋体"/>
          <w:b w:val="0"/>
          <w:bCs w:val="0"/>
          <w:color w:val="C00000"/>
          <w:kern w:val="0"/>
          <w:sz w:val="28"/>
          <w:szCs w:val="28"/>
          <w:lang w:val="en-US" w:eastAsia="zh-CN"/>
        </w:rPr>
        <w:t>项目</w:t>
      </w:r>
      <w:r>
        <w:rPr>
          <w:rFonts w:hint="eastAsia" w:ascii="宋体" w:hAnsi="宋体" w:eastAsia="宋体" w:cs="宋体"/>
          <w:b w:val="0"/>
          <w:bCs w:val="0"/>
          <w:color w:val="C00000"/>
          <w:sz w:val="28"/>
          <w:szCs w:val="28"/>
          <w:lang w:val="en-US" w:eastAsia="zh-CN"/>
        </w:rPr>
        <w:t>、香梨低产低效林改造项目-林果技术服务</w:t>
      </w:r>
      <w:r>
        <w:rPr>
          <w:rFonts w:hint="eastAsia" w:ascii="宋体" w:hAnsi="宋体" w:eastAsia="宋体" w:cs="宋体"/>
          <w:color w:val="C00000"/>
          <w:sz w:val="28"/>
          <w:szCs w:val="28"/>
        </w:rPr>
        <w:t>质疑使用</w:t>
      </w:r>
      <w:r>
        <w:rPr>
          <w:rFonts w:hint="eastAsia" w:ascii="宋体" w:hAnsi="宋体" w:eastAsia="宋体" w:cs="宋体"/>
          <w:sz w:val="28"/>
          <w:szCs w:val="28"/>
        </w:rPr>
        <w:t>”字样，并由身份证持有人签字确认。上述资料均须加盖公章。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4"/>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outlineLvl w:val="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r>
        <w:rPr>
          <w:rFonts w:hint="eastAsia" w:ascii="宋体" w:hAnsi="宋体" w:eastAsia="宋体" w:cs="宋体"/>
          <w:b w:val="0"/>
          <w:bCs w:val="0"/>
          <w:color w:val="333333"/>
          <w:kern w:val="36"/>
          <w:sz w:val="28"/>
          <w:szCs w:val="28"/>
          <w:highlight w:val="none"/>
        </w:rPr>
        <w:t>投标企业须提供投标人（被授权在职人员）近6个月有效的社保证明原件，不足半年的以实际缴纳月数为准；</w:t>
      </w:r>
      <w:r>
        <w:rPr>
          <w:rFonts w:hint="eastAsia" w:ascii="宋体" w:hAnsi="宋体" w:cs="宋体"/>
          <w:b w:val="0"/>
          <w:bCs w:val="0"/>
          <w:color w:val="333333"/>
          <w:kern w:val="36"/>
          <w:sz w:val="28"/>
          <w:szCs w:val="28"/>
          <w:highlight w:val="none"/>
          <w:lang w:val="en-US" w:eastAsia="zh-CN"/>
        </w:rPr>
        <w:t>法定代表人本人参加需提供其身份证明原件和社保部门出具的社保缴纳汇总单原件。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8</w:t>
      </w:r>
      <w:r>
        <w:rPr>
          <w:rFonts w:hint="eastAsia" w:ascii="宋体" w:hAnsi="宋体"/>
          <w:sz w:val="28"/>
          <w:szCs w:val="28"/>
          <w:shd w:val="clear" w:color="auto" w:fill="FFFFFF"/>
        </w:rPr>
        <w:t>年以来的财务会计报表，包括资产负债表、损益表、现金流量表、利润表</w:t>
      </w:r>
      <w:r>
        <w:rPr>
          <w:rFonts w:hint="eastAsia" w:ascii="宋体" w:hAnsi="宋体"/>
          <w:sz w:val="28"/>
          <w:szCs w:val="28"/>
          <w:shd w:val="clear" w:color="auto" w:fill="FFFFFF"/>
          <w:lang w:val="en-US" w:eastAsia="zh-CN"/>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w:t>
      </w:r>
      <w:r>
        <w:rPr>
          <w:rFonts w:hint="eastAsia" w:ascii="宋体" w:hAnsi="宋体"/>
          <w:sz w:val="28"/>
          <w:szCs w:val="28"/>
          <w:shd w:val="clear" w:color="auto" w:fill="FFFFFF"/>
          <w:lang w:val="en-US" w:eastAsia="zh-CN"/>
        </w:rPr>
        <w:t>项目</w:t>
      </w:r>
      <w:r>
        <w:rPr>
          <w:rFonts w:hint="eastAsia" w:ascii="宋体" w:hAnsi="宋体"/>
          <w:sz w:val="28"/>
          <w:szCs w:val="28"/>
          <w:shd w:val="clear" w:color="auto" w:fill="FFFFFF"/>
        </w:rPr>
        <w:t>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（8）投标单位现有经营场地、服务机构等情况资料；驻项目现场的工程技术、管理人员；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25126"/>
      <w:bookmarkStart w:id="25" w:name="_Toc177824945"/>
      <w:bookmarkStart w:id="26" w:name="_Toc177824878"/>
      <w:bookmarkStart w:id="27" w:name="_Toc177870548"/>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70549"/>
      <w:bookmarkStart w:id="29" w:name="_Toc177824946"/>
      <w:bookmarkStart w:id="30" w:name="_Toc177824879"/>
      <w:bookmarkStart w:id="31" w:name="_Toc177825127"/>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5129"/>
      <w:bookmarkStart w:id="33" w:name="_Toc177824948"/>
      <w:bookmarkStart w:id="34" w:name="_Toc177824881"/>
      <w:bookmarkStart w:id="35" w:name="_Toc177870551"/>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五</w:t>
      </w:r>
      <w:r>
        <w:rPr>
          <w:rFonts w:hint="eastAsia" w:ascii="宋体" w:hAnsi="宋体" w:eastAsia="宋体" w:cs="宋体"/>
          <w:b/>
          <w:color w:val="000000"/>
          <w:sz w:val="28"/>
          <w:szCs w:val="28"/>
          <w:shd w:val="clear" w:color="auto" w:fill="FFFFFF"/>
        </w:rPr>
        <w:t>）、投标文件的签署和份数</w:t>
      </w:r>
      <w:bookmarkEnd w:id="32"/>
      <w:bookmarkEnd w:id="33"/>
      <w:bookmarkEnd w:id="34"/>
      <w:bookmarkEnd w:id="3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，推荐使用胶装订本。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2"/>
      <w:r>
        <w:rPr>
          <w:rFonts w:hint="eastAsia" w:ascii="宋体" w:hAnsi="宋体" w:eastAsia="宋体" w:cs="宋体"/>
          <w:b/>
          <w:color w:val="000000"/>
          <w:sz w:val="28"/>
          <w:szCs w:val="28"/>
          <w:shd w:val="clear" w:color="auto" w:fill="FFFFFF"/>
        </w:rPr>
        <w:t>（八）、投标无效的情形</w:t>
      </w:r>
      <w:bookmarkEnd w:id="3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shd w:val="clear" w:color="auto" w:fill="FFFFFF"/>
        </w:rPr>
        <w:t>未按规定交纳投标保证金或投标单位没有提交投标保证金缴存证明</w:t>
      </w:r>
      <w:r>
        <w:rPr>
          <w:rFonts w:hint="eastAsia" w:ascii="宋体" w:hAnsi="宋体" w:eastAsia="宋体" w:cs="宋体"/>
          <w:sz w:val="28"/>
          <w:szCs w:val="28"/>
          <w:shd w:val="clear" w:color="auto" w:fill="FFFFFF"/>
          <w:lang w:eastAsia="zh-CN"/>
        </w:rPr>
        <w:t>原件的；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（8）投标有效期、质保期不能满足公开文件要求的；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（9）未实质性响应公开文件要求或者投标文件有招标方不能接受的附加条件的。</w:t>
      </w:r>
    </w:p>
    <w:p>
      <w:pPr>
        <w:pStyle w:val="2"/>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37" w:name="_Toc177870553"/>
      <w:r>
        <w:rPr>
          <w:rFonts w:hint="eastAsia" w:ascii="宋体" w:hAnsi="宋体" w:eastAsia="宋体" w:cs="宋体"/>
          <w:b/>
          <w:color w:val="000000"/>
          <w:sz w:val="28"/>
          <w:szCs w:val="28"/>
          <w:shd w:val="clear" w:color="auto" w:fill="FFFFFF"/>
        </w:rPr>
        <w:t>四、开标</w:t>
      </w:r>
      <w:bookmarkEnd w:id="37"/>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3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val="en-US" w:eastAsia="zh-CN"/>
        </w:rPr>
        <w:t>供货</w:t>
      </w:r>
      <w:r>
        <w:rPr>
          <w:rFonts w:hint="eastAsia" w:ascii="宋体" w:hAnsi="宋体" w:eastAsia="宋体" w:cs="宋体"/>
          <w:color w:val="000000"/>
          <w:sz w:val="28"/>
          <w:szCs w:val="28"/>
          <w:shd w:val="clear" w:color="auto" w:fill="FFFFFF"/>
        </w:rPr>
        <w:t>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39" w:name="_Toc170792772"/>
      <w:bookmarkStart w:id="40" w:name="_Toc107820051"/>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39"/>
    <w:bookmarkEnd w:id="40"/>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1" w:name="_Toc177870556"/>
      <w:r>
        <w:rPr>
          <w:rFonts w:hint="eastAsia" w:ascii="宋体" w:hAnsi="宋体" w:eastAsia="宋体" w:cs="宋体"/>
          <w:b/>
          <w:color w:val="000000"/>
          <w:sz w:val="28"/>
          <w:szCs w:val="28"/>
          <w:shd w:val="clear" w:color="auto" w:fill="FFFFFF"/>
        </w:rPr>
        <w:t>合同</w:t>
      </w:r>
      <w:bookmarkEnd w:id="41"/>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b/>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t>投标人有前六项情形之一的，中标成交无效。</w:t>
      </w:r>
    </w:p>
    <w:p>
      <w:pPr>
        <w:pStyle w:val="7"/>
        <w:tabs>
          <w:tab w:val="left" w:pos="2475"/>
          <w:tab w:val="center" w:pos="4873"/>
        </w:tabs>
        <w:spacing w:line="360" w:lineRule="auto"/>
        <w:ind w:firstLine="2209" w:firstLineChars="5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2"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本项目为</w:t>
      </w:r>
      <w:r>
        <w:rPr>
          <w:rStyle w:val="17"/>
          <w:rFonts w:hint="eastAsia" w:ascii="宋体" w:hAnsi="宋体" w:eastAsia="宋体" w:cs="宋体"/>
          <w:b w:val="0"/>
          <w:bCs w:val="0"/>
          <w:kern w:val="0"/>
          <w:sz w:val="28"/>
          <w:szCs w:val="28"/>
          <w:lang w:val="en-US" w:eastAsia="zh-CN" w:bidi="ar"/>
        </w:rPr>
        <w:t>阿克苏市林草局2021-2022年核桃标准基地建设</w:t>
      </w:r>
      <w:r>
        <w:rPr>
          <w:rFonts w:hint="eastAsia" w:ascii="宋体" w:hAnsi="宋体" w:eastAsia="宋体" w:cs="宋体"/>
          <w:b w:val="0"/>
          <w:bCs w:val="0"/>
          <w:kern w:val="0"/>
          <w:sz w:val="28"/>
          <w:szCs w:val="28"/>
          <w:lang w:val="en-US" w:eastAsia="zh-CN"/>
        </w:rPr>
        <w:t>项目</w:t>
      </w:r>
      <w:r>
        <w:rPr>
          <w:rFonts w:hint="eastAsia" w:ascii="宋体" w:hAnsi="宋体" w:eastAsia="宋体" w:cs="宋体"/>
          <w:b w:val="0"/>
          <w:bCs w:val="0"/>
          <w:sz w:val="28"/>
          <w:szCs w:val="28"/>
          <w:lang w:val="en-US" w:eastAsia="zh-CN"/>
        </w:rPr>
        <w:t>、香梨低产低效林改造项目-林果技术服务</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。配置要求，详见下表:</w:t>
      </w:r>
    </w:p>
    <w:p>
      <w:pPr>
        <w:pStyle w:val="19"/>
        <w:ind w:firstLine="5040" w:firstLineChars="1800"/>
        <w:rPr>
          <w:rFonts w:hint="eastAsia" w:ascii="宋体" w:hAnsi="宋体" w:eastAsia="宋体" w:cs="宋体"/>
          <w:b w:val="0"/>
          <w:bCs/>
          <w:sz w:val="28"/>
          <w:szCs w:val="28"/>
        </w:rPr>
      </w:pPr>
    </w:p>
    <w:p>
      <w:pPr>
        <w:keepNext w:val="0"/>
        <w:keepLines w:val="0"/>
        <w:pageBreakBefore w:val="0"/>
        <w:widowControl/>
        <w:numPr>
          <w:ilvl w:val="0"/>
          <w:numId w:val="0"/>
        </w:numPr>
        <w:kinsoku/>
        <w:wordWrap w:val="0"/>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w w:val="100"/>
          <w:sz w:val="36"/>
          <w:szCs w:val="36"/>
          <w:lang w:eastAsia="zh-CN"/>
        </w:rPr>
      </w:pPr>
      <w:r>
        <w:rPr>
          <w:rFonts w:hint="eastAsia" w:ascii="方正小标宋简体" w:hAnsi="方正小标宋简体" w:eastAsia="方正小标宋简体" w:cs="方正小标宋简体"/>
          <w:b w:val="0"/>
          <w:w w:val="100"/>
          <w:sz w:val="36"/>
          <w:szCs w:val="36"/>
          <w:lang w:eastAsia="zh-CN"/>
        </w:rPr>
        <w:t>阿克苏市202</w:t>
      </w:r>
      <w:r>
        <w:rPr>
          <w:rFonts w:hint="eastAsia" w:ascii="方正小标宋简体" w:hAnsi="方正小标宋简体" w:eastAsia="方正小标宋简体" w:cs="方正小标宋简体"/>
          <w:b w:val="0"/>
          <w:w w:val="100"/>
          <w:sz w:val="36"/>
          <w:szCs w:val="36"/>
          <w:lang w:val="en-US" w:eastAsia="zh-CN"/>
        </w:rPr>
        <w:t>1-2022</w:t>
      </w:r>
      <w:r>
        <w:rPr>
          <w:rFonts w:hint="eastAsia" w:ascii="方正小标宋简体" w:hAnsi="方正小标宋简体" w:eastAsia="方正小标宋简体" w:cs="方正小标宋简体"/>
          <w:b w:val="0"/>
          <w:w w:val="100"/>
          <w:sz w:val="36"/>
          <w:szCs w:val="36"/>
          <w:lang w:eastAsia="zh-CN"/>
        </w:rPr>
        <w:t>年核桃标准化基地建设项目、</w:t>
      </w:r>
      <w:r>
        <w:rPr>
          <w:rFonts w:hint="eastAsia" w:ascii="方正小标宋简体" w:hAnsi="方正小标宋简体" w:eastAsia="方正小标宋简体" w:cs="方正小标宋简体"/>
          <w:b w:val="0"/>
          <w:w w:val="100"/>
          <w:sz w:val="36"/>
          <w:szCs w:val="36"/>
          <w:lang w:val="en-US" w:eastAsia="zh-CN"/>
        </w:rPr>
        <w:t>香梨低产低效林改造项目——</w:t>
      </w:r>
      <w:r>
        <w:rPr>
          <w:rFonts w:hint="eastAsia" w:ascii="方正小标宋简体" w:hAnsi="方正小标宋简体" w:eastAsia="方正小标宋简体" w:cs="方正小标宋简体"/>
          <w:b w:val="0"/>
          <w:w w:val="100"/>
          <w:sz w:val="36"/>
          <w:szCs w:val="36"/>
          <w:lang w:eastAsia="zh-CN"/>
        </w:rPr>
        <w:t>林果技术服务</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w w:val="100"/>
          <w:sz w:val="36"/>
          <w:szCs w:val="36"/>
          <w:lang w:eastAsia="zh-CN"/>
        </w:rPr>
      </w:pPr>
      <w:r>
        <w:rPr>
          <w:rFonts w:hint="eastAsia" w:ascii="方正小标宋简体" w:hAnsi="方正小标宋简体" w:eastAsia="方正小标宋简体" w:cs="方正小标宋简体"/>
          <w:b w:val="0"/>
          <w:w w:val="100"/>
          <w:sz w:val="36"/>
          <w:szCs w:val="36"/>
          <w:lang w:eastAsia="zh-CN"/>
        </w:rPr>
        <w:t>采购清单及要求</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560" w:lineRule="exact"/>
        <w:ind w:firstLine="602" w:firstLineChars="200"/>
        <w:jc w:val="both"/>
        <w:textAlignment w:val="auto"/>
        <w:rPr>
          <w:rFonts w:hint="eastAsia" w:ascii="仿宋_GB2312" w:hAnsi="仿宋_GB2312" w:eastAsia="仿宋_GB2312" w:cs="仿宋_GB2312"/>
          <w:b/>
          <w:bCs/>
          <w:w w:val="100"/>
          <w:sz w:val="30"/>
          <w:lang w:eastAsia="zh-CN"/>
        </w:rPr>
      </w:pPr>
      <w:r>
        <w:rPr>
          <w:rFonts w:hint="eastAsia" w:ascii="仿宋_GB2312" w:hAnsi="仿宋_GB2312" w:eastAsia="仿宋_GB2312" w:cs="仿宋_GB2312"/>
          <w:b/>
          <w:bCs/>
          <w:w w:val="100"/>
          <w:sz w:val="30"/>
          <w:lang w:eastAsia="zh-CN"/>
        </w:rPr>
        <w:t>一、采购清单</w:t>
      </w:r>
    </w:p>
    <w:tbl>
      <w:tblPr>
        <w:tblStyle w:val="15"/>
        <w:tblpPr w:vertAnchor="text" w:tblpXSpec="center" w:tblpY="3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1731"/>
        <w:gridCol w:w="993"/>
        <w:gridCol w:w="4273"/>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35"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rPr>
            </w:pPr>
            <w:r>
              <w:rPr>
                <w:rFonts w:hint="eastAsia" w:ascii="仿宋_GB2312" w:hAnsi="仿宋_GB2312" w:eastAsia="仿宋_GB2312" w:cs="仿宋_GB2312"/>
                <w:color w:val="auto"/>
                <w:position w:val="0"/>
                <w:sz w:val="24"/>
                <w:szCs w:val="24"/>
              </w:rPr>
              <w:t>序号</w:t>
            </w:r>
          </w:p>
        </w:tc>
        <w:tc>
          <w:tcPr>
            <w:tcW w:w="1731" w:type="dxa"/>
            <w:shd w:val="clear" w:color="000000" w:fill="auto"/>
            <w:noWrap w:val="0"/>
            <w:vAlign w:val="center"/>
          </w:tcPr>
          <w:p>
            <w:pPr>
              <w:numPr>
                <w:ilvl w:val="0"/>
                <w:numId w:val="0"/>
              </w:numPr>
              <w:wordWrap w:val="0"/>
              <w:autoSpaceDE/>
              <w:autoSpaceDN/>
              <w:spacing w:before="0" w:after="0" w:line="240" w:lineRule="auto"/>
              <w:ind w:right="0" w:firstLine="210"/>
              <w:jc w:val="center"/>
              <w:rPr>
                <w:rFonts w:hint="eastAsia" w:ascii="仿宋_GB2312" w:hAnsi="仿宋_GB2312" w:eastAsia="仿宋_GB2312" w:cs="仿宋_GB2312"/>
                <w:color w:val="auto"/>
                <w:position w:val="0"/>
                <w:sz w:val="24"/>
                <w:szCs w:val="24"/>
                <w:lang w:eastAsia="zh-CN"/>
              </w:rPr>
            </w:pPr>
            <w:r>
              <w:rPr>
                <w:rFonts w:hint="eastAsia" w:ascii="仿宋_GB2312" w:hAnsi="仿宋_GB2312" w:eastAsia="仿宋_GB2312" w:cs="仿宋_GB2312"/>
                <w:color w:val="auto"/>
                <w:position w:val="0"/>
                <w:sz w:val="24"/>
                <w:szCs w:val="24"/>
                <w:lang w:eastAsia="zh-CN"/>
              </w:rPr>
              <w:t>实施地点</w:t>
            </w:r>
          </w:p>
        </w:tc>
        <w:tc>
          <w:tcPr>
            <w:tcW w:w="993"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lang w:eastAsia="zh-CN"/>
              </w:rPr>
            </w:pPr>
            <w:r>
              <w:rPr>
                <w:rFonts w:hint="eastAsia" w:ascii="仿宋_GB2312" w:hAnsi="仿宋_GB2312" w:eastAsia="仿宋_GB2312" w:cs="仿宋_GB2312"/>
                <w:color w:val="auto"/>
                <w:position w:val="0"/>
                <w:sz w:val="24"/>
                <w:szCs w:val="24"/>
                <w:lang w:eastAsia="zh-CN"/>
              </w:rPr>
              <w:t>面积（亩）</w:t>
            </w:r>
          </w:p>
        </w:tc>
        <w:tc>
          <w:tcPr>
            <w:tcW w:w="4273"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lang w:eastAsia="zh-CN"/>
              </w:rPr>
            </w:pPr>
            <w:r>
              <w:rPr>
                <w:rFonts w:hint="eastAsia" w:ascii="仿宋_GB2312" w:hAnsi="仿宋_GB2312" w:eastAsia="仿宋_GB2312" w:cs="仿宋_GB2312"/>
                <w:color w:val="auto"/>
                <w:position w:val="0"/>
                <w:sz w:val="24"/>
                <w:szCs w:val="24"/>
                <w:lang w:eastAsia="zh-CN"/>
              </w:rPr>
              <w:t>服务内容</w:t>
            </w:r>
          </w:p>
        </w:tc>
        <w:tc>
          <w:tcPr>
            <w:tcW w:w="1174"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lang w:eastAsia="zh-CN"/>
              </w:rPr>
            </w:pPr>
            <w:r>
              <w:rPr>
                <w:rFonts w:hint="eastAsia" w:ascii="仿宋_GB2312" w:hAnsi="仿宋_GB2312" w:eastAsia="仿宋_GB2312" w:cs="仿宋_GB2312"/>
                <w:color w:val="auto"/>
                <w:position w:val="0"/>
                <w:sz w:val="24"/>
                <w:szCs w:val="24"/>
                <w:lang w:eastAsia="zh-CN"/>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735"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rPr>
            </w:pPr>
            <w:r>
              <w:rPr>
                <w:rFonts w:hint="eastAsia" w:ascii="仿宋_GB2312" w:hAnsi="仿宋_GB2312" w:eastAsia="仿宋_GB2312" w:cs="仿宋_GB2312"/>
                <w:color w:val="auto"/>
                <w:position w:val="0"/>
                <w:sz w:val="24"/>
                <w:szCs w:val="24"/>
              </w:rPr>
              <w:t>1</w:t>
            </w:r>
          </w:p>
        </w:tc>
        <w:tc>
          <w:tcPr>
            <w:tcW w:w="1731"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eastAsia="zh-CN"/>
              </w:rPr>
              <w:t>库木巴什乡</w:t>
            </w:r>
          </w:p>
        </w:tc>
        <w:tc>
          <w:tcPr>
            <w:tcW w:w="993" w:type="dxa"/>
            <w:shd w:val="clear" w:color="000000" w:fill="auto"/>
            <w:noWrap w:val="0"/>
            <w:vAlign w:val="center"/>
          </w:tcPr>
          <w:p>
            <w:pPr>
              <w:pStyle w:val="11"/>
              <w:numPr>
                <w:ilvl w:val="0"/>
                <w:numId w:val="0"/>
              </w:numPr>
              <w:wordWrap w:val="0"/>
              <w:autoSpaceDE/>
              <w:autoSpaceDN/>
              <w:spacing w:before="240" w:after="120" w:line="240" w:lineRule="auto"/>
              <w:ind w:right="0" w:firstLine="0"/>
              <w:jc w:val="center"/>
              <w:rPr>
                <w:rFonts w:hint="eastAsia" w:ascii="仿宋_GB2312" w:hAnsi="仿宋_GB2312" w:eastAsia="仿宋_GB2312" w:cs="仿宋_GB2312"/>
                <w:b/>
                <w:i w:val="0"/>
                <w:smallCaps w:val="0"/>
                <w:color w:val="000000"/>
                <w:spacing w:val="0"/>
                <w:position w:val="0"/>
                <w:sz w:val="24"/>
                <w:szCs w:val="24"/>
                <w:u w:val="none"/>
                <w:vertAlign w:val="baseline"/>
                <w:lang w:val="en-US" w:eastAsia="zh-CN"/>
              </w:rPr>
            </w:pPr>
            <w:r>
              <w:rPr>
                <w:rFonts w:hint="eastAsia" w:ascii="仿宋_GB2312" w:hAnsi="仿宋_GB2312" w:eastAsia="仿宋_GB2312" w:cs="仿宋_GB2312"/>
                <w:b w:val="0"/>
                <w:i w:val="0"/>
                <w:smallCaps w:val="0"/>
                <w:color w:val="000000"/>
                <w:spacing w:val="0"/>
                <w:position w:val="0"/>
                <w:sz w:val="24"/>
                <w:szCs w:val="24"/>
                <w:u w:val="none"/>
                <w:vertAlign w:val="baseline"/>
                <w:lang w:val="en-US" w:eastAsia="zh-CN"/>
              </w:rPr>
              <w:t>2000亩</w:t>
            </w:r>
          </w:p>
        </w:tc>
        <w:tc>
          <w:tcPr>
            <w:tcW w:w="4273" w:type="dxa"/>
            <w:shd w:val="clear" w:color="000000" w:fill="auto"/>
            <w:noWrap w:val="0"/>
            <w:vAlign w:val="center"/>
          </w:tcPr>
          <w:p>
            <w:pPr>
              <w:numPr>
                <w:ilvl w:val="0"/>
                <w:numId w:val="0"/>
              </w:numPr>
              <w:wordWrap w:val="0"/>
              <w:autoSpaceDE/>
              <w:autoSpaceDN/>
              <w:spacing w:before="0" w:after="0" w:line="240" w:lineRule="auto"/>
              <w:ind w:right="0" w:firstLine="0"/>
              <w:jc w:val="both"/>
              <w:rPr>
                <w:rFonts w:hint="default" w:ascii="仿宋_GB2312" w:hAnsi="仿宋_GB2312" w:eastAsia="仿宋_GB2312" w:cs="仿宋_GB2312"/>
                <w:color w:val="auto"/>
                <w:position w:val="0"/>
                <w:sz w:val="24"/>
                <w:szCs w:val="24"/>
                <w:lang w:val="en-US"/>
              </w:rPr>
            </w:pPr>
            <w:r>
              <w:rPr>
                <w:rFonts w:hint="eastAsia" w:ascii="仿宋_GB2312" w:hAnsi="仿宋_GB2312" w:eastAsia="仿宋_GB2312" w:cs="仿宋_GB2312"/>
                <w:color w:val="auto"/>
                <w:position w:val="0"/>
                <w:sz w:val="24"/>
                <w:szCs w:val="24"/>
                <w:lang w:val="en-US" w:eastAsia="zh-CN"/>
              </w:rPr>
              <w:t>1、核桃控高修剪，符合技术要求，疏除重叠枝、过密大枝。2、回缩光杆枝、株行间交叉枝、细弱长枝、下垂枝，剪除干枯枝。3、培养农民技术员100名。</w:t>
            </w:r>
          </w:p>
        </w:tc>
        <w:tc>
          <w:tcPr>
            <w:tcW w:w="1174"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735" w:type="dxa"/>
            <w:shd w:val="clear" w:color="000000" w:fill="auto"/>
            <w:noWrap w:val="0"/>
            <w:vAlign w:val="center"/>
          </w:tcPr>
          <w:p>
            <w:pPr>
              <w:numPr>
                <w:ilvl w:val="0"/>
                <w:numId w:val="0"/>
              </w:numPr>
              <w:wordWrap w:val="0"/>
              <w:autoSpaceDE/>
              <w:autoSpaceDN/>
              <w:spacing w:before="0" w:after="0" w:line="240" w:lineRule="auto"/>
              <w:ind w:left="0" w:leftChars="0" w:right="0" w:rightChars="0" w:firstLine="0" w:firstLineChars="0"/>
              <w:jc w:val="center"/>
              <w:rPr>
                <w:rFonts w:hint="eastAsia" w:ascii="仿宋_GB2312" w:hAnsi="仿宋_GB2312" w:eastAsia="仿宋_GB2312" w:cs="仿宋_GB2312"/>
                <w:color w:val="auto"/>
                <w:position w:val="0"/>
                <w:sz w:val="24"/>
                <w:szCs w:val="24"/>
                <w:lang w:eastAsia="zh-CN"/>
              </w:rPr>
            </w:pPr>
            <w:r>
              <w:rPr>
                <w:rFonts w:hint="eastAsia" w:ascii="仿宋_GB2312" w:hAnsi="仿宋_GB2312" w:eastAsia="仿宋_GB2312" w:cs="仿宋_GB2312"/>
                <w:color w:val="auto"/>
                <w:position w:val="0"/>
                <w:sz w:val="24"/>
                <w:szCs w:val="24"/>
                <w:lang w:val="en-US" w:eastAsia="zh-CN"/>
              </w:rPr>
              <w:t>2</w:t>
            </w:r>
          </w:p>
        </w:tc>
        <w:tc>
          <w:tcPr>
            <w:tcW w:w="1731" w:type="dxa"/>
            <w:shd w:val="clear" w:color="000000" w:fill="auto"/>
            <w:noWrap w:val="0"/>
            <w:vAlign w:val="center"/>
          </w:tcPr>
          <w:p>
            <w:pPr>
              <w:numPr>
                <w:ilvl w:val="0"/>
                <w:numId w:val="0"/>
              </w:numPr>
              <w:wordWrap w:val="0"/>
              <w:autoSpaceDE/>
              <w:autoSpaceDN/>
              <w:spacing w:before="0" w:after="0" w:line="240" w:lineRule="auto"/>
              <w:ind w:right="0" w:firstLine="0"/>
              <w:jc w:val="center"/>
              <w:rPr>
                <w:rFonts w:hint="eastAsia" w:ascii="仿宋_GB2312" w:hAnsi="仿宋_GB2312" w:eastAsia="仿宋_GB2312" w:cs="仿宋_GB2312"/>
                <w:color w:val="auto"/>
                <w:position w:val="0"/>
                <w:sz w:val="24"/>
                <w:szCs w:val="24"/>
                <w:lang w:eastAsia="zh-CN"/>
              </w:rPr>
            </w:pPr>
            <w:r>
              <w:rPr>
                <w:rFonts w:hint="eastAsia" w:ascii="仿宋_GB2312" w:hAnsi="仿宋_GB2312" w:eastAsia="仿宋_GB2312" w:cs="仿宋_GB2312"/>
                <w:color w:val="auto"/>
                <w:position w:val="0"/>
                <w:sz w:val="24"/>
                <w:szCs w:val="24"/>
                <w:lang w:eastAsia="zh-CN"/>
              </w:rPr>
              <w:t>拜什吐格曼乡</w:t>
            </w:r>
          </w:p>
          <w:p>
            <w:pPr>
              <w:numPr>
                <w:ilvl w:val="0"/>
                <w:numId w:val="0"/>
              </w:numPr>
              <w:wordWrap w:val="0"/>
              <w:autoSpaceDE/>
              <w:autoSpaceDN/>
              <w:spacing w:before="0" w:after="0" w:line="240" w:lineRule="auto"/>
              <w:ind w:left="0" w:leftChars="0" w:right="0" w:rightChars="0" w:firstLine="0" w:firstLineChars="0"/>
              <w:jc w:val="center"/>
              <w:rPr>
                <w:rFonts w:hint="eastAsia"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eastAsia="zh-CN"/>
              </w:rPr>
              <w:t>喀拉塔勒镇</w:t>
            </w:r>
          </w:p>
        </w:tc>
        <w:tc>
          <w:tcPr>
            <w:tcW w:w="993" w:type="dxa"/>
            <w:shd w:val="clear" w:color="000000" w:fill="auto"/>
            <w:noWrap w:val="0"/>
            <w:vAlign w:val="center"/>
          </w:tcPr>
          <w:p>
            <w:pPr>
              <w:pStyle w:val="11"/>
              <w:numPr>
                <w:ilvl w:val="0"/>
                <w:numId w:val="0"/>
              </w:numPr>
              <w:wordWrap w:val="0"/>
              <w:autoSpaceDE/>
              <w:autoSpaceDN/>
              <w:spacing w:before="240" w:after="120" w:line="240" w:lineRule="auto"/>
              <w:ind w:left="0" w:leftChars="0" w:right="0" w:rightChars="0" w:firstLine="0" w:firstLineChars="0"/>
              <w:jc w:val="center"/>
              <w:rPr>
                <w:rFonts w:hint="eastAsia" w:ascii="仿宋_GB2312" w:hAnsi="仿宋_GB2312" w:eastAsia="仿宋_GB2312" w:cs="仿宋_GB2312"/>
                <w:b/>
                <w:i w:val="0"/>
                <w:smallCaps w:val="0"/>
                <w:color w:val="000000"/>
                <w:spacing w:val="0"/>
                <w:w w:val="100"/>
                <w:position w:val="0"/>
                <w:sz w:val="24"/>
                <w:szCs w:val="24"/>
                <w:u w:val="none"/>
                <w:shd w:val="clear" w:color="auto" w:fill="auto"/>
                <w:vertAlign w:val="baseline"/>
                <w:lang w:val="en-US" w:eastAsia="zh-CN"/>
              </w:rPr>
            </w:pPr>
            <w:r>
              <w:rPr>
                <w:rFonts w:hint="eastAsia" w:ascii="仿宋_GB2312" w:hAnsi="仿宋_GB2312" w:eastAsia="仿宋_GB2312" w:cs="仿宋_GB2312"/>
                <w:b w:val="0"/>
                <w:i w:val="0"/>
                <w:smallCaps w:val="0"/>
                <w:color w:val="000000"/>
                <w:spacing w:val="0"/>
                <w:position w:val="0"/>
                <w:sz w:val="24"/>
                <w:szCs w:val="24"/>
                <w:u w:val="none"/>
                <w:vertAlign w:val="baseline"/>
                <w:lang w:val="en-US" w:eastAsia="zh-CN"/>
              </w:rPr>
              <w:t>5000亩</w:t>
            </w:r>
          </w:p>
        </w:tc>
        <w:tc>
          <w:tcPr>
            <w:tcW w:w="4273" w:type="dxa"/>
            <w:shd w:val="clear" w:color="000000" w:fill="auto"/>
            <w:noWrap w:val="0"/>
            <w:vAlign w:val="center"/>
          </w:tcPr>
          <w:p>
            <w:pPr>
              <w:numPr>
                <w:ilvl w:val="0"/>
                <w:numId w:val="0"/>
              </w:numPr>
              <w:wordWrap w:val="0"/>
              <w:autoSpaceDE/>
              <w:autoSpaceDN/>
              <w:spacing w:before="0" w:after="0" w:line="240" w:lineRule="auto"/>
              <w:ind w:left="0" w:leftChars="0" w:right="0" w:rightChars="0" w:firstLine="0" w:firstLineChars="0"/>
              <w:jc w:val="both"/>
              <w:rPr>
                <w:rFonts w:hint="eastAsia"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val="en-US" w:eastAsia="zh-CN"/>
              </w:rPr>
              <w:t>1、香梨春季花前（3月下旬-4月上旬）枝枯病病枝的剪除，落实“一剪一消毒”，病枝的清理和集中销毁处理。2、香梨夏季（5月下旬-6月中旬）枝枯病病枝的剪除，落实“一剪一消毒”，病枝的清理和集中销毁处理。3、香梨秋季（7月下旬-8月上旬）枝枯病病枝的剪除，落实“一剪一消毒”，病枝的清理和集中销毁处理。4、香梨采后（10月）枝枯病病枝的剪除，落实“一剪一消毒”，病枝的清理和集中销毁处理。5、通过技术服务指导开展香梨优质高产、病虫害防治等培训不少于5场次，培养农民技术人员100名。</w:t>
            </w:r>
          </w:p>
        </w:tc>
        <w:tc>
          <w:tcPr>
            <w:tcW w:w="1174" w:type="dxa"/>
            <w:shd w:val="clear" w:color="000000" w:fill="auto"/>
            <w:noWrap w:val="0"/>
            <w:vAlign w:val="center"/>
          </w:tcPr>
          <w:p>
            <w:pPr>
              <w:numPr>
                <w:ilvl w:val="0"/>
                <w:numId w:val="0"/>
              </w:numPr>
              <w:wordWrap w:val="0"/>
              <w:autoSpaceDE/>
              <w:autoSpaceDN/>
              <w:spacing w:before="0" w:after="0" w:line="240" w:lineRule="auto"/>
              <w:ind w:left="0" w:leftChars="0" w:right="0" w:rightChars="0" w:firstLine="0" w:firstLineChars="0"/>
              <w:jc w:val="center"/>
              <w:rPr>
                <w:rFonts w:hint="eastAsia"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2466" w:type="dxa"/>
            <w:gridSpan w:val="2"/>
            <w:shd w:val="clear" w:color="000000" w:fill="auto"/>
            <w:noWrap w:val="0"/>
            <w:vAlign w:val="center"/>
          </w:tcPr>
          <w:p>
            <w:pPr>
              <w:numPr>
                <w:ilvl w:val="0"/>
                <w:numId w:val="0"/>
              </w:numPr>
              <w:wordWrap w:val="0"/>
              <w:autoSpaceDE/>
              <w:autoSpaceDN/>
              <w:spacing w:before="0" w:after="0" w:line="240" w:lineRule="auto"/>
              <w:ind w:left="0" w:leftChars="0" w:right="0" w:rightChars="0" w:firstLine="0" w:firstLineChars="0"/>
              <w:jc w:val="center"/>
              <w:rPr>
                <w:rFonts w:hint="default"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val="en-US" w:eastAsia="zh-CN"/>
              </w:rPr>
              <w:t>总计</w:t>
            </w:r>
          </w:p>
        </w:tc>
        <w:tc>
          <w:tcPr>
            <w:tcW w:w="993" w:type="dxa"/>
            <w:shd w:val="clear" w:color="000000" w:fill="auto"/>
            <w:noWrap w:val="0"/>
            <w:vAlign w:val="center"/>
          </w:tcPr>
          <w:p>
            <w:pPr>
              <w:pStyle w:val="11"/>
              <w:numPr>
                <w:ilvl w:val="0"/>
                <w:numId w:val="0"/>
              </w:numPr>
              <w:wordWrap w:val="0"/>
              <w:autoSpaceDE/>
              <w:autoSpaceDN/>
              <w:spacing w:before="240" w:after="120" w:line="240" w:lineRule="auto"/>
              <w:ind w:left="0" w:leftChars="0" w:right="0" w:rightChars="0" w:firstLine="0" w:firstLineChars="0"/>
              <w:jc w:val="center"/>
              <w:rPr>
                <w:rFonts w:hint="default" w:ascii="仿宋_GB2312" w:hAnsi="仿宋_GB2312" w:eastAsia="仿宋_GB2312" w:cs="仿宋_GB2312"/>
                <w:b w:val="0"/>
                <w:i w:val="0"/>
                <w:smallCaps w:val="0"/>
                <w:color w:val="000000"/>
                <w:spacing w:val="0"/>
                <w:position w:val="0"/>
                <w:sz w:val="24"/>
                <w:szCs w:val="24"/>
                <w:u w:val="none"/>
                <w:vertAlign w:val="baseline"/>
                <w:lang w:val="en-US" w:eastAsia="zh-CN"/>
              </w:rPr>
            </w:pPr>
            <w:r>
              <w:rPr>
                <w:rFonts w:hint="eastAsia" w:ascii="仿宋_GB2312" w:hAnsi="仿宋_GB2312" w:eastAsia="仿宋_GB2312" w:cs="仿宋_GB2312"/>
                <w:b w:val="0"/>
                <w:i w:val="0"/>
                <w:smallCaps w:val="0"/>
                <w:color w:val="000000"/>
                <w:spacing w:val="0"/>
                <w:position w:val="0"/>
                <w:sz w:val="24"/>
                <w:szCs w:val="24"/>
                <w:u w:val="none"/>
                <w:vertAlign w:val="baseline"/>
                <w:lang w:val="en-US" w:eastAsia="zh-CN"/>
              </w:rPr>
              <w:t>7000亩</w:t>
            </w:r>
          </w:p>
        </w:tc>
        <w:tc>
          <w:tcPr>
            <w:tcW w:w="4273" w:type="dxa"/>
            <w:shd w:val="clear" w:color="000000" w:fill="auto"/>
            <w:noWrap w:val="0"/>
            <w:vAlign w:val="center"/>
          </w:tcPr>
          <w:p>
            <w:pPr>
              <w:numPr>
                <w:ilvl w:val="0"/>
                <w:numId w:val="0"/>
              </w:numPr>
              <w:wordWrap w:val="0"/>
              <w:autoSpaceDE/>
              <w:autoSpaceDN/>
              <w:spacing w:before="0" w:after="0" w:line="240" w:lineRule="auto"/>
              <w:ind w:left="0" w:leftChars="0" w:right="0" w:rightChars="0" w:firstLine="0" w:firstLineChars="0"/>
              <w:jc w:val="both"/>
              <w:rPr>
                <w:rFonts w:hint="eastAsia" w:ascii="仿宋_GB2312" w:hAnsi="仿宋_GB2312" w:eastAsia="仿宋_GB2312" w:cs="仿宋_GB2312"/>
                <w:color w:val="auto"/>
                <w:position w:val="0"/>
                <w:sz w:val="24"/>
                <w:szCs w:val="24"/>
                <w:lang w:val="en-US" w:eastAsia="zh-CN"/>
              </w:rPr>
            </w:pPr>
          </w:p>
        </w:tc>
        <w:tc>
          <w:tcPr>
            <w:tcW w:w="1174" w:type="dxa"/>
            <w:shd w:val="clear" w:color="000000" w:fill="auto"/>
            <w:noWrap w:val="0"/>
            <w:vAlign w:val="center"/>
          </w:tcPr>
          <w:p>
            <w:pPr>
              <w:numPr>
                <w:ilvl w:val="0"/>
                <w:numId w:val="0"/>
              </w:numPr>
              <w:wordWrap w:val="0"/>
              <w:autoSpaceDE/>
              <w:autoSpaceDN/>
              <w:spacing w:before="0" w:after="0" w:line="240" w:lineRule="auto"/>
              <w:ind w:left="0" w:leftChars="0" w:right="0" w:rightChars="0" w:firstLine="0" w:firstLineChars="0"/>
              <w:jc w:val="center"/>
              <w:rPr>
                <w:rFonts w:hint="default" w:ascii="仿宋_GB2312" w:hAnsi="仿宋_GB2312" w:eastAsia="仿宋_GB2312" w:cs="仿宋_GB2312"/>
                <w:color w:val="auto"/>
                <w:position w:val="0"/>
                <w:sz w:val="24"/>
                <w:szCs w:val="24"/>
                <w:lang w:val="en-US" w:eastAsia="zh-CN"/>
              </w:rPr>
            </w:pPr>
            <w:r>
              <w:rPr>
                <w:rFonts w:hint="eastAsia" w:ascii="仿宋_GB2312" w:hAnsi="仿宋_GB2312" w:eastAsia="仿宋_GB2312" w:cs="仿宋_GB2312"/>
                <w:color w:val="auto"/>
                <w:position w:val="0"/>
                <w:sz w:val="24"/>
                <w:szCs w:val="24"/>
                <w:lang w:val="en-US" w:eastAsia="zh-CN"/>
              </w:rPr>
              <w:t xml:space="preserve"> </w:t>
            </w:r>
          </w:p>
        </w:tc>
      </w:tr>
    </w:tbl>
    <w:p>
      <w:pPr>
        <w:keepNext w:val="0"/>
        <w:keepLines w:val="0"/>
        <w:pageBreakBefore w:val="0"/>
        <w:widowControl/>
        <w:numPr>
          <w:ilvl w:val="0"/>
          <w:numId w:val="0"/>
        </w:numPr>
        <w:kinsoku/>
        <w:wordWrap w:val="0"/>
        <w:overflowPunct/>
        <w:topLinePunct w:val="0"/>
        <w:autoSpaceDE/>
        <w:autoSpaceDN/>
        <w:bidi w:val="0"/>
        <w:adjustRightInd/>
        <w:snapToGrid/>
        <w:spacing w:before="0" w:after="0" w:line="500" w:lineRule="exact"/>
        <w:ind w:firstLine="602" w:firstLineChars="200"/>
        <w:jc w:val="both"/>
        <w:textAlignment w:val="auto"/>
        <w:rPr>
          <w:rFonts w:hint="eastAsia" w:ascii="仿宋_GB2312" w:hAnsi="仿宋_GB2312" w:eastAsia="仿宋_GB2312" w:cs="仿宋_GB2312"/>
          <w:b/>
          <w:bCs/>
          <w:w w:val="100"/>
          <w:sz w:val="30"/>
          <w:lang w:eastAsia="zh-CN"/>
        </w:rPr>
      </w:pPr>
    </w:p>
    <w:p>
      <w:pPr>
        <w:keepNext w:val="0"/>
        <w:keepLines w:val="0"/>
        <w:pageBreakBefore w:val="0"/>
        <w:widowControl/>
        <w:numPr>
          <w:ilvl w:val="0"/>
          <w:numId w:val="0"/>
        </w:numPr>
        <w:kinsoku/>
        <w:wordWrap w:val="0"/>
        <w:overflowPunct/>
        <w:topLinePunct w:val="0"/>
        <w:autoSpaceDE/>
        <w:autoSpaceDN/>
        <w:bidi w:val="0"/>
        <w:adjustRightInd/>
        <w:snapToGrid/>
        <w:spacing w:before="0" w:after="0" w:line="500" w:lineRule="exact"/>
        <w:ind w:firstLine="602" w:firstLineChars="200"/>
        <w:jc w:val="both"/>
        <w:textAlignment w:val="auto"/>
        <w:rPr>
          <w:rFonts w:hint="eastAsia" w:ascii="仿宋_GB2312" w:hAnsi="仿宋_GB2312" w:eastAsia="仿宋_GB2312" w:cs="仿宋_GB2312"/>
          <w:b/>
          <w:bCs/>
          <w:w w:val="100"/>
          <w:sz w:val="30"/>
          <w:lang w:eastAsia="zh-CN"/>
        </w:rPr>
      </w:pPr>
    </w:p>
    <w:p>
      <w:pPr>
        <w:keepNext w:val="0"/>
        <w:keepLines w:val="0"/>
        <w:pageBreakBefore w:val="0"/>
        <w:widowControl/>
        <w:numPr>
          <w:ilvl w:val="0"/>
          <w:numId w:val="0"/>
        </w:numPr>
        <w:kinsoku/>
        <w:wordWrap w:val="0"/>
        <w:overflowPunct/>
        <w:topLinePunct w:val="0"/>
        <w:autoSpaceDE/>
        <w:autoSpaceDN/>
        <w:bidi w:val="0"/>
        <w:adjustRightInd/>
        <w:snapToGrid/>
        <w:spacing w:before="0" w:after="0" w:line="500" w:lineRule="exact"/>
        <w:ind w:firstLine="602" w:firstLineChars="200"/>
        <w:jc w:val="both"/>
        <w:textAlignment w:val="auto"/>
        <w:rPr>
          <w:rFonts w:hint="eastAsia" w:ascii="仿宋_GB2312" w:hAnsi="仿宋_GB2312" w:eastAsia="仿宋_GB2312" w:cs="仿宋_GB2312"/>
          <w:b/>
          <w:bCs/>
          <w:w w:val="100"/>
          <w:sz w:val="30"/>
          <w:lang w:eastAsia="zh-CN"/>
        </w:rPr>
      </w:pPr>
      <w:r>
        <w:rPr>
          <w:rFonts w:hint="eastAsia" w:ascii="仿宋_GB2312" w:hAnsi="仿宋_GB2312" w:eastAsia="仿宋_GB2312" w:cs="仿宋_GB2312"/>
          <w:b/>
          <w:bCs/>
          <w:w w:val="100"/>
          <w:sz w:val="30"/>
          <w:lang w:eastAsia="zh-CN"/>
        </w:rPr>
        <w:t>二、采购要求：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00" w:firstLineChars="200"/>
        <w:jc w:val="both"/>
        <w:textAlignment w:val="auto"/>
        <w:rPr>
          <w:rFonts w:hint="eastAsia" w:ascii="仿宋_GB2312" w:hAnsi="仿宋_GB2312" w:eastAsia="仿宋_GB2312" w:cs="仿宋_GB2312"/>
          <w:b w:val="0"/>
          <w:w w:val="100"/>
          <w:kern w:val="0"/>
          <w:sz w:val="30"/>
          <w:szCs w:val="22"/>
          <w:lang w:eastAsia="zh-CN"/>
        </w:rPr>
      </w:pPr>
      <w:r>
        <w:rPr>
          <w:rFonts w:hint="eastAsia" w:ascii="仿宋_GB2312" w:hAnsi="仿宋_GB2312" w:eastAsia="仿宋_GB2312" w:cs="仿宋_GB2312"/>
          <w:b w:val="0"/>
          <w:w w:val="100"/>
          <w:kern w:val="0"/>
          <w:sz w:val="30"/>
          <w:szCs w:val="22"/>
          <w:lang w:val="en-US" w:eastAsia="zh-CN"/>
        </w:rPr>
        <w:t>1、</w:t>
      </w:r>
      <w:r>
        <w:rPr>
          <w:rFonts w:hint="eastAsia" w:ascii="仿宋_GB2312" w:hAnsi="仿宋_GB2312" w:eastAsia="仿宋_GB2312" w:cs="仿宋_GB2312"/>
          <w:b w:val="0"/>
          <w:w w:val="100"/>
          <w:kern w:val="0"/>
          <w:sz w:val="30"/>
          <w:szCs w:val="22"/>
          <w:lang w:eastAsia="zh-CN"/>
        </w:rPr>
        <w:t>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00" w:firstLineChars="200"/>
        <w:jc w:val="both"/>
        <w:textAlignment w:val="auto"/>
        <w:rPr>
          <w:rFonts w:hint="eastAsia" w:ascii="仿宋_GB2312" w:hAnsi="仿宋_GB2312" w:eastAsia="仿宋_GB2312" w:cs="仿宋_GB2312"/>
          <w:b w:val="0"/>
          <w:w w:val="100"/>
          <w:kern w:val="0"/>
          <w:sz w:val="30"/>
          <w:szCs w:val="22"/>
          <w:lang w:eastAsia="zh-CN"/>
        </w:rPr>
      </w:pPr>
      <w:r>
        <w:rPr>
          <w:rFonts w:hint="eastAsia" w:ascii="仿宋_GB2312" w:hAnsi="仿宋_GB2312" w:eastAsia="仿宋_GB2312" w:cs="仿宋_GB2312"/>
          <w:b w:val="0"/>
          <w:w w:val="100"/>
          <w:kern w:val="0"/>
          <w:sz w:val="30"/>
          <w:szCs w:val="22"/>
          <w:lang w:val="en-US" w:eastAsia="zh-CN"/>
        </w:rPr>
        <w:t xml:space="preserve"> </w:t>
      </w:r>
      <w:r>
        <w:rPr>
          <w:rFonts w:hint="eastAsia" w:ascii="仿宋_GB2312" w:hAnsi="仿宋_GB2312" w:eastAsia="仿宋_GB2312" w:cs="仿宋_GB2312"/>
          <w:b w:val="0"/>
          <w:w w:val="100"/>
          <w:kern w:val="0"/>
          <w:sz w:val="30"/>
          <w:szCs w:val="22"/>
          <w:lang w:eastAsia="zh-CN"/>
        </w:rPr>
        <w:t>（</w:t>
      </w:r>
      <w:r>
        <w:rPr>
          <w:rFonts w:hint="eastAsia" w:ascii="仿宋_GB2312" w:hAnsi="仿宋_GB2312" w:eastAsia="仿宋_GB2312" w:cs="仿宋_GB2312"/>
          <w:b w:val="0"/>
          <w:w w:val="100"/>
          <w:kern w:val="0"/>
          <w:sz w:val="30"/>
          <w:szCs w:val="22"/>
          <w:lang w:val="en-US" w:eastAsia="zh-CN"/>
        </w:rPr>
        <w:t>1</w:t>
      </w:r>
      <w:r>
        <w:rPr>
          <w:rFonts w:hint="eastAsia" w:ascii="仿宋_GB2312" w:hAnsi="仿宋_GB2312" w:eastAsia="仿宋_GB2312" w:cs="仿宋_GB2312"/>
          <w:b w:val="0"/>
          <w:w w:val="100"/>
          <w:kern w:val="0"/>
          <w:sz w:val="30"/>
          <w:szCs w:val="22"/>
          <w:lang w:eastAsia="zh-CN"/>
        </w:rPr>
        <w:t>）有在阿克苏市乡镇范围内开展核桃、</w:t>
      </w:r>
      <w:r>
        <w:rPr>
          <w:rFonts w:hint="eastAsia" w:ascii="仿宋_GB2312" w:hAnsi="仿宋_GB2312" w:eastAsia="仿宋_GB2312" w:cs="仿宋_GB2312"/>
          <w:b w:val="0"/>
          <w:w w:val="100"/>
          <w:kern w:val="0"/>
          <w:sz w:val="30"/>
          <w:szCs w:val="22"/>
          <w:lang w:val="en-US" w:eastAsia="zh-CN"/>
        </w:rPr>
        <w:t>香梨</w:t>
      </w:r>
      <w:r>
        <w:rPr>
          <w:rFonts w:hint="eastAsia" w:ascii="仿宋_GB2312" w:hAnsi="仿宋_GB2312" w:eastAsia="仿宋_GB2312" w:cs="仿宋_GB2312"/>
          <w:b w:val="0"/>
          <w:w w:val="100"/>
          <w:kern w:val="0"/>
          <w:sz w:val="30"/>
          <w:szCs w:val="22"/>
          <w:lang w:eastAsia="zh-CN"/>
        </w:rPr>
        <w:t>技术服务</w:t>
      </w:r>
      <w:r>
        <w:rPr>
          <w:rFonts w:hint="eastAsia" w:ascii="仿宋_GB2312" w:hAnsi="仿宋_GB2312" w:eastAsia="仿宋_GB2312" w:cs="仿宋_GB2312"/>
          <w:b w:val="0"/>
          <w:w w:val="100"/>
          <w:kern w:val="0"/>
          <w:sz w:val="30"/>
          <w:szCs w:val="22"/>
          <w:lang w:val="en-US" w:eastAsia="zh-CN"/>
        </w:rPr>
        <w:t>2年或2年以上</w:t>
      </w:r>
      <w:r>
        <w:rPr>
          <w:rFonts w:hint="eastAsia" w:ascii="仿宋_GB2312" w:hAnsi="仿宋_GB2312" w:eastAsia="仿宋_GB2312" w:cs="仿宋_GB2312"/>
          <w:b w:val="0"/>
          <w:w w:val="100"/>
          <w:kern w:val="0"/>
          <w:sz w:val="30"/>
          <w:szCs w:val="22"/>
          <w:lang w:eastAsia="zh-CN"/>
        </w:rPr>
        <w:t>的经验或经历，并提供乡镇人民政府出具的核桃技术服务证明；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00" w:firstLineChars="200"/>
        <w:jc w:val="both"/>
        <w:textAlignment w:val="auto"/>
        <w:rPr>
          <w:rFonts w:hint="eastAsia" w:ascii="仿宋_GB2312" w:hAnsi="仿宋_GB2312" w:eastAsia="仿宋_GB2312" w:cs="仿宋_GB2312"/>
          <w:b w:val="0"/>
          <w:w w:val="100"/>
          <w:kern w:val="0"/>
          <w:sz w:val="30"/>
          <w:szCs w:val="22"/>
          <w:lang w:eastAsia="zh-CN"/>
        </w:rPr>
      </w:pPr>
      <w:r>
        <w:rPr>
          <w:rFonts w:hint="eastAsia" w:ascii="仿宋_GB2312" w:hAnsi="仿宋_GB2312" w:eastAsia="仿宋_GB2312" w:cs="仿宋_GB2312"/>
          <w:b w:val="0"/>
          <w:w w:val="100"/>
          <w:kern w:val="0"/>
          <w:sz w:val="30"/>
          <w:szCs w:val="22"/>
          <w:lang w:eastAsia="zh-CN"/>
        </w:rPr>
        <w:t>（</w:t>
      </w:r>
      <w:r>
        <w:rPr>
          <w:rFonts w:hint="eastAsia" w:ascii="仿宋_GB2312" w:hAnsi="仿宋_GB2312" w:eastAsia="仿宋_GB2312" w:cs="仿宋_GB2312"/>
          <w:b w:val="0"/>
          <w:w w:val="100"/>
          <w:kern w:val="0"/>
          <w:sz w:val="30"/>
          <w:szCs w:val="22"/>
          <w:lang w:val="en-US" w:eastAsia="zh-CN"/>
        </w:rPr>
        <w:t>2</w:t>
      </w:r>
      <w:r>
        <w:rPr>
          <w:rFonts w:hint="eastAsia" w:ascii="仿宋_GB2312" w:hAnsi="仿宋_GB2312" w:eastAsia="仿宋_GB2312" w:cs="仿宋_GB2312"/>
          <w:b w:val="0"/>
          <w:w w:val="100"/>
          <w:kern w:val="0"/>
          <w:sz w:val="30"/>
          <w:szCs w:val="22"/>
          <w:lang w:eastAsia="zh-CN"/>
        </w:rPr>
        <w:t>）有效的经年检的三证合一营业执照（须有相关经营范围）副本原件。</w:t>
      </w:r>
    </w:p>
    <w:p>
      <w:pPr>
        <w:keepNext w:val="0"/>
        <w:keepLines w:val="0"/>
        <w:pageBreakBefore w:val="0"/>
        <w:widowControl/>
        <w:numPr>
          <w:ilvl w:val="0"/>
          <w:numId w:val="0"/>
        </w:numPr>
        <w:kinsoku/>
        <w:overflowPunct/>
        <w:topLinePunct w:val="0"/>
        <w:autoSpaceDE/>
        <w:autoSpaceDN/>
        <w:bidi w:val="0"/>
        <w:adjustRightInd/>
        <w:snapToGrid/>
        <w:spacing w:before="0" w:after="0" w:line="500" w:lineRule="exact"/>
        <w:ind w:firstLine="600" w:firstLineChars="200"/>
        <w:jc w:val="left"/>
        <w:textAlignment w:val="auto"/>
        <w:rPr>
          <w:rFonts w:hint="eastAsia" w:ascii="仿宋_GB2312" w:hAnsi="仿宋_GB2312" w:eastAsia="仿宋_GB2312" w:cs="仿宋_GB2312"/>
          <w:b w:val="0"/>
          <w:w w:val="100"/>
          <w:sz w:val="30"/>
        </w:rPr>
      </w:pPr>
      <w:r>
        <w:rPr>
          <w:rFonts w:hint="eastAsia" w:ascii="仿宋_GB2312" w:hAnsi="仿宋_GB2312" w:eastAsia="仿宋_GB2312" w:cs="仿宋_GB2312"/>
          <w:b w:val="0"/>
          <w:w w:val="100"/>
          <w:sz w:val="30"/>
          <w:lang w:val="en-US" w:eastAsia="zh-CN"/>
        </w:rPr>
        <w:t>2、</w:t>
      </w:r>
      <w:r>
        <w:rPr>
          <w:rFonts w:hint="eastAsia" w:ascii="仿宋_GB2312" w:hAnsi="仿宋_GB2312" w:eastAsia="仿宋_GB2312" w:cs="仿宋_GB2312"/>
          <w:b w:val="0"/>
          <w:w w:val="100"/>
          <w:sz w:val="30"/>
          <w:lang w:eastAsia="zh-CN"/>
        </w:rPr>
        <w:t>交货期限：中标通知书下达</w:t>
      </w:r>
      <w:r>
        <w:rPr>
          <w:rFonts w:hint="eastAsia" w:ascii="仿宋_GB2312" w:hAnsi="仿宋_GB2312" w:eastAsia="仿宋_GB2312" w:cs="仿宋_GB2312"/>
          <w:b w:val="0"/>
          <w:w w:val="100"/>
          <w:sz w:val="30"/>
          <w:lang w:val="en-US" w:eastAsia="zh-CN"/>
        </w:rPr>
        <w:t>3</w:t>
      </w:r>
      <w:r>
        <w:rPr>
          <w:rFonts w:hint="eastAsia" w:ascii="仿宋_GB2312" w:hAnsi="仿宋_GB2312" w:eastAsia="仿宋_GB2312" w:cs="仿宋_GB2312"/>
          <w:b w:val="0"/>
          <w:w w:val="100"/>
          <w:sz w:val="30"/>
          <w:lang w:eastAsia="zh-CN"/>
        </w:rPr>
        <w:t>日内，中标单位收到采购单位通知，按要求到指定地点开展相关林果技术服务。</w:t>
      </w:r>
      <w:r>
        <w:rPr>
          <w:rFonts w:hint="eastAsia" w:ascii="仿宋_GB2312" w:hAnsi="仿宋_GB2312" w:eastAsia="仿宋_GB2312" w:cs="仿宋_GB2312"/>
          <w:b w:val="0"/>
          <w:w w:val="100"/>
          <w:sz w:val="30"/>
          <w:lang w:val="en-US" w:eastAsia="zh-CN"/>
        </w:rPr>
        <w:t>核桃技术</w:t>
      </w:r>
      <w:r>
        <w:rPr>
          <w:rFonts w:hint="eastAsia" w:ascii="仿宋_GB2312" w:hAnsi="仿宋_GB2312" w:eastAsia="仿宋_GB2312" w:cs="仿宋_GB2312"/>
          <w:b w:val="0"/>
          <w:w w:val="100"/>
          <w:sz w:val="30"/>
          <w:lang w:eastAsia="zh-CN"/>
        </w:rPr>
        <w:t>服务期限为</w:t>
      </w:r>
      <w:r>
        <w:rPr>
          <w:rFonts w:hint="eastAsia" w:ascii="仿宋_GB2312" w:hAnsi="仿宋_GB2312" w:eastAsia="仿宋_GB2312" w:cs="仿宋_GB2312"/>
          <w:b w:val="0"/>
          <w:w w:val="100"/>
          <w:sz w:val="30"/>
          <w:lang w:val="en-US" w:eastAsia="zh-CN"/>
        </w:rPr>
        <w:t>2022年1月至2022年4月，香梨技术服务期限为 2022年1月至2022年10月，在此期间</w:t>
      </w:r>
      <w:r>
        <w:rPr>
          <w:rFonts w:hint="eastAsia" w:ascii="仿宋_GB2312" w:hAnsi="仿宋_GB2312" w:eastAsia="仿宋_GB2312" w:cs="仿宋_GB2312"/>
          <w:b w:val="0"/>
          <w:w w:val="100"/>
          <w:sz w:val="30"/>
          <w:lang w:eastAsia="zh-CN"/>
        </w:rPr>
        <w:t>严格按照采购单位要求开展林果技术服务。</w:t>
      </w:r>
    </w:p>
    <w:p>
      <w:pPr>
        <w:keepNext w:val="0"/>
        <w:keepLines w:val="0"/>
        <w:pageBreakBefore w:val="0"/>
        <w:widowControl/>
        <w:kinsoku/>
        <w:overflowPunct/>
        <w:topLinePunct w:val="0"/>
        <w:autoSpaceDE/>
        <w:autoSpaceDN/>
        <w:bidi w:val="0"/>
        <w:adjustRightInd/>
        <w:snapToGrid/>
        <w:spacing w:before="0" w:after="0" w:line="500" w:lineRule="exact"/>
        <w:ind w:left="0" w:firstLine="600" w:firstLineChars="200"/>
        <w:jc w:val="left"/>
        <w:textAlignment w:val="auto"/>
        <w:rPr>
          <w:rFonts w:hint="eastAsia" w:ascii="仿宋_GB2312" w:hAnsi="仿宋_GB2312" w:eastAsia="仿宋_GB2312" w:cs="仿宋_GB2312"/>
          <w:b w:val="0"/>
          <w:w w:val="100"/>
          <w:sz w:val="30"/>
          <w:lang w:eastAsia="zh-CN"/>
        </w:rPr>
      </w:pPr>
      <w:r>
        <w:rPr>
          <w:rFonts w:hint="eastAsia" w:ascii="仿宋_GB2312" w:hAnsi="仿宋_GB2312" w:eastAsia="仿宋_GB2312" w:cs="仿宋_GB2312"/>
          <w:b w:val="0"/>
          <w:w w:val="100"/>
          <w:sz w:val="30"/>
          <w:lang w:val="en-US" w:eastAsia="zh-CN"/>
        </w:rPr>
        <w:t>3、</w:t>
      </w:r>
      <w:r>
        <w:rPr>
          <w:rFonts w:hint="eastAsia" w:ascii="仿宋_GB2312" w:hAnsi="仿宋_GB2312" w:eastAsia="仿宋_GB2312" w:cs="仿宋_GB2312"/>
          <w:b w:val="0"/>
          <w:w w:val="100"/>
          <w:sz w:val="30"/>
          <w:lang w:eastAsia="zh-CN"/>
        </w:rPr>
        <w:t>质量要求：</w:t>
      </w:r>
    </w:p>
    <w:p>
      <w:pPr>
        <w:keepNext w:val="0"/>
        <w:keepLines w:val="0"/>
        <w:pageBreakBefore w:val="0"/>
        <w:widowControl/>
        <w:kinsoku/>
        <w:overflowPunct/>
        <w:topLinePunct w:val="0"/>
        <w:autoSpaceDE/>
        <w:autoSpaceDN/>
        <w:bidi w:val="0"/>
        <w:adjustRightInd/>
        <w:snapToGrid/>
        <w:spacing w:before="0" w:after="0" w:line="500" w:lineRule="exact"/>
        <w:ind w:left="0" w:firstLine="600" w:firstLineChars="200"/>
        <w:jc w:val="left"/>
        <w:textAlignment w:val="auto"/>
        <w:rPr>
          <w:rFonts w:hint="eastAsia" w:ascii="仿宋_GB2312" w:hAnsi="仿宋_GB2312" w:eastAsia="仿宋_GB2312" w:cs="仿宋_GB2312"/>
          <w:b w:val="0"/>
          <w:w w:val="100"/>
          <w:sz w:val="30"/>
          <w:lang w:eastAsia="zh-CN"/>
        </w:rPr>
      </w:pPr>
      <w:r>
        <w:rPr>
          <w:rFonts w:hint="eastAsia" w:ascii="仿宋_GB2312" w:hAnsi="仿宋_GB2312" w:eastAsia="仿宋_GB2312" w:cs="仿宋_GB2312"/>
          <w:b w:val="0"/>
          <w:w w:val="100"/>
          <w:sz w:val="30"/>
          <w:lang w:eastAsia="zh-CN"/>
        </w:rPr>
        <w:t>（</w:t>
      </w:r>
      <w:r>
        <w:rPr>
          <w:rFonts w:hint="eastAsia" w:ascii="仿宋_GB2312" w:hAnsi="仿宋_GB2312" w:eastAsia="仿宋_GB2312" w:cs="仿宋_GB2312"/>
          <w:b w:val="0"/>
          <w:w w:val="100"/>
          <w:sz w:val="30"/>
          <w:lang w:val="en-US" w:eastAsia="zh-CN"/>
        </w:rPr>
        <w:t>1</w:t>
      </w:r>
      <w:r>
        <w:rPr>
          <w:rFonts w:hint="eastAsia" w:ascii="仿宋_GB2312" w:hAnsi="仿宋_GB2312" w:eastAsia="仿宋_GB2312" w:cs="仿宋_GB2312"/>
          <w:b w:val="0"/>
          <w:w w:val="100"/>
          <w:sz w:val="30"/>
          <w:lang w:eastAsia="zh-CN"/>
        </w:rPr>
        <w:t>）中标单位</w:t>
      </w:r>
      <w:r>
        <w:rPr>
          <w:rFonts w:hint="eastAsia" w:ascii="仿宋_GB2312" w:hAnsi="仿宋_GB2312" w:eastAsia="仿宋_GB2312" w:cs="仿宋_GB2312"/>
          <w:b w:val="0"/>
          <w:w w:val="100"/>
          <w:sz w:val="30"/>
          <w:lang w:val="en-US" w:eastAsia="zh-CN"/>
        </w:rPr>
        <w:t>在每次</w:t>
      </w:r>
      <w:r>
        <w:rPr>
          <w:rFonts w:hint="eastAsia" w:ascii="仿宋_GB2312" w:hAnsi="仿宋_GB2312" w:eastAsia="仿宋_GB2312" w:cs="仿宋_GB2312"/>
          <w:b w:val="0"/>
          <w:w w:val="100"/>
          <w:sz w:val="30"/>
          <w:lang w:eastAsia="zh-CN"/>
        </w:rPr>
        <w:t>完成规定的服务内容后</w:t>
      </w:r>
      <w:r>
        <w:rPr>
          <w:rFonts w:hint="eastAsia" w:ascii="仿宋_GB2312" w:hAnsi="仿宋_GB2312" w:eastAsia="仿宋_GB2312" w:cs="仿宋_GB2312"/>
          <w:b w:val="0"/>
          <w:w w:val="100"/>
          <w:sz w:val="30"/>
          <w:lang w:val="en-US" w:eastAsia="zh-CN"/>
        </w:rPr>
        <w:t>3-5天</w:t>
      </w:r>
      <w:r>
        <w:rPr>
          <w:rFonts w:hint="eastAsia" w:ascii="仿宋_GB2312" w:hAnsi="仿宋_GB2312" w:eastAsia="仿宋_GB2312" w:cs="仿宋_GB2312"/>
          <w:b w:val="0"/>
          <w:w w:val="100"/>
          <w:sz w:val="30"/>
          <w:lang w:eastAsia="zh-CN"/>
        </w:rPr>
        <w:t>由采购单位对作业地块进行验收，验收不合格则解除合同。</w:t>
      </w:r>
    </w:p>
    <w:p>
      <w:pPr>
        <w:keepNext w:val="0"/>
        <w:keepLines w:val="0"/>
        <w:pageBreakBefore w:val="0"/>
        <w:widowControl/>
        <w:kinsoku/>
        <w:overflowPunct/>
        <w:topLinePunct w:val="0"/>
        <w:autoSpaceDE/>
        <w:autoSpaceDN/>
        <w:bidi w:val="0"/>
        <w:adjustRightInd/>
        <w:snapToGrid/>
        <w:spacing w:before="0" w:after="0" w:line="500" w:lineRule="exact"/>
        <w:ind w:left="0" w:firstLine="600" w:firstLineChars="200"/>
        <w:jc w:val="left"/>
        <w:textAlignment w:val="auto"/>
        <w:rPr>
          <w:rFonts w:hint="eastAsia" w:ascii="仿宋_GB2312" w:hAnsi="仿宋_GB2312" w:eastAsia="仿宋_GB2312" w:cs="仿宋_GB2312"/>
          <w:b w:val="0"/>
          <w:w w:val="100"/>
          <w:sz w:val="30"/>
          <w:lang w:val="en-US" w:eastAsia="zh-CN"/>
        </w:rPr>
      </w:pPr>
      <w:r>
        <w:rPr>
          <w:rFonts w:hint="eastAsia" w:ascii="仿宋_GB2312" w:hAnsi="仿宋_GB2312" w:eastAsia="仿宋_GB2312" w:cs="仿宋_GB2312"/>
          <w:b w:val="0"/>
          <w:w w:val="100"/>
          <w:sz w:val="30"/>
          <w:lang w:eastAsia="zh-CN"/>
        </w:rPr>
        <w:t>（</w:t>
      </w:r>
      <w:r>
        <w:rPr>
          <w:rFonts w:hint="eastAsia" w:ascii="仿宋_GB2312" w:hAnsi="仿宋_GB2312" w:eastAsia="仿宋_GB2312" w:cs="仿宋_GB2312"/>
          <w:b w:val="0"/>
          <w:w w:val="100"/>
          <w:sz w:val="30"/>
          <w:lang w:val="en-US" w:eastAsia="zh-CN"/>
        </w:rPr>
        <w:t>2</w:t>
      </w:r>
      <w:r>
        <w:rPr>
          <w:rFonts w:hint="eastAsia" w:ascii="仿宋_GB2312" w:hAnsi="仿宋_GB2312" w:eastAsia="仿宋_GB2312" w:cs="仿宋_GB2312"/>
          <w:b w:val="0"/>
          <w:w w:val="100"/>
          <w:sz w:val="30"/>
          <w:lang w:eastAsia="zh-CN"/>
        </w:rPr>
        <w:t>）</w:t>
      </w:r>
      <w:r>
        <w:rPr>
          <w:rFonts w:hint="eastAsia" w:ascii="仿宋_GB2312" w:hAnsi="仿宋_GB2312" w:eastAsia="仿宋_GB2312" w:cs="仿宋_GB2312"/>
          <w:b w:val="0"/>
          <w:w w:val="100"/>
          <w:sz w:val="30"/>
          <w:lang w:val="en-US" w:eastAsia="zh-CN"/>
        </w:rPr>
        <w:t>核桃修剪技术服务时培养核桃生产农民技术员100名，完成技术人员的培训，采购单位对培养的农民技术员进行业务考核，验收合格后支付资金。</w:t>
      </w:r>
    </w:p>
    <w:p>
      <w:pPr>
        <w:keepNext w:val="0"/>
        <w:keepLines w:val="0"/>
        <w:pageBreakBefore w:val="0"/>
        <w:widowControl/>
        <w:kinsoku/>
        <w:overflowPunct/>
        <w:topLinePunct w:val="0"/>
        <w:autoSpaceDE/>
        <w:autoSpaceDN/>
        <w:bidi w:val="0"/>
        <w:adjustRightInd/>
        <w:snapToGrid/>
        <w:spacing w:before="0" w:after="0" w:line="500" w:lineRule="exact"/>
        <w:ind w:left="0" w:firstLine="600" w:firstLineChars="200"/>
        <w:jc w:val="left"/>
        <w:textAlignment w:val="auto"/>
        <w:rPr>
          <w:rFonts w:hint="eastAsia" w:ascii="仿宋_GB2312" w:hAnsi="仿宋_GB2312" w:eastAsia="仿宋_GB2312" w:cs="仿宋_GB2312"/>
          <w:b w:val="0"/>
          <w:w w:val="100"/>
          <w:sz w:val="30"/>
          <w:lang w:val="en-US" w:eastAsia="zh-CN"/>
        </w:rPr>
      </w:pPr>
      <w:r>
        <w:rPr>
          <w:rFonts w:hint="eastAsia" w:ascii="仿宋_GB2312" w:hAnsi="仿宋_GB2312" w:eastAsia="仿宋_GB2312" w:cs="仿宋_GB2312"/>
          <w:b w:val="0"/>
          <w:w w:val="100"/>
          <w:sz w:val="30"/>
          <w:lang w:val="en-US" w:eastAsia="zh-CN"/>
        </w:rPr>
        <w:t>（3）通过技术服务指导开展香梨优质高产、病虫害防治等培训不少于5场次，培养香梨生产农民技术人员100名，采购单位对培养的农民技术员进行业务考核，验收合格后支付资金。</w:t>
      </w:r>
    </w:p>
    <w:p>
      <w:pPr>
        <w:keepNext w:val="0"/>
        <w:keepLines w:val="0"/>
        <w:pageBreakBefore w:val="0"/>
        <w:widowControl/>
        <w:kinsoku/>
        <w:overflowPunct/>
        <w:topLinePunct w:val="0"/>
        <w:autoSpaceDE/>
        <w:autoSpaceDN/>
        <w:bidi w:val="0"/>
        <w:adjustRightInd/>
        <w:snapToGrid/>
        <w:spacing w:before="0" w:after="0" w:line="500" w:lineRule="exact"/>
        <w:ind w:left="0" w:firstLine="600" w:firstLineChars="200"/>
        <w:jc w:val="right"/>
        <w:textAlignment w:val="auto"/>
        <w:rPr>
          <w:rFonts w:hint="eastAsia" w:ascii="仿宋_GB2312" w:hAnsi="仿宋_GB2312" w:eastAsia="仿宋_GB2312" w:cs="仿宋_GB2312"/>
          <w:b w:val="0"/>
          <w:w w:val="100"/>
          <w:sz w:val="30"/>
          <w:lang w:eastAsia="zh-CN"/>
        </w:rPr>
      </w:pPr>
    </w:p>
    <w:p>
      <w:pPr>
        <w:keepNext w:val="0"/>
        <w:keepLines w:val="0"/>
        <w:pageBreakBefore w:val="0"/>
        <w:widowControl/>
        <w:kinsoku/>
        <w:wordWrap/>
        <w:overflowPunct/>
        <w:topLinePunct w:val="0"/>
        <w:autoSpaceDE/>
        <w:autoSpaceDN/>
        <w:bidi w:val="0"/>
        <w:adjustRightInd/>
        <w:snapToGrid/>
        <w:spacing w:before="0" w:after="0" w:line="500" w:lineRule="exact"/>
        <w:ind w:left="0" w:firstLine="600" w:firstLineChars="200"/>
        <w:jc w:val="right"/>
        <w:textAlignment w:val="auto"/>
        <w:rPr>
          <w:rFonts w:hint="eastAsia" w:ascii="仿宋_GB2312" w:hAnsi="仿宋_GB2312" w:eastAsia="仿宋_GB2312" w:cs="仿宋_GB2312"/>
          <w:b w:val="0"/>
          <w:w w:val="100"/>
          <w:sz w:val="30"/>
          <w:lang w:eastAsia="zh-CN"/>
        </w:rPr>
      </w:pPr>
    </w:p>
    <w:p>
      <w:pPr>
        <w:pStyle w:val="7"/>
        <w:tabs>
          <w:tab w:val="left" w:pos="2475"/>
          <w:tab w:val="center" w:pos="4873"/>
        </w:tabs>
        <w:spacing w:line="360" w:lineRule="auto"/>
        <w:jc w:val="both"/>
        <w:outlineLvl w:val="0"/>
        <w:rPr>
          <w:rFonts w:hint="eastAsia" w:ascii="仿宋" w:hAnsi="仿宋" w:eastAsia="仿宋"/>
          <w:b/>
          <w:sz w:val="44"/>
          <w:szCs w:val="44"/>
        </w:rPr>
      </w:pPr>
      <w:r>
        <w:rPr>
          <w:rFonts w:hint="eastAsia" w:ascii="仿宋_GB2312" w:hAnsi="仿宋_GB2312" w:eastAsia="仿宋_GB2312" w:cs="仿宋_GB2312"/>
          <w:b w:val="0"/>
          <w:w w:val="100"/>
          <w:sz w:val="30"/>
          <w:lang w:val="en-US" w:eastAsia="zh-CN"/>
        </w:rPr>
        <w:t xml:space="preserve"> </w:t>
      </w:r>
    </w:p>
    <w:p>
      <w:pPr>
        <w:spacing w:before="120" w:beforeLines="50" w:after="120" w:afterLines="50" w:line="300" w:lineRule="auto"/>
        <w:ind w:right="105" w:rightChars="50" w:firstLine="562" w:firstLineChars="200"/>
        <w:rPr>
          <w:rFonts w:hint="eastAsia" w:ascii="宋体" w:hAnsi="宋体" w:eastAsia="宋体" w:cs="宋体"/>
          <w:b/>
          <w:sz w:val="28"/>
          <w:szCs w:val="28"/>
        </w:rPr>
      </w:pPr>
    </w:p>
    <w:p>
      <w:pPr>
        <w:spacing w:before="120" w:beforeLines="50" w:after="120" w:afterLines="50" w:line="300" w:lineRule="auto"/>
        <w:ind w:right="105" w:rightChars="50" w:firstLine="562" w:firstLineChars="200"/>
        <w:rPr>
          <w:rFonts w:hint="eastAsia" w:ascii="宋体" w:hAnsi="宋体" w:eastAsia="宋体" w:cs="宋体"/>
          <w:b/>
          <w:sz w:val="28"/>
          <w:szCs w:val="28"/>
        </w:rPr>
      </w:pPr>
    </w:p>
    <w:p>
      <w:pPr>
        <w:spacing w:before="120" w:beforeLines="50" w:after="120" w:afterLines="50" w:line="300" w:lineRule="auto"/>
        <w:ind w:right="105" w:rightChars="50" w:firstLine="562" w:firstLineChars="200"/>
        <w:rPr>
          <w:rFonts w:hint="eastAsia" w:ascii="宋体" w:hAnsi="宋体" w:eastAsia="宋体" w:cs="宋体"/>
          <w:b/>
          <w:sz w:val="28"/>
          <w:szCs w:val="28"/>
        </w:rPr>
      </w:pPr>
    </w:p>
    <w:p>
      <w:pPr>
        <w:pStyle w:val="7"/>
        <w:tabs>
          <w:tab w:val="left" w:pos="2475"/>
          <w:tab w:val="center" w:pos="4873"/>
        </w:tabs>
        <w:spacing w:line="360" w:lineRule="auto"/>
        <w:ind w:firstLine="2650" w:firstLineChars="600"/>
        <w:jc w:val="both"/>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firstLine="5600" w:firstLineChars="2000"/>
        <w:rPr>
          <w:rFonts w:hint="eastAsia" w:ascii="宋体" w:hAnsi="宋体" w:eastAsia="宋体" w:cs="宋体"/>
          <w:sz w:val="28"/>
          <w:szCs w:val="28"/>
        </w:rPr>
      </w:pP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3"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8.</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4" w:name="投标报价表"/>
      <w:r>
        <w:rPr>
          <w:rFonts w:hint="eastAsia" w:ascii="宋体" w:hAnsi="宋体" w:eastAsia="宋体" w:cs="宋体"/>
          <w:b/>
          <w:bCs/>
          <w:color w:val="000000"/>
          <w:sz w:val="28"/>
          <w:szCs w:val="28"/>
        </w:rPr>
        <w:t xml:space="preserve">9．   </w:t>
      </w:r>
      <w:bookmarkEnd w:id="44"/>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4"/>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76" w:type="dxa"/>
            <w:gridSpan w:val="11"/>
            <w:vAlign w:val="center"/>
          </w:tcPr>
          <w:p>
            <w:pPr>
              <w:pStyle w:val="7"/>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       投标报价明细表（工程类附工程量清单）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r>
        <w:rPr>
          <w:rFonts w:hint="eastAsia" w:ascii="宋体" w:hAnsi="宋体" w:eastAsia="宋体" w:cs="宋体"/>
          <w:sz w:val="28"/>
          <w:szCs w:val="28"/>
        </w:rPr>
        <w:t>签署日期：      年     月     日</w:t>
      </w:r>
      <w:bookmarkEnd w:id="42"/>
      <w:bookmarkEnd w:id="43"/>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41</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837F7"/>
    <w:multiLevelType w:val="singleLevel"/>
    <w:tmpl w:val="FCA837F7"/>
    <w:lvl w:ilvl="0" w:tentative="0">
      <w:start w:val="1"/>
      <w:numFmt w:val="decimal"/>
      <w:suff w:val="nothing"/>
      <w:lvlText w:val="（%1）"/>
      <w:lvlJc w:val="left"/>
    </w:lvl>
  </w:abstractNum>
  <w:abstractNum w:abstractNumId="1">
    <w:nsid w:val="1B97D1DF"/>
    <w:multiLevelType w:val="singleLevel"/>
    <w:tmpl w:val="1B97D1DF"/>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24C353E"/>
    <w:rsid w:val="029F0A1F"/>
    <w:rsid w:val="02DA24FB"/>
    <w:rsid w:val="02E321AF"/>
    <w:rsid w:val="03160F77"/>
    <w:rsid w:val="04416C7B"/>
    <w:rsid w:val="04E62BB4"/>
    <w:rsid w:val="05706984"/>
    <w:rsid w:val="057241FA"/>
    <w:rsid w:val="0710729A"/>
    <w:rsid w:val="08662F63"/>
    <w:rsid w:val="08CB1E91"/>
    <w:rsid w:val="09AE1269"/>
    <w:rsid w:val="09E82711"/>
    <w:rsid w:val="09F258F1"/>
    <w:rsid w:val="09FA2CFF"/>
    <w:rsid w:val="0A1B0A38"/>
    <w:rsid w:val="0A2E7818"/>
    <w:rsid w:val="0B9329F9"/>
    <w:rsid w:val="0C69339A"/>
    <w:rsid w:val="0C8526DA"/>
    <w:rsid w:val="0CB133E5"/>
    <w:rsid w:val="0CBC4AEB"/>
    <w:rsid w:val="0D324E81"/>
    <w:rsid w:val="0D364FA4"/>
    <w:rsid w:val="0D953084"/>
    <w:rsid w:val="0DFE016F"/>
    <w:rsid w:val="0F9513A3"/>
    <w:rsid w:val="0FCF2D4A"/>
    <w:rsid w:val="0FE00A99"/>
    <w:rsid w:val="10407C4A"/>
    <w:rsid w:val="113078DB"/>
    <w:rsid w:val="113C34DA"/>
    <w:rsid w:val="1140575E"/>
    <w:rsid w:val="11A34189"/>
    <w:rsid w:val="11E20621"/>
    <w:rsid w:val="1219435B"/>
    <w:rsid w:val="1237009B"/>
    <w:rsid w:val="124F754A"/>
    <w:rsid w:val="125B4A18"/>
    <w:rsid w:val="12F52537"/>
    <w:rsid w:val="1361219B"/>
    <w:rsid w:val="154811DB"/>
    <w:rsid w:val="163D3A30"/>
    <w:rsid w:val="16431A05"/>
    <w:rsid w:val="16FC6F76"/>
    <w:rsid w:val="1767573B"/>
    <w:rsid w:val="176966EF"/>
    <w:rsid w:val="192E419E"/>
    <w:rsid w:val="1A3213F2"/>
    <w:rsid w:val="1B4847C2"/>
    <w:rsid w:val="1B7678A6"/>
    <w:rsid w:val="1BAB3A13"/>
    <w:rsid w:val="1BDF6B34"/>
    <w:rsid w:val="1BEA3F84"/>
    <w:rsid w:val="1BEF66C9"/>
    <w:rsid w:val="1C2935DC"/>
    <w:rsid w:val="1CE4447E"/>
    <w:rsid w:val="1D126148"/>
    <w:rsid w:val="1EB603E7"/>
    <w:rsid w:val="1F427206"/>
    <w:rsid w:val="20BA2533"/>
    <w:rsid w:val="22B20FF6"/>
    <w:rsid w:val="235B46EB"/>
    <w:rsid w:val="24C95701"/>
    <w:rsid w:val="25E27FB3"/>
    <w:rsid w:val="25EE502B"/>
    <w:rsid w:val="279D4168"/>
    <w:rsid w:val="28886674"/>
    <w:rsid w:val="291C088A"/>
    <w:rsid w:val="29506F92"/>
    <w:rsid w:val="297D16A9"/>
    <w:rsid w:val="29A4621B"/>
    <w:rsid w:val="2A073293"/>
    <w:rsid w:val="2A957F1E"/>
    <w:rsid w:val="2AF32183"/>
    <w:rsid w:val="2BCD28E3"/>
    <w:rsid w:val="2CD2451C"/>
    <w:rsid w:val="2D6358E3"/>
    <w:rsid w:val="2DB36DAF"/>
    <w:rsid w:val="2F1F506C"/>
    <w:rsid w:val="2F446D4D"/>
    <w:rsid w:val="2F6D58E0"/>
    <w:rsid w:val="2FC0135A"/>
    <w:rsid w:val="312D7764"/>
    <w:rsid w:val="31495006"/>
    <w:rsid w:val="317A768C"/>
    <w:rsid w:val="31B676BC"/>
    <w:rsid w:val="321B20D7"/>
    <w:rsid w:val="330F61B4"/>
    <w:rsid w:val="342A710D"/>
    <w:rsid w:val="347B4D06"/>
    <w:rsid w:val="358B4D5C"/>
    <w:rsid w:val="35EB607A"/>
    <w:rsid w:val="369D7617"/>
    <w:rsid w:val="37CD703B"/>
    <w:rsid w:val="381C6ACC"/>
    <w:rsid w:val="386D4FC8"/>
    <w:rsid w:val="394A298D"/>
    <w:rsid w:val="3AFA7427"/>
    <w:rsid w:val="3B5E4631"/>
    <w:rsid w:val="3C000D94"/>
    <w:rsid w:val="3DDF226C"/>
    <w:rsid w:val="3E3B07FE"/>
    <w:rsid w:val="3E4E01A2"/>
    <w:rsid w:val="3E9D02EC"/>
    <w:rsid w:val="3ED24223"/>
    <w:rsid w:val="3F2D401C"/>
    <w:rsid w:val="401D3384"/>
    <w:rsid w:val="407C68B5"/>
    <w:rsid w:val="40AD6B21"/>
    <w:rsid w:val="40C17066"/>
    <w:rsid w:val="40CC2FB8"/>
    <w:rsid w:val="41EF2D0E"/>
    <w:rsid w:val="43362A35"/>
    <w:rsid w:val="43677C61"/>
    <w:rsid w:val="43E62D66"/>
    <w:rsid w:val="443E3804"/>
    <w:rsid w:val="4578289E"/>
    <w:rsid w:val="46223B6D"/>
    <w:rsid w:val="473B4081"/>
    <w:rsid w:val="476206A8"/>
    <w:rsid w:val="48426A35"/>
    <w:rsid w:val="48645F28"/>
    <w:rsid w:val="48E27885"/>
    <w:rsid w:val="491D0CD8"/>
    <w:rsid w:val="49C533B7"/>
    <w:rsid w:val="4A1B3617"/>
    <w:rsid w:val="4A3A4AEB"/>
    <w:rsid w:val="4AAF2FCA"/>
    <w:rsid w:val="4ADF7820"/>
    <w:rsid w:val="4B26558D"/>
    <w:rsid w:val="4C056F9A"/>
    <w:rsid w:val="4C7D1AE9"/>
    <w:rsid w:val="4CC77C5F"/>
    <w:rsid w:val="4D150A07"/>
    <w:rsid w:val="4D577E83"/>
    <w:rsid w:val="4DCE7A6D"/>
    <w:rsid w:val="4EDF5C52"/>
    <w:rsid w:val="4EE2439F"/>
    <w:rsid w:val="4EE95808"/>
    <w:rsid w:val="4FDC669D"/>
    <w:rsid w:val="5021551B"/>
    <w:rsid w:val="50355F2C"/>
    <w:rsid w:val="50DE4A1F"/>
    <w:rsid w:val="52766330"/>
    <w:rsid w:val="530850C9"/>
    <w:rsid w:val="536063D7"/>
    <w:rsid w:val="53892A00"/>
    <w:rsid w:val="53D578AD"/>
    <w:rsid w:val="54AD6A7C"/>
    <w:rsid w:val="55E05EF0"/>
    <w:rsid w:val="56065DCC"/>
    <w:rsid w:val="56515326"/>
    <w:rsid w:val="570102C4"/>
    <w:rsid w:val="58BB0605"/>
    <w:rsid w:val="592609FA"/>
    <w:rsid w:val="59A64170"/>
    <w:rsid w:val="5C0E09BB"/>
    <w:rsid w:val="5C3217EF"/>
    <w:rsid w:val="5C6A667D"/>
    <w:rsid w:val="5D386434"/>
    <w:rsid w:val="5D9D21AB"/>
    <w:rsid w:val="5E283D29"/>
    <w:rsid w:val="5ED6619D"/>
    <w:rsid w:val="5F4F6BC7"/>
    <w:rsid w:val="5F584268"/>
    <w:rsid w:val="5F6808E9"/>
    <w:rsid w:val="61862D51"/>
    <w:rsid w:val="61EB14CB"/>
    <w:rsid w:val="62B8508D"/>
    <w:rsid w:val="634E69A1"/>
    <w:rsid w:val="6420485C"/>
    <w:rsid w:val="64B85695"/>
    <w:rsid w:val="663476D1"/>
    <w:rsid w:val="66924D1C"/>
    <w:rsid w:val="66F65BF3"/>
    <w:rsid w:val="675D6BC5"/>
    <w:rsid w:val="67C325B7"/>
    <w:rsid w:val="681C0668"/>
    <w:rsid w:val="6A2D5691"/>
    <w:rsid w:val="6B2E5639"/>
    <w:rsid w:val="6BC0016D"/>
    <w:rsid w:val="6C356918"/>
    <w:rsid w:val="6C7A58BC"/>
    <w:rsid w:val="6CC63BAC"/>
    <w:rsid w:val="6CD84C08"/>
    <w:rsid w:val="6D812176"/>
    <w:rsid w:val="6E1643A5"/>
    <w:rsid w:val="6E491E46"/>
    <w:rsid w:val="6E5C15A2"/>
    <w:rsid w:val="6EF76E67"/>
    <w:rsid w:val="709F509D"/>
    <w:rsid w:val="70AE37E5"/>
    <w:rsid w:val="70B45C7C"/>
    <w:rsid w:val="70EB4C96"/>
    <w:rsid w:val="716C2025"/>
    <w:rsid w:val="717D0CD7"/>
    <w:rsid w:val="72144885"/>
    <w:rsid w:val="72497EBD"/>
    <w:rsid w:val="72E76C69"/>
    <w:rsid w:val="73221770"/>
    <w:rsid w:val="747C52FF"/>
    <w:rsid w:val="7574379E"/>
    <w:rsid w:val="75D63942"/>
    <w:rsid w:val="75EF084A"/>
    <w:rsid w:val="76E621AA"/>
    <w:rsid w:val="77397E46"/>
    <w:rsid w:val="77A22206"/>
    <w:rsid w:val="78DC1725"/>
    <w:rsid w:val="796D4AB4"/>
    <w:rsid w:val="7A422D79"/>
    <w:rsid w:val="7A636BDE"/>
    <w:rsid w:val="7AD027EF"/>
    <w:rsid w:val="7BA73962"/>
    <w:rsid w:val="7BD97441"/>
    <w:rsid w:val="7C8F5382"/>
    <w:rsid w:val="7CD57E37"/>
    <w:rsid w:val="7D3F7A48"/>
    <w:rsid w:val="7D59154B"/>
    <w:rsid w:val="7DB742A3"/>
    <w:rsid w:val="7EA27635"/>
    <w:rsid w:val="7EA90498"/>
    <w:rsid w:val="7EF44A9E"/>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qFormat/>
    <w:uiPriority w:val="0"/>
    <w:pPr>
      <w:jc w:val="center"/>
    </w:pPr>
    <w:rPr>
      <w:rFonts w:asciiTheme="minorHAnsi" w:hAnsiTheme="minorHAnsi" w:eastAsiaTheme="minorEastAsia" w:cstheme="minorBidi"/>
      <w:b/>
      <w:w w:val="100"/>
      <w:sz w:val="32"/>
      <w:szCs w:val="32"/>
      <w:shd w:val="clear"/>
    </w:rPr>
  </w:style>
  <w:style w:type="paragraph" w:styleId="12">
    <w:name w:val="Body Text First Indent"/>
    <w:basedOn w:val="4"/>
    <w:next w:val="13"/>
    <w:unhideWhenUsed/>
    <w:qFormat/>
    <w:uiPriority w:val="0"/>
    <w:pPr>
      <w:spacing w:before="0" w:after="120" w:line="312" w:lineRule="atLeast"/>
      <w:ind w:firstLine="420" w:firstLineChars="100"/>
    </w:pPr>
    <w:rPr>
      <w:sz w:val="21"/>
    </w:rPr>
  </w:style>
  <w:style w:type="paragraph" w:styleId="13">
    <w:name w:val="Body Text First Indent 2"/>
    <w:basedOn w:val="5"/>
    <w:next w:val="12"/>
    <w:qFormat/>
    <w:uiPriority w:val="0"/>
    <w:pPr>
      <w:ind w:firstLine="420" w:firstLineChars="200"/>
    </w:pPr>
    <w:rPr>
      <w:kern w:val="2"/>
      <w:szCs w:val="20"/>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1">
    <w:name w:val="font21"/>
    <w:basedOn w:val="16"/>
    <w:qFormat/>
    <w:uiPriority w:val="0"/>
    <w:rPr>
      <w:rFonts w:hint="eastAsia" w:ascii="仿宋_GB2312" w:eastAsia="仿宋_GB2312" w:cs="仿宋_GB2312"/>
      <w:color w:val="000000"/>
      <w:sz w:val="22"/>
      <w:szCs w:val="22"/>
      <w:u w:val="none"/>
    </w:rPr>
  </w:style>
  <w:style w:type="character" w:customStyle="1" w:styleId="22">
    <w:name w:val="font01"/>
    <w:basedOn w:val="16"/>
    <w:qFormat/>
    <w:uiPriority w:val="0"/>
    <w:rPr>
      <w:rFonts w:ascii="Arial" w:hAnsi="Arial" w:cs="Arial"/>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8"/>
      <w:szCs w:val="28"/>
      <w:u w:val="none"/>
    </w:rPr>
  </w:style>
  <w:style w:type="paragraph" w:customStyle="1" w:styleId="24">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Administrator</cp:lastModifiedBy>
  <cp:lastPrinted>2021-11-22T03:37:00Z</cp:lastPrinted>
  <dcterms:modified xsi:type="dcterms:W3CDTF">2022-02-08T05:23:51Z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F8F2265C97774C1F946F47971B004583</vt:lpwstr>
  </property>
</Properties>
</file>