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rPr>
      </w:pPr>
      <w:r>
        <w:rPr>
          <w:rFonts w:hint="eastAsia" w:ascii="仿宋" w:hAnsi="仿宋" w:eastAsia="仿宋" w:cs="仿宋"/>
        </w:rPr>
        <w:drawing>
          <wp:inline distT="0" distB="0" distL="114300" distR="114300">
            <wp:extent cx="3556000" cy="294005"/>
            <wp:effectExtent l="0" t="0" r="6350" b="10795"/>
            <wp:docPr id="2" name="图片 1" descr="定稿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定稿标志"/>
                    <pic:cNvPicPr>
                      <a:picLocks noChangeAspect="1"/>
                    </pic:cNvPicPr>
                  </pic:nvPicPr>
                  <pic:blipFill>
                    <a:blip r:embed="rId23"/>
                    <a:stretch>
                      <a:fillRect/>
                    </a:stretch>
                  </pic:blipFill>
                  <pic:spPr>
                    <a:xfrm>
                      <a:off x="0" y="0"/>
                      <a:ext cx="3556000" cy="294005"/>
                    </a:xfrm>
                    <a:prstGeom prst="rect">
                      <a:avLst/>
                    </a:prstGeom>
                    <a:noFill/>
                    <a:ln w="9525">
                      <a:noFill/>
                    </a:ln>
                  </pic:spPr>
                </pic:pic>
              </a:graphicData>
            </a:graphic>
          </wp:inline>
        </w:drawing>
      </w:r>
    </w:p>
    <w:p>
      <w:pPr>
        <w:spacing w:before="320" w:after="160" w:line="240" w:lineRule="atLeast"/>
        <w:rPr>
          <w:rFonts w:ascii="仿宋" w:hAnsi="仿宋" w:eastAsia="仿宋" w:cs="仿宋"/>
          <w:b/>
          <w:bCs/>
          <w:sz w:val="84"/>
          <w:szCs w:val="84"/>
        </w:rPr>
      </w:pPr>
    </w:p>
    <w:p>
      <w:pPr>
        <w:spacing w:before="320" w:after="160" w:line="240" w:lineRule="atLeast"/>
        <w:jc w:val="center"/>
        <w:rPr>
          <w:rFonts w:ascii="仿宋" w:hAnsi="仿宋" w:eastAsia="仿宋" w:cs="仿宋"/>
          <w:b/>
          <w:bCs/>
          <w:sz w:val="84"/>
          <w:szCs w:val="84"/>
        </w:rPr>
      </w:pPr>
    </w:p>
    <w:p>
      <w:pPr>
        <w:spacing w:before="320" w:after="160" w:line="240" w:lineRule="atLeast"/>
        <w:jc w:val="center"/>
        <w:rPr>
          <w:rFonts w:ascii="黑体" w:hAnsi="黑体" w:eastAsia="黑体" w:cs="黑体"/>
          <w:b/>
          <w:bCs/>
          <w:sz w:val="84"/>
          <w:szCs w:val="84"/>
        </w:rPr>
      </w:pPr>
      <w:r>
        <w:rPr>
          <w:rFonts w:hint="eastAsia" w:ascii="黑体" w:hAnsi="黑体" w:eastAsia="黑体" w:cs="黑体"/>
          <w:b/>
          <w:bCs/>
          <w:sz w:val="84"/>
          <w:szCs w:val="84"/>
        </w:rPr>
        <w:t>招</w:t>
      </w:r>
      <w:r>
        <w:rPr>
          <w:rFonts w:hint="eastAsia" w:ascii="黑体" w:hAnsi="黑体" w:eastAsia="黑体" w:cs="黑体"/>
          <w:b/>
          <w:bCs/>
          <w:sz w:val="84"/>
          <w:szCs w:val="84"/>
          <w:lang w:val="en-US" w:eastAsia="zh-CN"/>
        </w:rPr>
        <w:t xml:space="preserve"> </w:t>
      </w:r>
      <w:r>
        <w:rPr>
          <w:rFonts w:hint="eastAsia" w:ascii="黑体" w:hAnsi="黑体" w:eastAsia="黑体" w:cs="黑体"/>
          <w:b/>
          <w:bCs/>
          <w:sz w:val="84"/>
          <w:szCs w:val="84"/>
        </w:rPr>
        <w:t>标</w:t>
      </w:r>
      <w:r>
        <w:rPr>
          <w:rFonts w:hint="eastAsia" w:ascii="黑体" w:hAnsi="黑体" w:eastAsia="黑体" w:cs="黑体"/>
          <w:b/>
          <w:bCs/>
          <w:sz w:val="84"/>
          <w:szCs w:val="84"/>
          <w:lang w:val="en-US" w:eastAsia="zh-CN"/>
        </w:rPr>
        <w:t xml:space="preserve"> </w:t>
      </w:r>
      <w:r>
        <w:rPr>
          <w:rFonts w:hint="eastAsia" w:ascii="黑体" w:hAnsi="黑体" w:eastAsia="黑体" w:cs="黑体"/>
          <w:b/>
          <w:bCs/>
          <w:sz w:val="84"/>
          <w:szCs w:val="84"/>
        </w:rPr>
        <w:t>文</w:t>
      </w:r>
      <w:r>
        <w:rPr>
          <w:rFonts w:hint="eastAsia" w:ascii="黑体" w:hAnsi="黑体" w:eastAsia="黑体" w:cs="黑体"/>
          <w:b/>
          <w:bCs/>
          <w:sz w:val="84"/>
          <w:szCs w:val="84"/>
          <w:lang w:val="en-US" w:eastAsia="zh-CN"/>
        </w:rPr>
        <w:t xml:space="preserve"> </w:t>
      </w:r>
      <w:r>
        <w:rPr>
          <w:rFonts w:hint="eastAsia" w:ascii="黑体" w:hAnsi="黑体" w:eastAsia="黑体" w:cs="黑体"/>
          <w:b/>
          <w:bCs/>
          <w:sz w:val="84"/>
          <w:szCs w:val="84"/>
        </w:rPr>
        <w:t>件</w:t>
      </w:r>
    </w:p>
    <w:p>
      <w:pPr>
        <w:spacing w:before="320" w:after="160" w:line="240" w:lineRule="atLeast"/>
        <w:jc w:val="center"/>
        <w:rPr>
          <w:rFonts w:ascii="黑体" w:hAnsi="黑体" w:eastAsia="黑体" w:cs="黑体"/>
          <w:sz w:val="32"/>
        </w:rPr>
      </w:pPr>
    </w:p>
    <w:tbl>
      <w:tblPr>
        <w:tblStyle w:val="16"/>
        <w:tblpPr w:leftFromText="180" w:rightFromText="180" w:vertAnchor="text" w:horzAnchor="page" w:tblpX="1496" w:tblpY="2602"/>
        <w:tblW w:w="8928" w:type="dxa"/>
        <w:tblInd w:w="0" w:type="dxa"/>
        <w:tblLayout w:type="fixed"/>
        <w:tblCellMar>
          <w:top w:w="0" w:type="dxa"/>
          <w:left w:w="108" w:type="dxa"/>
          <w:bottom w:w="0" w:type="dxa"/>
          <w:right w:w="108" w:type="dxa"/>
        </w:tblCellMar>
      </w:tblPr>
      <w:tblGrid>
        <w:gridCol w:w="2085"/>
        <w:gridCol w:w="513"/>
        <w:gridCol w:w="6330"/>
      </w:tblGrid>
      <w:tr>
        <w:tblPrEx>
          <w:tblCellMar>
            <w:top w:w="0" w:type="dxa"/>
            <w:left w:w="108" w:type="dxa"/>
            <w:bottom w:w="0" w:type="dxa"/>
            <w:right w:w="108" w:type="dxa"/>
          </w:tblCellMar>
        </w:tblPrEx>
        <w:trPr>
          <w:trHeight w:val="644" w:hRule="atLeast"/>
        </w:trPr>
        <w:tc>
          <w:tcPr>
            <w:tcW w:w="2085" w:type="dxa"/>
            <w:tcBorders>
              <w:tl2br w:val="nil"/>
              <w:tr2bl w:val="nil"/>
            </w:tcBorders>
            <w:vAlign w:val="center"/>
          </w:tcPr>
          <w:p>
            <w:pPr>
              <w:rPr>
                <w:rFonts w:ascii="黑体" w:hAnsi="黑体" w:eastAsia="黑体" w:cs="黑体"/>
                <w:b/>
              </w:rPr>
            </w:pPr>
            <w:r>
              <w:rPr>
                <w:rFonts w:hint="eastAsia" w:ascii="黑体" w:hAnsi="黑体" w:eastAsia="黑体" w:cs="黑体"/>
                <w:b/>
                <w:sz w:val="28"/>
                <w:szCs w:val="28"/>
              </w:rPr>
              <w:t>项 目 名 称</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spacing w:line="360" w:lineRule="auto"/>
              <w:rPr>
                <w:rFonts w:hint="eastAsia" w:ascii="黑体" w:hAnsi="黑体" w:eastAsia="黑体" w:cs="黑体"/>
                <w:b/>
                <w:color w:val="000000"/>
                <w:sz w:val="27"/>
                <w:szCs w:val="27"/>
              </w:rPr>
            </w:pPr>
          </w:p>
          <w:p>
            <w:pPr>
              <w:spacing w:line="360" w:lineRule="auto"/>
              <w:rPr>
                <w:rFonts w:hint="eastAsia" w:ascii="黑体" w:hAnsi="黑体" w:eastAsia="黑体" w:cs="黑体"/>
                <w:b/>
                <w:sz w:val="28"/>
                <w:szCs w:val="28"/>
                <w:lang w:eastAsia="zh-CN"/>
              </w:rPr>
            </w:pPr>
            <w:r>
              <w:rPr>
                <w:rFonts w:hint="eastAsia" w:ascii="黑体" w:hAnsi="黑体" w:eastAsia="黑体" w:cs="黑体"/>
                <w:b/>
                <w:color w:val="000000"/>
                <w:sz w:val="27"/>
                <w:szCs w:val="27"/>
                <w:lang w:eastAsia="zh-CN"/>
              </w:rPr>
              <w:t>乌鲁木齐高新技术产业开发区（新市区）卫生健康委员会高新区（新市区）C区方舱板房空调项目(二次）</w:t>
            </w:r>
          </w:p>
        </w:tc>
      </w:tr>
      <w:tr>
        <w:tblPrEx>
          <w:tblCellMar>
            <w:top w:w="0" w:type="dxa"/>
            <w:left w:w="108" w:type="dxa"/>
            <w:bottom w:w="0" w:type="dxa"/>
            <w:right w:w="108" w:type="dxa"/>
          </w:tblCellMar>
        </w:tblPrEx>
        <w:trPr>
          <w:trHeight w:val="545"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项 目 编 号</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XJLY21HW113</w:t>
            </w:r>
          </w:p>
        </w:tc>
      </w:tr>
      <w:tr>
        <w:tblPrEx>
          <w:tblCellMar>
            <w:top w:w="0" w:type="dxa"/>
            <w:left w:w="108" w:type="dxa"/>
            <w:bottom w:w="0" w:type="dxa"/>
            <w:right w:w="108" w:type="dxa"/>
          </w:tblCellMar>
        </w:tblPrEx>
        <w:trPr>
          <w:trHeight w:val="531" w:hRule="atLeast"/>
        </w:trPr>
        <w:tc>
          <w:tcPr>
            <w:tcW w:w="2085" w:type="dxa"/>
            <w:tcBorders>
              <w:tl2br w:val="nil"/>
              <w:tr2bl w:val="nil"/>
            </w:tcBorders>
            <w:vAlign w:val="center"/>
          </w:tcPr>
          <w:p>
            <w:pPr>
              <w:ind w:right="-139" w:rightChars="-66"/>
              <w:rPr>
                <w:rFonts w:ascii="黑体" w:hAnsi="黑体" w:eastAsia="黑体" w:cs="黑体"/>
                <w:b/>
                <w:sz w:val="28"/>
                <w:szCs w:val="28"/>
              </w:rPr>
            </w:pPr>
            <w:r>
              <w:rPr>
                <w:rFonts w:hint="eastAsia" w:ascii="黑体" w:hAnsi="黑体" w:eastAsia="黑体" w:cs="黑体"/>
                <w:b/>
                <w:spacing w:val="44"/>
                <w:kern w:val="0"/>
                <w:sz w:val="28"/>
                <w:szCs w:val="28"/>
              </w:rPr>
              <w:t>采 购 人</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pStyle w:val="3"/>
              <w:widowControl/>
              <w:spacing w:line="18" w:lineRule="atLeast"/>
              <w:rPr>
                <w:rFonts w:ascii="黑体" w:hAnsi="黑体" w:eastAsia="黑体" w:cs="黑体"/>
                <w:sz w:val="28"/>
                <w:szCs w:val="28"/>
              </w:rPr>
            </w:pPr>
            <w:r>
              <w:rPr>
                <w:rFonts w:hint="eastAsia" w:ascii="黑体" w:hAnsi="黑体" w:eastAsia="黑体" w:cs="黑体"/>
                <w:b/>
                <w:color w:val="000000"/>
                <w:kern w:val="2"/>
                <w:sz w:val="27"/>
                <w:szCs w:val="27"/>
                <w:lang w:val="en-US" w:eastAsia="zh-CN" w:bidi="ar-SA"/>
              </w:rPr>
              <w:t>乌鲁木齐市高新技术产业开发区（新市区）卫生健康委员会</w:t>
            </w:r>
          </w:p>
        </w:tc>
      </w:tr>
      <w:tr>
        <w:tblPrEx>
          <w:tblCellMar>
            <w:top w:w="0" w:type="dxa"/>
            <w:left w:w="108" w:type="dxa"/>
            <w:bottom w:w="0" w:type="dxa"/>
            <w:right w:w="108" w:type="dxa"/>
          </w:tblCellMar>
        </w:tblPrEx>
        <w:trPr>
          <w:trHeight w:val="540"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pacing w:val="11"/>
                <w:kern w:val="0"/>
                <w:sz w:val="28"/>
                <w:szCs w:val="28"/>
              </w:rPr>
              <w:t>代 理 机</w:t>
            </w:r>
            <w:r>
              <w:rPr>
                <w:rFonts w:hint="eastAsia" w:ascii="黑体" w:hAnsi="黑体" w:eastAsia="黑体" w:cs="黑体"/>
                <w:b/>
                <w:spacing w:val="3"/>
                <w:kern w:val="0"/>
                <w:sz w:val="28"/>
                <w:szCs w:val="28"/>
              </w:rPr>
              <w:t>构</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新疆凌云天成工程管理咨询有限公司</w:t>
            </w:r>
          </w:p>
        </w:tc>
      </w:tr>
      <w:tr>
        <w:tblPrEx>
          <w:tblCellMar>
            <w:top w:w="0" w:type="dxa"/>
            <w:left w:w="108" w:type="dxa"/>
            <w:bottom w:w="0" w:type="dxa"/>
            <w:right w:w="108" w:type="dxa"/>
          </w:tblCellMar>
        </w:tblPrEx>
        <w:trPr>
          <w:trHeight w:val="531"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pacing w:val="149"/>
                <w:kern w:val="0"/>
                <w:sz w:val="28"/>
                <w:szCs w:val="28"/>
              </w:rPr>
              <w:t>联系</w:t>
            </w:r>
            <w:r>
              <w:rPr>
                <w:rFonts w:hint="eastAsia" w:ascii="黑体" w:hAnsi="黑体" w:eastAsia="黑体" w:cs="黑体"/>
                <w:b/>
                <w:spacing w:val="1"/>
                <w:kern w:val="0"/>
                <w:sz w:val="28"/>
                <w:szCs w:val="28"/>
              </w:rPr>
              <w:t>人</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hint="eastAsia" w:ascii="黑体" w:hAnsi="黑体" w:eastAsia="黑体" w:cs="黑体"/>
                <w:b/>
                <w:sz w:val="28"/>
                <w:szCs w:val="28"/>
                <w:lang w:eastAsia="zh-CN"/>
              </w:rPr>
            </w:pPr>
            <w:r>
              <w:rPr>
                <w:rFonts w:hint="eastAsia" w:ascii="黑体" w:hAnsi="黑体" w:eastAsia="黑体" w:cs="黑体"/>
                <w:b/>
                <w:sz w:val="28"/>
                <w:szCs w:val="28"/>
                <w:lang w:val="en-US" w:eastAsia="zh-CN"/>
              </w:rPr>
              <w:t>孙德林</w:t>
            </w:r>
          </w:p>
        </w:tc>
      </w:tr>
      <w:tr>
        <w:tblPrEx>
          <w:tblCellMar>
            <w:top w:w="0" w:type="dxa"/>
            <w:left w:w="108" w:type="dxa"/>
            <w:bottom w:w="0" w:type="dxa"/>
            <w:right w:w="108" w:type="dxa"/>
          </w:tblCellMar>
        </w:tblPrEx>
        <w:trPr>
          <w:trHeight w:val="525"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pacing w:val="59"/>
                <w:kern w:val="0"/>
                <w:sz w:val="28"/>
                <w:szCs w:val="28"/>
              </w:rPr>
              <w:t>联系电</w:t>
            </w:r>
            <w:r>
              <w:rPr>
                <w:rFonts w:hint="eastAsia" w:ascii="黑体" w:hAnsi="黑体" w:eastAsia="黑体" w:cs="黑体"/>
                <w:b/>
                <w:spacing w:val="1"/>
                <w:kern w:val="0"/>
                <w:sz w:val="28"/>
                <w:szCs w:val="28"/>
              </w:rPr>
              <w:t>话</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0991-3193958</w:t>
            </w:r>
          </w:p>
        </w:tc>
      </w:tr>
    </w:tbl>
    <w:p>
      <w:pPr>
        <w:spacing w:before="320" w:after="160" w:line="240" w:lineRule="atLeast"/>
        <w:jc w:val="center"/>
        <w:rPr>
          <w:rFonts w:ascii="仿宋" w:hAnsi="仿宋" w:eastAsia="仿宋" w:cs="仿宋"/>
          <w:b/>
          <w:sz w:val="32"/>
        </w:rPr>
      </w:pPr>
    </w:p>
    <w:p>
      <w:pPr>
        <w:tabs>
          <w:tab w:val="left" w:pos="5870"/>
        </w:tabs>
        <w:spacing w:line="360" w:lineRule="auto"/>
        <w:ind w:right="17"/>
        <w:jc w:val="left"/>
        <w:rPr>
          <w:rFonts w:ascii="仿宋" w:hAnsi="仿宋" w:eastAsia="仿宋" w:cs="仿宋"/>
          <w:b/>
          <w:sz w:val="28"/>
          <w:szCs w:val="28"/>
        </w:rPr>
      </w:pPr>
      <w:r>
        <w:rPr>
          <w:rFonts w:hint="eastAsia" w:ascii="仿宋" w:hAnsi="仿宋" w:eastAsia="仿宋" w:cs="仿宋"/>
          <w:b/>
          <w:sz w:val="28"/>
          <w:szCs w:val="28"/>
        </w:rPr>
        <w:tab/>
      </w:r>
    </w:p>
    <w:p>
      <w:pPr>
        <w:spacing w:line="360" w:lineRule="auto"/>
        <w:ind w:right="17"/>
        <w:jc w:val="center"/>
        <w:rPr>
          <w:rFonts w:ascii="仿宋" w:hAnsi="仿宋" w:eastAsia="仿宋" w:cs="仿宋"/>
          <w:b/>
          <w:sz w:val="28"/>
          <w:szCs w:val="28"/>
        </w:rPr>
      </w:pPr>
    </w:p>
    <w:p>
      <w:pPr>
        <w:spacing w:line="360" w:lineRule="auto"/>
        <w:ind w:right="17"/>
        <w:jc w:val="center"/>
        <w:rPr>
          <w:rFonts w:ascii="仿宋" w:hAnsi="仿宋" w:eastAsia="仿宋" w:cs="仿宋"/>
          <w:b/>
          <w:sz w:val="28"/>
          <w:szCs w:val="28"/>
        </w:rPr>
      </w:pPr>
    </w:p>
    <w:p>
      <w:pPr>
        <w:spacing w:line="360" w:lineRule="auto"/>
        <w:ind w:right="17"/>
        <w:jc w:val="center"/>
        <w:rPr>
          <w:rFonts w:ascii="仿宋" w:hAnsi="仿宋" w:eastAsia="仿宋" w:cs="仿宋"/>
          <w:b/>
          <w:sz w:val="28"/>
          <w:szCs w:val="28"/>
        </w:rPr>
      </w:pPr>
      <w:r>
        <w:rPr>
          <w:rFonts w:hint="eastAsia" w:ascii="仿宋" w:hAnsi="仿宋" w:eastAsia="仿宋" w:cs="仿宋"/>
          <w:b/>
          <w:sz w:val="28"/>
          <w:szCs w:val="28"/>
        </w:rPr>
        <w:t>二〇二</w:t>
      </w:r>
      <w:r>
        <w:rPr>
          <w:rFonts w:hint="eastAsia" w:ascii="仿宋" w:hAnsi="仿宋" w:eastAsia="仿宋" w:cs="仿宋"/>
          <w:b/>
          <w:sz w:val="28"/>
          <w:szCs w:val="28"/>
          <w:lang w:eastAsia="zh-CN"/>
        </w:rPr>
        <w:t>二</w:t>
      </w:r>
      <w:r>
        <w:rPr>
          <w:rFonts w:hint="eastAsia" w:ascii="仿宋" w:hAnsi="仿宋" w:eastAsia="仿宋" w:cs="仿宋"/>
          <w:b/>
          <w:sz w:val="28"/>
          <w:szCs w:val="28"/>
        </w:rPr>
        <w:t>年</w:t>
      </w:r>
      <w:r>
        <w:rPr>
          <w:rFonts w:hint="eastAsia" w:ascii="仿宋" w:hAnsi="仿宋" w:eastAsia="仿宋" w:cs="仿宋"/>
          <w:b/>
          <w:sz w:val="28"/>
          <w:szCs w:val="28"/>
          <w:lang w:eastAsia="zh-CN"/>
        </w:rPr>
        <w:t>一</w:t>
      </w:r>
      <w:r>
        <w:rPr>
          <w:rFonts w:hint="eastAsia" w:ascii="仿宋" w:hAnsi="仿宋" w:eastAsia="仿宋" w:cs="仿宋"/>
          <w:b/>
          <w:sz w:val="28"/>
          <w:szCs w:val="28"/>
        </w:rPr>
        <w:t>月</w:t>
      </w:r>
    </w:p>
    <w:p>
      <w:pPr>
        <w:rPr>
          <w:rFonts w:ascii="仿宋" w:hAnsi="仿宋" w:eastAsia="仿宋" w:cs="仿宋"/>
          <w:b/>
          <w:bCs/>
          <w:sz w:val="28"/>
          <w:szCs w:val="28"/>
        </w:rPr>
        <w:sectPr>
          <w:headerReference r:id="rId5" w:type="first"/>
          <w:headerReference r:id="rId3" w:type="default"/>
          <w:footerReference r:id="rId6" w:type="default"/>
          <w:headerReference r:id="rId4" w:type="even"/>
          <w:footerReference r:id="rId7" w:type="even"/>
          <w:pgSz w:w="11906" w:h="16838"/>
          <w:pgMar w:top="1378" w:right="1418" w:bottom="1001" w:left="1418" w:header="851" w:footer="992" w:gutter="0"/>
          <w:pgNumType w:start="0"/>
          <w:cols w:space="720" w:num="1"/>
          <w:titlePg/>
          <w:docGrid w:linePitch="312" w:charSpace="0"/>
        </w:sectPr>
      </w:pPr>
    </w:p>
    <w:sdt>
      <w:sdtPr>
        <w:rPr>
          <w:rFonts w:hint="eastAsia" w:ascii="仿宋" w:hAnsi="仿宋" w:eastAsia="仿宋" w:cs="仿宋"/>
          <w:b/>
          <w:bCs/>
          <w:sz w:val="32"/>
          <w:szCs w:val="32"/>
        </w:rPr>
        <w:id w:val="147457799"/>
        <w15:color w:val="DBDBDB"/>
        <w:docPartObj>
          <w:docPartGallery w:val="Table of Contents"/>
          <w:docPartUnique/>
        </w:docPartObj>
      </w:sdtPr>
      <w:sdtEndPr>
        <w:rPr>
          <w:rFonts w:hint="eastAsia" w:ascii="仿宋" w:hAnsi="仿宋" w:eastAsia="仿宋" w:cs="仿宋"/>
          <w:b/>
          <w:bCs/>
          <w:sz w:val="21"/>
          <w:szCs w:val="24"/>
        </w:rPr>
      </w:sdtEndPr>
      <w:sdtContent>
        <w:p>
          <w:pPr>
            <w:jc w:val="center"/>
            <w:rPr>
              <w:rFonts w:ascii="仿宋" w:hAnsi="仿宋" w:eastAsia="仿宋" w:cs="仿宋"/>
              <w:b/>
              <w:bCs/>
              <w:sz w:val="32"/>
              <w:szCs w:val="32"/>
            </w:rPr>
          </w:pPr>
          <w:r>
            <w:rPr>
              <w:rFonts w:hint="eastAsia" w:ascii="仿宋" w:hAnsi="仿宋" w:eastAsia="仿宋" w:cs="仿宋"/>
              <w:b/>
              <w:bCs/>
              <w:sz w:val="32"/>
              <w:szCs w:val="32"/>
            </w:rPr>
            <w:t>目    录</w:t>
          </w:r>
        </w:p>
        <w:p>
          <w:pPr>
            <w:pStyle w:val="12"/>
            <w:tabs>
              <w:tab w:val="right" w:leader="dot" w:pos="9638"/>
            </w:tabs>
            <w:rPr>
              <w:rFonts w:ascii="仿宋" w:hAnsi="仿宋" w:eastAsia="仿宋" w:cs="仿宋"/>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TOC \o "1-1" \h \u </w:instrText>
          </w:r>
          <w:r>
            <w:rPr>
              <w:rFonts w:hint="eastAsia" w:ascii="仿宋" w:hAnsi="仿宋" w:eastAsia="仿宋" w:cs="仿宋"/>
              <w:b/>
              <w:bCs/>
              <w:sz w:val="28"/>
              <w:szCs w:val="28"/>
            </w:rPr>
            <w:fldChar w:fldCharType="separate"/>
          </w:r>
          <w:r>
            <w:fldChar w:fldCharType="begin"/>
          </w:r>
          <w:r>
            <w:instrText xml:space="preserve"> HYPERLINK \l "_Toc3415" </w:instrText>
          </w:r>
          <w:r>
            <w:fldChar w:fldCharType="separate"/>
          </w:r>
          <w:r>
            <w:rPr>
              <w:rFonts w:hint="eastAsia" w:ascii="仿宋" w:hAnsi="仿宋" w:eastAsia="仿宋" w:cs="仿宋"/>
              <w:bCs/>
              <w:sz w:val="28"/>
              <w:szCs w:val="28"/>
            </w:rPr>
            <w:t>第一部分  招标公告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_Toc3415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9638"/>
            </w:tabs>
            <w:rPr>
              <w:rFonts w:ascii="仿宋" w:hAnsi="仿宋" w:eastAsia="仿宋" w:cs="仿宋"/>
              <w:sz w:val="28"/>
              <w:szCs w:val="28"/>
            </w:rPr>
          </w:pPr>
          <w:r>
            <w:fldChar w:fldCharType="begin"/>
          </w:r>
          <w:r>
            <w:instrText xml:space="preserve"> HYPERLINK \l "_Toc19607" </w:instrText>
          </w:r>
          <w:r>
            <w:fldChar w:fldCharType="separate"/>
          </w:r>
          <w:r>
            <w:rPr>
              <w:rFonts w:hint="eastAsia" w:ascii="仿宋" w:hAnsi="仿宋" w:eastAsia="仿宋" w:cs="仿宋"/>
              <w:bCs/>
              <w:sz w:val="28"/>
              <w:szCs w:val="28"/>
            </w:rPr>
            <w:t>第二部分  投标人须知</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sz w:val="28"/>
              <w:szCs w:val="28"/>
            </w:rPr>
            <w:fldChar w:fldCharType="end"/>
          </w:r>
        </w:p>
        <w:p>
          <w:pPr>
            <w:pStyle w:val="12"/>
            <w:tabs>
              <w:tab w:val="right" w:leader="dot" w:pos="9638"/>
            </w:tabs>
            <w:rPr>
              <w:rFonts w:hint="eastAsia" w:ascii="仿宋" w:hAnsi="仿宋" w:eastAsia="仿宋" w:cs="仿宋"/>
              <w:sz w:val="28"/>
              <w:szCs w:val="28"/>
              <w:lang w:val="en-US" w:eastAsia="zh-CN"/>
            </w:rPr>
          </w:pPr>
          <w:r>
            <w:fldChar w:fldCharType="begin"/>
          </w:r>
          <w:r>
            <w:instrText xml:space="preserve"> HYPERLINK \l "_Toc31234" </w:instrText>
          </w:r>
          <w:r>
            <w:fldChar w:fldCharType="separate"/>
          </w:r>
          <w:r>
            <w:rPr>
              <w:rFonts w:hint="eastAsia" w:ascii="仿宋" w:hAnsi="仿宋" w:eastAsia="仿宋" w:cs="仿宋"/>
              <w:bCs/>
              <w:sz w:val="28"/>
              <w:szCs w:val="28"/>
            </w:rPr>
            <w:t>第三部分  授予合同</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12"/>
            <w:tabs>
              <w:tab w:val="right" w:leader="dot" w:pos="9638"/>
            </w:tabs>
            <w:rPr>
              <w:rFonts w:hint="eastAsia" w:ascii="仿宋" w:hAnsi="仿宋" w:eastAsia="仿宋" w:cs="仿宋"/>
              <w:lang w:val="en-US" w:eastAsia="zh-CN"/>
            </w:rPr>
          </w:pPr>
          <w:r>
            <w:fldChar w:fldCharType="begin"/>
          </w:r>
          <w:r>
            <w:instrText xml:space="preserve"> HYPERLINK \l "_Toc24622" </w:instrText>
          </w:r>
          <w:r>
            <w:fldChar w:fldCharType="separate"/>
          </w:r>
          <w:r>
            <w:rPr>
              <w:rFonts w:hint="eastAsia" w:ascii="仿宋" w:hAnsi="仿宋" w:eastAsia="仿宋" w:cs="仿宋"/>
              <w:sz w:val="28"/>
              <w:szCs w:val="28"/>
            </w:rPr>
            <w:t>第四部分  项目招标要求及说明</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2</w:t>
          </w:r>
        </w:p>
        <w:p>
          <w:pPr>
            <w:pStyle w:val="12"/>
            <w:tabs>
              <w:tab w:val="right" w:leader="dot" w:pos="9638"/>
            </w:tabs>
            <w:rPr>
              <w:rFonts w:hint="eastAsia" w:ascii="仿宋" w:hAnsi="仿宋" w:eastAsia="仿宋" w:cs="仿宋"/>
              <w:sz w:val="28"/>
              <w:szCs w:val="28"/>
              <w:lang w:val="en-US" w:eastAsia="zh-CN"/>
            </w:rPr>
          </w:pPr>
          <w:r>
            <w:fldChar w:fldCharType="begin"/>
          </w:r>
          <w:r>
            <w:instrText xml:space="preserve"> HYPERLINK \l "_Toc8527" </w:instrText>
          </w:r>
          <w:r>
            <w:fldChar w:fldCharType="separate"/>
          </w:r>
          <w:r>
            <w:rPr>
              <w:rFonts w:hint="eastAsia" w:ascii="仿宋" w:hAnsi="仿宋" w:eastAsia="仿宋" w:cs="仿宋"/>
              <w:bCs/>
              <w:sz w:val="28"/>
              <w:szCs w:val="28"/>
            </w:rPr>
            <w:t>第五部分  投标文件格式</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3</w:t>
          </w:r>
        </w:p>
        <w:p>
          <w:pPr>
            <w:pStyle w:val="12"/>
            <w:tabs>
              <w:tab w:val="right" w:leader="dot" w:pos="9638"/>
            </w:tabs>
            <w:rPr>
              <w:rFonts w:ascii="仿宋" w:hAnsi="仿宋" w:eastAsia="仿宋" w:cs="仿宋"/>
              <w:sz w:val="28"/>
              <w:szCs w:val="28"/>
            </w:rPr>
          </w:pPr>
        </w:p>
        <w:p>
          <w:pPr>
            <w:spacing w:line="480" w:lineRule="auto"/>
            <w:rPr>
              <w:rFonts w:ascii="仿宋" w:hAnsi="仿宋" w:eastAsia="仿宋" w:cs="仿宋"/>
              <w:b/>
              <w:bCs/>
            </w:rPr>
          </w:pPr>
          <w:r>
            <w:rPr>
              <w:rFonts w:hint="eastAsia" w:ascii="仿宋" w:hAnsi="仿宋" w:eastAsia="仿宋" w:cs="仿宋"/>
              <w:bCs/>
              <w:sz w:val="28"/>
              <w:szCs w:val="28"/>
            </w:rPr>
            <w:fldChar w:fldCharType="end"/>
          </w:r>
        </w:p>
      </w:sdtContent>
    </w:sdt>
    <w:p>
      <w:pPr>
        <w:adjustRightInd w:val="0"/>
        <w:spacing w:line="360" w:lineRule="auto"/>
        <w:ind w:right="105" w:rightChars="50" w:firstLine="360"/>
        <w:jc w:val="distribute"/>
        <w:rPr>
          <w:rFonts w:ascii="仿宋" w:hAnsi="仿宋" w:eastAsia="仿宋" w:cs="仿宋"/>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pStyle w:val="12"/>
        <w:tabs>
          <w:tab w:val="right" w:leader="dot" w:pos="9070"/>
        </w:tabs>
        <w:rPr>
          <w:rFonts w:ascii="仿宋" w:hAnsi="仿宋" w:eastAsia="仿宋" w:cs="仿宋"/>
          <w:b/>
          <w:bCs/>
          <w:sz w:val="28"/>
          <w:szCs w:val="28"/>
        </w:rPr>
      </w:pPr>
      <w:bookmarkStart w:id="0" w:name="_Toc22613"/>
      <w:bookmarkStart w:id="1" w:name="_Toc8469"/>
    </w:p>
    <w:p>
      <w:pPr>
        <w:jc w:val="center"/>
        <w:rPr>
          <w:rFonts w:ascii="仿宋" w:hAnsi="仿宋" w:eastAsia="仿宋" w:cs="仿宋"/>
          <w:b/>
          <w:bCs/>
          <w:sz w:val="30"/>
          <w:szCs w:val="30"/>
        </w:rPr>
        <w:sectPr>
          <w:headerReference r:id="rId9" w:type="first"/>
          <w:footerReference r:id="rId11" w:type="first"/>
          <w:headerReference r:id="rId8" w:type="default"/>
          <w:footerReference r:id="rId10" w:type="default"/>
          <w:pgSz w:w="11906" w:h="16838"/>
          <w:pgMar w:top="1418" w:right="1134" w:bottom="1418" w:left="1134" w:header="851" w:footer="992" w:gutter="0"/>
          <w:pgNumType w:start="1"/>
          <w:cols w:space="720" w:num="1"/>
          <w:titlePg/>
          <w:docGrid w:type="lines" w:linePitch="312" w:charSpace="0"/>
        </w:sectPr>
      </w:pPr>
    </w:p>
    <w:p>
      <w:pPr>
        <w:jc w:val="center"/>
        <w:outlineLvl w:val="0"/>
        <w:rPr>
          <w:rFonts w:ascii="仿宋" w:hAnsi="仿宋" w:eastAsia="仿宋" w:cs="仿宋"/>
          <w:sz w:val="30"/>
          <w:szCs w:val="30"/>
        </w:rPr>
      </w:pPr>
      <w:bookmarkStart w:id="2" w:name="_Toc3415"/>
      <w:r>
        <w:rPr>
          <w:rFonts w:hint="eastAsia" w:ascii="仿宋" w:hAnsi="仿宋" w:eastAsia="仿宋" w:cs="仿宋"/>
          <w:b/>
          <w:bCs/>
          <w:sz w:val="30"/>
          <w:szCs w:val="30"/>
        </w:rPr>
        <w:t>第一部分  招标公告</w:t>
      </w:r>
      <w:bookmarkEnd w:id="0"/>
      <w:bookmarkEnd w:id="1"/>
      <w:bookmarkEnd w:id="2"/>
    </w:p>
    <w:p>
      <w:pPr>
        <w:pStyle w:val="15"/>
        <w:spacing w:before="60" w:beforeAutospacing="0" w:after="60" w:afterAutospacing="0"/>
        <w:rPr>
          <w:rStyle w:val="19"/>
          <w:rFonts w:hint="eastAsia" w:ascii="仿宋" w:hAnsi="仿宋" w:eastAsia="仿宋" w:cs="仿宋"/>
          <w:lang w:val="en-US" w:eastAsia="zh-CN"/>
        </w:rPr>
      </w:pPr>
      <w:bookmarkStart w:id="3" w:name="_Toc20127"/>
      <w:bookmarkStart w:id="4" w:name="_Toc16868"/>
      <w:r>
        <w:rPr>
          <w:rStyle w:val="19"/>
          <w:rFonts w:hint="eastAsia" w:ascii="仿宋" w:hAnsi="仿宋" w:eastAsia="仿宋" w:cs="仿宋"/>
        </w:rPr>
        <w:t>一、   招标项目编号：XJLY21HW113</w:t>
      </w:r>
    </w:p>
    <w:p>
      <w:pPr>
        <w:pStyle w:val="15"/>
        <w:spacing w:before="60" w:beforeAutospacing="0" w:after="60" w:afterAutospacing="0"/>
        <w:rPr>
          <w:rFonts w:ascii="仿宋" w:hAnsi="仿宋" w:eastAsia="仿宋" w:cs="仿宋"/>
        </w:rPr>
      </w:pPr>
      <w:r>
        <w:rPr>
          <w:rStyle w:val="19"/>
          <w:rFonts w:hint="eastAsia" w:ascii="仿宋" w:hAnsi="仿宋" w:eastAsia="仿宋" w:cs="仿宋"/>
        </w:rPr>
        <w:t>二、   采购组织类型：</w:t>
      </w:r>
      <w:r>
        <w:rPr>
          <w:rFonts w:hint="eastAsia" w:ascii="仿宋" w:hAnsi="仿宋" w:eastAsia="仿宋" w:cs="仿宋"/>
        </w:rPr>
        <w:t>部门集中采购-委托中介机构 </w:t>
      </w:r>
    </w:p>
    <w:p>
      <w:pPr>
        <w:pStyle w:val="15"/>
        <w:spacing w:before="60" w:beforeAutospacing="0" w:after="60" w:afterAutospacing="0"/>
        <w:rPr>
          <w:rFonts w:ascii="仿宋" w:hAnsi="仿宋" w:eastAsia="仿宋" w:cs="仿宋"/>
        </w:rPr>
      </w:pPr>
      <w:r>
        <w:rPr>
          <w:rStyle w:val="19"/>
          <w:rFonts w:hint="eastAsia" w:ascii="仿宋" w:hAnsi="仿宋" w:eastAsia="仿宋" w:cs="仿宋"/>
        </w:rPr>
        <w:t>三、   招标项目概况</w:t>
      </w:r>
      <w:r>
        <w:rPr>
          <w:rFonts w:hint="eastAsia" w:ascii="仿宋" w:hAnsi="仿宋" w:eastAsia="仿宋" w:cs="仿宋"/>
        </w:rPr>
        <w:t>      </w:t>
      </w:r>
    </w:p>
    <w:tbl>
      <w:tblPr>
        <w:tblStyle w:val="16"/>
        <w:tblW w:w="4120" w:type="pct"/>
        <w:jc w:val="center"/>
        <w:tblLayout w:type="autofit"/>
        <w:tblCellMar>
          <w:top w:w="15" w:type="dxa"/>
          <w:left w:w="15" w:type="dxa"/>
          <w:bottom w:w="15" w:type="dxa"/>
          <w:right w:w="15" w:type="dxa"/>
        </w:tblCellMar>
      </w:tblPr>
      <w:tblGrid>
        <w:gridCol w:w="1151"/>
        <w:gridCol w:w="1702"/>
        <w:gridCol w:w="1315"/>
        <w:gridCol w:w="1811"/>
        <w:gridCol w:w="1692"/>
      </w:tblGrid>
      <w:tr>
        <w:tblPrEx>
          <w:tblCellMar>
            <w:top w:w="15" w:type="dxa"/>
            <w:left w:w="15" w:type="dxa"/>
            <w:bottom w:w="15" w:type="dxa"/>
            <w:right w:w="15" w:type="dxa"/>
          </w:tblCellMar>
        </w:tblPrEx>
        <w:trPr>
          <w:jc w:val="center"/>
        </w:trPr>
        <w:tc>
          <w:tcPr>
            <w:tcW w:w="75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标项序号</w:t>
            </w:r>
          </w:p>
        </w:tc>
        <w:tc>
          <w:tcPr>
            <w:tcW w:w="1109"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标项名称</w:t>
            </w:r>
          </w:p>
        </w:tc>
        <w:tc>
          <w:tcPr>
            <w:tcW w:w="857"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预算金额(元)</w:t>
            </w:r>
          </w:p>
        </w:tc>
        <w:tc>
          <w:tcPr>
            <w:tcW w:w="118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简要规格描述</w:t>
            </w:r>
          </w:p>
        </w:tc>
        <w:tc>
          <w:tcPr>
            <w:tcW w:w="1102"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hint="eastAsia" w:ascii="仿宋" w:hAnsi="仿宋" w:eastAsia="仿宋" w:cs="仿宋"/>
                <w:sz w:val="24"/>
                <w:lang w:eastAsia="zh-CN"/>
              </w:rPr>
            </w:pPr>
            <w:r>
              <w:rPr>
                <w:rFonts w:hint="eastAsia" w:ascii="仿宋" w:hAnsi="仿宋" w:eastAsia="仿宋" w:cs="仿宋"/>
                <w:kern w:val="0"/>
                <w:sz w:val="24"/>
                <w:lang w:val="en-US" w:eastAsia="zh-CN" w:bidi="ar"/>
              </w:rPr>
              <w:t>数量（台）</w:t>
            </w:r>
          </w:p>
        </w:tc>
      </w:tr>
      <w:tr>
        <w:tblPrEx>
          <w:tblCellMar>
            <w:top w:w="15" w:type="dxa"/>
            <w:left w:w="15" w:type="dxa"/>
            <w:bottom w:w="15" w:type="dxa"/>
            <w:right w:w="15" w:type="dxa"/>
          </w:tblCellMar>
        </w:tblPrEx>
        <w:trPr>
          <w:jc w:val="center"/>
        </w:trPr>
        <w:tc>
          <w:tcPr>
            <w:tcW w:w="75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1</w:t>
            </w:r>
          </w:p>
        </w:tc>
        <w:tc>
          <w:tcPr>
            <w:tcW w:w="1109"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hint="eastAsia" w:ascii="仿宋" w:hAnsi="仿宋" w:eastAsia="仿宋" w:cs="仿宋"/>
                <w:sz w:val="24"/>
                <w:lang w:eastAsia="zh-CN"/>
              </w:rPr>
            </w:pPr>
            <w:r>
              <w:rPr>
                <w:rFonts w:hint="eastAsia" w:ascii="仿宋" w:hAnsi="仿宋" w:eastAsia="仿宋" w:cs="仿宋"/>
                <w:sz w:val="24"/>
                <w:lang w:eastAsia="zh-CN"/>
              </w:rPr>
              <w:t>空调</w:t>
            </w:r>
          </w:p>
          <w:p>
            <w:pPr>
              <w:widowControl/>
              <w:jc w:val="center"/>
              <w:rPr>
                <w:rFonts w:ascii="仿宋" w:hAnsi="仿宋" w:eastAsia="仿宋" w:cs="仿宋"/>
                <w:sz w:val="24"/>
              </w:rPr>
            </w:pPr>
          </w:p>
        </w:tc>
        <w:tc>
          <w:tcPr>
            <w:tcW w:w="857"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sz w:val="24"/>
              </w:rPr>
              <w:t xml:space="preserve">1394400 </w:t>
            </w:r>
          </w:p>
        </w:tc>
        <w:tc>
          <w:tcPr>
            <w:tcW w:w="118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sz w:val="24"/>
                <w:lang w:eastAsia="zh-CN"/>
              </w:rPr>
              <w:t>变频分体壁挂式</w:t>
            </w:r>
          </w:p>
        </w:tc>
        <w:tc>
          <w:tcPr>
            <w:tcW w:w="1102"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hint="default" w:ascii="仿宋" w:hAnsi="仿宋" w:eastAsia="仿宋" w:cs="仿宋"/>
                <w:sz w:val="24"/>
                <w:lang w:val="en-US" w:eastAsia="zh-CN"/>
              </w:rPr>
            </w:pPr>
            <w:r>
              <w:rPr>
                <w:rFonts w:hint="eastAsia" w:ascii="仿宋" w:hAnsi="仿宋" w:eastAsia="仿宋" w:cs="仿宋"/>
                <w:sz w:val="24"/>
                <w:lang w:val="en-US" w:eastAsia="zh-CN"/>
              </w:rPr>
              <w:t>664</w:t>
            </w:r>
          </w:p>
          <w:p>
            <w:pPr>
              <w:widowControl/>
              <w:jc w:val="center"/>
              <w:rPr>
                <w:rFonts w:ascii="仿宋" w:hAnsi="仿宋" w:eastAsia="仿宋" w:cs="仿宋"/>
                <w:sz w:val="24"/>
              </w:rPr>
            </w:pPr>
          </w:p>
        </w:tc>
      </w:tr>
    </w:tbl>
    <w:p>
      <w:pPr>
        <w:pStyle w:val="15"/>
        <w:spacing w:before="60" w:beforeAutospacing="0" w:after="60" w:afterAutospacing="0"/>
        <w:rPr>
          <w:rFonts w:ascii="仿宋" w:hAnsi="仿宋" w:eastAsia="仿宋" w:cs="仿宋"/>
        </w:rPr>
      </w:pPr>
    </w:p>
    <w:p>
      <w:pPr>
        <w:pStyle w:val="15"/>
        <w:spacing w:before="60" w:beforeAutospacing="0" w:after="60" w:afterAutospacing="0"/>
        <w:rPr>
          <w:rFonts w:ascii="仿宋" w:hAnsi="仿宋" w:eastAsia="仿宋" w:cs="仿宋"/>
        </w:rPr>
      </w:pPr>
      <w:r>
        <w:rPr>
          <w:rStyle w:val="19"/>
          <w:rFonts w:hint="eastAsia" w:ascii="仿宋" w:hAnsi="仿宋" w:eastAsia="仿宋" w:cs="仿宋"/>
        </w:rPr>
        <w:t>四、 投标供应商资格要求:</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满足《中华人民共和国政府采购法》第二十二条规定</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网上提交法人营业执照副本彩色扫描件。</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参与投标的法定代表人应提交身份证彩色扫描件及《法定代表人资格证明书》，委托代理人应提交《法人授权委托书》和身份证彩色扫描件。</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具有良好的信誉，未被 “信用中国”(www.creditchina.gov.cn) 列入失信被执行人、重大税收违法案件当事人名单，政府采购严重违法名单</w:t>
      </w:r>
      <w:r>
        <w:rPr>
          <w:rFonts w:hint="eastAsia" w:ascii="仿宋" w:hAnsi="仿宋" w:eastAsia="仿宋" w:cs="仿宋"/>
          <w:sz w:val="24"/>
          <w:lang w:val="en-US" w:eastAsia="zh-CN"/>
        </w:rPr>
        <w:t>查询结果、</w:t>
      </w:r>
      <w:r>
        <w:rPr>
          <w:rFonts w:hint="eastAsia" w:ascii="仿宋" w:hAnsi="仿宋" w:eastAsia="仿宋" w:cs="仿宋"/>
          <w:sz w:val="24"/>
        </w:rPr>
        <w:t>未被 “中国政府采购网”（www.ccgp.gov.cn）列入政府采购严重违法失信行为记录名单，查询时间为投标报名开始之日起，网上提交查询加盖公章的截图彩色扫描件。</w:t>
      </w:r>
    </w:p>
    <w:p>
      <w:pPr>
        <w:pStyle w:val="7"/>
        <w:numPr>
          <w:ilvl w:val="0"/>
          <w:numId w:val="1"/>
        </w:numPr>
        <w:spacing w:line="360" w:lineRule="auto"/>
        <w:rPr>
          <w:rFonts w:ascii="仿宋" w:hAnsi="仿宋" w:eastAsia="仿宋" w:cs="仿宋"/>
          <w:sz w:val="24"/>
        </w:rPr>
      </w:pPr>
      <w:r>
        <w:rPr>
          <w:rFonts w:hint="eastAsia" w:ascii="仿宋" w:hAnsi="仿宋" w:eastAsia="仿宋" w:cs="仿宋"/>
          <w:sz w:val="24"/>
        </w:rPr>
        <w:t>单位负责人为同一人或者存在直接控股、管理关系的不同供应商，不得参加同一合同项下的政府采购活动。</w:t>
      </w:r>
    </w:p>
    <w:p>
      <w:pPr>
        <w:pStyle w:val="7"/>
        <w:widowControl/>
        <w:numPr>
          <w:ilvl w:val="0"/>
          <w:numId w:val="1"/>
        </w:numPr>
        <w:spacing w:line="360" w:lineRule="auto"/>
        <w:rPr>
          <w:rFonts w:ascii="仿宋" w:hAnsi="仿宋" w:eastAsia="仿宋" w:cs="仿宋"/>
          <w:sz w:val="24"/>
        </w:rPr>
      </w:pPr>
      <w:r>
        <w:rPr>
          <w:rFonts w:hint="eastAsia" w:ascii="仿宋" w:hAnsi="仿宋" w:eastAsia="仿宋" w:cs="仿宋"/>
          <w:sz w:val="24"/>
        </w:rPr>
        <w:t>为充分保证完善的售后服务，本项目不接受联合体投标。</w:t>
      </w:r>
    </w:p>
    <w:p>
      <w:pPr>
        <w:pStyle w:val="7"/>
        <w:widowControl/>
        <w:spacing w:line="360" w:lineRule="auto"/>
        <w:ind w:firstLine="482" w:firstLineChars="200"/>
        <w:rPr>
          <w:rFonts w:ascii="仿宋" w:hAnsi="仿宋" w:eastAsia="仿宋" w:cs="仿宋"/>
          <w:b/>
          <w:bCs/>
          <w:sz w:val="24"/>
        </w:rPr>
      </w:pPr>
      <w:r>
        <w:rPr>
          <w:rFonts w:hint="eastAsia" w:ascii="仿宋" w:hAnsi="仿宋" w:eastAsia="仿宋" w:cs="仿宋"/>
          <w:b/>
          <w:bCs/>
          <w:sz w:val="24"/>
        </w:rPr>
        <w:t>注：后续供应商在在线制作投标文件时需对资格审查项进行逐一关联响应。</w:t>
      </w:r>
    </w:p>
    <w:p>
      <w:pPr>
        <w:pStyle w:val="15"/>
        <w:spacing w:before="60" w:beforeAutospacing="0" w:after="60" w:afterAutospacing="0"/>
        <w:rPr>
          <w:rFonts w:ascii="仿宋" w:hAnsi="仿宋" w:eastAsia="仿宋" w:cs="仿宋"/>
        </w:rPr>
      </w:pPr>
      <w:r>
        <w:rPr>
          <w:rStyle w:val="19"/>
          <w:rFonts w:hint="eastAsia" w:ascii="仿宋" w:hAnsi="仿宋" w:eastAsia="仿宋" w:cs="仿宋"/>
        </w:rPr>
        <w:t>五、招标文件的报名/发售时间、地址、售价</w:t>
      </w:r>
    </w:p>
    <w:p>
      <w:pPr>
        <w:pStyle w:val="15"/>
        <w:spacing w:before="60" w:beforeAutospacing="0" w:after="60" w:afterAutospacing="0"/>
        <w:rPr>
          <w:rFonts w:ascii="仿宋" w:hAnsi="仿宋" w:eastAsia="仿宋" w:cs="仿宋"/>
        </w:rPr>
      </w:pPr>
      <w:r>
        <w:rPr>
          <w:rStyle w:val="19"/>
          <w:rFonts w:hint="eastAsia" w:ascii="仿宋" w:hAnsi="仿宋" w:eastAsia="仿宋" w:cs="仿宋"/>
        </w:rPr>
        <w:t>1．报名（发售／获取）时间：</w:t>
      </w:r>
      <w:r>
        <w:rPr>
          <w:rFonts w:hint="eastAsia" w:ascii="仿宋" w:hAnsi="仿宋" w:eastAsia="仿宋" w:cs="仿宋"/>
          <w:color w:val="000000" w:themeColor="text1"/>
          <w14:textFill>
            <w14:solidFill>
              <w14:schemeClr w14:val="tx1"/>
            </w14:solidFill>
          </w14:textFill>
        </w:rPr>
        <w:t>202</w:t>
      </w:r>
      <w:r>
        <w:rPr>
          <w:rFonts w:hint="eastAsia" w:ascii="仿宋" w:hAnsi="仿宋" w:eastAsia="仿宋" w:cs="仿宋"/>
          <w:color w:val="000000" w:themeColor="text1"/>
          <w:lang w:val="en-US" w:eastAsia="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01</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19</w:t>
      </w:r>
      <w:r>
        <w:rPr>
          <w:rFonts w:hint="eastAsia" w:ascii="仿宋" w:hAnsi="仿宋" w:eastAsia="仿宋" w:cs="仿宋"/>
          <w:color w:val="000000" w:themeColor="text1"/>
          <w14:textFill>
            <w14:solidFill>
              <w14:schemeClr w14:val="tx1"/>
            </w14:solidFill>
          </w14:textFill>
        </w:rPr>
        <w:t xml:space="preserve">  至 202</w:t>
      </w:r>
      <w:r>
        <w:rPr>
          <w:rFonts w:hint="eastAsia" w:ascii="仿宋" w:hAnsi="仿宋" w:eastAsia="仿宋" w:cs="仿宋"/>
          <w:color w:val="000000" w:themeColor="text1"/>
          <w:lang w:val="en-US" w:eastAsia="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01</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 xml:space="preserve">26 </w:t>
      </w:r>
      <w:r>
        <w:rPr>
          <w:rFonts w:hint="eastAsia" w:ascii="仿宋" w:hAnsi="仿宋" w:eastAsia="仿宋" w:cs="仿宋"/>
          <w:color w:val="000000" w:themeColor="text1"/>
          <w14:textFill>
            <w14:solidFill>
              <w14:schemeClr w14:val="tx1"/>
            </w14:solidFill>
          </w14:textFill>
        </w:rPr>
        <w:t>18:30:00 </w:t>
      </w:r>
    </w:p>
    <w:p>
      <w:pPr>
        <w:pStyle w:val="15"/>
        <w:spacing w:before="60" w:beforeAutospacing="0" w:after="60" w:afterAutospacing="0"/>
        <w:rPr>
          <w:rFonts w:ascii="仿宋" w:hAnsi="仿宋" w:eastAsia="仿宋" w:cs="仿宋"/>
        </w:rPr>
      </w:pPr>
      <w:r>
        <w:rPr>
          <w:rStyle w:val="19"/>
          <w:rFonts w:hint="eastAsia" w:ascii="仿宋" w:hAnsi="仿宋" w:eastAsia="仿宋" w:cs="仿宋"/>
        </w:rPr>
        <w:t>上午：</w:t>
      </w:r>
      <w:r>
        <w:rPr>
          <w:rFonts w:hint="eastAsia" w:ascii="仿宋" w:hAnsi="仿宋" w:eastAsia="仿宋" w:cs="仿宋"/>
        </w:rPr>
        <w:t> 10:30-13:30 </w:t>
      </w:r>
    </w:p>
    <w:p>
      <w:pPr>
        <w:pStyle w:val="15"/>
        <w:spacing w:before="60" w:beforeAutospacing="0" w:after="60" w:afterAutospacing="0"/>
        <w:rPr>
          <w:rFonts w:ascii="仿宋" w:hAnsi="仿宋" w:eastAsia="仿宋" w:cs="仿宋"/>
        </w:rPr>
      </w:pPr>
      <w:r>
        <w:rPr>
          <w:rStyle w:val="19"/>
          <w:rFonts w:hint="eastAsia" w:ascii="仿宋" w:hAnsi="仿宋" w:eastAsia="仿宋" w:cs="仿宋"/>
        </w:rPr>
        <w:t>下午：</w:t>
      </w:r>
      <w:r>
        <w:rPr>
          <w:rFonts w:hint="eastAsia" w:ascii="仿宋" w:hAnsi="仿宋" w:eastAsia="仿宋" w:cs="仿宋"/>
        </w:rPr>
        <w:t> 15:30-18:30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报名（发售／获取）地址：</w:t>
      </w:r>
      <w:r>
        <w:rPr>
          <w:rFonts w:hint="eastAsia" w:ascii="仿宋" w:hAnsi="仿宋" w:eastAsia="仿宋" w:cs="仿宋"/>
          <w:b/>
          <w:bCs/>
          <w:sz w:val="24"/>
        </w:rPr>
        <w:t>在政采云平台（</w:t>
      </w:r>
      <w:r>
        <w:fldChar w:fldCharType="begin"/>
      </w:r>
      <w:r>
        <w:instrText xml:space="preserve"> HYPERLINK "http://www.xjzfcg.gov.cn/）,找到本项目上传报名资料后，联系招标代理项目负责人15688300052，审核通过后，点击获取采购文件。获取招标文件费用200元，一经售出概不退还。" </w:instrText>
      </w:r>
      <w:r>
        <w:fldChar w:fldCharType="separate"/>
      </w:r>
      <w:r>
        <w:rPr>
          <w:rFonts w:hint="eastAsia" w:ascii="仿宋" w:hAnsi="仿宋" w:eastAsia="仿宋" w:cs="仿宋"/>
          <w:b/>
          <w:sz w:val="24"/>
        </w:rPr>
        <w:t>http://www.xjzfcg.gov.cn/）,找到本项目上传报名资料审核通过后，</w:t>
      </w:r>
      <w:r>
        <w:rPr>
          <w:rFonts w:hint="eastAsia" w:ascii="仿宋" w:hAnsi="仿宋" w:eastAsia="仿宋" w:cs="仿宋"/>
          <w:b/>
          <w:sz w:val="24"/>
          <w:lang w:val="en-US" w:eastAsia="zh-CN"/>
        </w:rPr>
        <w:t>可</w:t>
      </w:r>
      <w:r>
        <w:rPr>
          <w:rFonts w:hint="eastAsia" w:ascii="仿宋" w:hAnsi="仿宋" w:eastAsia="仿宋" w:cs="仿宋"/>
          <w:b/>
          <w:sz w:val="24"/>
        </w:rPr>
        <w:t>获取采购文件。</w:t>
      </w:r>
      <w:r>
        <w:rPr>
          <w:rFonts w:hint="eastAsia" w:ascii="仿宋" w:hAnsi="仿宋" w:eastAsia="仿宋" w:cs="仿宋"/>
          <w:b/>
          <w:sz w:val="24"/>
        </w:rPr>
        <w:fldChar w:fldCharType="end"/>
      </w:r>
    </w:p>
    <w:p>
      <w:pPr>
        <w:pStyle w:val="4"/>
        <w:ind w:firstLine="482" w:firstLineChars="200"/>
        <w:rPr>
          <w:rFonts w:hint="default" w:ascii="仿宋" w:hAnsi="仿宋" w:eastAsia="仿宋" w:cs="仿宋"/>
          <w:lang w:val="en-US" w:eastAsia="zh-CN"/>
        </w:rPr>
      </w:pPr>
      <w:r>
        <w:rPr>
          <w:rFonts w:hint="eastAsia" w:ascii="仿宋" w:hAnsi="仿宋" w:eastAsia="仿宋" w:cs="仿宋"/>
          <w:szCs w:val="24"/>
        </w:rPr>
        <w:t>售价：300元</w:t>
      </w:r>
      <w:r>
        <w:rPr>
          <w:rFonts w:hint="eastAsia" w:ascii="仿宋" w:hAnsi="仿宋" w:eastAsia="仿宋" w:cs="仿宋"/>
          <w:szCs w:val="24"/>
          <w:lang w:eastAsia="zh-CN"/>
        </w:rPr>
        <w:t>，</w:t>
      </w:r>
      <w:r>
        <w:rPr>
          <w:rFonts w:hint="eastAsia" w:ascii="仿宋" w:hAnsi="仿宋" w:eastAsia="仿宋" w:cs="仿宋"/>
          <w:szCs w:val="24"/>
          <w:lang w:val="en-US" w:eastAsia="zh-CN"/>
        </w:rPr>
        <w:t>一经售出概不退还。</w:t>
      </w:r>
    </w:p>
    <w:p>
      <w:pPr>
        <w:pStyle w:val="15"/>
        <w:spacing w:before="75" w:beforeAutospacing="0" w:after="75" w:afterAutospacing="0" w:line="360" w:lineRule="auto"/>
        <w:ind w:firstLine="482" w:firstLineChars="200"/>
        <w:rPr>
          <w:rFonts w:ascii="仿宋" w:hAnsi="仿宋" w:eastAsia="仿宋" w:cs="仿宋"/>
          <w:kern w:val="2"/>
        </w:rPr>
      </w:pPr>
      <w:r>
        <w:rPr>
          <w:rFonts w:hint="eastAsia" w:ascii="仿宋" w:hAnsi="仿宋" w:eastAsia="仿宋" w:cs="仿宋"/>
          <w:b/>
          <w:bCs/>
          <w:kern w:val="2"/>
        </w:rPr>
        <w:t>投标人购买/获取标书时应提交的资料：</w:t>
      </w:r>
    </w:p>
    <w:p>
      <w:pPr>
        <w:pStyle w:val="15"/>
        <w:numPr>
          <w:ilvl w:val="0"/>
          <w:numId w:val="2"/>
        </w:numPr>
        <w:spacing w:before="75" w:beforeAutospacing="0" w:after="75" w:afterAutospacing="0" w:line="360" w:lineRule="auto"/>
        <w:rPr>
          <w:rFonts w:ascii="仿宋" w:hAnsi="仿宋" w:eastAsia="仿宋" w:cs="仿宋"/>
          <w:kern w:val="2"/>
        </w:rPr>
      </w:pPr>
      <w:r>
        <w:rPr>
          <w:rFonts w:hint="eastAsia" w:ascii="仿宋" w:hAnsi="仿宋" w:eastAsia="仿宋" w:cs="仿宋"/>
          <w:kern w:val="2"/>
        </w:rPr>
        <w:t>营业执照副本彩色扫描件。</w:t>
      </w:r>
    </w:p>
    <w:p>
      <w:pPr>
        <w:pStyle w:val="15"/>
        <w:numPr>
          <w:ilvl w:val="0"/>
          <w:numId w:val="2"/>
        </w:numPr>
        <w:spacing w:before="75" w:beforeAutospacing="0" w:after="75" w:afterAutospacing="0" w:line="360" w:lineRule="auto"/>
        <w:rPr>
          <w:rFonts w:ascii="仿宋" w:hAnsi="仿宋" w:eastAsia="仿宋" w:cs="仿宋"/>
        </w:rPr>
      </w:pPr>
      <w:r>
        <w:rPr>
          <w:rFonts w:hint="eastAsia" w:ascii="仿宋" w:hAnsi="仿宋" w:eastAsia="仿宋" w:cs="仿宋"/>
        </w:rPr>
        <w:t>参与投标的法定代表人应提交身份证彩色扫描件及《法定代表人资格证明书》，委托代理人应提交</w:t>
      </w:r>
      <w:r>
        <w:rPr>
          <w:rFonts w:hint="eastAsia" w:ascii="仿宋" w:hAnsi="仿宋" w:eastAsia="仿宋" w:cs="仿宋"/>
          <w:kern w:val="2"/>
        </w:rPr>
        <w:t>法定代表人授权书彩色扫描件、被授权人身份证彩色扫描件。</w:t>
      </w:r>
    </w:p>
    <w:p>
      <w:pPr>
        <w:pStyle w:val="15"/>
        <w:numPr>
          <w:ilvl w:val="0"/>
          <w:numId w:val="2"/>
        </w:numPr>
        <w:spacing w:before="75" w:beforeAutospacing="0" w:after="75" w:afterAutospacing="0" w:line="360" w:lineRule="auto"/>
        <w:rPr>
          <w:rFonts w:ascii="仿宋" w:hAnsi="仿宋" w:eastAsia="仿宋" w:cs="仿宋"/>
        </w:rPr>
      </w:pPr>
      <w:r>
        <w:rPr>
          <w:rFonts w:hint="eastAsia" w:ascii="仿宋" w:hAnsi="仿宋" w:eastAsia="仿宋" w:cs="仿宋"/>
          <w:kern w:val="2"/>
        </w:rPr>
        <w:t>“信用中国”网站（www.creditchina.gov.cn）上</w:t>
      </w:r>
      <w:r>
        <w:rPr>
          <w:rFonts w:hint="eastAsia" w:ascii="仿宋" w:hAnsi="仿宋" w:eastAsia="仿宋" w:cs="仿宋"/>
        </w:rPr>
        <w:t>列入失信被执行人、重大税收违法案件当事人名单</w:t>
      </w:r>
      <w:r>
        <w:rPr>
          <w:rFonts w:hint="eastAsia" w:ascii="仿宋" w:hAnsi="仿宋" w:eastAsia="仿宋" w:cs="仿宋"/>
          <w:lang w:eastAsia="zh-CN"/>
        </w:rPr>
        <w:t>、</w:t>
      </w:r>
      <w:r>
        <w:rPr>
          <w:rFonts w:hint="eastAsia" w:ascii="仿宋" w:hAnsi="仿宋" w:eastAsia="仿宋" w:cs="仿宋"/>
          <w:sz w:val="24"/>
        </w:rPr>
        <w:t>政府采购严重违法名单</w:t>
      </w:r>
      <w:r>
        <w:rPr>
          <w:rFonts w:hint="eastAsia" w:ascii="仿宋" w:hAnsi="仿宋" w:eastAsia="仿宋" w:cs="仿宋"/>
          <w:sz w:val="24"/>
          <w:lang w:val="en-US" w:eastAsia="zh-CN"/>
        </w:rPr>
        <w:t>查询结果</w:t>
      </w:r>
      <w:r>
        <w:rPr>
          <w:rFonts w:hint="eastAsia" w:ascii="仿宋" w:hAnsi="仿宋" w:eastAsia="仿宋" w:cs="仿宋"/>
        </w:rPr>
        <w:t>和</w:t>
      </w:r>
      <w:r>
        <w:rPr>
          <w:rFonts w:hint="eastAsia" w:ascii="仿宋" w:hAnsi="仿宋" w:eastAsia="仿宋" w:cs="仿宋"/>
          <w:kern w:val="2"/>
        </w:rPr>
        <w:t>中国政府采购网（www.ccgp.gov.cn）</w:t>
      </w:r>
      <w:r>
        <w:rPr>
          <w:rFonts w:hint="eastAsia" w:ascii="仿宋" w:hAnsi="仿宋" w:eastAsia="仿宋" w:cs="仿宋"/>
        </w:rPr>
        <w:t>列入政府采购严重违法失信行为记录名单，查询时间为投标报名开始之日起，</w:t>
      </w:r>
      <w:r>
        <w:rPr>
          <w:rFonts w:hint="eastAsia" w:ascii="仿宋" w:hAnsi="仿宋" w:eastAsia="仿宋" w:cs="仿宋"/>
          <w:kern w:val="2"/>
        </w:rPr>
        <w:t>信用信息查询记录需加盖公章的截图彩色扫描件。</w:t>
      </w:r>
    </w:p>
    <w:p>
      <w:pPr>
        <w:pStyle w:val="15"/>
        <w:spacing w:before="80" w:beforeAutospacing="0" w:after="80" w:afterAutospacing="0" w:line="360" w:lineRule="auto"/>
        <w:ind w:firstLine="482" w:firstLineChars="200"/>
        <w:jc w:val="both"/>
        <w:rPr>
          <w:rStyle w:val="19"/>
          <w:rFonts w:ascii="仿宋" w:hAnsi="仿宋" w:eastAsia="仿宋" w:cs="仿宋"/>
          <w:bCs/>
        </w:rPr>
      </w:pPr>
      <w:r>
        <w:rPr>
          <w:rFonts w:hint="eastAsia" w:ascii="仿宋" w:hAnsi="仿宋" w:eastAsia="仿宋" w:cs="仿宋"/>
          <w:b/>
          <w:bCs/>
        </w:rPr>
        <w:t>六、</w:t>
      </w:r>
      <w:bookmarkStart w:id="5" w:name="B37_购买标书时须提交的文件资料"/>
      <w:bookmarkEnd w:id="5"/>
      <w:bookmarkStart w:id="6" w:name="_Toc15328_WPSOffice_Level2"/>
      <w:r>
        <w:rPr>
          <w:rStyle w:val="19"/>
          <w:rFonts w:hint="eastAsia" w:ascii="仿宋" w:hAnsi="仿宋" w:eastAsia="仿宋" w:cs="仿宋"/>
          <w:bCs/>
        </w:rPr>
        <w:t>在线投标响应（电子投标）说明</w:t>
      </w:r>
    </w:p>
    <w:p>
      <w:pPr>
        <w:pStyle w:val="15"/>
        <w:spacing w:before="80" w:beforeAutospacing="0" w:after="80" w:afterAutospacing="0" w:line="360" w:lineRule="auto"/>
        <w:ind w:firstLine="665" w:firstLineChars="276"/>
        <w:rPr>
          <w:rFonts w:ascii="仿宋" w:hAnsi="仿宋" w:eastAsia="仿宋" w:cs="仿宋"/>
          <w:bCs/>
        </w:rPr>
      </w:pPr>
      <w:r>
        <w:rPr>
          <w:rFonts w:hint="eastAsia" w:ascii="仿宋" w:hAnsi="仿宋" w:eastAsia="仿宋" w:cs="仿宋"/>
          <w:b/>
        </w:rPr>
        <w:t>本项目采用资格后审，请拟投标供应商自行核对供应商资格条件，如不符合资格条件者，在资格审查时导致投标被拒绝的，责任自负。</w:t>
      </w:r>
      <w:bookmarkEnd w:id="6"/>
    </w:p>
    <w:p>
      <w:pPr>
        <w:pStyle w:val="15"/>
        <w:spacing w:before="75" w:beforeAutospacing="0" w:after="75" w:afterAutospacing="0" w:line="360" w:lineRule="auto"/>
        <w:ind w:firstLine="482" w:firstLineChars="200"/>
        <w:rPr>
          <w:rFonts w:ascii="仿宋" w:hAnsi="仿宋" w:eastAsia="仿宋" w:cs="仿宋"/>
          <w:b/>
          <w:bCs/>
          <w:kern w:val="2"/>
        </w:rPr>
      </w:pPr>
      <w:r>
        <w:rPr>
          <w:rFonts w:hint="eastAsia" w:ascii="仿宋" w:hAnsi="仿宋" w:eastAsia="仿宋" w:cs="仿宋"/>
          <w:b/>
          <w:bCs/>
        </w:rPr>
        <w:t>（1）</w:t>
      </w:r>
      <w:r>
        <w:rPr>
          <w:rFonts w:hint="eastAsia" w:ascii="仿宋" w:hAnsi="仿宋" w:eastAsia="仿宋" w:cs="仿宋"/>
          <w:b/>
          <w:bCs/>
          <w:kern w:val="2"/>
        </w:rPr>
        <w:t>本项目为电子招投标项目，投标人需要使用CA加密设备，凡参加本项目供应商可通过新疆数字证书认证中心官网（https://www.xjca.com.cn/）或下载“新疆政务通”APP自行进行申领。如有操作性问题可与政采云在线客服进行咨询，咨询电话：400-881-7190 </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（2）本项目实行网上投标，采用电子投标文件，若供应商参与投标，自行承担投标一切费用。</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（3）各供应商应在开标前应确保成为新疆政府采购网正式注册入库供应商，并完成CA数字证书申领。因未注册入库、未办理CA数字证书等原因造成无法投标或投标失败等后果由供应商自行承担。</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4）供应商将政采云电子交易客户端下载、安装完成后，可通过账号密码或CA登录客户端进行投标文件制作。在使用政采云投标客户端时，建议使用WIN7及以上操作系统。客户端请至新疆政府采购网（www.ccgp-xinjiang.gov.cn）下载专区查看，如有问题可拨打政采云客户服务热线400-881-7190进行咨询。</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（5）各供应商须准备CA数字证书（解密投标文件）、备份文件（BFBS格式）参与投标。</w:t>
      </w:r>
    </w:p>
    <w:p>
      <w:pPr>
        <w:pStyle w:val="15"/>
        <w:spacing w:beforeAutospacing="0" w:afterAutospacing="0" w:line="360" w:lineRule="auto"/>
        <w:ind w:right="84" w:rightChars="40" w:firstLine="482" w:firstLineChars="200"/>
        <w:rPr>
          <w:rFonts w:ascii="仿宋" w:hAnsi="仿宋" w:eastAsia="仿宋" w:cs="仿宋"/>
          <w:color w:val="auto"/>
        </w:rPr>
      </w:pPr>
      <w:r>
        <w:rPr>
          <w:rFonts w:hint="eastAsia" w:ascii="仿宋" w:hAnsi="仿宋" w:eastAsia="仿宋" w:cs="仿宋"/>
          <w:b/>
          <w:bCs/>
        </w:rPr>
        <w:t>七、响应文件递交截止及开标时间：</w:t>
      </w:r>
      <w:r>
        <w:rPr>
          <w:rFonts w:hint="eastAsia" w:ascii="仿宋" w:hAnsi="仿宋" w:eastAsia="仿宋" w:cs="仿宋"/>
          <w:color w:val="auto"/>
        </w:rPr>
        <w:t>202</w:t>
      </w:r>
      <w:r>
        <w:rPr>
          <w:rFonts w:hint="eastAsia" w:ascii="仿宋" w:hAnsi="仿宋" w:eastAsia="仿宋" w:cs="仿宋"/>
          <w:color w:val="auto"/>
          <w:lang w:val="en-US" w:eastAsia="zh-CN"/>
        </w:rPr>
        <w:t>2</w:t>
      </w:r>
      <w:r>
        <w:rPr>
          <w:rFonts w:hint="eastAsia" w:ascii="仿宋" w:hAnsi="仿宋" w:eastAsia="仿宋" w:cs="仿宋"/>
          <w:color w:val="auto"/>
        </w:rPr>
        <w:t>年</w:t>
      </w:r>
      <w:r>
        <w:rPr>
          <w:rFonts w:hint="eastAsia" w:ascii="仿宋" w:hAnsi="仿宋" w:eastAsia="仿宋" w:cs="仿宋"/>
          <w:color w:val="auto"/>
          <w:lang w:val="en-US" w:eastAsia="zh-CN"/>
        </w:rPr>
        <w:t>02</w:t>
      </w:r>
      <w:r>
        <w:rPr>
          <w:rFonts w:hint="eastAsia" w:ascii="仿宋" w:hAnsi="仿宋" w:eastAsia="仿宋" w:cs="仿宋"/>
          <w:color w:val="auto"/>
        </w:rPr>
        <w:t>月</w:t>
      </w:r>
      <w:r>
        <w:rPr>
          <w:rFonts w:hint="eastAsia" w:ascii="仿宋" w:hAnsi="仿宋" w:eastAsia="仿宋" w:cs="仿宋"/>
          <w:color w:val="auto"/>
          <w:lang w:val="en-US" w:eastAsia="zh-CN"/>
        </w:rPr>
        <w:t>11</w:t>
      </w:r>
      <w:r>
        <w:rPr>
          <w:rFonts w:hint="eastAsia" w:ascii="仿宋" w:hAnsi="仿宋" w:eastAsia="仿宋" w:cs="仿宋"/>
          <w:color w:val="auto"/>
        </w:rPr>
        <w:t>日11：00时（北京时间）</w:t>
      </w:r>
    </w:p>
    <w:p>
      <w:pPr>
        <w:pStyle w:val="21"/>
        <w:adjustRightInd w:val="0"/>
        <w:snapToGrid w:val="0"/>
        <w:spacing w:line="360" w:lineRule="auto"/>
        <w:rPr>
          <w:rFonts w:ascii="仿宋" w:hAnsi="仿宋" w:eastAsia="仿宋" w:cs="仿宋"/>
          <w:szCs w:val="24"/>
        </w:rPr>
      </w:pPr>
      <w:r>
        <w:rPr>
          <w:rFonts w:hint="eastAsia" w:ascii="仿宋" w:hAnsi="仿宋" w:eastAsia="仿宋" w:cs="仿宋"/>
          <w:b/>
          <w:bCs/>
        </w:rPr>
        <w:t>八、投标文件递交及开标地点：</w:t>
      </w:r>
      <w:r>
        <w:rPr>
          <w:rFonts w:hint="eastAsia" w:ascii="仿宋" w:hAnsi="仿宋" w:eastAsia="仿宋" w:cs="仿宋"/>
          <w:szCs w:val="24"/>
        </w:rPr>
        <w:t>通过“政府采购云平台（www.zcygov.cn）”实行在线投标响应。</w:t>
      </w:r>
      <w:r>
        <w:rPr>
          <w:rFonts w:hint="eastAsia" w:ascii="仿宋" w:hAnsi="仿宋" w:eastAsia="仿宋" w:cs="仿宋"/>
        </w:rPr>
        <w:t>（如有变动另行通知）。</w:t>
      </w:r>
    </w:p>
    <w:p>
      <w:pPr>
        <w:pStyle w:val="15"/>
        <w:spacing w:before="75" w:beforeAutospacing="0" w:after="75" w:afterAutospacing="0" w:line="360" w:lineRule="auto"/>
        <w:ind w:firstLine="480"/>
        <w:rPr>
          <w:rFonts w:ascii="仿宋" w:hAnsi="仿宋" w:eastAsia="仿宋" w:cs="仿宋"/>
          <w:b/>
          <w:bCs/>
        </w:rPr>
      </w:pPr>
      <w:r>
        <w:rPr>
          <w:rFonts w:hint="eastAsia" w:ascii="仿宋" w:hAnsi="仿宋" w:eastAsia="仿宋" w:cs="仿宋"/>
          <w:b/>
          <w:bCs/>
        </w:rPr>
        <w:t>九、采购单位联系人：</w:t>
      </w:r>
      <w:r>
        <w:rPr>
          <w:rFonts w:hint="eastAsia" w:ascii="仿宋" w:hAnsi="仿宋" w:eastAsia="仿宋" w:cs="仿宋"/>
          <w:b/>
          <w:bCs/>
          <w:lang w:val="en-US" w:eastAsia="zh-CN"/>
        </w:rPr>
        <w:t>穆</w:t>
      </w:r>
      <w:r>
        <w:rPr>
          <w:rFonts w:hint="eastAsia" w:ascii="仿宋" w:hAnsi="仿宋" w:eastAsia="仿宋" w:cs="仿宋"/>
          <w:b/>
          <w:bCs/>
        </w:rPr>
        <w:t>老师</w:t>
      </w:r>
    </w:p>
    <w:p>
      <w:pPr>
        <w:widowControl/>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十、</w:t>
      </w:r>
      <w:r>
        <w:rPr>
          <w:rFonts w:hint="eastAsia" w:ascii="仿宋" w:hAnsi="仿宋" w:eastAsia="仿宋" w:cs="仿宋"/>
          <w:sz w:val="24"/>
        </w:rPr>
        <w:t>如对招标文件有疑问，请致电招标代理公司，联系人：</w:t>
      </w:r>
      <w:r>
        <w:rPr>
          <w:rFonts w:hint="eastAsia" w:ascii="仿宋" w:hAnsi="仿宋" w:eastAsia="仿宋" w:cs="仿宋"/>
          <w:sz w:val="24"/>
          <w:lang w:val="en-US" w:eastAsia="zh-CN"/>
        </w:rPr>
        <w:t>孙德林</w:t>
      </w:r>
      <w:r>
        <w:rPr>
          <w:rFonts w:hint="eastAsia" w:ascii="仿宋" w:hAnsi="仿宋" w:eastAsia="仿宋" w:cs="仿宋"/>
          <w:sz w:val="24"/>
        </w:rPr>
        <w:t xml:space="preserve"> ；联系电话：0991-3193958</w:t>
      </w:r>
    </w:p>
    <w:p>
      <w:pPr>
        <w:rPr>
          <w:rFonts w:ascii="仿宋" w:hAnsi="仿宋" w:eastAsia="仿宋" w:cs="仿宋"/>
        </w:rPr>
      </w:pPr>
      <w:bookmarkStart w:id="7" w:name="_Toc19607"/>
    </w:p>
    <w:p>
      <w:pPr>
        <w:pStyle w:val="12"/>
        <w:tabs>
          <w:tab w:val="right" w:leader="dot" w:pos="9070"/>
        </w:tabs>
        <w:jc w:val="center"/>
        <w:outlineLvl w:val="0"/>
        <w:rPr>
          <w:rFonts w:ascii="仿宋" w:hAnsi="仿宋" w:eastAsia="仿宋" w:cs="仿宋"/>
          <w:b/>
          <w:bCs/>
          <w:sz w:val="28"/>
          <w:szCs w:val="28"/>
        </w:rPr>
      </w:pPr>
    </w:p>
    <w:p>
      <w:pPr>
        <w:tabs>
          <w:tab w:val="right" w:leader="dot" w:pos="9070"/>
        </w:tabs>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ascii="仿宋" w:hAnsi="仿宋" w:eastAsia="仿宋" w:cs="仿宋"/>
          <w:b/>
          <w:bCs/>
          <w:sz w:val="28"/>
          <w:szCs w:val="28"/>
        </w:rPr>
      </w:pPr>
      <w:r>
        <w:rPr>
          <w:rFonts w:hint="eastAsia" w:ascii="仿宋" w:hAnsi="仿宋" w:eastAsia="仿宋" w:cs="仿宋"/>
          <w:b/>
          <w:bCs/>
          <w:sz w:val="28"/>
          <w:szCs w:val="28"/>
        </w:rPr>
        <w:t>第二部分  投标人须知</w:t>
      </w:r>
      <w:bookmarkEnd w:id="3"/>
      <w:bookmarkEnd w:id="4"/>
      <w:bookmarkEnd w:id="7"/>
    </w:p>
    <w:p>
      <w:pPr>
        <w:spacing w:line="360" w:lineRule="auto"/>
        <w:jc w:val="center"/>
        <w:outlineLvl w:val="1"/>
        <w:rPr>
          <w:rFonts w:ascii="仿宋" w:hAnsi="仿宋" w:eastAsia="仿宋" w:cs="仿宋"/>
          <w:b/>
          <w:sz w:val="24"/>
        </w:rPr>
      </w:pPr>
      <w:bookmarkStart w:id="8" w:name="_Toc12517"/>
      <w:bookmarkStart w:id="9" w:name="_Toc1036"/>
      <w:r>
        <w:rPr>
          <w:rFonts w:hint="eastAsia" w:ascii="仿宋" w:hAnsi="仿宋" w:eastAsia="仿宋" w:cs="仿宋"/>
          <w:b/>
          <w:sz w:val="24"/>
        </w:rPr>
        <w:t>投标人须知前附表</w:t>
      </w:r>
      <w:bookmarkEnd w:id="8"/>
      <w:bookmarkEnd w:id="9"/>
    </w:p>
    <w:tbl>
      <w:tblPr>
        <w:tblStyle w:val="16"/>
        <w:tblW w:w="105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1"/>
        <w:gridCol w:w="2892"/>
        <w:gridCol w:w="68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01" w:type="dxa"/>
            <w:noWrap/>
            <w:vAlign w:val="center"/>
          </w:tcPr>
          <w:p>
            <w:pPr>
              <w:overflowPunct w:val="0"/>
              <w:spacing w:line="360" w:lineRule="auto"/>
              <w:jc w:val="center"/>
              <w:rPr>
                <w:rFonts w:ascii="仿宋" w:hAnsi="仿宋" w:eastAsia="仿宋" w:cs="仿宋"/>
                <w:b/>
                <w:bCs/>
                <w:sz w:val="24"/>
              </w:rPr>
            </w:pPr>
            <w:bookmarkStart w:id="10" w:name="_Toc21138"/>
            <w:bookmarkStart w:id="11" w:name="_Toc20870"/>
            <w:r>
              <w:rPr>
                <w:rFonts w:hint="eastAsia" w:ascii="仿宋" w:hAnsi="仿宋" w:eastAsia="仿宋" w:cs="仿宋"/>
                <w:b/>
                <w:bCs/>
                <w:sz w:val="24"/>
              </w:rPr>
              <w:t>序号</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名称</w:t>
            </w:r>
          </w:p>
        </w:tc>
        <w:tc>
          <w:tcPr>
            <w:tcW w:w="6839"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项目编号</w:t>
            </w:r>
          </w:p>
        </w:tc>
        <w:tc>
          <w:tcPr>
            <w:tcW w:w="6839" w:type="dxa"/>
            <w:noWrap/>
            <w:vAlign w:val="center"/>
          </w:tcPr>
          <w:p>
            <w:pPr>
              <w:spacing w:line="360" w:lineRule="auto"/>
              <w:rPr>
                <w:rFonts w:ascii="仿宋" w:hAnsi="仿宋" w:eastAsia="仿宋" w:cs="仿宋"/>
                <w:sz w:val="24"/>
              </w:rPr>
            </w:pPr>
            <w:r>
              <w:rPr>
                <w:rFonts w:hint="eastAsia" w:ascii="仿宋" w:hAnsi="仿宋" w:eastAsia="仿宋" w:cs="仿宋"/>
                <w:sz w:val="24"/>
              </w:rPr>
              <w:t>XJLY21HW113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项目名称</w:t>
            </w:r>
          </w:p>
        </w:tc>
        <w:tc>
          <w:tcPr>
            <w:tcW w:w="6839" w:type="dxa"/>
            <w:noWrap/>
            <w:vAlign w:val="center"/>
          </w:tcPr>
          <w:p>
            <w:pPr>
              <w:pStyle w:val="15"/>
              <w:spacing w:beforeAutospacing="0" w:afterAutospacing="0" w:line="360" w:lineRule="auto"/>
              <w:ind w:right="84" w:rightChars="40"/>
              <w:rPr>
                <w:rFonts w:hint="eastAsia" w:ascii="仿宋" w:hAnsi="仿宋" w:eastAsia="仿宋" w:cs="仿宋"/>
                <w:lang w:eastAsia="zh-CN"/>
              </w:rPr>
            </w:pPr>
            <w:r>
              <w:rPr>
                <w:rFonts w:hint="eastAsia" w:ascii="仿宋" w:hAnsi="仿宋" w:eastAsia="仿宋" w:cs="仿宋"/>
                <w:lang w:eastAsia="zh-CN"/>
              </w:rPr>
              <w:t>乌鲁木齐高新技术产业开发区（新市区）卫生健康委员会高新区（新市区）C区方舱板房空调项目(二次）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3</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采购单位名称</w:t>
            </w:r>
          </w:p>
        </w:tc>
        <w:tc>
          <w:tcPr>
            <w:tcW w:w="6839" w:type="dxa"/>
            <w:noWrap/>
            <w:vAlign w:val="center"/>
          </w:tcPr>
          <w:p>
            <w:pPr>
              <w:spacing w:line="360" w:lineRule="auto"/>
              <w:rPr>
                <w:rFonts w:ascii="仿宋" w:hAnsi="仿宋" w:eastAsia="仿宋" w:cs="仿宋"/>
                <w:kern w:val="0"/>
                <w:sz w:val="24"/>
              </w:rPr>
            </w:pPr>
            <w:r>
              <w:rPr>
                <w:rFonts w:hint="eastAsia" w:ascii="仿宋" w:hAnsi="仿宋" w:eastAsia="仿宋" w:cs="仿宋"/>
                <w:kern w:val="0"/>
                <w:sz w:val="24"/>
                <w:lang w:val="en-US" w:eastAsia="zh-CN"/>
              </w:rPr>
              <w:t>乌鲁木齐市高新技术产业开发区（新市区）卫生健康委员会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4</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招标代理机构</w:t>
            </w:r>
          </w:p>
        </w:tc>
        <w:tc>
          <w:tcPr>
            <w:tcW w:w="6839" w:type="dxa"/>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名称：新疆凌云天成工程管理咨询有限公司</w:t>
            </w:r>
          </w:p>
          <w:p>
            <w:pPr>
              <w:pStyle w:val="6"/>
              <w:rPr>
                <w:rFonts w:hint="eastAsia" w:ascii="仿宋" w:hAnsi="仿宋" w:eastAsia="仿宋" w:cs="仿宋"/>
                <w:lang w:eastAsia="zh-CN"/>
              </w:rPr>
            </w:pPr>
            <w:r>
              <w:rPr>
                <w:rFonts w:hint="eastAsia" w:ascii="仿宋" w:hAnsi="仿宋" w:eastAsia="仿宋" w:cs="仿宋"/>
              </w:rPr>
              <w:t>联系人：</w:t>
            </w:r>
            <w:r>
              <w:rPr>
                <w:rFonts w:hint="eastAsia" w:ascii="仿宋" w:hAnsi="仿宋" w:eastAsia="仿宋" w:cs="仿宋"/>
                <w:lang w:val="en-US" w:eastAsia="zh-CN"/>
              </w:rPr>
              <w:t>孙德林</w:t>
            </w:r>
          </w:p>
          <w:p>
            <w:pPr>
              <w:rPr>
                <w:rFonts w:ascii="仿宋" w:hAnsi="仿宋" w:eastAsia="仿宋" w:cs="仿宋"/>
              </w:rPr>
            </w:pPr>
          </w:p>
          <w:p>
            <w:pPr>
              <w:overflowPunct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乌鲁木齐市新市区河北路上海大厦1807室</w:t>
            </w:r>
          </w:p>
          <w:p>
            <w:pPr>
              <w:overflowPunct w:val="0"/>
              <w:spacing w:line="360" w:lineRule="auto"/>
              <w:rPr>
                <w:rFonts w:ascii="仿宋" w:hAnsi="仿宋" w:eastAsia="仿宋" w:cs="仿宋"/>
                <w:sz w:val="24"/>
              </w:rPr>
            </w:pPr>
            <w:r>
              <w:rPr>
                <w:rFonts w:hint="eastAsia" w:ascii="仿宋" w:hAnsi="仿宋" w:eastAsia="仿宋" w:cs="仿宋"/>
                <w:sz w:val="24"/>
              </w:rPr>
              <w:t>联系电话：0991-3193958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5</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采购方联系人</w:t>
            </w:r>
          </w:p>
        </w:tc>
        <w:tc>
          <w:tcPr>
            <w:tcW w:w="6839" w:type="dxa"/>
            <w:noWrap/>
            <w:vAlign w:val="center"/>
          </w:tcPr>
          <w:p>
            <w:pPr>
              <w:pStyle w:val="5"/>
              <w:spacing w:line="360" w:lineRule="auto"/>
              <w:ind w:firstLine="0"/>
              <w:rPr>
                <w:rFonts w:ascii="仿宋" w:hAnsi="仿宋" w:eastAsia="仿宋" w:cs="仿宋"/>
                <w:sz w:val="24"/>
                <w:szCs w:val="24"/>
              </w:rPr>
            </w:pPr>
            <w:r>
              <w:rPr>
                <w:rFonts w:hint="eastAsia" w:ascii="仿宋" w:hAnsi="仿宋" w:eastAsia="仿宋" w:cs="仿宋"/>
                <w:sz w:val="24"/>
                <w:szCs w:val="24"/>
                <w:lang w:val="zh-CN"/>
              </w:rPr>
              <w:t>联系人：</w:t>
            </w:r>
            <w:r>
              <w:rPr>
                <w:rFonts w:hint="eastAsia" w:ascii="仿宋" w:hAnsi="仿宋" w:eastAsia="仿宋" w:cs="仿宋"/>
                <w:sz w:val="24"/>
                <w:szCs w:val="24"/>
                <w:lang w:val="en-US" w:eastAsia="zh-CN"/>
              </w:rPr>
              <w:t>穆</w:t>
            </w:r>
            <w:r>
              <w:rPr>
                <w:rFonts w:hint="eastAsia" w:ascii="仿宋" w:hAnsi="仿宋" w:eastAsia="仿宋" w:cs="仿宋"/>
                <w:sz w:val="24"/>
                <w:szCs w:val="24"/>
              </w:rPr>
              <w:t>老师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6</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采购内容及预算</w:t>
            </w:r>
          </w:p>
        </w:tc>
        <w:tc>
          <w:tcPr>
            <w:tcW w:w="6839" w:type="dxa"/>
            <w:noWrap/>
            <w:vAlign w:val="center"/>
          </w:tcPr>
          <w:p>
            <w:pPr>
              <w:pStyle w:val="15"/>
              <w:spacing w:beforeAutospacing="0" w:afterAutospacing="0" w:line="360" w:lineRule="auto"/>
              <w:ind w:right="84" w:rightChars="40"/>
              <w:rPr>
                <w:rFonts w:ascii="仿宋" w:hAnsi="仿宋" w:eastAsia="仿宋" w:cs="仿宋"/>
              </w:rPr>
            </w:pPr>
            <w:r>
              <w:rPr>
                <w:rFonts w:hint="eastAsia" w:ascii="仿宋" w:hAnsi="仿宋" w:eastAsia="仿宋" w:cs="仿宋"/>
                <w:b/>
                <w:bCs/>
                <w:lang w:eastAsia="zh-CN"/>
              </w:rPr>
              <w:t>空调</w:t>
            </w:r>
            <w:r>
              <w:rPr>
                <w:rFonts w:hint="eastAsia" w:ascii="仿宋" w:hAnsi="仿宋" w:eastAsia="仿宋" w:cs="仿宋"/>
                <w:b/>
                <w:bCs/>
                <w:lang w:val="en-US" w:eastAsia="zh-CN"/>
              </w:rPr>
              <w:t>购买及安装</w:t>
            </w:r>
            <w:r>
              <w:rPr>
                <w:rFonts w:hint="eastAsia" w:ascii="仿宋" w:hAnsi="仿宋" w:eastAsia="仿宋" w:cs="仿宋"/>
                <w:b/>
                <w:bCs/>
                <w:lang w:eastAsia="zh-CN"/>
              </w:rPr>
              <w:t>（</w:t>
            </w:r>
            <w:r>
              <w:rPr>
                <w:rFonts w:hint="eastAsia" w:ascii="仿宋" w:hAnsi="仿宋" w:eastAsia="仿宋" w:cs="仿宋"/>
                <w:b/>
                <w:bCs/>
              </w:rPr>
              <w:t>预算：1394400 元</w:t>
            </w:r>
            <w:r>
              <w:rPr>
                <w:rFonts w:hint="eastAsia" w:ascii="仿宋" w:hAnsi="仿宋" w:eastAsia="仿宋" w:cs="仿宋"/>
                <w:b/>
                <w:bCs/>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801" w:type="dxa"/>
            <w:tcBorders>
              <w:bottom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7</w:t>
            </w:r>
          </w:p>
        </w:tc>
        <w:tc>
          <w:tcPr>
            <w:tcW w:w="2892" w:type="dxa"/>
            <w:tcBorders>
              <w:bottom w:val="single" w:color="auto" w:sz="4" w:space="0"/>
              <w:right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投标资格</w:t>
            </w:r>
          </w:p>
        </w:tc>
        <w:tc>
          <w:tcPr>
            <w:tcW w:w="6839" w:type="dxa"/>
            <w:tcBorders>
              <w:left w:val="single" w:color="auto" w:sz="4" w:space="0"/>
              <w:bottom w:val="single" w:color="auto" w:sz="4" w:space="0"/>
            </w:tcBorders>
            <w:noWrap/>
            <w:vAlign w:val="center"/>
          </w:tcPr>
          <w:p>
            <w:pPr>
              <w:pStyle w:val="7"/>
              <w:numPr>
                <w:ilvl w:val="0"/>
                <w:numId w:val="3"/>
              </w:numPr>
              <w:spacing w:line="360" w:lineRule="auto"/>
              <w:ind w:firstLine="0"/>
              <w:rPr>
                <w:rFonts w:ascii="仿宋" w:hAnsi="仿宋" w:eastAsia="仿宋" w:cs="仿宋"/>
                <w:b/>
                <w:bCs/>
                <w:sz w:val="24"/>
              </w:rPr>
            </w:pPr>
            <w:r>
              <w:rPr>
                <w:rFonts w:hint="eastAsia" w:ascii="仿宋" w:hAnsi="仿宋" w:eastAsia="仿宋" w:cs="仿宋"/>
                <w:b/>
                <w:bCs/>
                <w:sz w:val="24"/>
              </w:rPr>
              <w:t>满足《中华人民共和国政府采购法》第二十二条规定</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（2）网上提交营业执照副本彩色扫描件。</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（3）参与投标的法定代表人应提交身份证彩色扫描件及《法定代表人资格证明书》，委托代理人应提交《法人授权委托书》和身份证彩色扫描件。</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（4）具有良好的信誉，未被 “信用中国”(www.creditchina.gov.cn) 列入失信被执行人、重大税收违法案件当事人名单</w:t>
            </w:r>
            <w:r>
              <w:rPr>
                <w:rFonts w:hint="eastAsia" w:ascii="仿宋" w:hAnsi="仿宋" w:eastAsia="仿宋" w:cs="仿宋"/>
                <w:b/>
                <w:bCs/>
                <w:sz w:val="24"/>
                <w:lang w:eastAsia="zh-CN"/>
              </w:rPr>
              <w:t>、政府采购严重违法名单</w:t>
            </w:r>
            <w:r>
              <w:rPr>
                <w:rFonts w:hint="eastAsia" w:ascii="仿宋" w:hAnsi="仿宋" w:eastAsia="仿宋" w:cs="仿宋"/>
                <w:b/>
                <w:bCs/>
                <w:sz w:val="24"/>
                <w:lang w:val="en-US" w:eastAsia="zh-CN"/>
              </w:rPr>
              <w:t>查询结果</w:t>
            </w:r>
            <w:r>
              <w:rPr>
                <w:rFonts w:hint="eastAsia" w:ascii="仿宋" w:hAnsi="仿宋" w:eastAsia="仿宋" w:cs="仿宋"/>
                <w:b/>
                <w:bCs/>
                <w:sz w:val="24"/>
              </w:rPr>
              <w:t>，未被 “中国政府采购网”（www.ccgp.gov.cn）列入政府采购严重违法失信行为记录名单，查询时间为投标报名开始之日起，网上提交网上查询加盖公章的截图彩色扫描件。</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（5）单位负责人为同一人或者存在直接控股、管理关系的不同供应商，不得参加同一合同项下的政府采购活动。</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（6）为充分保证完善的售后服务，本项目不接受联合体投标。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8</w:t>
            </w:r>
          </w:p>
        </w:tc>
        <w:tc>
          <w:tcPr>
            <w:tcW w:w="2892" w:type="dxa"/>
            <w:tcBorders>
              <w:top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响应性</w:t>
            </w:r>
            <w:r>
              <w:rPr>
                <w:rFonts w:hint="eastAsia" w:ascii="仿宋" w:hAnsi="仿宋" w:eastAsia="仿宋" w:cs="仿宋"/>
                <w:b/>
                <w:bCs/>
                <w:sz w:val="24"/>
                <w:lang w:val="en-US" w:eastAsia="zh-CN"/>
              </w:rPr>
              <w:t>文件</w:t>
            </w:r>
            <w:r>
              <w:rPr>
                <w:rFonts w:hint="eastAsia" w:ascii="仿宋" w:hAnsi="仿宋" w:eastAsia="仿宋" w:cs="仿宋"/>
                <w:b/>
                <w:bCs/>
                <w:sz w:val="24"/>
              </w:rPr>
              <w:t>有效期</w:t>
            </w:r>
          </w:p>
        </w:tc>
        <w:tc>
          <w:tcPr>
            <w:tcW w:w="6839" w:type="dxa"/>
            <w:tcBorders>
              <w:top w:val="single" w:color="auto" w:sz="4" w:space="0"/>
            </w:tcBorders>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自递交投标文件截止之日起90日。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9</w:t>
            </w:r>
          </w:p>
        </w:tc>
        <w:tc>
          <w:tcPr>
            <w:tcW w:w="2892" w:type="dxa"/>
            <w:tcBorders>
              <w:top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评标办法</w:t>
            </w:r>
          </w:p>
        </w:tc>
        <w:tc>
          <w:tcPr>
            <w:tcW w:w="6839" w:type="dxa"/>
            <w:tcBorders>
              <w:top w:val="single" w:color="auto" w:sz="4" w:space="0"/>
            </w:tcBorders>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综合评分法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10</w:t>
            </w:r>
          </w:p>
        </w:tc>
        <w:tc>
          <w:tcPr>
            <w:tcW w:w="2892" w:type="dxa"/>
            <w:tcBorders>
              <w:top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是否接受联合体投标</w:t>
            </w:r>
          </w:p>
        </w:tc>
        <w:tc>
          <w:tcPr>
            <w:tcW w:w="6839" w:type="dxa"/>
            <w:tcBorders>
              <w:top w:val="single" w:color="auto" w:sz="4" w:space="0"/>
            </w:tcBorders>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不接受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7"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11</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标书售价</w:t>
            </w:r>
          </w:p>
        </w:tc>
        <w:tc>
          <w:tcPr>
            <w:tcW w:w="6839" w:type="dxa"/>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300元/包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88"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12</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投标保证金</w:t>
            </w:r>
          </w:p>
        </w:tc>
        <w:tc>
          <w:tcPr>
            <w:tcW w:w="6839" w:type="dxa"/>
            <w:noWrap/>
            <w:vAlign w:val="center"/>
          </w:tcPr>
          <w:p>
            <w:pPr>
              <w:spacing w:line="360" w:lineRule="auto"/>
              <w:rPr>
                <w:rFonts w:hint="default" w:ascii="仿宋" w:hAnsi="仿宋" w:eastAsia="仿宋" w:cs="仿宋"/>
                <w:b/>
                <w:bCs/>
                <w:sz w:val="24"/>
                <w:lang w:val="en-US" w:eastAsia="zh-CN"/>
              </w:rPr>
            </w:pPr>
            <w:r>
              <w:rPr>
                <w:rFonts w:hint="eastAsia" w:ascii="仿宋" w:hAnsi="仿宋" w:eastAsia="仿宋" w:cs="仿宋"/>
                <w:b/>
                <w:bCs/>
                <w:sz w:val="24"/>
              </w:rPr>
              <w:t>投标保证金金额：</w:t>
            </w:r>
            <w:r>
              <w:rPr>
                <w:rFonts w:hint="eastAsia" w:ascii="仿宋" w:hAnsi="仿宋" w:eastAsia="仿宋" w:cs="仿宋"/>
                <w:b/>
                <w:bCs/>
                <w:sz w:val="24"/>
                <w:lang w:val="en-US" w:eastAsia="zh-CN"/>
              </w:rPr>
              <w:t>27888元</w:t>
            </w:r>
          </w:p>
          <w:p>
            <w:pPr>
              <w:spacing w:line="360" w:lineRule="auto"/>
              <w:rPr>
                <w:rFonts w:ascii="仿宋" w:hAnsi="仿宋" w:eastAsia="仿宋" w:cs="仿宋"/>
                <w:b/>
                <w:bCs/>
                <w:sz w:val="24"/>
              </w:rPr>
            </w:pPr>
            <w:r>
              <w:rPr>
                <w:rFonts w:hint="eastAsia" w:ascii="仿宋" w:hAnsi="仿宋" w:eastAsia="仿宋" w:cs="仿宋"/>
                <w:b/>
                <w:bCs/>
                <w:sz w:val="24"/>
              </w:rPr>
              <w:t>投标保证金缴纳账号：</w:t>
            </w:r>
          </w:p>
          <w:p>
            <w:pPr>
              <w:spacing w:line="360" w:lineRule="auto"/>
              <w:rPr>
                <w:rFonts w:ascii="仿宋" w:hAnsi="仿宋" w:eastAsia="仿宋" w:cs="仿宋"/>
                <w:sz w:val="24"/>
              </w:rPr>
            </w:pPr>
            <w:r>
              <w:rPr>
                <w:rFonts w:hint="eastAsia" w:ascii="仿宋" w:hAnsi="仿宋" w:eastAsia="仿宋" w:cs="仿宋"/>
                <w:sz w:val="24"/>
              </w:rPr>
              <w:t>户名：新疆凌云天成工程管理咨询有限公司；</w:t>
            </w:r>
          </w:p>
          <w:p>
            <w:pPr>
              <w:spacing w:line="360" w:lineRule="auto"/>
              <w:rPr>
                <w:rFonts w:ascii="仿宋" w:hAnsi="仿宋" w:eastAsia="仿宋" w:cs="仿宋"/>
                <w:sz w:val="24"/>
              </w:rPr>
            </w:pPr>
            <w:r>
              <w:rPr>
                <w:rFonts w:hint="eastAsia" w:ascii="仿宋" w:hAnsi="仿宋" w:eastAsia="仿宋" w:cs="仿宋"/>
                <w:sz w:val="24"/>
              </w:rPr>
              <w:t>开户行：中信银行乌鲁木齐河北路支行</w:t>
            </w:r>
          </w:p>
          <w:p>
            <w:pPr>
              <w:spacing w:line="360" w:lineRule="auto"/>
              <w:rPr>
                <w:rFonts w:ascii="仿宋" w:hAnsi="仿宋" w:eastAsia="仿宋" w:cs="仿宋"/>
                <w:sz w:val="24"/>
              </w:rPr>
            </w:pPr>
            <w:r>
              <w:rPr>
                <w:rFonts w:hint="eastAsia" w:ascii="仿宋" w:hAnsi="仿宋" w:eastAsia="仿宋" w:cs="仿宋"/>
                <w:sz w:val="24"/>
              </w:rPr>
              <w:t>行号：302881000115</w:t>
            </w:r>
          </w:p>
          <w:p>
            <w:pPr>
              <w:pStyle w:val="5"/>
              <w:ind w:firstLine="0"/>
              <w:rPr>
                <w:rFonts w:ascii="仿宋" w:hAnsi="仿宋" w:eastAsia="仿宋" w:cs="仿宋"/>
                <w:sz w:val="24"/>
                <w:szCs w:val="24"/>
                <w:lang w:val="en-GB"/>
              </w:rPr>
            </w:pPr>
            <w:r>
              <w:rPr>
                <w:rFonts w:hint="eastAsia" w:ascii="仿宋" w:hAnsi="仿宋" w:eastAsia="仿宋" w:cs="仿宋"/>
                <w:sz w:val="24"/>
                <w:szCs w:val="24"/>
              </w:rPr>
              <w:t>银行账号：8113701013600070647</w:t>
            </w:r>
          </w:p>
          <w:p>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b/>
                <w:color w:val="auto"/>
                <w:sz w:val="24"/>
                <w:highlight w:val="none"/>
              </w:rPr>
              <w:t>投标保证金须在投标</w:t>
            </w:r>
            <w:r>
              <w:rPr>
                <w:rFonts w:hint="eastAsia" w:ascii="仿宋" w:hAnsi="仿宋" w:eastAsia="仿宋" w:cs="仿宋"/>
                <w:b/>
                <w:color w:val="auto"/>
                <w:sz w:val="24"/>
                <w:highlight w:val="none"/>
                <w:lang w:val="en-US" w:eastAsia="zh-CN"/>
              </w:rPr>
              <w:t>文件递交</w:t>
            </w:r>
            <w:r>
              <w:rPr>
                <w:rFonts w:hint="eastAsia" w:ascii="仿宋" w:hAnsi="仿宋" w:eastAsia="仿宋" w:cs="仿宋"/>
                <w:b/>
                <w:color w:val="auto"/>
                <w:sz w:val="24"/>
                <w:highlight w:val="none"/>
              </w:rPr>
              <w:t>截止前办理相关手续。具体到账情况，由招标代理机构核实为准。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4"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13</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投标文件份数</w:t>
            </w:r>
          </w:p>
        </w:tc>
        <w:tc>
          <w:tcPr>
            <w:tcW w:w="6839" w:type="dxa"/>
            <w:noWrap/>
            <w:vAlign w:val="center"/>
          </w:tcPr>
          <w:p>
            <w:pPr>
              <w:overflowPunct w:val="0"/>
              <w:spacing w:line="360" w:lineRule="auto"/>
              <w:rPr>
                <w:rFonts w:ascii="仿宋" w:hAnsi="仿宋" w:eastAsia="仿宋" w:cs="仿宋"/>
                <w:sz w:val="24"/>
              </w:rPr>
            </w:pPr>
            <w:r>
              <w:rPr>
                <w:rFonts w:hint="eastAsia" w:ascii="仿宋" w:hAnsi="仿宋" w:eastAsia="仿宋" w:cs="仿宋"/>
                <w:b/>
                <w:bCs/>
                <w:sz w:val="24"/>
              </w:rPr>
              <w:t>解密文件一份、BFBS备份文件一份、纸质版投标文件一正两副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1"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14</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开标时间及投标文件递交截止时间</w:t>
            </w:r>
          </w:p>
        </w:tc>
        <w:tc>
          <w:tcPr>
            <w:tcW w:w="6839" w:type="dxa"/>
            <w:noWrap/>
            <w:vAlign w:val="center"/>
          </w:tcPr>
          <w:p>
            <w:pPr>
              <w:widowControl/>
              <w:spacing w:line="360" w:lineRule="auto"/>
              <w:jc w:val="left"/>
              <w:rPr>
                <w:rFonts w:ascii="仿宋" w:hAnsi="仿宋" w:eastAsia="仿宋" w:cs="仿宋"/>
                <w:kern w:val="0"/>
                <w:sz w:val="24"/>
              </w:rPr>
            </w:pPr>
            <w:r>
              <w:rPr>
                <w:rFonts w:hint="eastAsia" w:ascii="仿宋" w:hAnsi="仿宋" w:eastAsia="仿宋" w:cs="仿宋"/>
                <w:b/>
                <w:bCs/>
                <w:color w:val="auto"/>
                <w:kern w:val="0"/>
                <w:sz w:val="24"/>
              </w:rPr>
              <w:t>202</w:t>
            </w:r>
            <w:r>
              <w:rPr>
                <w:rFonts w:hint="eastAsia" w:ascii="仿宋" w:hAnsi="仿宋" w:eastAsia="仿宋" w:cs="仿宋"/>
                <w:b/>
                <w:bCs/>
                <w:color w:val="auto"/>
                <w:kern w:val="0"/>
                <w:sz w:val="24"/>
                <w:lang w:val="en-US" w:eastAsia="zh-CN"/>
              </w:rPr>
              <w:t>2</w:t>
            </w:r>
            <w:r>
              <w:rPr>
                <w:rFonts w:hint="eastAsia" w:ascii="仿宋" w:hAnsi="仿宋" w:eastAsia="仿宋" w:cs="仿宋"/>
                <w:b/>
                <w:bCs/>
                <w:color w:val="auto"/>
                <w:kern w:val="0"/>
                <w:sz w:val="24"/>
              </w:rPr>
              <w:t>年0</w:t>
            </w:r>
            <w:r>
              <w:rPr>
                <w:rFonts w:hint="eastAsia" w:ascii="仿宋" w:hAnsi="仿宋" w:eastAsia="仿宋" w:cs="仿宋"/>
                <w:b/>
                <w:bCs/>
                <w:color w:val="auto"/>
                <w:kern w:val="0"/>
                <w:sz w:val="24"/>
                <w:lang w:val="en-US" w:eastAsia="zh-CN"/>
              </w:rPr>
              <w:t>2</w:t>
            </w:r>
            <w:r>
              <w:rPr>
                <w:rFonts w:hint="eastAsia" w:ascii="仿宋" w:hAnsi="仿宋" w:eastAsia="仿宋" w:cs="仿宋"/>
                <w:b/>
                <w:bCs/>
                <w:color w:val="auto"/>
                <w:kern w:val="0"/>
                <w:sz w:val="24"/>
              </w:rPr>
              <w:t>月</w:t>
            </w:r>
            <w:r>
              <w:rPr>
                <w:rFonts w:hint="eastAsia" w:ascii="仿宋" w:hAnsi="仿宋" w:eastAsia="仿宋" w:cs="仿宋"/>
                <w:b/>
                <w:bCs/>
                <w:color w:val="auto"/>
                <w:kern w:val="0"/>
                <w:sz w:val="24"/>
                <w:lang w:val="en-US" w:eastAsia="zh-CN"/>
              </w:rPr>
              <w:t>11</w:t>
            </w:r>
            <w:r>
              <w:rPr>
                <w:rFonts w:hint="eastAsia" w:ascii="仿宋" w:hAnsi="仿宋" w:eastAsia="仿宋" w:cs="仿宋"/>
                <w:b/>
                <w:bCs/>
                <w:color w:val="auto"/>
                <w:kern w:val="0"/>
                <w:sz w:val="24"/>
              </w:rPr>
              <w:t>日11：00</w:t>
            </w:r>
            <w:r>
              <w:rPr>
                <w:rFonts w:hint="eastAsia" w:ascii="仿宋" w:hAnsi="仿宋" w:eastAsia="仿宋" w:cs="仿宋"/>
                <w:b/>
                <w:bCs/>
                <w:color w:val="auto"/>
                <w:sz w:val="24"/>
              </w:rPr>
              <w:t>（北京时间）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0"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15</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投标文件递交及开标地点</w:t>
            </w:r>
          </w:p>
        </w:tc>
        <w:tc>
          <w:tcPr>
            <w:tcW w:w="6839" w:type="dxa"/>
            <w:noWrap/>
            <w:vAlign w:val="center"/>
          </w:tcPr>
          <w:p>
            <w:pPr>
              <w:widowControl/>
              <w:spacing w:line="360" w:lineRule="auto"/>
              <w:jc w:val="left"/>
              <w:rPr>
                <w:rFonts w:ascii="仿宋" w:hAnsi="仿宋" w:eastAsia="仿宋" w:cs="仿宋"/>
                <w:sz w:val="24"/>
              </w:rPr>
            </w:pPr>
            <w:r>
              <w:rPr>
                <w:rFonts w:hint="eastAsia" w:ascii="仿宋" w:hAnsi="仿宋" w:eastAsia="仿宋" w:cs="仿宋"/>
                <w:sz w:val="24"/>
              </w:rPr>
              <w:t>政采云平台（如有变动另行通知）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801" w:type="dxa"/>
            <w:tcBorders>
              <w:top w:val="single" w:color="auto" w:sz="4" w:space="0"/>
              <w:bottom w:val="single" w:color="auto" w:sz="4" w:space="0"/>
            </w:tcBorders>
            <w:noWrap/>
            <w:vAlign w:val="center"/>
          </w:tcPr>
          <w:p>
            <w:pPr>
              <w:tabs>
                <w:tab w:val="center" w:pos="352"/>
                <w:tab w:val="left" w:pos="474"/>
              </w:tabs>
              <w:overflowPunct w:val="0"/>
              <w:spacing w:line="360" w:lineRule="auto"/>
              <w:jc w:val="center"/>
              <w:rPr>
                <w:rFonts w:ascii="仿宋" w:hAnsi="仿宋" w:eastAsia="仿宋" w:cs="仿宋"/>
                <w:sz w:val="24"/>
              </w:rPr>
            </w:pPr>
            <w:r>
              <w:rPr>
                <w:rFonts w:hint="eastAsia" w:ascii="仿宋" w:hAnsi="仿宋" w:eastAsia="仿宋" w:cs="仿宋"/>
                <w:sz w:val="24"/>
              </w:rPr>
              <w:t>16</w:t>
            </w:r>
          </w:p>
        </w:tc>
        <w:tc>
          <w:tcPr>
            <w:tcW w:w="2892" w:type="dxa"/>
            <w:tcBorders>
              <w:top w:val="single" w:color="auto" w:sz="4" w:space="0"/>
              <w:bottom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投标文件解密</w:t>
            </w:r>
          </w:p>
        </w:tc>
        <w:tc>
          <w:tcPr>
            <w:tcW w:w="6839" w:type="dxa"/>
            <w:tcBorders>
              <w:top w:val="single" w:color="auto" w:sz="4" w:space="0"/>
              <w:bottom w:val="single" w:color="auto" w:sz="4" w:space="0"/>
            </w:tcBorders>
            <w:noWrap/>
            <w:vAlign w:val="center"/>
          </w:tcPr>
          <w:p>
            <w:pPr>
              <w:widowControl/>
              <w:spacing w:line="360" w:lineRule="auto"/>
              <w:jc w:val="left"/>
              <w:rPr>
                <w:rFonts w:ascii="仿宋" w:hAnsi="仿宋" w:eastAsia="仿宋" w:cs="仿宋"/>
                <w:sz w:val="24"/>
              </w:rPr>
            </w:pPr>
            <w:r>
              <w:rPr>
                <w:rFonts w:hint="eastAsia" w:ascii="仿宋" w:hAnsi="仿宋" w:eastAsia="仿宋" w:cs="仿宋"/>
                <w:sz w:val="24"/>
              </w:rPr>
              <w:t>投标人应在解密开始后30分钟内完成投标文件解密，否则其投标将被拒绝。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801" w:type="dxa"/>
            <w:noWrap/>
            <w:vAlign w:val="center"/>
          </w:tcPr>
          <w:p>
            <w:pPr>
              <w:overflowPunct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17</w:t>
            </w:r>
          </w:p>
        </w:tc>
        <w:tc>
          <w:tcPr>
            <w:tcW w:w="2892" w:type="dxa"/>
            <w:noWrap/>
            <w:vAlign w:val="center"/>
          </w:tcPr>
          <w:p>
            <w:pPr>
              <w:overflowPunct w:val="0"/>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lang w:val="en-US" w:eastAsia="zh-CN"/>
              </w:rPr>
              <w:t>开标程序</w:t>
            </w:r>
          </w:p>
        </w:tc>
        <w:tc>
          <w:tcPr>
            <w:tcW w:w="6839" w:type="dxa"/>
            <w:noWrap/>
            <w:vAlign w:val="center"/>
          </w:tcPr>
          <w:p>
            <w:pPr>
              <w:pStyle w:val="5"/>
              <w:spacing w:line="360" w:lineRule="auto"/>
              <w:ind w:firstLine="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eastAsia="zh-CN"/>
              </w:rPr>
              <w:t>、</w:t>
            </w:r>
            <w:r>
              <w:rPr>
                <w:rFonts w:hint="eastAsia" w:ascii="仿宋" w:hAnsi="仿宋" w:eastAsia="仿宋" w:cs="仿宋"/>
                <w:bCs/>
                <w:sz w:val="24"/>
                <w:szCs w:val="24"/>
              </w:rPr>
              <w:t>响应文件的上传不得迟于202</w:t>
            </w:r>
            <w:r>
              <w:rPr>
                <w:rFonts w:hint="eastAsia" w:ascii="仿宋" w:hAnsi="仿宋" w:eastAsia="仿宋" w:cs="仿宋"/>
                <w:bCs/>
                <w:sz w:val="24"/>
                <w:szCs w:val="24"/>
                <w:lang w:val="en-US" w:eastAsia="zh-CN"/>
              </w:rPr>
              <w:t>2</w:t>
            </w:r>
            <w:r>
              <w:rPr>
                <w:rFonts w:hint="eastAsia" w:ascii="仿宋" w:hAnsi="仿宋" w:eastAsia="仿宋" w:cs="仿宋"/>
                <w:bCs/>
                <w:sz w:val="24"/>
                <w:szCs w:val="24"/>
              </w:rPr>
              <w:t>年</w:t>
            </w:r>
            <w:r>
              <w:rPr>
                <w:rFonts w:hint="eastAsia" w:ascii="仿宋" w:hAnsi="仿宋" w:eastAsia="仿宋" w:cs="仿宋"/>
                <w:bCs/>
                <w:sz w:val="24"/>
                <w:szCs w:val="24"/>
                <w:lang w:val="en-US" w:eastAsia="zh-CN"/>
              </w:rPr>
              <w:t>02</w:t>
            </w:r>
            <w:r>
              <w:rPr>
                <w:rFonts w:hint="eastAsia" w:ascii="仿宋" w:hAnsi="仿宋" w:eastAsia="仿宋" w:cs="仿宋"/>
                <w:bCs/>
                <w:sz w:val="24"/>
                <w:szCs w:val="24"/>
              </w:rPr>
              <w:t>月</w:t>
            </w:r>
            <w:r>
              <w:rPr>
                <w:rFonts w:hint="eastAsia" w:ascii="仿宋" w:hAnsi="仿宋" w:eastAsia="仿宋" w:cs="仿宋"/>
                <w:bCs/>
                <w:sz w:val="24"/>
                <w:szCs w:val="24"/>
                <w:lang w:val="en-US" w:eastAsia="zh-CN"/>
              </w:rPr>
              <w:t>11</w:t>
            </w:r>
            <w:r>
              <w:rPr>
                <w:rFonts w:hint="eastAsia" w:ascii="仿宋" w:hAnsi="仿宋" w:eastAsia="仿宋" w:cs="仿宋"/>
                <w:bCs/>
                <w:sz w:val="24"/>
                <w:szCs w:val="24"/>
              </w:rPr>
              <w:t>日1</w:t>
            </w:r>
            <w:r>
              <w:rPr>
                <w:rFonts w:hint="eastAsia" w:ascii="仿宋" w:hAnsi="仿宋" w:eastAsia="仿宋" w:cs="仿宋"/>
                <w:bCs/>
                <w:sz w:val="24"/>
                <w:szCs w:val="24"/>
                <w:lang w:val="en-US" w:eastAsia="zh-CN"/>
              </w:rPr>
              <w:t>1</w:t>
            </w:r>
            <w:r>
              <w:rPr>
                <w:rFonts w:hint="eastAsia" w:ascii="仿宋" w:hAnsi="仿宋" w:eastAsia="仿宋" w:cs="仿宋"/>
                <w:bCs/>
                <w:sz w:val="24"/>
                <w:szCs w:val="24"/>
              </w:rPr>
              <w:t>：00时（北京时间）</w:t>
            </w:r>
          </w:p>
          <w:p>
            <w:pPr>
              <w:pStyle w:val="5"/>
              <w:spacing w:line="360" w:lineRule="auto"/>
              <w:ind w:firstLine="0"/>
              <w:rPr>
                <w:rFonts w:hint="eastAsia" w:ascii="仿宋" w:hAnsi="仿宋" w:eastAsia="仿宋" w:cs="仿宋"/>
                <w:bCs/>
                <w:sz w:val="24"/>
                <w:szCs w:val="24"/>
              </w:rPr>
            </w:pPr>
            <w:r>
              <w:rPr>
                <w:rFonts w:hint="eastAsia" w:ascii="仿宋" w:hAnsi="仿宋" w:eastAsia="仿宋" w:cs="仿宋"/>
                <w:bCs/>
                <w:sz w:val="24"/>
                <w:szCs w:val="24"/>
              </w:rPr>
              <w:t>2、所有响应文件必须在采购人规定的报价截止时间之前上传至政采云平台，在此之后上传不了的响应文件，投标人自行负责。</w:t>
            </w:r>
          </w:p>
          <w:p>
            <w:pPr>
              <w:pStyle w:val="5"/>
              <w:spacing w:line="360" w:lineRule="auto"/>
              <w:ind w:firstLine="0"/>
              <w:rPr>
                <w:rFonts w:hint="eastAsia" w:ascii="仿宋" w:hAnsi="仿宋" w:eastAsia="仿宋" w:cs="仿宋"/>
                <w:bCs/>
                <w:sz w:val="24"/>
                <w:szCs w:val="24"/>
              </w:rPr>
            </w:pPr>
            <w:r>
              <w:rPr>
                <w:rFonts w:hint="eastAsia" w:ascii="仿宋" w:hAnsi="仿宋" w:eastAsia="仿宋" w:cs="仿宋"/>
                <w:bCs/>
                <w:sz w:val="24"/>
                <w:szCs w:val="24"/>
              </w:rPr>
              <w:t>3、出现因</w:t>
            </w:r>
            <w:r>
              <w:rPr>
                <w:rFonts w:hint="eastAsia" w:ascii="仿宋" w:hAnsi="仿宋" w:eastAsia="仿宋" w:cs="仿宋"/>
                <w:bCs/>
                <w:sz w:val="24"/>
                <w:szCs w:val="24"/>
                <w:lang w:eastAsia="zh-CN"/>
              </w:rPr>
              <w:t>招标文件</w:t>
            </w:r>
            <w:r>
              <w:rPr>
                <w:rFonts w:hint="eastAsia" w:ascii="仿宋" w:hAnsi="仿宋" w:eastAsia="仿宋" w:cs="仿宋"/>
                <w:bCs/>
                <w:sz w:val="24"/>
                <w:szCs w:val="24"/>
              </w:rPr>
              <w:t>的修改而推迟报价截止时间的情况时，报价方则须按采购代理机构的书面修改通知重新规定的报价时间递交。</w:t>
            </w:r>
          </w:p>
          <w:p>
            <w:pPr>
              <w:pStyle w:val="5"/>
              <w:spacing w:line="360" w:lineRule="auto"/>
              <w:ind w:firstLine="0"/>
              <w:rPr>
                <w:rFonts w:hint="eastAsia" w:ascii="仿宋" w:hAnsi="仿宋" w:eastAsia="仿宋" w:cs="仿宋"/>
                <w:bCs/>
                <w:sz w:val="24"/>
                <w:szCs w:val="24"/>
              </w:rPr>
            </w:pPr>
            <w:r>
              <w:rPr>
                <w:rFonts w:hint="eastAsia" w:ascii="仿宋" w:hAnsi="仿宋" w:eastAsia="仿宋" w:cs="仿宋"/>
                <w:bCs/>
                <w:sz w:val="24"/>
                <w:szCs w:val="24"/>
                <w:lang w:val="en-US" w:eastAsia="zh-CN"/>
              </w:rPr>
              <w:t>4、</w:t>
            </w:r>
            <w:r>
              <w:rPr>
                <w:rFonts w:hint="eastAsia" w:ascii="仿宋" w:hAnsi="仿宋" w:eastAsia="仿宋" w:cs="仿宋"/>
                <w:bCs/>
                <w:sz w:val="24"/>
                <w:szCs w:val="24"/>
                <w:lang w:eastAsia="zh-CN"/>
              </w:rPr>
              <w:t>由于疫情防控等原因，不要求各投标单位法人或授权委托人到开标现场，开标当日请各投标单位主动与代理公司联系，</w:t>
            </w:r>
            <w:r>
              <w:rPr>
                <w:rFonts w:hint="eastAsia" w:ascii="仿宋" w:hAnsi="仿宋" w:eastAsia="仿宋" w:cs="仿宋"/>
                <w:bCs/>
                <w:sz w:val="24"/>
                <w:szCs w:val="24"/>
                <w:lang w:val="en-US" w:eastAsia="zh-CN"/>
              </w:rPr>
              <w:t>如有需要可</w:t>
            </w:r>
            <w:r>
              <w:rPr>
                <w:rFonts w:hint="eastAsia" w:ascii="仿宋" w:hAnsi="仿宋" w:eastAsia="仿宋" w:cs="仿宋"/>
                <w:bCs/>
                <w:sz w:val="24"/>
                <w:szCs w:val="24"/>
                <w:lang w:eastAsia="zh-CN"/>
              </w:rPr>
              <w:t>加入视频会议连线，视频会议开始后各投标单位在视频会议过程中不得随意离开，大声喧哗，保持通讯畅通。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2892" w:type="dxa"/>
            <w:noWrap/>
            <w:vAlign w:val="center"/>
          </w:tcPr>
          <w:p>
            <w:pPr>
              <w:overflowPunct w:val="0"/>
              <w:spacing w:line="360" w:lineRule="auto"/>
              <w:jc w:val="center"/>
              <w:rPr>
                <w:rFonts w:ascii="仿宋" w:hAnsi="仿宋" w:eastAsia="仿宋" w:cs="仿宋"/>
                <w:b/>
                <w:bCs/>
                <w:kern w:val="0"/>
                <w:sz w:val="24"/>
              </w:rPr>
            </w:pPr>
            <w:r>
              <w:rPr>
                <w:rFonts w:hint="eastAsia" w:ascii="仿宋" w:hAnsi="仿宋" w:eastAsia="仿宋" w:cs="仿宋"/>
                <w:b/>
                <w:bCs/>
                <w:kern w:val="0"/>
                <w:sz w:val="24"/>
              </w:rPr>
              <w:t>招标代理服务费</w:t>
            </w:r>
          </w:p>
        </w:tc>
        <w:tc>
          <w:tcPr>
            <w:tcW w:w="6839" w:type="dxa"/>
            <w:noWrap/>
            <w:vAlign w:val="center"/>
          </w:tcPr>
          <w:p>
            <w:pPr>
              <w:spacing w:line="360" w:lineRule="auto"/>
              <w:ind w:right="105" w:rightChars="50"/>
              <w:rPr>
                <w:rFonts w:ascii="仿宋" w:hAnsi="仿宋" w:eastAsia="仿宋" w:cs="仿宋"/>
                <w:bCs/>
                <w:sz w:val="24"/>
              </w:rPr>
            </w:pPr>
            <w:r>
              <w:rPr>
                <w:rFonts w:hint="eastAsia" w:ascii="仿宋" w:hAnsi="仿宋" w:eastAsia="仿宋" w:cs="仿宋"/>
                <w:bCs/>
                <w:sz w:val="24"/>
              </w:rPr>
              <w:t>1、代理服务费的计算方法：</w:t>
            </w:r>
            <w:r>
              <w:rPr>
                <w:rFonts w:hint="eastAsia" w:ascii="仿宋" w:hAnsi="仿宋" w:eastAsia="仿宋" w:cs="仿宋"/>
                <w:sz w:val="24"/>
              </w:rPr>
              <w:t>按照国家计委计价格[2002]1980号文件《招标代理服务收费管理暂行办法》、《发改办价格〔2011〕534号》和国家发改办价格[2003]857号《关于招标代理服务收费有关问题的通知》的收费执行</w:t>
            </w:r>
          </w:p>
          <w:p>
            <w:pPr>
              <w:spacing w:line="360" w:lineRule="auto"/>
              <w:ind w:right="105" w:rightChars="50"/>
              <w:rPr>
                <w:rFonts w:ascii="仿宋" w:hAnsi="仿宋" w:eastAsia="仿宋" w:cs="仿宋"/>
                <w:bCs/>
                <w:sz w:val="24"/>
              </w:rPr>
            </w:pPr>
            <w:r>
              <w:rPr>
                <w:rFonts w:hint="eastAsia" w:ascii="仿宋" w:hAnsi="仿宋" w:eastAsia="仿宋" w:cs="仿宋"/>
                <w:bCs/>
                <w:sz w:val="24"/>
              </w:rPr>
              <w:t>2、代理服务费的收取金额：中标金额为基数按照规定收取。</w:t>
            </w:r>
          </w:p>
          <w:p>
            <w:pPr>
              <w:spacing w:line="360" w:lineRule="auto"/>
              <w:ind w:right="105" w:rightChars="50"/>
              <w:rPr>
                <w:rFonts w:ascii="仿宋" w:hAnsi="仿宋" w:eastAsia="仿宋" w:cs="仿宋"/>
                <w:bCs/>
                <w:sz w:val="24"/>
              </w:rPr>
            </w:pPr>
            <w:r>
              <w:rPr>
                <w:rFonts w:hint="eastAsia" w:ascii="仿宋" w:hAnsi="仿宋" w:eastAsia="仿宋" w:cs="仿宋"/>
                <w:bCs/>
                <w:sz w:val="24"/>
              </w:rPr>
              <w:t>3、代理服务费支付方式：由中标人支付。</w:t>
            </w:r>
          </w:p>
          <w:p>
            <w:pPr>
              <w:pStyle w:val="5"/>
              <w:ind w:firstLine="0"/>
              <w:rPr>
                <w:rFonts w:ascii="仿宋" w:hAnsi="仿宋" w:eastAsia="仿宋" w:cs="仿宋"/>
                <w:sz w:val="24"/>
                <w:szCs w:val="24"/>
              </w:rPr>
            </w:pPr>
            <w:r>
              <w:rPr>
                <w:rFonts w:hint="eastAsia" w:ascii="仿宋" w:hAnsi="仿宋" w:eastAsia="仿宋" w:cs="仿宋"/>
                <w:bCs/>
                <w:sz w:val="24"/>
                <w:szCs w:val="24"/>
              </w:rPr>
              <w:t>4、代理服务费的支付时间：由中标人领取中标通知书前支付。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801" w:type="dxa"/>
            <w:tcBorders>
              <w:top w:val="single" w:color="auto" w:sz="4" w:space="0"/>
            </w:tcBorders>
            <w:noWrap/>
            <w:vAlign w:val="center"/>
          </w:tcPr>
          <w:p>
            <w:pPr>
              <w:overflowPunct w:val="0"/>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rPr>
              <w:t>1</w:t>
            </w:r>
            <w:r>
              <w:rPr>
                <w:rFonts w:hint="eastAsia" w:ascii="仿宋" w:hAnsi="仿宋" w:eastAsia="仿宋" w:cs="仿宋"/>
                <w:kern w:val="0"/>
                <w:sz w:val="24"/>
                <w:lang w:val="en-US" w:eastAsia="zh-CN"/>
              </w:rPr>
              <w:t>9</w:t>
            </w:r>
          </w:p>
        </w:tc>
        <w:tc>
          <w:tcPr>
            <w:tcW w:w="2892" w:type="dxa"/>
            <w:tcBorders>
              <w:top w:val="single" w:color="auto" w:sz="4" w:space="0"/>
              <w:bottom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付款方式及币种</w:t>
            </w:r>
          </w:p>
        </w:tc>
        <w:tc>
          <w:tcPr>
            <w:tcW w:w="6839" w:type="dxa"/>
            <w:tcBorders>
              <w:top w:val="single" w:color="auto" w:sz="4" w:space="0"/>
            </w:tcBorders>
            <w:noWrap/>
            <w:vAlign w:val="center"/>
          </w:tcPr>
          <w:p>
            <w:pPr>
              <w:overflowPunct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1、付款币种：本次招标所述的项目资金均以人民币支付。</w:t>
            </w:r>
          </w:p>
          <w:p>
            <w:pPr>
              <w:spacing w:line="360" w:lineRule="auto"/>
              <w:jc w:val="left"/>
              <w:rPr>
                <w:rFonts w:ascii="仿宋" w:hAnsi="仿宋" w:eastAsia="仿宋" w:cs="仿宋"/>
                <w:b/>
                <w:sz w:val="24"/>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rPr>
              <w:t>付款方式：按合同约定支付。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0" w:hRule="atLeast"/>
          <w:jc w:val="center"/>
        </w:trPr>
        <w:tc>
          <w:tcPr>
            <w:tcW w:w="801" w:type="dxa"/>
            <w:tcBorders>
              <w:top w:val="single" w:color="auto" w:sz="4" w:space="0"/>
            </w:tcBorders>
            <w:noWrap/>
            <w:vAlign w:val="center"/>
          </w:tcPr>
          <w:p>
            <w:pPr>
              <w:overflowPunct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2892" w:type="dxa"/>
            <w:tcBorders>
              <w:top w:val="single" w:color="auto" w:sz="4" w:space="0"/>
              <w:bottom w:val="single" w:color="auto" w:sz="4" w:space="0"/>
            </w:tcBorders>
            <w:noWrap/>
            <w:vAlign w:val="center"/>
          </w:tcPr>
          <w:p>
            <w:pPr>
              <w:overflowPunct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lang w:val="en-US" w:eastAsia="zh-CN"/>
              </w:rPr>
              <w:t>质保</w:t>
            </w:r>
            <w:r>
              <w:rPr>
                <w:rFonts w:hint="eastAsia" w:ascii="仿宋" w:hAnsi="仿宋" w:eastAsia="仿宋" w:cs="仿宋"/>
                <w:b/>
                <w:bCs/>
                <w:color w:val="auto"/>
                <w:sz w:val="24"/>
              </w:rPr>
              <w:t>期</w:t>
            </w:r>
          </w:p>
        </w:tc>
        <w:tc>
          <w:tcPr>
            <w:tcW w:w="6839" w:type="dxa"/>
            <w:tcBorders>
              <w:top w:val="single" w:color="auto" w:sz="4" w:space="0"/>
            </w:tcBorders>
            <w:noWrap/>
            <w:vAlign w:val="center"/>
          </w:tcPr>
          <w:p>
            <w:pPr>
              <w:pStyle w:val="4"/>
              <w:rPr>
                <w:rFonts w:ascii="仿宋" w:hAnsi="仿宋" w:eastAsia="仿宋" w:cs="仿宋"/>
                <w:color w:val="auto"/>
                <w:szCs w:val="24"/>
              </w:rPr>
            </w:pPr>
            <w:r>
              <w:rPr>
                <w:rFonts w:hint="eastAsia" w:ascii="仿宋" w:hAnsi="仿宋" w:eastAsia="仿宋" w:cs="仿宋"/>
                <w:b w:val="0"/>
                <w:bCs w:val="0"/>
                <w:color w:val="auto"/>
                <w:szCs w:val="24"/>
              </w:rPr>
              <w:t>整机质保2年</w:t>
            </w:r>
            <w:r>
              <w:rPr>
                <w:rFonts w:hint="eastAsia" w:ascii="仿宋" w:hAnsi="仿宋" w:eastAsia="仿宋" w:cs="仿宋"/>
                <w:b w:val="0"/>
                <w:bCs w:val="0"/>
                <w:color w:val="auto"/>
                <w:szCs w:val="24"/>
                <w:lang w:eastAsia="zh-CN"/>
              </w:rPr>
              <w:t>，</w:t>
            </w:r>
            <w:r>
              <w:rPr>
                <w:rFonts w:hint="eastAsia" w:ascii="仿宋" w:hAnsi="仿宋" w:eastAsia="仿宋" w:cs="仿宋"/>
                <w:b w:val="0"/>
                <w:bCs w:val="0"/>
                <w:color w:val="auto"/>
                <w:szCs w:val="24"/>
              </w:rPr>
              <w:t>终身维护。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1</w:t>
            </w:r>
          </w:p>
        </w:tc>
        <w:tc>
          <w:tcPr>
            <w:tcW w:w="2892" w:type="dxa"/>
            <w:noWrap/>
            <w:vAlign w:val="center"/>
          </w:tcPr>
          <w:p>
            <w:pPr>
              <w:overflowPunct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lang w:val="en-US" w:eastAsia="zh-CN"/>
              </w:rPr>
              <w:t>交</w:t>
            </w:r>
            <w:r>
              <w:rPr>
                <w:rFonts w:hint="eastAsia" w:ascii="仿宋" w:hAnsi="仿宋" w:eastAsia="仿宋" w:cs="仿宋"/>
                <w:b/>
                <w:bCs/>
                <w:color w:val="auto"/>
                <w:sz w:val="24"/>
              </w:rPr>
              <w:t>货期限、地点</w:t>
            </w:r>
          </w:p>
        </w:tc>
        <w:tc>
          <w:tcPr>
            <w:tcW w:w="6839" w:type="dxa"/>
            <w:noWrap/>
            <w:vAlign w:val="center"/>
          </w:tcPr>
          <w:p>
            <w:pPr>
              <w:spacing w:line="360" w:lineRule="auto"/>
              <w:rPr>
                <w:rFonts w:hint="eastAsia" w:ascii="仿宋" w:hAnsi="仿宋" w:eastAsia="仿宋" w:cs="仿宋"/>
                <w:b/>
                <w:bCs/>
                <w:color w:val="auto"/>
                <w:sz w:val="24"/>
                <w:lang w:eastAsia="zh-CN"/>
              </w:rPr>
            </w:pPr>
            <w:r>
              <w:rPr>
                <w:rFonts w:hint="eastAsia" w:ascii="仿宋" w:hAnsi="仿宋" w:eastAsia="仿宋" w:cs="仿宋"/>
                <w:b/>
                <w:bCs/>
                <w:color w:val="auto"/>
                <w:sz w:val="24"/>
              </w:rPr>
              <w:t>15个工作日带安装（具体要求以甲方实际需求为准，最终以签订合同为准）。</w:t>
            </w:r>
          </w:p>
          <w:p>
            <w:pPr>
              <w:spacing w:line="360" w:lineRule="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采购人指定地点。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22</w:t>
            </w:r>
          </w:p>
        </w:tc>
        <w:tc>
          <w:tcPr>
            <w:tcW w:w="2892" w:type="dxa"/>
            <w:noWrap/>
            <w:vAlign w:val="center"/>
          </w:tcPr>
          <w:p>
            <w:pPr>
              <w:overflowPunct w:val="0"/>
              <w:spacing w:line="360" w:lineRule="auto"/>
              <w:jc w:val="center"/>
              <w:rPr>
                <w:rFonts w:hint="eastAsia" w:ascii="仿宋" w:hAnsi="仿宋" w:eastAsia="仿宋" w:cs="仿宋"/>
                <w:b/>
                <w:bCs/>
                <w:sz w:val="24"/>
              </w:rPr>
            </w:pPr>
            <w:r>
              <w:rPr>
                <w:rFonts w:hint="eastAsia" w:ascii="仿宋" w:hAnsi="仿宋" w:eastAsia="仿宋" w:cs="仿宋"/>
                <w:b/>
                <w:bCs/>
                <w:sz w:val="24"/>
              </w:rPr>
              <w:t>评标委员会组成</w:t>
            </w:r>
          </w:p>
        </w:tc>
        <w:tc>
          <w:tcPr>
            <w:tcW w:w="6839" w:type="dxa"/>
            <w:noWrap/>
            <w:vAlign w:val="center"/>
          </w:tcPr>
          <w:p>
            <w:pPr>
              <w:spacing w:line="360" w:lineRule="auto"/>
              <w:jc w:val="left"/>
              <w:rPr>
                <w:rFonts w:hint="eastAsia" w:ascii="仿宋" w:hAnsi="仿宋" w:eastAsia="仿宋" w:cs="仿宋"/>
                <w:b/>
                <w:bCs/>
                <w:sz w:val="24"/>
              </w:rPr>
            </w:pPr>
            <w:r>
              <w:rPr>
                <w:rFonts w:hint="eastAsia" w:ascii="仿宋" w:hAnsi="仿宋" w:eastAsia="仿宋" w:cs="仿宋"/>
                <w:b w:val="0"/>
                <w:bCs w:val="0"/>
                <w:sz w:val="24"/>
              </w:rPr>
              <w:t>5人，其中采购人代表</w:t>
            </w:r>
            <w:bookmarkStart w:id="12" w:name="_Toc256690715"/>
            <w:bookmarkStart w:id="13" w:name="_Toc256694591"/>
            <w:r>
              <w:rPr>
                <w:rFonts w:hint="eastAsia" w:ascii="仿宋" w:hAnsi="仿宋" w:eastAsia="仿宋" w:cs="仿宋"/>
                <w:b w:val="0"/>
                <w:bCs w:val="0"/>
                <w:sz w:val="24"/>
              </w:rPr>
              <w:t>1人,专家4人</w:t>
            </w:r>
            <w:bookmarkEnd w:id="12"/>
            <w:bookmarkEnd w:id="13"/>
            <w:r>
              <w:rPr>
                <w:rFonts w:hint="eastAsia" w:ascii="仿宋" w:hAnsi="仿宋" w:eastAsia="仿宋" w:cs="仿宋"/>
                <w:b w:val="0"/>
                <w:bCs w:val="0"/>
                <w:sz w:val="24"/>
              </w:rPr>
              <w:t>；从</w:t>
            </w:r>
            <w:r>
              <w:rPr>
                <w:rFonts w:hint="eastAsia" w:ascii="仿宋" w:hAnsi="仿宋" w:eastAsia="仿宋" w:cs="仿宋"/>
                <w:b w:val="0"/>
                <w:bCs w:val="0"/>
                <w:sz w:val="24"/>
                <w:lang w:val="en-US" w:eastAsia="zh-CN"/>
              </w:rPr>
              <w:t>政采云</w:t>
            </w:r>
            <w:r>
              <w:rPr>
                <w:rFonts w:hint="eastAsia" w:ascii="仿宋" w:hAnsi="仿宋" w:eastAsia="仿宋" w:cs="仿宋"/>
                <w:b w:val="0"/>
                <w:bCs w:val="0"/>
                <w:sz w:val="24"/>
              </w:rPr>
              <w:t>专家库随机抽取。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3</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w:t>
            </w:r>
            <w:r>
              <w:rPr>
                <w:rFonts w:hint="eastAsia" w:ascii="仿宋" w:hAnsi="仿宋" w:eastAsia="仿宋" w:cs="仿宋"/>
                <w:b/>
                <w:bCs/>
                <w:sz w:val="24"/>
                <w:lang w:val="en-US" w:eastAsia="zh-CN"/>
              </w:rPr>
              <w:t>人</w:t>
            </w:r>
            <w:r>
              <w:rPr>
                <w:rFonts w:hint="eastAsia" w:ascii="仿宋" w:hAnsi="仿宋" w:eastAsia="仿宋" w:cs="仿宋"/>
                <w:b/>
                <w:bCs/>
                <w:sz w:val="24"/>
              </w:rPr>
              <w:t>资质</w:t>
            </w:r>
          </w:p>
        </w:tc>
        <w:tc>
          <w:tcPr>
            <w:tcW w:w="6839" w:type="dxa"/>
            <w:noWrap/>
            <w:vAlign w:val="center"/>
          </w:tcPr>
          <w:p>
            <w:p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lang w:val="zh-CN"/>
              </w:rPr>
              <w:t>投标时资格审查的必备条件，</w:t>
            </w:r>
            <w:r>
              <w:rPr>
                <w:rFonts w:hint="eastAsia" w:ascii="仿宋" w:hAnsi="仿宋" w:eastAsia="仿宋" w:cs="仿宋"/>
                <w:b/>
                <w:bCs/>
                <w:sz w:val="24"/>
              </w:rPr>
              <w:t>如果不能提供或有缺项则视为对招标文件资格审查内容的不响应，其投标将被拒绝。</w:t>
            </w:r>
          </w:p>
          <w:p>
            <w:pPr>
              <w:pStyle w:val="5"/>
              <w:spacing w:line="360" w:lineRule="auto"/>
              <w:ind w:firstLine="0"/>
              <w:rPr>
                <w:rFonts w:ascii="仿宋" w:hAnsi="仿宋" w:eastAsia="仿宋" w:cs="仿宋"/>
                <w:sz w:val="24"/>
                <w:szCs w:val="24"/>
              </w:rPr>
            </w:pPr>
            <w:r>
              <w:rPr>
                <w:rFonts w:hint="eastAsia" w:ascii="仿宋" w:hAnsi="仿宋" w:eastAsia="仿宋" w:cs="仿宋"/>
                <w:b/>
                <w:bCs/>
                <w:sz w:val="24"/>
                <w:szCs w:val="24"/>
              </w:rPr>
              <w:t>（1）中华人民共和国境内依法获取的营业执照副本彩色扫描件</w:t>
            </w:r>
          </w:p>
          <w:p>
            <w:pPr>
              <w:tabs>
                <w:tab w:val="left" w:pos="3125"/>
              </w:tabs>
              <w:spacing w:line="360" w:lineRule="auto"/>
              <w:jc w:val="left"/>
              <w:rPr>
                <w:rFonts w:ascii="仿宋" w:hAnsi="仿宋" w:eastAsia="仿宋" w:cs="仿宋"/>
                <w:b/>
                <w:bCs/>
                <w:sz w:val="24"/>
              </w:rPr>
            </w:pPr>
            <w:r>
              <w:rPr>
                <w:rFonts w:hint="eastAsia" w:ascii="仿宋" w:hAnsi="仿宋" w:eastAsia="仿宋" w:cs="仿宋"/>
                <w:b/>
                <w:bCs/>
                <w:sz w:val="24"/>
              </w:rPr>
              <w:t>（2）法定代表人身份证彩色扫描件及《法定代表人资格证明书》或委托代理人《法人授权委托书》及身份证彩色扫描件。</w:t>
            </w:r>
          </w:p>
          <w:p>
            <w:pPr>
              <w:autoSpaceDE w:val="0"/>
              <w:autoSpaceDN w:val="0"/>
              <w:adjustRightInd w:val="0"/>
              <w:spacing w:line="360" w:lineRule="auto"/>
              <w:jc w:val="left"/>
              <w:rPr>
                <w:rFonts w:ascii="仿宋" w:hAnsi="仿宋" w:eastAsia="仿宋" w:cs="仿宋"/>
                <w:b/>
                <w:bCs/>
                <w:sz w:val="24"/>
              </w:rPr>
            </w:pPr>
            <w:r>
              <w:rPr>
                <w:rFonts w:hint="eastAsia" w:ascii="仿宋" w:hAnsi="仿宋" w:eastAsia="仿宋" w:cs="仿宋"/>
                <w:b/>
                <w:bCs/>
                <w:sz w:val="24"/>
              </w:rPr>
              <w:t>（3）缴纳投标保证金汇款凭证彩色扫描件。</w:t>
            </w:r>
          </w:p>
          <w:p>
            <w:pPr>
              <w:spacing w:line="360" w:lineRule="auto"/>
              <w:jc w:val="left"/>
              <w:rPr>
                <w:rFonts w:ascii="仿宋" w:hAnsi="仿宋" w:eastAsia="仿宋" w:cs="仿宋"/>
                <w:sz w:val="24"/>
              </w:rPr>
            </w:pPr>
            <w:r>
              <w:rPr>
                <w:rFonts w:hint="eastAsia" w:ascii="仿宋" w:hAnsi="仿宋" w:eastAsia="仿宋" w:cs="仿宋"/>
                <w:b/>
                <w:bCs/>
                <w:sz w:val="24"/>
              </w:rPr>
              <w:t>（4）具有良好的信誉，未被 “信用中国”(www.creditchina.gov.cn) 列入失信被执行人、重大税收违法案件当事人名单</w:t>
            </w:r>
            <w:r>
              <w:rPr>
                <w:rFonts w:hint="eastAsia" w:ascii="仿宋" w:hAnsi="仿宋" w:eastAsia="仿宋" w:cs="仿宋"/>
                <w:b/>
                <w:bCs/>
                <w:sz w:val="24"/>
                <w:lang w:eastAsia="zh-CN"/>
              </w:rPr>
              <w:t>、</w:t>
            </w:r>
            <w:r>
              <w:rPr>
                <w:rFonts w:hint="eastAsia" w:ascii="仿宋" w:hAnsi="仿宋" w:eastAsia="仿宋" w:cs="仿宋"/>
                <w:b/>
                <w:bCs/>
                <w:sz w:val="24"/>
              </w:rPr>
              <w:t>政府采购严重违法名单</w:t>
            </w:r>
            <w:r>
              <w:rPr>
                <w:rFonts w:hint="eastAsia" w:ascii="仿宋" w:hAnsi="仿宋" w:eastAsia="仿宋" w:cs="仿宋"/>
                <w:b/>
                <w:bCs/>
                <w:sz w:val="24"/>
                <w:lang w:val="en-US" w:eastAsia="zh-CN"/>
              </w:rPr>
              <w:t>查询结果</w:t>
            </w:r>
            <w:r>
              <w:rPr>
                <w:rFonts w:hint="eastAsia" w:ascii="仿宋" w:hAnsi="仿宋" w:eastAsia="仿宋" w:cs="仿宋"/>
                <w:b/>
                <w:bCs/>
                <w:sz w:val="24"/>
              </w:rPr>
              <w:t>，未被 “中国政府采购网”（www.ccgp.gov.cn）列入政府采购严重违法失信行为记录名单，查询时间为投标报名开始之日起，提交查询后加盖公章的截图彩色扫描件。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4</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 xml:space="preserve">合同签订 </w:t>
            </w:r>
          </w:p>
        </w:tc>
        <w:tc>
          <w:tcPr>
            <w:tcW w:w="6839" w:type="dxa"/>
            <w:noWrap/>
            <w:vAlign w:val="center"/>
          </w:tcPr>
          <w:p>
            <w:pPr>
              <w:spacing w:line="360" w:lineRule="auto"/>
              <w:jc w:val="left"/>
              <w:rPr>
                <w:rFonts w:ascii="仿宋" w:hAnsi="仿宋" w:eastAsia="仿宋" w:cs="仿宋"/>
                <w:b/>
                <w:bCs/>
                <w:sz w:val="24"/>
                <w:lang w:val="zh-CN"/>
              </w:rPr>
            </w:pPr>
            <w:r>
              <w:rPr>
                <w:rFonts w:hint="eastAsia" w:ascii="仿宋" w:hAnsi="仿宋" w:eastAsia="仿宋" w:cs="仿宋"/>
                <w:bCs/>
                <w:sz w:val="24"/>
              </w:rPr>
              <w:t>中标人收到中标通知书起 30日历日内。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5</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质疑须知</w:t>
            </w:r>
          </w:p>
        </w:tc>
        <w:tc>
          <w:tcPr>
            <w:tcW w:w="6839" w:type="dxa"/>
            <w:noWrap/>
            <w:vAlign w:val="center"/>
          </w:tcPr>
          <w:p>
            <w:pPr>
              <w:spacing w:line="360" w:lineRule="auto"/>
              <w:rPr>
                <w:rFonts w:ascii="仿宋" w:hAnsi="仿宋" w:eastAsia="仿宋" w:cs="仿宋"/>
                <w:sz w:val="24"/>
              </w:rPr>
            </w:pPr>
            <w:r>
              <w:rPr>
                <w:rFonts w:hint="eastAsia" w:ascii="仿宋" w:hAnsi="仿宋" w:eastAsia="仿宋" w:cs="仿宋"/>
                <w:sz w:val="24"/>
              </w:rPr>
              <w:t>（1）供应商认为采购文件、采购过程、中标或者中标结果使自己的权益受到损害的，可以在知道或者应知其权益受到损害之日起 7 个工作日内，以书面形式向采购人、采购代理机构提出质疑。</w:t>
            </w:r>
          </w:p>
          <w:p>
            <w:pPr>
              <w:spacing w:line="360" w:lineRule="auto"/>
              <w:rPr>
                <w:rFonts w:ascii="仿宋" w:hAnsi="仿宋" w:eastAsia="仿宋" w:cs="仿宋"/>
                <w:sz w:val="24"/>
              </w:rPr>
            </w:pPr>
            <w:r>
              <w:rPr>
                <w:rFonts w:hint="eastAsia" w:ascii="仿宋" w:hAnsi="仿宋" w:eastAsia="仿宋" w:cs="仿宋"/>
                <w:sz w:val="24"/>
              </w:rPr>
              <w:t>（2）提出质疑的供应商（以下简称质疑供应商）应当是参与所质疑项目采购活动的供应商。</w:t>
            </w:r>
          </w:p>
          <w:p>
            <w:pPr>
              <w:spacing w:line="360" w:lineRule="auto"/>
              <w:rPr>
                <w:rFonts w:ascii="仿宋" w:hAnsi="仿宋" w:eastAsia="仿宋" w:cs="仿宋"/>
                <w:sz w:val="24"/>
              </w:rPr>
            </w:pPr>
            <w:r>
              <w:rPr>
                <w:rFonts w:hint="eastAsia" w:ascii="仿宋" w:hAnsi="仿宋" w:eastAsia="仿宋" w:cs="仿宋"/>
                <w:sz w:val="24"/>
              </w:rPr>
              <w:t>（3）拟投标供应商必须在法定质疑期内一次性提出针对同一采购程序环节的质疑。</w:t>
            </w:r>
          </w:p>
          <w:p>
            <w:pPr>
              <w:spacing w:line="360" w:lineRule="auto"/>
              <w:rPr>
                <w:rFonts w:ascii="仿宋" w:hAnsi="仿宋" w:eastAsia="仿宋" w:cs="仿宋"/>
                <w:sz w:val="24"/>
              </w:rPr>
            </w:pPr>
            <w:r>
              <w:rPr>
                <w:rFonts w:hint="eastAsia" w:ascii="仿宋" w:hAnsi="仿宋" w:eastAsia="仿宋" w:cs="仿宋"/>
                <w:sz w:val="24"/>
              </w:rPr>
              <w:t>（4）质疑函应当包括下列内容：</w:t>
            </w:r>
          </w:p>
          <w:p>
            <w:pPr>
              <w:spacing w:line="360" w:lineRule="auto"/>
              <w:rPr>
                <w:rFonts w:ascii="仿宋" w:hAnsi="仿宋" w:eastAsia="仿宋" w:cs="仿宋"/>
                <w:sz w:val="24"/>
              </w:rPr>
            </w:pPr>
            <w:r>
              <w:rPr>
                <w:rFonts w:hint="eastAsia" w:ascii="仿宋" w:hAnsi="仿宋" w:eastAsia="仿宋" w:cs="仿宋"/>
                <w:sz w:val="24"/>
              </w:rPr>
              <w:t>1）供应商的姓名或者名称、地址、邮编、联系人及联系电话；</w:t>
            </w:r>
          </w:p>
          <w:p>
            <w:pPr>
              <w:spacing w:line="360" w:lineRule="auto"/>
              <w:rPr>
                <w:rFonts w:ascii="仿宋" w:hAnsi="仿宋" w:eastAsia="仿宋" w:cs="仿宋"/>
                <w:sz w:val="24"/>
              </w:rPr>
            </w:pPr>
            <w:r>
              <w:rPr>
                <w:rFonts w:hint="eastAsia" w:ascii="仿宋" w:hAnsi="仿宋" w:eastAsia="仿宋" w:cs="仿宋"/>
                <w:sz w:val="24"/>
              </w:rPr>
              <w:t>2）质疑项目的名称、编号；</w:t>
            </w:r>
          </w:p>
          <w:p>
            <w:pPr>
              <w:spacing w:line="360" w:lineRule="auto"/>
              <w:rPr>
                <w:rFonts w:ascii="仿宋" w:hAnsi="仿宋" w:eastAsia="仿宋" w:cs="仿宋"/>
                <w:sz w:val="24"/>
              </w:rPr>
            </w:pPr>
            <w:r>
              <w:rPr>
                <w:rFonts w:hint="eastAsia" w:ascii="仿宋" w:hAnsi="仿宋" w:eastAsia="仿宋" w:cs="仿宋"/>
                <w:sz w:val="24"/>
              </w:rPr>
              <w:t>3）具体、明确的质疑事项和与质疑事项相关的请求；</w:t>
            </w:r>
          </w:p>
          <w:p>
            <w:pPr>
              <w:spacing w:line="360" w:lineRule="auto"/>
              <w:rPr>
                <w:rFonts w:ascii="仿宋" w:hAnsi="仿宋" w:eastAsia="仿宋" w:cs="仿宋"/>
                <w:sz w:val="24"/>
              </w:rPr>
            </w:pPr>
            <w:r>
              <w:rPr>
                <w:rFonts w:hint="eastAsia" w:ascii="仿宋" w:hAnsi="仿宋" w:eastAsia="仿宋" w:cs="仿宋"/>
                <w:sz w:val="24"/>
              </w:rPr>
              <w:t>4）事实依据；</w:t>
            </w:r>
          </w:p>
          <w:p>
            <w:pPr>
              <w:spacing w:line="360" w:lineRule="auto"/>
              <w:rPr>
                <w:rFonts w:ascii="仿宋" w:hAnsi="仿宋" w:eastAsia="仿宋" w:cs="仿宋"/>
                <w:sz w:val="24"/>
              </w:rPr>
            </w:pPr>
            <w:r>
              <w:rPr>
                <w:rFonts w:hint="eastAsia" w:ascii="仿宋" w:hAnsi="仿宋" w:eastAsia="仿宋" w:cs="仿宋"/>
                <w:sz w:val="24"/>
              </w:rPr>
              <w:t>5）必要的法律依据；</w:t>
            </w:r>
          </w:p>
          <w:p>
            <w:pPr>
              <w:spacing w:line="360" w:lineRule="auto"/>
              <w:rPr>
                <w:rFonts w:ascii="仿宋" w:hAnsi="仿宋" w:eastAsia="仿宋" w:cs="仿宋"/>
                <w:sz w:val="24"/>
              </w:rPr>
            </w:pPr>
            <w:r>
              <w:rPr>
                <w:rFonts w:hint="eastAsia" w:ascii="仿宋" w:hAnsi="仿宋" w:eastAsia="仿宋" w:cs="仿宋"/>
                <w:sz w:val="24"/>
              </w:rPr>
              <w:t>6）提出质疑的日期。</w:t>
            </w:r>
          </w:p>
          <w:p>
            <w:pPr>
              <w:spacing w:line="360" w:lineRule="auto"/>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供应商为自然人的，应当由本人签字；供应商为法人或者其他组织的，应当由法定代表人、主要负责人，或者其授权代表签字或者盖章，并加盖公章。</w:t>
            </w:r>
          </w:p>
          <w:p>
            <w:pPr>
              <w:spacing w:line="360" w:lineRule="auto"/>
              <w:rPr>
                <w:rFonts w:ascii="仿宋" w:hAnsi="仿宋" w:eastAsia="仿宋" w:cs="仿宋"/>
                <w:sz w:val="24"/>
              </w:rPr>
            </w:pPr>
            <w:r>
              <w:rPr>
                <w:rFonts w:hint="eastAsia" w:ascii="仿宋" w:hAnsi="仿宋" w:eastAsia="仿宋" w:cs="仿宋"/>
                <w:sz w:val="24"/>
              </w:rPr>
              <w:t>7）接受质疑函的方式：现场递交纸质版质疑文件。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6</w:t>
            </w:r>
          </w:p>
        </w:tc>
        <w:tc>
          <w:tcPr>
            <w:tcW w:w="2892" w:type="dxa"/>
            <w:noWrap/>
            <w:vAlign w:val="center"/>
          </w:tcPr>
          <w:p>
            <w:pPr>
              <w:spacing w:line="360" w:lineRule="auto"/>
              <w:jc w:val="center"/>
              <w:rPr>
                <w:rFonts w:ascii="仿宋" w:hAnsi="仿宋" w:eastAsia="仿宋" w:cs="仿宋"/>
                <w:b/>
                <w:bCs/>
                <w:sz w:val="24"/>
              </w:rPr>
            </w:pPr>
            <w:r>
              <w:rPr>
                <w:rFonts w:hint="eastAsia" w:ascii="仿宋" w:hAnsi="仿宋" w:eastAsia="仿宋" w:cs="仿宋"/>
                <w:b/>
                <w:bCs/>
                <w:sz w:val="24"/>
              </w:rPr>
              <w:t>中标原则</w:t>
            </w:r>
          </w:p>
          <w:p>
            <w:pPr>
              <w:overflowPunct w:val="0"/>
              <w:spacing w:line="360" w:lineRule="auto"/>
              <w:jc w:val="center"/>
              <w:rPr>
                <w:rFonts w:ascii="仿宋" w:hAnsi="仿宋" w:eastAsia="仿宋" w:cs="仿宋"/>
                <w:b/>
                <w:bCs/>
                <w:sz w:val="24"/>
              </w:rPr>
            </w:pPr>
          </w:p>
        </w:tc>
        <w:tc>
          <w:tcPr>
            <w:tcW w:w="6839" w:type="dxa"/>
            <w:noWrap/>
            <w:vAlign w:val="center"/>
          </w:tcPr>
          <w:p>
            <w:pPr>
              <w:spacing w:line="360" w:lineRule="auto"/>
              <w:rPr>
                <w:rFonts w:ascii="仿宋" w:hAnsi="仿宋" w:eastAsia="仿宋" w:cs="仿宋"/>
                <w:sz w:val="24"/>
              </w:rPr>
            </w:pPr>
            <w:r>
              <w:rPr>
                <w:rFonts w:hint="eastAsia" w:ascii="仿宋" w:hAnsi="仿宋" w:eastAsia="仿宋" w:cs="仿宋"/>
                <w:sz w:val="24"/>
              </w:rPr>
              <w:t>本项目采用综合评分法。</w:t>
            </w:r>
          </w:p>
          <w:p>
            <w:pPr>
              <w:spacing w:line="360" w:lineRule="auto"/>
              <w:jc w:val="left"/>
              <w:rPr>
                <w:rFonts w:ascii="仿宋" w:hAnsi="仿宋" w:eastAsia="仿宋" w:cs="仿宋"/>
                <w:b/>
                <w:bCs/>
                <w:sz w:val="24"/>
              </w:rPr>
            </w:pPr>
            <w:r>
              <w:rPr>
                <w:rFonts w:hint="eastAsia" w:ascii="仿宋" w:hAnsi="仿宋" w:eastAsia="仿宋" w:cs="仿宋"/>
                <w:sz w:val="24"/>
              </w:rPr>
              <w:t>综合评分法，是指响应文件满足招标文件全部实质性要求且按评审因素的量化指标评审得分最高的供应商为中标候选供应商的评审方法。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7</w:t>
            </w:r>
          </w:p>
        </w:tc>
        <w:tc>
          <w:tcPr>
            <w:tcW w:w="2892" w:type="dxa"/>
            <w:noWrap/>
            <w:vAlign w:val="center"/>
          </w:tcPr>
          <w:p>
            <w:pPr>
              <w:overflowPunct w:val="0"/>
              <w:spacing w:line="360" w:lineRule="auto"/>
              <w:jc w:val="center"/>
              <w:rPr>
                <w:rFonts w:ascii="仿宋" w:hAnsi="仿宋" w:eastAsia="仿宋" w:cs="仿宋"/>
                <w:b/>
                <w:bCs/>
                <w:kern w:val="0"/>
                <w:sz w:val="24"/>
              </w:rPr>
            </w:pPr>
            <w:r>
              <w:rPr>
                <w:rFonts w:hint="eastAsia" w:ascii="仿宋" w:hAnsi="仿宋" w:eastAsia="仿宋" w:cs="仿宋"/>
                <w:b/>
                <w:bCs/>
                <w:sz w:val="24"/>
              </w:rPr>
              <w:t>其他事项</w:t>
            </w:r>
          </w:p>
        </w:tc>
        <w:tc>
          <w:tcPr>
            <w:tcW w:w="6839" w:type="dxa"/>
            <w:noWrap/>
            <w:vAlign w:val="center"/>
          </w:tcPr>
          <w:p>
            <w:pPr>
              <w:spacing w:line="360" w:lineRule="auto"/>
              <w:jc w:val="left"/>
              <w:rPr>
                <w:rFonts w:ascii="仿宋" w:hAnsi="仿宋" w:eastAsia="仿宋" w:cs="仿宋"/>
                <w:sz w:val="24"/>
              </w:rPr>
            </w:pPr>
            <w:r>
              <w:rPr>
                <w:rFonts w:hint="eastAsia" w:ascii="仿宋" w:hAnsi="仿宋" w:eastAsia="仿宋" w:cs="仿宋"/>
                <w:b/>
                <w:bCs/>
                <w:sz w:val="24"/>
                <w:lang w:val="en-US" w:eastAsia="zh-CN"/>
              </w:rPr>
              <w:t>投</w:t>
            </w:r>
            <w:r>
              <w:rPr>
                <w:rFonts w:hint="eastAsia" w:ascii="仿宋" w:hAnsi="仿宋" w:eastAsia="仿宋" w:cs="仿宋"/>
                <w:b/>
                <w:bCs/>
                <w:sz w:val="24"/>
              </w:rPr>
              <w:t>标文件的装订及</w:t>
            </w:r>
            <w:r>
              <w:rPr>
                <w:rFonts w:hint="eastAsia" w:ascii="仿宋" w:hAnsi="仿宋" w:eastAsia="仿宋" w:cs="仿宋"/>
                <w:b/>
                <w:bCs/>
                <w:sz w:val="24"/>
                <w:lang w:val="en-US" w:eastAsia="zh-CN"/>
              </w:rPr>
              <w:t>份数</w:t>
            </w:r>
            <w:r>
              <w:rPr>
                <w:rFonts w:hint="eastAsia" w:ascii="仿宋" w:hAnsi="仿宋" w:eastAsia="仿宋" w:cs="仿宋"/>
                <w:b/>
                <w:bCs/>
                <w:sz w:val="24"/>
              </w:rPr>
              <w:t>要求：</w:t>
            </w:r>
            <w:r>
              <w:rPr>
                <w:rFonts w:hint="eastAsia" w:ascii="仿宋" w:hAnsi="仿宋" w:eastAsia="仿宋" w:cs="仿宋"/>
                <w:sz w:val="24"/>
              </w:rPr>
              <w:t>为了落实政府采购档案管理规定，凡参与本项目的投标</w:t>
            </w:r>
            <w:r>
              <w:rPr>
                <w:rFonts w:hint="eastAsia" w:ascii="仿宋" w:hAnsi="仿宋" w:eastAsia="仿宋" w:cs="仿宋"/>
                <w:sz w:val="24"/>
                <w:lang w:eastAsia="zh-CN"/>
              </w:rPr>
              <w:t>投标人</w:t>
            </w:r>
            <w:r>
              <w:rPr>
                <w:rFonts w:hint="eastAsia" w:ascii="仿宋" w:hAnsi="仿宋" w:eastAsia="仿宋" w:cs="仿宋"/>
                <w:sz w:val="24"/>
              </w:rPr>
              <w:t>需提供纸质版投标文件，中标单位需提供正本一份、副本两份、电子文件存档U盘一份、报价一览表一份。未中标单位需提供正本一份、电子文件存档U盘一份、报价一览表一份。（注：投标文件正本须为彩色打印，并逐页加盖公章；副本为正本的复印件。使用 A4 规格纸张打印（可以双面打印），装订成册（必须胶装），纸质版投标文件须与解密文件内容一致。） 以上资料请于开标结束公示发出后两日内送达我公司（无需密封），</w:t>
            </w:r>
            <w:r>
              <w:rPr>
                <w:rFonts w:hint="eastAsia" w:ascii="仿宋" w:hAnsi="仿宋" w:eastAsia="仿宋" w:cs="仿宋"/>
                <w:b/>
                <w:bCs/>
                <w:sz w:val="24"/>
              </w:rPr>
              <w:t>否则后果自负。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801" w:type="dxa"/>
            <w:noWrap/>
            <w:vAlign w:val="center"/>
          </w:tcPr>
          <w:p>
            <w:pPr>
              <w:overflowPunct w:val="0"/>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8</w:t>
            </w:r>
          </w:p>
        </w:tc>
        <w:tc>
          <w:tcPr>
            <w:tcW w:w="2892" w:type="dxa"/>
            <w:noWrap/>
            <w:vAlign w:val="center"/>
          </w:tcPr>
          <w:p>
            <w:pPr>
              <w:pStyle w:val="5"/>
              <w:ind w:firstLine="964" w:firstLineChars="400"/>
              <w:rPr>
                <w:rFonts w:ascii="仿宋" w:hAnsi="仿宋" w:eastAsia="仿宋" w:cs="仿宋"/>
                <w:b/>
                <w:bCs/>
                <w:sz w:val="24"/>
                <w:szCs w:val="24"/>
              </w:rPr>
            </w:pPr>
            <w:r>
              <w:rPr>
                <w:rFonts w:hint="eastAsia" w:ascii="仿宋" w:hAnsi="仿宋" w:eastAsia="仿宋" w:cs="仿宋"/>
                <w:b/>
                <w:bCs/>
                <w:sz w:val="24"/>
                <w:szCs w:val="24"/>
              </w:rPr>
              <w:t>特别说明</w:t>
            </w:r>
          </w:p>
          <w:p>
            <w:pPr>
              <w:spacing w:line="360" w:lineRule="auto"/>
              <w:ind w:firstLine="472" w:firstLineChars="196"/>
              <w:rPr>
                <w:rFonts w:ascii="仿宋" w:hAnsi="仿宋" w:eastAsia="仿宋" w:cs="仿宋"/>
                <w:b/>
                <w:bCs/>
                <w:sz w:val="24"/>
              </w:rPr>
            </w:pPr>
          </w:p>
        </w:tc>
        <w:tc>
          <w:tcPr>
            <w:tcW w:w="6839" w:type="dxa"/>
          </w:tcPr>
          <w:p>
            <w:pPr>
              <w:pStyle w:val="5"/>
              <w:spacing w:line="360" w:lineRule="auto"/>
              <w:ind w:firstLine="0"/>
              <w:rPr>
                <w:rFonts w:hint="eastAsia" w:ascii="仿宋" w:hAnsi="仿宋" w:eastAsia="仿宋" w:cs="仿宋"/>
                <w:sz w:val="24"/>
                <w:szCs w:val="24"/>
              </w:rPr>
            </w:pPr>
            <w:r>
              <w:rPr>
                <w:rFonts w:hint="eastAsia" w:ascii="仿宋" w:hAnsi="仿宋" w:eastAsia="仿宋" w:cs="仿宋"/>
                <w:sz w:val="24"/>
                <w:szCs w:val="24"/>
              </w:rPr>
              <w:t>1、为保证本项目质量，良好的售后服务，最低报价不作为中标的唯一依据。</w:t>
            </w:r>
          </w:p>
          <w:p>
            <w:pPr>
              <w:pStyle w:val="5"/>
              <w:spacing w:line="360" w:lineRule="auto"/>
              <w:ind w:firstLine="0"/>
              <w:rPr>
                <w:rFonts w:hint="eastAsia" w:ascii="仿宋" w:hAnsi="仿宋" w:eastAsia="仿宋" w:cs="仿宋"/>
                <w:sz w:val="24"/>
                <w:szCs w:val="24"/>
              </w:rPr>
            </w:pPr>
            <w:r>
              <w:rPr>
                <w:rFonts w:hint="eastAsia" w:ascii="仿宋" w:hAnsi="仿宋" w:eastAsia="仿宋" w:cs="仿宋"/>
                <w:sz w:val="24"/>
                <w:szCs w:val="24"/>
              </w:rPr>
              <w:t>2、招标文件中部分加粗、废标、无效标、投标被拒绝字样的条款，为招标的实质性要求和条件，着重提醒各投标人注意，并认真查看招标文件中的每一个条款及要求，因误读招标文件而造成的后果，招标人概不负责。</w:t>
            </w:r>
          </w:p>
          <w:p>
            <w:pPr>
              <w:pStyle w:val="5"/>
              <w:spacing w:line="360" w:lineRule="auto"/>
              <w:ind w:firstLine="0"/>
              <w:rPr>
                <w:rFonts w:hint="eastAsia" w:ascii="仿宋" w:hAnsi="仿宋" w:eastAsia="仿宋" w:cs="仿宋"/>
                <w:sz w:val="24"/>
                <w:szCs w:val="24"/>
              </w:rPr>
            </w:pPr>
            <w:r>
              <w:rPr>
                <w:rFonts w:hint="eastAsia" w:ascii="仿宋" w:hAnsi="仿宋" w:eastAsia="仿宋" w:cs="仿宋"/>
                <w:sz w:val="24"/>
                <w:szCs w:val="24"/>
              </w:rPr>
              <w:t>3、投标文件中有弄虚作假的内容，其投标文件作废。（如假证书、假业绩、隐瞒不良行为记录、夸大荣誉、使用非本单位在职员工的相关证件及不符合招标文件规定的条款等）；在签订合同之前，投标人如发现投标人的投标文件有弄虚作假内容，招标人可拒绝与其签订合同。并将其列入政府采购黑名单库。</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4、本次报价须为人民币报价，包含：产品价、运输费（含装卸费）、检测费、保险费、税费、售后服务、培训费用等货到采购人指定地点的所有费用。采购人不必再单另支付其他任何费用。</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采购人可根据各成交</w:t>
            </w:r>
            <w:r>
              <w:rPr>
                <w:rFonts w:hint="eastAsia" w:ascii="仿宋" w:hAnsi="仿宋" w:eastAsia="仿宋" w:cs="仿宋"/>
                <w:sz w:val="24"/>
                <w:szCs w:val="24"/>
                <w:lang w:eastAsia="zh-CN"/>
              </w:rPr>
              <w:t>投标人</w:t>
            </w:r>
            <w:r>
              <w:rPr>
                <w:rFonts w:hint="eastAsia" w:ascii="仿宋" w:hAnsi="仿宋" w:eastAsia="仿宋" w:cs="仿宋"/>
                <w:sz w:val="24"/>
                <w:szCs w:val="24"/>
              </w:rPr>
              <w:t>生产规模、供货方便程度、产品的社会认可程度及工作需要情况等因素，综合考虑选择成交</w:t>
            </w:r>
            <w:r>
              <w:rPr>
                <w:rFonts w:hint="eastAsia" w:ascii="仿宋" w:hAnsi="仿宋" w:eastAsia="仿宋" w:cs="仿宋"/>
                <w:sz w:val="24"/>
                <w:szCs w:val="24"/>
                <w:lang w:eastAsia="zh-CN"/>
              </w:rPr>
              <w:t>投标人</w:t>
            </w:r>
            <w:r>
              <w:rPr>
                <w:rFonts w:hint="eastAsia" w:ascii="仿宋" w:hAnsi="仿宋" w:eastAsia="仿宋" w:cs="仿宋"/>
                <w:sz w:val="24"/>
                <w:szCs w:val="24"/>
              </w:rPr>
              <w:t>或分配各成交</w:t>
            </w:r>
            <w:r>
              <w:rPr>
                <w:rFonts w:hint="eastAsia" w:ascii="仿宋" w:hAnsi="仿宋" w:eastAsia="仿宋" w:cs="仿宋"/>
                <w:sz w:val="24"/>
                <w:szCs w:val="24"/>
                <w:lang w:eastAsia="zh-CN"/>
              </w:rPr>
              <w:t>投标人</w:t>
            </w:r>
            <w:r>
              <w:rPr>
                <w:rFonts w:hint="eastAsia" w:ascii="仿宋" w:hAnsi="仿宋" w:eastAsia="仿宋" w:cs="仿宋"/>
                <w:sz w:val="24"/>
                <w:szCs w:val="24"/>
              </w:rPr>
              <w:t>的供货比例。</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、成交</w:t>
            </w:r>
            <w:r>
              <w:rPr>
                <w:rFonts w:hint="eastAsia" w:ascii="仿宋" w:hAnsi="仿宋" w:eastAsia="仿宋" w:cs="仿宋"/>
                <w:sz w:val="24"/>
                <w:szCs w:val="24"/>
                <w:lang w:eastAsia="zh-CN"/>
              </w:rPr>
              <w:t>投标人</w:t>
            </w:r>
            <w:r>
              <w:rPr>
                <w:rFonts w:hint="eastAsia" w:ascii="仿宋" w:hAnsi="仿宋" w:eastAsia="仿宋" w:cs="仿宋"/>
                <w:sz w:val="24"/>
                <w:szCs w:val="24"/>
              </w:rPr>
              <w:t>依据采购人实际需求的供货书面通知做出生产安排和供货，擅自生产和供货造成的一切损失由成交</w:t>
            </w:r>
            <w:r>
              <w:rPr>
                <w:rFonts w:hint="eastAsia" w:ascii="仿宋" w:hAnsi="仿宋" w:eastAsia="仿宋" w:cs="仿宋"/>
                <w:sz w:val="24"/>
                <w:szCs w:val="24"/>
                <w:lang w:eastAsia="zh-CN"/>
              </w:rPr>
              <w:t>投标人</w:t>
            </w:r>
            <w:r>
              <w:rPr>
                <w:rFonts w:hint="eastAsia" w:ascii="仿宋" w:hAnsi="仿宋" w:eastAsia="仿宋" w:cs="仿宋"/>
                <w:sz w:val="24"/>
                <w:szCs w:val="24"/>
              </w:rPr>
              <w:t>自行承担。</w:t>
            </w:r>
          </w:p>
          <w:p>
            <w:pPr>
              <w:spacing w:line="360" w:lineRule="auto"/>
            </w:pPr>
            <w:r>
              <w:rPr>
                <w:rFonts w:hint="eastAsia" w:ascii="仿宋" w:hAnsi="仿宋" w:eastAsia="仿宋" w:cs="仿宋"/>
                <w:sz w:val="24"/>
                <w:szCs w:val="24"/>
                <w:lang w:val="en-US" w:eastAsia="zh-CN"/>
              </w:rPr>
              <w:t>7</w:t>
            </w:r>
            <w:r>
              <w:rPr>
                <w:rFonts w:hint="eastAsia" w:ascii="仿宋" w:hAnsi="仿宋" w:eastAsia="仿宋" w:cs="仿宋"/>
                <w:sz w:val="24"/>
                <w:szCs w:val="24"/>
              </w:rPr>
              <w:t>、国家政策调整或取消该招标品种的，该品种将不再列入招标计划或如果已经进行了招标的将作为无效招标处理，由此产生的一切费用和损失由投标人承担，采购人不承担任何责任。投标人在投标之前应当充分考虑这些方面的因素及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5" w:hRule="atLeast"/>
          <w:jc w:val="center"/>
        </w:trPr>
        <w:tc>
          <w:tcPr>
            <w:tcW w:w="10532" w:type="dxa"/>
            <w:gridSpan w:val="3"/>
            <w:tcBorders>
              <w:top w:val="single" w:color="auto" w:sz="6" w:space="0"/>
              <w:left w:val="single" w:color="auto" w:sz="6" w:space="0"/>
              <w:bottom w:val="single" w:color="auto" w:sz="6" w:space="0"/>
              <w:right w:val="single" w:color="auto" w:sz="6" w:space="0"/>
            </w:tcBorders>
            <w:noWrap/>
            <w:vAlign w:val="center"/>
          </w:tcPr>
          <w:p>
            <w:pPr>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r>
              <w:rPr>
                <w:rFonts w:hint="eastAsia" w:ascii="仿宋" w:hAnsi="仿宋" w:eastAsia="仿宋" w:cs="仿宋"/>
                <w:sz w:val="24"/>
                <w:lang w:eastAsia="zh-CN"/>
              </w:rPr>
              <w:t>，</w:t>
            </w:r>
            <w:r>
              <w:rPr>
                <w:rFonts w:hint="eastAsia" w:ascii="仿宋" w:hAnsi="仿宋" w:eastAsia="仿宋" w:cs="仿宋"/>
                <w:sz w:val="24"/>
                <w:lang w:val="en-US" w:eastAsia="zh-CN"/>
              </w:rPr>
              <w:t>凡招标文件要求需盖章签字处均需按文件要求进行签署，进口产品需提供生产厂家授权、质量承诺及背书。</w:t>
            </w:r>
          </w:p>
          <w:p>
            <w:pPr>
              <w:pStyle w:val="5"/>
              <w:spacing w:line="360" w:lineRule="auto"/>
              <w:ind w:left="0" w:leftChars="0" w:firstLine="723" w:firstLineChars="300"/>
            </w:pPr>
            <w:r>
              <w:rPr>
                <w:rFonts w:hint="eastAsia" w:ascii="仿宋" w:hAnsi="仿宋" w:eastAsia="仿宋" w:cs="仿宋"/>
                <w:b/>
                <w:bCs/>
                <w:sz w:val="24"/>
                <w:szCs w:val="24"/>
              </w:rPr>
              <w:t>供应商须知前附表与招标文件正文内容不一致时以供应商须知前附表为准。</w:t>
            </w:r>
          </w:p>
        </w:tc>
      </w:tr>
    </w:tbl>
    <w:p>
      <w:pPr>
        <w:spacing w:line="360" w:lineRule="auto"/>
        <w:jc w:val="center"/>
        <w:rPr>
          <w:rFonts w:ascii="仿宋" w:hAnsi="仿宋" w:eastAsia="仿宋" w:cs="仿宋"/>
          <w:b/>
          <w:sz w:val="28"/>
          <w:szCs w:val="28"/>
        </w:rPr>
      </w:pPr>
    </w:p>
    <w:p>
      <w:pPr>
        <w:spacing w:line="360" w:lineRule="auto"/>
        <w:jc w:val="center"/>
        <w:rPr>
          <w:rFonts w:ascii="仿宋" w:hAnsi="仿宋" w:eastAsia="仿宋" w:cs="仿宋"/>
          <w:b/>
          <w:sz w:val="28"/>
          <w:szCs w:val="28"/>
        </w:rPr>
      </w:pPr>
    </w:p>
    <w:p>
      <w:pPr>
        <w:rPr>
          <w:rFonts w:ascii="仿宋" w:hAnsi="仿宋" w:eastAsia="仿宋" w:cs="仿宋"/>
        </w:rPr>
      </w:pPr>
    </w:p>
    <w:p>
      <w:pPr>
        <w:ind w:firstLine="4216" w:firstLineChars="1500"/>
        <w:rPr>
          <w:rFonts w:ascii="仿宋" w:hAnsi="仿宋" w:eastAsia="仿宋" w:cs="仿宋"/>
          <w:b/>
          <w:sz w:val="32"/>
          <w:szCs w:val="32"/>
        </w:rPr>
      </w:pPr>
      <w:r>
        <w:rPr>
          <w:rFonts w:hint="eastAsia" w:ascii="仿宋" w:hAnsi="仿宋" w:eastAsia="仿宋" w:cs="仿宋"/>
          <w:b/>
          <w:sz w:val="28"/>
          <w:szCs w:val="28"/>
        </w:rPr>
        <w:t>一、总则</w:t>
      </w:r>
      <w:bookmarkEnd w:id="10"/>
      <w:bookmarkEnd w:id="11"/>
    </w:p>
    <w:p>
      <w:pPr>
        <w:spacing w:line="360" w:lineRule="auto"/>
        <w:ind w:firstLine="482" w:firstLineChars="200"/>
        <w:jc w:val="left"/>
        <w:rPr>
          <w:rFonts w:ascii="仿宋" w:hAnsi="仿宋" w:eastAsia="仿宋" w:cs="仿宋"/>
          <w:sz w:val="24"/>
        </w:rPr>
      </w:pPr>
      <w:bookmarkStart w:id="14" w:name="_Toc3132"/>
      <w:r>
        <w:rPr>
          <w:rFonts w:hint="eastAsia" w:ascii="仿宋" w:hAnsi="仿宋" w:eastAsia="仿宋" w:cs="仿宋"/>
          <w:b/>
          <w:bCs/>
          <w:sz w:val="24"/>
        </w:rPr>
        <w:t>（一）采购方式</w:t>
      </w:r>
      <w:bookmarkEnd w:id="14"/>
    </w:p>
    <w:p>
      <w:pPr>
        <w:spacing w:line="360" w:lineRule="auto"/>
        <w:ind w:firstLine="480" w:firstLineChars="200"/>
        <w:rPr>
          <w:rFonts w:ascii="仿宋" w:hAnsi="仿宋" w:eastAsia="仿宋" w:cs="仿宋"/>
          <w:sz w:val="24"/>
        </w:rPr>
      </w:pPr>
      <w:r>
        <w:rPr>
          <w:rFonts w:hint="eastAsia" w:ascii="仿宋" w:hAnsi="仿宋" w:eastAsia="仿宋" w:cs="仿宋"/>
          <w:sz w:val="24"/>
        </w:rPr>
        <w:t>本项目采取公开招标方式采购。</w:t>
      </w:r>
    </w:p>
    <w:p>
      <w:pPr>
        <w:spacing w:line="360" w:lineRule="auto"/>
        <w:ind w:firstLine="482" w:firstLineChars="200"/>
        <w:jc w:val="left"/>
        <w:rPr>
          <w:rFonts w:ascii="仿宋" w:hAnsi="仿宋" w:eastAsia="仿宋" w:cs="仿宋"/>
          <w:b/>
          <w:bCs/>
          <w:sz w:val="24"/>
        </w:rPr>
      </w:pPr>
      <w:bookmarkStart w:id="15" w:name="_Toc23200"/>
      <w:r>
        <w:rPr>
          <w:rFonts w:hint="eastAsia" w:ascii="仿宋" w:hAnsi="仿宋" w:eastAsia="仿宋" w:cs="仿宋"/>
          <w:b/>
          <w:bCs/>
          <w:sz w:val="24"/>
        </w:rPr>
        <w:t>（二）合格的投标人</w:t>
      </w:r>
      <w:bookmarkEnd w:id="15"/>
    </w:p>
    <w:p>
      <w:pPr>
        <w:spacing w:line="360" w:lineRule="auto"/>
        <w:ind w:firstLine="480" w:firstLineChars="200"/>
        <w:rPr>
          <w:rFonts w:ascii="仿宋" w:hAnsi="仿宋" w:eastAsia="仿宋" w:cs="仿宋"/>
          <w:sz w:val="24"/>
        </w:rPr>
      </w:pPr>
      <w:r>
        <w:rPr>
          <w:rFonts w:hint="eastAsia" w:ascii="仿宋" w:hAnsi="仿宋" w:eastAsia="仿宋" w:cs="仿宋"/>
          <w:sz w:val="24"/>
        </w:rPr>
        <w:t>1.1 投标人必须提交能够证明其具有履行本招标项目合同能力的资质证明文件，作为响应文件的一部分。</w:t>
      </w:r>
    </w:p>
    <w:p>
      <w:pPr>
        <w:spacing w:line="360" w:lineRule="auto"/>
        <w:ind w:firstLine="482" w:firstLineChars="200"/>
        <w:rPr>
          <w:rFonts w:ascii="仿宋" w:hAnsi="仿宋" w:eastAsia="仿宋" w:cs="仿宋"/>
          <w:b/>
          <w:sz w:val="24"/>
        </w:rPr>
      </w:pPr>
      <w:r>
        <w:rPr>
          <w:rFonts w:hint="eastAsia" w:ascii="仿宋" w:hAnsi="仿宋" w:eastAsia="仿宋" w:cs="仿宋"/>
          <w:b/>
          <w:sz w:val="24"/>
        </w:rPr>
        <w:t>1.2 响应是资质审查的必备条件。如果不能提供或有缺项则视为对招标文件资格审查内容的不响应，其响应将被拒绝。</w:t>
      </w:r>
    </w:p>
    <w:p>
      <w:pPr>
        <w:spacing w:line="360" w:lineRule="auto"/>
        <w:ind w:firstLine="482" w:firstLineChars="200"/>
        <w:rPr>
          <w:rFonts w:ascii="仿宋" w:hAnsi="仿宋" w:eastAsia="仿宋" w:cs="仿宋"/>
          <w:b/>
          <w:sz w:val="24"/>
        </w:rPr>
      </w:pPr>
      <w:r>
        <w:rPr>
          <w:rFonts w:hint="eastAsia" w:ascii="仿宋" w:hAnsi="仿宋" w:eastAsia="仿宋" w:cs="仿宋"/>
          <w:b/>
          <w:sz w:val="24"/>
        </w:rPr>
        <w:t xml:space="preserve">（1）满足《中华人民共和国政府采购法》第二十二条规定。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（2）网上提交营业执照副本彩色扫描件。</w:t>
      </w:r>
    </w:p>
    <w:p>
      <w:pPr>
        <w:spacing w:line="360" w:lineRule="auto"/>
        <w:ind w:firstLine="482" w:firstLineChars="200"/>
        <w:rPr>
          <w:rFonts w:ascii="仿宋" w:hAnsi="仿宋" w:eastAsia="仿宋" w:cs="仿宋"/>
          <w:b/>
          <w:sz w:val="24"/>
        </w:rPr>
      </w:pPr>
      <w:r>
        <w:rPr>
          <w:rFonts w:hint="eastAsia" w:ascii="仿宋" w:hAnsi="仿宋" w:eastAsia="仿宋" w:cs="仿宋"/>
          <w:b/>
          <w:sz w:val="24"/>
        </w:rPr>
        <w:t>（3）参与投标的法定代表人应提交身份证彩色扫描件及《法定代表人资格证明书》，委托代理人应提交《法人授权委托书》和身份证彩色扫描件。</w:t>
      </w:r>
    </w:p>
    <w:p>
      <w:pPr>
        <w:spacing w:line="360" w:lineRule="auto"/>
        <w:ind w:firstLine="482" w:firstLineChars="200"/>
        <w:rPr>
          <w:rFonts w:ascii="仿宋" w:hAnsi="仿宋" w:eastAsia="仿宋" w:cs="仿宋"/>
          <w:b/>
          <w:sz w:val="24"/>
        </w:rPr>
      </w:pPr>
      <w:r>
        <w:rPr>
          <w:rFonts w:hint="eastAsia" w:ascii="仿宋" w:hAnsi="仿宋" w:eastAsia="仿宋" w:cs="仿宋"/>
          <w:b/>
          <w:sz w:val="24"/>
        </w:rPr>
        <w:t>（4）具有良好的信誉，未被 “信用中国”(www.creditchina.gov.cn) 列入失信被执行人、重大税收违法案件当事人名单</w:t>
      </w:r>
      <w:r>
        <w:rPr>
          <w:rFonts w:hint="eastAsia" w:ascii="仿宋" w:hAnsi="仿宋" w:eastAsia="仿宋" w:cs="仿宋"/>
          <w:b/>
          <w:sz w:val="24"/>
          <w:lang w:eastAsia="zh-CN"/>
        </w:rPr>
        <w:t>、</w:t>
      </w:r>
      <w:r>
        <w:rPr>
          <w:rFonts w:hint="eastAsia" w:ascii="仿宋" w:hAnsi="仿宋" w:eastAsia="仿宋" w:cs="仿宋"/>
          <w:b/>
          <w:bCs/>
          <w:sz w:val="24"/>
          <w:lang w:eastAsia="zh-CN"/>
        </w:rPr>
        <w:t>政府采购严重违法名单</w:t>
      </w:r>
      <w:r>
        <w:rPr>
          <w:rFonts w:hint="eastAsia" w:ascii="仿宋" w:hAnsi="仿宋" w:eastAsia="仿宋" w:cs="仿宋"/>
          <w:b/>
          <w:bCs/>
          <w:sz w:val="24"/>
          <w:lang w:val="en-US" w:eastAsia="zh-CN"/>
        </w:rPr>
        <w:t>查询结果</w:t>
      </w:r>
      <w:r>
        <w:rPr>
          <w:rFonts w:hint="eastAsia" w:ascii="仿宋" w:hAnsi="仿宋" w:eastAsia="仿宋" w:cs="仿宋"/>
          <w:b/>
          <w:sz w:val="24"/>
        </w:rPr>
        <w:t>，未被 “中国政府采购网”（www.ccgp.gov.cn）列入政府采购严重违法失信行为记录名单，查询时间为投标报名开始之日起，网上提交网上查询加盖公章的截图彩色扫描件。</w:t>
      </w:r>
    </w:p>
    <w:p>
      <w:pPr>
        <w:spacing w:line="360" w:lineRule="auto"/>
        <w:ind w:firstLine="482" w:firstLineChars="200"/>
        <w:rPr>
          <w:rFonts w:ascii="仿宋" w:hAnsi="仿宋" w:eastAsia="仿宋" w:cs="仿宋"/>
          <w:b/>
          <w:sz w:val="24"/>
        </w:rPr>
      </w:pPr>
      <w:r>
        <w:rPr>
          <w:rFonts w:hint="eastAsia" w:ascii="仿宋" w:hAnsi="仿宋" w:eastAsia="仿宋" w:cs="仿宋"/>
          <w:b/>
          <w:sz w:val="24"/>
        </w:rPr>
        <w:t>（5）单位负责人为同一人或者存在直接控股、管理关系的不同供应商，不得参加同一合同项下的政府采购活动。</w:t>
      </w:r>
    </w:p>
    <w:p>
      <w:pPr>
        <w:spacing w:line="360" w:lineRule="auto"/>
        <w:ind w:firstLine="482" w:firstLineChars="200"/>
        <w:rPr>
          <w:rFonts w:ascii="仿宋" w:hAnsi="仿宋" w:eastAsia="仿宋" w:cs="仿宋"/>
          <w:sz w:val="24"/>
        </w:rPr>
      </w:pPr>
      <w:r>
        <w:rPr>
          <w:rFonts w:hint="eastAsia" w:ascii="仿宋" w:hAnsi="仿宋" w:eastAsia="仿宋" w:cs="仿宋"/>
          <w:b/>
          <w:sz w:val="24"/>
        </w:rPr>
        <w:t>说明：其中（1）-（4）项为响应时资格审查的必备条件，如果缺项则视为对招标文件资格审查内容的不响应，响应将被拒绝；后续供应商在在线制作响应文件时需对资格审查项进行逐一关联响应。</w:t>
      </w:r>
    </w:p>
    <w:p>
      <w:pPr>
        <w:spacing w:line="360" w:lineRule="auto"/>
        <w:ind w:firstLine="482" w:firstLineChars="200"/>
        <w:jc w:val="left"/>
        <w:rPr>
          <w:rFonts w:ascii="仿宋" w:hAnsi="仿宋" w:eastAsia="仿宋" w:cs="仿宋"/>
          <w:sz w:val="24"/>
        </w:rPr>
      </w:pPr>
      <w:bookmarkStart w:id="16" w:name="_Toc14076"/>
      <w:r>
        <w:rPr>
          <w:rFonts w:hint="eastAsia" w:ascii="仿宋" w:hAnsi="仿宋" w:eastAsia="仿宋" w:cs="仿宋"/>
          <w:b/>
          <w:bCs/>
          <w:sz w:val="24"/>
        </w:rPr>
        <w:t>（三）适用法律</w:t>
      </w:r>
      <w:bookmarkEnd w:id="16"/>
    </w:p>
    <w:p>
      <w:pPr>
        <w:pStyle w:val="9"/>
        <w:spacing w:line="360" w:lineRule="auto"/>
        <w:ind w:firstLine="480" w:firstLineChars="200"/>
        <w:rPr>
          <w:rFonts w:ascii="仿宋" w:hAnsi="仿宋" w:eastAsia="仿宋" w:cs="仿宋"/>
          <w:sz w:val="24"/>
        </w:rPr>
      </w:pPr>
      <w:r>
        <w:rPr>
          <w:rFonts w:hint="eastAsia" w:ascii="仿宋" w:hAnsi="仿宋" w:eastAsia="仿宋" w:cs="仿宋"/>
          <w:sz w:val="24"/>
        </w:rPr>
        <w:t>本次评标及由本次评标产生的合同受中华人民共和国的相关法律、法规制约和保护。</w:t>
      </w:r>
    </w:p>
    <w:p>
      <w:pPr>
        <w:spacing w:line="360" w:lineRule="auto"/>
        <w:ind w:firstLine="482" w:firstLineChars="200"/>
        <w:jc w:val="left"/>
        <w:rPr>
          <w:rFonts w:ascii="仿宋" w:hAnsi="仿宋" w:eastAsia="仿宋" w:cs="仿宋"/>
          <w:sz w:val="24"/>
        </w:rPr>
      </w:pPr>
      <w:bookmarkStart w:id="17" w:name="_Toc24127"/>
      <w:r>
        <w:rPr>
          <w:rFonts w:hint="eastAsia" w:ascii="仿宋" w:hAnsi="仿宋" w:eastAsia="仿宋" w:cs="仿宋"/>
          <w:b/>
          <w:bCs/>
          <w:sz w:val="24"/>
        </w:rPr>
        <w:t>（四）招标费用</w:t>
      </w:r>
      <w:bookmarkEnd w:id="17"/>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投标人应自行承担所有参加评标有关的费用。</w:t>
      </w:r>
    </w:p>
    <w:p>
      <w:pPr>
        <w:spacing w:line="360" w:lineRule="auto"/>
        <w:ind w:firstLine="482" w:firstLineChars="200"/>
        <w:jc w:val="left"/>
        <w:rPr>
          <w:rFonts w:ascii="仿宋" w:hAnsi="仿宋" w:eastAsia="仿宋" w:cs="仿宋"/>
          <w:sz w:val="24"/>
        </w:rPr>
      </w:pPr>
      <w:bookmarkStart w:id="18" w:name="_Toc15005"/>
      <w:r>
        <w:rPr>
          <w:rFonts w:hint="eastAsia" w:ascii="仿宋" w:hAnsi="仿宋" w:eastAsia="仿宋" w:cs="仿宋"/>
          <w:b/>
          <w:bCs/>
          <w:sz w:val="24"/>
        </w:rPr>
        <w:t>（五）招标文件的约束力</w:t>
      </w:r>
      <w:bookmarkEnd w:id="18"/>
    </w:p>
    <w:p>
      <w:pPr>
        <w:spacing w:line="360" w:lineRule="auto"/>
        <w:ind w:firstLine="480" w:firstLineChars="200"/>
        <w:rPr>
          <w:rFonts w:ascii="仿宋" w:hAnsi="仿宋" w:eastAsia="仿宋" w:cs="仿宋"/>
          <w:sz w:val="24"/>
        </w:rPr>
      </w:pPr>
      <w:r>
        <w:rPr>
          <w:rFonts w:hint="eastAsia" w:ascii="仿宋" w:hAnsi="仿宋" w:eastAsia="仿宋" w:cs="仿宋"/>
          <w:sz w:val="24"/>
        </w:rPr>
        <w:t>投标人一旦报名参加本项目投标，即被认为接受了本招标文件中的所有条件和规定。</w:t>
      </w:r>
    </w:p>
    <w:p>
      <w:pPr>
        <w:spacing w:line="360" w:lineRule="auto"/>
        <w:ind w:firstLine="562" w:firstLineChars="200"/>
        <w:jc w:val="center"/>
        <w:outlineLvl w:val="1"/>
        <w:rPr>
          <w:rFonts w:ascii="仿宋" w:hAnsi="仿宋" w:eastAsia="仿宋" w:cs="仿宋"/>
          <w:b/>
          <w:sz w:val="28"/>
          <w:szCs w:val="28"/>
        </w:rPr>
      </w:pPr>
      <w:bookmarkStart w:id="19" w:name="_Toc22908"/>
      <w:bookmarkStart w:id="20" w:name="_Toc26674"/>
    </w:p>
    <w:p>
      <w:pPr>
        <w:spacing w:line="360" w:lineRule="auto"/>
        <w:ind w:firstLine="562" w:firstLineChars="200"/>
        <w:jc w:val="center"/>
        <w:outlineLvl w:val="1"/>
        <w:rPr>
          <w:rFonts w:ascii="仿宋" w:hAnsi="仿宋" w:eastAsia="仿宋" w:cs="仿宋"/>
          <w:b/>
          <w:sz w:val="28"/>
          <w:szCs w:val="28"/>
        </w:rPr>
      </w:pPr>
    </w:p>
    <w:p>
      <w:pPr>
        <w:spacing w:line="360" w:lineRule="auto"/>
        <w:ind w:firstLine="562" w:firstLineChars="200"/>
        <w:jc w:val="center"/>
        <w:outlineLvl w:val="1"/>
        <w:rPr>
          <w:rFonts w:ascii="仿宋" w:hAnsi="仿宋" w:eastAsia="仿宋" w:cs="仿宋"/>
          <w:b/>
          <w:sz w:val="28"/>
          <w:szCs w:val="28"/>
        </w:rPr>
      </w:pPr>
    </w:p>
    <w:p>
      <w:pPr>
        <w:spacing w:line="360" w:lineRule="auto"/>
        <w:ind w:firstLine="562" w:firstLineChars="200"/>
        <w:jc w:val="center"/>
        <w:outlineLvl w:val="1"/>
        <w:rPr>
          <w:rFonts w:ascii="仿宋" w:hAnsi="仿宋" w:eastAsia="仿宋" w:cs="仿宋"/>
          <w:b/>
          <w:sz w:val="32"/>
          <w:szCs w:val="32"/>
        </w:rPr>
      </w:pPr>
      <w:r>
        <w:rPr>
          <w:rFonts w:hint="eastAsia" w:ascii="仿宋" w:hAnsi="仿宋" w:eastAsia="仿宋" w:cs="仿宋"/>
          <w:b/>
          <w:sz w:val="28"/>
          <w:szCs w:val="28"/>
        </w:rPr>
        <w:t>二、招标文件</w:t>
      </w:r>
      <w:bookmarkEnd w:id="19"/>
      <w:bookmarkEnd w:id="20"/>
    </w:p>
    <w:p>
      <w:pPr>
        <w:spacing w:line="360" w:lineRule="auto"/>
        <w:ind w:firstLine="482" w:firstLineChars="200"/>
        <w:jc w:val="left"/>
        <w:rPr>
          <w:rFonts w:ascii="仿宋" w:hAnsi="仿宋" w:eastAsia="仿宋" w:cs="仿宋"/>
          <w:sz w:val="24"/>
        </w:rPr>
      </w:pPr>
      <w:bookmarkStart w:id="21" w:name="_Toc8615"/>
      <w:r>
        <w:rPr>
          <w:rFonts w:hint="eastAsia" w:ascii="仿宋" w:hAnsi="仿宋" w:eastAsia="仿宋" w:cs="仿宋"/>
          <w:b/>
          <w:bCs/>
          <w:sz w:val="24"/>
        </w:rPr>
        <w:t>（六）招标文件构成</w:t>
      </w:r>
      <w:bookmarkEnd w:id="21"/>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招标公告；</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投标人须知；</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授予合同；</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技术要求；</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附件。</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投标人获取招标文件后，应仔细检查招标文件页数和附件数量，如发现有缺漏，请及时与采购人联系补全。如果投标人不按上述要求操作而造成不良后果，采购人不承担责任。</w:t>
      </w:r>
    </w:p>
    <w:p>
      <w:pPr>
        <w:spacing w:line="360" w:lineRule="auto"/>
        <w:ind w:firstLine="482" w:firstLineChars="200"/>
        <w:rPr>
          <w:rFonts w:ascii="仿宋" w:hAnsi="仿宋" w:eastAsia="仿宋" w:cs="仿宋"/>
          <w:sz w:val="24"/>
        </w:rPr>
      </w:pPr>
      <w:bookmarkStart w:id="22" w:name="_Toc22722"/>
      <w:r>
        <w:rPr>
          <w:rFonts w:hint="eastAsia" w:ascii="仿宋" w:hAnsi="仿宋" w:eastAsia="仿宋" w:cs="仿宋"/>
          <w:b/>
          <w:bCs/>
          <w:sz w:val="24"/>
        </w:rPr>
        <w:t>（七）招标文件的</w:t>
      </w:r>
      <w:bookmarkEnd w:id="22"/>
      <w:r>
        <w:rPr>
          <w:rFonts w:hint="eastAsia" w:ascii="仿宋" w:hAnsi="仿宋" w:eastAsia="仿宋" w:cs="仿宋"/>
          <w:b/>
          <w:bCs/>
          <w:sz w:val="24"/>
        </w:rPr>
        <w:t>澄清</w:t>
      </w:r>
    </w:p>
    <w:p>
      <w:pPr>
        <w:spacing w:line="360" w:lineRule="auto"/>
        <w:ind w:firstLine="480" w:firstLineChars="200"/>
        <w:jc w:val="left"/>
        <w:rPr>
          <w:rFonts w:ascii="仿宋" w:hAnsi="仿宋" w:eastAsia="仿宋" w:cs="仿宋"/>
          <w:sz w:val="24"/>
        </w:rPr>
      </w:pPr>
      <w:bookmarkStart w:id="23" w:name="_Toc19148"/>
      <w:r>
        <w:rPr>
          <w:rFonts w:hint="eastAsia" w:ascii="仿宋" w:hAnsi="仿宋" w:eastAsia="仿宋" w:cs="仿宋"/>
          <w:sz w:val="24"/>
        </w:rPr>
        <w:t>1、询问：投标人对招标文件提出询问的，应在开标截止时间</w:t>
      </w:r>
      <w:r>
        <w:rPr>
          <w:rFonts w:hint="eastAsia" w:ascii="仿宋" w:hAnsi="仿宋" w:eastAsia="仿宋" w:cs="仿宋"/>
          <w:sz w:val="24"/>
          <w:lang w:val="en-US" w:eastAsia="zh-CN"/>
        </w:rPr>
        <w:t>十</w:t>
      </w:r>
      <w:r>
        <w:rPr>
          <w:rFonts w:hint="eastAsia" w:ascii="仿宋" w:hAnsi="仿宋" w:eastAsia="仿宋" w:cs="仿宋"/>
          <w:sz w:val="24"/>
        </w:rPr>
        <w:t>日前提出书面询问或发邮到：新疆凌云天成工程管理咨询有限公司（书面询问必须要有投标人的公司章印及法人章印、联系人及联系电话和电话告知已发询问或质疑等。否则，不予回复）。</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2、答询: 采购代理机构将在收到询问函后3个工作日以电子邮件回复给询问人，或在指定媒体上发布答复，并视为本招标文件的组成部分。</w:t>
      </w:r>
    </w:p>
    <w:p>
      <w:pPr>
        <w:spacing w:line="360" w:lineRule="auto"/>
        <w:ind w:firstLine="480" w:firstLineChars="200"/>
        <w:jc w:val="left"/>
        <w:rPr>
          <w:rFonts w:ascii="仿宋" w:hAnsi="仿宋" w:eastAsia="仿宋" w:cs="仿宋"/>
        </w:rPr>
      </w:pPr>
      <w:r>
        <w:rPr>
          <w:rFonts w:hint="eastAsia" w:ascii="仿宋" w:hAnsi="仿宋" w:eastAsia="仿宋" w:cs="仿宋"/>
          <w:sz w:val="24"/>
        </w:rPr>
        <w:t>3、通知：开标截止时间</w:t>
      </w:r>
      <w:r>
        <w:rPr>
          <w:rFonts w:hint="eastAsia" w:ascii="仿宋" w:hAnsi="仿宋" w:eastAsia="仿宋" w:cs="仿宋"/>
          <w:sz w:val="24"/>
          <w:lang w:val="en-US" w:eastAsia="zh-CN"/>
        </w:rPr>
        <w:t>十</w:t>
      </w:r>
      <w:r>
        <w:rPr>
          <w:rFonts w:hint="eastAsia" w:ascii="仿宋" w:hAnsi="仿宋" w:eastAsia="仿宋" w:cs="仿宋"/>
          <w:sz w:val="24"/>
        </w:rPr>
        <w:t>日前（特殊情况除外），在指定媒体发布通知。</w:t>
      </w:r>
    </w:p>
    <w:p>
      <w:p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（八）招标文件的修改</w:t>
      </w:r>
      <w:bookmarkEnd w:id="23"/>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1、在投标文件接收截止日期前，采购人可以更正公告或补充文件的形式对招标文件进行修改。</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2、招标文件的修改将以书面形式通知所有已报名投标人，并对投标人具有约束力。投标人收到修改文件后，应于1个工作日内回复代理机构，逾期不回的，视同已收。</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3、为使投标人有充分的时间对招标文件的修改部分进行分析、研究，采购人和代理机构有权推迟投标文件接收截止日期和评标时间，并将此变更书面通知所有购买招标文件的投标人。</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4、代理机构发出的所有补充、修改和变更文件均作为招标文件的组成部分，与招标文件具有同等法律效力。</w:t>
      </w:r>
    </w:p>
    <w:p>
      <w:pPr>
        <w:spacing w:line="360" w:lineRule="auto"/>
        <w:ind w:firstLine="562" w:firstLineChars="200"/>
        <w:jc w:val="center"/>
        <w:outlineLvl w:val="1"/>
        <w:rPr>
          <w:rFonts w:ascii="仿宋" w:hAnsi="仿宋" w:eastAsia="仿宋" w:cs="仿宋"/>
          <w:b/>
          <w:sz w:val="28"/>
          <w:szCs w:val="28"/>
        </w:rPr>
      </w:pPr>
      <w:bookmarkStart w:id="24" w:name="_Toc13840"/>
      <w:bookmarkStart w:id="25" w:name="_Toc7177"/>
      <w:r>
        <w:rPr>
          <w:rFonts w:hint="eastAsia" w:ascii="仿宋" w:hAnsi="仿宋" w:eastAsia="仿宋" w:cs="仿宋"/>
          <w:b/>
          <w:sz w:val="28"/>
          <w:szCs w:val="28"/>
        </w:rPr>
        <w:t>三、投标文件的编制</w:t>
      </w:r>
      <w:bookmarkEnd w:id="24"/>
      <w:bookmarkEnd w:id="25"/>
    </w:p>
    <w:p>
      <w:pPr>
        <w:spacing w:line="360" w:lineRule="auto"/>
        <w:ind w:firstLine="482" w:firstLineChars="200"/>
        <w:jc w:val="left"/>
        <w:rPr>
          <w:rFonts w:ascii="仿宋" w:hAnsi="仿宋" w:eastAsia="仿宋" w:cs="仿宋"/>
          <w:b/>
          <w:bCs/>
          <w:sz w:val="24"/>
        </w:rPr>
      </w:pPr>
      <w:bookmarkStart w:id="26" w:name="_Toc10740"/>
      <w:r>
        <w:rPr>
          <w:rFonts w:hint="eastAsia" w:ascii="仿宋" w:hAnsi="仿宋" w:eastAsia="仿宋" w:cs="仿宋"/>
          <w:b/>
          <w:bCs/>
          <w:sz w:val="24"/>
        </w:rPr>
        <w:t>（九）投标文件的编制要求</w:t>
      </w:r>
      <w:bookmarkEnd w:id="26"/>
    </w:p>
    <w:p>
      <w:pPr>
        <w:spacing w:line="360" w:lineRule="auto"/>
        <w:ind w:firstLine="480" w:firstLineChars="200"/>
        <w:rPr>
          <w:rFonts w:ascii="仿宋" w:hAnsi="仿宋" w:eastAsia="仿宋" w:cs="仿宋"/>
          <w:sz w:val="24"/>
          <w:u w:val="single"/>
        </w:rPr>
      </w:pPr>
      <w:r>
        <w:rPr>
          <w:rFonts w:hint="eastAsia" w:ascii="仿宋" w:hAnsi="仿宋" w:eastAsia="仿宋" w:cs="仿宋"/>
          <w:sz w:val="24"/>
        </w:rPr>
        <w:t>投标人应仔细阅读“招标文件”的所有内容，投标文件应用中文编写。投标文件的书面内容不得有加行、涂抹或改写。投标文件应当采用书面方式；采购人及招标代理机构不接受电报、电话、传真投标。投标人应按“招标文件”的要求编制“投标文件”，并保证所提供的全部资料的真实性、完整性及有效性，以使其投标对“招标文件”作出实质性响应。否则，投标文件可能被拒绝。</w:t>
      </w:r>
      <w:r>
        <w:rPr>
          <w:rFonts w:hint="eastAsia" w:ascii="仿宋" w:hAnsi="仿宋" w:eastAsia="仿宋" w:cs="仿宋"/>
          <w:sz w:val="24"/>
          <w:u w:val="single"/>
        </w:rPr>
        <w:t>对同一标段以同一投标人名义，递送两套或以上的投标文件，其投标无效。</w:t>
      </w:r>
    </w:p>
    <w:p>
      <w:pPr>
        <w:spacing w:line="360" w:lineRule="auto"/>
        <w:ind w:firstLine="482" w:firstLineChars="200"/>
        <w:jc w:val="left"/>
        <w:rPr>
          <w:rFonts w:ascii="仿宋" w:hAnsi="仿宋" w:eastAsia="仿宋" w:cs="仿宋"/>
          <w:sz w:val="24"/>
        </w:rPr>
      </w:pPr>
      <w:bookmarkStart w:id="27" w:name="_Toc21565"/>
      <w:r>
        <w:rPr>
          <w:rFonts w:hint="eastAsia" w:ascii="仿宋" w:hAnsi="仿宋" w:eastAsia="仿宋" w:cs="仿宋"/>
          <w:b/>
          <w:bCs/>
          <w:sz w:val="24"/>
        </w:rPr>
        <w:t>（十）投标文件构成</w:t>
      </w:r>
      <w:bookmarkEnd w:id="27"/>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  标  函</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法定代表人身份证明或法定代表人授权委托书</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报 价 一 览 表</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明细报价表</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供应商基本情况</w:t>
      </w:r>
    </w:p>
    <w:p>
      <w:pPr>
        <w:pStyle w:val="22"/>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投标人近三年项目业绩表</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商务条款偏离表</w:t>
      </w:r>
    </w:p>
    <w:p>
      <w:pPr>
        <w:spacing w:line="360" w:lineRule="auto"/>
        <w:ind w:right="-334" w:rightChars="-159"/>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供应商履行合同所必须的设备和专业技术能力的证明材料或声明</w:t>
      </w:r>
    </w:p>
    <w:p>
      <w:pPr>
        <w:spacing w:line="360" w:lineRule="auto"/>
        <w:ind w:right="-334" w:rightChars="-159"/>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参加政府采购活动前3年内在经营活动中没有重大违法记录的书面声明</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信用查询</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限制行为</w:t>
      </w:r>
    </w:p>
    <w:p>
      <w:pPr>
        <w:pStyle w:val="7"/>
        <w:spacing w:line="360" w:lineRule="auto"/>
        <w:ind w:firstLine="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中小企业声明函（符合本声明函填写）</w:t>
      </w:r>
    </w:p>
    <w:p>
      <w:pPr>
        <w:pStyle w:val="7"/>
        <w:spacing w:line="360" w:lineRule="auto"/>
        <w:ind w:firstLine="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残疾人福利性单位声明函（符合本声明函填写）</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t>本项目拟投入人员情况表</w:t>
      </w:r>
      <w:r>
        <w:rPr>
          <w:rFonts w:hint="eastAsia" w:ascii="仿宋" w:hAnsi="仿宋" w:eastAsia="仿宋" w:cs="仿宋"/>
          <w:color w:val="000000" w:themeColor="text1"/>
          <w:sz w:val="24"/>
          <w:szCs w:val="24"/>
          <w14:textFill>
            <w14:solidFill>
              <w14:schemeClr w14:val="tx1"/>
            </w14:solidFill>
          </w14:textFill>
        </w:rPr>
        <w:t>技术服务人员一览表</w:t>
      </w:r>
    </w:p>
    <w:p>
      <w:pPr>
        <w:spacing w:line="360" w:lineRule="auto"/>
        <w:ind w:right="-334" w:rightChars="-159"/>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反商业贿赂承诺书</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技术条款偏差表</w:t>
      </w:r>
    </w:p>
    <w:p>
      <w:pPr>
        <w:spacing w:line="360" w:lineRule="auto"/>
        <w:jc w:val="left"/>
        <w:rPr>
          <w:rFonts w:ascii="仿宋" w:hAnsi="仿宋" w:eastAsia="仿宋" w:cs="仿宋"/>
          <w:sz w:val="24"/>
          <w:szCs w:val="24"/>
        </w:rPr>
      </w:pPr>
      <w:r>
        <w:rPr>
          <w:rFonts w:hint="eastAsia" w:ascii="仿宋" w:hAnsi="仿宋" w:eastAsia="仿宋" w:cs="仿宋"/>
          <w:sz w:val="24"/>
          <w:szCs w:val="24"/>
        </w:rPr>
        <w:t>投标保证金缴纳凭证</w:t>
      </w:r>
    </w:p>
    <w:p>
      <w:pPr>
        <w:spacing w:line="360" w:lineRule="auto"/>
        <w:jc w:val="left"/>
        <w:rPr>
          <w:rFonts w:ascii="仿宋" w:hAnsi="仿宋" w:eastAsia="仿宋" w:cs="仿宋"/>
          <w:sz w:val="24"/>
          <w:szCs w:val="24"/>
        </w:rPr>
      </w:pPr>
      <w:r>
        <w:rPr>
          <w:rFonts w:hint="eastAsia" w:ascii="仿宋" w:hAnsi="仿宋" w:eastAsia="仿宋" w:cs="仿宋"/>
          <w:sz w:val="24"/>
          <w:szCs w:val="24"/>
        </w:rPr>
        <w:t>关于资格的声明函</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附表十七：所投产品彩页及详细描述、进口产品需提供授权</w:t>
      </w:r>
    </w:p>
    <w:p>
      <w:pPr>
        <w:spacing w:line="360" w:lineRule="auto"/>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附表十八：售后服务方案（包含但不限于安装方案，安装进度、售后服务、应急响应、培训方案）</w:t>
      </w:r>
    </w:p>
    <w:p>
      <w:pPr>
        <w:spacing w:line="360" w:lineRule="auto"/>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附表十九：方案与技术措施、施工准备、施工现场管理、施工总平面图、施工进度计划、施工进度保证措施、安全生产措施、设备供货安装、培训计划（第二包需提供）</w:t>
      </w:r>
    </w:p>
    <w:p>
      <w:pPr>
        <w:spacing w:line="360" w:lineRule="auto"/>
        <w:jc w:val="left"/>
        <w:rPr>
          <w:sz w:val="24"/>
          <w:szCs w:val="24"/>
        </w:rPr>
      </w:pPr>
      <w:r>
        <w:rPr>
          <w:rFonts w:hint="eastAsia" w:ascii="仿宋" w:hAnsi="仿宋" w:eastAsia="仿宋" w:cs="仿宋"/>
          <w:color w:val="000000" w:themeColor="text1"/>
          <w:sz w:val="24"/>
          <w:szCs w:val="24"/>
          <w14:textFill>
            <w14:solidFill>
              <w14:schemeClr w14:val="tx1"/>
            </w14:solidFill>
          </w14:textFill>
        </w:rPr>
        <w:t>其它资料（根据招标文件的要求和投标人认为需要提供的资料）</w:t>
      </w:r>
    </w:p>
    <w:p>
      <w:pPr>
        <w:spacing w:line="360" w:lineRule="auto"/>
        <w:ind w:firstLine="482" w:firstLineChars="200"/>
        <w:jc w:val="left"/>
        <w:rPr>
          <w:rFonts w:ascii="仿宋" w:hAnsi="仿宋" w:eastAsia="仿宋" w:cs="仿宋"/>
          <w:b/>
          <w:iCs/>
          <w:sz w:val="24"/>
          <w:u w:val="single"/>
        </w:rPr>
      </w:pPr>
      <w:r>
        <w:rPr>
          <w:rFonts w:hint="eastAsia" w:ascii="仿宋" w:hAnsi="仿宋" w:eastAsia="仿宋" w:cs="仿宋"/>
          <w:b/>
          <w:bCs/>
          <w:iCs/>
          <w:sz w:val="24"/>
          <w:u w:val="single"/>
        </w:rPr>
        <w:t>注：以上材料须加盖单位公章，</w:t>
      </w:r>
      <w:r>
        <w:rPr>
          <w:rFonts w:hint="eastAsia" w:ascii="仿宋" w:hAnsi="仿宋" w:eastAsia="仿宋" w:cs="仿宋"/>
          <w:b/>
          <w:iCs/>
          <w:sz w:val="24"/>
          <w:u w:val="single"/>
        </w:rPr>
        <w:t>投标人需将投标文件按上述顺序装订成册。</w:t>
      </w:r>
    </w:p>
    <w:p>
      <w:pPr>
        <w:spacing w:line="360" w:lineRule="auto"/>
        <w:ind w:firstLine="482" w:firstLineChars="200"/>
        <w:jc w:val="left"/>
        <w:rPr>
          <w:rFonts w:ascii="仿宋" w:hAnsi="仿宋" w:eastAsia="仿宋" w:cs="仿宋"/>
          <w:sz w:val="24"/>
        </w:rPr>
      </w:pPr>
      <w:bookmarkStart w:id="28" w:name="_Toc21791"/>
      <w:r>
        <w:rPr>
          <w:rFonts w:hint="eastAsia" w:ascii="仿宋" w:hAnsi="仿宋" w:eastAsia="仿宋" w:cs="仿宋"/>
          <w:b/>
          <w:bCs/>
          <w:sz w:val="24"/>
        </w:rPr>
        <w:t>（十一）投标文件格式</w:t>
      </w:r>
      <w:bookmarkEnd w:id="28"/>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投标人需按照上述投标文件构成顺序编制投标文件，并按招标文件中提供的格式填写投标函、授权委托书、报价一览表等材料。</w:t>
      </w:r>
    </w:p>
    <w:p>
      <w:pPr>
        <w:spacing w:line="360" w:lineRule="auto"/>
        <w:ind w:firstLine="482" w:firstLineChars="200"/>
        <w:rPr>
          <w:rFonts w:ascii="仿宋" w:hAnsi="仿宋" w:eastAsia="仿宋" w:cs="仿宋"/>
          <w:sz w:val="24"/>
        </w:rPr>
      </w:pPr>
      <w:bookmarkStart w:id="29" w:name="_Toc32746"/>
      <w:r>
        <w:rPr>
          <w:rFonts w:hint="eastAsia" w:ascii="仿宋" w:hAnsi="仿宋" w:eastAsia="仿宋" w:cs="仿宋"/>
          <w:b/>
          <w:bCs/>
          <w:sz w:val="24"/>
        </w:rPr>
        <w:t>（十二）</w:t>
      </w:r>
      <w:r>
        <w:rPr>
          <w:rFonts w:hint="eastAsia" w:ascii="仿宋" w:hAnsi="仿宋" w:eastAsia="仿宋" w:cs="仿宋"/>
          <w:b/>
          <w:sz w:val="24"/>
        </w:rPr>
        <w:t>中标服务费</w:t>
      </w:r>
      <w:bookmarkEnd w:id="29"/>
    </w:p>
    <w:p>
      <w:pPr>
        <w:pStyle w:val="23"/>
        <w:spacing w:line="360" w:lineRule="auto"/>
        <w:ind w:right="-13" w:rightChars="-6" w:firstLine="588" w:firstLineChars="245"/>
        <w:rPr>
          <w:rFonts w:ascii="仿宋" w:hAnsi="仿宋" w:eastAsia="仿宋" w:cs="仿宋"/>
          <w:sz w:val="24"/>
        </w:rPr>
      </w:pPr>
      <w:r>
        <w:rPr>
          <w:rFonts w:hint="eastAsia" w:ascii="仿宋" w:hAnsi="仿宋" w:eastAsia="仿宋" w:cs="仿宋"/>
          <w:sz w:val="24"/>
        </w:rPr>
        <w:t>中标人应向新疆凌云天成工程管理咨询有限公司交纳中标服务费。</w:t>
      </w:r>
      <w:bookmarkStart w:id="30" w:name="_Toc9968"/>
    </w:p>
    <w:p>
      <w:pPr>
        <w:spacing w:line="360" w:lineRule="auto"/>
        <w:ind w:firstLine="482" w:firstLineChars="200"/>
        <w:rPr>
          <w:rFonts w:ascii="仿宋" w:hAnsi="仿宋" w:eastAsia="仿宋" w:cs="仿宋"/>
          <w:sz w:val="24"/>
        </w:rPr>
      </w:pPr>
      <w:r>
        <w:rPr>
          <w:rFonts w:hint="eastAsia" w:ascii="仿宋" w:hAnsi="仿宋" w:eastAsia="仿宋" w:cs="仿宋"/>
          <w:b/>
          <w:bCs/>
          <w:sz w:val="24"/>
        </w:rPr>
        <w:t>（十三）投标保证金</w:t>
      </w:r>
      <w:bookmarkEnd w:id="30"/>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1、投标人需提交投标保证金（须在投标文件接收截止时间前到</w:t>
      </w:r>
      <w:r>
        <w:rPr>
          <w:rFonts w:hint="eastAsia" w:ascii="仿宋" w:hAnsi="仿宋" w:eastAsia="仿宋" w:cs="仿宋"/>
          <w:sz w:val="24"/>
          <w:lang w:val="en-US" w:eastAsia="zh-CN"/>
        </w:rPr>
        <w:t>账</w:t>
      </w:r>
      <w:r>
        <w:rPr>
          <w:rFonts w:hint="eastAsia" w:ascii="仿宋" w:hAnsi="仿宋" w:eastAsia="仿宋" w:cs="仿宋"/>
          <w:sz w:val="24"/>
        </w:rPr>
        <w:t>，投标保证金额、银行账号见前附表），并作为投标组成部分之一。</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2、对于未按要求提交投标保证金的，将被视为非响应性投标而予以拒绝。</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3、下列任何情况发生时，投标保证金将被没收:</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（1）投标人在投标</w:t>
      </w:r>
      <w:r>
        <w:rPr>
          <w:rFonts w:hint="eastAsia" w:ascii="仿宋" w:hAnsi="仿宋" w:eastAsia="仿宋" w:cs="仿宋"/>
          <w:sz w:val="24"/>
          <w:lang w:val="en-US" w:eastAsia="zh-CN"/>
        </w:rPr>
        <w:t>文件</w:t>
      </w:r>
      <w:r>
        <w:rPr>
          <w:rFonts w:hint="eastAsia" w:ascii="仿宋" w:hAnsi="仿宋" w:eastAsia="仿宋" w:cs="仿宋"/>
          <w:sz w:val="24"/>
        </w:rPr>
        <w:t>有效期内撤回其投标文件的；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（2）中标人未在规定期限内及时签订项目合同的；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（3）其它违反政府采购法律法规的有关情况。</w:t>
      </w:r>
    </w:p>
    <w:p>
      <w:pPr>
        <w:spacing w:line="360" w:lineRule="auto"/>
        <w:ind w:firstLine="482" w:firstLineChars="200"/>
        <w:rPr>
          <w:rFonts w:ascii="仿宋" w:hAnsi="仿宋" w:eastAsia="仿宋" w:cs="仿宋"/>
          <w:sz w:val="24"/>
        </w:rPr>
      </w:pPr>
      <w:r>
        <w:rPr>
          <w:rFonts w:hint="eastAsia" w:ascii="仿宋" w:hAnsi="仿宋" w:eastAsia="仿宋" w:cs="仿宋"/>
          <w:b/>
          <w:bCs/>
          <w:sz w:val="24"/>
        </w:rPr>
        <w:t>履约保证金：</w:t>
      </w:r>
    </w:p>
    <w:p>
      <w:pPr>
        <w:pStyle w:val="6"/>
        <w:spacing w:line="360" w:lineRule="auto"/>
        <w:ind w:left="239" w:leftChars="114" w:firstLine="480" w:firstLineChars="200"/>
        <w:rPr>
          <w:rFonts w:ascii="仿宋" w:hAnsi="仿宋" w:eastAsia="仿宋" w:cs="仿宋"/>
        </w:rPr>
      </w:pPr>
      <w:r>
        <w:rPr>
          <w:rFonts w:hint="eastAsia" w:ascii="仿宋" w:hAnsi="仿宋" w:eastAsia="仿宋" w:cs="仿宋"/>
          <w:szCs w:val="24"/>
        </w:rPr>
        <w:t>中标人投标保证金转为履约保证金，合同执行完毕之后退回，（需携带原始交款凭据、采购单位出具的“验收合格”证明资料、开户银行许可证复印件等资料办理退付手续）。</w:t>
      </w:r>
    </w:p>
    <w:p>
      <w:pPr>
        <w:spacing w:line="360" w:lineRule="auto"/>
        <w:ind w:firstLine="236" w:firstLineChars="98"/>
        <w:jc w:val="left"/>
        <w:rPr>
          <w:rFonts w:ascii="仿宋" w:hAnsi="仿宋" w:eastAsia="仿宋" w:cs="仿宋"/>
          <w:sz w:val="24"/>
        </w:rPr>
      </w:pPr>
      <w:bookmarkStart w:id="31" w:name="_Toc4057"/>
      <w:r>
        <w:rPr>
          <w:rFonts w:hint="eastAsia" w:ascii="仿宋" w:hAnsi="仿宋" w:eastAsia="仿宋" w:cs="仿宋"/>
          <w:b/>
          <w:bCs/>
          <w:sz w:val="24"/>
        </w:rPr>
        <w:t>（十四）投标</w:t>
      </w:r>
      <w:r>
        <w:rPr>
          <w:rFonts w:hint="eastAsia" w:ascii="仿宋" w:hAnsi="仿宋" w:eastAsia="仿宋" w:cs="仿宋"/>
          <w:b/>
          <w:bCs/>
          <w:sz w:val="24"/>
          <w:lang w:val="en-US" w:eastAsia="zh-CN"/>
        </w:rPr>
        <w:t>文件</w:t>
      </w:r>
      <w:r>
        <w:rPr>
          <w:rFonts w:hint="eastAsia" w:ascii="仿宋" w:hAnsi="仿宋" w:eastAsia="仿宋" w:cs="仿宋"/>
          <w:b/>
          <w:bCs/>
          <w:sz w:val="24"/>
        </w:rPr>
        <w:t>有效期</w:t>
      </w:r>
      <w:bookmarkEnd w:id="31"/>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w:t>
      </w:r>
      <w:r>
        <w:rPr>
          <w:rFonts w:hint="eastAsia" w:ascii="仿宋" w:hAnsi="仿宋" w:eastAsia="仿宋" w:cs="仿宋"/>
          <w:sz w:val="24"/>
          <w:lang w:val="en-US" w:eastAsia="zh-CN"/>
        </w:rPr>
        <w:t>文件</w:t>
      </w:r>
      <w:r>
        <w:rPr>
          <w:rFonts w:hint="eastAsia" w:ascii="仿宋" w:hAnsi="仿宋" w:eastAsia="仿宋" w:cs="仿宋"/>
          <w:sz w:val="24"/>
        </w:rPr>
        <w:t>有效期为招标文件规定的投标人提交投标文件截止之日起</w:t>
      </w:r>
      <w:r>
        <w:rPr>
          <w:rFonts w:hint="eastAsia" w:ascii="仿宋" w:hAnsi="仿宋" w:eastAsia="仿宋" w:cs="仿宋"/>
          <w:sz w:val="24"/>
          <w:u w:val="single"/>
        </w:rPr>
        <w:t>90</w:t>
      </w:r>
      <w:r>
        <w:rPr>
          <w:rFonts w:hint="eastAsia" w:ascii="仿宋" w:hAnsi="仿宋" w:eastAsia="仿宋" w:cs="仿宋"/>
          <w:sz w:val="24"/>
        </w:rPr>
        <w:t>天。投标</w:t>
      </w:r>
      <w:r>
        <w:rPr>
          <w:rFonts w:hint="eastAsia" w:ascii="仿宋" w:hAnsi="仿宋" w:eastAsia="仿宋" w:cs="仿宋"/>
          <w:sz w:val="24"/>
          <w:lang w:val="en-US" w:eastAsia="zh-CN"/>
        </w:rPr>
        <w:t>文件</w:t>
      </w:r>
      <w:r>
        <w:rPr>
          <w:rFonts w:hint="eastAsia" w:ascii="仿宋" w:hAnsi="仿宋" w:eastAsia="仿宋" w:cs="仿宋"/>
          <w:sz w:val="24"/>
        </w:rPr>
        <w:t>有效期不满足招标文件要求的将视为非响应性文件而予以拒绝。</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2、在特殊情况下，采购人于原投标</w:t>
      </w:r>
      <w:r>
        <w:rPr>
          <w:rFonts w:hint="eastAsia" w:ascii="仿宋" w:hAnsi="仿宋" w:eastAsia="仿宋" w:cs="仿宋"/>
          <w:sz w:val="24"/>
          <w:lang w:val="en-US" w:eastAsia="zh-CN"/>
        </w:rPr>
        <w:t>文件</w:t>
      </w:r>
      <w:r>
        <w:rPr>
          <w:rFonts w:hint="eastAsia" w:ascii="仿宋" w:hAnsi="仿宋" w:eastAsia="仿宋" w:cs="仿宋"/>
          <w:sz w:val="24"/>
        </w:rPr>
        <w:t>有效期满之前，可向投标人提出延长投标</w:t>
      </w:r>
      <w:r>
        <w:rPr>
          <w:rFonts w:hint="eastAsia" w:ascii="仿宋" w:hAnsi="仿宋" w:eastAsia="仿宋" w:cs="仿宋"/>
          <w:sz w:val="24"/>
          <w:lang w:val="en-US" w:eastAsia="zh-CN"/>
        </w:rPr>
        <w:t>文件</w:t>
      </w:r>
      <w:r>
        <w:rPr>
          <w:rFonts w:hint="eastAsia" w:ascii="仿宋" w:hAnsi="仿宋" w:eastAsia="仿宋" w:cs="仿宋"/>
          <w:sz w:val="24"/>
        </w:rPr>
        <w:t>有效期的要求，这种要求与答复均应采用书面形式（如信件、传真或电报等），投标人可以拒绝采购人的这一要求而放弃投标，投标保证金予以退回；同意延长的投标人既不能要求也不允许修改其投标文件。第十三条有关投标保证金的没收和退还的规定在延长期内继续有效。</w:t>
      </w:r>
    </w:p>
    <w:p>
      <w:pPr>
        <w:spacing w:line="360" w:lineRule="auto"/>
        <w:ind w:firstLine="715" w:firstLineChars="298"/>
        <w:jc w:val="left"/>
        <w:rPr>
          <w:rFonts w:ascii="仿宋" w:hAnsi="仿宋" w:eastAsia="仿宋" w:cs="仿宋"/>
          <w:sz w:val="24"/>
        </w:rPr>
      </w:pPr>
      <w:r>
        <w:rPr>
          <w:rFonts w:hint="eastAsia" w:ascii="仿宋" w:hAnsi="仿宋" w:eastAsia="仿宋" w:cs="仿宋"/>
          <w:sz w:val="24"/>
        </w:rPr>
        <w:t>中标方在签订合同后两个工作日内将合同彩色扫描件发送至采购代理机构邮箱（邮箱号：</w:t>
      </w:r>
      <w:r>
        <w:rPr>
          <w:rFonts w:hint="eastAsia" w:ascii="仿宋" w:hAnsi="仿宋" w:eastAsia="仿宋" w:cs="仿宋"/>
        </w:rPr>
        <w:fldChar w:fldCharType="begin"/>
      </w:r>
      <w:r>
        <w:rPr>
          <w:rFonts w:hint="eastAsia" w:ascii="仿宋" w:hAnsi="仿宋" w:eastAsia="仿宋" w:cs="仿宋"/>
        </w:rPr>
        <w:instrText xml:space="preserve"> HYPERLINK "mailto:1601001502@qq.com），如因未发送合同扫描件导致合同未备案影响采购方支付款项，所造成的损失由中标方承担。" </w:instrText>
      </w:r>
      <w:r>
        <w:rPr>
          <w:rFonts w:hint="eastAsia" w:ascii="仿宋" w:hAnsi="仿宋" w:eastAsia="仿宋" w:cs="仿宋"/>
        </w:rPr>
        <w:fldChar w:fldCharType="separate"/>
      </w:r>
      <w:r>
        <w:rPr>
          <w:rFonts w:hint="eastAsia" w:ascii="仿宋" w:hAnsi="仿宋" w:eastAsia="仿宋" w:cs="仿宋"/>
          <w:sz w:val="24"/>
          <w:lang w:val="en-US" w:eastAsia="zh-CN"/>
        </w:rPr>
        <w:t>541773504</w:t>
      </w:r>
      <w:r>
        <w:rPr>
          <w:rFonts w:hint="eastAsia" w:ascii="仿宋" w:hAnsi="仿宋" w:eastAsia="仿宋" w:cs="仿宋"/>
          <w:sz w:val="24"/>
        </w:rPr>
        <w:t>@qq.com），如因未发送合同彩色扫描件导致合同未备案影响采购方支付款项，所造成的损失由中标方承担。</w:t>
      </w:r>
      <w:r>
        <w:rPr>
          <w:rFonts w:hint="eastAsia" w:ascii="仿宋" w:hAnsi="仿宋" w:eastAsia="仿宋" w:cs="仿宋"/>
          <w:sz w:val="24"/>
        </w:rPr>
        <w:fldChar w:fldCharType="end"/>
      </w:r>
    </w:p>
    <w:p>
      <w:pPr>
        <w:spacing w:line="360" w:lineRule="auto"/>
        <w:ind w:firstLine="480" w:firstLineChars="200"/>
        <w:jc w:val="left"/>
        <w:rPr>
          <w:rFonts w:ascii="仿宋" w:hAnsi="仿宋" w:eastAsia="仿宋" w:cs="仿宋"/>
        </w:rPr>
      </w:pPr>
      <w:r>
        <w:rPr>
          <w:rFonts w:hint="eastAsia" w:ascii="仿宋" w:hAnsi="仿宋" w:eastAsia="仿宋" w:cs="仿宋"/>
          <w:sz w:val="24"/>
        </w:rPr>
        <w:t>中标方的投标保证金中标后自动转为履约保证金，项目结束后需提供采购方验收单彩色扫描件发送至采购代理机构邮箱后退还。</w:t>
      </w:r>
    </w:p>
    <w:p>
      <w:pPr>
        <w:spacing w:line="360" w:lineRule="auto"/>
        <w:ind w:firstLine="236" w:firstLineChars="98"/>
        <w:jc w:val="left"/>
        <w:rPr>
          <w:rFonts w:ascii="仿宋" w:hAnsi="仿宋" w:eastAsia="仿宋" w:cs="仿宋"/>
          <w:sz w:val="24"/>
        </w:rPr>
      </w:pPr>
      <w:bookmarkStart w:id="32" w:name="_Toc32415"/>
      <w:r>
        <w:rPr>
          <w:rFonts w:hint="eastAsia" w:ascii="仿宋" w:hAnsi="仿宋" w:eastAsia="仿宋" w:cs="仿宋"/>
          <w:b/>
          <w:bCs/>
          <w:sz w:val="24"/>
        </w:rPr>
        <w:t>（十五）投标文件份数和签署</w:t>
      </w:r>
      <w:bookmarkEnd w:id="32"/>
    </w:p>
    <w:p>
      <w:pPr>
        <w:spacing w:line="360" w:lineRule="auto"/>
        <w:ind w:firstLine="480" w:firstLineChars="200"/>
        <w:jc w:val="left"/>
        <w:rPr>
          <w:rFonts w:ascii="仿宋" w:hAnsi="仿宋" w:eastAsia="仿宋" w:cs="仿宋"/>
          <w:sz w:val="24"/>
        </w:rPr>
      </w:pPr>
      <w:bookmarkStart w:id="33" w:name="_Toc11128"/>
      <w:r>
        <w:rPr>
          <w:rFonts w:hint="eastAsia" w:ascii="仿宋" w:hAnsi="仿宋" w:eastAsia="仿宋" w:cs="仿宋"/>
          <w:sz w:val="24"/>
        </w:rPr>
        <w:t>1、投标人应严格按照投标人须知的要求准备响应文件，每份响应文件封面显著处必须清楚地标明“正本”或“副本”字样。响应文件的正本和副本均需打印，正本和副本不符的，以正本为准。响应文件包括：正本壹份，副本贰份，解密文件一份、BFBS备份文件一份。</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2、除投标人对错处做必要修改外，响应文 件不得行间插字、涂改或增删，必要的修改处必须有投标人法人代表或其授权代表人签字并加盖公章。</w:t>
      </w:r>
    </w:p>
    <w:p>
      <w:pPr>
        <w:spacing w:line="360" w:lineRule="auto"/>
        <w:ind w:firstLine="241" w:firstLineChars="100"/>
        <w:jc w:val="left"/>
        <w:rPr>
          <w:rFonts w:ascii="仿宋" w:hAnsi="仿宋" w:eastAsia="仿宋" w:cs="仿宋"/>
          <w:b/>
          <w:bCs/>
          <w:sz w:val="24"/>
        </w:rPr>
      </w:pPr>
      <w:r>
        <w:rPr>
          <w:rFonts w:hint="eastAsia" w:ascii="仿宋" w:hAnsi="仿宋" w:eastAsia="仿宋" w:cs="仿宋"/>
          <w:b/>
          <w:bCs/>
          <w:sz w:val="24"/>
        </w:rPr>
        <w:t>（十六）投标文件装订</w:t>
      </w:r>
      <w:bookmarkEnd w:id="33"/>
    </w:p>
    <w:p>
      <w:pPr>
        <w:spacing w:line="360" w:lineRule="auto"/>
        <w:ind w:firstLine="480" w:firstLineChars="200"/>
        <w:rPr>
          <w:rFonts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投标文件封</w:t>
      </w:r>
      <w:r>
        <w:rPr>
          <w:rFonts w:hint="eastAsia" w:ascii="仿宋" w:hAnsi="仿宋" w:eastAsia="仿宋" w:cs="仿宋"/>
          <w:sz w:val="24"/>
        </w:rPr>
        <w:t>面应注明投标人名称、投标项目名称、项目编号等字样并加盖公章，因标注不清而产生的一切后果由投标人自负。</w:t>
      </w:r>
    </w:p>
    <w:p>
      <w:pPr>
        <w:spacing w:line="360" w:lineRule="auto"/>
        <w:ind w:firstLine="480" w:firstLineChars="200"/>
        <w:rPr>
          <w:rFonts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、投标人应按每个标段分别标记投标文件。</w:t>
      </w:r>
    </w:p>
    <w:p>
      <w:pPr>
        <w:spacing w:line="360" w:lineRule="auto"/>
        <w:ind w:firstLine="480" w:firstLineChars="200"/>
        <w:rPr>
          <w:rFonts w:ascii="仿宋" w:hAnsi="仿宋" w:eastAsia="仿宋" w:cs="仿宋"/>
          <w:sz w:val="24"/>
        </w:rPr>
      </w:pPr>
      <w:r>
        <w:rPr>
          <w:rFonts w:hint="eastAsia" w:ascii="仿宋" w:hAnsi="仿宋" w:eastAsia="仿宋" w:cs="仿宋"/>
          <w:sz w:val="24"/>
        </w:rPr>
        <w:t>若投标文件未按第（十五）条款和第（十六）条款要求加写标记，将作为无效标处理。</w:t>
      </w:r>
    </w:p>
    <w:p>
      <w:pPr>
        <w:spacing w:line="360" w:lineRule="auto"/>
        <w:jc w:val="center"/>
        <w:outlineLvl w:val="1"/>
        <w:rPr>
          <w:rFonts w:ascii="仿宋" w:hAnsi="仿宋" w:eastAsia="仿宋" w:cs="仿宋"/>
          <w:b/>
          <w:sz w:val="32"/>
          <w:szCs w:val="32"/>
        </w:rPr>
      </w:pPr>
      <w:bookmarkStart w:id="34" w:name="_Toc10561"/>
      <w:bookmarkStart w:id="35" w:name="_Toc6236"/>
      <w:r>
        <w:rPr>
          <w:rFonts w:hint="eastAsia" w:ascii="仿宋" w:hAnsi="仿宋" w:eastAsia="仿宋" w:cs="仿宋"/>
          <w:b/>
          <w:sz w:val="28"/>
          <w:szCs w:val="28"/>
        </w:rPr>
        <w:t>四、投标文件的递交</w:t>
      </w:r>
      <w:bookmarkEnd w:id="34"/>
      <w:bookmarkEnd w:id="35"/>
    </w:p>
    <w:p>
      <w:pPr>
        <w:spacing w:line="360" w:lineRule="auto"/>
        <w:ind w:firstLine="480" w:firstLineChars="200"/>
        <w:rPr>
          <w:rFonts w:ascii="仿宋" w:hAnsi="仿宋" w:eastAsia="仿宋" w:cs="仿宋"/>
          <w:bCs/>
          <w:sz w:val="24"/>
          <w:lang w:val="zh-CN"/>
        </w:rPr>
      </w:pPr>
      <w:bookmarkStart w:id="36" w:name="_Toc6804"/>
      <w:bookmarkStart w:id="37" w:name="_Toc27048"/>
      <w:bookmarkStart w:id="38" w:name="_Toc16896"/>
      <w:bookmarkStart w:id="39" w:name="_Toc213839734"/>
      <w:r>
        <w:rPr>
          <w:rFonts w:hint="eastAsia" w:ascii="仿宋" w:hAnsi="仿宋" w:eastAsia="仿宋" w:cs="仿宋"/>
          <w:bCs/>
          <w:sz w:val="24"/>
        </w:rPr>
        <w:t>（十七）</w:t>
      </w:r>
      <w:bookmarkEnd w:id="36"/>
      <w:r>
        <w:rPr>
          <w:rFonts w:hint="eastAsia" w:ascii="仿宋" w:hAnsi="仿宋" w:eastAsia="仿宋" w:cs="仿宋"/>
          <w:bCs/>
          <w:sz w:val="24"/>
          <w:lang w:val="zh-CN"/>
        </w:rPr>
        <w:t>报价截止时间</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1、响应文件的上传不得迟于</w:t>
      </w:r>
      <w:r>
        <w:rPr>
          <w:rFonts w:hint="eastAsia" w:ascii="仿宋" w:hAnsi="仿宋" w:eastAsia="仿宋" w:cs="仿宋"/>
          <w:bCs/>
          <w:color w:val="auto"/>
          <w:sz w:val="24"/>
        </w:rPr>
        <w:t>202</w:t>
      </w: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年0</w:t>
      </w: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月</w:t>
      </w:r>
      <w:r>
        <w:rPr>
          <w:rFonts w:hint="eastAsia" w:ascii="仿宋" w:hAnsi="仿宋" w:eastAsia="仿宋" w:cs="仿宋"/>
          <w:bCs/>
          <w:color w:val="auto"/>
          <w:sz w:val="24"/>
          <w:lang w:val="en-US" w:eastAsia="zh-CN"/>
        </w:rPr>
        <w:t>10</w:t>
      </w:r>
      <w:r>
        <w:rPr>
          <w:rFonts w:hint="eastAsia" w:ascii="仿宋" w:hAnsi="仿宋" w:eastAsia="仿宋" w:cs="仿宋"/>
          <w:bCs/>
          <w:color w:val="auto"/>
          <w:sz w:val="24"/>
        </w:rPr>
        <w:t>日11：00时（</w:t>
      </w:r>
      <w:r>
        <w:rPr>
          <w:rFonts w:hint="eastAsia" w:ascii="仿宋" w:hAnsi="仿宋" w:eastAsia="仿宋" w:cs="仿宋"/>
          <w:bCs/>
          <w:sz w:val="24"/>
        </w:rPr>
        <w:t>北京时间）</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2、所有响应文件必须在采购人规定的投标截止时间之前上传至政采云平台，在此之后上传不了的响应文件，投标人自行负责。</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3、出现因招标文件的修改而推迟报价截止时间的情况时，报价方则须按采购代理机构的书面修改通知重新规定的报价时间递交。</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（十八）迟交的响应文件</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招标人将拒绝接收在规定的截止日期后递交的任何响应文件。</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（十九）响应文件的修改和撤销</w:t>
      </w:r>
    </w:p>
    <w:p>
      <w:pPr>
        <w:widowControl/>
        <w:adjustRightInd w:val="0"/>
        <w:snapToGrid w:val="0"/>
        <w:spacing w:line="360" w:lineRule="auto"/>
        <w:ind w:firstLine="480" w:firstLineChars="200"/>
        <w:jc w:val="left"/>
        <w:rPr>
          <w:rFonts w:ascii="仿宋" w:hAnsi="仿宋" w:eastAsia="仿宋" w:cs="仿宋"/>
          <w:b/>
          <w:sz w:val="28"/>
          <w:szCs w:val="28"/>
        </w:rPr>
      </w:pPr>
      <w:r>
        <w:rPr>
          <w:rFonts w:hint="eastAsia" w:ascii="仿宋" w:hAnsi="仿宋" w:eastAsia="仿宋" w:cs="仿宋"/>
          <w:bCs/>
          <w:sz w:val="24"/>
        </w:rPr>
        <w:t>投标人在递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pPr>
        <w:spacing w:line="360" w:lineRule="auto"/>
        <w:ind w:firstLine="198"/>
        <w:jc w:val="center"/>
        <w:outlineLvl w:val="1"/>
        <w:rPr>
          <w:rFonts w:ascii="仿宋" w:hAnsi="仿宋" w:eastAsia="仿宋" w:cs="仿宋"/>
          <w:b/>
          <w:sz w:val="28"/>
          <w:szCs w:val="28"/>
        </w:rPr>
      </w:pPr>
      <w:r>
        <w:rPr>
          <w:rFonts w:hint="eastAsia" w:ascii="仿宋" w:hAnsi="仿宋" w:eastAsia="仿宋" w:cs="仿宋"/>
          <w:b/>
          <w:sz w:val="28"/>
          <w:szCs w:val="28"/>
        </w:rPr>
        <w:t>五、无效标、废标条款</w:t>
      </w:r>
      <w:bookmarkEnd w:id="37"/>
      <w:bookmarkEnd w:id="38"/>
    </w:p>
    <w:p>
      <w:pPr>
        <w:spacing w:line="360" w:lineRule="auto"/>
        <w:ind w:firstLine="482" w:firstLineChars="200"/>
        <w:jc w:val="left"/>
        <w:rPr>
          <w:rFonts w:ascii="仿宋" w:hAnsi="仿宋" w:eastAsia="仿宋" w:cs="仿宋"/>
          <w:b/>
          <w:bCs/>
          <w:sz w:val="24"/>
        </w:rPr>
      </w:pPr>
      <w:bookmarkStart w:id="40" w:name="_Toc12860"/>
      <w:r>
        <w:rPr>
          <w:rFonts w:hint="eastAsia" w:ascii="仿宋" w:hAnsi="仿宋" w:eastAsia="仿宋" w:cs="仿宋"/>
          <w:b/>
          <w:bCs/>
          <w:sz w:val="24"/>
        </w:rPr>
        <w:t>（二十）无效投标条款</w:t>
      </w:r>
      <w:bookmarkEnd w:id="40"/>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1、投标人资格不符合招标文件规定或未按规定提交资质证件的；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2、投标人未在规定的时间内提交投标保证金收据或汇款凭证的；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3、投标文件签署、盖章不符合招标文件要求的；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4、投标文件出现重大偏差，未对招标文件进行实质性响应；</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5、被授权人不参加评标仪式及质询事宜的；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6、其它评标委员会认为有必要取消的投标；</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7、法律、法规规定的其他情况。</w:t>
      </w:r>
    </w:p>
    <w:p>
      <w:pPr>
        <w:snapToGrid w:val="0"/>
        <w:spacing w:line="360" w:lineRule="auto"/>
        <w:ind w:firstLine="482" w:firstLineChars="200"/>
        <w:rPr>
          <w:rFonts w:ascii="仿宋" w:hAnsi="仿宋" w:eastAsia="仿宋" w:cs="仿宋"/>
          <w:b/>
          <w:sz w:val="24"/>
        </w:rPr>
      </w:pPr>
      <w:bookmarkStart w:id="41" w:name="_Toc26713"/>
      <w:r>
        <w:rPr>
          <w:rFonts w:hint="eastAsia" w:ascii="仿宋" w:hAnsi="仿宋" w:eastAsia="仿宋" w:cs="仿宋"/>
          <w:b/>
          <w:sz w:val="24"/>
        </w:rPr>
        <w:t>（二十一）废标条款</w:t>
      </w:r>
      <w:bookmarkEnd w:id="41"/>
    </w:p>
    <w:p>
      <w:pPr>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1、符合专业条件的投标人或者对招标文件作实质响应的投标人不足三家的；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2、出现影响采购公正的违法、违规行为的；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3、因重大变故，采购任务取消的。</w:t>
      </w:r>
    </w:p>
    <w:p>
      <w:pPr>
        <w:spacing w:line="360" w:lineRule="auto"/>
        <w:ind w:firstLine="482" w:firstLineChars="200"/>
        <w:jc w:val="left"/>
        <w:rPr>
          <w:rFonts w:ascii="仿宋" w:hAnsi="仿宋" w:eastAsia="仿宋" w:cs="仿宋"/>
          <w:b/>
          <w:bCs/>
          <w:sz w:val="24"/>
        </w:rPr>
      </w:pPr>
      <w:bookmarkStart w:id="42" w:name="_Toc18982"/>
      <w:r>
        <w:rPr>
          <w:rFonts w:hint="eastAsia" w:ascii="仿宋" w:hAnsi="仿宋" w:eastAsia="仿宋" w:cs="仿宋"/>
          <w:b/>
          <w:bCs/>
          <w:sz w:val="24"/>
        </w:rPr>
        <w:t>（二十二）投标人不足三家情形处理</w:t>
      </w:r>
      <w:bookmarkEnd w:id="42"/>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如出现投标截止时间结束后参加的投标人不足三家的，采购单位应当报告财政部门，按照以下原则处理：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有效投标人不足三家的，除采购任务取消外，可废标后重新组织采购。采购公告时间及程序不符合规定的，应予以废标。</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在评标期间，出现符合条件的投标人或者对招标文件做出实质响应的投标人不足三家情形的，参照执行。</w:t>
      </w:r>
    </w:p>
    <w:p>
      <w:pPr>
        <w:snapToGrid w:val="0"/>
        <w:spacing w:line="360" w:lineRule="auto"/>
        <w:ind w:firstLine="482" w:firstLineChars="200"/>
        <w:rPr>
          <w:rFonts w:ascii="仿宋" w:hAnsi="仿宋" w:eastAsia="仿宋" w:cs="仿宋"/>
          <w:sz w:val="24"/>
        </w:rPr>
      </w:pPr>
      <w:bookmarkStart w:id="43" w:name="_Toc15683"/>
      <w:r>
        <w:rPr>
          <w:rFonts w:hint="eastAsia" w:ascii="仿宋" w:hAnsi="仿宋" w:eastAsia="仿宋" w:cs="仿宋"/>
          <w:b/>
          <w:bCs/>
          <w:sz w:val="24"/>
        </w:rPr>
        <w:t>（二十三）取消中标候选人资格条款</w:t>
      </w:r>
      <w:bookmarkEnd w:id="43"/>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1、提供虚假材料谋取中标的；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2、采取不正当手段诋毁、排挤其他投标人的；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3、与采购人、其他投标人或者采购代理机构恶意串通的；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4、向采购人、采购代理机构行贿或者提供其他不正当利益的；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5、在规定的时间内未与采购人签订采购合同的；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6、法律、法规规定的其他情况。</w:t>
      </w:r>
    </w:p>
    <w:p>
      <w:pPr>
        <w:spacing w:line="360" w:lineRule="auto"/>
        <w:ind w:firstLine="198"/>
        <w:jc w:val="center"/>
        <w:outlineLvl w:val="1"/>
        <w:rPr>
          <w:rFonts w:ascii="仿宋" w:hAnsi="仿宋" w:eastAsia="仿宋" w:cs="仿宋"/>
          <w:b/>
          <w:sz w:val="28"/>
          <w:szCs w:val="28"/>
        </w:rPr>
      </w:pPr>
      <w:bookmarkStart w:id="44" w:name="_Toc18112"/>
      <w:bookmarkStart w:id="45" w:name="_Toc27538"/>
      <w:r>
        <w:rPr>
          <w:rFonts w:hint="eastAsia" w:ascii="仿宋" w:hAnsi="仿宋" w:eastAsia="仿宋" w:cs="仿宋"/>
          <w:b/>
          <w:sz w:val="28"/>
          <w:szCs w:val="28"/>
        </w:rPr>
        <w:t>六、</w:t>
      </w:r>
      <w:bookmarkEnd w:id="39"/>
      <w:r>
        <w:rPr>
          <w:rFonts w:hint="eastAsia" w:ascii="仿宋" w:hAnsi="仿宋" w:eastAsia="仿宋" w:cs="仿宋"/>
          <w:b/>
          <w:sz w:val="28"/>
          <w:szCs w:val="28"/>
        </w:rPr>
        <w:t>开标和评标</w:t>
      </w:r>
      <w:bookmarkEnd w:id="44"/>
      <w:bookmarkEnd w:id="45"/>
    </w:p>
    <w:p>
      <w:pPr>
        <w:spacing w:line="360" w:lineRule="auto"/>
        <w:ind w:firstLine="482" w:firstLineChars="200"/>
        <w:rPr>
          <w:rFonts w:ascii="仿宋" w:hAnsi="仿宋" w:eastAsia="仿宋" w:cs="仿宋"/>
          <w:b/>
          <w:bCs/>
          <w:sz w:val="24"/>
        </w:rPr>
      </w:pPr>
      <w:bookmarkStart w:id="46" w:name="_Toc5660"/>
      <w:r>
        <w:rPr>
          <w:rFonts w:hint="eastAsia" w:ascii="仿宋" w:hAnsi="仿宋" w:eastAsia="仿宋" w:cs="仿宋"/>
          <w:b/>
          <w:bCs/>
          <w:sz w:val="24"/>
        </w:rPr>
        <w:t>（二十四）开标程序</w:t>
      </w:r>
      <w:bookmarkEnd w:id="46"/>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1、采购人按招标文件规定的时间、地点组织投标。采购单位代表及有关工作人员参加，政府采购监管部门视情况参与。</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2、开标由招标代理机构主持。</w:t>
      </w:r>
    </w:p>
    <w:p>
      <w:pPr>
        <w:spacing w:line="360" w:lineRule="auto"/>
        <w:ind w:firstLine="480" w:firstLineChars="200"/>
        <w:rPr>
          <w:rFonts w:ascii="仿宋" w:hAnsi="仿宋" w:eastAsia="仿宋" w:cs="仿宋"/>
          <w:sz w:val="24"/>
        </w:rPr>
      </w:pPr>
      <w:r>
        <w:rPr>
          <w:rFonts w:hint="eastAsia" w:ascii="仿宋" w:hAnsi="仿宋" w:eastAsia="仿宋" w:cs="仿宋"/>
          <w:sz w:val="24"/>
        </w:rPr>
        <w:t>3、开标时,公开唱标，完毕之后进入评标环节。</w:t>
      </w:r>
    </w:p>
    <w:p>
      <w:pPr>
        <w:spacing w:line="360" w:lineRule="auto"/>
        <w:ind w:firstLine="480" w:firstLineChars="200"/>
        <w:rPr>
          <w:rFonts w:ascii="仿宋" w:hAnsi="仿宋" w:eastAsia="仿宋" w:cs="仿宋"/>
          <w:sz w:val="24"/>
        </w:rPr>
      </w:pPr>
      <w:r>
        <w:rPr>
          <w:rFonts w:hint="eastAsia" w:ascii="仿宋" w:hAnsi="仿宋" w:eastAsia="仿宋" w:cs="仿宋"/>
          <w:sz w:val="24"/>
        </w:rPr>
        <w:t>投标文件中投标报价表内容与投标承诺书内容不一致的，以投标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360" w:lineRule="auto"/>
        <w:ind w:firstLine="480" w:firstLineChars="200"/>
        <w:rPr>
          <w:rFonts w:ascii="仿宋" w:hAnsi="仿宋" w:eastAsia="仿宋" w:cs="仿宋"/>
          <w:sz w:val="24"/>
        </w:rPr>
      </w:pPr>
      <w:r>
        <w:rPr>
          <w:rFonts w:hint="eastAsia" w:ascii="仿宋" w:hAnsi="仿宋" w:eastAsia="仿宋" w:cs="仿宋"/>
          <w:sz w:val="24"/>
        </w:rPr>
        <w:t>有效投标人不足三家的，除采购任务取消外，可废标后重新组织采购。</w:t>
      </w:r>
    </w:p>
    <w:p>
      <w:pPr>
        <w:spacing w:line="360" w:lineRule="auto"/>
        <w:ind w:firstLine="482" w:firstLineChars="200"/>
        <w:rPr>
          <w:rFonts w:ascii="仿宋" w:hAnsi="仿宋" w:eastAsia="仿宋" w:cs="仿宋"/>
          <w:b/>
          <w:bCs/>
          <w:sz w:val="24"/>
        </w:rPr>
      </w:pPr>
      <w:bookmarkStart w:id="47" w:name="_Toc20683"/>
      <w:r>
        <w:rPr>
          <w:rFonts w:hint="eastAsia" w:ascii="仿宋" w:hAnsi="仿宋" w:eastAsia="仿宋" w:cs="仿宋"/>
          <w:b/>
          <w:bCs/>
          <w:sz w:val="24"/>
        </w:rPr>
        <w:t>（二十五）评标委员会</w:t>
      </w:r>
      <w:bookmarkEnd w:id="47"/>
    </w:p>
    <w:p>
      <w:pPr>
        <w:spacing w:line="360" w:lineRule="auto"/>
        <w:ind w:firstLine="480" w:firstLineChars="200"/>
        <w:rPr>
          <w:rFonts w:ascii="仿宋" w:hAnsi="仿宋" w:eastAsia="仿宋" w:cs="仿宋"/>
          <w:sz w:val="24"/>
        </w:rPr>
      </w:pPr>
      <w:r>
        <w:rPr>
          <w:rFonts w:hint="eastAsia" w:ascii="仿宋" w:hAnsi="仿宋" w:eastAsia="仿宋" w:cs="仿宋"/>
          <w:sz w:val="24"/>
        </w:rPr>
        <w:t>招标采购单位根据本项目的特点，于开标前48小时内，从评审专家库中随机抽取组建评标委员会，其组员由有关技术、经济等方面的专家等五人以上单数组成。评标委员会在监督人员的监督下独立完成评标工作，负责对投标文件进行审查、质询、评审、推选中标候选人。</w:t>
      </w:r>
    </w:p>
    <w:p>
      <w:pPr>
        <w:spacing w:line="360" w:lineRule="auto"/>
        <w:ind w:left="713" w:leftChars="229" w:hanging="232" w:hangingChars="97"/>
        <w:rPr>
          <w:rFonts w:ascii="仿宋" w:hAnsi="仿宋" w:eastAsia="仿宋" w:cs="仿宋"/>
          <w:sz w:val="24"/>
        </w:rPr>
      </w:pPr>
      <w:r>
        <w:rPr>
          <w:rFonts w:hint="eastAsia" w:ascii="仿宋" w:hAnsi="仿宋" w:eastAsia="仿宋" w:cs="仿宋"/>
          <w:sz w:val="24"/>
        </w:rPr>
        <w:t>1、评标事务由评标委员会负责，并独立履行下列职责：</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bookmarkStart w:id="48" w:name="_Toc8651"/>
      <w:r>
        <w:rPr>
          <w:rFonts w:hint="eastAsia" w:ascii="仿宋" w:hAnsi="仿宋" w:eastAsia="仿宋" w:cs="仿宋"/>
          <w:sz w:val="24"/>
        </w:rPr>
        <w:t>（a）审查投标文件是否符合本文件要求，并作出评价；</w:t>
      </w:r>
      <w:bookmarkEnd w:id="48"/>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（b）要求投标人对投标文件有关事项作出澄清或答复；</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bookmarkStart w:id="49" w:name="_Toc23504"/>
      <w:r>
        <w:rPr>
          <w:rFonts w:hint="eastAsia" w:ascii="仿宋" w:hAnsi="仿宋" w:eastAsia="仿宋" w:cs="仿宋"/>
          <w:sz w:val="24"/>
        </w:rPr>
        <w:t>（c）推荐中标候选人名单，或者直接确定中标人；</w:t>
      </w:r>
      <w:bookmarkEnd w:id="49"/>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（d）向招标采购单位或者有关部门报告非法干预评标工作的行为。</w:t>
      </w:r>
    </w:p>
    <w:p>
      <w:pPr>
        <w:spacing w:line="360" w:lineRule="auto"/>
        <w:ind w:left="713" w:leftChars="229" w:hanging="232" w:hangingChars="97"/>
        <w:rPr>
          <w:rFonts w:ascii="仿宋" w:hAnsi="仿宋" w:eastAsia="仿宋" w:cs="仿宋"/>
          <w:sz w:val="24"/>
        </w:rPr>
      </w:pPr>
      <w:bookmarkStart w:id="50" w:name="_Toc22049"/>
      <w:r>
        <w:rPr>
          <w:rFonts w:hint="eastAsia" w:ascii="仿宋" w:hAnsi="仿宋" w:eastAsia="仿宋" w:cs="仿宋"/>
          <w:sz w:val="24"/>
        </w:rPr>
        <w:t>2．评标委员会成员的义务</w:t>
      </w:r>
      <w:bookmarkEnd w:id="50"/>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（a）遵纪守法，客观、公正、廉洁地履行职责；</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（b）按照招标文件规定的评标方法和标准进行评标，对评审意见承担个人责任；</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bookmarkStart w:id="51" w:name="_Toc8126"/>
      <w:r>
        <w:rPr>
          <w:rFonts w:hint="eastAsia" w:ascii="仿宋" w:hAnsi="仿宋" w:eastAsia="仿宋" w:cs="仿宋"/>
          <w:sz w:val="24"/>
        </w:rPr>
        <w:t>（c）对评标过程和结果，以及供应商的商业秘密保密；</w:t>
      </w:r>
      <w:bookmarkEnd w:id="51"/>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（d）参与评标报告的起草；</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（e）配合财政部门的投诉处理工作；</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（f）配合招标采购单位答复投标人提出的质疑。</w:t>
      </w:r>
    </w:p>
    <w:p>
      <w:pPr>
        <w:spacing w:line="360" w:lineRule="auto"/>
        <w:ind w:firstLine="482" w:firstLineChars="200"/>
        <w:rPr>
          <w:rFonts w:ascii="仿宋" w:hAnsi="仿宋" w:eastAsia="仿宋" w:cs="仿宋"/>
          <w:b/>
          <w:bCs/>
          <w:sz w:val="24"/>
        </w:rPr>
      </w:pPr>
      <w:bookmarkStart w:id="52" w:name="_Toc17454"/>
      <w:r>
        <w:rPr>
          <w:rFonts w:hint="eastAsia" w:ascii="仿宋" w:hAnsi="仿宋" w:eastAsia="仿宋" w:cs="仿宋"/>
          <w:b/>
          <w:bCs/>
          <w:sz w:val="24"/>
        </w:rPr>
        <w:t>（二十六）评标原则</w:t>
      </w:r>
      <w:bookmarkEnd w:id="52"/>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“公开、公平、公正、客观、择优”为评标的基本原则，评标委员会将根据这一原则，公正、平等地对待各投标人。</w:t>
      </w:r>
    </w:p>
    <w:p>
      <w:pPr>
        <w:spacing w:line="360" w:lineRule="auto"/>
        <w:ind w:firstLine="482" w:firstLineChars="200"/>
        <w:rPr>
          <w:rFonts w:ascii="仿宋" w:hAnsi="仿宋" w:eastAsia="仿宋" w:cs="仿宋"/>
          <w:b/>
          <w:bCs/>
          <w:sz w:val="24"/>
        </w:rPr>
      </w:pPr>
      <w:bookmarkStart w:id="53" w:name="_Toc4667"/>
      <w:r>
        <w:rPr>
          <w:rFonts w:hint="eastAsia" w:ascii="仿宋" w:hAnsi="仿宋" w:eastAsia="仿宋" w:cs="仿宋"/>
          <w:b/>
          <w:bCs/>
          <w:sz w:val="24"/>
        </w:rPr>
        <w:t>（二十七）评标程序</w:t>
      </w:r>
      <w:bookmarkEnd w:id="53"/>
    </w:p>
    <w:p>
      <w:pPr>
        <w:spacing w:line="360" w:lineRule="auto"/>
        <w:ind w:firstLine="480" w:firstLineChars="200"/>
        <w:rPr>
          <w:rFonts w:ascii="仿宋" w:hAnsi="仿宋" w:eastAsia="仿宋" w:cs="仿宋"/>
          <w:b/>
          <w:bCs/>
          <w:sz w:val="24"/>
        </w:rPr>
      </w:pPr>
      <w:r>
        <w:rPr>
          <w:rFonts w:hint="eastAsia" w:ascii="仿宋" w:hAnsi="仿宋" w:eastAsia="仿宋" w:cs="仿宋"/>
          <w:bCs/>
          <w:sz w:val="24"/>
        </w:rPr>
        <w:t>1、</w:t>
      </w:r>
      <w:r>
        <w:rPr>
          <w:rFonts w:hint="eastAsia" w:ascii="仿宋" w:hAnsi="仿宋" w:eastAsia="仿宋" w:cs="仿宋"/>
          <w:sz w:val="24"/>
        </w:rPr>
        <w:t>评标委员会首先对各投标文件进行初步评审，初步审查包括资格性审查和符合性审查，未通过审查的为无效标。</w:t>
      </w:r>
    </w:p>
    <w:p>
      <w:pPr>
        <w:spacing w:line="360" w:lineRule="auto"/>
        <w:ind w:firstLine="480" w:firstLineChars="200"/>
        <w:rPr>
          <w:rFonts w:ascii="仿宋" w:hAnsi="仿宋" w:eastAsia="仿宋" w:cs="仿宋"/>
          <w:sz w:val="24"/>
        </w:rPr>
      </w:pPr>
      <w:r>
        <w:rPr>
          <w:rFonts w:hint="eastAsia" w:ascii="仿宋" w:hAnsi="仿宋" w:eastAsia="仿宋" w:cs="仿宋"/>
          <w:sz w:val="24"/>
        </w:rPr>
        <w:t>⑴资格性检查：评标委员会将根据法律法规和招标文件的规定，对投标文件的资格证明文件、投标保证金等进行审查，以确定投标人是否具备</w:t>
      </w:r>
      <w:r>
        <w:rPr>
          <w:rFonts w:hint="eastAsia" w:ascii="仿宋" w:hAnsi="仿宋" w:eastAsia="仿宋" w:cs="仿宋"/>
          <w:sz w:val="24"/>
          <w:lang w:val="en-US" w:eastAsia="zh-CN"/>
        </w:rPr>
        <w:t>投</w:t>
      </w:r>
      <w:r>
        <w:rPr>
          <w:rFonts w:hint="eastAsia" w:ascii="仿宋" w:hAnsi="仿宋" w:eastAsia="仿宋" w:cs="仿宋"/>
          <w:sz w:val="24"/>
        </w:rPr>
        <w:t>标资格。</w:t>
      </w:r>
    </w:p>
    <w:p>
      <w:pPr>
        <w:widowControl/>
        <w:tabs>
          <w:tab w:val="left" w:pos="540"/>
        </w:tabs>
        <w:spacing w:line="360" w:lineRule="auto"/>
        <w:ind w:firstLine="480" w:firstLineChars="200"/>
        <w:rPr>
          <w:rFonts w:ascii="仿宋" w:hAnsi="仿宋" w:eastAsia="仿宋" w:cs="仿宋"/>
          <w:sz w:val="24"/>
        </w:rPr>
      </w:pPr>
      <w:r>
        <w:rPr>
          <w:rFonts w:hint="eastAsia" w:ascii="仿宋" w:hAnsi="仿宋" w:eastAsia="仿宋" w:cs="仿宋"/>
          <w:sz w:val="24"/>
        </w:rPr>
        <w:t>⑵符合性检查：依据招标文件的规定，从投标文件的有效性、完整性和对招标文件的响应程度进行审查，以确定是否对招标文件的要求作出了实质性的响应，存在重大偏离的投标文件为无效标。所谓重大偏离是指投标人投标文件中所述货物质量、技术、规格、数量、交货期等和服务明显不能满足招标文件要求。重大偏离的认定须经招标小组三分之二以上组员同意。</w:t>
      </w:r>
    </w:p>
    <w:p>
      <w:pPr>
        <w:pStyle w:val="8"/>
        <w:snapToGrid w:val="0"/>
        <w:spacing w:line="360" w:lineRule="auto"/>
        <w:ind w:firstLine="352" w:firstLineChars="147"/>
        <w:rPr>
          <w:rFonts w:ascii="仿宋" w:hAnsi="仿宋" w:eastAsia="仿宋" w:cs="仿宋"/>
          <w:b/>
          <w:sz w:val="24"/>
          <w:szCs w:val="24"/>
        </w:rPr>
      </w:pPr>
      <w:r>
        <w:rPr>
          <w:rFonts w:hint="eastAsia" w:ascii="仿宋" w:hAnsi="仿宋" w:eastAsia="仿宋" w:cs="仿宋"/>
          <w:sz w:val="24"/>
        </w:rPr>
        <w:t>2、评标委员会判断“投标文件”的响应性，仅基于“投标文件”本身而不靠外部证据。非实质性响应的投标文件，投标人不能通过修正或撤销不符之处，而使其成为实质性响应。</w:t>
      </w:r>
      <w:r>
        <w:rPr>
          <w:rFonts w:hint="eastAsia" w:ascii="仿宋" w:hAnsi="仿宋" w:eastAsia="仿宋" w:cs="仿宋"/>
          <w:b/>
          <w:sz w:val="24"/>
          <w:szCs w:val="24"/>
        </w:rPr>
        <w:t>对有效响应文件中含义不明确、同类问题前后表述不一致或者有明显文字和计算错误的内容，评审小组可以线上要求报价供应商在规定的时间内作出必要的澄清、说明或者纠正，报价供应商应在要求的时间内以线上形式澄清、说明或者补正，且不得超出响应文件的范围或者改变响应文件的实质性内容。</w:t>
      </w:r>
    </w:p>
    <w:p>
      <w:pPr>
        <w:pStyle w:val="8"/>
        <w:tabs>
          <w:tab w:val="left" w:pos="126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3、评标委员会根据招标文件要求，讨论、通过评标工作流程和评标要点。</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4、围绕评标要点，评标委员会全体成员按招标文件中规定的评标方法和标准，对资格性检查和符合性检查合格的投标文件进行商务和技术评估，综合比较与评价。</w:t>
      </w:r>
    </w:p>
    <w:p>
      <w:pPr>
        <w:pStyle w:val="8"/>
        <w:spacing w:line="360" w:lineRule="auto"/>
        <w:ind w:firstLine="477" w:firstLineChars="199"/>
        <w:rPr>
          <w:rFonts w:ascii="仿宋" w:hAnsi="仿宋" w:eastAsia="仿宋" w:cs="仿宋"/>
          <w:b/>
          <w:sz w:val="24"/>
          <w:szCs w:val="24"/>
          <w:u w:val="single"/>
        </w:rPr>
      </w:pPr>
      <w:r>
        <w:rPr>
          <w:rFonts w:hint="eastAsia" w:ascii="仿宋" w:hAnsi="仿宋" w:eastAsia="仿宋" w:cs="仿宋"/>
          <w:sz w:val="24"/>
          <w:szCs w:val="24"/>
        </w:rPr>
        <w:t>5、评标过程出现异议的，由评标委员会共同商讨决定，需要投标人澄清的，评标委员会将以书面形式通知投标人。</w:t>
      </w:r>
    </w:p>
    <w:p>
      <w:pPr>
        <w:pStyle w:val="8"/>
        <w:spacing w:line="360" w:lineRule="auto"/>
        <w:ind w:firstLine="482" w:firstLineChars="200"/>
        <w:rPr>
          <w:rFonts w:ascii="仿宋" w:hAnsi="仿宋" w:eastAsia="仿宋" w:cs="仿宋"/>
          <w:b/>
          <w:sz w:val="24"/>
          <w:szCs w:val="24"/>
        </w:rPr>
      </w:pPr>
      <w:bookmarkStart w:id="54" w:name="_Toc30825"/>
      <w:r>
        <w:rPr>
          <w:rFonts w:hint="eastAsia" w:ascii="仿宋" w:hAnsi="仿宋" w:eastAsia="仿宋" w:cs="仿宋"/>
          <w:b/>
          <w:sz w:val="24"/>
          <w:szCs w:val="24"/>
        </w:rPr>
        <w:t>（二十八）中标候选人</w:t>
      </w:r>
      <w:bookmarkEnd w:id="54"/>
    </w:p>
    <w:p>
      <w:pPr>
        <w:spacing w:line="360" w:lineRule="auto"/>
        <w:ind w:firstLine="480" w:firstLineChars="200"/>
        <w:rPr>
          <w:rFonts w:ascii="仿宋" w:hAnsi="仿宋" w:eastAsia="仿宋" w:cs="仿宋"/>
          <w:sz w:val="24"/>
        </w:rPr>
      </w:pPr>
      <w:r>
        <w:rPr>
          <w:rFonts w:hint="eastAsia" w:ascii="仿宋" w:hAnsi="仿宋" w:eastAsia="仿宋" w:cs="仿宋"/>
          <w:sz w:val="24"/>
        </w:rPr>
        <w:t>1、评标委员会统一签署评标汇总表，按综合得分高低推荐中标候选人或者确定中标人。得分相同的，以报价低的为优先中标候选人。</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2、评标委员会</w:t>
      </w:r>
      <w:r>
        <w:rPr>
          <w:rFonts w:hint="eastAsia" w:ascii="仿宋" w:hAnsi="仿宋" w:eastAsia="仿宋" w:cs="仿宋"/>
          <w:b/>
          <w:sz w:val="24"/>
          <w:szCs w:val="24"/>
        </w:rPr>
        <w:t>认为中标候选人投标价或某些分项报价明显不合理或低于成本</w:t>
      </w:r>
      <w:r>
        <w:rPr>
          <w:rFonts w:hint="eastAsia" w:ascii="仿宋" w:hAnsi="仿宋" w:eastAsia="仿宋" w:cs="仿宋"/>
          <w:sz w:val="24"/>
          <w:szCs w:val="24"/>
        </w:rPr>
        <w:t>，有可能影响商品质量和不能诚信履约的，可要求其在规定期限内提供</w:t>
      </w:r>
      <w:r>
        <w:rPr>
          <w:rFonts w:hint="eastAsia" w:ascii="仿宋" w:hAnsi="仿宋" w:eastAsia="仿宋" w:cs="仿宋"/>
          <w:sz w:val="24"/>
          <w:szCs w:val="24"/>
          <w:lang w:val="en-US" w:eastAsia="zh-CN"/>
        </w:rPr>
        <w:t>合理的</w:t>
      </w:r>
      <w:r>
        <w:rPr>
          <w:rFonts w:hint="eastAsia" w:ascii="仿宋" w:hAnsi="仿宋" w:eastAsia="仿宋" w:cs="仿宋"/>
          <w:sz w:val="24"/>
          <w:szCs w:val="24"/>
        </w:rPr>
        <w:t>书面文件及相关证明材料解释说明；否则，可取消其候选资格，按排名顺序递补候选人，以此类推。若排名第一的候选人，放弃中标、因不可抗力提出不能履行合同等情况，根据《评标委员会和评标方法暂行规定》执行。</w:t>
      </w:r>
      <w:r>
        <w:rPr>
          <w:rFonts w:hint="eastAsia" w:ascii="仿宋" w:hAnsi="仿宋" w:eastAsia="仿宋" w:cs="仿宋"/>
          <w:b/>
          <w:sz w:val="24"/>
        </w:rPr>
        <w:t>为保证本项目服务质量、良好的售后服务，最低报价不作为中标的唯一依据。</w:t>
      </w:r>
    </w:p>
    <w:p>
      <w:pPr>
        <w:spacing w:line="360" w:lineRule="auto"/>
        <w:ind w:firstLine="241" w:firstLineChars="100"/>
        <w:rPr>
          <w:rFonts w:ascii="仿宋" w:hAnsi="仿宋" w:eastAsia="仿宋" w:cs="仿宋"/>
          <w:b/>
          <w:sz w:val="24"/>
        </w:rPr>
      </w:pPr>
      <w:bookmarkStart w:id="55" w:name="_Toc213839741"/>
      <w:bookmarkStart w:id="56" w:name="_Toc3468"/>
      <w:r>
        <w:rPr>
          <w:rFonts w:hint="eastAsia" w:ascii="仿宋" w:hAnsi="仿宋" w:eastAsia="仿宋" w:cs="仿宋"/>
          <w:b/>
          <w:sz w:val="24"/>
        </w:rPr>
        <w:t>（二十九）评标过程</w:t>
      </w:r>
      <w:bookmarkEnd w:id="55"/>
      <w:r>
        <w:rPr>
          <w:rFonts w:hint="eastAsia" w:ascii="仿宋" w:hAnsi="仿宋" w:eastAsia="仿宋" w:cs="仿宋"/>
          <w:b/>
          <w:sz w:val="24"/>
        </w:rPr>
        <w:t>保密</w:t>
      </w:r>
      <w:bookmarkEnd w:id="56"/>
    </w:p>
    <w:p>
      <w:pPr>
        <w:spacing w:line="360" w:lineRule="auto"/>
        <w:ind w:firstLine="480" w:firstLineChars="200"/>
        <w:rPr>
          <w:rFonts w:ascii="仿宋" w:hAnsi="仿宋" w:eastAsia="仿宋" w:cs="仿宋"/>
          <w:sz w:val="24"/>
        </w:rPr>
      </w:pPr>
      <w:r>
        <w:rPr>
          <w:rFonts w:hint="eastAsia" w:ascii="仿宋" w:hAnsi="仿宋" w:eastAsia="仿宋" w:cs="仿宋"/>
          <w:sz w:val="24"/>
        </w:rPr>
        <w:t>1、在评标过程中和评标结束后，凡属于审查、澄清、评价、比较招标文件等有关信息，评标委员会的研究情况和所有投标人的商业秘密都属于保密内容相关当事人均不得泄露给任何投标人或与评标工作无关的人员。</w:t>
      </w:r>
    </w:p>
    <w:p>
      <w:pPr>
        <w:spacing w:line="360" w:lineRule="auto"/>
        <w:ind w:firstLine="480" w:firstLineChars="200"/>
        <w:rPr>
          <w:rFonts w:ascii="仿宋" w:hAnsi="仿宋" w:eastAsia="仿宋" w:cs="仿宋"/>
          <w:sz w:val="24"/>
        </w:rPr>
      </w:pPr>
      <w:r>
        <w:rPr>
          <w:rFonts w:hint="eastAsia" w:ascii="仿宋" w:hAnsi="仿宋" w:eastAsia="仿宋" w:cs="仿宋"/>
          <w:sz w:val="24"/>
        </w:rPr>
        <w:t>2、投标人不得探听上述信息，不得以任何行为影响评标过程，否则其投标文件将被作为无效投标文件。</w:t>
      </w:r>
    </w:p>
    <w:p>
      <w:pPr>
        <w:spacing w:line="360" w:lineRule="auto"/>
        <w:ind w:firstLine="480" w:firstLineChars="200"/>
        <w:rPr>
          <w:rFonts w:ascii="仿宋" w:hAnsi="仿宋" w:eastAsia="仿宋" w:cs="仿宋"/>
          <w:sz w:val="24"/>
        </w:rPr>
      </w:pPr>
      <w:r>
        <w:rPr>
          <w:rFonts w:hint="eastAsia" w:ascii="仿宋" w:hAnsi="仿宋" w:eastAsia="仿宋" w:cs="仿宋"/>
          <w:sz w:val="24"/>
        </w:rPr>
        <w:t>3、在评标期间，采购人有专门工作人员与投标人进行联络。</w:t>
      </w:r>
    </w:p>
    <w:p>
      <w:pPr>
        <w:spacing w:line="360" w:lineRule="auto"/>
        <w:ind w:left="1" w:firstLine="480" w:firstLineChars="200"/>
        <w:rPr>
          <w:rFonts w:ascii="仿宋" w:hAnsi="仿宋" w:eastAsia="仿宋" w:cs="仿宋"/>
          <w:spacing w:val="-2"/>
          <w:sz w:val="24"/>
        </w:rPr>
      </w:pPr>
      <w:r>
        <w:rPr>
          <w:rFonts w:hint="eastAsia" w:ascii="仿宋" w:hAnsi="仿宋" w:eastAsia="仿宋" w:cs="仿宋"/>
          <w:sz w:val="24"/>
        </w:rPr>
        <w:t>4、采购人和评标委员会不向未中标的投标人解释未中标原因，也不对评标过程中的细节问题进行公布。</w:t>
      </w:r>
    </w:p>
    <w:p>
      <w:pPr>
        <w:spacing w:line="360" w:lineRule="auto"/>
        <w:ind w:left="716" w:leftChars="115" w:hanging="475" w:hangingChars="197"/>
        <w:rPr>
          <w:rFonts w:ascii="仿宋" w:hAnsi="仿宋" w:eastAsia="仿宋" w:cs="仿宋"/>
          <w:b/>
          <w:bCs/>
          <w:sz w:val="24"/>
        </w:rPr>
      </w:pPr>
      <w:bookmarkStart w:id="57" w:name="_Toc3343"/>
      <w:r>
        <w:rPr>
          <w:rFonts w:hint="eastAsia" w:ascii="仿宋" w:hAnsi="仿宋" w:eastAsia="仿宋" w:cs="仿宋"/>
          <w:b/>
          <w:sz w:val="24"/>
        </w:rPr>
        <w:t>（三十）</w:t>
      </w:r>
      <w:r>
        <w:rPr>
          <w:rFonts w:hint="eastAsia" w:ascii="仿宋" w:hAnsi="仿宋" w:eastAsia="仿宋" w:cs="仿宋"/>
          <w:b/>
          <w:bCs/>
          <w:sz w:val="24"/>
        </w:rPr>
        <w:t>投标人有下列情形之一的，视为无效投标。</w:t>
      </w:r>
      <w:bookmarkEnd w:id="57"/>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（1）投标文件所投标段中的应标范围小于本文件对应标段要求的采购范围的；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（2）投标文件与事实不符的；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（3）经评标委员会一致认定为重大偏离的；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（4）不符合本文件中规定的其他实质性要求的；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（5）不符合法律、法规有关规定的。</w:t>
      </w:r>
    </w:p>
    <w:p>
      <w:pPr>
        <w:spacing w:line="360" w:lineRule="auto"/>
        <w:ind w:left="716" w:leftChars="115" w:hanging="475" w:hangingChars="197"/>
        <w:rPr>
          <w:rFonts w:ascii="仿宋" w:hAnsi="仿宋" w:eastAsia="仿宋" w:cs="仿宋"/>
          <w:b/>
          <w:bCs/>
          <w:sz w:val="24"/>
        </w:rPr>
      </w:pPr>
      <w:bookmarkStart w:id="58" w:name="_Toc20472"/>
      <w:r>
        <w:rPr>
          <w:rFonts w:hint="eastAsia" w:ascii="仿宋" w:hAnsi="仿宋" w:eastAsia="仿宋" w:cs="仿宋"/>
          <w:b/>
          <w:sz w:val="24"/>
        </w:rPr>
        <w:t>（三十一）</w:t>
      </w:r>
      <w:bookmarkEnd w:id="58"/>
      <w:r>
        <w:rPr>
          <w:rFonts w:hint="eastAsia" w:ascii="仿宋" w:hAnsi="仿宋" w:eastAsia="仿宋" w:cs="仿宋"/>
          <w:b/>
          <w:bCs/>
          <w:sz w:val="24"/>
        </w:rPr>
        <w:t>有效投标人不足三家的，除采购任务取消外，可废标后重新组织采购。</w:t>
      </w:r>
    </w:p>
    <w:p>
      <w:pPr>
        <w:spacing w:line="360" w:lineRule="auto"/>
        <w:ind w:left="590" w:leftChars="115" w:hanging="349" w:hangingChars="145"/>
        <w:rPr>
          <w:rFonts w:ascii="仿宋" w:hAnsi="仿宋" w:eastAsia="仿宋" w:cs="仿宋"/>
          <w:b/>
          <w:sz w:val="24"/>
        </w:rPr>
      </w:pPr>
      <w:bookmarkStart w:id="59" w:name="_Toc2132"/>
      <w:r>
        <w:rPr>
          <w:rFonts w:hint="eastAsia" w:ascii="仿宋" w:hAnsi="仿宋" w:eastAsia="仿宋" w:cs="仿宋"/>
          <w:b/>
          <w:sz w:val="24"/>
        </w:rPr>
        <w:t>（三十二）出现下列情形之一的，本项目作废标处理，除采购任务取消外，重新组织采购。</w:t>
      </w:r>
      <w:bookmarkEnd w:id="59"/>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（1）本文件存在不合理条款，公告时间及程序不符合规定的；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（2）出现影响采购公正的违法、违规行为的；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（3）因重大变故，采购任务取消的。</w:t>
      </w:r>
    </w:p>
    <w:p>
      <w:pPr>
        <w:spacing w:line="360" w:lineRule="auto"/>
        <w:ind w:left="716" w:leftChars="115" w:hanging="475" w:hangingChars="197"/>
        <w:rPr>
          <w:rFonts w:hint="eastAsia" w:ascii="仿宋" w:hAnsi="仿宋" w:eastAsia="仿宋" w:cs="仿宋"/>
          <w:b/>
          <w:sz w:val="24"/>
        </w:rPr>
      </w:pPr>
      <w:bookmarkStart w:id="60" w:name="_Toc19366"/>
      <w:r>
        <w:rPr>
          <w:rFonts w:hint="eastAsia" w:ascii="仿宋" w:hAnsi="仿宋" w:eastAsia="仿宋" w:cs="仿宋"/>
          <w:b/>
          <w:sz w:val="24"/>
        </w:rPr>
        <w:t>（三十三）评标办法</w:t>
      </w:r>
      <w:bookmarkEnd w:id="60"/>
    </w:p>
    <w:p>
      <w:pPr>
        <w:numPr>
          <w:ilvl w:val="0"/>
          <w:numId w:val="4"/>
        </w:numPr>
        <w:spacing w:line="360" w:lineRule="auto"/>
        <w:ind w:firstLine="480" w:firstLineChars="200"/>
        <w:rPr>
          <w:rFonts w:ascii="仿宋" w:hAnsi="仿宋" w:eastAsia="仿宋" w:cs="仿宋"/>
          <w:sz w:val="24"/>
        </w:rPr>
      </w:pPr>
      <w:r>
        <w:rPr>
          <w:rFonts w:hint="eastAsia" w:ascii="仿宋" w:hAnsi="仿宋" w:eastAsia="仿宋" w:cs="仿宋"/>
          <w:sz w:val="24"/>
        </w:rPr>
        <w:t>技术、商务部分，占总分的70%</w:t>
      </w:r>
    </w:p>
    <w:p>
      <w:pPr>
        <w:numPr>
          <w:ilvl w:val="0"/>
          <w:numId w:val="4"/>
        </w:numPr>
        <w:spacing w:line="360" w:lineRule="auto"/>
        <w:ind w:left="0" w:leftChars="0" w:firstLine="480" w:firstLineChars="200"/>
        <w:rPr>
          <w:rFonts w:hint="eastAsia" w:ascii="仿宋" w:hAnsi="仿宋" w:eastAsia="仿宋" w:cs="仿宋"/>
          <w:sz w:val="24"/>
        </w:rPr>
      </w:pPr>
      <w:r>
        <w:rPr>
          <w:rFonts w:hint="eastAsia" w:ascii="仿宋" w:hAnsi="仿宋" w:eastAsia="仿宋" w:cs="仿宋"/>
          <w:sz w:val="24"/>
        </w:rPr>
        <w:t>价格部分，占总分的30%</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综合评分原则</w:t>
      </w:r>
    </w:p>
    <w:p>
      <w:pPr>
        <w:spacing w:line="360" w:lineRule="auto"/>
        <w:ind w:firstLine="480" w:firstLineChars="200"/>
        <w:rPr>
          <w:rFonts w:ascii="仿宋" w:hAnsi="仿宋" w:eastAsia="仿宋" w:cs="仿宋"/>
          <w:sz w:val="24"/>
        </w:rPr>
      </w:pPr>
      <w:r>
        <w:rPr>
          <w:rFonts w:hint="eastAsia" w:ascii="仿宋" w:hAnsi="仿宋" w:eastAsia="仿宋" w:cs="仿宋"/>
          <w:sz w:val="24"/>
        </w:rPr>
        <w:t>评标委员会严格按照招标文件的要求、条件及投标人所作的实质性响应内容，对投标人的投标文件进行综合打分。评标委员会由业主代表及相关专家五人组成，负责对投标文件进行审查、评审和比较等工作。</w:t>
      </w:r>
      <w:r>
        <w:rPr>
          <w:rFonts w:hint="eastAsia" w:ascii="仿宋" w:hAnsi="仿宋" w:eastAsia="仿宋" w:cs="仿宋"/>
          <w:bCs/>
          <w:sz w:val="24"/>
        </w:rPr>
        <w:t>投标人的得分为各评委所给分数的平均分。计算结果值在小数点后均保留两位小数，后余位数四舍五入计。</w:t>
      </w:r>
    </w:p>
    <w:p>
      <w:pPr>
        <w:spacing w:line="440" w:lineRule="exact"/>
        <w:ind w:firstLine="480" w:firstLineChars="200"/>
        <w:rPr>
          <w:rFonts w:ascii="仿宋" w:hAnsi="仿宋" w:eastAsia="仿宋" w:cs="仿宋"/>
          <w:b/>
          <w:sz w:val="24"/>
        </w:rPr>
      </w:pPr>
      <w:r>
        <w:rPr>
          <w:rFonts w:hint="eastAsia" w:ascii="仿宋" w:hAnsi="仿宋" w:eastAsia="仿宋" w:cs="仿宋"/>
          <w:sz w:val="24"/>
        </w:rPr>
        <w:t>1、评标委员会对所报产品价格、技术（配置、质量及性能、技术方案）、财务状况、信誉、业绩、服务、标书的响应程度等因素进行比较与评价，并进行打分和汇总。2、评标委员会小组成员评标、打分时不得协商，应独立完成。</w:t>
      </w:r>
    </w:p>
    <w:p>
      <w:pPr>
        <w:spacing w:line="440" w:lineRule="exact"/>
        <w:ind w:firstLine="480" w:firstLineChars="200"/>
        <w:rPr>
          <w:rFonts w:ascii="仿宋" w:hAnsi="仿宋" w:eastAsia="仿宋" w:cs="仿宋"/>
          <w:b/>
          <w:sz w:val="24"/>
        </w:rPr>
      </w:pPr>
      <w:r>
        <w:rPr>
          <w:rFonts w:hint="eastAsia" w:ascii="仿宋" w:hAnsi="仿宋" w:eastAsia="仿宋" w:cs="仿宋"/>
          <w:sz w:val="24"/>
        </w:rPr>
        <w:t>3、未满足招标文件要求的投标单位，不予评分。</w:t>
      </w:r>
    </w:p>
    <w:p>
      <w:pPr>
        <w:spacing w:line="440" w:lineRule="exact"/>
        <w:ind w:firstLine="480" w:firstLineChars="200"/>
        <w:rPr>
          <w:rFonts w:ascii="仿宋" w:hAnsi="仿宋" w:eastAsia="仿宋" w:cs="仿宋"/>
          <w:b/>
          <w:sz w:val="24"/>
        </w:rPr>
      </w:pPr>
      <w:r>
        <w:rPr>
          <w:rFonts w:hint="eastAsia" w:ascii="仿宋" w:hAnsi="仿宋" w:eastAsia="仿宋" w:cs="仿宋"/>
          <w:sz w:val="24"/>
        </w:rPr>
        <w:t>4、评标打分应当按照技术部分、商务部分、报价部分的顺序进行。</w:t>
      </w:r>
    </w:p>
    <w:p>
      <w:pPr>
        <w:spacing w:line="440" w:lineRule="exact"/>
        <w:ind w:firstLine="480" w:firstLineChars="200"/>
        <w:rPr>
          <w:rFonts w:ascii="仿宋" w:hAnsi="仿宋" w:eastAsia="仿宋" w:cs="仿宋"/>
          <w:b/>
          <w:sz w:val="24"/>
        </w:rPr>
      </w:pPr>
      <w:r>
        <w:rPr>
          <w:rFonts w:hint="eastAsia" w:ascii="仿宋" w:hAnsi="仿宋" w:eastAsia="仿宋" w:cs="仿宋"/>
          <w:sz w:val="24"/>
        </w:rPr>
        <w:t>5、技术、商务部分应按各小项分档打分，并要载明具体打分时的增减原因，即具体评估（价）的依据及理由。投标文件中各小项指标相近的，打分应属同一档次。在招标方同意的情况下，允许评标委员会小组各成员根据招标书文件部分要求的技术、功能和表格部分的性能指标要求，可以按各投标文件（投标书和产品技术说明书）实际情况在档次打分范围内调整分值。</w:t>
      </w:r>
    </w:p>
    <w:p>
      <w:pPr>
        <w:spacing w:line="440" w:lineRule="exact"/>
        <w:ind w:firstLine="480" w:firstLineChars="200"/>
        <w:rPr>
          <w:rFonts w:ascii="仿宋" w:hAnsi="仿宋" w:eastAsia="仿宋" w:cs="仿宋"/>
          <w:sz w:val="24"/>
        </w:rPr>
      </w:pPr>
      <w:r>
        <w:rPr>
          <w:rFonts w:hint="eastAsia" w:ascii="仿宋" w:hAnsi="仿宋" w:eastAsia="仿宋" w:cs="仿宋"/>
          <w:sz w:val="24"/>
        </w:rPr>
        <w:t>6、打分采取百分制，其中商务、技术部分占总分的7</w:t>
      </w:r>
      <w:r>
        <w:rPr>
          <w:rFonts w:hint="eastAsia" w:ascii="仿宋" w:hAnsi="仿宋" w:eastAsia="仿宋" w:cs="仿宋"/>
          <w:sz w:val="24"/>
          <w:u w:val="single"/>
        </w:rPr>
        <w:t>0%</w:t>
      </w:r>
      <w:r>
        <w:rPr>
          <w:rFonts w:hint="eastAsia" w:ascii="仿宋" w:hAnsi="仿宋" w:eastAsia="仿宋" w:cs="仿宋"/>
          <w:sz w:val="24"/>
        </w:rPr>
        <w:t>，价格部分占总分的</w:t>
      </w:r>
      <w:r>
        <w:rPr>
          <w:rFonts w:hint="eastAsia" w:ascii="仿宋" w:hAnsi="仿宋" w:eastAsia="仿宋" w:cs="仿宋"/>
          <w:sz w:val="24"/>
          <w:u w:val="single"/>
        </w:rPr>
        <w:t>30%。</w:t>
      </w:r>
    </w:p>
    <w:p>
      <w:pPr>
        <w:spacing w:line="440" w:lineRule="exact"/>
        <w:ind w:firstLine="480" w:firstLineChars="200"/>
        <w:rPr>
          <w:rFonts w:ascii="仿宋" w:hAnsi="仿宋" w:eastAsia="仿宋" w:cs="仿宋"/>
          <w:sz w:val="24"/>
        </w:rPr>
      </w:pPr>
      <w:r>
        <w:rPr>
          <w:rFonts w:hint="eastAsia" w:ascii="仿宋" w:hAnsi="仿宋" w:eastAsia="仿宋" w:cs="仿宋"/>
          <w:sz w:val="24"/>
        </w:rPr>
        <w:t>7、招标方核对汇总评标委员会各成员评分时，将计算出每一个投标单位技术部分和商务部分所得分数的合计数后，再计算出其合计数的算术平均数，评标委员会小组成员技术部分和商务部分合计评分的算术平均数加上该投标单位报价部分的得分后，即为该投标单位的最后综合得分。</w:t>
      </w:r>
    </w:p>
    <w:p>
      <w:pPr>
        <w:tabs>
          <w:tab w:val="left" w:pos="8280"/>
        </w:tabs>
        <w:spacing w:line="440" w:lineRule="exact"/>
        <w:ind w:right="-1" w:firstLine="540" w:firstLineChars="225"/>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由招标方核对录入和汇总计算出每一个投标单位的所得分数值，</w:t>
      </w:r>
      <w:r>
        <w:rPr>
          <w:rFonts w:hint="eastAsia" w:ascii="仿宋" w:hAnsi="仿宋" w:eastAsia="仿宋" w:cs="仿宋"/>
          <w:sz w:val="24"/>
        </w:rPr>
        <w:t>并由高到底排序后，须有评标委员会小组各成员署名确认。如出现得分相同的，</w:t>
      </w:r>
      <w:r>
        <w:rPr>
          <w:rFonts w:hint="eastAsia" w:ascii="仿宋" w:hAnsi="仿宋" w:eastAsia="仿宋" w:cs="仿宋"/>
          <w:sz w:val="24"/>
          <w:lang w:val="zh-CN"/>
        </w:rPr>
        <w:t>应按投标单位的报价由低到高顺序排列；得分且其报价相等的，则按核心技术指标优劣顺序排列。价格、技术指标的高</w:t>
      </w:r>
      <w:r>
        <w:rPr>
          <w:rFonts w:hint="eastAsia" w:ascii="仿宋" w:hAnsi="仿宋" w:eastAsia="仿宋" w:cs="仿宋"/>
          <w:sz w:val="24"/>
        </w:rPr>
        <w:t>低或优劣由评标委员各成员确认评定。</w:t>
      </w:r>
    </w:p>
    <w:p>
      <w:pPr>
        <w:pStyle w:val="2"/>
        <w:jc w:val="both"/>
      </w:pPr>
    </w:p>
    <w:p>
      <w:pPr>
        <w:numPr>
          <w:ilvl w:val="0"/>
          <w:numId w:val="5"/>
        </w:numPr>
        <w:snapToGrid w:val="0"/>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投标报价权重30%（满分30分）</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综合评分法中的价格分统一采用低价优先法计算，即满足投标文件要求且最后报价最低的</w:t>
      </w:r>
      <w:r>
        <w:rPr>
          <w:rFonts w:hint="eastAsia" w:ascii="仿宋" w:hAnsi="仿宋" w:eastAsia="仿宋" w:cs="仿宋"/>
          <w:bCs/>
          <w:sz w:val="24"/>
          <w:lang w:eastAsia="zh-CN"/>
        </w:rPr>
        <w:t>投标人</w:t>
      </w:r>
      <w:r>
        <w:rPr>
          <w:rFonts w:hint="eastAsia" w:ascii="仿宋" w:hAnsi="仿宋" w:eastAsia="仿宋" w:cs="仿宋"/>
          <w:bCs/>
          <w:sz w:val="24"/>
        </w:rPr>
        <w:t>的价格为评标基准价，其价格分为满分。其他投标人的价格分统一按照下列公式计算：</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投标报价得分=(评标基准价／评标报价)×投标报价权重</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根据中华人民共和国财政部、中华人民共和国工业和信息化部《政府采购促进中小企业发展暂行办法》（财库[20</w:t>
      </w:r>
      <w:r>
        <w:rPr>
          <w:rFonts w:hint="eastAsia" w:ascii="仿宋" w:hAnsi="仿宋" w:eastAsia="仿宋" w:cs="仿宋"/>
          <w:bCs/>
          <w:sz w:val="24"/>
          <w:lang w:val="en-US" w:eastAsia="zh-CN"/>
        </w:rPr>
        <w:t>20</w:t>
      </w:r>
      <w:r>
        <w:rPr>
          <w:rFonts w:hint="eastAsia" w:ascii="仿宋" w:hAnsi="仿宋" w:eastAsia="仿宋" w:cs="仿宋"/>
          <w:bCs/>
          <w:sz w:val="24"/>
        </w:rPr>
        <w:t>]</w:t>
      </w:r>
      <w:r>
        <w:rPr>
          <w:rFonts w:hint="eastAsia" w:ascii="仿宋" w:hAnsi="仿宋" w:eastAsia="仿宋" w:cs="仿宋"/>
          <w:bCs/>
          <w:sz w:val="24"/>
          <w:lang w:val="en-US" w:eastAsia="zh-CN"/>
        </w:rPr>
        <w:t>46</w:t>
      </w:r>
      <w:r>
        <w:rPr>
          <w:rFonts w:hint="eastAsia" w:ascii="仿宋" w:hAnsi="仿宋" w:eastAsia="仿宋" w:cs="仿宋"/>
          <w:bCs/>
          <w:sz w:val="24"/>
        </w:rPr>
        <w:t>号）文件的规定，属于中小企业评审优惠内容及幅度如下：</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（一）中小企业（含中型、小型、微型企业）应当同时符合以下条件：</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①提供本企业制造的货物、承担的项目或者服务，或者提供其他中小企业制造的货物。本项所称货物不包括使用大型企业注册商标的货物；</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②小型、微型企业提供中型企业制造的货物的，视同为中型企业。</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（二）价格扣除办法：</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①对小型和微型企业（或联合体各方均为小型、微型企业的）产品的价格给予6%的扣除，用扣除后的价格参与价格分的评审。</w:t>
      </w:r>
    </w:p>
    <w:p>
      <w:pPr>
        <w:snapToGrid w:val="0"/>
        <w:spacing w:line="360" w:lineRule="auto"/>
        <w:ind w:firstLine="480" w:firstLineChars="200"/>
        <w:jc w:val="left"/>
        <w:rPr>
          <w:rFonts w:hint="eastAsia"/>
          <w:lang w:val="en-US" w:eastAsia="zh-CN"/>
        </w:rPr>
      </w:pPr>
      <w:r>
        <w:rPr>
          <w:rFonts w:hint="eastAsia" w:ascii="仿宋" w:hAnsi="仿宋" w:eastAsia="仿宋" w:cs="仿宋"/>
          <w:sz w:val="24"/>
        </w:rPr>
        <w:t>注：评标报价=投标报价-所投中小微（监狱</w:t>
      </w:r>
      <w:r>
        <w:rPr>
          <w:rFonts w:hint="eastAsia" w:ascii="仿宋" w:hAnsi="仿宋" w:eastAsia="仿宋" w:cs="仿宋"/>
          <w:sz w:val="24"/>
          <w:lang w:eastAsia="zh-CN"/>
        </w:rPr>
        <w:t>、</w:t>
      </w:r>
      <w:r>
        <w:rPr>
          <w:rFonts w:hint="eastAsia" w:ascii="仿宋" w:hAnsi="仿宋" w:eastAsia="仿宋" w:cs="仿宋"/>
          <w:sz w:val="24"/>
          <w:lang w:val="en-US" w:eastAsia="zh-CN"/>
        </w:rPr>
        <w:t>残疾人</w:t>
      </w:r>
      <w:r>
        <w:rPr>
          <w:rFonts w:hint="eastAsia" w:ascii="仿宋" w:hAnsi="仿宋" w:eastAsia="仿宋" w:cs="仿宋"/>
          <w:sz w:val="24"/>
        </w:rPr>
        <w:t>）企业产品报价合计×6%</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（三）小型和微型企业适用价格扣除办法时应提供的相关资料：</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①、《中小企业声明函》；</w:t>
      </w:r>
    </w:p>
    <w:p>
      <w:pPr>
        <w:snapToGrid w:val="0"/>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②、提供所代理产品生产厂家的的小微企业</w:t>
      </w:r>
      <w:r>
        <w:rPr>
          <w:rFonts w:hint="eastAsia" w:ascii="仿宋" w:hAnsi="仿宋" w:eastAsia="仿宋" w:cs="仿宋"/>
          <w:bCs/>
          <w:sz w:val="24"/>
          <w:lang w:eastAsia="zh-CN"/>
        </w:rPr>
        <w:t>查询截图</w:t>
      </w:r>
      <w:r>
        <w:rPr>
          <w:rFonts w:hint="eastAsia" w:ascii="仿宋" w:hAnsi="仿宋" w:eastAsia="仿宋" w:cs="仿宋"/>
          <w:bCs/>
          <w:sz w:val="24"/>
        </w:rPr>
        <w:t>；</w:t>
      </w:r>
    </w:p>
    <w:p>
      <w:pPr>
        <w:snapToGrid w:val="0"/>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③、进口产品不享受中小企业评审优惠</w:t>
      </w:r>
      <w:r>
        <w:rPr>
          <w:rFonts w:hint="eastAsia" w:ascii="仿宋" w:hAnsi="仿宋" w:eastAsia="仿宋" w:cs="仿宋"/>
          <w:bCs/>
          <w:sz w:val="24"/>
          <w:lang w:eastAsia="zh-CN"/>
        </w:rPr>
        <w:t>。</w:t>
      </w:r>
    </w:p>
    <w:p>
      <w:pPr>
        <w:pStyle w:val="2"/>
        <w:jc w:val="left"/>
        <w:rPr>
          <w:rFonts w:hint="eastAsia" w:ascii="仿宋" w:hAnsi="仿宋" w:eastAsia="仿宋" w:cs="仿宋"/>
          <w:sz w:val="24"/>
          <w:szCs w:val="24"/>
        </w:rPr>
      </w:pPr>
      <w:r>
        <w:rPr>
          <w:rFonts w:hint="eastAsia" w:ascii="仿宋" w:hAnsi="仿宋" w:eastAsia="仿宋" w:cs="仿宋"/>
          <w:sz w:val="24"/>
          <w:szCs w:val="24"/>
        </w:rPr>
        <w:t>✳注：各投标</w:t>
      </w:r>
      <w:r>
        <w:rPr>
          <w:rFonts w:hint="eastAsia" w:ascii="仿宋" w:hAnsi="仿宋" w:eastAsia="仿宋" w:cs="仿宋"/>
          <w:sz w:val="24"/>
          <w:szCs w:val="24"/>
          <w:lang w:eastAsia="zh-CN"/>
        </w:rPr>
        <w:t>投标人</w:t>
      </w:r>
      <w:r>
        <w:rPr>
          <w:rFonts w:hint="eastAsia" w:ascii="仿宋" w:hAnsi="仿宋" w:eastAsia="仿宋" w:cs="仿宋"/>
          <w:sz w:val="24"/>
          <w:szCs w:val="24"/>
        </w:rPr>
        <w:t>不得采取恶意竞价方式投标，不得以低于成本的价格参与投标。如评标委员会一致认为</w:t>
      </w:r>
      <w:r>
        <w:rPr>
          <w:rFonts w:hint="eastAsia" w:ascii="仿宋" w:hAnsi="仿宋" w:eastAsia="仿宋" w:cs="仿宋"/>
          <w:sz w:val="24"/>
          <w:szCs w:val="24"/>
          <w:lang w:eastAsia="zh-CN"/>
        </w:rPr>
        <w:t>投标人</w:t>
      </w:r>
      <w:r>
        <w:rPr>
          <w:rFonts w:hint="eastAsia" w:ascii="仿宋" w:hAnsi="仿宋" w:eastAsia="仿宋" w:cs="仿宋"/>
          <w:sz w:val="24"/>
          <w:szCs w:val="24"/>
        </w:rPr>
        <w:t>恶意报价，其投标文件将作无效标处理。</w:t>
      </w:r>
    </w:p>
    <w:p>
      <w:pPr>
        <w:pStyle w:val="2"/>
      </w:pPr>
    </w:p>
    <w:p>
      <w:pPr>
        <w:tabs>
          <w:tab w:val="center" w:pos="4764"/>
          <w:tab w:val="left" w:pos="7173"/>
        </w:tabs>
        <w:jc w:val="left"/>
        <w:rPr>
          <w:rFonts w:hint="eastAsia" w:ascii="仿宋" w:hAnsi="仿宋" w:eastAsia="仿宋" w:cs="仿宋"/>
          <w:b/>
          <w:sz w:val="28"/>
          <w:szCs w:val="28"/>
        </w:rPr>
      </w:pPr>
      <w:bookmarkStart w:id="61" w:name="_Toc11627"/>
      <w:r>
        <w:rPr>
          <w:rFonts w:hint="eastAsia" w:ascii="仿宋" w:hAnsi="仿宋" w:eastAsia="仿宋" w:cs="仿宋"/>
          <w:b/>
          <w:sz w:val="28"/>
          <w:szCs w:val="28"/>
        </w:rPr>
        <w:tab/>
      </w:r>
      <w:r>
        <w:rPr>
          <w:rFonts w:hint="eastAsia" w:ascii="仿宋" w:hAnsi="仿宋" w:eastAsia="仿宋" w:cs="仿宋"/>
          <w:b/>
          <w:sz w:val="28"/>
          <w:szCs w:val="28"/>
        </w:rPr>
        <w:t>初步评审表</w:t>
      </w:r>
      <w:bookmarkEnd w:id="61"/>
    </w:p>
    <w:tbl>
      <w:tblPr>
        <w:tblStyle w:val="16"/>
        <w:tblW w:w="96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804"/>
        <w:gridCol w:w="7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20" w:type="dxa"/>
            <w:vMerge w:val="restart"/>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rPr>
            </w:pPr>
            <w:r>
              <w:rPr>
                <w:rFonts w:hint="eastAsia" w:ascii="仿宋" w:hAnsi="仿宋" w:eastAsia="仿宋" w:cs="仿宋"/>
                <w:color w:val="auto"/>
                <w:sz w:val="24"/>
              </w:rPr>
              <w:t>资格</w:t>
            </w:r>
          </w:p>
          <w:p>
            <w:pPr>
              <w:snapToGrid w:val="0"/>
              <w:spacing w:line="360" w:lineRule="auto"/>
              <w:jc w:val="center"/>
              <w:outlineLvl w:val="0"/>
              <w:rPr>
                <w:rFonts w:hint="eastAsia" w:ascii="仿宋" w:hAnsi="仿宋" w:eastAsia="仿宋" w:cs="仿宋"/>
                <w:color w:val="auto"/>
                <w:sz w:val="24"/>
              </w:rPr>
            </w:pPr>
            <w:r>
              <w:rPr>
                <w:rFonts w:hint="eastAsia" w:ascii="仿宋" w:hAnsi="仿宋" w:eastAsia="仿宋" w:cs="仿宋"/>
                <w:color w:val="auto"/>
                <w:sz w:val="24"/>
              </w:rPr>
              <w:t>审查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rPr>
            </w:pPr>
            <w:r>
              <w:rPr>
                <w:rFonts w:hint="eastAsia" w:ascii="仿宋" w:hAnsi="仿宋" w:eastAsia="仿宋" w:cs="仿宋"/>
                <w:color w:val="auto"/>
                <w:sz w:val="24"/>
              </w:rPr>
              <w:t>1</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rPr>
              <w:t xml:space="preserve">满足《中华人民共和国政府采购法》第二十二条规定。 </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①具有独立承担民事责任的能力；</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营业执照</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②具有良好的商业信誉和健全的</w:t>
            </w:r>
            <w:r>
              <w:rPr>
                <w:rFonts w:hint="eastAsia" w:ascii="仿宋" w:hAnsi="仿宋" w:eastAsia="仿宋" w:cs="仿宋"/>
                <w:color w:val="auto"/>
                <w:sz w:val="24"/>
                <w:lang w:val="en-US" w:eastAsia="zh-CN"/>
              </w:rPr>
              <w:fldChar w:fldCharType="begin"/>
            </w:r>
            <w:r>
              <w:rPr>
                <w:rFonts w:hint="eastAsia" w:ascii="仿宋" w:hAnsi="仿宋" w:eastAsia="仿宋" w:cs="仿宋"/>
                <w:color w:val="auto"/>
                <w:sz w:val="24"/>
                <w:lang w:val="en-US" w:eastAsia="zh-CN"/>
              </w:rPr>
              <w:instrText xml:space="preserve"> HYPERLINK "https://link.zhihu.com/?target=https://www.baidu.com/s?wd=%E8%B4%A2%E5%8A%A1%E4%BC%9A%E8%AE%A1%E5%88%B6%E5%BA%A6&amp;tn=SE_PcZhidaonwhc_ngpagmjz&amp;rsv_dl=gh_pc_zhidao" \t "_blank" </w:instrText>
            </w:r>
            <w:r>
              <w:rPr>
                <w:rFonts w:hint="eastAsia" w:ascii="仿宋" w:hAnsi="仿宋" w:eastAsia="仿宋" w:cs="仿宋"/>
                <w:color w:val="auto"/>
                <w:sz w:val="24"/>
                <w:lang w:val="en-US" w:eastAsia="zh-CN"/>
              </w:rPr>
              <w:fldChar w:fldCharType="separate"/>
            </w:r>
            <w:r>
              <w:rPr>
                <w:rFonts w:hint="eastAsia" w:ascii="仿宋" w:hAnsi="仿宋" w:eastAsia="仿宋" w:cs="仿宋"/>
                <w:color w:val="auto"/>
                <w:sz w:val="24"/>
              </w:rPr>
              <w:t>财务会计制度</w:t>
            </w:r>
            <w:r>
              <w:rPr>
                <w:rFonts w:hint="eastAsia" w:ascii="仿宋" w:hAnsi="仿宋" w:eastAsia="仿宋" w:cs="仿宋"/>
                <w:color w:val="auto"/>
                <w:sz w:val="24"/>
                <w:lang w:val="en-US" w:eastAsia="zh-CN"/>
              </w:rPr>
              <w:fldChar w:fldCharType="end"/>
            </w:r>
            <w:r>
              <w:rPr>
                <w:rFonts w:hint="eastAsia" w:ascii="仿宋" w:hAnsi="仿宋" w:eastAsia="仿宋" w:cs="仿宋"/>
                <w:color w:val="auto"/>
                <w:sz w:val="24"/>
                <w:lang w:val="en-US" w:eastAsia="zh-CN"/>
              </w:rPr>
              <w:t>；</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上一年度的财务审计报告，新成立的公司提供银行资信证明</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③具有履行合同所必需的设备和专业技术能力；</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投标人履行合同所必须的设备和专业技术能力的证明材料或声明</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④有依法缴纳税收和</w:t>
            </w:r>
            <w:r>
              <w:rPr>
                <w:rFonts w:hint="eastAsia" w:ascii="仿宋" w:hAnsi="仿宋" w:eastAsia="仿宋" w:cs="仿宋"/>
                <w:color w:val="auto"/>
                <w:sz w:val="24"/>
                <w:lang w:val="en-US" w:eastAsia="zh-CN"/>
              </w:rPr>
              <w:fldChar w:fldCharType="begin"/>
            </w:r>
            <w:r>
              <w:rPr>
                <w:rFonts w:hint="eastAsia" w:ascii="仿宋" w:hAnsi="仿宋" w:eastAsia="仿宋" w:cs="仿宋"/>
                <w:color w:val="auto"/>
                <w:sz w:val="24"/>
                <w:lang w:val="en-US" w:eastAsia="zh-CN"/>
              </w:rPr>
              <w:instrText xml:space="preserve"> HYPERLINK "https://link.zhihu.com/?target=https://www.baidu.com/s?wd=%E7%A4%BE%E4%BC%9A%E4%BF%9D%E9%9A%9C%E8%B5%84%E9%87%91&amp;tn=SE_PcZhidaonwhc_ngpagmjz&amp;rsv_dl=gh_pc_zhidao" \t "_blank" </w:instrText>
            </w:r>
            <w:r>
              <w:rPr>
                <w:rFonts w:hint="eastAsia" w:ascii="仿宋" w:hAnsi="仿宋" w:eastAsia="仿宋" w:cs="仿宋"/>
                <w:color w:val="auto"/>
                <w:sz w:val="24"/>
                <w:lang w:val="en-US" w:eastAsia="zh-CN"/>
              </w:rPr>
              <w:fldChar w:fldCharType="separate"/>
            </w:r>
            <w:r>
              <w:rPr>
                <w:rFonts w:hint="eastAsia" w:ascii="仿宋" w:hAnsi="仿宋" w:eastAsia="仿宋" w:cs="仿宋"/>
                <w:color w:val="auto"/>
                <w:sz w:val="24"/>
              </w:rPr>
              <w:t>社会保障资金</w:t>
            </w:r>
            <w:r>
              <w:rPr>
                <w:rFonts w:hint="eastAsia" w:ascii="仿宋" w:hAnsi="仿宋" w:eastAsia="仿宋" w:cs="仿宋"/>
                <w:color w:val="auto"/>
                <w:sz w:val="24"/>
                <w:lang w:val="en-US" w:eastAsia="zh-CN"/>
              </w:rPr>
              <w:fldChar w:fldCharType="end"/>
            </w:r>
            <w:r>
              <w:rPr>
                <w:rFonts w:hint="eastAsia" w:ascii="仿宋" w:hAnsi="仿宋" w:eastAsia="仿宋" w:cs="仿宋"/>
                <w:color w:val="auto"/>
                <w:sz w:val="24"/>
                <w:lang w:val="en-US" w:eastAsia="zh-CN"/>
              </w:rPr>
              <w:t>的良好记录；</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近两个月的社保证明</w:t>
            </w:r>
          </w:p>
          <w:p>
            <w:pPr>
              <w:snapToGrid w:val="0"/>
              <w:spacing w:line="36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⑤参加政府采购活动前三年内，在经营活动中没有重大违法记录；</w:t>
            </w:r>
          </w:p>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参加政府采购活动前3年内在经营活动中没有重大违法记录的书面声明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提供“信用中国”网站失信被执行人和“重大税收违法案件当事人名单”和“中国政府采购网站的政府采购严重违法失信行为名单”，查询结果页面截图（</w:t>
            </w:r>
            <w:r>
              <w:rPr>
                <w:rFonts w:hint="eastAsia" w:ascii="仿宋" w:hAnsi="仿宋" w:eastAsia="仿宋" w:cs="仿宋"/>
                <w:color w:val="auto"/>
                <w:sz w:val="24"/>
                <w:lang w:val="en-US" w:eastAsia="zh-CN"/>
              </w:rPr>
              <w:t>投标文件递交截止前10</w:t>
            </w:r>
            <w:r>
              <w:rPr>
                <w:rFonts w:hint="eastAsia" w:ascii="仿宋" w:hAnsi="仿宋" w:eastAsia="仿宋" w:cs="仿宋"/>
                <w:color w:val="auto"/>
                <w:sz w:val="24"/>
              </w:rPr>
              <w:t>日内截图加盖公章）；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b/>
                <w:bCs/>
                <w:color w:val="auto"/>
                <w:sz w:val="24"/>
                <w:lang w:eastAsia="zh-CN"/>
              </w:rPr>
            </w:pPr>
            <w:r>
              <w:rPr>
                <w:rFonts w:hint="eastAsia" w:ascii="仿宋" w:hAnsi="仿宋" w:eastAsia="仿宋" w:cs="仿宋"/>
                <w:color w:val="auto"/>
                <w:sz w:val="24"/>
                <w:lang w:val="en-US" w:eastAsia="zh-CN"/>
              </w:rPr>
              <w:t>3</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bCs/>
                <w:color w:val="auto"/>
                <w:sz w:val="24"/>
              </w:rPr>
              <w:t>法定代表人身份证明或授权委托书及被授权人身份证是否提供且有效</w:t>
            </w:r>
            <w:r>
              <w:rPr>
                <w:rFonts w:hint="eastAsia" w:ascii="仿宋" w:hAnsi="仿宋" w:eastAsia="仿宋" w:cs="仿宋"/>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投标保证金收据；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1120" w:type="dxa"/>
            <w:vMerge w:val="restart"/>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符合性审查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pStyle w:val="35"/>
              <w:snapToGrid w:val="0"/>
              <w:spacing w:line="360" w:lineRule="auto"/>
              <w:ind w:right="84" w:rightChars="40"/>
              <w:rPr>
                <w:rFonts w:hint="eastAsia" w:ascii="仿宋" w:hAnsi="仿宋" w:eastAsia="仿宋" w:cs="仿宋"/>
                <w:color w:val="auto"/>
              </w:rPr>
            </w:pPr>
            <w:r>
              <w:rPr>
                <w:rFonts w:hint="eastAsia" w:ascii="仿宋" w:hAnsi="仿宋" w:eastAsia="仿宋" w:cs="仿宋"/>
                <w:color w:val="auto"/>
                <w:sz w:val="24"/>
                <w:lang w:eastAsia="zh-CN"/>
              </w:rPr>
              <w:t>投标人</w:t>
            </w:r>
            <w:r>
              <w:rPr>
                <w:rFonts w:hint="eastAsia" w:ascii="仿宋" w:hAnsi="仿宋" w:eastAsia="仿宋" w:cs="仿宋"/>
                <w:color w:val="auto"/>
                <w:sz w:val="24"/>
              </w:rPr>
              <w:t>报价是否唯一；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pStyle w:val="35"/>
              <w:snapToGrid w:val="0"/>
              <w:spacing w:line="360" w:lineRule="auto"/>
              <w:ind w:right="84" w:rightChars="40"/>
              <w:rPr>
                <w:rFonts w:hint="eastAsia" w:ascii="仿宋" w:hAnsi="仿宋" w:eastAsia="仿宋" w:cs="仿宋"/>
                <w:color w:val="auto"/>
              </w:rPr>
            </w:pPr>
            <w:r>
              <w:rPr>
                <w:rFonts w:hint="eastAsia" w:ascii="仿宋" w:hAnsi="仿宋" w:eastAsia="仿宋" w:cs="仿宋"/>
                <w:color w:val="auto"/>
              </w:rPr>
              <w:t>投标文件封面是否有投标</w:t>
            </w:r>
            <w:r>
              <w:rPr>
                <w:rFonts w:hint="eastAsia" w:ascii="仿宋" w:hAnsi="仿宋" w:eastAsia="仿宋" w:cs="仿宋"/>
                <w:color w:val="auto"/>
                <w:lang w:eastAsia="zh-CN"/>
              </w:rPr>
              <w:t>投标人</w:t>
            </w:r>
            <w:r>
              <w:rPr>
                <w:rFonts w:hint="eastAsia" w:ascii="仿宋" w:hAnsi="仿宋" w:eastAsia="仿宋" w:cs="仿宋"/>
                <w:color w:val="auto"/>
              </w:rPr>
              <w:t>法定代表人或授权人签字和加盖了</w:t>
            </w:r>
            <w:r>
              <w:rPr>
                <w:rFonts w:hint="eastAsia" w:ascii="仿宋" w:hAnsi="仿宋" w:eastAsia="仿宋" w:cs="仿宋"/>
                <w:color w:val="auto"/>
                <w:lang w:eastAsia="zh-CN"/>
              </w:rPr>
              <w:t>投标人</w:t>
            </w:r>
            <w:r>
              <w:rPr>
                <w:rFonts w:hint="eastAsia" w:ascii="仿宋" w:hAnsi="仿宋" w:eastAsia="仿宋" w:cs="仿宋"/>
                <w:color w:val="auto"/>
              </w:rPr>
              <w:t>单位的公章；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3</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rPr>
              <w:t>交货期是否符合招标文件要求；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lang w:val="en-US" w:eastAsia="zh-CN"/>
              </w:rPr>
              <w:t>质保期</w:t>
            </w:r>
            <w:r>
              <w:rPr>
                <w:rFonts w:hint="eastAsia" w:ascii="仿宋" w:hAnsi="仿宋" w:eastAsia="仿宋" w:cs="仿宋"/>
                <w:color w:val="auto"/>
                <w:sz w:val="24"/>
              </w:rPr>
              <w:t>是否是否符合招标文件要求；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投标文件是否满足招标文件主要技术条款及实质性条款；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投标有效期是否符合文件的规定；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p>
        </w:tc>
        <w:tc>
          <w:tcPr>
            <w:tcW w:w="804" w:type="dxa"/>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仿宋" w:hAnsi="仿宋" w:eastAsia="仿宋" w:cs="仿宋"/>
                <w:color w:val="auto"/>
                <w:sz w:val="24"/>
              </w:rPr>
            </w:pPr>
            <w:r>
              <w:rPr>
                <w:rFonts w:hint="eastAsia" w:ascii="仿宋" w:hAnsi="仿宋" w:eastAsia="仿宋" w:cs="仿宋"/>
                <w:bCs/>
                <w:color w:val="auto"/>
                <w:sz w:val="24"/>
              </w:rPr>
              <w:t>投标文件格式符合第</w:t>
            </w:r>
            <w:r>
              <w:rPr>
                <w:rFonts w:hint="eastAsia" w:ascii="仿宋" w:hAnsi="仿宋" w:eastAsia="仿宋" w:cs="仿宋"/>
                <w:bCs/>
                <w:color w:val="auto"/>
                <w:sz w:val="24"/>
                <w:lang w:val="en-US" w:eastAsia="zh-CN"/>
              </w:rPr>
              <w:t>四</w:t>
            </w:r>
            <w:r>
              <w:rPr>
                <w:rFonts w:hint="eastAsia" w:ascii="仿宋" w:hAnsi="仿宋" w:eastAsia="仿宋" w:cs="仿宋"/>
                <w:bCs/>
                <w:color w:val="auto"/>
                <w:sz w:val="24"/>
                <w:lang w:eastAsia="zh-CN"/>
              </w:rPr>
              <w:t>部分</w:t>
            </w:r>
            <w:r>
              <w:rPr>
                <w:rFonts w:hint="eastAsia" w:ascii="仿宋" w:hAnsi="仿宋" w:eastAsia="仿宋" w:cs="仿宋"/>
                <w:bCs/>
                <w:color w:val="auto"/>
                <w:sz w:val="24"/>
              </w:rPr>
              <w:t>“投标文件格式”的要求</w:t>
            </w:r>
            <w:r>
              <w:rPr>
                <w:rFonts w:hint="eastAsia" w:ascii="仿宋" w:hAnsi="仿宋" w:eastAsia="仿宋" w:cs="仿宋"/>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968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初步评审需全部合格，合格后方可进入详细评审阶段。</w:t>
            </w:r>
          </w:p>
        </w:tc>
      </w:tr>
    </w:tbl>
    <w:p>
      <w:pPr>
        <w:spacing w:line="360" w:lineRule="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初步审查合格通过的供应商才能进入详细评审。</w:t>
      </w:r>
    </w:p>
    <w:p>
      <w:pPr>
        <w:ind w:firstLine="241" w:firstLineChars="100"/>
        <w:rPr>
          <w:rFonts w:ascii="仿宋" w:hAnsi="仿宋" w:eastAsia="仿宋" w:cs="仿宋"/>
          <w:b/>
          <w:bCs/>
          <w:color w:val="000000"/>
          <w:sz w:val="24"/>
        </w:rPr>
      </w:pPr>
      <w:bookmarkStart w:id="62" w:name="_Toc3891"/>
      <w:bookmarkStart w:id="63" w:name="_Toc6582"/>
      <w:r>
        <w:rPr>
          <w:rFonts w:hint="eastAsia" w:ascii="仿宋" w:hAnsi="仿宋" w:eastAsia="仿宋" w:cs="仿宋"/>
          <w:b/>
          <w:bCs/>
          <w:color w:val="000000"/>
          <w:sz w:val="24"/>
        </w:rPr>
        <w:t>商务、技术标得分加经济标得分为投标单位的综合得分。</w:t>
      </w:r>
    </w:p>
    <w:p>
      <w:pPr>
        <w:spacing w:line="440" w:lineRule="exact"/>
        <w:ind w:firstLine="241" w:firstLineChars="100"/>
        <w:jc w:val="both"/>
        <w:rPr>
          <w:rFonts w:ascii="仿宋" w:hAnsi="仿宋" w:eastAsia="仿宋" w:cs="仿宋"/>
          <w:b/>
          <w:bCs/>
          <w:color w:val="000000"/>
          <w:sz w:val="24"/>
        </w:rPr>
      </w:pPr>
      <w:r>
        <w:rPr>
          <w:rFonts w:hint="eastAsia" w:ascii="仿宋" w:hAnsi="仿宋" w:eastAsia="仿宋" w:cs="仿宋"/>
          <w:b/>
          <w:bCs/>
          <w:color w:val="000000"/>
          <w:sz w:val="24"/>
        </w:rPr>
        <w:t>综合得分最高者为中标候选单位，如有综合得分并列第一的情况出现，则报价低者中标。</w:t>
      </w:r>
    </w:p>
    <w:p>
      <w:pPr>
        <w:adjustRightInd w:val="0"/>
        <w:snapToGrid w:val="0"/>
        <w:spacing w:line="440" w:lineRule="exact"/>
        <w:ind w:firstLine="241" w:firstLineChars="100"/>
        <w:jc w:val="both"/>
        <w:rPr>
          <w:rFonts w:ascii="仿宋" w:hAnsi="仿宋" w:eastAsia="仿宋" w:cs="仿宋"/>
          <w:b/>
          <w:color w:val="000000"/>
          <w:sz w:val="24"/>
        </w:rPr>
      </w:pPr>
      <w:r>
        <w:rPr>
          <w:rFonts w:hint="eastAsia" w:ascii="仿宋" w:hAnsi="仿宋" w:eastAsia="仿宋" w:cs="仿宋"/>
          <w:b/>
          <w:color w:val="000000"/>
          <w:sz w:val="24"/>
        </w:rPr>
        <w:t>投标报价高于最高预算价按废标处理。</w:t>
      </w:r>
    </w:p>
    <w:p>
      <w:pPr>
        <w:rPr>
          <w:rFonts w:ascii="仿宋" w:hAnsi="仿宋" w:eastAsia="仿宋" w:cs="仿宋"/>
          <w:b/>
          <w:sz w:val="32"/>
          <w:szCs w:val="32"/>
        </w:rPr>
      </w:pPr>
      <w:r>
        <w:rPr>
          <w:rFonts w:hint="eastAsia" w:ascii="仿宋" w:hAnsi="仿宋" w:eastAsia="仿宋" w:cs="仿宋"/>
          <w:b/>
          <w:sz w:val="32"/>
          <w:szCs w:val="32"/>
        </w:rPr>
        <w:br w:type="page"/>
      </w:r>
    </w:p>
    <w:p>
      <w:pPr>
        <w:jc w:val="center"/>
        <w:rPr>
          <w:rFonts w:ascii="仿宋" w:hAnsi="仿宋" w:eastAsia="仿宋" w:cs="仿宋"/>
          <w:b/>
          <w:sz w:val="32"/>
          <w:szCs w:val="32"/>
        </w:rPr>
      </w:pPr>
      <w:r>
        <w:rPr>
          <w:rFonts w:hint="eastAsia" w:ascii="仿宋" w:hAnsi="仿宋" w:eastAsia="仿宋" w:cs="仿宋"/>
          <w:b/>
          <w:sz w:val="32"/>
          <w:szCs w:val="32"/>
        </w:rPr>
        <w:t>七、中标及合同签订</w:t>
      </w:r>
      <w:bookmarkEnd w:id="62"/>
      <w:bookmarkEnd w:id="63"/>
    </w:p>
    <w:p>
      <w:pPr>
        <w:spacing w:line="360" w:lineRule="auto"/>
        <w:ind w:firstLine="482" w:firstLineChars="200"/>
        <w:jc w:val="left"/>
        <w:rPr>
          <w:rFonts w:ascii="仿宋" w:hAnsi="仿宋" w:eastAsia="仿宋" w:cs="仿宋"/>
          <w:sz w:val="24"/>
        </w:rPr>
      </w:pPr>
      <w:bookmarkStart w:id="64" w:name="_Toc13949"/>
      <w:r>
        <w:rPr>
          <w:rFonts w:hint="eastAsia" w:ascii="仿宋" w:hAnsi="仿宋" w:eastAsia="仿宋" w:cs="仿宋"/>
          <w:b/>
          <w:bCs/>
          <w:sz w:val="24"/>
        </w:rPr>
        <w:t>（四十一）中标人</w:t>
      </w:r>
      <w:bookmarkEnd w:id="64"/>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根据评标委员会对各投标人满足招标文件实质性要求（所谓实质性响应，是指文件应与招标文件的所有实质性条款、条件和要求相符，无显著差异或保留（由评标委员会确定））、综合评分最高的为中标候选人。</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采购人从评标委员会提出的中标候选人中根据符合采购需求、质量和服务相等且综合得分最高的确定中标投标人。</w:t>
      </w:r>
    </w:p>
    <w:p>
      <w:pPr>
        <w:snapToGrid w:val="0"/>
        <w:spacing w:line="360" w:lineRule="auto"/>
        <w:ind w:firstLine="482" w:firstLineChars="200"/>
        <w:rPr>
          <w:rFonts w:ascii="仿宋" w:hAnsi="仿宋" w:eastAsia="仿宋" w:cs="仿宋"/>
          <w:sz w:val="24"/>
        </w:rPr>
      </w:pPr>
      <w:bookmarkStart w:id="65" w:name="_Toc20671"/>
      <w:r>
        <w:rPr>
          <w:rFonts w:hint="eastAsia" w:ascii="仿宋" w:hAnsi="仿宋" w:eastAsia="仿宋" w:cs="仿宋"/>
          <w:b/>
          <w:bCs/>
          <w:sz w:val="24"/>
        </w:rPr>
        <w:t>（四十二）资格后审</w:t>
      </w:r>
      <w:bookmarkEnd w:id="65"/>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采购人将在签订合同前对中标候选人是否能圆满地履行合同进行审查。审查包括中标候选人投标文件中提供的所有资格证明材料原件，中标候选人投标文件及补充承诺中涉及的其他相关资料原件，以及对本项目实施可能存在风险的其他因素。</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2、采购人若发现中标候选人在投标过程中提供虚假证明文件，故意隐瞒公司不良信誉和财务状况，以及存在可能对合同圆满履行造成风险的其他因素等，则按规定取消其中标资格，监管部门依法进行处理。</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3、如果中标候选投标人被确认为不具备执行合同的能力，采购人将考虑按同样的程序审查下一个中标候选人。</w:t>
      </w:r>
    </w:p>
    <w:p>
      <w:pPr>
        <w:spacing w:line="360" w:lineRule="auto"/>
        <w:ind w:firstLine="482" w:firstLineChars="200"/>
        <w:jc w:val="left"/>
        <w:rPr>
          <w:rFonts w:ascii="仿宋" w:hAnsi="仿宋" w:eastAsia="仿宋" w:cs="仿宋"/>
          <w:sz w:val="24"/>
        </w:rPr>
      </w:pPr>
      <w:bookmarkStart w:id="66" w:name="_Toc30221"/>
      <w:r>
        <w:rPr>
          <w:rFonts w:hint="eastAsia" w:ascii="仿宋" w:hAnsi="仿宋" w:eastAsia="仿宋" w:cs="仿宋"/>
          <w:b/>
          <w:bCs/>
          <w:sz w:val="24"/>
        </w:rPr>
        <w:t>（四十三）中标通知书</w:t>
      </w:r>
      <w:bookmarkEnd w:id="66"/>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1、中标结果在财政部门指定信息媒体（新疆维吾尔自治区政府采购网）上发布公告后，向中标人发出中标通知书。</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2、中标人应及时领取中标通知书，中标通知书是签订合同的依据和组成部分。</w:t>
      </w:r>
    </w:p>
    <w:p>
      <w:pPr>
        <w:spacing w:line="360" w:lineRule="auto"/>
        <w:ind w:firstLine="482" w:firstLineChars="200"/>
        <w:jc w:val="left"/>
        <w:rPr>
          <w:rFonts w:ascii="仿宋" w:hAnsi="仿宋" w:eastAsia="仿宋" w:cs="仿宋"/>
          <w:sz w:val="24"/>
        </w:rPr>
      </w:pPr>
      <w:bookmarkStart w:id="67" w:name="_Toc31892"/>
      <w:r>
        <w:rPr>
          <w:rFonts w:hint="eastAsia" w:ascii="仿宋" w:hAnsi="仿宋" w:eastAsia="仿宋" w:cs="仿宋"/>
          <w:b/>
          <w:bCs/>
          <w:sz w:val="24"/>
        </w:rPr>
        <w:t>（四十四）签订合同</w:t>
      </w:r>
      <w:bookmarkEnd w:id="67"/>
    </w:p>
    <w:p>
      <w:pPr>
        <w:spacing w:line="360" w:lineRule="auto"/>
        <w:ind w:firstLine="480" w:firstLineChars="200"/>
        <w:rPr>
          <w:rFonts w:ascii="仿宋" w:hAnsi="仿宋" w:eastAsia="仿宋" w:cs="仿宋"/>
          <w:b/>
          <w:sz w:val="24"/>
        </w:rPr>
      </w:pPr>
      <w:r>
        <w:rPr>
          <w:rFonts w:hint="eastAsia" w:ascii="仿宋" w:hAnsi="仿宋" w:eastAsia="仿宋" w:cs="仿宋"/>
          <w:sz w:val="24"/>
        </w:rPr>
        <w:t>中标人应在规定的时间、地点与采购人签订合同，招标文件、中标人的投标文件、分次报价及服务承诺文件以及评标过程中有关澄清文件均作为合同附件，</w:t>
      </w:r>
      <w:r>
        <w:rPr>
          <w:rFonts w:hint="eastAsia" w:ascii="仿宋" w:hAnsi="仿宋" w:eastAsia="仿宋" w:cs="仿宋"/>
          <w:b/>
          <w:sz w:val="24"/>
        </w:rPr>
        <w:t>合同经采购人审核盖章后实施</w:t>
      </w:r>
      <w:r>
        <w:rPr>
          <w:rFonts w:hint="eastAsia" w:ascii="仿宋" w:hAnsi="仿宋" w:eastAsia="仿宋" w:cs="仿宋"/>
          <w:sz w:val="24"/>
        </w:rPr>
        <w:t>。</w:t>
      </w:r>
      <w:r>
        <w:rPr>
          <w:rFonts w:hint="eastAsia" w:ascii="仿宋" w:hAnsi="仿宋" w:eastAsia="仿宋" w:cs="仿宋"/>
          <w:b/>
          <w:sz w:val="24"/>
        </w:rPr>
        <w:t>项目数量增减、合同条款变更、预算追加等按规定报批后，另行签订补充合同。</w:t>
      </w:r>
    </w:p>
    <w:p>
      <w:pPr>
        <w:spacing w:line="360" w:lineRule="auto"/>
        <w:ind w:left="2" w:firstLine="480" w:firstLineChars="200"/>
        <w:rPr>
          <w:rFonts w:ascii="仿宋" w:hAnsi="仿宋" w:eastAsia="仿宋" w:cs="仿宋"/>
          <w:sz w:val="24"/>
        </w:rPr>
      </w:pPr>
      <w:r>
        <w:rPr>
          <w:rFonts w:hint="eastAsia" w:ascii="仿宋" w:hAnsi="仿宋" w:eastAsia="仿宋" w:cs="仿宋"/>
          <w:sz w:val="24"/>
        </w:rPr>
        <w:t>1、中标人无正当理由未在规定时间内与采购人签订合同的，采购人有权建议取消其中标资格，监管部门将对其依法处理。</w:t>
      </w:r>
    </w:p>
    <w:p>
      <w:pPr>
        <w:spacing w:line="360" w:lineRule="auto"/>
        <w:ind w:left="2" w:firstLine="480" w:firstLineChars="200"/>
        <w:rPr>
          <w:rFonts w:ascii="仿宋" w:hAnsi="仿宋" w:eastAsia="仿宋" w:cs="仿宋"/>
          <w:sz w:val="24"/>
        </w:rPr>
      </w:pPr>
      <w:r>
        <w:rPr>
          <w:rFonts w:hint="eastAsia" w:ascii="仿宋" w:hAnsi="仿宋" w:eastAsia="仿宋" w:cs="仿宋"/>
          <w:sz w:val="24"/>
        </w:rPr>
        <w:t>2、采购人不得向中标人提出任何不合理的要求，作为签订合同的条件；不得与中标人私下订立背离合同实质性内容的协议。</w:t>
      </w:r>
    </w:p>
    <w:p>
      <w:pPr>
        <w:spacing w:line="360" w:lineRule="auto"/>
        <w:ind w:left="1" w:firstLine="480" w:firstLineChars="200"/>
        <w:rPr>
          <w:rFonts w:ascii="仿宋" w:hAnsi="仿宋" w:eastAsia="仿宋" w:cs="仿宋"/>
          <w:sz w:val="24"/>
        </w:rPr>
      </w:pPr>
      <w:r>
        <w:rPr>
          <w:rFonts w:hint="eastAsia" w:ascii="仿宋" w:hAnsi="仿宋" w:eastAsia="仿宋" w:cs="仿宋"/>
          <w:sz w:val="24"/>
        </w:rPr>
        <w:t>3、中标人因不可抗力或自身原因不能签订采购合同或者不能履行合同的，参照财政部87号令，采购人可以按中标候选顺序确定新的中标人并签订合同，以此类推，或重新进行采购。</w:t>
      </w:r>
    </w:p>
    <w:p>
      <w:pPr>
        <w:spacing w:line="360" w:lineRule="auto"/>
        <w:ind w:firstLine="360" w:firstLineChars="150"/>
        <w:rPr>
          <w:rFonts w:ascii="仿宋" w:hAnsi="仿宋" w:eastAsia="仿宋" w:cs="仿宋"/>
          <w:sz w:val="24"/>
        </w:rPr>
      </w:pPr>
      <w:r>
        <w:rPr>
          <w:rFonts w:hint="eastAsia" w:ascii="仿宋" w:hAnsi="仿宋" w:eastAsia="仿宋" w:cs="仿宋"/>
          <w:sz w:val="24"/>
        </w:rPr>
        <w:t>4、采购人在授予合同时有权对本文件规定的货物和服务予以适当的增加或减少，但不得改变单价或其他条款和条件。</w:t>
      </w:r>
    </w:p>
    <w:p>
      <w:pPr>
        <w:spacing w:line="360" w:lineRule="auto"/>
        <w:ind w:left="122" w:leftChars="58" w:firstLine="361" w:firstLineChars="150"/>
        <w:rPr>
          <w:rFonts w:ascii="仿宋" w:hAnsi="仿宋" w:eastAsia="仿宋" w:cs="仿宋"/>
          <w:b/>
          <w:sz w:val="24"/>
        </w:rPr>
      </w:pPr>
      <w:r>
        <w:rPr>
          <w:rFonts w:hint="eastAsia" w:ascii="仿宋" w:hAnsi="仿宋" w:eastAsia="仿宋" w:cs="仿宋"/>
          <w:b/>
          <w:sz w:val="24"/>
        </w:rPr>
        <w:t>合同履行中，追加采购与合同标的相同的货物或服务的，按规定报批后，签订补充合同。</w:t>
      </w:r>
    </w:p>
    <w:p>
      <w:pPr>
        <w:spacing w:line="360" w:lineRule="auto"/>
        <w:ind w:left="2" w:firstLine="480" w:firstLineChars="200"/>
        <w:rPr>
          <w:rFonts w:ascii="仿宋" w:hAnsi="仿宋" w:eastAsia="仿宋" w:cs="仿宋"/>
          <w:sz w:val="24"/>
        </w:rPr>
      </w:pPr>
      <w:r>
        <w:rPr>
          <w:rFonts w:hint="eastAsia" w:ascii="仿宋" w:hAnsi="仿宋" w:eastAsia="仿宋" w:cs="仿宋"/>
          <w:sz w:val="24"/>
        </w:rPr>
        <w:t>5、中标人应当按照合同约定履行义务，完成中标项目，不得将中标项目转让给他人。除本文件另有规定外，也不得将中标项目进行分包给他人。</w:t>
      </w:r>
    </w:p>
    <w:p>
      <w:pPr>
        <w:spacing w:line="360" w:lineRule="auto"/>
        <w:jc w:val="center"/>
        <w:outlineLvl w:val="1"/>
        <w:rPr>
          <w:rFonts w:ascii="仿宋" w:hAnsi="仿宋" w:eastAsia="仿宋" w:cs="仿宋"/>
          <w:b/>
          <w:sz w:val="32"/>
          <w:szCs w:val="32"/>
        </w:rPr>
      </w:pPr>
      <w:bookmarkStart w:id="68" w:name="_Toc5345"/>
      <w:bookmarkStart w:id="69" w:name="_Toc21153"/>
    </w:p>
    <w:p>
      <w:pPr>
        <w:spacing w:line="360" w:lineRule="auto"/>
        <w:jc w:val="center"/>
        <w:outlineLvl w:val="1"/>
        <w:rPr>
          <w:rFonts w:ascii="仿宋" w:hAnsi="仿宋" w:eastAsia="仿宋" w:cs="仿宋"/>
          <w:b/>
          <w:sz w:val="32"/>
          <w:szCs w:val="32"/>
        </w:rPr>
      </w:pPr>
      <w:r>
        <w:rPr>
          <w:rFonts w:hint="eastAsia" w:ascii="仿宋" w:hAnsi="仿宋" w:eastAsia="仿宋" w:cs="仿宋"/>
          <w:b/>
          <w:sz w:val="32"/>
          <w:szCs w:val="32"/>
        </w:rPr>
        <w:t>八、验收及付款</w:t>
      </w:r>
      <w:bookmarkEnd w:id="68"/>
      <w:bookmarkEnd w:id="69"/>
    </w:p>
    <w:p>
      <w:pPr>
        <w:spacing w:line="360" w:lineRule="auto"/>
        <w:ind w:firstLine="482" w:firstLineChars="200"/>
        <w:jc w:val="left"/>
        <w:rPr>
          <w:rFonts w:ascii="仿宋" w:hAnsi="仿宋" w:eastAsia="仿宋" w:cs="仿宋"/>
          <w:b/>
          <w:bCs/>
          <w:sz w:val="24"/>
        </w:rPr>
      </w:pPr>
      <w:bookmarkStart w:id="70" w:name="_Toc5999"/>
      <w:r>
        <w:rPr>
          <w:rFonts w:hint="eastAsia" w:ascii="仿宋" w:hAnsi="仿宋" w:eastAsia="仿宋" w:cs="仿宋"/>
          <w:b/>
          <w:bCs/>
          <w:sz w:val="24"/>
        </w:rPr>
        <w:t>（四十五）验收</w:t>
      </w:r>
      <w:bookmarkEnd w:id="70"/>
    </w:p>
    <w:p>
      <w:pPr>
        <w:spacing w:line="360" w:lineRule="auto"/>
        <w:ind w:right="105" w:rightChars="50" w:firstLine="480" w:firstLineChars="200"/>
        <w:jc w:val="left"/>
        <w:rPr>
          <w:rFonts w:ascii="仿宋" w:hAnsi="仿宋" w:eastAsia="仿宋" w:cs="仿宋"/>
          <w:sz w:val="24"/>
        </w:rPr>
      </w:pPr>
      <w:r>
        <w:rPr>
          <w:rFonts w:hint="eastAsia" w:ascii="仿宋" w:hAnsi="仿宋" w:eastAsia="仿宋" w:cs="仿宋"/>
          <w:sz w:val="24"/>
        </w:rPr>
        <w:t>1、采购单位组建验收小组，验收小组由单位纪检人员、技术人员等三人以上组成，按</w:t>
      </w:r>
      <w:r>
        <w:rPr>
          <w:rFonts w:hint="eastAsia" w:ascii="仿宋" w:hAnsi="仿宋" w:eastAsia="仿宋" w:cs="仿宋"/>
          <w:bCs/>
          <w:sz w:val="24"/>
        </w:rPr>
        <w:t>采购合同约定的时间组织验收。</w:t>
      </w:r>
    </w:p>
    <w:p>
      <w:pPr>
        <w:spacing w:line="360" w:lineRule="auto"/>
        <w:ind w:firstLine="482" w:firstLineChars="200"/>
        <w:jc w:val="left"/>
        <w:rPr>
          <w:rFonts w:ascii="仿宋" w:hAnsi="仿宋" w:eastAsia="仿宋" w:cs="仿宋"/>
          <w:b/>
          <w:bCs/>
          <w:sz w:val="24"/>
        </w:rPr>
      </w:pPr>
      <w:bookmarkStart w:id="71" w:name="_Toc12375"/>
      <w:r>
        <w:rPr>
          <w:rFonts w:hint="eastAsia" w:ascii="仿宋" w:hAnsi="仿宋" w:eastAsia="仿宋" w:cs="仿宋"/>
          <w:b/>
          <w:bCs/>
          <w:sz w:val="24"/>
        </w:rPr>
        <w:t>（四十六）项目办结及付款</w:t>
      </w:r>
      <w:bookmarkEnd w:id="71"/>
    </w:p>
    <w:p>
      <w:pPr>
        <w:spacing w:line="360" w:lineRule="auto"/>
        <w:ind w:firstLine="480" w:firstLineChars="200"/>
        <w:jc w:val="left"/>
        <w:rPr>
          <w:rFonts w:ascii="仿宋" w:hAnsi="仿宋" w:eastAsia="仿宋" w:cs="仿宋"/>
          <w:b/>
          <w:sz w:val="32"/>
          <w:szCs w:val="32"/>
        </w:rPr>
      </w:pPr>
      <w:r>
        <w:rPr>
          <w:rFonts w:hint="eastAsia" w:ascii="仿宋" w:hAnsi="仿宋" w:eastAsia="仿宋" w:cs="仿宋"/>
          <w:sz w:val="24"/>
        </w:rPr>
        <w:t>采购人凭项目合同、验收报告和经政府采购处签章的发票原件在合同约定的时间内办理采购款支付手续。</w:t>
      </w:r>
    </w:p>
    <w:p>
      <w:pPr>
        <w:spacing w:line="360" w:lineRule="auto"/>
        <w:jc w:val="center"/>
        <w:outlineLvl w:val="1"/>
        <w:rPr>
          <w:rFonts w:ascii="仿宋" w:hAnsi="仿宋" w:eastAsia="仿宋" w:cs="仿宋"/>
          <w:b/>
          <w:sz w:val="32"/>
          <w:szCs w:val="32"/>
        </w:rPr>
      </w:pPr>
      <w:bookmarkStart w:id="72" w:name="_Toc21036"/>
      <w:bookmarkStart w:id="73" w:name="_Toc18132"/>
      <w:r>
        <w:rPr>
          <w:rFonts w:hint="eastAsia" w:ascii="仿宋" w:hAnsi="仿宋" w:eastAsia="仿宋" w:cs="仿宋"/>
          <w:b/>
          <w:sz w:val="32"/>
          <w:szCs w:val="32"/>
        </w:rPr>
        <w:t>九、法律责任</w:t>
      </w:r>
      <w:bookmarkEnd w:id="72"/>
      <w:bookmarkEnd w:id="73"/>
    </w:p>
    <w:p>
      <w:pPr>
        <w:spacing w:line="360" w:lineRule="auto"/>
        <w:ind w:left="718" w:leftChars="1" w:hanging="716" w:hangingChars="297"/>
        <w:rPr>
          <w:rFonts w:ascii="仿宋" w:hAnsi="仿宋" w:eastAsia="仿宋" w:cs="仿宋"/>
          <w:b/>
          <w:sz w:val="24"/>
        </w:rPr>
      </w:pPr>
      <w:bookmarkStart w:id="74" w:name="_Toc22257"/>
      <w:r>
        <w:rPr>
          <w:rFonts w:hint="eastAsia" w:ascii="仿宋" w:hAnsi="仿宋" w:eastAsia="仿宋" w:cs="仿宋"/>
          <w:b/>
          <w:sz w:val="24"/>
        </w:rPr>
        <w:t xml:space="preserve">    （四十七）法律责任</w:t>
      </w:r>
      <w:bookmarkEnd w:id="74"/>
    </w:p>
    <w:p>
      <w:pPr>
        <w:spacing w:line="360" w:lineRule="auto"/>
        <w:ind w:firstLine="480" w:firstLineChars="200"/>
        <w:jc w:val="left"/>
        <w:rPr>
          <w:rFonts w:ascii="仿宋" w:hAnsi="仿宋" w:eastAsia="仿宋" w:cs="仿宋"/>
          <w:sz w:val="24"/>
        </w:rPr>
      </w:pPr>
      <w:bookmarkStart w:id="75" w:name="_Toc1613"/>
      <w:bookmarkStart w:id="76" w:name="_Toc21912"/>
      <w:r>
        <w:rPr>
          <w:rFonts w:hint="eastAsia" w:ascii="仿宋" w:hAnsi="仿宋" w:eastAsia="仿宋" w:cs="仿宋"/>
          <w:sz w:val="24"/>
        </w:rPr>
        <w:t>投标人有下列情形之一的，处以采购项目采购金额千分之五以上千分之十以下的罚款，列入不良行为记录名单，在一至三年内禁止参加我公司的招标采购活动，并予以公告，有违法所得的，并处没收违法所得，构成犯罪的，依法追究刑事责任：</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7" w:name="_Toc20745_WPSOffice_Level2"/>
      <w:r>
        <w:rPr>
          <w:rFonts w:hint="eastAsia" w:ascii="仿宋" w:hAnsi="仿宋" w:eastAsia="仿宋" w:cs="仿宋"/>
          <w:sz w:val="24"/>
        </w:rPr>
        <w:t>1、提供虚假材料谋取中标的；</w:t>
      </w:r>
      <w:bookmarkEnd w:id="77"/>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8" w:name="_Toc12413_WPSOffice_Level2"/>
      <w:r>
        <w:rPr>
          <w:rFonts w:hint="eastAsia" w:ascii="仿宋" w:hAnsi="仿宋" w:eastAsia="仿宋" w:cs="仿宋"/>
          <w:sz w:val="24"/>
        </w:rPr>
        <w:t>2、采取不正当手段诋毁、排挤其他投标人的；</w:t>
      </w:r>
      <w:bookmarkEnd w:id="78"/>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9" w:name="_Toc11321_WPSOffice_Level2"/>
      <w:r>
        <w:rPr>
          <w:rFonts w:hint="eastAsia" w:ascii="仿宋" w:hAnsi="仿宋" w:eastAsia="仿宋" w:cs="仿宋"/>
          <w:sz w:val="24"/>
        </w:rPr>
        <w:t>3、与招标人、其他投标人或采购代理机构恶意串通的；</w:t>
      </w:r>
      <w:bookmarkEnd w:id="79"/>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80" w:name="_Toc28466_WPSOffice_Level2"/>
      <w:r>
        <w:rPr>
          <w:rFonts w:hint="eastAsia" w:ascii="仿宋" w:hAnsi="仿宋" w:eastAsia="仿宋" w:cs="仿宋"/>
          <w:sz w:val="24"/>
        </w:rPr>
        <w:t>4、向招标人、采购代理机构行贿或者提供其他不正当利益的；</w:t>
      </w:r>
      <w:bookmarkEnd w:id="80"/>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投标人有前款情形之一的，中标无效。</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中标人有下列情形之一的，招标采购单位不予退还其交纳的投标保证金；情节严重的，将列入不良行为记录名单，在一至三年内禁止参加我公司招标采购活动，并予以通报：</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1、中标后无正当理由不与招标人签订合同，或者与招标人另行订立背离合同实质性内容的协议的；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2、将中标项目转让给他人，或者在投标文件中未说明，且未经招标人同意，将中标项目分包给他人的；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3、拒绝履行合同义务的。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中标人有前款情形之一的，中标无效。</w:t>
      </w:r>
    </w:p>
    <w:p>
      <w:pPr>
        <w:spacing w:line="360" w:lineRule="auto"/>
        <w:ind w:left="1" w:firstLine="482" w:firstLineChars="200"/>
        <w:rPr>
          <w:rFonts w:ascii="仿宋" w:hAnsi="仿宋" w:eastAsia="仿宋" w:cs="仿宋"/>
          <w:b/>
          <w:bCs/>
          <w:sz w:val="24"/>
        </w:rPr>
      </w:pPr>
      <w:r>
        <w:rPr>
          <w:rFonts w:hint="eastAsia" w:ascii="仿宋" w:hAnsi="仿宋" w:eastAsia="仿宋" w:cs="仿宋"/>
          <w:b/>
          <w:bCs/>
          <w:sz w:val="24"/>
        </w:rPr>
        <w:t>本招标文件依据《中华人民共和国政府采购法》规定编制，解释权属新疆凌云天成工程管理咨询有限公司。</w:t>
      </w:r>
    </w:p>
    <w:bookmarkEnd w:id="75"/>
    <w:bookmarkEnd w:id="76"/>
    <w:p>
      <w:pPr>
        <w:rPr>
          <w:rFonts w:ascii="仿宋" w:hAnsi="仿宋" w:eastAsia="仿宋" w:cs="仿宋"/>
          <w:b/>
          <w:bCs/>
          <w:sz w:val="36"/>
          <w:szCs w:val="36"/>
        </w:rPr>
      </w:pPr>
      <w:bookmarkStart w:id="81" w:name="_Toc5426"/>
      <w:bookmarkStart w:id="82" w:name="_Toc8586"/>
      <w:bookmarkStart w:id="83" w:name="_Toc25157"/>
      <w:bookmarkStart w:id="84" w:name="_Toc31101"/>
      <w:bookmarkStart w:id="85" w:name="_Toc31234"/>
      <w:bookmarkStart w:id="86" w:name="_Toc603"/>
      <w:bookmarkStart w:id="87" w:name="_Toc2509"/>
      <w:r>
        <w:rPr>
          <w:rFonts w:hint="eastAsia" w:ascii="仿宋" w:hAnsi="仿宋" w:eastAsia="仿宋" w:cs="仿宋"/>
          <w:b/>
          <w:bCs/>
          <w:sz w:val="36"/>
          <w:szCs w:val="36"/>
        </w:rPr>
        <w:br w:type="page"/>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第三部分  授予合同</w:t>
      </w:r>
      <w:bookmarkEnd w:id="81"/>
      <w:bookmarkEnd w:id="82"/>
      <w:bookmarkEnd w:id="83"/>
      <w:bookmarkEnd w:id="84"/>
      <w:bookmarkEnd w:id="85"/>
    </w:p>
    <w:bookmarkEnd w:id="86"/>
    <w:bookmarkEnd w:id="87"/>
    <w:p>
      <w:pPr>
        <w:spacing w:line="360" w:lineRule="auto"/>
        <w:jc w:val="center"/>
        <w:rPr>
          <w:rFonts w:ascii="仿宋" w:hAnsi="仿宋" w:eastAsia="仿宋" w:cs="仿宋"/>
          <w:b/>
          <w:bCs/>
          <w:color w:val="000000"/>
          <w:sz w:val="30"/>
          <w:szCs w:val="30"/>
        </w:rPr>
      </w:pPr>
      <w:bookmarkStart w:id="88" w:name="_Toc21688"/>
      <w:bookmarkStart w:id="89" w:name="_Toc18140"/>
      <w:bookmarkStart w:id="90" w:name="_Toc24620"/>
      <w:r>
        <w:rPr>
          <w:rFonts w:hint="eastAsia" w:ascii="仿宋" w:hAnsi="仿宋" w:eastAsia="仿宋" w:cs="仿宋"/>
          <w:b/>
          <w:bCs/>
          <w:color w:val="000000"/>
          <w:sz w:val="32"/>
          <w:szCs w:val="32"/>
        </w:rPr>
        <w:t>合同</w:t>
      </w:r>
      <w:r>
        <w:rPr>
          <w:rFonts w:hint="eastAsia" w:ascii="仿宋" w:hAnsi="仿宋" w:eastAsia="仿宋" w:cs="仿宋"/>
          <w:b/>
          <w:bCs/>
          <w:color w:val="000000"/>
          <w:sz w:val="30"/>
          <w:szCs w:val="30"/>
        </w:rPr>
        <w:t>（参考）</w:t>
      </w:r>
      <w:bookmarkEnd w:id="88"/>
      <w:bookmarkEnd w:id="89"/>
      <w:bookmarkEnd w:id="90"/>
    </w:p>
    <w:p>
      <w:pPr>
        <w:spacing w:line="360" w:lineRule="auto"/>
        <w:jc w:val="center"/>
        <w:rPr>
          <w:rFonts w:ascii="仿宋" w:hAnsi="仿宋" w:eastAsia="仿宋" w:cs="仿宋"/>
          <w:b/>
          <w:bCs/>
          <w:color w:val="000000"/>
          <w:sz w:val="32"/>
          <w:szCs w:val="32"/>
        </w:rPr>
      </w:pPr>
      <w:bookmarkStart w:id="91" w:name="_Toc2062"/>
      <w:bookmarkStart w:id="92" w:name="_Toc26930"/>
      <w:bookmarkStart w:id="93" w:name="_Toc13294"/>
      <w:r>
        <w:rPr>
          <w:rFonts w:hint="eastAsia" w:ascii="仿宋" w:hAnsi="仿宋" w:eastAsia="仿宋" w:cs="仿宋"/>
          <w:b/>
          <w:bCs/>
          <w:color w:val="000000"/>
          <w:sz w:val="32"/>
          <w:szCs w:val="32"/>
        </w:rPr>
        <w:t>专用条款</w:t>
      </w:r>
      <w:bookmarkEnd w:id="91"/>
      <w:bookmarkEnd w:id="92"/>
      <w:bookmarkEnd w:id="9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项目名称：</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项目编号：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采购单位（全称）： （简称甲方）</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中标供应商（全称）：（简称乙方）</w:t>
      </w:r>
    </w:p>
    <w:p>
      <w:pPr>
        <w:autoSpaceDN w:val="0"/>
        <w:spacing w:line="360" w:lineRule="auto"/>
        <w:rPr>
          <w:rFonts w:ascii="仿宋" w:hAnsi="仿宋" w:eastAsia="仿宋" w:cs="仿宋"/>
          <w:color w:val="000000"/>
          <w:sz w:val="28"/>
          <w:szCs w:val="28"/>
        </w:rPr>
      </w:pPr>
      <w:r>
        <w:rPr>
          <w:rFonts w:hint="eastAsia" w:ascii="仿宋" w:hAnsi="仿宋" w:eastAsia="仿宋" w:cs="仿宋"/>
          <w:color w:val="000000"/>
          <w:sz w:val="24"/>
        </w:rPr>
        <w:t>依照《中华人民共和国政府采购法》、《中华人民共和国</w:t>
      </w:r>
      <w:r>
        <w:rPr>
          <w:rFonts w:hint="eastAsia" w:ascii="仿宋" w:hAnsi="仿宋" w:eastAsia="仿宋" w:cs="仿宋"/>
          <w:color w:val="000000"/>
          <w:sz w:val="24"/>
          <w:lang w:val="en-US" w:eastAsia="zh-CN"/>
        </w:rPr>
        <w:t>民法典</w:t>
      </w:r>
      <w:r>
        <w:rPr>
          <w:rFonts w:hint="eastAsia" w:ascii="仿宋" w:hAnsi="仿宋" w:eastAsia="仿宋" w:cs="仿宋"/>
          <w:color w:val="000000"/>
          <w:sz w:val="24"/>
        </w:rPr>
        <w:t>》及其他有关法律、行政法规，遵循平等、自愿、公平和诚实信用的原则，双方就</w:t>
      </w:r>
    </w:p>
    <w:p>
      <w:pPr>
        <w:snapToGrid w:val="0"/>
        <w:spacing w:line="360" w:lineRule="auto"/>
        <w:rPr>
          <w:rFonts w:ascii="仿宋" w:hAnsi="仿宋" w:eastAsia="仿宋" w:cs="仿宋"/>
          <w:color w:val="000000"/>
          <w:sz w:val="24"/>
        </w:rPr>
      </w:pPr>
      <w:r>
        <w:rPr>
          <w:rFonts w:hint="eastAsia" w:ascii="仿宋" w:hAnsi="仿宋" w:eastAsia="仿宋" w:cs="仿宋"/>
          <w:bCs/>
          <w:color w:val="000000"/>
          <w:sz w:val="24"/>
        </w:rPr>
        <w:t>项目相关</w:t>
      </w:r>
      <w:r>
        <w:rPr>
          <w:rFonts w:hint="eastAsia" w:ascii="仿宋" w:hAnsi="仿宋" w:eastAsia="仿宋" w:cs="仿宋"/>
          <w:color w:val="000000"/>
          <w:sz w:val="24"/>
        </w:rPr>
        <w:t>事项协商一致，达成如下合同条款：</w:t>
      </w:r>
    </w:p>
    <w:p>
      <w:pPr>
        <w:snapToGrid w:val="0"/>
        <w:spacing w:line="360" w:lineRule="auto"/>
        <w:ind w:firstLine="475" w:firstLineChars="197"/>
        <w:rPr>
          <w:rFonts w:ascii="仿宋" w:hAnsi="仿宋" w:eastAsia="仿宋" w:cs="仿宋"/>
          <w:color w:val="000000"/>
          <w:sz w:val="24"/>
        </w:rPr>
      </w:pPr>
      <w:bookmarkStart w:id="94" w:name="_Toc29195"/>
      <w:r>
        <w:rPr>
          <w:rFonts w:hint="eastAsia" w:ascii="仿宋" w:hAnsi="仿宋" w:eastAsia="仿宋" w:cs="仿宋"/>
          <w:b/>
          <w:color w:val="000000"/>
          <w:sz w:val="24"/>
        </w:rPr>
        <w:t>一、乙方向甲方提供总价值为元的标的（货物/服务）。</w:t>
      </w:r>
      <w:bookmarkEnd w:id="94"/>
    </w:p>
    <w:p>
      <w:pPr>
        <w:snapToGrid w:val="0"/>
        <w:spacing w:line="360" w:lineRule="auto"/>
        <w:ind w:firstLine="2891" w:firstLineChars="900"/>
        <w:jc w:val="left"/>
        <w:rPr>
          <w:rFonts w:ascii="仿宋" w:hAnsi="仿宋" w:eastAsia="仿宋" w:cs="仿宋"/>
          <w:b/>
          <w:bCs/>
          <w:color w:val="000000"/>
          <w:sz w:val="32"/>
          <w:szCs w:val="32"/>
        </w:rPr>
      </w:pPr>
      <w:r>
        <w:rPr>
          <w:rFonts w:hint="eastAsia" w:ascii="仿宋" w:hAnsi="仿宋" w:eastAsia="仿宋" w:cs="仿宋"/>
          <w:b/>
          <w:bCs/>
          <w:sz w:val="32"/>
          <w:szCs w:val="32"/>
        </w:rPr>
        <w:t>设备规格报价明细表</w:t>
      </w:r>
    </w:p>
    <w:tbl>
      <w:tblPr>
        <w:tblStyle w:val="16"/>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18"/>
        <w:gridCol w:w="1588"/>
        <w:gridCol w:w="738"/>
        <w:gridCol w:w="839"/>
        <w:gridCol w:w="1056"/>
        <w:gridCol w:w="1507"/>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ign w:val="center"/>
          </w:tcPr>
          <w:p>
            <w:pPr>
              <w:spacing w:line="420" w:lineRule="exact"/>
              <w:ind w:left="-78" w:leftChars="-37"/>
              <w:jc w:val="center"/>
              <w:rPr>
                <w:rFonts w:ascii="仿宋" w:hAnsi="仿宋" w:eastAsia="仿宋" w:cs="仿宋"/>
              </w:rPr>
            </w:pPr>
            <w:r>
              <w:rPr>
                <w:rFonts w:hint="eastAsia" w:ascii="仿宋" w:hAnsi="仿宋" w:eastAsia="仿宋" w:cs="仿宋"/>
              </w:rPr>
              <w:t>序号</w:t>
            </w:r>
          </w:p>
        </w:tc>
        <w:tc>
          <w:tcPr>
            <w:tcW w:w="1218" w:type="dxa"/>
            <w:noWrap/>
            <w:vAlign w:val="center"/>
          </w:tcPr>
          <w:p>
            <w:pPr>
              <w:spacing w:line="420" w:lineRule="exact"/>
              <w:jc w:val="center"/>
              <w:rPr>
                <w:rFonts w:ascii="仿宋" w:hAnsi="仿宋" w:eastAsia="仿宋" w:cs="仿宋"/>
              </w:rPr>
            </w:pPr>
            <w:r>
              <w:rPr>
                <w:rFonts w:hint="eastAsia" w:ascii="仿宋" w:hAnsi="仿宋" w:eastAsia="仿宋" w:cs="仿宋"/>
              </w:rPr>
              <w:t>产品名称</w:t>
            </w:r>
          </w:p>
        </w:tc>
        <w:tc>
          <w:tcPr>
            <w:tcW w:w="1588" w:type="dxa"/>
            <w:noWrap/>
            <w:vAlign w:val="center"/>
          </w:tcPr>
          <w:p>
            <w:pPr>
              <w:spacing w:line="420" w:lineRule="exact"/>
              <w:jc w:val="center"/>
              <w:rPr>
                <w:rFonts w:ascii="仿宋" w:hAnsi="仿宋" w:eastAsia="仿宋" w:cs="仿宋"/>
              </w:rPr>
            </w:pPr>
            <w:r>
              <w:rPr>
                <w:rFonts w:hint="eastAsia" w:ascii="仿宋" w:hAnsi="仿宋" w:eastAsia="仿宋" w:cs="仿宋"/>
              </w:rPr>
              <w:t>规格型号</w:t>
            </w:r>
          </w:p>
        </w:tc>
        <w:tc>
          <w:tcPr>
            <w:tcW w:w="738" w:type="dxa"/>
            <w:noWrap/>
            <w:vAlign w:val="center"/>
          </w:tcPr>
          <w:p>
            <w:pPr>
              <w:spacing w:line="420" w:lineRule="exact"/>
              <w:jc w:val="center"/>
              <w:rPr>
                <w:rFonts w:ascii="仿宋" w:hAnsi="仿宋" w:eastAsia="仿宋" w:cs="仿宋"/>
              </w:rPr>
            </w:pPr>
            <w:r>
              <w:rPr>
                <w:rFonts w:hint="eastAsia" w:ascii="仿宋" w:hAnsi="仿宋" w:eastAsia="仿宋" w:cs="仿宋"/>
              </w:rPr>
              <w:t>数量</w:t>
            </w:r>
          </w:p>
        </w:tc>
        <w:tc>
          <w:tcPr>
            <w:tcW w:w="839" w:type="dxa"/>
            <w:noWrap/>
            <w:vAlign w:val="center"/>
          </w:tcPr>
          <w:p>
            <w:pPr>
              <w:spacing w:line="420" w:lineRule="exact"/>
              <w:jc w:val="center"/>
              <w:rPr>
                <w:rFonts w:ascii="仿宋" w:hAnsi="仿宋" w:eastAsia="仿宋" w:cs="仿宋"/>
              </w:rPr>
            </w:pPr>
            <w:r>
              <w:rPr>
                <w:rFonts w:hint="eastAsia" w:ascii="仿宋" w:hAnsi="仿宋" w:eastAsia="仿宋" w:cs="仿宋"/>
              </w:rPr>
              <w:t>单价（元）</w:t>
            </w:r>
          </w:p>
        </w:tc>
        <w:tc>
          <w:tcPr>
            <w:tcW w:w="1056" w:type="dxa"/>
            <w:noWrap/>
            <w:vAlign w:val="center"/>
          </w:tcPr>
          <w:p>
            <w:pPr>
              <w:spacing w:line="420" w:lineRule="exact"/>
              <w:jc w:val="center"/>
              <w:rPr>
                <w:rFonts w:ascii="仿宋" w:hAnsi="仿宋" w:eastAsia="仿宋" w:cs="仿宋"/>
              </w:rPr>
            </w:pPr>
            <w:r>
              <w:rPr>
                <w:rFonts w:hint="eastAsia" w:ascii="仿宋" w:hAnsi="仿宋" w:eastAsia="仿宋" w:cs="仿宋"/>
              </w:rPr>
              <w:t>金额（元）</w:t>
            </w:r>
          </w:p>
        </w:tc>
        <w:tc>
          <w:tcPr>
            <w:tcW w:w="1507" w:type="dxa"/>
            <w:noWrap/>
            <w:vAlign w:val="center"/>
          </w:tcPr>
          <w:p>
            <w:pPr>
              <w:spacing w:line="420" w:lineRule="exact"/>
              <w:jc w:val="center"/>
              <w:rPr>
                <w:rFonts w:ascii="仿宋" w:hAnsi="仿宋" w:eastAsia="仿宋" w:cs="仿宋"/>
              </w:rPr>
            </w:pPr>
            <w:r>
              <w:rPr>
                <w:rFonts w:hint="eastAsia" w:ascii="仿宋" w:hAnsi="仿宋" w:eastAsia="仿宋" w:cs="仿宋"/>
              </w:rPr>
              <w:t>生产厂家</w:t>
            </w:r>
          </w:p>
        </w:tc>
        <w:tc>
          <w:tcPr>
            <w:tcW w:w="992" w:type="dxa"/>
            <w:noWrap/>
            <w:vAlign w:val="center"/>
          </w:tcPr>
          <w:p>
            <w:pPr>
              <w:spacing w:line="420" w:lineRule="exact"/>
              <w:jc w:val="center"/>
              <w:rPr>
                <w:rFonts w:ascii="仿宋" w:hAnsi="仿宋" w:eastAsia="仿宋" w:cs="仿宋"/>
              </w:rPr>
            </w:pPr>
            <w:r>
              <w:rPr>
                <w:rFonts w:hint="eastAsia" w:ascii="仿宋" w:hAnsi="仿宋" w:eastAsia="仿宋" w:cs="仿宋"/>
              </w:rPr>
              <w:t>保修期</w:t>
            </w:r>
          </w:p>
        </w:tc>
        <w:tc>
          <w:tcPr>
            <w:tcW w:w="709" w:type="dxa"/>
            <w:noWrap/>
            <w:vAlign w:val="center"/>
          </w:tcPr>
          <w:p>
            <w:pPr>
              <w:spacing w:line="42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bl>
    <w:p>
      <w:pPr>
        <w:spacing w:line="360" w:lineRule="auto"/>
        <w:rPr>
          <w:rFonts w:ascii="仿宋" w:hAnsi="仿宋" w:eastAsia="仿宋" w:cs="仿宋"/>
          <w:color w:val="000000"/>
          <w:sz w:val="24"/>
        </w:rPr>
      </w:pPr>
      <w:r>
        <w:rPr>
          <w:rFonts w:hint="eastAsia" w:ascii="仿宋" w:hAnsi="仿宋" w:eastAsia="仿宋" w:cs="仿宋"/>
          <w:color w:val="000000"/>
          <w:sz w:val="24"/>
        </w:rPr>
        <w:t xml:space="preserve">    注：可另附清单。</w:t>
      </w:r>
    </w:p>
    <w:p>
      <w:pPr>
        <w:spacing w:line="360" w:lineRule="auto"/>
        <w:ind w:firstLine="475" w:firstLineChars="197"/>
        <w:rPr>
          <w:rFonts w:ascii="仿宋" w:hAnsi="仿宋" w:eastAsia="仿宋" w:cs="仿宋"/>
          <w:b/>
          <w:color w:val="000000"/>
          <w:sz w:val="24"/>
        </w:rPr>
      </w:pPr>
      <w:bookmarkStart w:id="95" w:name="_Toc17723"/>
      <w:r>
        <w:rPr>
          <w:rFonts w:hint="eastAsia" w:ascii="仿宋" w:hAnsi="仿宋" w:eastAsia="仿宋" w:cs="仿宋"/>
          <w:b/>
          <w:color w:val="000000"/>
          <w:sz w:val="24"/>
        </w:rPr>
        <w:t>二、交货时间、地点</w:t>
      </w:r>
      <w:bookmarkEnd w:id="95"/>
    </w:p>
    <w:p>
      <w:pPr>
        <w:spacing w:line="360" w:lineRule="auto"/>
        <w:ind w:firstLine="475" w:firstLineChars="197"/>
        <w:rPr>
          <w:rFonts w:ascii="仿宋" w:hAnsi="仿宋" w:eastAsia="仿宋" w:cs="仿宋"/>
          <w:b/>
          <w:color w:val="000000"/>
          <w:sz w:val="24"/>
        </w:rPr>
      </w:pPr>
      <w:bookmarkStart w:id="96" w:name="_Toc13828"/>
      <w:r>
        <w:rPr>
          <w:rFonts w:hint="eastAsia" w:ascii="仿宋" w:hAnsi="仿宋" w:eastAsia="仿宋" w:cs="仿宋"/>
          <w:b/>
          <w:color w:val="000000"/>
          <w:sz w:val="24"/>
        </w:rPr>
        <w:t>三、质量技术标准</w:t>
      </w:r>
      <w:bookmarkEnd w:id="9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乙方提供的产品性能及质量有国家标准的应符合国家标准。无国家标准的应符合行业标准或企业标准，并满足招标文件要求，实现文件承诺条款。</w:t>
      </w:r>
    </w:p>
    <w:p>
      <w:pPr>
        <w:spacing w:line="360" w:lineRule="auto"/>
        <w:ind w:firstLine="475" w:firstLineChars="197"/>
        <w:rPr>
          <w:rFonts w:ascii="仿宋" w:hAnsi="仿宋" w:eastAsia="仿宋" w:cs="仿宋"/>
          <w:color w:val="000000"/>
          <w:sz w:val="24"/>
        </w:rPr>
      </w:pPr>
      <w:bookmarkStart w:id="97" w:name="_Toc11217"/>
      <w:r>
        <w:rPr>
          <w:rFonts w:hint="eastAsia" w:ascii="仿宋" w:hAnsi="仿宋" w:eastAsia="仿宋" w:cs="仿宋"/>
          <w:b/>
          <w:color w:val="000000"/>
          <w:sz w:val="24"/>
        </w:rPr>
        <w:t>四、运输方式及费用</w:t>
      </w:r>
      <w:bookmarkEnd w:id="97"/>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由乙方视情况自定运输方式，费用自负。</w:t>
      </w:r>
    </w:p>
    <w:p>
      <w:pPr>
        <w:spacing w:line="360" w:lineRule="auto"/>
        <w:ind w:firstLine="475" w:firstLineChars="197"/>
        <w:rPr>
          <w:rFonts w:ascii="仿宋" w:hAnsi="仿宋" w:eastAsia="仿宋" w:cs="仿宋"/>
          <w:b/>
          <w:color w:val="000000"/>
          <w:sz w:val="24"/>
        </w:rPr>
      </w:pPr>
      <w:bookmarkStart w:id="98" w:name="_Toc7265"/>
      <w:r>
        <w:rPr>
          <w:rFonts w:hint="eastAsia" w:ascii="仿宋" w:hAnsi="仿宋" w:eastAsia="仿宋" w:cs="仿宋"/>
          <w:b/>
          <w:color w:val="000000"/>
          <w:sz w:val="24"/>
        </w:rPr>
        <w:t>五、验收</w:t>
      </w:r>
      <w:bookmarkEnd w:id="98"/>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sz w:val="24"/>
        </w:rPr>
        <w:t>（一）</w:t>
      </w:r>
      <w:r>
        <w:rPr>
          <w:rFonts w:hint="eastAsia" w:ascii="仿宋" w:hAnsi="仿宋" w:eastAsia="仿宋" w:cs="仿宋"/>
          <w:color w:val="000000"/>
          <w:kern w:val="0"/>
          <w:sz w:val="24"/>
        </w:rPr>
        <w:t>在货物进场并安装调试后日内，甲方根据技术要求组织验收，验收内容包括：型号、规格、数量、外观质量、及货物包装是否完好，安装调试是否合格，所提供货物的装箱清单、用户手册、原厂保修卡、随机资料及配件、随机工具等是否齐全。货物最终验收后，乙方应对由于设计、工艺或材料的缺陷而发生的任何不足或故障负责，并承担由此引起的一切后果。</w:t>
      </w:r>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（二）甲方应按签订采购合同约定时间组织验收，并出具验收合格报告。采购单位自行组织验收组成验收小组。</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kern w:val="0"/>
          <w:sz w:val="24"/>
        </w:rPr>
        <w:t>（三）</w:t>
      </w:r>
      <w:r>
        <w:rPr>
          <w:rFonts w:hint="eastAsia" w:ascii="仿宋" w:hAnsi="仿宋" w:eastAsia="仿宋" w:cs="仿宋"/>
          <w:color w:val="000000"/>
          <w:sz w:val="24"/>
        </w:rPr>
        <w:t>甲方在验收中，如发现有与合同规定不符的，应在天内向乙方提出书面</w:t>
      </w:r>
    </w:p>
    <w:p>
      <w:pPr>
        <w:spacing w:line="360" w:lineRule="auto"/>
        <w:rPr>
          <w:rFonts w:ascii="仿宋" w:hAnsi="仿宋" w:eastAsia="仿宋" w:cs="仿宋"/>
          <w:color w:val="000000"/>
          <w:sz w:val="24"/>
        </w:rPr>
      </w:pPr>
      <w:r>
        <w:rPr>
          <w:rFonts w:hint="eastAsia" w:ascii="仿宋" w:hAnsi="仿宋" w:eastAsia="仿宋" w:cs="仿宋"/>
          <w:color w:val="000000"/>
          <w:sz w:val="24"/>
        </w:rPr>
        <w:t>意见，不签发验收单。乙方在接到甲方书面意见后，应在天内予以处理，并将处理结果以书面形式告知采购人。</w:t>
      </w:r>
    </w:p>
    <w:p>
      <w:pPr>
        <w:spacing w:line="360" w:lineRule="auto"/>
        <w:ind w:firstLine="475" w:firstLineChars="197"/>
        <w:rPr>
          <w:rFonts w:ascii="仿宋" w:hAnsi="仿宋" w:eastAsia="仿宋" w:cs="仿宋"/>
          <w:b/>
          <w:color w:val="000000"/>
          <w:sz w:val="24"/>
        </w:rPr>
      </w:pPr>
      <w:bookmarkStart w:id="99" w:name="_Toc5495"/>
      <w:r>
        <w:rPr>
          <w:rFonts w:hint="eastAsia" w:ascii="仿宋" w:hAnsi="仿宋" w:eastAsia="仿宋" w:cs="仿宋"/>
          <w:b/>
          <w:color w:val="000000"/>
          <w:sz w:val="24"/>
        </w:rPr>
        <w:t>六、付款方式</w:t>
      </w:r>
      <w:bookmarkEnd w:id="99"/>
    </w:p>
    <w:p>
      <w:pPr>
        <w:overflowPunct w:val="0"/>
        <w:spacing w:line="360" w:lineRule="auto"/>
        <w:ind w:firstLine="480" w:firstLineChars="200"/>
        <w:rPr>
          <w:rFonts w:hint="eastAsia" w:ascii="仿宋" w:hAnsi="仿宋" w:eastAsia="仿宋" w:cs="仿宋"/>
          <w:color w:val="auto"/>
          <w:sz w:val="24"/>
          <w:highlight w:val="none"/>
        </w:rPr>
      </w:pPr>
      <w:bookmarkStart w:id="100" w:name="_Toc18384"/>
      <w:r>
        <w:rPr>
          <w:rFonts w:hint="eastAsia" w:ascii="仿宋" w:hAnsi="仿宋" w:eastAsia="仿宋" w:cs="仿宋"/>
          <w:color w:val="auto"/>
          <w:sz w:val="24"/>
          <w:highlight w:val="none"/>
        </w:rPr>
        <w:t>1、付款币种：本次招标所述的项目资金均以人民币支付。</w:t>
      </w:r>
    </w:p>
    <w:p>
      <w:pPr>
        <w:widowControl/>
        <w:snapToGrid w:val="0"/>
        <w:spacing w:line="360" w:lineRule="auto"/>
        <w:ind w:firstLine="470" w:firstLineChars="196"/>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rPr>
        <w:t>付款方式：按合同总额分次支付，第一次支付合同总额的50%，第二次支付合同总额的45%。合同总额的5%为质保金，质保期满后支付。</w:t>
      </w:r>
    </w:p>
    <w:p>
      <w:pPr>
        <w:widowControl/>
        <w:snapToGrid w:val="0"/>
        <w:spacing w:line="360" w:lineRule="auto"/>
        <w:ind w:firstLine="472" w:firstLineChars="196"/>
        <w:rPr>
          <w:rFonts w:ascii="仿宋" w:hAnsi="仿宋" w:eastAsia="仿宋" w:cs="仿宋"/>
          <w:b/>
          <w:color w:val="000000"/>
          <w:sz w:val="24"/>
        </w:rPr>
      </w:pPr>
      <w:r>
        <w:rPr>
          <w:rFonts w:hint="eastAsia" w:ascii="仿宋" w:hAnsi="仿宋" w:eastAsia="仿宋" w:cs="仿宋"/>
          <w:b/>
          <w:color w:val="000000"/>
          <w:sz w:val="24"/>
        </w:rPr>
        <w:t>七、售后服务</w:t>
      </w:r>
      <w:bookmarkEnd w:id="100"/>
    </w:p>
    <w:p>
      <w:pPr>
        <w:spacing w:line="360" w:lineRule="auto"/>
        <w:ind w:firstLine="470" w:firstLineChars="196"/>
        <w:rPr>
          <w:rFonts w:ascii="仿宋" w:hAnsi="仿宋" w:eastAsia="仿宋" w:cs="仿宋"/>
          <w:color w:val="auto"/>
          <w:sz w:val="24"/>
        </w:rPr>
      </w:pPr>
      <w:r>
        <w:rPr>
          <w:rFonts w:hint="eastAsia" w:ascii="仿宋" w:hAnsi="仿宋" w:eastAsia="仿宋" w:cs="仿宋"/>
          <w:color w:val="auto"/>
          <w:sz w:val="24"/>
        </w:rPr>
        <w:t>（一）验收通过之日起对设备免费保修</w:t>
      </w:r>
      <w:r>
        <w:rPr>
          <w:rFonts w:hint="eastAsia" w:ascii="仿宋" w:hAnsi="仿宋" w:eastAsia="仿宋" w:cs="仿宋"/>
          <w:color w:val="auto"/>
          <w:sz w:val="24"/>
          <w:lang w:val="en-US" w:eastAsia="zh-CN"/>
        </w:rPr>
        <w:t>三</w:t>
      </w:r>
      <w:r>
        <w:rPr>
          <w:rFonts w:hint="eastAsia" w:ascii="仿宋" w:hAnsi="仿宋" w:eastAsia="仿宋" w:cs="仿宋"/>
          <w:color w:val="auto"/>
          <w:sz w:val="24"/>
        </w:rPr>
        <w:t>年。在质保期内乙方对产品质量实行三包，因设备配置或制造质量问题而引起的故障，乙方应在2小时内立即予以免费维修或更换，由此引起的一切费用由乙方承担。</w:t>
      </w:r>
    </w:p>
    <w:p>
      <w:pPr>
        <w:spacing w:line="360" w:lineRule="auto"/>
        <w:ind w:firstLine="470" w:firstLineChars="196"/>
        <w:rPr>
          <w:rFonts w:ascii="仿宋" w:hAnsi="仿宋" w:eastAsia="仿宋" w:cs="仿宋"/>
          <w:color w:val="000000"/>
          <w:sz w:val="24"/>
        </w:rPr>
      </w:pPr>
      <w:r>
        <w:rPr>
          <w:rFonts w:hint="eastAsia" w:ascii="仿宋" w:hAnsi="仿宋" w:eastAsia="仿宋" w:cs="仿宋"/>
          <w:color w:val="000000"/>
          <w:sz w:val="24"/>
        </w:rPr>
        <w:t>（二）技术支持响应时间。一般问题</w:t>
      </w:r>
      <w:r>
        <w:rPr>
          <w:rFonts w:hint="eastAsia" w:ascii="仿宋" w:hAnsi="仿宋" w:eastAsia="仿宋" w:cs="仿宋"/>
          <w:color w:val="000000"/>
          <w:sz w:val="24"/>
          <w:u w:val="single"/>
        </w:rPr>
        <w:t>半</w:t>
      </w:r>
      <w:r>
        <w:rPr>
          <w:rFonts w:hint="eastAsia" w:ascii="仿宋" w:hAnsi="仿宋" w:eastAsia="仿宋" w:cs="仿宋"/>
          <w:color w:val="000000"/>
          <w:sz w:val="24"/>
        </w:rPr>
        <w:t>小时内电话支持，难点、重点问题</w:t>
      </w:r>
      <w:r>
        <w:rPr>
          <w:rFonts w:hint="eastAsia" w:ascii="仿宋" w:hAnsi="仿宋" w:eastAsia="仿宋" w:cs="仿宋"/>
          <w:color w:val="000000"/>
          <w:sz w:val="24"/>
          <w:u w:val="single"/>
        </w:rPr>
        <w:t>2</w:t>
      </w:r>
      <w:r>
        <w:rPr>
          <w:rFonts w:hint="eastAsia" w:ascii="仿宋" w:hAnsi="仿宋" w:eastAsia="仿宋" w:cs="仿宋"/>
          <w:color w:val="000000"/>
          <w:sz w:val="24"/>
        </w:rPr>
        <w:t>天内现场解决，质保期内相关费用由乙方承担，质保期满后乙方收取成本费。</w:t>
      </w:r>
    </w:p>
    <w:p>
      <w:pPr>
        <w:spacing w:line="360" w:lineRule="auto"/>
        <w:ind w:firstLine="475" w:firstLineChars="197"/>
        <w:rPr>
          <w:rFonts w:ascii="仿宋" w:hAnsi="仿宋" w:eastAsia="仿宋" w:cs="仿宋"/>
          <w:b/>
          <w:color w:val="000000"/>
          <w:sz w:val="24"/>
        </w:rPr>
      </w:pPr>
      <w:bookmarkStart w:id="101" w:name="_Toc7714"/>
      <w:r>
        <w:rPr>
          <w:rFonts w:hint="eastAsia" w:ascii="仿宋" w:hAnsi="仿宋" w:eastAsia="仿宋" w:cs="仿宋"/>
          <w:b/>
          <w:color w:val="000000"/>
          <w:sz w:val="24"/>
        </w:rPr>
        <w:t>八、违约条款</w:t>
      </w:r>
      <w:bookmarkEnd w:id="10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（一）乙方不按期完成合同约定的内容，应向甲方支付违约金，除甲方或不可抗力造成原因外，每延迟交付一天，按合同总价款的</w:t>
      </w:r>
      <w:r>
        <w:rPr>
          <w:rFonts w:hint="eastAsia" w:ascii="仿宋" w:hAnsi="仿宋" w:eastAsia="仿宋" w:cs="仿宋"/>
          <w:color w:val="000000"/>
          <w:sz w:val="24"/>
          <w:u w:val="single"/>
        </w:rPr>
        <w:t xml:space="preserve">  5 ‰</w:t>
      </w:r>
      <w:r>
        <w:rPr>
          <w:rFonts w:hint="eastAsia" w:ascii="仿宋" w:hAnsi="仿宋" w:eastAsia="仿宋" w:cs="仿宋"/>
          <w:color w:val="000000"/>
          <w:sz w:val="24"/>
        </w:rPr>
        <w:t>支付违约金，违约金可直接从合同款项中扣除; 延期超过</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日，甲方有权强制解除合同并没收合同款项。</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（二）乙方所供产品品种、型号、规格、花色、质量不符合规定的，由其负责包换或包修，并承担修理、调换或退货而支付的实际费用。 </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（三）非因甲方原因，乙方不履行本合同规定的义务，致使工作延误，甲方有权要求其强制履行或解除合同，并要求乙方等额赔偿由此造成的一切损失。</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（四）本项目不得转让分包，如有发生，除没收其合同款项外，所造成的一切损失由乙方负责。</w:t>
      </w:r>
    </w:p>
    <w:p>
      <w:pPr>
        <w:spacing w:line="360" w:lineRule="auto"/>
        <w:ind w:firstLine="475" w:firstLineChars="197"/>
        <w:rPr>
          <w:rFonts w:ascii="仿宋" w:hAnsi="仿宋" w:eastAsia="仿宋" w:cs="仿宋"/>
          <w:b/>
          <w:color w:val="000000"/>
          <w:sz w:val="24"/>
        </w:rPr>
      </w:pPr>
      <w:bookmarkStart w:id="102" w:name="_Toc16520"/>
      <w:r>
        <w:rPr>
          <w:rFonts w:hint="eastAsia" w:ascii="仿宋" w:hAnsi="仿宋" w:eastAsia="仿宋" w:cs="仿宋"/>
          <w:b/>
          <w:color w:val="000000"/>
          <w:sz w:val="24"/>
        </w:rPr>
        <w:t>九、知识产权</w:t>
      </w:r>
      <w:bookmarkEnd w:id="102"/>
    </w:p>
    <w:p>
      <w:pPr>
        <w:pStyle w:val="9"/>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保证甲方免除并承担由于甲方在其本国使用该项目时而引起第三方提出的侵犯专利权、知识产权或设计权的起诉、行动、行政程序索赔、请求等以及甲方为此而产生的损失和损害、费用和支出（包括律师费）。</w:t>
      </w:r>
    </w:p>
    <w:p>
      <w:pPr>
        <w:spacing w:line="360" w:lineRule="auto"/>
        <w:ind w:firstLine="475" w:firstLineChars="197"/>
        <w:rPr>
          <w:rFonts w:ascii="仿宋" w:hAnsi="仿宋" w:eastAsia="仿宋" w:cs="仿宋"/>
          <w:b/>
          <w:color w:val="000000"/>
          <w:sz w:val="24"/>
        </w:rPr>
      </w:pPr>
      <w:bookmarkStart w:id="103" w:name="_Toc24823"/>
      <w:r>
        <w:rPr>
          <w:rFonts w:hint="eastAsia" w:ascii="仿宋" w:hAnsi="仿宋" w:eastAsia="仿宋" w:cs="仿宋"/>
          <w:b/>
          <w:color w:val="000000"/>
          <w:sz w:val="24"/>
        </w:rPr>
        <w:t>十、合同生效及审核</w:t>
      </w:r>
      <w:bookmarkEnd w:id="10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本合同经甲方、乙方签字盖章后生效，合同签订的内容不能超出招标文件和文件的实质性内容。</w:t>
      </w:r>
    </w:p>
    <w:p>
      <w:pPr>
        <w:spacing w:line="360" w:lineRule="auto"/>
        <w:ind w:firstLine="475" w:firstLineChars="197"/>
        <w:rPr>
          <w:rFonts w:ascii="仿宋" w:hAnsi="仿宋" w:eastAsia="仿宋" w:cs="仿宋"/>
          <w:b/>
          <w:color w:val="000000"/>
          <w:sz w:val="24"/>
        </w:rPr>
      </w:pPr>
      <w:bookmarkStart w:id="104" w:name="_Toc16821"/>
      <w:r>
        <w:rPr>
          <w:rFonts w:hint="eastAsia" w:ascii="仿宋" w:hAnsi="仿宋" w:eastAsia="仿宋" w:cs="仿宋"/>
          <w:b/>
          <w:color w:val="000000"/>
          <w:sz w:val="24"/>
        </w:rPr>
        <w:t>十一、合同的组成部分</w:t>
      </w:r>
      <w:bookmarkEnd w:id="104"/>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本合同条款、中标通知书、投标文件及供应商在开标时的书面承诺等构成合同的组成部分。 </w:t>
      </w:r>
    </w:p>
    <w:p>
      <w:pPr>
        <w:spacing w:line="360" w:lineRule="auto"/>
        <w:ind w:firstLine="475" w:firstLineChars="197"/>
        <w:rPr>
          <w:rFonts w:ascii="仿宋" w:hAnsi="仿宋" w:eastAsia="仿宋" w:cs="仿宋"/>
          <w:color w:val="000000"/>
          <w:sz w:val="24"/>
        </w:rPr>
      </w:pPr>
      <w:bookmarkStart w:id="105" w:name="_Toc3720"/>
      <w:r>
        <w:rPr>
          <w:rFonts w:hint="eastAsia" w:ascii="仿宋" w:hAnsi="仿宋" w:eastAsia="仿宋" w:cs="仿宋"/>
          <w:b/>
          <w:color w:val="000000"/>
          <w:sz w:val="24"/>
        </w:rPr>
        <w:t>十二</w:t>
      </w:r>
      <w:r>
        <w:rPr>
          <w:rFonts w:hint="eastAsia" w:ascii="仿宋" w:hAnsi="仿宋" w:eastAsia="仿宋" w:cs="仿宋"/>
          <w:color w:val="000000"/>
          <w:sz w:val="24"/>
        </w:rPr>
        <w:t>、本合同一式五份，以中文书写，甲方、乙方各执两份，代理机构一份。</w:t>
      </w:r>
      <w:bookmarkEnd w:id="105"/>
    </w:p>
    <w:p>
      <w:pPr>
        <w:spacing w:line="360" w:lineRule="auto"/>
        <w:ind w:firstLine="475" w:firstLineChars="197"/>
        <w:rPr>
          <w:rFonts w:ascii="仿宋" w:hAnsi="仿宋" w:eastAsia="仿宋" w:cs="仿宋"/>
          <w:color w:val="000000"/>
          <w:sz w:val="24"/>
        </w:rPr>
      </w:pPr>
      <w:bookmarkStart w:id="106" w:name="_Toc31576"/>
      <w:r>
        <w:rPr>
          <w:rFonts w:hint="eastAsia" w:ascii="仿宋" w:hAnsi="仿宋" w:eastAsia="仿宋" w:cs="仿宋"/>
          <w:b/>
          <w:color w:val="000000"/>
          <w:sz w:val="24"/>
        </w:rPr>
        <w:t>十三、</w:t>
      </w:r>
      <w:r>
        <w:rPr>
          <w:rFonts w:hint="eastAsia" w:ascii="仿宋" w:hAnsi="仿宋" w:eastAsia="仿宋" w:cs="仿宋"/>
          <w:color w:val="000000"/>
          <w:sz w:val="24"/>
        </w:rPr>
        <w:t>本合同一切未尽事宜，按合同法有关规定执行，无相关规定的，由甲乙双方协商解决。</w:t>
      </w:r>
      <w:bookmarkEnd w:id="106"/>
    </w:p>
    <w:p>
      <w:pPr>
        <w:widowControl/>
        <w:snapToGrid w:val="0"/>
        <w:spacing w:line="360" w:lineRule="auto"/>
        <w:ind w:firstLine="200"/>
        <w:jc w:val="center"/>
        <w:rPr>
          <w:rFonts w:ascii="仿宋" w:hAnsi="仿宋" w:eastAsia="仿宋" w:cs="仿宋"/>
          <w:b/>
          <w:color w:val="000000"/>
          <w:sz w:val="32"/>
          <w:szCs w:val="32"/>
        </w:rPr>
      </w:pPr>
      <w:r>
        <w:rPr>
          <w:rFonts w:hint="eastAsia" w:ascii="仿宋" w:hAnsi="仿宋" w:eastAsia="仿宋" w:cs="仿宋"/>
          <w:b/>
          <w:color w:val="000000"/>
          <w:sz w:val="32"/>
          <w:szCs w:val="32"/>
        </w:rPr>
        <w:t>通用条款</w:t>
      </w:r>
    </w:p>
    <w:p>
      <w:pPr>
        <w:spacing w:line="360" w:lineRule="auto"/>
        <w:ind w:firstLine="475" w:firstLineChars="197"/>
        <w:rPr>
          <w:rFonts w:ascii="仿宋" w:hAnsi="仿宋" w:eastAsia="仿宋" w:cs="仿宋"/>
          <w:b/>
          <w:color w:val="000000"/>
          <w:sz w:val="24"/>
        </w:rPr>
      </w:pPr>
      <w:bookmarkStart w:id="107" w:name="_Toc6591"/>
      <w:r>
        <w:rPr>
          <w:rFonts w:hint="eastAsia" w:ascii="仿宋" w:hAnsi="仿宋" w:eastAsia="仿宋" w:cs="仿宋"/>
          <w:b/>
          <w:color w:val="000000"/>
          <w:sz w:val="24"/>
        </w:rPr>
        <w:t>十四、词语涵义</w:t>
      </w:r>
      <w:bookmarkEnd w:id="107"/>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（一）合同：甲乙双方签署的、合同格式中载明的甲方与乙方所达成的协议，包括所有的附件、附录和构成合同的所有文件。</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（二）合同价：根据合同规定，乙方在正确地完全履行合同义务后甲方应支付给卖方的价格。</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（三）货物：乙方根据合同规定须向买方提供的一切设备、机械、仪表、备件、工具、手册和其他技术资料及其他材料。</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（四）服务：根据合同规定甲方承担与供货有关的辅助服务，如运输、保险以及其它的伴随服务，比如安装、调试、提供技术援助、培训和其他类似的乙方应承担的义务。</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（五）甲方：采购单位，即。</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（六）乙方：提供货物和服务的公司或实体，即。</w:t>
      </w:r>
    </w:p>
    <w:p>
      <w:pPr>
        <w:snapToGrid w:val="0"/>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sz w:val="24"/>
        </w:rPr>
        <w:t>（七）不可抗力：指</w:t>
      </w:r>
      <w:r>
        <w:rPr>
          <w:rFonts w:hint="eastAsia" w:ascii="仿宋" w:hAnsi="仿宋" w:eastAsia="仿宋" w:cs="仿宋"/>
          <w:color w:val="000000"/>
          <w:spacing w:val="8"/>
          <w:sz w:val="24"/>
          <w:szCs w:val="21"/>
        </w:rPr>
        <w:t>不能预见、不能避免和不能克服的客观情况，</w:t>
      </w:r>
      <w:r>
        <w:rPr>
          <w:rFonts w:hint="eastAsia" w:ascii="仿宋" w:hAnsi="仿宋" w:eastAsia="仿宋" w:cs="仿宋"/>
          <w:color w:val="000000"/>
          <w:kern w:val="0"/>
          <w:sz w:val="24"/>
        </w:rPr>
        <w:t>如战争、动乱、空中飞行物体坠落或其它非甲乙方责任造成的爆炸、火灾，以及协议条款约定等级以上的风、雨、雪、地震等。</w:t>
      </w:r>
    </w:p>
    <w:p>
      <w:pPr>
        <w:snapToGrid w:val="0"/>
        <w:spacing w:line="360" w:lineRule="auto"/>
        <w:ind w:firstLine="475" w:firstLineChars="197"/>
        <w:rPr>
          <w:rFonts w:ascii="仿宋" w:hAnsi="仿宋" w:eastAsia="仿宋" w:cs="仿宋"/>
          <w:color w:val="000000"/>
          <w:kern w:val="0"/>
          <w:sz w:val="24"/>
        </w:rPr>
      </w:pPr>
      <w:bookmarkStart w:id="108" w:name="_Toc13298"/>
      <w:r>
        <w:rPr>
          <w:rFonts w:hint="eastAsia" w:ascii="仿宋" w:hAnsi="仿宋" w:eastAsia="仿宋" w:cs="仿宋"/>
          <w:b/>
          <w:bCs/>
          <w:color w:val="000000"/>
          <w:sz w:val="24"/>
        </w:rPr>
        <w:t>十五、技术规格</w:t>
      </w:r>
      <w:bookmarkEnd w:id="108"/>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乙方所提供货物的技术规格应与招标文件规定的技术规格以及所附的技术规格响应表相一致。</w:t>
      </w:r>
    </w:p>
    <w:p>
      <w:pPr>
        <w:spacing w:line="360" w:lineRule="auto"/>
        <w:ind w:firstLine="475" w:firstLineChars="197"/>
        <w:rPr>
          <w:rFonts w:ascii="仿宋" w:hAnsi="仿宋" w:eastAsia="仿宋" w:cs="仿宋"/>
          <w:b/>
          <w:color w:val="000000"/>
          <w:sz w:val="24"/>
        </w:rPr>
      </w:pPr>
      <w:bookmarkStart w:id="109" w:name="_Toc22867"/>
      <w:r>
        <w:rPr>
          <w:rFonts w:hint="eastAsia" w:ascii="仿宋" w:hAnsi="仿宋" w:eastAsia="仿宋" w:cs="仿宋"/>
          <w:b/>
          <w:color w:val="000000"/>
          <w:sz w:val="24"/>
        </w:rPr>
        <w:t>十六、专利权</w:t>
      </w:r>
      <w:bookmarkEnd w:id="109"/>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乙方应保证甲方在使用该货物或其任何一部分时不受第三方提出侵犯其专利权、商标权和工业设计权的起诉。一旦出现专利侵权，乙方应负全部责任。</w:t>
      </w:r>
    </w:p>
    <w:p>
      <w:pPr>
        <w:spacing w:line="360" w:lineRule="auto"/>
        <w:ind w:firstLine="475" w:firstLineChars="197"/>
        <w:rPr>
          <w:rFonts w:ascii="仿宋" w:hAnsi="仿宋" w:eastAsia="仿宋" w:cs="仿宋"/>
          <w:b/>
          <w:color w:val="000000"/>
          <w:sz w:val="24"/>
        </w:rPr>
      </w:pPr>
      <w:bookmarkStart w:id="110" w:name="_Toc20658"/>
      <w:r>
        <w:rPr>
          <w:rFonts w:hint="eastAsia" w:ascii="仿宋" w:hAnsi="仿宋" w:eastAsia="仿宋" w:cs="仿宋"/>
          <w:b/>
          <w:color w:val="000000"/>
          <w:sz w:val="24"/>
        </w:rPr>
        <w:t>十七、包装要求</w:t>
      </w:r>
      <w:bookmarkEnd w:id="110"/>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除合同另有规定外，乙方提供的全部货物均按标准保护措施进行包装。该包装应适应于远距离运输、防潮、防震、防锈和防野蛮装卸，以确保货物安全无损运抵指定现场。由于包装不善所引起的货物锈蚀、损坏和损失均由卖方承担。</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（二）每件包装箱内应附一份详细装箱单和质量合格标识。</w:t>
      </w:r>
    </w:p>
    <w:p>
      <w:pPr>
        <w:spacing w:line="360" w:lineRule="auto"/>
        <w:ind w:firstLine="475" w:firstLineChars="197"/>
        <w:rPr>
          <w:rFonts w:ascii="仿宋" w:hAnsi="仿宋" w:eastAsia="仿宋" w:cs="仿宋"/>
          <w:b/>
          <w:color w:val="000000"/>
          <w:sz w:val="24"/>
        </w:rPr>
      </w:pPr>
      <w:bookmarkStart w:id="111" w:name="_Toc10687"/>
      <w:r>
        <w:rPr>
          <w:rFonts w:hint="eastAsia" w:ascii="仿宋" w:hAnsi="仿宋" w:eastAsia="仿宋" w:cs="仿宋"/>
          <w:b/>
          <w:color w:val="000000"/>
          <w:sz w:val="24"/>
        </w:rPr>
        <w:t>十八、装运条件</w:t>
      </w:r>
      <w:bookmarkEnd w:id="11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根据采购人指定地点，乙方负责安排运输，并承担运费。</w:t>
      </w:r>
    </w:p>
    <w:p>
      <w:pPr>
        <w:spacing w:line="360" w:lineRule="auto"/>
        <w:ind w:firstLine="475" w:firstLineChars="197"/>
        <w:rPr>
          <w:rFonts w:ascii="仿宋" w:hAnsi="仿宋" w:eastAsia="仿宋" w:cs="仿宋"/>
          <w:b/>
          <w:color w:val="000000"/>
          <w:sz w:val="24"/>
        </w:rPr>
      </w:pPr>
      <w:bookmarkStart w:id="112" w:name="_Toc16392"/>
      <w:r>
        <w:rPr>
          <w:rFonts w:hint="eastAsia" w:ascii="仿宋" w:hAnsi="仿宋" w:eastAsia="仿宋" w:cs="仿宋"/>
          <w:b/>
          <w:color w:val="000000"/>
          <w:sz w:val="24"/>
        </w:rPr>
        <w:t>十九、付款</w:t>
      </w:r>
      <w:bookmarkEnd w:id="112"/>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（一）本合同以人民币付款。</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（二）乙方应按照与甲方签订的合同规定交货。交货后乙方向甲方提供下列单据，按合同规定审核后付款：</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1、发票；</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2、制造厂家出具的质量检验证书等；</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3、装箱单；</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4、验收合格证书；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5、买方加盖</w:t>
      </w:r>
      <w:r>
        <w:rPr>
          <w:rFonts w:hint="eastAsia" w:ascii="仿宋" w:hAnsi="仿宋" w:eastAsia="仿宋" w:cs="仿宋"/>
          <w:color w:val="000000"/>
          <w:sz w:val="24"/>
          <w:lang w:val="en-US" w:eastAsia="zh-CN"/>
        </w:rPr>
        <w:t>公章</w:t>
      </w:r>
      <w:r>
        <w:rPr>
          <w:rFonts w:hint="eastAsia" w:ascii="仿宋" w:hAnsi="仿宋" w:eastAsia="仿宋" w:cs="仿宋"/>
          <w:color w:val="000000"/>
          <w:sz w:val="24"/>
        </w:rPr>
        <w:t>证明货物交付使用合格的验收合格报告。</w:t>
      </w:r>
    </w:p>
    <w:p>
      <w:pPr>
        <w:spacing w:line="360" w:lineRule="auto"/>
        <w:ind w:firstLine="475" w:firstLineChars="197"/>
        <w:rPr>
          <w:rFonts w:ascii="仿宋" w:hAnsi="仿宋" w:eastAsia="仿宋" w:cs="仿宋"/>
          <w:b/>
          <w:color w:val="000000"/>
          <w:sz w:val="24"/>
        </w:rPr>
      </w:pPr>
      <w:bookmarkStart w:id="113" w:name="_Toc15375"/>
      <w:r>
        <w:rPr>
          <w:rFonts w:hint="eastAsia" w:ascii="仿宋" w:hAnsi="仿宋" w:eastAsia="仿宋" w:cs="仿宋"/>
          <w:b/>
          <w:color w:val="000000"/>
          <w:sz w:val="24"/>
        </w:rPr>
        <w:t>二十、伴随服务</w:t>
      </w:r>
      <w:bookmarkEnd w:id="11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乙方应按照国家有关规定和合同中所附的服务承诺提供服务，主要包括：</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（一）货物的现场安装；</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（二）提供货物组装和维修所需的工具；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（三）在合同中乙方承诺的期限内对所提供货物实施运行监督、维修，该服务并不能免除乙方在质量保证期内应承担的义务；</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（四）在项目交货现场就货物的安装、启动、运行、维护对使用方人员进行培训。</w:t>
      </w:r>
    </w:p>
    <w:p>
      <w:pPr>
        <w:spacing w:line="360" w:lineRule="auto"/>
        <w:ind w:firstLine="475" w:firstLineChars="197"/>
        <w:rPr>
          <w:rFonts w:ascii="仿宋" w:hAnsi="仿宋" w:eastAsia="仿宋" w:cs="仿宋"/>
          <w:b/>
          <w:color w:val="000000"/>
          <w:sz w:val="24"/>
        </w:rPr>
      </w:pPr>
      <w:bookmarkStart w:id="114" w:name="_Toc25025"/>
      <w:r>
        <w:rPr>
          <w:rFonts w:hint="eastAsia" w:ascii="仿宋" w:hAnsi="仿宋" w:eastAsia="仿宋" w:cs="仿宋"/>
          <w:b/>
          <w:color w:val="000000"/>
          <w:sz w:val="24"/>
        </w:rPr>
        <w:t>二十一、质量保证</w:t>
      </w:r>
      <w:bookmarkEnd w:id="114"/>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（一）乙方所提供的产品必须符合最新的国家标准和行业标准。</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应保证货物是全新、未使用过的原装合格正品，并完全符合合同规定的质量、规格和性能。货物在正确安装、正常使用和保养条件下，在其使用寿命内应具有满意的性能。货物最终验收后，在质量保证期内，对由于设计、工艺或材料缺陷而发生任何不足或故障，乙方应负责并承担相应费用。</w:t>
      </w:r>
    </w:p>
    <w:p>
      <w:pPr>
        <w:spacing w:line="360" w:lineRule="auto"/>
        <w:ind w:firstLine="475" w:firstLineChars="197"/>
        <w:rPr>
          <w:rFonts w:ascii="仿宋" w:hAnsi="仿宋" w:eastAsia="仿宋" w:cs="仿宋"/>
          <w:b/>
          <w:color w:val="000000"/>
          <w:sz w:val="24"/>
        </w:rPr>
      </w:pPr>
      <w:bookmarkStart w:id="115" w:name="_Toc24581"/>
      <w:r>
        <w:rPr>
          <w:rFonts w:hint="eastAsia" w:ascii="仿宋" w:hAnsi="仿宋" w:eastAsia="仿宋" w:cs="仿宋"/>
          <w:b/>
          <w:color w:val="000000"/>
          <w:sz w:val="24"/>
        </w:rPr>
        <w:t>二十二、检验</w:t>
      </w:r>
      <w:bookmarkEnd w:id="115"/>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在发货前，乙方应对货物的质量、规格、性能、数量和重量等进行准确而全面的检验，并出具一份证明货物符合合同规定的证书。该证书将作为提交付款单据的一部分，但有关质量、规格、性能、数量或重量的检验不应视为最终检验。检验的结果和细节应附在检验证书后面。</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甲方在乙方交货后及时组织验收，如果货物的质量和规格与合同规定相符，甲方应及时填写验收表，加盖公章后；如果货物的质量、规格与合同规定不符，或在质量保证期内发现货物是有缺陷的（包括潜在缺陷或使用不符合要求的材料），甲方应报请法定检验机构进行检查，有权凭其出具的检验报告向乙方提出索赔，检验报告送县政府采购管理部门备案。</w:t>
      </w:r>
    </w:p>
    <w:p>
      <w:pPr>
        <w:spacing w:line="360" w:lineRule="auto"/>
        <w:ind w:firstLine="475" w:firstLineChars="197"/>
        <w:rPr>
          <w:rFonts w:ascii="仿宋" w:hAnsi="仿宋" w:eastAsia="仿宋" w:cs="仿宋"/>
          <w:b/>
          <w:color w:val="000000"/>
          <w:sz w:val="24"/>
        </w:rPr>
      </w:pPr>
      <w:bookmarkStart w:id="116" w:name="_Toc8478"/>
      <w:r>
        <w:rPr>
          <w:rFonts w:hint="eastAsia" w:ascii="仿宋" w:hAnsi="仿宋" w:eastAsia="仿宋" w:cs="仿宋"/>
          <w:b/>
          <w:color w:val="000000"/>
          <w:sz w:val="24"/>
        </w:rPr>
        <w:t>二十三、索赔</w:t>
      </w:r>
      <w:bookmarkEnd w:id="11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甲方有权根据法定检验机构出具的检验报告，向乙方提出索赔。根据合同规定的检验期和质量保证期内，如乙方对甲方提出的索赔和差异负有责任，乙方应按照甲方同意的下列一种或多种方式解决索赔事宜：</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1、乙方同意退货，按合同中规定的货币将货款退还给甲方，并承担由此发生的一切损失和费用，包括利息、银行手续费、运费、保险费、检验费、仓储费、装卸费以及为保护退回货物所需的其它必要费用。</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2、根据货物的低劣程度、损坏程度以及买方所遭损失的数额，乙方须降低货物价格。</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用符合合同规定的规格、质量和性能要求的新零件、部件或设备来更换和或修补有缺陷的部分，乙方应承担一切费用和风险并负担甲方所蒙受的全部直接损失费用。同时应按合同规定对更换和修补件，相应延长质量保证期。</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（二）在甲方发出索赔通知后20天内，如乙方未作答复，上述索赔应视为已被接受，按照本合同规定的任何一种方法解决索赔事宜，甲方将从乙方开具的合同款项中扣除索赔金额或采用法律手段解决索赔事宜。</w:t>
      </w:r>
    </w:p>
    <w:p>
      <w:pPr>
        <w:spacing w:line="360" w:lineRule="auto"/>
        <w:ind w:firstLine="475" w:firstLineChars="197"/>
        <w:rPr>
          <w:rFonts w:ascii="仿宋" w:hAnsi="仿宋" w:eastAsia="仿宋" w:cs="仿宋"/>
          <w:b/>
          <w:color w:val="000000"/>
          <w:sz w:val="24"/>
        </w:rPr>
      </w:pPr>
      <w:bookmarkStart w:id="117" w:name="_Toc19545"/>
      <w:r>
        <w:rPr>
          <w:rFonts w:hint="eastAsia" w:ascii="仿宋" w:hAnsi="仿宋" w:eastAsia="仿宋" w:cs="仿宋"/>
          <w:b/>
          <w:color w:val="000000"/>
          <w:sz w:val="24"/>
        </w:rPr>
        <w:t>二十四、误期赔偿</w:t>
      </w:r>
      <w:bookmarkEnd w:id="117"/>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除合同规定外，如果乙方没有按照合同规定的时间交货和提供服务，甲方将从货款中扣除误期赔偿费而不影响合同项目的其他补救方法，赔偿费按每周迟交货物交货价或未提供服务费用的0.5%计收，直至交货或提供服务为止，一周按7天计算，不足7天按一周计算。但误期赔偿费的最高限为误期货物或服务合同价的5%。一旦达到误期赔偿的最高限额，甲方可考虑终止合同。</w:t>
      </w:r>
    </w:p>
    <w:p>
      <w:pPr>
        <w:spacing w:line="360" w:lineRule="auto"/>
        <w:ind w:firstLine="475" w:firstLineChars="197"/>
        <w:rPr>
          <w:rFonts w:ascii="仿宋" w:hAnsi="仿宋" w:eastAsia="仿宋" w:cs="仿宋"/>
          <w:b/>
          <w:color w:val="000000"/>
          <w:sz w:val="24"/>
        </w:rPr>
      </w:pPr>
      <w:bookmarkStart w:id="118" w:name="_Toc22656"/>
      <w:r>
        <w:rPr>
          <w:rFonts w:hint="eastAsia" w:ascii="仿宋" w:hAnsi="仿宋" w:eastAsia="仿宋" w:cs="仿宋"/>
          <w:b/>
          <w:color w:val="000000"/>
          <w:sz w:val="24"/>
        </w:rPr>
        <w:t>二十五、不可抗力</w:t>
      </w:r>
      <w:bookmarkEnd w:id="118"/>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在不可抗力事件发生后，乙方应尽快以书面形式将不可抗力的情况和原因通知甲方，同时应尽实际可能继续履行合同义务，以及寻求采取合理的方案履行不受不可抗力影响的其他事项。如果不可抗力事件影响时间持续120天以上时，双方应通过友好协商在合理的时间内达成进一步履行合同的协议。</w:t>
      </w:r>
    </w:p>
    <w:p>
      <w:pPr>
        <w:spacing w:line="360" w:lineRule="auto"/>
        <w:ind w:firstLine="475" w:firstLineChars="197"/>
        <w:rPr>
          <w:rFonts w:ascii="仿宋" w:hAnsi="仿宋" w:eastAsia="仿宋" w:cs="仿宋"/>
          <w:b/>
          <w:color w:val="000000"/>
          <w:sz w:val="24"/>
        </w:rPr>
      </w:pPr>
      <w:bookmarkStart w:id="119" w:name="_Toc15920"/>
      <w:r>
        <w:rPr>
          <w:rFonts w:hint="eastAsia" w:ascii="仿宋" w:hAnsi="仿宋" w:eastAsia="仿宋" w:cs="仿宋"/>
          <w:b/>
          <w:color w:val="000000"/>
          <w:sz w:val="24"/>
        </w:rPr>
        <w:t>二十六、税费</w:t>
      </w:r>
      <w:bookmarkEnd w:id="119"/>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中国政府根据现行税法规定对甲方征收的与本合同有关的一切税费由甲方负担；规定对乙方征收的与本合同有关的一切税费由乙方负担。</w:t>
      </w:r>
    </w:p>
    <w:p>
      <w:pPr>
        <w:spacing w:line="360" w:lineRule="auto"/>
        <w:ind w:firstLine="475" w:firstLineChars="197"/>
        <w:rPr>
          <w:rFonts w:ascii="仿宋" w:hAnsi="仿宋" w:eastAsia="仿宋" w:cs="仿宋"/>
          <w:b/>
          <w:color w:val="000000"/>
          <w:sz w:val="24"/>
        </w:rPr>
      </w:pPr>
      <w:bookmarkStart w:id="120" w:name="_Toc5027"/>
      <w:r>
        <w:rPr>
          <w:rFonts w:hint="eastAsia" w:ascii="仿宋" w:hAnsi="仿宋" w:eastAsia="仿宋" w:cs="仿宋"/>
          <w:b/>
          <w:color w:val="000000"/>
          <w:sz w:val="24"/>
        </w:rPr>
        <w:t>二十七、合同争议</w:t>
      </w:r>
      <w:bookmarkEnd w:id="120"/>
    </w:p>
    <w:p>
      <w:pPr>
        <w:snapToGrid w:val="0"/>
        <w:spacing w:line="360" w:lineRule="auto"/>
        <w:ind w:firstLine="480" w:firstLineChars="200"/>
        <w:rPr>
          <w:rFonts w:ascii="仿宋" w:hAnsi="仿宋" w:eastAsia="仿宋" w:cs="仿宋"/>
          <w:b/>
          <w:color w:val="000000"/>
          <w:sz w:val="24"/>
        </w:rPr>
      </w:pPr>
      <w:r>
        <w:rPr>
          <w:rFonts w:hint="eastAsia" w:ascii="仿宋" w:hAnsi="仿宋" w:eastAsia="仿宋" w:cs="仿宋"/>
          <w:color w:val="000000"/>
          <w:sz w:val="24"/>
        </w:rPr>
        <w:t>甲乙双方应通过友好协商，解决在执行本合同中所发生的或与本合同有关的一切争议。如果协商仍得不到解决，任何一方均可按“中华人民共和国</w:t>
      </w:r>
      <w:r>
        <w:rPr>
          <w:rFonts w:hint="eastAsia" w:ascii="仿宋" w:hAnsi="仿宋" w:eastAsia="仿宋" w:cs="仿宋"/>
          <w:color w:val="000000"/>
          <w:sz w:val="24"/>
          <w:lang w:val="en-US" w:eastAsia="zh-CN"/>
        </w:rPr>
        <w:t>民法典</w:t>
      </w:r>
      <w:r>
        <w:rPr>
          <w:rFonts w:hint="eastAsia" w:ascii="仿宋" w:hAnsi="仿宋" w:eastAsia="仿宋" w:cs="仿宋"/>
          <w:color w:val="000000"/>
          <w:sz w:val="24"/>
        </w:rPr>
        <w:t>”规定提交调解和仲裁。</w:t>
      </w:r>
    </w:p>
    <w:p>
      <w:pPr>
        <w:snapToGrid w:val="0"/>
        <w:spacing w:line="360" w:lineRule="auto"/>
        <w:ind w:firstLine="475" w:firstLineChars="197"/>
        <w:rPr>
          <w:rFonts w:ascii="仿宋" w:hAnsi="仿宋" w:eastAsia="仿宋" w:cs="仿宋"/>
          <w:color w:val="000000"/>
          <w:sz w:val="24"/>
        </w:rPr>
      </w:pPr>
      <w:bookmarkStart w:id="121" w:name="_Toc20722"/>
      <w:r>
        <w:rPr>
          <w:rFonts w:hint="eastAsia" w:ascii="仿宋" w:hAnsi="仿宋" w:eastAsia="仿宋" w:cs="仿宋"/>
          <w:b/>
          <w:color w:val="000000"/>
          <w:sz w:val="24"/>
        </w:rPr>
        <w:t>二十八、适用法律</w:t>
      </w:r>
      <w:bookmarkEnd w:id="121"/>
      <w:r>
        <w:rPr>
          <w:rFonts w:hint="eastAsia" w:ascii="仿宋" w:hAnsi="仿宋" w:eastAsia="仿宋" w:cs="仿宋"/>
          <w:color w:val="000000"/>
          <w:sz w:val="24"/>
        </w:rPr>
        <w:t>本合同应按照中华人民共和国的现行法律进行解释。</w:t>
      </w:r>
    </w:p>
    <w:p>
      <w:pPr>
        <w:ind w:firstLine="1446" w:firstLineChars="600"/>
        <w:rPr>
          <w:rFonts w:ascii="仿宋" w:hAnsi="仿宋" w:eastAsia="仿宋" w:cs="仿宋"/>
          <w:b/>
          <w:bCs/>
          <w:sz w:val="24"/>
        </w:rPr>
      </w:pPr>
      <w:r>
        <w:rPr>
          <w:rFonts w:hint="eastAsia" w:ascii="仿宋" w:hAnsi="仿宋" w:eastAsia="仿宋" w:cs="仿宋"/>
          <w:b/>
          <w:bCs/>
          <w:sz w:val="24"/>
        </w:rPr>
        <w:t>本合同未尽事宜，由中标人和业主协商另行签订补充协议。</w:t>
      </w:r>
    </w:p>
    <w:p>
      <w:pPr>
        <w:spacing w:line="360" w:lineRule="auto"/>
        <w:ind w:firstLine="480" w:firstLineChars="200"/>
        <w:rPr>
          <w:rFonts w:ascii="仿宋" w:hAnsi="仿宋" w:eastAsia="仿宋" w:cs="仿宋"/>
          <w:color w:val="000000"/>
          <w:sz w:val="24"/>
        </w:rPr>
        <w:sectPr>
          <w:footerReference r:id="rId14" w:type="first"/>
          <w:headerReference r:id="rId12" w:type="default"/>
          <w:footerReference r:id="rId13" w:type="default"/>
          <w:pgSz w:w="11906" w:h="16838"/>
          <w:pgMar w:top="1378" w:right="1418" w:bottom="1001" w:left="1418" w:header="851" w:footer="992" w:gutter="0"/>
          <w:cols w:space="720" w:num="1"/>
          <w:titlePg/>
          <w:docGrid w:linePitch="312" w:charSpace="0"/>
        </w:sect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甲方：（盖章）            </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地址：</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法定（授权）代表人：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联系电话：</w:t>
      </w:r>
    </w:p>
    <w:p>
      <w:pPr>
        <w:spacing w:line="360" w:lineRule="auto"/>
        <w:ind w:firstLine="480" w:firstLineChars="200"/>
        <w:jc w:val="right"/>
        <w:rPr>
          <w:rFonts w:hint="eastAsia" w:ascii="仿宋" w:hAnsi="仿宋" w:eastAsia="仿宋" w:cs="仿宋"/>
          <w:color w:val="000000"/>
          <w:sz w:val="24"/>
        </w:rPr>
      </w:pPr>
      <w:r>
        <w:rPr>
          <w:rFonts w:hint="eastAsia" w:ascii="仿宋" w:hAnsi="仿宋" w:eastAsia="仿宋" w:cs="仿宋"/>
          <w:color w:val="000000"/>
          <w:sz w:val="24"/>
        </w:rPr>
        <w:t>二零二</w:t>
      </w:r>
      <w:r>
        <w:rPr>
          <w:rFonts w:hint="eastAsia" w:ascii="仿宋" w:hAnsi="仿宋" w:eastAsia="仿宋" w:cs="仿宋"/>
          <w:color w:val="000000"/>
          <w:sz w:val="24"/>
          <w:lang w:val="en-US" w:eastAsia="zh-CN"/>
        </w:rPr>
        <w:t>二</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日</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乙方：（盖章）</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地址：</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法定（授权）代表人：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联系人：</w:t>
      </w:r>
    </w:p>
    <w:p>
      <w:pPr>
        <w:widowControl/>
        <w:snapToGrid w:val="0"/>
        <w:spacing w:line="36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联系电话：</w:t>
      </w:r>
    </w:p>
    <w:p>
      <w:pPr>
        <w:widowControl/>
        <w:snapToGrid w:val="0"/>
        <w:spacing w:line="360" w:lineRule="auto"/>
        <w:ind w:firstLine="480" w:firstLineChars="200"/>
        <w:jc w:val="right"/>
        <w:rPr>
          <w:rFonts w:ascii="仿宋" w:hAnsi="仿宋" w:eastAsia="仿宋" w:cs="仿宋"/>
          <w:color w:val="000000"/>
          <w:sz w:val="24"/>
          <w:u w:val="single"/>
        </w:rPr>
      </w:pPr>
      <w:r>
        <w:rPr>
          <w:rFonts w:hint="eastAsia" w:ascii="仿宋" w:hAnsi="仿宋" w:eastAsia="仿宋" w:cs="仿宋"/>
          <w:color w:val="000000"/>
          <w:sz w:val="24"/>
        </w:rPr>
        <w:t>二零二</w:t>
      </w:r>
      <w:r>
        <w:rPr>
          <w:rFonts w:hint="eastAsia" w:ascii="仿宋" w:hAnsi="仿宋" w:eastAsia="仿宋" w:cs="仿宋"/>
          <w:color w:val="000000"/>
          <w:sz w:val="24"/>
          <w:lang w:val="en-US" w:eastAsia="zh-CN"/>
        </w:rPr>
        <w:t>二</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日</w:t>
      </w: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jc w:val="both"/>
        <w:rPr>
          <w:rFonts w:ascii="仿宋" w:hAnsi="仿宋" w:eastAsia="仿宋" w:cs="仿宋"/>
          <w:color w:val="000000"/>
          <w:sz w:val="24"/>
          <w:u w:val="single"/>
        </w:rPr>
        <w:sectPr>
          <w:footerReference r:id="rId16" w:type="first"/>
          <w:footerReference r:id="rId15" w:type="even"/>
          <w:type w:val="continuous"/>
          <w:pgSz w:w="11906" w:h="16838"/>
          <w:pgMar w:top="1440" w:right="1797" w:bottom="1440" w:left="1797" w:header="851" w:footer="992" w:gutter="0"/>
          <w:cols w:space="425" w:num="2"/>
          <w:docGrid w:linePitch="312" w:charSpace="0"/>
        </w:sectPr>
      </w:pPr>
    </w:p>
    <w:p>
      <w:pPr>
        <w:ind w:firstLine="2249" w:firstLineChars="700"/>
        <w:jc w:val="both"/>
        <w:outlineLvl w:val="0"/>
        <w:rPr>
          <w:rFonts w:ascii="仿宋" w:hAnsi="仿宋" w:eastAsia="仿宋" w:cs="仿宋"/>
        </w:rPr>
      </w:pPr>
      <w:r>
        <w:rPr>
          <w:rFonts w:hint="eastAsia" w:ascii="仿宋" w:hAnsi="仿宋" w:eastAsia="仿宋" w:cs="仿宋"/>
          <w:b/>
          <w:sz w:val="32"/>
          <w:szCs w:val="32"/>
        </w:rPr>
        <w:t>第四部分：项目招标要求及说明</w:t>
      </w:r>
    </w:p>
    <w:p>
      <w:pPr>
        <w:rPr>
          <w:rFonts w:ascii="仿宋" w:hAnsi="仿宋" w:eastAsia="仿宋" w:cs="仿宋"/>
          <w:sz w:val="24"/>
        </w:rPr>
      </w:pPr>
      <w:bookmarkStart w:id="142" w:name="_GoBack"/>
      <w:bookmarkEnd w:id="142"/>
    </w:p>
    <w:p>
      <w:pPr>
        <w:pStyle w:val="6"/>
        <w:rPr>
          <w:rFonts w:ascii="仿宋" w:hAnsi="仿宋" w:eastAsia="仿宋" w:cs="仿宋"/>
          <w:szCs w:val="24"/>
        </w:rPr>
      </w:pPr>
    </w:p>
    <w:p>
      <w:pPr>
        <w:pStyle w:val="6"/>
        <w:rPr>
          <w:rFonts w:ascii="仿宋" w:hAnsi="仿宋" w:eastAsia="仿宋" w:cs="仿宋"/>
          <w:szCs w:val="24"/>
        </w:rPr>
      </w:pPr>
    </w:p>
    <w:p>
      <w:pPr>
        <w:pStyle w:val="6"/>
        <w:rPr>
          <w:rFonts w:ascii="仿宋" w:hAnsi="仿宋" w:eastAsia="仿宋" w:cs="仿宋"/>
          <w:szCs w:val="24"/>
        </w:rPr>
      </w:pPr>
    </w:p>
    <w:p>
      <w:pPr>
        <w:pStyle w:val="6"/>
        <w:rPr>
          <w:rFonts w:ascii="仿宋" w:hAnsi="仿宋" w:eastAsia="仿宋" w:cs="仿宋"/>
          <w:szCs w:val="24"/>
        </w:rPr>
      </w:pPr>
    </w:p>
    <w:p>
      <w:pPr>
        <w:widowControl/>
        <w:jc w:val="left"/>
        <w:rPr>
          <w:rFonts w:ascii="仿宋" w:hAnsi="仿宋" w:eastAsia="仿宋" w:cs="仿宋"/>
          <w:sz w:val="24"/>
        </w:rPr>
      </w:pPr>
      <w:r>
        <w:rPr>
          <w:rFonts w:hint="eastAsia" w:ascii="仿宋" w:hAnsi="仿宋" w:eastAsia="仿宋" w:cs="仿宋"/>
        </w:rPr>
        <w:br w:type="page"/>
      </w:r>
    </w:p>
    <w:p>
      <w:pPr>
        <w:pStyle w:val="6"/>
        <w:rPr>
          <w:rFonts w:ascii="仿宋" w:hAnsi="仿宋" w:eastAsia="仿宋" w:cs="仿宋"/>
          <w:szCs w:val="24"/>
        </w:rPr>
      </w:pPr>
    </w:p>
    <w:p>
      <w:pPr>
        <w:widowControl/>
        <w:jc w:val="left"/>
        <w:rPr>
          <w:rFonts w:hint="eastAsia" w:ascii="仿宋" w:hAnsi="仿宋" w:eastAsia="仿宋" w:cs="仿宋"/>
        </w:rPr>
      </w:pPr>
    </w:p>
    <w:p>
      <w:pPr>
        <w:numPr>
          <w:ilvl w:val="0"/>
          <w:numId w:val="6"/>
        </w:numPr>
        <w:jc w:val="center"/>
        <w:outlineLvl w:val="0"/>
        <w:rPr>
          <w:rFonts w:ascii="仿宋" w:hAnsi="仿宋" w:eastAsia="仿宋" w:cs="仿宋"/>
          <w:b/>
          <w:bCs/>
          <w:sz w:val="32"/>
          <w:szCs w:val="32"/>
        </w:rPr>
      </w:pPr>
      <w:bookmarkStart w:id="122" w:name="_Toc8527"/>
      <w:bookmarkStart w:id="123" w:name="_Toc17630"/>
      <w:bookmarkStart w:id="124" w:name="_Toc12388"/>
      <w:r>
        <w:rPr>
          <w:rFonts w:hint="eastAsia" w:ascii="仿宋" w:hAnsi="仿宋" w:eastAsia="仿宋" w:cs="仿宋"/>
          <w:b/>
          <w:bCs/>
          <w:sz w:val="32"/>
          <w:szCs w:val="32"/>
        </w:rPr>
        <w:t>分 投标文件格式</w:t>
      </w:r>
      <w:bookmarkEnd w:id="122"/>
      <w:bookmarkEnd w:id="123"/>
      <w:bookmarkEnd w:id="124"/>
    </w:p>
    <w:p>
      <w:pPr>
        <w:rPr>
          <w:rFonts w:hint="eastAsia" w:ascii="仿宋" w:hAnsi="仿宋" w:eastAsia="仿宋" w:cs="仿宋"/>
          <w:b/>
          <w:sz w:val="32"/>
          <w:szCs w:val="32"/>
        </w:rPr>
      </w:pPr>
      <w:bookmarkStart w:id="125" w:name="_Toc256000035"/>
    </w:p>
    <w:bookmarkEnd w:id="125"/>
    <w:p>
      <w:pPr>
        <w:pStyle w:val="30"/>
        <w:spacing w:line="360" w:lineRule="auto"/>
        <w:rPr>
          <w:rFonts w:ascii="仿宋" w:hAnsi="仿宋" w:eastAsia="仿宋" w:cs="仿宋"/>
          <w:b/>
          <w:sz w:val="24"/>
        </w:rPr>
      </w:pPr>
    </w:p>
    <w:p>
      <w:pPr>
        <w:pStyle w:val="30"/>
        <w:spacing w:line="360" w:lineRule="auto"/>
        <w:jc w:val="center"/>
        <w:rPr>
          <w:rFonts w:ascii="仿宋" w:hAnsi="仿宋" w:eastAsia="仿宋" w:cs="仿宋"/>
          <w:sz w:val="24"/>
        </w:rPr>
      </w:pPr>
    </w:p>
    <w:p>
      <w:pPr>
        <w:pStyle w:val="30"/>
        <w:spacing w:line="360" w:lineRule="auto"/>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（项目名称）</w:t>
      </w:r>
    </w:p>
    <w:p>
      <w:pPr>
        <w:pStyle w:val="30"/>
        <w:spacing w:line="360" w:lineRule="auto"/>
        <w:jc w:val="center"/>
        <w:rPr>
          <w:rFonts w:ascii="仿宋" w:hAnsi="仿宋" w:eastAsia="仿宋" w:cs="仿宋"/>
          <w:sz w:val="28"/>
          <w:szCs w:val="28"/>
        </w:rPr>
      </w:pPr>
    </w:p>
    <w:p>
      <w:pPr>
        <w:pStyle w:val="30"/>
        <w:spacing w:line="360" w:lineRule="auto"/>
        <w:ind w:firstLine="1680" w:firstLineChars="600"/>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（项目编号）</w:t>
      </w:r>
    </w:p>
    <w:p>
      <w:pPr>
        <w:pStyle w:val="30"/>
        <w:spacing w:line="360" w:lineRule="auto"/>
        <w:jc w:val="center"/>
        <w:rPr>
          <w:rFonts w:ascii="仿宋" w:hAnsi="仿宋" w:eastAsia="仿宋" w:cs="仿宋"/>
          <w:sz w:val="24"/>
        </w:rPr>
      </w:pPr>
    </w:p>
    <w:p>
      <w:pPr>
        <w:pStyle w:val="30"/>
        <w:spacing w:line="360" w:lineRule="auto"/>
        <w:jc w:val="center"/>
        <w:rPr>
          <w:rFonts w:ascii="仿宋" w:hAnsi="仿宋" w:eastAsia="仿宋" w:cs="仿宋"/>
          <w:sz w:val="24"/>
        </w:rPr>
      </w:pPr>
    </w:p>
    <w:p>
      <w:pPr>
        <w:pStyle w:val="30"/>
        <w:spacing w:line="360" w:lineRule="auto"/>
        <w:jc w:val="center"/>
        <w:rPr>
          <w:rFonts w:ascii="仿宋" w:hAnsi="仿宋" w:eastAsia="仿宋" w:cs="仿宋"/>
          <w:b/>
          <w:sz w:val="72"/>
          <w:szCs w:val="72"/>
        </w:rPr>
      </w:pPr>
      <w:r>
        <w:rPr>
          <w:rFonts w:hint="eastAsia" w:ascii="仿宋" w:hAnsi="仿宋" w:eastAsia="仿宋" w:cs="仿宋"/>
          <w:b/>
          <w:sz w:val="72"/>
          <w:szCs w:val="72"/>
        </w:rPr>
        <w:t>投标文件</w:t>
      </w:r>
    </w:p>
    <w:p>
      <w:pPr>
        <w:pStyle w:val="30"/>
        <w:spacing w:line="360" w:lineRule="auto"/>
        <w:jc w:val="center"/>
        <w:rPr>
          <w:rFonts w:ascii="仿宋" w:hAnsi="仿宋" w:eastAsia="仿宋" w:cs="仿宋"/>
          <w:sz w:val="24"/>
        </w:rPr>
      </w:pPr>
    </w:p>
    <w:p>
      <w:pPr>
        <w:pStyle w:val="30"/>
        <w:spacing w:line="360" w:lineRule="auto"/>
        <w:jc w:val="center"/>
        <w:rPr>
          <w:rFonts w:ascii="仿宋" w:hAnsi="仿宋" w:eastAsia="仿宋" w:cs="仿宋"/>
          <w:sz w:val="24"/>
        </w:rPr>
      </w:pPr>
    </w:p>
    <w:p>
      <w:pPr>
        <w:pStyle w:val="30"/>
        <w:spacing w:line="360" w:lineRule="auto"/>
        <w:jc w:val="center"/>
        <w:rPr>
          <w:rFonts w:ascii="仿宋" w:hAnsi="仿宋" w:eastAsia="仿宋" w:cs="仿宋"/>
          <w:b/>
          <w:sz w:val="24"/>
        </w:rPr>
      </w:pPr>
    </w:p>
    <w:p>
      <w:pPr>
        <w:pStyle w:val="30"/>
        <w:spacing w:line="360" w:lineRule="auto"/>
        <w:jc w:val="center"/>
        <w:rPr>
          <w:rFonts w:ascii="仿宋" w:hAnsi="仿宋" w:eastAsia="仿宋" w:cs="仿宋"/>
          <w:b/>
          <w:sz w:val="24"/>
        </w:rPr>
      </w:pPr>
    </w:p>
    <w:p>
      <w:pPr>
        <w:pStyle w:val="30"/>
        <w:spacing w:line="360" w:lineRule="auto"/>
        <w:jc w:val="center"/>
        <w:rPr>
          <w:rFonts w:ascii="仿宋" w:hAnsi="仿宋" w:eastAsia="仿宋" w:cs="仿宋"/>
          <w:b/>
          <w:sz w:val="24"/>
        </w:rPr>
      </w:pPr>
    </w:p>
    <w:p>
      <w:pPr>
        <w:pStyle w:val="30"/>
        <w:spacing w:line="360" w:lineRule="auto"/>
        <w:jc w:val="center"/>
        <w:rPr>
          <w:rFonts w:ascii="仿宋" w:hAnsi="仿宋" w:eastAsia="仿宋" w:cs="仿宋"/>
          <w:b/>
          <w:sz w:val="24"/>
        </w:rPr>
      </w:pPr>
    </w:p>
    <w:p>
      <w:pPr>
        <w:pStyle w:val="30"/>
        <w:spacing w:line="360" w:lineRule="auto"/>
        <w:jc w:val="center"/>
        <w:rPr>
          <w:rFonts w:ascii="仿宋" w:hAnsi="仿宋" w:eastAsia="仿宋" w:cs="仿宋"/>
          <w:b/>
          <w:sz w:val="24"/>
        </w:rPr>
      </w:pPr>
    </w:p>
    <w:p>
      <w:pPr>
        <w:pStyle w:val="30"/>
        <w:spacing w:line="360" w:lineRule="auto"/>
        <w:jc w:val="center"/>
        <w:rPr>
          <w:rFonts w:ascii="仿宋" w:hAnsi="仿宋" w:eastAsia="仿宋" w:cs="仿宋"/>
          <w:b/>
          <w:sz w:val="24"/>
        </w:rPr>
      </w:pPr>
    </w:p>
    <w:p>
      <w:pPr>
        <w:pStyle w:val="30"/>
        <w:spacing w:line="360" w:lineRule="auto"/>
        <w:jc w:val="center"/>
        <w:rPr>
          <w:rFonts w:ascii="仿宋" w:hAnsi="仿宋" w:eastAsia="仿宋" w:cs="仿宋"/>
          <w:sz w:val="28"/>
          <w:szCs w:val="28"/>
          <w:u w:val="single"/>
        </w:rPr>
      </w:pPr>
      <w:r>
        <w:rPr>
          <w:rFonts w:hint="eastAsia" w:ascii="仿宋" w:hAnsi="仿宋" w:eastAsia="仿宋" w:cs="仿宋"/>
          <w:sz w:val="28"/>
          <w:szCs w:val="28"/>
        </w:rPr>
        <w:t>投标人</w:t>
      </w:r>
      <w:r>
        <w:rPr>
          <w:rFonts w:hint="eastAsia" w:ascii="仿宋" w:hAnsi="仿宋" w:eastAsia="仿宋" w:cs="仿宋"/>
          <w:sz w:val="28"/>
          <w:szCs w:val="28"/>
          <w:u w:val="single"/>
        </w:rPr>
        <w:t xml:space="preserve">                     </w:t>
      </w:r>
      <w:r>
        <w:rPr>
          <w:rFonts w:hint="eastAsia" w:ascii="仿宋" w:hAnsi="仿宋" w:eastAsia="仿宋" w:cs="仿宋"/>
          <w:sz w:val="28"/>
          <w:szCs w:val="28"/>
        </w:rPr>
        <w:t>（</w:t>
      </w:r>
      <w:r>
        <w:rPr>
          <w:rFonts w:hint="eastAsia" w:ascii="仿宋" w:hAnsi="仿宋" w:eastAsia="仿宋" w:cs="仿宋"/>
          <w:sz w:val="28"/>
          <w:szCs w:val="28"/>
          <w:lang w:val="en-US" w:eastAsia="zh-CN"/>
        </w:rPr>
        <w:t>公</w:t>
      </w:r>
      <w:r>
        <w:rPr>
          <w:rFonts w:hint="eastAsia" w:ascii="仿宋" w:hAnsi="仿宋" w:eastAsia="仿宋" w:cs="仿宋"/>
          <w:sz w:val="28"/>
          <w:szCs w:val="28"/>
        </w:rPr>
        <w:t>章）</w:t>
      </w:r>
    </w:p>
    <w:p>
      <w:pPr>
        <w:pStyle w:val="30"/>
        <w:spacing w:line="360" w:lineRule="auto"/>
        <w:jc w:val="center"/>
        <w:rPr>
          <w:rFonts w:ascii="仿宋" w:hAnsi="仿宋" w:eastAsia="仿宋" w:cs="仿宋"/>
          <w:sz w:val="28"/>
          <w:szCs w:val="28"/>
        </w:rPr>
      </w:pPr>
      <w:r>
        <w:rPr>
          <w:rFonts w:hint="eastAsia" w:ascii="仿宋" w:hAnsi="仿宋" w:eastAsia="仿宋" w:cs="仿宋"/>
          <w:sz w:val="28"/>
          <w:szCs w:val="28"/>
        </w:rPr>
        <w:t xml:space="preserve"> 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（电子签名）</w:t>
      </w:r>
    </w:p>
    <w:p>
      <w:pPr>
        <w:pStyle w:val="30"/>
        <w:spacing w:line="360" w:lineRule="auto"/>
        <w:ind w:firstLine="2240" w:firstLineChars="800"/>
        <w:rPr>
          <w:rFonts w:ascii="仿宋" w:hAnsi="仿宋" w:eastAsia="仿宋" w:cs="仿宋"/>
          <w:sz w:val="28"/>
          <w:szCs w:val="28"/>
          <w:u w:val="single"/>
        </w:rPr>
      </w:pPr>
      <w:r>
        <w:rPr>
          <w:rFonts w:hint="eastAsia" w:ascii="仿宋" w:hAnsi="仿宋" w:eastAsia="仿宋" w:cs="仿宋"/>
          <w:sz w:val="28"/>
          <w:szCs w:val="28"/>
        </w:rPr>
        <w:t>日期</w:t>
      </w:r>
      <w:r>
        <w:rPr>
          <w:rFonts w:hint="eastAsia" w:ascii="仿宋" w:hAnsi="仿宋" w:eastAsia="仿宋" w:cs="仿宋"/>
          <w:sz w:val="28"/>
          <w:szCs w:val="28"/>
          <w:u w:val="single"/>
        </w:rPr>
        <w:t xml:space="preserve">                   </w:t>
      </w:r>
      <w:r>
        <w:rPr>
          <w:rFonts w:hint="eastAsia" w:ascii="仿宋" w:hAnsi="仿宋" w:eastAsia="仿宋" w:cs="仿宋"/>
          <w:sz w:val="28"/>
          <w:szCs w:val="28"/>
        </w:rPr>
        <w:t>（年/月/日）</w:t>
      </w:r>
    </w:p>
    <w:p>
      <w:pPr>
        <w:pStyle w:val="4"/>
        <w:rPr>
          <w:rFonts w:ascii="仿宋" w:hAnsi="仿宋" w:eastAsia="仿宋" w:cs="仿宋"/>
        </w:rPr>
      </w:pPr>
    </w:p>
    <w:p>
      <w:pPr>
        <w:rPr>
          <w:rFonts w:ascii="仿宋" w:hAnsi="仿宋" w:eastAsia="仿宋" w:cs="仿宋"/>
        </w:rPr>
      </w:pPr>
    </w:p>
    <w:p>
      <w:pPr>
        <w:pStyle w:val="4"/>
        <w:rPr>
          <w:rFonts w:ascii="仿宋" w:hAnsi="仿宋" w:eastAsia="仿宋" w:cs="仿宋"/>
        </w:rPr>
      </w:pPr>
    </w:p>
    <w:p>
      <w:pPr>
        <w:pStyle w:val="4"/>
        <w:rPr>
          <w:rFonts w:ascii="仿宋" w:hAnsi="仿宋" w:eastAsia="仿宋" w:cs="仿宋"/>
        </w:rPr>
      </w:pPr>
    </w:p>
    <w:p>
      <w:pPr>
        <w:rPr>
          <w:rFonts w:ascii="仿宋" w:hAnsi="仿宋" w:eastAsia="仿宋" w:cs="仿宋"/>
        </w:rPr>
      </w:pPr>
    </w:p>
    <w:p>
      <w:pPr>
        <w:pStyle w:val="13"/>
        <w:rPr>
          <w:rFonts w:ascii="仿宋" w:hAnsi="仿宋" w:eastAsia="仿宋" w:cs="仿宋"/>
        </w:rPr>
      </w:pPr>
    </w:p>
    <w:p>
      <w:pPr>
        <w:rPr>
          <w:rFonts w:ascii="仿宋" w:hAnsi="仿宋" w:eastAsia="仿宋" w:cs="仿宋"/>
        </w:rPr>
      </w:pPr>
    </w:p>
    <w:p>
      <w:pPr>
        <w:spacing w:line="360" w:lineRule="auto"/>
        <w:jc w:val="left"/>
        <w:outlineLvl w:val="0"/>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r>
        <w:rPr>
          <w:rFonts w:hint="eastAsia" w:ascii="仿宋" w:hAnsi="仿宋" w:eastAsia="仿宋" w:cs="仿宋"/>
          <w:b/>
          <w:bCs/>
          <w:sz w:val="28"/>
          <w:szCs w:val="28"/>
        </w:rPr>
        <w:t>附件一</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26" w:name="_Toc23353_WPSOffice_Level1"/>
      <w:r>
        <w:rPr>
          <w:rFonts w:hint="eastAsia" w:ascii="仿宋" w:hAnsi="仿宋" w:eastAsia="仿宋" w:cs="仿宋"/>
          <w:b/>
          <w:bCs/>
          <w:color w:val="000000" w:themeColor="text1"/>
          <w:sz w:val="28"/>
          <w:szCs w:val="28"/>
          <w14:textFill>
            <w14:solidFill>
              <w14:schemeClr w14:val="tx1"/>
            </w14:solidFill>
          </w14:textFill>
        </w:rPr>
        <w:t>投  标  函</w:t>
      </w:r>
      <w:bookmarkEnd w:id="126"/>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经研究，我们决定参加编号为项目的招标活动并投标，为此，我方郑重声明以下诸点，并负法律责任。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我方提交投标文件，提供投标人须知规定的全部投标文件，包括在政府采购云平台上传加密电子投标文件一份，纸质版投标文件一正二副，提交未加密电子投标文件有效U盘一份。</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我公司将积极响应贵方参加本次招标活动，经过对本项目招标文件的详细阅读，对招标文件无疑问，编制投标文件的时间充足，对招标文件中的递交截止时间无异议；</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三、如果我方的投标文件被接受，我方将履行招标文件中规定的每项要求，并按我方投标文件中的承诺按期、按质、按量履约；</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四、我方理解，报价不是中标的唯一条件，你们有选择中标人的权利；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五、我方愿按《中华人民共和国</w:t>
      </w:r>
      <w:r>
        <w:rPr>
          <w:rFonts w:hint="eastAsia" w:ascii="仿宋" w:hAnsi="仿宋" w:eastAsia="仿宋" w:cs="仿宋"/>
          <w:color w:val="000000" w:themeColor="text1"/>
          <w:sz w:val="24"/>
          <w:lang w:val="en-US" w:eastAsia="zh-CN"/>
          <w14:textFill>
            <w14:solidFill>
              <w14:schemeClr w14:val="tx1"/>
            </w14:solidFill>
          </w14:textFill>
        </w:rPr>
        <w:t>民法典</w:t>
      </w:r>
      <w:r>
        <w:rPr>
          <w:rFonts w:hint="eastAsia" w:ascii="仿宋" w:hAnsi="仿宋" w:eastAsia="仿宋" w:cs="仿宋"/>
          <w:color w:val="000000" w:themeColor="text1"/>
          <w:sz w:val="24"/>
          <w14:textFill>
            <w14:solidFill>
              <w14:schemeClr w14:val="tx1"/>
            </w14:solidFill>
          </w14:textFill>
        </w:rPr>
        <w:t>》及其他有关法律、法规的规定，自觉履行自己的全部责任；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六、我方同意按招标文件的规定交纳投标保证金、中标服务费，遵守贵方有关评标的各项规定；</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七、我方的投标文件有效期为90天。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投标人法定代表人（电子签名）：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br w:type="page"/>
      </w:r>
    </w:p>
    <w:p>
      <w:pPr>
        <w:spacing w:line="360" w:lineRule="auto"/>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附表二</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27" w:name="_Toc4812_WPSOffice_Level1"/>
      <w:r>
        <w:rPr>
          <w:rFonts w:hint="eastAsia" w:ascii="仿宋" w:hAnsi="仿宋" w:eastAsia="仿宋" w:cs="仿宋"/>
          <w:b/>
          <w:bCs/>
          <w:color w:val="000000" w:themeColor="text1"/>
          <w:sz w:val="28"/>
          <w:szCs w:val="28"/>
          <w14:textFill>
            <w14:solidFill>
              <w14:schemeClr w14:val="tx1"/>
            </w14:solidFill>
          </w14:textFill>
        </w:rPr>
        <w:t>法定代表人身份证明或法定代表人授权委托书</w:t>
      </w:r>
      <w:bookmarkEnd w:id="127"/>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1、法定代表人身份证明</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兹证明 同志在我单位任 （职务），是我单位的法定代表人。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附法定代表人基本情况：</w:t>
      </w:r>
    </w:p>
    <w:p>
      <w:pPr>
        <w:autoSpaceDE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r>
        <w:rPr>
          <w:rFonts w:hint="eastAsia" w:ascii="仿宋" w:hAnsi="仿宋" w:eastAsia="仿宋" w:cs="仿宋"/>
          <w:color w:val="000000" w:themeColor="text1"/>
          <w:sz w:val="2"/>
          <w:szCs w:val="2"/>
          <w14:textFill>
            <w14:solidFill>
              <w14:schemeClr w14:val="tx1"/>
            </w14:solidFill>
          </w14:textFill>
        </w:rPr>
        <w:t>U</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公章</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性别：     年龄：</w:t>
      </w:r>
    </w:p>
    <w:p>
      <w:pP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通讯地址：</w:t>
      </w:r>
    </w:p>
    <w:p>
      <w:pP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电话号码：邮编：</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单位名称：（</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年月日</w:t>
      </w:r>
    </w:p>
    <w:p>
      <w:pPr>
        <w:spacing w:before="100" w:beforeAutospacing="1" w:after="100" w:afterAutospacing="1" w:line="360" w:lineRule="auto"/>
        <w:ind w:firstLine="562" w:firstLineChars="200"/>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附：法定代表人《居民身份证》正反面复印件：</w:t>
      </w: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b/>
          <w:color w:val="000000" w:themeColor="text1"/>
          <w:sz w:val="30"/>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注：1.法定代表人签字或盖章必须是亲笔签名或相关主管行政部门备案的法定代表人印章。</w:t>
      </w: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2、法定代表人授权委托书</w:t>
      </w:r>
    </w:p>
    <w:p>
      <w:pPr>
        <w:spacing w:line="360" w:lineRule="auto"/>
        <w:jc w:val="center"/>
        <w:rPr>
          <w:rFonts w:ascii="仿宋" w:hAnsi="仿宋" w:eastAsia="仿宋" w:cs="仿宋"/>
          <w:b/>
          <w:color w:val="000000" w:themeColor="text1"/>
          <w:sz w:val="24"/>
          <w14:textFill>
            <w14:solidFill>
              <w14:schemeClr w14:val="tx1"/>
            </w14:solidFill>
          </w14:textFill>
        </w:rPr>
      </w:pPr>
    </w:p>
    <w:p>
      <w:pPr>
        <w:autoSpaceDE w:val="0"/>
        <w:autoSpaceDN w:val="0"/>
        <w:adjustRightInd w:val="0"/>
        <w:spacing w:line="360" w:lineRule="auto"/>
        <w:ind w:firstLine="42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本授权声明：注册于中华人民共和国的</w:t>
      </w:r>
      <w:r>
        <w:rPr>
          <w:rFonts w:hint="eastAsia" w:ascii="仿宋" w:hAnsi="仿宋" w:eastAsia="仿宋" w:cs="仿宋"/>
          <w:color w:val="000000" w:themeColor="text1"/>
          <w:sz w:val="24"/>
          <w:u w:val="single"/>
          <w14:textFill>
            <w14:solidFill>
              <w14:schemeClr w14:val="tx1"/>
            </w14:solidFill>
          </w14:textFill>
        </w:rPr>
        <w:t xml:space="preserve">  （投标人名称、住址）  </w:t>
      </w:r>
      <w:r>
        <w:rPr>
          <w:rFonts w:hint="eastAsia" w:ascii="仿宋" w:hAnsi="仿宋" w:eastAsia="仿宋" w:cs="仿宋"/>
          <w:color w:val="000000" w:themeColor="text1"/>
          <w:sz w:val="24"/>
          <w14:textFill>
            <w14:solidFill>
              <w14:schemeClr w14:val="tx1"/>
            </w14:solidFill>
          </w14:textFill>
        </w:rPr>
        <w:t>的法定代表人</w:t>
      </w:r>
      <w:r>
        <w:rPr>
          <w:rFonts w:hint="eastAsia" w:ascii="仿宋" w:hAnsi="仿宋" w:eastAsia="仿宋" w:cs="仿宋"/>
          <w:color w:val="000000" w:themeColor="text1"/>
          <w:sz w:val="24"/>
          <w:u w:val="single"/>
          <w14:textFill>
            <w14:solidFill>
              <w14:schemeClr w14:val="tx1"/>
            </w14:solidFill>
          </w14:textFill>
        </w:rPr>
        <w:t xml:space="preserve">  （法定代表人姓名、职务）  </w:t>
      </w:r>
      <w:r>
        <w:rPr>
          <w:rFonts w:hint="eastAsia" w:ascii="仿宋" w:hAnsi="仿宋" w:eastAsia="仿宋" w:cs="仿宋"/>
          <w:color w:val="000000" w:themeColor="text1"/>
          <w:sz w:val="24"/>
          <w14:textFill>
            <w14:solidFill>
              <w14:schemeClr w14:val="tx1"/>
            </w14:solidFill>
          </w14:textFill>
        </w:rPr>
        <w:t>代表本公司授权在下面签字的</w:t>
      </w:r>
      <w:r>
        <w:rPr>
          <w:rFonts w:hint="eastAsia" w:ascii="仿宋" w:hAnsi="仿宋" w:eastAsia="仿宋" w:cs="仿宋"/>
          <w:color w:val="000000" w:themeColor="text1"/>
          <w:sz w:val="24"/>
          <w:u w:val="single"/>
          <w14:textFill>
            <w14:solidFill>
              <w14:schemeClr w14:val="tx1"/>
            </w14:solidFill>
          </w14:textFill>
        </w:rPr>
        <w:t xml:space="preserve">  （被授权人的姓名、职务）  </w:t>
      </w:r>
      <w:r>
        <w:rPr>
          <w:rFonts w:hint="eastAsia" w:ascii="仿宋" w:hAnsi="仿宋" w:eastAsia="仿宋" w:cs="仿宋"/>
          <w:color w:val="000000" w:themeColor="text1"/>
          <w:sz w:val="24"/>
          <w14:textFill>
            <w14:solidFill>
              <w14:schemeClr w14:val="tx1"/>
            </w14:solidFill>
          </w14:textFill>
        </w:rPr>
        <w:t>为本公司的合法代理人，就此次</w:t>
      </w:r>
      <w:r>
        <w:rPr>
          <w:rFonts w:hint="eastAsia" w:ascii="仿宋" w:hAnsi="仿宋" w:eastAsia="仿宋" w:cs="仿宋"/>
          <w:color w:val="000000" w:themeColor="text1"/>
          <w:sz w:val="24"/>
          <w:u w:val="single"/>
          <w14:textFill>
            <w14:solidFill>
              <w14:schemeClr w14:val="tx1"/>
            </w14:solidFill>
          </w14:textFill>
        </w:rPr>
        <w:t xml:space="preserve"> （项目名称、项目包段），</w:t>
      </w:r>
      <w:r>
        <w:rPr>
          <w:rFonts w:hint="eastAsia" w:ascii="仿宋" w:hAnsi="仿宋" w:eastAsia="仿宋" w:cs="仿宋"/>
          <w:color w:val="000000" w:themeColor="text1"/>
          <w:sz w:val="24"/>
          <w14:textFill>
            <w14:solidFill>
              <w14:schemeClr w14:val="tx1"/>
            </w14:solidFill>
          </w14:textFill>
        </w:rPr>
        <w:t>招标编号为</w:t>
      </w:r>
      <w:r>
        <w:rPr>
          <w:rFonts w:hint="eastAsia" w:ascii="仿宋" w:hAnsi="仿宋" w:eastAsia="仿宋" w:cs="仿宋"/>
          <w:color w:val="000000" w:themeColor="text1"/>
          <w:sz w:val="24"/>
          <w:u w:val="single"/>
          <w14:textFill>
            <w14:solidFill>
              <w14:schemeClr w14:val="tx1"/>
            </w14:solidFill>
          </w14:textFill>
        </w:rPr>
        <w:t>（项目编号）</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 xml:space="preserve"> （采购内容） </w:t>
      </w:r>
      <w:r>
        <w:rPr>
          <w:rFonts w:hint="eastAsia" w:ascii="仿宋" w:hAnsi="仿宋" w:eastAsia="仿宋" w:cs="仿宋"/>
          <w:color w:val="000000" w:themeColor="text1"/>
          <w:sz w:val="24"/>
          <w14:textFill>
            <w14:solidFill>
              <w14:schemeClr w14:val="tx1"/>
            </w14:solidFill>
          </w14:textFill>
        </w:rPr>
        <w:t>的投标及合同的执行、完成和后期质保，以本公司名义处理一切与之有关的事务。</w:t>
      </w:r>
    </w:p>
    <w:p>
      <w:pPr>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autoSpaceDE w:val="0"/>
        <w:autoSpaceDN w:val="0"/>
        <w:adjustRightInd w:val="0"/>
        <w:spacing w:line="360" w:lineRule="auto"/>
        <w:ind w:firstLine="420" w:firstLineChars="175"/>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本授权书于</w:t>
      </w:r>
      <w:r>
        <w:rPr>
          <w:rFonts w:hint="eastAsia" w:ascii="仿宋" w:hAnsi="仿宋" w:eastAsia="仿宋" w:cs="仿宋"/>
          <w:color w:val="000000" w:themeColor="text1"/>
          <w:sz w:val="24"/>
          <w:u w:val="single"/>
          <w14:textFill>
            <w14:solidFill>
              <w14:schemeClr w14:val="tx1"/>
            </w14:solidFill>
          </w14:textFill>
        </w:rPr>
        <w:t xml:space="preserve">  年  月  日</w:t>
      </w:r>
      <w:r>
        <w:rPr>
          <w:rFonts w:hint="eastAsia" w:ascii="仿宋" w:hAnsi="仿宋" w:eastAsia="仿宋" w:cs="仿宋"/>
          <w:color w:val="000000" w:themeColor="text1"/>
          <w:sz w:val="24"/>
          <w14:textFill>
            <w14:solidFill>
              <w14:schemeClr w14:val="tx1"/>
            </w14:solidFill>
          </w14:textFill>
        </w:rPr>
        <w:t>签字生效，特此声明。</w:t>
      </w:r>
    </w:p>
    <w:p>
      <w:pPr>
        <w:autoSpaceDE w:val="0"/>
        <w:autoSpaceDN w:val="0"/>
        <w:adjustRightInd w:val="0"/>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法人签字或盖章：</w:t>
      </w:r>
    </w:p>
    <w:p>
      <w:pPr>
        <w:autoSpaceDE w:val="0"/>
        <w:autoSpaceDN w:val="0"/>
        <w:adjustRightInd w:val="0"/>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代理（被授权人）签字或盖章：</w:t>
      </w:r>
    </w:p>
    <w:p>
      <w:pPr>
        <w:autoSpaceDE w:val="0"/>
        <w:autoSpaceDN w:val="0"/>
        <w:adjustRightInd w:val="0"/>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代理（被授权人）职务：</w:t>
      </w:r>
    </w:p>
    <w:p>
      <w:pPr>
        <w:spacing w:line="360" w:lineRule="auto"/>
        <w:ind w:firstLine="6240" w:firstLineChars="26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w:t>
      </w:r>
    </w:p>
    <w:p>
      <w:pPr>
        <w:spacing w:line="360" w:lineRule="auto"/>
        <w:ind w:firstLine="48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20年月日</w:t>
      </w:r>
    </w:p>
    <w:p>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3320415</wp:posOffset>
                </wp:positionH>
                <wp:positionV relativeFrom="paragraph">
                  <wp:posOffset>382270</wp:posOffset>
                </wp:positionV>
                <wp:extent cx="2428875" cy="1202055"/>
                <wp:effectExtent l="4445" t="5080" r="5080" b="1206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428875" cy="120205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背面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45pt;margin-top:30.1pt;height:94.65pt;width:191.25pt;z-index:251664384;mso-width-relative:page;mso-height-relative:page;" fillcolor="#FFFFFF" filled="t" stroked="t" coordsize="21600,21600" o:gfxdata="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VqXYnZAAAACgEAAA8AAAAAAAAA&#10;AQAgAAAAIgAAAGRycy9kb3ducmV2LnhtbFBLAQIUABQAAAAIAIdO4kApTmCnSQIAAJgEAAAOAAAA&#10;AAAAAAEAIAAAACgBAABkcnMvZTJvRG9jLnhtbFBLBQYAAAAABgAGAFkBAADjBQ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背面</w:t>
                      </w:r>
                    </w:p>
                  </w:txbxContent>
                </v:textbox>
              </v:shape>
            </w:pict>
          </mc:Fallback>
        </mc:AlternateContent>
      </w: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394970</wp:posOffset>
                </wp:positionH>
                <wp:positionV relativeFrom="paragraph">
                  <wp:posOffset>381635</wp:posOffset>
                </wp:positionV>
                <wp:extent cx="2476500" cy="1218565"/>
                <wp:effectExtent l="5080" t="4445" r="13970" b="1524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476500" cy="121856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1pt;margin-top:30.05pt;height:95.95pt;width:195pt;z-index:251663360;mso-width-relative:page;mso-height-relative:page;" fillcolor="#FFFFFF" filled="t" stroked="t" coordsize="21600,21600" o:gfxdata="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yyyZ7YAAAACQEAAA8AAAAAAAAAAQAg&#10;AAAAIgAAAGRycy9kb3ducmV2LnhtbFBLAQIUABQAAAAIAIdO4kDJlArARwIAAJYEAAAOAAAAAAAA&#10;AAEAIAAAACcBAABkcnMvZTJvRG9jLnhtbFBLBQYAAAAABgAGAFkBAADgBQ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正面</w:t>
                      </w:r>
                    </w:p>
                  </w:txbxContent>
                </v:textbox>
              </v:shape>
            </w:pict>
          </mc:Fallback>
        </mc:AlternateContent>
      </w:r>
      <w:r>
        <w:rPr>
          <w:rFonts w:hint="eastAsia" w:ascii="仿宋" w:hAnsi="仿宋" w:eastAsia="仿宋" w:cs="仿宋"/>
          <w:color w:val="000000" w:themeColor="text1"/>
          <w:sz w:val="24"/>
          <w14:textFill>
            <w14:solidFill>
              <w14:schemeClr w14:val="tx1"/>
            </w14:solidFill>
          </w14:textFill>
        </w:rPr>
        <w:t>法定代表人身份彩色扫描件：</w:t>
      </w:r>
    </w:p>
    <w:p>
      <w:pPr>
        <w:pStyle w:val="5"/>
        <w:spacing w:line="360" w:lineRule="auto"/>
        <w:ind w:firstLine="0"/>
        <w:rPr>
          <w:rFonts w:ascii="仿宋" w:hAnsi="仿宋" w:eastAsia="仿宋" w:cs="仿宋"/>
          <w:color w:val="000000" w:themeColor="text1"/>
          <w:sz w:val="24"/>
          <w:szCs w:val="24"/>
          <w14:textFill>
            <w14:solidFill>
              <w14:schemeClr w14:val="tx1"/>
            </w14:solidFill>
          </w14:textFill>
        </w:rPr>
      </w:pPr>
    </w:p>
    <w:p>
      <w:pPr>
        <w:pStyle w:val="5"/>
        <w:spacing w:line="360" w:lineRule="auto"/>
        <w:ind w:firstLine="0"/>
        <w:rPr>
          <w:rFonts w:ascii="仿宋" w:hAnsi="仿宋" w:eastAsia="仿宋" w:cs="仿宋"/>
          <w:color w:val="000000" w:themeColor="text1"/>
          <w:sz w:val="24"/>
          <w:szCs w:val="24"/>
          <w14:textFill>
            <w14:solidFill>
              <w14:schemeClr w14:val="tx1"/>
            </w14:solidFill>
          </w14:textFill>
        </w:rPr>
      </w:pPr>
    </w:p>
    <w:p>
      <w:pPr>
        <w:pStyle w:val="5"/>
        <w:spacing w:line="360" w:lineRule="auto"/>
        <w:ind w:firstLine="0"/>
        <w:rPr>
          <w:rFonts w:ascii="仿宋" w:hAnsi="仿宋" w:eastAsia="仿宋" w:cs="仿宋"/>
          <w:color w:val="000000" w:themeColor="text1"/>
          <w:sz w:val="24"/>
          <w:szCs w:val="24"/>
          <w14:textFill>
            <w14:solidFill>
              <w14:schemeClr w14:val="tx1"/>
            </w14:solidFill>
          </w14:textFill>
        </w:rPr>
      </w:pPr>
    </w:p>
    <w:p>
      <w:pPr>
        <w:spacing w:line="360" w:lineRule="auto"/>
        <w:ind w:firstLine="2160" w:firstLineChars="900"/>
        <w:rPr>
          <w:rFonts w:ascii="仿宋" w:hAnsi="仿宋" w:eastAsia="仿宋" w:cs="仿宋"/>
          <w:color w:val="000000" w:themeColor="text1"/>
          <w:sz w:val="24"/>
          <w14:textFill>
            <w14:solidFill>
              <w14:schemeClr w14:val="tx1"/>
            </w14:solidFill>
          </w14:textFill>
        </w:rPr>
      </w:pPr>
    </w:p>
    <w:p>
      <w:pPr>
        <w:spacing w:line="360" w:lineRule="auto"/>
        <w:ind w:firstLine="2160" w:firstLineChars="900"/>
        <w:rPr>
          <w:rFonts w:ascii="仿宋" w:hAnsi="仿宋" w:eastAsia="仿宋" w:cs="仿宋"/>
          <w:color w:val="000000" w:themeColor="text1"/>
          <w:sz w:val="24"/>
          <w14:textFill>
            <w14:solidFill>
              <w14:schemeClr w14:val="tx1"/>
            </w14:solidFill>
          </w14:textFill>
        </w:rPr>
      </w:pPr>
    </w:p>
    <w:p>
      <w:pPr>
        <w:spacing w:line="360" w:lineRule="auto"/>
        <w:ind w:firstLine="2160" w:firstLineChars="900"/>
        <w:rPr>
          <w:rFonts w:ascii="仿宋" w:hAnsi="仿宋" w:eastAsia="仿宋" w:cs="仿宋"/>
          <w:color w:val="000000" w:themeColor="text1"/>
          <w:sz w:val="24"/>
          <w:u w:val="single"/>
          <w14:textFill>
            <w14:solidFill>
              <w14:schemeClr w14:val="tx1"/>
            </w14:solidFill>
          </w14:textFill>
        </w:rPr>
      </w:pPr>
    </w:p>
    <w:p>
      <w:pPr>
        <w:spacing w:line="360"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授权人身份证彩色扫描件：</w:t>
      </w:r>
    </w:p>
    <w:p>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3320415</wp:posOffset>
                </wp:positionH>
                <wp:positionV relativeFrom="paragraph">
                  <wp:posOffset>167005</wp:posOffset>
                </wp:positionV>
                <wp:extent cx="2428875" cy="1189355"/>
                <wp:effectExtent l="4445" t="5080" r="5080" b="571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428875" cy="118935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背面</w:t>
                            </w:r>
                          </w:p>
                          <w:p>
                            <w:pPr>
                              <w:ind w:firstLine="42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45pt;margin-top:13.15pt;height:93.65pt;width:191.25pt;z-index:251666432;mso-width-relative:page;mso-height-relative:page;" fillcolor="#FFFFFF" filled="t" stroked="t" coordsize="21600,21600" o:gfxdata="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P0SArZAAAACgEAAA8AAAAAAAAA&#10;AQAgAAAAIgAAAGRycy9kb3ducmV2LnhtbFBLAQIUABQAAAAIAIdO4kDLDgw3SQIAAJgEAAAOAAAA&#10;AAAAAAEAIAAAACgBAABkcnMvZTJvRG9jLnhtbFBLBQYAAAAABgAGAFkBAADjBQ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背面</w:t>
                      </w:r>
                    </w:p>
                    <w:p>
                      <w:pPr>
                        <w:ind w:firstLine="420"/>
                      </w:pPr>
                    </w:p>
                  </w:txbxContent>
                </v:textbox>
              </v:shape>
            </w:pict>
          </mc:Fallback>
        </mc:AlternateContent>
      </w: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394970</wp:posOffset>
                </wp:positionH>
                <wp:positionV relativeFrom="paragraph">
                  <wp:posOffset>166370</wp:posOffset>
                </wp:positionV>
                <wp:extent cx="2552700" cy="1205865"/>
                <wp:effectExtent l="4445" t="4445" r="14605" b="889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552700" cy="120586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1pt;margin-top:13.1pt;height:94.95pt;width:201pt;z-index:251665408;mso-width-relative:page;mso-height-relative:page;" fillcolor="#FFFFFF" filled="t" stroked="t" coordsize="21600,21600" o:gfxdata="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D8b4NcAAAAJAQAADwAAAAAAAAABACAA&#10;AAAiAAAAZHJzL2Rvd25yZXYueG1sUEsBAhQAFAAAAAgAh07iQMS1/7tHAgAAlgQAAA4AAAAAAAAA&#10;AQAgAAAAJgEAAGRycy9lMm9Eb2MueG1sUEsFBgAAAAAGAAYAWQEAAN8FA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正面</w:t>
                      </w:r>
                    </w:p>
                  </w:txbxContent>
                </v:textbox>
              </v:shape>
            </w:pict>
          </mc:Fallback>
        </mc:AlternateContent>
      </w:r>
    </w:p>
    <w:p>
      <w:pPr>
        <w:spacing w:line="360" w:lineRule="auto"/>
        <w:ind w:firstLine="3360" w:firstLineChars="1400"/>
        <w:rPr>
          <w:rFonts w:ascii="仿宋" w:hAnsi="仿宋" w:eastAsia="仿宋" w:cs="仿宋"/>
          <w:color w:val="000000" w:themeColor="text1"/>
          <w:sz w:val="24"/>
          <w14:textFill>
            <w14:solidFill>
              <w14:schemeClr w14:val="tx1"/>
            </w14:solidFill>
          </w14:textFill>
        </w:rPr>
      </w:pPr>
    </w:p>
    <w:p>
      <w:pPr>
        <w:spacing w:line="360" w:lineRule="auto"/>
        <w:ind w:firstLine="482" w:firstLineChars="200"/>
        <w:jc w:val="center"/>
        <w:rPr>
          <w:rFonts w:ascii="仿宋" w:hAnsi="仿宋" w:eastAsia="仿宋" w:cs="仿宋"/>
          <w:b/>
          <w:color w:val="000000" w:themeColor="text1"/>
          <w:sz w:val="24"/>
          <w14:textFill>
            <w14:solidFill>
              <w14:schemeClr w14:val="tx1"/>
            </w14:solidFill>
          </w14:textFill>
        </w:rPr>
      </w:pPr>
    </w:p>
    <w:p>
      <w:pPr>
        <w:pStyle w:val="5"/>
        <w:spacing w:line="360" w:lineRule="auto"/>
        <w:ind w:firstLine="0"/>
        <w:rPr>
          <w:rFonts w:ascii="仿宋" w:hAnsi="仿宋" w:eastAsia="仿宋" w:cs="仿宋"/>
          <w:b/>
          <w:color w:val="000000" w:themeColor="text1"/>
          <w:sz w:val="28"/>
          <w:szCs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注：1.法定代表人签字或盖章必须是亲笔签名或相关主管行政部门备案的法定代表人印章。</w:t>
      </w: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附表三</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28" w:name="_Toc15348_WPSOffice_Level1"/>
      <w:r>
        <w:rPr>
          <w:rFonts w:hint="eastAsia" w:ascii="仿宋" w:hAnsi="仿宋" w:eastAsia="仿宋" w:cs="仿宋"/>
          <w:b/>
          <w:bCs/>
          <w:color w:val="000000" w:themeColor="text1"/>
          <w:sz w:val="28"/>
          <w:szCs w:val="28"/>
          <w14:textFill>
            <w14:solidFill>
              <w14:schemeClr w14:val="tx1"/>
            </w14:solidFill>
          </w14:textFill>
        </w:rPr>
        <w:t>报 价 一 览 表</w:t>
      </w:r>
      <w:bookmarkEnd w:id="128"/>
    </w:p>
    <w:tbl>
      <w:tblPr>
        <w:tblStyle w:val="16"/>
        <w:tblpPr w:leftFromText="180" w:rightFromText="180" w:vertAnchor="text" w:horzAnchor="margin" w:tblpXSpec="center" w:tblpY="2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617"/>
        <w:gridCol w:w="144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单位地址</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p>
        </w:tc>
        <w:tc>
          <w:tcPr>
            <w:tcW w:w="3617"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1440" w:type="dxa"/>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2501"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tc>
        <w:tc>
          <w:tcPr>
            <w:tcW w:w="3617"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1440" w:type="dxa"/>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2501"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投标项目名称</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4"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投标总价</w:t>
            </w:r>
          </w:p>
        </w:tc>
        <w:tc>
          <w:tcPr>
            <w:tcW w:w="7558" w:type="dxa"/>
            <w:gridSpan w:val="3"/>
            <w:vAlign w:val="center"/>
          </w:tcPr>
          <w:p>
            <w:pPr>
              <w:spacing w:line="360" w:lineRule="auto"/>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￥（小写）：</w:t>
            </w:r>
          </w:p>
          <w:p>
            <w:pPr>
              <w:spacing w:line="360" w:lineRule="auto"/>
              <w:rPr>
                <w:rFonts w:ascii="仿宋" w:hAnsi="仿宋" w:eastAsia="仿宋" w:cs="仿宋"/>
                <w:bCs/>
                <w:color w:val="000000" w:themeColor="text1"/>
                <w:sz w:val="24"/>
                <w14:textFill>
                  <w14:solidFill>
                    <w14:schemeClr w14:val="tx1"/>
                  </w14:solidFill>
                </w14:textFill>
              </w:rPr>
            </w:pP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人民币（大写）：</w:t>
            </w:r>
          </w:p>
          <w:p>
            <w:pPr>
              <w:spacing w:line="360" w:lineRule="auto"/>
              <w:rPr>
                <w:rFonts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交货期</w:t>
            </w:r>
          </w:p>
        </w:tc>
        <w:tc>
          <w:tcPr>
            <w:tcW w:w="7558" w:type="dxa"/>
            <w:gridSpan w:val="3"/>
            <w:vAlign w:val="center"/>
          </w:tcPr>
          <w:p>
            <w:pPr>
              <w:spacing w:line="360" w:lineRule="auto"/>
              <w:jc w:val="center"/>
              <w:rPr>
                <w:rFonts w:ascii="仿宋" w:hAnsi="仿宋" w:eastAsia="仿宋" w:cs="仿宋"/>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1728" w:type="dxa"/>
            <w:vAlign w:val="center"/>
          </w:tcPr>
          <w:p>
            <w:pPr>
              <w:spacing w:line="360" w:lineRule="auto"/>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质保期</w:t>
            </w:r>
          </w:p>
        </w:tc>
        <w:tc>
          <w:tcPr>
            <w:tcW w:w="7558" w:type="dxa"/>
            <w:gridSpan w:val="3"/>
            <w:vAlign w:val="center"/>
          </w:tcPr>
          <w:p>
            <w:pPr>
              <w:spacing w:line="360" w:lineRule="auto"/>
              <w:jc w:val="center"/>
              <w:rPr>
                <w:rFonts w:ascii="仿宋" w:hAnsi="仿宋" w:eastAsia="仿宋" w:cs="仿宋"/>
                <w:b/>
                <w:bCs/>
                <w:color w:val="000000" w:themeColor="text1"/>
                <w:sz w:val="24"/>
                <w14:textFill>
                  <w14:solidFill>
                    <w14:schemeClr w14:val="tx1"/>
                  </w14:solidFill>
                </w14:textFill>
              </w:rPr>
            </w:pPr>
          </w:p>
        </w:tc>
      </w:tr>
    </w:tbl>
    <w:p>
      <w:pPr>
        <w:spacing w:line="360" w:lineRule="auto"/>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法定代表人或授权代表签字：</w:t>
      </w:r>
    </w:p>
    <w:p>
      <w:pPr>
        <w:pStyle w:val="31"/>
        <w:ind w:firstLine="0" w:firstLineChars="0"/>
        <w:rPr>
          <w:rFonts w:ascii="仿宋" w:hAnsi="仿宋" w:eastAsia="仿宋" w:cs="仿宋"/>
          <w:b/>
          <w:bCs/>
          <w:color w:val="000000" w:themeColor="text1"/>
          <w:sz w:val="28"/>
          <w:szCs w:val="28"/>
          <w14:textFill>
            <w14:solidFill>
              <w14:schemeClr w14:val="tx1"/>
            </w14:solidFill>
          </w14:textFill>
        </w:rPr>
      </w:pPr>
    </w:p>
    <w:p>
      <w:pPr>
        <w:pStyle w:val="31"/>
        <w:ind w:firstLine="0" w:firstLineChars="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日期：年月日</w:t>
      </w:r>
    </w:p>
    <w:p>
      <w:pPr>
        <w:pStyle w:val="31"/>
        <w:ind w:firstLine="562"/>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附表四</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29" w:name="_Toc28744_WPSOffice_Level1"/>
      <w:r>
        <w:rPr>
          <w:rFonts w:hint="eastAsia" w:ascii="仿宋" w:hAnsi="仿宋" w:eastAsia="仿宋" w:cs="仿宋"/>
          <w:b/>
          <w:bCs/>
          <w:color w:val="000000" w:themeColor="text1"/>
          <w:sz w:val="28"/>
          <w:szCs w:val="28"/>
          <w14:textFill>
            <w14:solidFill>
              <w14:schemeClr w14:val="tx1"/>
            </w14:solidFill>
          </w14:textFill>
        </w:rPr>
        <w:t>明细报价表</w:t>
      </w:r>
      <w:bookmarkEnd w:id="129"/>
    </w:p>
    <w:p>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项目名称：</w:t>
      </w:r>
    </w:p>
    <w:p>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项目编号：</w:t>
      </w:r>
    </w:p>
    <w:tbl>
      <w:tblPr>
        <w:tblStyle w:val="16"/>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53"/>
        <w:gridCol w:w="2253"/>
        <w:gridCol w:w="945"/>
        <w:gridCol w:w="1080"/>
        <w:gridCol w:w="1065"/>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6" w:hRule="atLeast"/>
          <w:jc w:val="center"/>
        </w:trPr>
        <w:tc>
          <w:tcPr>
            <w:tcW w:w="5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3206" w:type="dxa"/>
            <w:gridSpan w:val="2"/>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设备名称</w:t>
            </w:r>
          </w:p>
        </w:tc>
        <w:tc>
          <w:tcPr>
            <w:tcW w:w="94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单价（元）</w:t>
            </w: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数量（批）</w:t>
            </w:r>
          </w:p>
        </w:tc>
        <w:tc>
          <w:tcPr>
            <w:tcW w:w="106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合价（元）</w:t>
            </w:r>
          </w:p>
        </w:tc>
        <w:tc>
          <w:tcPr>
            <w:tcW w:w="168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货物规格、参数具体描述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0" w:type="dxa"/>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3206" w:type="dxa"/>
            <w:gridSpan w:val="2"/>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40" w:type="dxa"/>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3206" w:type="dxa"/>
            <w:gridSpan w:val="2"/>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5" w:hRule="atLeast"/>
          <w:jc w:val="center"/>
        </w:trPr>
        <w:tc>
          <w:tcPr>
            <w:tcW w:w="1493" w:type="dxa"/>
            <w:gridSpan w:val="2"/>
            <w:vAlign w:val="center"/>
          </w:tcPr>
          <w:p>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w:t>
            </w:r>
          </w:p>
          <w:p>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报价总计</w:t>
            </w:r>
          </w:p>
        </w:tc>
        <w:tc>
          <w:tcPr>
            <w:tcW w:w="5343" w:type="dxa"/>
            <w:gridSpan w:val="4"/>
            <w:vAlign w:val="center"/>
          </w:tcPr>
          <w:p>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p>
          <w:p>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人民币（大写）：</w:t>
            </w:r>
          </w:p>
        </w:tc>
        <w:tc>
          <w:tcPr>
            <w:tcW w:w="1689" w:type="dxa"/>
            <w:vAlign w:val="center"/>
          </w:tcPr>
          <w:p>
            <w:pPr>
              <w:spacing w:line="360" w:lineRule="auto"/>
              <w:rPr>
                <w:rFonts w:ascii="仿宋" w:hAnsi="仿宋" w:eastAsia="仿宋" w:cs="仿宋"/>
                <w:b/>
                <w:bCs/>
                <w:color w:val="000000" w:themeColor="text1"/>
                <w:sz w:val="24"/>
                <w14:textFill>
                  <w14:solidFill>
                    <w14:schemeClr w14:val="tx1"/>
                  </w14:solidFill>
                </w14:textFill>
              </w:rPr>
            </w:pPr>
          </w:p>
        </w:tc>
      </w:tr>
    </w:tbl>
    <w:p>
      <w:pPr>
        <w:spacing w:line="360" w:lineRule="auto"/>
        <w:ind w:firstLine="240" w:firstLineChars="1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注：供应商应根据服务内容分项进行填报，表中表格行数可自行添加。投标人按照服务内容作完整唯一的报价，投标报价必须包含项目所有的费用（包括项目检验费、买样费、差旅费等所有费用）。</w:t>
      </w:r>
    </w:p>
    <w:p>
      <w:pPr>
        <w:spacing w:line="360" w:lineRule="auto"/>
        <w:ind w:firstLine="480" w:firstLineChars="200"/>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iCs/>
          <w:color w:val="000000" w:themeColor="text1"/>
          <w:sz w:val="24"/>
          <w14:textFill>
            <w14:solidFill>
              <w14:schemeClr w14:val="tx1"/>
            </w14:solidFill>
          </w14:textFill>
        </w:rPr>
        <w:t>招标文件中未列出的相关辅助材料和在实施过程中涉及到的劳务、税金等其它一切费用应在报价时一并考虑，项目实施过程中不再单独结算。</w:t>
      </w:r>
      <w:r>
        <w:rPr>
          <w:rFonts w:hint="eastAsia" w:ascii="仿宋" w:hAnsi="仿宋" w:eastAsia="仿宋" w:cs="仿宋"/>
          <w:b/>
          <w:color w:val="000000" w:themeColor="text1"/>
          <w:sz w:val="24"/>
          <w:u w:val="single"/>
          <w14:textFill>
            <w14:solidFill>
              <w14:schemeClr w14:val="tx1"/>
            </w14:solidFill>
          </w14:textFill>
        </w:rPr>
        <w:t>表中投标报价总计应与对应报价一览表中投标总价一致。</w:t>
      </w:r>
    </w:p>
    <w:p>
      <w:pPr>
        <w:spacing w:line="360" w:lineRule="auto"/>
        <w:ind w:right="105" w:rightChars="50"/>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法定代表人或授权代表签字：</w:t>
      </w:r>
    </w:p>
    <w:p>
      <w:pPr>
        <w:spacing w:line="360" w:lineRule="auto"/>
        <w:ind w:right="105" w:rightChars="5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r>
        <w:rPr>
          <w:rFonts w:hint="eastAsia" w:ascii="仿宋" w:hAnsi="仿宋" w:eastAsia="仿宋" w:cs="仿宋"/>
          <w:b/>
          <w:bCs/>
          <w:color w:val="000000" w:themeColor="text1"/>
          <w:sz w:val="24"/>
          <w14:textFill>
            <w14:solidFill>
              <w14:schemeClr w14:val="tx1"/>
            </w14:solidFill>
          </w14:textFill>
        </w:rPr>
        <w:br w:type="page"/>
      </w:r>
      <w:r>
        <w:rPr>
          <w:rFonts w:hint="eastAsia" w:ascii="仿宋" w:hAnsi="仿宋" w:eastAsia="仿宋" w:cs="仿宋"/>
          <w:b/>
          <w:bCs/>
          <w:color w:val="000000" w:themeColor="text1"/>
          <w:sz w:val="28"/>
          <w:szCs w:val="28"/>
          <w14:textFill>
            <w14:solidFill>
              <w14:schemeClr w14:val="tx1"/>
            </w14:solidFill>
          </w14:textFill>
        </w:rPr>
        <w:t>附表五</w:t>
      </w:r>
    </w:p>
    <w:p>
      <w:pPr>
        <w:spacing w:line="360" w:lineRule="auto"/>
        <w:jc w:val="center"/>
        <w:rPr>
          <w:rFonts w:ascii="仿宋" w:hAnsi="仿宋" w:eastAsia="仿宋" w:cs="仿宋"/>
          <w:b/>
          <w:bCs/>
          <w:color w:val="000000" w:themeColor="text1"/>
          <w:sz w:val="28"/>
          <w:szCs w:val="28"/>
          <w14:textFill>
            <w14:solidFill>
              <w14:schemeClr w14:val="tx1"/>
            </w14:solidFill>
          </w14:textFill>
        </w:rPr>
      </w:pPr>
      <w:bookmarkStart w:id="130" w:name="_Toc9622_WPSOffice_Level1"/>
      <w:r>
        <w:rPr>
          <w:rFonts w:hint="eastAsia" w:ascii="仿宋" w:hAnsi="仿宋" w:eastAsia="仿宋" w:cs="仿宋"/>
          <w:b/>
          <w:bCs/>
          <w:color w:val="000000" w:themeColor="text1"/>
          <w:sz w:val="28"/>
          <w:szCs w:val="28"/>
          <w14:textFill>
            <w14:solidFill>
              <w14:schemeClr w14:val="tx1"/>
            </w14:solidFill>
          </w14:textFill>
        </w:rPr>
        <w:t>供应商基本情况</w:t>
      </w:r>
      <w:bookmarkEnd w:id="130"/>
    </w:p>
    <w:tbl>
      <w:tblPr>
        <w:tblStyle w:val="16"/>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386"/>
        <w:gridCol w:w="1387"/>
        <w:gridCol w:w="1387"/>
        <w:gridCol w:w="1387"/>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企业名称</w:t>
            </w:r>
          </w:p>
        </w:tc>
        <w:tc>
          <w:tcPr>
            <w:tcW w:w="6934" w:type="dxa"/>
            <w:gridSpan w:val="5"/>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p>
        </w:tc>
        <w:tc>
          <w:tcPr>
            <w:tcW w:w="6934" w:type="dxa"/>
            <w:gridSpan w:val="5"/>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主管部门</w:t>
            </w:r>
          </w:p>
        </w:tc>
        <w:tc>
          <w:tcPr>
            <w:tcW w:w="2773" w:type="dxa"/>
            <w:gridSpan w:val="2"/>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代表人</w:t>
            </w:r>
          </w:p>
        </w:tc>
        <w:tc>
          <w:tcPr>
            <w:tcW w:w="2774" w:type="dxa"/>
            <w:gridSpan w:val="2"/>
          </w:tcPr>
          <w:p>
            <w:pPr>
              <w:snapToGrid w:val="0"/>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注册时间</w:t>
            </w:r>
          </w:p>
        </w:tc>
        <w:tc>
          <w:tcPr>
            <w:tcW w:w="2773"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经济类型</w:t>
            </w: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p>
        </w:tc>
        <w:tc>
          <w:tcPr>
            <w:tcW w:w="2773"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4159" w:type="dxa"/>
            <w:gridSpan w:val="3"/>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近三年内经营活动中有无重大违法记录</w:t>
            </w:r>
          </w:p>
        </w:tc>
        <w:tc>
          <w:tcPr>
            <w:tcW w:w="4161" w:type="dxa"/>
            <w:gridSpan w:val="3"/>
          </w:tcPr>
          <w:p>
            <w:pPr>
              <w:snapToGrid w:val="0"/>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是否依法缴纳税收</w:t>
            </w:r>
          </w:p>
        </w:tc>
        <w:tc>
          <w:tcPr>
            <w:tcW w:w="2773" w:type="dxa"/>
            <w:gridSpan w:val="2"/>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是否依法缴纳社会保障资金</w:t>
            </w:r>
          </w:p>
        </w:tc>
        <w:tc>
          <w:tcPr>
            <w:tcW w:w="2774" w:type="dxa"/>
            <w:gridSpan w:val="2"/>
            <w:vAlign w:val="center"/>
          </w:tcPr>
          <w:p>
            <w:pPr>
              <w:snapToGrid w:val="0"/>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restart"/>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位</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概</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况</w:t>
            </w:r>
          </w:p>
        </w:tc>
        <w:tc>
          <w:tcPr>
            <w:tcW w:w="1386" w:type="dxa"/>
          </w:tcPr>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注册资本</w:t>
            </w:r>
          </w:p>
        </w:tc>
        <w:tc>
          <w:tcPr>
            <w:tcW w:w="1387" w:type="dxa"/>
          </w:tcPr>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万元</w:t>
            </w:r>
          </w:p>
        </w:tc>
        <w:tc>
          <w:tcPr>
            <w:tcW w:w="1387" w:type="dxa"/>
          </w:tcPr>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占地面积</w:t>
            </w:r>
          </w:p>
        </w:tc>
        <w:tc>
          <w:tcPr>
            <w:tcW w:w="2774" w:type="dxa"/>
            <w:gridSpan w:val="2"/>
          </w:tcPr>
          <w:p>
            <w:pPr>
              <w:snapToGrid w:val="0"/>
              <w:spacing w:line="360" w:lineRule="auto"/>
              <w:ind w:firstLine="1432" w:firstLineChars="597"/>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6"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职工总数</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人</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建筑面积</w:t>
            </w:r>
          </w:p>
        </w:tc>
        <w:tc>
          <w:tcPr>
            <w:tcW w:w="2774" w:type="dxa"/>
            <w:gridSpan w:val="2"/>
          </w:tcPr>
          <w:p>
            <w:pPr>
              <w:snapToGrid w:val="0"/>
              <w:spacing w:line="360" w:lineRule="auto"/>
              <w:ind w:firstLine="1080" w:firstLineChars="45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6" w:type="dxa"/>
            <w:vMerge w:val="restart"/>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资产</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情况</w:t>
            </w: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净资产        万元</w:t>
            </w:r>
          </w:p>
        </w:tc>
        <w:tc>
          <w:tcPr>
            <w:tcW w:w="2774" w:type="dxa"/>
            <w:gridSpan w:val="2"/>
            <w:vMerge w:val="restart"/>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固定资产原值:   万元</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固定资产净值:   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负债          万元</w:t>
            </w:r>
          </w:p>
        </w:tc>
        <w:tc>
          <w:tcPr>
            <w:tcW w:w="2774" w:type="dxa"/>
            <w:gridSpan w:val="2"/>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386" w:type="dxa"/>
            <w:vMerge w:val="restart"/>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财务状况</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（上年度）</w:t>
            </w:r>
          </w:p>
        </w:tc>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年份</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主营收入（万元）</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收入总额</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利润总额</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净利润</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w:t>
            </w: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bl>
    <w:p>
      <w:pPr>
        <w:snapToGrid w:val="0"/>
        <w:spacing w:line="360" w:lineRule="auto"/>
        <w:ind w:firstLine="28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我们保证上述声明中的资料和数据是真实的、正确的，我们同意如贵方要求，可以出示相关证明文件。本表后附营业执照、相关证书证明文件。</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法定代表人或授权代表签字：</w:t>
      </w:r>
    </w:p>
    <w:p>
      <w:pPr>
        <w:pStyle w:val="31"/>
        <w:ind w:firstLine="2880" w:firstLineChars="1200"/>
        <w:rPr>
          <w:rFonts w:ascii="仿宋" w:hAnsi="仿宋" w:eastAsia="仿宋" w:cs="仿宋"/>
        </w:rPr>
      </w:pPr>
      <w:r>
        <w:rPr>
          <w:rFonts w:hint="eastAsia" w:ascii="仿宋" w:hAnsi="仿宋" w:eastAsia="仿宋" w:cs="仿宋"/>
          <w:color w:val="000000" w:themeColor="text1"/>
          <w:sz w:val="24"/>
          <w14:textFill>
            <w14:solidFill>
              <w14:schemeClr w14:val="tx1"/>
            </w14:solidFill>
          </w14:textFill>
        </w:rPr>
        <w:t>日期： 年 月 日</w:t>
      </w: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jc w:val="lef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附表六</w:t>
      </w:r>
    </w:p>
    <w:p>
      <w:pPr>
        <w:pStyle w:val="22"/>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投标人近三年项目业绩表</w:t>
      </w:r>
    </w:p>
    <w:p>
      <w:pPr>
        <w:pStyle w:val="22"/>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项目名称：                             </w:t>
      </w:r>
    </w:p>
    <w:p>
      <w:pPr>
        <w:pStyle w:val="22"/>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项目编号：                                          填表日期：   年   月   日</w:t>
      </w:r>
    </w:p>
    <w:tbl>
      <w:tblPr>
        <w:tblStyle w:val="16"/>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180"/>
        <w:gridCol w:w="1324"/>
        <w:gridCol w:w="1230"/>
        <w:gridCol w:w="1297"/>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788"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3180" w:type="dxa"/>
            <w:vAlign w:val="center"/>
          </w:tcPr>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p>
        </w:tc>
        <w:tc>
          <w:tcPr>
            <w:tcW w:w="1324"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合同金额</w:t>
            </w:r>
          </w:p>
        </w:tc>
        <w:tc>
          <w:tcPr>
            <w:tcW w:w="1230"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签约时间</w:t>
            </w:r>
          </w:p>
        </w:tc>
        <w:tc>
          <w:tcPr>
            <w:tcW w:w="1297" w:type="dxa"/>
            <w:vAlign w:val="center"/>
          </w:tcPr>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联系人、联系方式</w:t>
            </w:r>
          </w:p>
        </w:tc>
        <w:tc>
          <w:tcPr>
            <w:tcW w:w="995" w:type="dxa"/>
            <w:vAlign w:val="center"/>
          </w:tcPr>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完成</w:t>
            </w:r>
          </w:p>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情况</w:t>
            </w:r>
          </w:p>
        </w:tc>
        <w:tc>
          <w:tcPr>
            <w:tcW w:w="995"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bl>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投标人法定代表人或授权代理人（盖章或签字）：</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投标人盖章：</w:t>
      </w:r>
    </w:p>
    <w:p>
      <w:pPr>
        <w:spacing w:line="360" w:lineRule="auto"/>
        <w:ind w:firstLine="57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20年 月 日</w:t>
      </w:r>
    </w:p>
    <w:p>
      <w:pPr>
        <w:pStyle w:val="32"/>
        <w:spacing w:line="360" w:lineRule="exact"/>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注：业绩内容必须按级别分别填写并按填写顺序附</w:t>
      </w:r>
      <w:r>
        <w:rPr>
          <w:rFonts w:hint="eastAsia" w:ascii="仿宋" w:hAnsi="仿宋" w:eastAsia="仿宋" w:cs="仿宋"/>
          <w:b/>
          <w:bCs/>
          <w:color w:val="000000" w:themeColor="text1"/>
          <w14:textFill>
            <w14:solidFill>
              <w14:schemeClr w14:val="tx1"/>
            </w14:solidFill>
          </w14:textFill>
        </w:rPr>
        <w:t>证明材料。投标单位须对提交的业绩真实性做出承诺（格式自拟），如不真实，将按照有关规定处理。</w:t>
      </w:r>
    </w:p>
    <w:p>
      <w:pPr>
        <w:pStyle w:val="32"/>
        <w:spacing w:line="360" w:lineRule="exact"/>
        <w:rPr>
          <w:rFonts w:ascii="仿宋" w:hAnsi="仿宋" w:eastAsia="仿宋" w:cs="仿宋"/>
          <w:b/>
          <w:bCs/>
          <w:color w:val="000000" w:themeColor="text1"/>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附表七</w:t>
      </w:r>
    </w:p>
    <w:p>
      <w:pPr>
        <w:spacing w:line="360" w:lineRule="auto"/>
        <w:jc w:val="center"/>
        <w:rPr>
          <w:rFonts w:ascii="仿宋" w:hAnsi="仿宋" w:eastAsia="仿宋" w:cs="仿宋"/>
          <w:b/>
          <w:color w:val="000000" w:themeColor="text1"/>
          <w:sz w:val="28"/>
          <w:szCs w:val="28"/>
          <w14:textFill>
            <w14:solidFill>
              <w14:schemeClr w14:val="tx1"/>
            </w14:solidFill>
          </w14:textFill>
        </w:rPr>
      </w:pPr>
      <w:bookmarkStart w:id="131" w:name="_Toc8262_WPSOffice_Level1"/>
      <w:r>
        <w:rPr>
          <w:rFonts w:hint="eastAsia" w:ascii="仿宋" w:hAnsi="仿宋" w:eastAsia="仿宋" w:cs="仿宋"/>
          <w:b/>
          <w:color w:val="000000" w:themeColor="text1"/>
          <w:sz w:val="28"/>
          <w:szCs w:val="28"/>
          <w14:textFill>
            <w14:solidFill>
              <w14:schemeClr w14:val="tx1"/>
            </w14:solidFill>
          </w14:textFill>
        </w:rPr>
        <w:t>商务条款偏离表</w:t>
      </w:r>
      <w:bookmarkEnd w:id="131"/>
    </w:p>
    <w:tbl>
      <w:tblPr>
        <w:tblStyle w:val="16"/>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726"/>
        <w:gridCol w:w="2337"/>
        <w:gridCol w:w="1752"/>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条款号</w:t>
            </w:r>
          </w:p>
        </w:tc>
        <w:tc>
          <w:tcPr>
            <w:tcW w:w="2726"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招标文件条款内容</w:t>
            </w:r>
          </w:p>
        </w:tc>
        <w:tc>
          <w:tcPr>
            <w:tcW w:w="2337"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招标人响应内容</w:t>
            </w:r>
          </w:p>
        </w:tc>
        <w:tc>
          <w:tcPr>
            <w:tcW w:w="1752"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偏离</w:t>
            </w:r>
          </w:p>
        </w:tc>
        <w:tc>
          <w:tcPr>
            <w:tcW w:w="1703"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bl>
    <w:p>
      <w:pPr>
        <w:spacing w:before="100" w:beforeAutospacing="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声明：除本偏离表所列的偏离外，其它均完全响应“招标文件”中的要求。</w:t>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autoSpaceDE w:val="0"/>
        <w:autoSpaceDN w:val="0"/>
        <w:adjustRightInd w:val="0"/>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w:t>
      </w:r>
      <w:r>
        <w:rPr>
          <w:rFonts w:hint="eastAsia" w:ascii="仿宋" w:hAnsi="仿宋" w:eastAsia="仿宋" w:cs="仿宋"/>
          <w:color w:val="000000" w:themeColor="text1"/>
          <w:spacing w:val="14"/>
          <w:kern w:val="0"/>
          <w:sz w:val="24"/>
          <w:u w:val="single"/>
          <w14:textFill>
            <w14:solidFill>
              <w14:schemeClr w14:val="tx1"/>
            </w14:solidFill>
          </w14:textFill>
        </w:rPr>
        <w:t xml:space="preserve">（单位全称） （盖章）        </w:t>
      </w:r>
    </w:p>
    <w:p>
      <w:pPr>
        <w:autoSpaceDE w:val="0"/>
        <w:autoSpaceDN w:val="0"/>
        <w:adjustRightInd w:val="0"/>
        <w:snapToGrid w:val="0"/>
        <w:spacing w:line="360" w:lineRule="auto"/>
        <w:rPr>
          <w:rFonts w:ascii="仿宋" w:hAnsi="仿宋" w:eastAsia="仿宋" w:cs="仿宋"/>
          <w:color w:val="000000" w:themeColor="text1"/>
          <w:spacing w:val="11"/>
          <w:kern w:val="0"/>
          <w:sz w:val="24"/>
          <w14:textFill>
            <w14:solidFill>
              <w14:schemeClr w14:val="tx1"/>
            </w14:solidFill>
          </w14:textFill>
        </w:rPr>
      </w:pPr>
      <w:r>
        <w:rPr>
          <w:rFonts w:hint="eastAsia" w:ascii="仿宋" w:hAnsi="仿宋" w:eastAsia="仿宋" w:cs="仿宋"/>
          <w:color w:val="000000" w:themeColor="text1"/>
          <w:spacing w:val="11"/>
          <w:kern w:val="0"/>
          <w:sz w:val="24"/>
          <w14:textFill>
            <w14:solidFill>
              <w14:schemeClr w14:val="tx1"/>
            </w14:solidFill>
          </w14:textFill>
        </w:rPr>
        <w:t>法定代表人或授权委托人：</w:t>
      </w:r>
      <w:r>
        <w:rPr>
          <w:rFonts w:hint="eastAsia" w:ascii="仿宋" w:hAnsi="仿宋" w:eastAsia="仿宋" w:cs="仿宋"/>
          <w:color w:val="000000" w:themeColor="text1"/>
          <w:spacing w:val="11"/>
          <w:kern w:val="0"/>
          <w:sz w:val="24"/>
          <w:u w:val="single"/>
          <w14:textFill>
            <w14:solidFill>
              <w14:schemeClr w14:val="tx1"/>
            </w14:solidFill>
          </w14:textFill>
        </w:rPr>
        <w:t xml:space="preserve">         （签字或盖章）         </w:t>
      </w:r>
    </w:p>
    <w:p>
      <w:pPr>
        <w:autoSpaceDE w:val="0"/>
        <w:autoSpaceDN w:val="0"/>
        <w:adjustRightInd w:val="0"/>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日期：年月日</w:t>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spacing w:line="30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注：如无偏差，投标人不需要填表，但应声明：“本投标文件完全响应招标文件所有条款的要求，无偏离。”</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p>
    <w:p>
      <w:pPr>
        <w:spacing w:line="360" w:lineRule="auto"/>
        <w:jc w:val="lef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附表八</w:t>
      </w:r>
    </w:p>
    <w:p>
      <w:pPr>
        <w:spacing w:line="360" w:lineRule="auto"/>
        <w:ind w:right="-334" w:rightChars="-159" w:firstLine="275" w:firstLineChars="98"/>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供应商履行合同所必须的设备和专业技术能力的证明材料或声明</w:t>
      </w:r>
    </w:p>
    <w:p>
      <w:pPr>
        <w:pStyle w:val="6"/>
        <w:rPr>
          <w:rFonts w:ascii="仿宋" w:hAnsi="仿宋" w:eastAsia="仿宋" w:cs="仿宋"/>
          <w:color w:val="000000" w:themeColor="text1"/>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我方参加（项目名称、编号）的投标，本单位郑重声明，如我方获得中标资格，我方保证具备履行合同所必需的设备和专业技术能力，并承诺如下:</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(一)具有独立承担民事责任的能力;</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(二)具有良好的商业信誉和健全的财务会计制度:</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(三)具有履行合同所必需的设备和专业技术能力;</w:t>
      </w:r>
    </w:p>
    <w:p>
      <w:pPr>
        <w:spacing w:line="360" w:lineRule="auto"/>
        <w:ind w:right="-334" w:rightChars="-159"/>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(四)法律、行政法规规定的其他条件。</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(五)我公司已完全了解本招标文件中规定的技术要求和商务条款。</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特此声明  </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声明单位 ：（</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单位法人（或授权代理人）：（签字）</w:t>
      </w: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ind w:right="-334" w:rightChars="-159" w:firstLine="275" w:firstLineChars="98"/>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参加政府采购活动前3年内</w:t>
      </w:r>
      <w:bookmarkStart w:id="132" w:name="_Toc507424778"/>
      <w:bookmarkStart w:id="133" w:name="_Toc508185502"/>
      <w:bookmarkStart w:id="134" w:name="_Toc508186950"/>
      <w:r>
        <w:rPr>
          <w:rFonts w:hint="eastAsia" w:ascii="仿宋" w:hAnsi="仿宋" w:eastAsia="仿宋" w:cs="仿宋"/>
          <w:b/>
          <w:color w:val="000000" w:themeColor="text1"/>
          <w:sz w:val="28"/>
          <w:szCs w:val="28"/>
          <w14:textFill>
            <w14:solidFill>
              <w14:schemeClr w14:val="tx1"/>
            </w14:solidFill>
          </w14:textFill>
        </w:rPr>
        <w:t>在经营活动中没有重大违法记录的书面声明</w:t>
      </w:r>
      <w:bookmarkEnd w:id="132"/>
      <w:bookmarkEnd w:id="133"/>
      <w:bookmarkEnd w:id="134"/>
    </w:p>
    <w:p>
      <w:pPr>
        <w:pStyle w:val="6"/>
        <w:rPr>
          <w:rFonts w:ascii="仿宋" w:hAnsi="仿宋" w:eastAsia="仿宋" w:cs="仿宋"/>
          <w:color w:val="000000" w:themeColor="text1"/>
          <w14:textFill>
            <w14:solidFill>
              <w14:schemeClr w14:val="tx1"/>
            </w14:solidFill>
          </w14:textFill>
        </w:rPr>
      </w:pPr>
    </w:p>
    <w:p>
      <w:pPr>
        <w:spacing w:line="480" w:lineRule="auto"/>
        <w:ind w:right="-334" w:rightChars="-159" w:firstLine="475" w:firstLineChars="198"/>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加（项目名称、编号）的投标，本单位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特此声明  </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声明单位 ：（</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单位法人（或授权代理人）：（签字）</w:t>
      </w: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pStyle w:val="5"/>
        <w:rPr>
          <w:rFonts w:ascii="仿宋" w:hAnsi="仿宋" w:eastAsia="仿宋" w:cs="仿宋"/>
          <w:color w:val="000000" w:themeColor="text1"/>
          <w14:textFill>
            <w14:solidFill>
              <w14:schemeClr w14:val="tx1"/>
            </w14:solidFill>
          </w14:textFill>
        </w:rPr>
      </w:pPr>
    </w:p>
    <w:p>
      <w:pPr>
        <w:rPr>
          <w:rFonts w:ascii="仿宋" w:hAnsi="仿宋" w:eastAsia="仿宋" w:cs="仿宋"/>
          <w:b/>
          <w:color w:val="000000" w:themeColor="text1"/>
          <w:sz w:val="28"/>
          <w:szCs w:val="28"/>
          <w:u w:val="single"/>
          <w14:textFill>
            <w14:solidFill>
              <w14:schemeClr w14:val="tx1"/>
            </w14:solidFill>
          </w14:textFill>
        </w:rPr>
      </w:pPr>
      <w:bookmarkStart w:id="135" w:name="_Toc9771_WPSOffice_Level1"/>
      <w:r>
        <w:rPr>
          <w:rFonts w:hint="eastAsia" w:ascii="仿宋" w:hAnsi="仿宋" w:eastAsia="仿宋" w:cs="仿宋"/>
          <w:b/>
          <w:color w:val="000000" w:themeColor="text1"/>
          <w:sz w:val="28"/>
          <w:szCs w:val="28"/>
          <w:u w:val="single"/>
          <w14:textFill>
            <w14:solidFill>
              <w14:schemeClr w14:val="tx1"/>
            </w14:solidFill>
          </w14:textFill>
        </w:rPr>
        <w:br w:type="page"/>
      </w:r>
    </w:p>
    <w:bookmarkEnd w:id="135"/>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附表九</w:t>
      </w:r>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信用查询</w:t>
      </w:r>
    </w:p>
    <w:p>
      <w:pPr>
        <w:pStyle w:val="31"/>
        <w:spacing w:line="480"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不得为国家企业信用信息公示系统及“信用中国”网站上列入（www.creditchina.gov.cn）失信被执行人和重大税收违法案件当事人名单、政府采购严重违法失信行为记录名单。不得为中国政府采购网（www.ccgp.gov.cn）政府采购严重违法失信行为记录名单中被财政部门禁止参加政府采购活动的供应商（处罚决定规定的时间和地域范围内），信用信息截止时点为开标当日</w:t>
      </w:r>
    </w:p>
    <w:p>
      <w:pPr>
        <w:spacing w:line="480" w:lineRule="exact"/>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示例：</w:t>
      </w:r>
    </w:p>
    <w:p>
      <w:pPr>
        <w:numPr>
          <w:ilvl w:val="0"/>
          <w:numId w:val="7"/>
        </w:numPr>
        <w:spacing w:line="480" w:lineRule="exact"/>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信用中国失信被执行人截图</w:t>
      </w:r>
    </w:p>
    <w:p>
      <w:pPr>
        <w:pStyle w:val="8"/>
        <w:rPr>
          <w:rFonts w:ascii="仿宋" w:hAnsi="仿宋" w:eastAsia="仿宋" w:cs="仿宋"/>
        </w:rPr>
      </w:pPr>
      <w:r>
        <w:rPr>
          <w:rFonts w:hint="eastAsia" w:ascii="仿宋" w:hAnsi="仿宋" w:eastAsia="仿宋" w:cs="仿宋"/>
        </w:rPr>
        <w:drawing>
          <wp:inline distT="0" distB="0" distL="114300" distR="114300">
            <wp:extent cx="4809490" cy="2715895"/>
            <wp:effectExtent l="0" t="0" r="1016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4809490" cy="2715895"/>
                    </a:xfrm>
                    <a:prstGeom prst="rect">
                      <a:avLst/>
                    </a:prstGeom>
                    <a:noFill/>
                    <a:ln>
                      <a:noFill/>
                    </a:ln>
                  </pic:spPr>
                </pic:pic>
              </a:graphicData>
            </a:graphic>
          </wp:inline>
        </w:drawing>
      </w:r>
    </w:p>
    <w:p>
      <w:pPr>
        <w:pStyle w:val="8"/>
        <w:rPr>
          <w:rFonts w:ascii="仿宋" w:hAnsi="仿宋" w:eastAsia="仿宋" w:cs="仿宋"/>
        </w:rPr>
      </w:pPr>
    </w:p>
    <w:p>
      <w:pPr>
        <w:pStyle w:val="8"/>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2.信用中国重大税收违法案件当事人名单</w:t>
      </w:r>
    </w:p>
    <w:p>
      <w:pPr>
        <w:pStyle w:val="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114300" distR="114300">
            <wp:extent cx="4844415" cy="2531745"/>
            <wp:effectExtent l="0" t="0" r="1333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4844415" cy="2531745"/>
                    </a:xfrm>
                    <a:prstGeom prst="rect">
                      <a:avLst/>
                    </a:prstGeom>
                    <a:noFill/>
                    <a:ln>
                      <a:noFill/>
                    </a:ln>
                  </pic:spPr>
                </pic:pic>
              </a:graphicData>
            </a:graphic>
          </wp:inline>
        </w:drawing>
      </w:r>
    </w:p>
    <w:p>
      <w:pPr>
        <w:pStyle w:val="8"/>
        <w:rPr>
          <w:rFonts w:ascii="仿宋" w:hAnsi="仿宋" w:eastAsia="仿宋" w:cs="仿宋"/>
          <w:color w:val="000000" w:themeColor="text1"/>
          <w14:textFill>
            <w14:solidFill>
              <w14:schemeClr w14:val="tx1"/>
            </w14:solidFill>
          </w14:textFill>
        </w:rPr>
      </w:pPr>
    </w:p>
    <w:p>
      <w:pPr>
        <w:pStyle w:val="8"/>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3、政府采购严重违法失信行为记录名单</w:t>
      </w:r>
    </w:p>
    <w:p>
      <w:pPr>
        <w:pStyle w:val="8"/>
        <w:rPr>
          <w:rFonts w:ascii="仿宋" w:hAnsi="仿宋" w:eastAsia="仿宋" w:cs="仿宋"/>
          <w:color w:val="000000" w:themeColor="text1"/>
          <w14:textFill>
            <w14:solidFill>
              <w14:schemeClr w14:val="tx1"/>
            </w14:solidFill>
          </w14:textFill>
        </w:rPr>
      </w:pPr>
    </w:p>
    <w:p>
      <w:pPr>
        <w:pStyle w:val="8"/>
        <w:rPr>
          <w:rFonts w:ascii="仿宋" w:hAnsi="仿宋" w:eastAsia="仿宋" w:cs="仿宋"/>
        </w:rPr>
      </w:pPr>
      <w:r>
        <w:rPr>
          <w:rFonts w:hint="eastAsia" w:ascii="仿宋" w:hAnsi="仿宋" w:eastAsia="仿宋" w:cs="仿宋"/>
          <w:b/>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-3810</wp:posOffset>
            </wp:positionH>
            <wp:positionV relativeFrom="paragraph">
              <wp:posOffset>4044950</wp:posOffset>
            </wp:positionV>
            <wp:extent cx="5153025" cy="2997835"/>
            <wp:effectExtent l="0" t="0" r="9525" b="12065"/>
            <wp:wrapNone/>
            <wp:docPr id="15" name="图片 4" descr="1607771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607771019(1)"/>
                    <pic:cNvPicPr>
                      <a:picLocks noChangeAspect="1"/>
                    </pic:cNvPicPr>
                  </pic:nvPicPr>
                  <pic:blipFill>
                    <a:blip r:embed="rId26"/>
                    <a:stretch>
                      <a:fillRect/>
                    </a:stretch>
                  </pic:blipFill>
                  <pic:spPr>
                    <a:xfrm>
                      <a:off x="0" y="0"/>
                      <a:ext cx="5153025" cy="2997835"/>
                    </a:xfrm>
                    <a:prstGeom prst="rect">
                      <a:avLst/>
                    </a:prstGeom>
                    <a:noFill/>
                    <a:ln>
                      <a:noFill/>
                    </a:ln>
                  </pic:spPr>
                </pic:pic>
              </a:graphicData>
            </a:graphic>
          </wp:anchor>
        </w:drawing>
      </w:r>
      <w:r>
        <w:rPr>
          <w:rFonts w:hint="eastAsia" w:ascii="仿宋" w:hAnsi="仿宋" w:eastAsia="仿宋" w:cs="仿宋"/>
        </w:rPr>
        <w:drawing>
          <wp:inline distT="0" distB="0" distL="114300" distR="114300">
            <wp:extent cx="4890770" cy="3233420"/>
            <wp:effectExtent l="0" t="0" r="508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7"/>
                    <a:stretch>
                      <a:fillRect/>
                    </a:stretch>
                  </pic:blipFill>
                  <pic:spPr>
                    <a:xfrm>
                      <a:off x="0" y="0"/>
                      <a:ext cx="4890770" cy="3233420"/>
                    </a:xfrm>
                    <a:prstGeom prst="rect">
                      <a:avLst/>
                    </a:prstGeom>
                    <a:noFill/>
                    <a:ln>
                      <a:noFill/>
                    </a:ln>
                  </pic:spPr>
                </pic:pic>
              </a:graphicData>
            </a:graphic>
          </wp:inline>
        </w:drawing>
      </w:r>
    </w:p>
    <w:p>
      <w:pPr>
        <w:pStyle w:val="8"/>
        <w:rPr>
          <w:rFonts w:ascii="仿宋" w:hAnsi="仿宋" w:eastAsia="仿宋" w:cs="仿宋"/>
        </w:rPr>
      </w:pPr>
    </w:p>
    <w:p>
      <w:pPr>
        <w:pStyle w:val="8"/>
        <w:rPr>
          <w:rFonts w:ascii="仿宋" w:hAnsi="仿宋" w:eastAsia="仿宋" w:cs="仿宋"/>
        </w:rPr>
      </w:pPr>
    </w:p>
    <w:p>
      <w:pPr>
        <w:pStyle w:val="8"/>
        <w:rPr>
          <w:rFonts w:ascii="仿宋" w:hAnsi="仿宋" w:eastAsia="仿宋" w:cs="仿宋"/>
          <w:color w:val="000000" w:themeColor="text1"/>
          <w:sz w:val="24"/>
          <w14:textFill>
            <w14:solidFill>
              <w14:schemeClr w14:val="tx1"/>
            </w14:solidFill>
          </w14:textFill>
        </w:rPr>
        <w:sectPr>
          <w:headerReference r:id="rId17" w:type="default"/>
          <w:footerReference r:id="rId18" w:type="default"/>
          <w:pgSz w:w="11910" w:h="16840"/>
          <w:pgMar w:top="1134" w:right="1191" w:bottom="1134" w:left="1304" w:header="0" w:footer="895" w:gutter="0"/>
          <w:cols w:space="720" w:num="1"/>
        </w:sectPr>
      </w:pPr>
      <w:r>
        <w:rPr>
          <w:rFonts w:hint="eastAsia" w:ascii="仿宋" w:hAnsi="仿宋" w:eastAsia="仿宋" w:cs="仿宋"/>
          <w:bCs/>
          <w:color w:val="000000" w:themeColor="text1"/>
          <w:sz w:val="28"/>
          <w:szCs w:val="28"/>
          <w14:textFill>
            <w14:solidFill>
              <w14:schemeClr w14:val="tx1"/>
            </w14:solidFill>
          </w14:textFill>
        </w:rPr>
        <w:t>4.中国政府采购网站的政府采购严重违法失信行为名单</w:t>
      </w:r>
    </w:p>
    <w:p>
      <w:pPr>
        <w:spacing w:line="360" w:lineRule="auto"/>
        <w:ind w:firstLine="3092" w:firstLineChars="1100"/>
        <w:jc w:val="both"/>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限制行为</w:t>
      </w:r>
    </w:p>
    <w:p>
      <w:pPr>
        <w:pStyle w:val="31"/>
        <w:numPr>
          <w:ilvl w:val="0"/>
          <w:numId w:val="8"/>
        </w:numPr>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投标人近三年无因投标申请人违约或不恰当履约引起的合同终止、纠纷、争议、仲裁和公诉纪录；中国裁判文书网（http://wenshu.court.gov.cn/）</w:t>
      </w:r>
    </w:p>
    <w:p>
      <w:pPr>
        <w:pStyle w:val="31"/>
        <w:spacing w:line="360" w:lineRule="auto"/>
        <w:ind w:firstLine="0" w:firstLineChars="0"/>
        <w:rPr>
          <w:rFonts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pPr>
        <w:pStyle w:val="31"/>
        <w:spacing w:line="360" w:lineRule="auto"/>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投标人提供相关承诺函（自拟格式）并加盖投标人单位</w:t>
      </w:r>
      <w:r>
        <w:rPr>
          <w:rFonts w:hint="eastAsia" w:ascii="仿宋" w:hAnsi="仿宋" w:eastAsia="仿宋" w:cs="仿宋"/>
          <w:color w:val="000000" w:themeColor="text1"/>
          <w:sz w:val="24"/>
          <w:lang w:val="en-US" w:eastAsia="zh-CN"/>
          <w14:textFill>
            <w14:solidFill>
              <w14:schemeClr w14:val="tx1"/>
            </w14:solidFill>
          </w14:textFill>
        </w:rPr>
        <w:t>公章</w:t>
      </w:r>
    </w:p>
    <w:p>
      <w:pPr>
        <w:spacing w:line="48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w:t>
      </w:r>
    </w:p>
    <w:p>
      <w:pPr>
        <w:pStyle w:val="7"/>
        <w:spacing w:line="360" w:lineRule="auto"/>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中小企业声明函（符合本声明函填写）</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本公司郑重声明，根据《政府采购促进中小企业发展管理办法》（财库〔2020〕46号）的规定，本公司为（请填写：中型、小型、微型）企业。即，本公司同时满足以下条件：</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1.根据《工业和信息化部、国家统计局、国家发展和改革委员会、财政部关于印发中小企业划型标准规定的通知》（工信部联企业[2011]300号）规定的划分标准，本公司为（请填写：中型、小型、微型）企业。</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2.本公司参加单位的项目采购活动提供本企业制造的货物，由本企业承担工程、提供服务，或者提供其他（请填写：中型、小型、微型）企业制造的货物。本条所称货物不包括使用大型企业注册商标的货物。</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本公司对上述声明的真实性负责。如有虚假，将依法承担相应责任。</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投标人名称（盖单位章）：</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法定代表人或其委托代理人签字：</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日期：        年    月    日</w:t>
      </w:r>
    </w:p>
    <w:p>
      <w:pPr>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注：</w:t>
      </w:r>
      <w:r>
        <w:rPr>
          <w:rFonts w:hint="eastAsia" w:ascii="仿宋" w:hAnsi="仿宋" w:eastAsia="仿宋" w:cs="仿宋"/>
          <w:color w:val="auto"/>
          <w:sz w:val="24"/>
          <w:highlight w:val="none"/>
        </w:rPr>
        <w:t>所投标的小型和微型企业制造的产品的价格给予6%的扣除</w:t>
      </w:r>
      <w:r>
        <w:rPr>
          <w:rFonts w:hint="eastAsia" w:ascii="仿宋" w:hAnsi="仿宋" w:eastAsia="仿宋" w:cs="仿宋"/>
          <w:color w:val="auto"/>
          <w:sz w:val="24"/>
          <w:highlight w:val="none"/>
          <w:lang w:eastAsia="zh-CN"/>
        </w:rPr>
        <w:t>，</w:t>
      </w:r>
      <w:r>
        <w:rPr>
          <w:rFonts w:hint="eastAsia" w:ascii="仿宋" w:hAnsi="仿宋" w:eastAsia="仿宋" w:cs="仿宋"/>
          <w:bCs/>
          <w:color w:val="auto"/>
          <w:sz w:val="24"/>
          <w:highlight w:val="none"/>
        </w:rPr>
        <w:t>小微企业需提供</w:t>
      </w:r>
      <w:r>
        <w:rPr>
          <w:rFonts w:hint="eastAsia" w:ascii="仿宋" w:hAnsi="仿宋" w:eastAsia="仿宋" w:cs="仿宋"/>
          <w:bCs/>
          <w:color w:val="auto"/>
          <w:sz w:val="24"/>
          <w:highlight w:val="none"/>
          <w:lang w:val="en-US" w:eastAsia="zh-CN"/>
        </w:rPr>
        <w:t>制造商的</w:t>
      </w:r>
      <w:r>
        <w:rPr>
          <w:rFonts w:hint="eastAsia" w:ascii="仿宋" w:hAnsi="仿宋" w:eastAsia="仿宋" w:cs="仿宋"/>
          <w:bCs/>
          <w:color w:val="auto"/>
          <w:sz w:val="24"/>
          <w:highlight w:val="none"/>
        </w:rPr>
        <w:t>截图</w:t>
      </w:r>
      <w:r>
        <w:rPr>
          <w:rFonts w:hint="eastAsia" w:ascii="仿宋" w:hAnsi="仿宋" w:eastAsia="仿宋" w:cs="仿宋"/>
          <w:bCs/>
          <w:color w:val="auto"/>
          <w:sz w:val="24"/>
          <w:highlight w:val="none"/>
          <w:lang w:val="en-US" w:eastAsia="zh-CN"/>
        </w:rPr>
        <w:t>证明。</w:t>
      </w:r>
    </w:p>
    <w:p>
      <w:pP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drawing>
          <wp:inline distT="0" distB="0" distL="114300" distR="114300">
            <wp:extent cx="5261610" cy="2383790"/>
            <wp:effectExtent l="0" t="0" r="15240" b="16510"/>
            <wp:docPr id="23" name="图片 23" descr="1628165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8165680(1)"/>
                    <pic:cNvPicPr>
                      <a:picLocks noChangeAspect="1"/>
                    </pic:cNvPicPr>
                  </pic:nvPicPr>
                  <pic:blipFill>
                    <a:blip r:embed="rId28"/>
                    <a:stretch>
                      <a:fillRect/>
                    </a:stretch>
                  </pic:blipFill>
                  <pic:spPr>
                    <a:xfrm>
                      <a:off x="0" y="0"/>
                      <a:ext cx="5261610" cy="2383790"/>
                    </a:xfrm>
                    <a:prstGeom prst="rect">
                      <a:avLst/>
                    </a:prstGeom>
                  </pic:spPr>
                </pic:pic>
              </a:graphicData>
            </a:graphic>
          </wp:inline>
        </w:drawing>
      </w:r>
    </w:p>
    <w:p>
      <w:pPr>
        <w:rPr>
          <w:rFonts w:ascii="仿宋" w:hAnsi="仿宋" w:eastAsia="仿宋" w:cs="仿宋"/>
          <w:b/>
          <w:bCs/>
          <w:color w:val="000000" w:themeColor="text1"/>
          <w:sz w:val="24"/>
          <w14:textFill>
            <w14:solidFill>
              <w14:schemeClr w14:val="tx1"/>
            </w14:solidFill>
          </w14:textFill>
        </w:rPr>
      </w:pPr>
    </w:p>
    <w:p>
      <w:pPr>
        <w:pStyle w:val="7"/>
        <w:spacing w:line="360" w:lineRule="auto"/>
        <w:ind w:firstLine="482" w:firstLineChars="200"/>
        <w:rPr>
          <w:rFonts w:ascii="仿宋" w:hAnsi="仿宋" w:eastAsia="仿宋" w:cs="仿宋"/>
          <w:b/>
          <w:bCs/>
          <w:color w:val="000000" w:themeColor="text1"/>
          <w:sz w:val="24"/>
          <w14:textFill>
            <w14:solidFill>
              <w14:schemeClr w14:val="tx1"/>
            </w14:solidFill>
          </w14:textFill>
        </w:rPr>
      </w:pPr>
    </w:p>
    <w:p>
      <w:pPr>
        <w:pStyle w:val="7"/>
        <w:spacing w:line="360" w:lineRule="auto"/>
        <w:ind w:firstLine="482" w:firstLineChars="200"/>
        <w:rPr>
          <w:rFonts w:ascii="仿宋" w:hAnsi="仿宋" w:eastAsia="仿宋" w:cs="仿宋"/>
          <w:b/>
          <w:bCs/>
          <w:color w:val="000000" w:themeColor="text1"/>
          <w:sz w:val="24"/>
          <w14:textFill>
            <w14:solidFill>
              <w14:schemeClr w14:val="tx1"/>
            </w14:solidFill>
          </w14:textFill>
        </w:rPr>
      </w:pPr>
    </w:p>
    <w:p>
      <w:pPr>
        <w:pStyle w:val="7"/>
        <w:spacing w:line="360" w:lineRule="auto"/>
        <w:ind w:firstLine="482"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说明：</w:t>
      </w:r>
      <w:r>
        <w:rPr>
          <w:rFonts w:hint="eastAsia" w:ascii="仿宋" w:hAnsi="仿宋" w:eastAsia="仿宋" w:cs="仿宋"/>
          <w:bCs/>
          <w:color w:val="000000" w:themeColor="text1"/>
          <w:sz w:val="24"/>
          <w14:textFill>
            <w14:solidFill>
              <w14:schemeClr w14:val="tx1"/>
            </w14:solidFill>
          </w14:textFill>
        </w:rPr>
        <w:t>1、填写前请认真阅读《工业和信息化部、国家统计局、国家发展和改革委员会、财政部关于印发中小企业划型标准规定的通知》（工信部联企业[2011] 300号）和《政府采购促进中小企业发展管理办法》（财库〔2020〕46号）相关规定。</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2、中小企业部分提供其他中小企业制造货物的应另附说明，并与后面的报价一栏表保持一致。</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3、未按上述要求提供、填写的，评标时不予以考虑。</w:t>
      </w: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附表十一</w:t>
      </w:r>
    </w:p>
    <w:p>
      <w:pPr>
        <w:pStyle w:val="7"/>
        <w:spacing w:line="360" w:lineRule="auto"/>
        <w:jc w:val="center"/>
        <w:rPr>
          <w:rFonts w:ascii="仿宋" w:hAnsi="仿宋" w:eastAsia="仿宋" w:cs="仿宋"/>
          <w:b/>
          <w:bCs/>
          <w:color w:val="000000" w:themeColor="text1"/>
          <w:sz w:val="28"/>
          <w:szCs w:val="28"/>
          <w14:textFill>
            <w14:solidFill>
              <w14:schemeClr w14:val="tx1"/>
            </w14:solidFill>
          </w14:textFill>
        </w:rPr>
      </w:pPr>
    </w:p>
    <w:p>
      <w:pPr>
        <w:pStyle w:val="7"/>
        <w:spacing w:line="360" w:lineRule="auto"/>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残疾人福利性单位声明函（符合本声明函填写）</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本单位郑重声明，根据《财政部 民政部 中国残疾人联合会关于促进残疾人就业政府采购政策的通知》（财库〔2017〕141 号）的规定，本单位为符合条件的残疾人福利性单位，且本单位参加</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单位的</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 本单位对上述声明的真实性负责，如有虚假，将依法承担相应责任。</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jc w:val="righ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投标单位：</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 xml:space="preserve">（盖章） </w:t>
      </w:r>
    </w:p>
    <w:p>
      <w:pPr>
        <w:pStyle w:val="7"/>
        <w:spacing w:line="360" w:lineRule="auto"/>
        <w:ind w:firstLine="480" w:firstLineChars="200"/>
        <w:jc w:val="righ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法定代表人或被授权人：</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（签字）</w:t>
      </w:r>
    </w:p>
    <w:p>
      <w:pPr>
        <w:pStyle w:val="7"/>
        <w:spacing w:line="360" w:lineRule="auto"/>
        <w:ind w:firstLine="480" w:firstLineChars="200"/>
        <w:jc w:val="righ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日</w:t>
      </w:r>
      <w:r>
        <w:rPr>
          <w:rFonts w:hint="eastAsia" w:ascii="仿宋" w:hAnsi="仿宋" w:eastAsia="仿宋" w:cs="仿宋"/>
          <w:bCs/>
          <w:color w:val="000000" w:themeColor="text1"/>
          <w:sz w:val="24"/>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期：</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年</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月</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日</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说明：1.填写前请认真阅读《财政部 民政部 中国残疾人联合会关于促进残疾人就业政府采购 政策的通知》（财库〔2017〕141 号）相关规定。</w:t>
      </w:r>
    </w:p>
    <w:p>
      <w:pPr>
        <w:pStyle w:val="7"/>
        <w:spacing w:line="360" w:lineRule="auto"/>
        <w:ind w:firstLine="960" w:firstLineChars="4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2.残疾人福利性单位应在本声明函后提供相关证明材料。</w:t>
      </w:r>
    </w:p>
    <w:p>
      <w:pPr>
        <w:pStyle w:val="7"/>
        <w:spacing w:line="360" w:lineRule="auto"/>
        <w:ind w:firstLine="1125" w:firstLineChars="469"/>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3.未按上述要求提供、填写的，评审时不予以考虑。</w:t>
      </w: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附表十二</w:t>
      </w:r>
    </w:p>
    <w:p>
      <w:pPr>
        <w:jc w:val="center"/>
        <w:rPr>
          <w:rFonts w:ascii="仿宋" w:hAnsi="仿宋" w:eastAsia="仿宋" w:cs="仿宋"/>
          <w:b/>
          <w:bCs/>
          <w:sz w:val="28"/>
          <w:szCs w:val="28"/>
        </w:rPr>
      </w:pPr>
      <w:r>
        <w:rPr>
          <w:rFonts w:hint="eastAsia" w:ascii="仿宋" w:hAnsi="仿宋" w:eastAsia="仿宋" w:cs="仿宋"/>
          <w:b/>
          <w:bCs/>
          <w:sz w:val="28"/>
          <w:szCs w:val="28"/>
        </w:rPr>
        <w:t>本项目拟投入人员情况表</w:t>
      </w:r>
    </w:p>
    <w:p>
      <w:pPr>
        <w:jc w:val="center"/>
        <w:rPr>
          <w:rFonts w:ascii="仿宋" w:hAnsi="仿宋" w:eastAsia="仿宋" w:cs="仿宋"/>
          <w:b/>
          <w:bCs/>
          <w:color w:val="000000" w:themeColor="text1"/>
          <w:sz w:val="40"/>
          <w14:textFill>
            <w14:solidFill>
              <w14:schemeClr w14:val="tx1"/>
            </w14:solidFill>
          </w14:textFill>
        </w:rPr>
      </w:pPr>
      <w:bookmarkStart w:id="136" w:name="_Toc17752_WPSOffice_Level1"/>
      <w:r>
        <w:rPr>
          <w:rFonts w:hint="eastAsia" w:ascii="仿宋" w:hAnsi="仿宋" w:eastAsia="仿宋" w:cs="仿宋"/>
          <w:b/>
          <w:color w:val="000000" w:themeColor="text1"/>
          <w:sz w:val="28"/>
          <w:szCs w:val="28"/>
          <w14:textFill>
            <w14:solidFill>
              <w14:schemeClr w14:val="tx1"/>
            </w14:solidFill>
          </w14:textFill>
        </w:rPr>
        <w:t>技术服务人员一览表</w:t>
      </w:r>
      <w:bookmarkEnd w:id="136"/>
    </w:p>
    <w:tbl>
      <w:tblPr>
        <w:tblStyle w:val="16"/>
        <w:tblpPr w:leftFromText="180" w:rightFromText="180" w:vertAnchor="text" w:horzAnchor="margin" w:tblpXSpec="center" w:tblpY="74"/>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858"/>
        <w:gridCol w:w="956"/>
        <w:gridCol w:w="1150"/>
        <w:gridCol w:w="1516"/>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350"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tc>
        <w:tc>
          <w:tcPr>
            <w:tcW w:w="1858"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p>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拟任职务</w:t>
            </w:r>
          </w:p>
        </w:tc>
        <w:tc>
          <w:tcPr>
            <w:tcW w:w="956"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w:t>
            </w:r>
          </w:p>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150"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516"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w:t>
            </w:r>
          </w:p>
        </w:tc>
        <w:tc>
          <w:tcPr>
            <w:tcW w:w="2191"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主要资历及</w:t>
            </w:r>
          </w:p>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担任过的职务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bl>
    <w:p>
      <w:pPr>
        <w:spacing w:line="5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注：1、如供应商中标，技术服务人员必须按本表承诺人员实施，不得擅自更换；</w:t>
      </w:r>
    </w:p>
    <w:p>
      <w:pPr>
        <w:spacing w:line="560" w:lineRule="exact"/>
        <w:ind w:right="105" w:rightChars="50"/>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投标人名称（盖章）：                       法定代表人或授权代表签字：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附：社保证明（复印件）。</w:t>
      </w:r>
    </w:p>
    <w:p>
      <w:pPr>
        <w:spacing w:before="156" w:beforeLines="50" w:line="360" w:lineRule="auto"/>
        <w:ind w:right="48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w:t>
      </w:r>
    </w:p>
    <w:p>
      <w:pPr>
        <w:spacing w:line="360" w:lineRule="auto"/>
        <w:jc w:val="center"/>
        <w:rPr>
          <w:rFonts w:ascii="仿宋" w:hAnsi="仿宋" w:eastAsia="仿宋" w:cs="仿宋"/>
          <w:b/>
          <w:color w:val="000000" w:themeColor="text1"/>
          <w:sz w:val="32"/>
          <w:szCs w:val="32"/>
          <w14:textFill>
            <w14:solidFill>
              <w14:schemeClr w14:val="tx1"/>
            </w14:solidFill>
          </w14:textFill>
        </w:rPr>
        <w:sectPr>
          <w:footerReference r:id="rId19" w:type="default"/>
          <w:pgSz w:w="11906" w:h="16838"/>
          <w:pgMar w:top="1440" w:right="1803" w:bottom="1440" w:left="1803" w:header="851" w:footer="992" w:gutter="0"/>
          <w:cols w:space="720" w:num="1"/>
          <w:docGrid w:type="lines" w:linePitch="312" w:charSpace="0"/>
        </w:sectPr>
      </w:pPr>
    </w:p>
    <w:p>
      <w:pPr>
        <w:rPr>
          <w:rFonts w:ascii="仿宋" w:hAnsi="仿宋" w:eastAsia="仿宋" w:cs="仿宋"/>
          <w:b/>
          <w:bCs/>
          <w:sz w:val="28"/>
          <w:szCs w:val="28"/>
        </w:rPr>
      </w:pPr>
      <w:r>
        <w:rPr>
          <w:rFonts w:hint="eastAsia" w:ascii="仿宋" w:hAnsi="仿宋" w:eastAsia="仿宋" w:cs="仿宋"/>
          <w:b/>
          <w:bCs/>
          <w:sz w:val="28"/>
          <w:szCs w:val="28"/>
        </w:rPr>
        <w:t>附表十三</w:t>
      </w:r>
    </w:p>
    <w:p>
      <w:pPr>
        <w:spacing w:line="360" w:lineRule="auto"/>
        <w:ind w:right="-334" w:rightChars="-159" w:firstLine="275" w:firstLineChars="98"/>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反商业贿赂承诺书</w:t>
      </w:r>
    </w:p>
    <w:p>
      <w:pPr>
        <w:spacing w:line="360" w:lineRule="auto"/>
        <w:ind w:right="-334" w:rightChars="-159" w:firstLine="313" w:firstLineChars="98"/>
        <w:rPr>
          <w:rFonts w:ascii="仿宋" w:hAnsi="仿宋" w:eastAsia="仿宋" w:cs="仿宋"/>
          <w:color w:val="000000" w:themeColor="text1"/>
          <w:sz w:val="32"/>
          <w:szCs w:val="32"/>
          <w:u w:val="single"/>
          <w14:textFill>
            <w14:solidFill>
              <w14:schemeClr w14:val="tx1"/>
            </w14:solidFill>
          </w14:textFill>
        </w:rPr>
      </w:pPr>
    </w:p>
    <w:p>
      <w:pPr>
        <w:spacing w:line="360" w:lineRule="auto"/>
        <w:ind w:right="-334" w:rightChars="-159" w:firstLine="472" w:firstLineChars="197"/>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为了从源头上防治腐败，杜绝商业贿赂行为的发生，更好地配合政府采购的工作，我们供应商承诺如下：</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bookmarkStart w:id="137" w:name="_Toc16548_WPSOffice_Level1"/>
      <w:r>
        <w:rPr>
          <w:rFonts w:hint="eastAsia" w:ascii="仿宋" w:hAnsi="仿宋" w:eastAsia="仿宋" w:cs="仿宋"/>
          <w:color w:val="000000" w:themeColor="text1"/>
          <w:sz w:val="24"/>
          <w14:textFill>
            <w14:solidFill>
              <w14:schemeClr w14:val="tx1"/>
            </w14:solidFill>
          </w14:textFill>
        </w:rPr>
        <w:t>1、不以各种名义给采购人或采购代理机构借或送现金、有价证券及物品;</w:t>
      </w:r>
      <w:bookmarkEnd w:id="137"/>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bookmarkStart w:id="138" w:name="_Toc29358_WPSOffice_Level1"/>
      <w:r>
        <w:rPr>
          <w:rFonts w:hint="eastAsia" w:ascii="仿宋" w:hAnsi="仿宋" w:eastAsia="仿宋" w:cs="仿宋"/>
          <w:color w:val="000000" w:themeColor="text1"/>
          <w:sz w:val="24"/>
          <w14:textFill>
            <w14:solidFill>
              <w14:schemeClr w14:val="tx1"/>
            </w14:solidFill>
          </w14:textFill>
        </w:rPr>
        <w:t>2、不以个人名义邀请采购人或采购代理机构工作人员参与考察旅游活动和宴请活动；</w:t>
      </w:r>
      <w:bookmarkEnd w:id="138"/>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bookmarkStart w:id="139" w:name="_Toc1632_WPSOffice_Level1"/>
      <w:r>
        <w:rPr>
          <w:rFonts w:hint="eastAsia" w:ascii="仿宋" w:hAnsi="仿宋" w:eastAsia="仿宋" w:cs="仿宋"/>
          <w:color w:val="000000" w:themeColor="text1"/>
          <w:sz w:val="24"/>
          <w14:textFill>
            <w14:solidFill>
              <w14:schemeClr w14:val="tx1"/>
            </w14:solidFill>
          </w14:textFill>
        </w:rPr>
        <w:t>3、不发生与采购事项有关的其他违规违纪行为。</w:t>
      </w:r>
      <w:bookmarkEnd w:id="139"/>
    </w:p>
    <w:p>
      <w:pPr>
        <w:spacing w:line="360" w:lineRule="auto"/>
        <w:ind w:right="-334" w:rightChars="-159" w:firstLine="472" w:firstLineChars="197"/>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如违反其中一项，采购人或采购代理机构将向新疆维吾尔自治区政府采购管理办公室反映将其列入政府采购黑名单并终止</w:t>
      </w:r>
      <w:r>
        <w:rPr>
          <w:rFonts w:hint="eastAsia" w:ascii="仿宋" w:hAnsi="仿宋" w:eastAsia="仿宋" w:cs="仿宋"/>
          <w:color w:val="000000" w:themeColor="text1"/>
          <w:sz w:val="24"/>
          <w:lang w:val="en-US" w:eastAsia="zh-CN"/>
          <w14:textFill>
            <w14:solidFill>
              <w14:schemeClr w14:val="tx1"/>
            </w14:solidFill>
          </w14:textFill>
        </w:rPr>
        <w:t>投</w:t>
      </w:r>
      <w:r>
        <w:rPr>
          <w:rFonts w:hint="eastAsia" w:ascii="仿宋" w:hAnsi="仿宋" w:eastAsia="仿宋" w:cs="仿宋"/>
          <w:color w:val="000000" w:themeColor="text1"/>
          <w:sz w:val="24"/>
          <w14:textFill>
            <w14:solidFill>
              <w14:schemeClr w14:val="tx1"/>
            </w14:solidFill>
          </w14:textFill>
        </w:rPr>
        <w:t>标资格，今后不得参与新疆维吾尔自治区政府采购招投标活动，触犯法律由司法部门处理。</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承诺单位 ：（</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单位法人（或授权代理人）：（签字）</w:t>
      </w: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bookmarkStart w:id="140" w:name="_Toc15489"/>
      <w:bookmarkStart w:id="141" w:name="_Toc11286_WPSOffice_Level1"/>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附表十四</w:t>
      </w:r>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技术条款偏差表</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p>
    <w:tbl>
      <w:tblPr>
        <w:tblStyle w:val="16"/>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2333"/>
        <w:gridCol w:w="2334"/>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招标文件内容</w:t>
            </w:r>
          </w:p>
        </w:tc>
        <w:tc>
          <w:tcPr>
            <w:tcW w:w="2333"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投标文件内容</w:t>
            </w:r>
          </w:p>
        </w:tc>
        <w:tc>
          <w:tcPr>
            <w:tcW w:w="23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偏差内容</w:t>
            </w:r>
          </w:p>
        </w:tc>
        <w:tc>
          <w:tcPr>
            <w:tcW w:w="2100" w:type="dxa"/>
            <w:vAlign w:val="center"/>
          </w:tcPr>
          <w:p>
            <w:pPr>
              <w:spacing w:line="360" w:lineRule="auto"/>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bl>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注：凡投标文件中所投</w:t>
      </w:r>
      <w:r>
        <w:rPr>
          <w:rFonts w:hint="eastAsia" w:ascii="仿宋" w:hAnsi="仿宋" w:eastAsia="仿宋" w:cs="仿宋"/>
          <w:color w:val="000000" w:themeColor="text1"/>
          <w:sz w:val="24"/>
          <w:lang w:val="en-US" w:eastAsia="zh-CN"/>
          <w14:textFill>
            <w14:solidFill>
              <w14:schemeClr w14:val="tx1"/>
            </w14:solidFill>
          </w14:textFill>
        </w:rPr>
        <w:t>货物</w:t>
      </w:r>
      <w:r>
        <w:rPr>
          <w:rFonts w:hint="eastAsia" w:ascii="仿宋" w:hAnsi="仿宋" w:eastAsia="仿宋" w:cs="仿宋"/>
          <w:color w:val="000000" w:themeColor="text1"/>
          <w:sz w:val="24"/>
          <w14:textFill>
            <w14:solidFill>
              <w14:schemeClr w14:val="tx1"/>
            </w14:solidFill>
          </w14:textFill>
        </w:rPr>
        <w:t>内容、要求、质量标准必须在此表中列出，投标人应对照招标文件要求逐条列出并在“偏离情况”栏注明“正偏离”、“负偏离”或“无偏离”，禁止左右粘贴，需对所投内容实质性描述。</w:t>
      </w:r>
    </w:p>
    <w:p>
      <w:pPr>
        <w:spacing w:before="1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投标人法定代表人（或法定代表人授权代表）签字：</w:t>
      </w:r>
      <w:r>
        <w:rPr>
          <w:rFonts w:hint="eastAsia" w:ascii="仿宋" w:hAnsi="仿宋" w:eastAsia="仿宋" w:cs="仿宋"/>
          <w:color w:val="000000" w:themeColor="text1"/>
          <w:sz w:val="24"/>
          <w14:textFill>
            <w14:solidFill>
              <w14:schemeClr w14:val="tx1"/>
            </w14:solidFill>
          </w14:textFill>
        </w:rPr>
        <w:tab/>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r>
        <w:rPr>
          <w:rFonts w:hint="eastAsia" w:ascii="仿宋" w:hAnsi="仿宋" w:eastAsia="仿宋" w:cs="仿宋"/>
          <w:color w:val="000000" w:themeColor="text1"/>
          <w:sz w:val="24"/>
          <w14:textFill>
            <w14:solidFill>
              <w14:schemeClr w14:val="tx1"/>
            </w14:solidFill>
          </w14:textFill>
        </w:rPr>
        <w:tab/>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日</w:t>
      </w:r>
    </w:p>
    <w:p>
      <w:pPr>
        <w:rPr>
          <w:rFonts w:ascii="仿宋" w:hAnsi="仿宋" w:eastAsia="仿宋" w:cs="仿宋"/>
          <w:color w:val="000000" w:themeColor="text1"/>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附表十五</w:t>
      </w:r>
    </w:p>
    <w:p>
      <w:pPr>
        <w:pStyle w:val="7"/>
        <w:spacing w:line="480" w:lineRule="exact"/>
        <w:jc w:val="center"/>
        <w:rPr>
          <w:rFonts w:ascii="仿宋" w:hAnsi="仿宋" w:eastAsia="仿宋" w:cs="仿宋"/>
          <w:b/>
          <w:bCs/>
          <w:sz w:val="28"/>
          <w:szCs w:val="28"/>
        </w:rPr>
      </w:pPr>
      <w:r>
        <w:rPr>
          <w:rFonts w:hint="eastAsia" w:ascii="仿宋" w:hAnsi="仿宋" w:eastAsia="仿宋" w:cs="仿宋"/>
          <w:b/>
          <w:bCs/>
          <w:sz w:val="28"/>
          <w:szCs w:val="28"/>
        </w:rPr>
        <w:t>投标保证金缴纳凭证</w:t>
      </w:r>
    </w:p>
    <w:p>
      <w:pPr>
        <w:pStyle w:val="7"/>
        <w:spacing w:line="480" w:lineRule="exact"/>
        <w:rPr>
          <w:rFonts w:ascii="仿宋" w:hAnsi="仿宋" w:eastAsia="仿宋" w:cs="仿宋"/>
          <w:bCs/>
          <w:sz w:val="24"/>
        </w:rPr>
      </w:pPr>
    </w:p>
    <w:p>
      <w:pPr>
        <w:pStyle w:val="7"/>
        <w:spacing w:line="480" w:lineRule="exact"/>
        <w:ind w:firstLine="480" w:firstLineChars="200"/>
        <w:rPr>
          <w:rFonts w:ascii="仿宋" w:hAnsi="仿宋" w:eastAsia="仿宋" w:cs="仿宋"/>
          <w:bCs/>
          <w:sz w:val="24"/>
        </w:rPr>
      </w:pPr>
      <w:r>
        <w:rPr>
          <w:rFonts w:hint="eastAsia" w:ascii="仿宋" w:hAnsi="仿宋" w:eastAsia="仿宋" w:cs="仿宋"/>
          <w:bCs/>
          <w:sz w:val="24"/>
        </w:rPr>
        <w:t>我方于</w:t>
      </w:r>
      <w:r>
        <w:rPr>
          <w:rFonts w:hint="eastAsia" w:ascii="仿宋" w:hAnsi="仿宋" w:eastAsia="仿宋" w:cs="仿宋"/>
          <w:bCs/>
          <w:sz w:val="24"/>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 xml:space="preserve"> 日参加</w:t>
      </w:r>
      <w:r>
        <w:rPr>
          <w:rFonts w:hint="eastAsia" w:ascii="仿宋" w:hAnsi="仿宋" w:eastAsia="仿宋" w:cs="仿宋"/>
          <w:bCs/>
          <w:sz w:val="24"/>
          <w:u w:val="single"/>
        </w:rPr>
        <w:tab/>
      </w:r>
      <w:r>
        <w:rPr>
          <w:rFonts w:hint="eastAsia" w:ascii="仿宋" w:hAnsi="仿宋" w:eastAsia="仿宋" w:cs="仿宋"/>
          <w:bCs/>
          <w:sz w:val="24"/>
          <w:u w:val="single"/>
        </w:rPr>
        <w:t xml:space="preserve">（项目名称）   </w:t>
      </w:r>
      <w:r>
        <w:rPr>
          <w:rFonts w:hint="eastAsia" w:ascii="仿宋" w:hAnsi="仿宋" w:eastAsia="仿宋" w:cs="仿宋"/>
          <w:bCs/>
          <w:sz w:val="24"/>
        </w:rPr>
        <w:t>的投标，现保证：我方在规定的投标</w:t>
      </w:r>
      <w:r>
        <w:rPr>
          <w:rFonts w:hint="eastAsia" w:ascii="仿宋" w:hAnsi="仿宋" w:eastAsia="仿宋" w:cs="仿宋"/>
          <w:bCs/>
          <w:sz w:val="24"/>
          <w:lang w:val="en-US" w:eastAsia="zh-CN"/>
        </w:rPr>
        <w:t>文件</w:t>
      </w:r>
      <w:r>
        <w:rPr>
          <w:rFonts w:hint="eastAsia" w:ascii="仿宋" w:hAnsi="仿宋" w:eastAsia="仿宋" w:cs="仿宋"/>
          <w:bCs/>
          <w:sz w:val="24"/>
        </w:rPr>
        <w:t>有效期内撤销或修改投标文件的，或者涉及招标文件规定的保证金不予退还条款，投标保证金不予退还。</w:t>
      </w:r>
    </w:p>
    <w:p>
      <w:pPr>
        <w:pStyle w:val="7"/>
        <w:spacing w:line="480" w:lineRule="exact"/>
        <w:ind w:firstLine="480" w:firstLineChars="200"/>
        <w:rPr>
          <w:rFonts w:ascii="仿宋" w:hAnsi="仿宋" w:eastAsia="仿宋" w:cs="仿宋"/>
          <w:bCs/>
          <w:sz w:val="24"/>
        </w:rPr>
      </w:pPr>
    </w:p>
    <w:p>
      <w:pPr>
        <w:pStyle w:val="7"/>
        <w:spacing w:line="480" w:lineRule="exact"/>
        <w:ind w:firstLine="480" w:firstLineChars="200"/>
        <w:rPr>
          <w:rFonts w:ascii="仿宋" w:hAnsi="仿宋" w:eastAsia="仿宋" w:cs="仿宋"/>
          <w:bCs/>
          <w:sz w:val="24"/>
        </w:rPr>
      </w:pPr>
    </w:p>
    <w:p>
      <w:pPr>
        <w:pStyle w:val="7"/>
        <w:spacing w:line="480" w:lineRule="exact"/>
        <w:rPr>
          <w:rFonts w:ascii="仿宋" w:hAnsi="仿宋" w:eastAsia="仿宋" w:cs="仿宋"/>
          <w:bCs/>
          <w:sz w:val="24"/>
        </w:rPr>
      </w:pPr>
    </w:p>
    <w:tbl>
      <w:tblPr>
        <w:tblStyle w:val="33"/>
        <w:tblW w:w="9280" w:type="dxa"/>
        <w:tblInd w:w="-421" w:type="dxa"/>
        <w:tblLayout w:type="fixed"/>
        <w:tblCellMar>
          <w:top w:w="0" w:type="dxa"/>
          <w:left w:w="0" w:type="dxa"/>
          <w:bottom w:w="0" w:type="dxa"/>
          <w:right w:w="0" w:type="dxa"/>
        </w:tblCellMar>
      </w:tblPr>
      <w:tblGrid>
        <w:gridCol w:w="9280"/>
      </w:tblGrid>
      <w:tr>
        <w:tblPrEx>
          <w:tblCellMar>
            <w:top w:w="0" w:type="dxa"/>
            <w:left w:w="0" w:type="dxa"/>
            <w:bottom w:w="0" w:type="dxa"/>
            <w:right w:w="0" w:type="dxa"/>
          </w:tblCellMar>
        </w:tblPrEx>
        <w:trPr>
          <w:trHeight w:val="4233" w:hRule="exact"/>
        </w:trPr>
        <w:tc>
          <w:tcPr>
            <w:tcW w:w="9280" w:type="dxa"/>
            <w:tcBorders>
              <w:top w:val="single" w:color="000000" w:sz="4" w:space="0"/>
              <w:left w:val="single" w:color="000000" w:sz="4" w:space="0"/>
              <w:bottom w:val="single" w:color="000000" w:sz="4" w:space="0"/>
              <w:right w:val="single" w:color="000000" w:sz="4" w:space="0"/>
            </w:tcBorders>
            <w:vAlign w:val="center"/>
          </w:tcPr>
          <w:p>
            <w:pPr>
              <w:pStyle w:val="7"/>
              <w:spacing w:line="480" w:lineRule="exact"/>
              <w:jc w:val="center"/>
              <w:rPr>
                <w:rFonts w:ascii="仿宋" w:hAnsi="仿宋" w:eastAsia="仿宋" w:cs="仿宋"/>
                <w:bCs/>
                <w:sz w:val="24"/>
              </w:rPr>
            </w:pPr>
            <w:r>
              <w:rPr>
                <w:rFonts w:hint="eastAsia" w:ascii="仿宋" w:hAnsi="仿宋" w:eastAsia="仿宋" w:cs="仿宋"/>
                <w:bCs/>
                <w:sz w:val="24"/>
              </w:rPr>
              <w:t>保证金收据或缴款证明</w:t>
            </w:r>
          </w:p>
          <w:p>
            <w:pPr>
              <w:pStyle w:val="7"/>
              <w:spacing w:line="480" w:lineRule="exact"/>
              <w:rPr>
                <w:rFonts w:ascii="仿宋" w:hAnsi="仿宋" w:eastAsia="仿宋" w:cs="仿宋"/>
                <w:bCs/>
                <w:sz w:val="24"/>
              </w:rPr>
            </w:pPr>
          </w:p>
          <w:p>
            <w:pPr>
              <w:pStyle w:val="25"/>
              <w:spacing w:line="240" w:lineRule="exact"/>
              <w:ind w:right="11"/>
              <w:jc w:val="center"/>
              <w:rPr>
                <w:rFonts w:ascii="仿宋" w:hAnsi="仿宋" w:eastAsia="仿宋" w:cs="仿宋"/>
                <w:color w:val="000000" w:themeColor="text1"/>
                <w:spacing w:val="6"/>
                <w:sz w:val="18"/>
                <w:szCs w:val="18"/>
                <w14:textFill>
                  <w14:solidFill>
                    <w14:schemeClr w14:val="tx1"/>
                  </w14:solidFill>
                </w14:textFill>
              </w:rPr>
            </w:pPr>
          </w:p>
        </w:tc>
      </w:tr>
    </w:tbl>
    <w:p>
      <w:pPr>
        <w:pStyle w:val="7"/>
        <w:spacing w:line="480" w:lineRule="exact"/>
        <w:rPr>
          <w:rFonts w:ascii="仿宋" w:hAnsi="仿宋" w:eastAsia="仿宋" w:cs="仿宋"/>
          <w:bCs/>
          <w:sz w:val="24"/>
        </w:rPr>
      </w:pPr>
    </w:p>
    <w:p>
      <w:pPr>
        <w:pStyle w:val="7"/>
        <w:spacing w:line="480" w:lineRule="exact"/>
        <w:rPr>
          <w:rFonts w:ascii="仿宋" w:hAnsi="仿宋" w:eastAsia="仿宋" w:cs="仿宋"/>
          <w:bCs/>
          <w:sz w:val="24"/>
        </w:rPr>
      </w:pPr>
    </w:p>
    <w:p>
      <w:pPr>
        <w:pStyle w:val="7"/>
        <w:spacing w:line="480" w:lineRule="exact"/>
        <w:rPr>
          <w:rFonts w:ascii="仿宋" w:hAnsi="仿宋" w:eastAsia="仿宋" w:cs="仿宋"/>
          <w:bCs/>
          <w:sz w:val="24"/>
        </w:rPr>
      </w:pP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投标人：</w:t>
      </w:r>
      <w:r>
        <w:rPr>
          <w:rFonts w:hint="eastAsia" w:ascii="仿宋" w:hAnsi="仿宋" w:eastAsia="仿宋" w:cs="仿宋"/>
          <w:bCs/>
          <w:sz w:val="24"/>
          <w:u w:val="single"/>
        </w:rPr>
        <w:tab/>
      </w:r>
      <w:r>
        <w:rPr>
          <w:rFonts w:hint="eastAsia" w:ascii="仿宋" w:hAnsi="仿宋" w:eastAsia="仿宋" w:cs="仿宋"/>
          <w:bCs/>
          <w:sz w:val="24"/>
        </w:rPr>
        <w:t xml:space="preserve">（盖章） </w:t>
      </w: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法定代表人或被授权人：</w:t>
      </w:r>
      <w:r>
        <w:rPr>
          <w:rFonts w:hint="eastAsia" w:ascii="仿宋" w:hAnsi="仿宋" w:eastAsia="仿宋" w:cs="仿宋"/>
          <w:bCs/>
          <w:sz w:val="24"/>
          <w:u w:val="single"/>
        </w:rPr>
        <w:tab/>
      </w:r>
      <w:r>
        <w:rPr>
          <w:rFonts w:hint="eastAsia" w:ascii="仿宋" w:hAnsi="仿宋" w:eastAsia="仿宋" w:cs="仿宋"/>
          <w:bCs/>
          <w:sz w:val="24"/>
        </w:rPr>
        <w:t>（签字）</w:t>
      </w:r>
    </w:p>
    <w:p>
      <w:pPr>
        <w:pStyle w:val="7"/>
        <w:spacing w:line="480" w:lineRule="exact"/>
        <w:jc w:val="right"/>
        <w:rPr>
          <w:rFonts w:ascii="仿宋" w:hAnsi="仿宋" w:eastAsia="仿宋" w:cs="仿宋"/>
          <w:bCs/>
          <w:sz w:val="24"/>
        </w:rPr>
      </w:pPr>
      <w:r>
        <w:rPr>
          <w:rFonts w:hint="eastAsia" w:ascii="仿宋" w:hAnsi="仿宋" w:eastAsia="仿宋" w:cs="仿宋"/>
          <w:bCs/>
          <w:sz w:val="24"/>
        </w:rPr>
        <w:t>日</w:t>
      </w:r>
      <w:r>
        <w:rPr>
          <w:rFonts w:hint="eastAsia" w:ascii="仿宋" w:hAnsi="仿宋" w:eastAsia="仿宋" w:cs="仿宋"/>
          <w:bCs/>
          <w:sz w:val="24"/>
        </w:rPr>
        <w:tab/>
      </w:r>
      <w:r>
        <w:rPr>
          <w:rFonts w:hint="eastAsia" w:ascii="仿宋" w:hAnsi="仿宋" w:eastAsia="仿宋" w:cs="仿宋"/>
          <w:bCs/>
          <w:sz w:val="24"/>
        </w:rPr>
        <w:t>期：</w:t>
      </w:r>
      <w:r>
        <w:rPr>
          <w:rFonts w:hint="eastAsia" w:ascii="仿宋" w:hAnsi="仿宋" w:eastAsia="仿宋" w:cs="仿宋"/>
          <w:bCs/>
          <w:sz w:val="24"/>
          <w:u w:val="single"/>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日</w:t>
      </w:r>
    </w:p>
    <w:p>
      <w:pPr>
        <w:pStyle w:val="7"/>
        <w:spacing w:line="480" w:lineRule="exact"/>
        <w:rPr>
          <w:rFonts w:ascii="仿宋" w:hAnsi="仿宋" w:eastAsia="仿宋" w:cs="仿宋"/>
          <w:bCs/>
          <w:sz w:val="24"/>
        </w:rPr>
      </w:pPr>
    </w:p>
    <w:p>
      <w:pPr>
        <w:spacing w:line="360" w:lineRule="auto"/>
        <w:rPr>
          <w:rFonts w:ascii="仿宋" w:hAnsi="仿宋" w:eastAsia="仿宋" w:cs="仿宋"/>
          <w:b/>
          <w:color w:val="000000" w:themeColor="text1"/>
          <w:sz w:val="32"/>
          <w:szCs w:val="32"/>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附表十六</w:t>
      </w:r>
    </w:p>
    <w:p>
      <w:pPr>
        <w:pStyle w:val="31"/>
        <w:ind w:firstLine="643"/>
        <w:rPr>
          <w:rFonts w:ascii="仿宋" w:hAnsi="仿宋" w:eastAsia="仿宋" w:cs="仿宋"/>
          <w:b/>
          <w:color w:val="000000" w:themeColor="text1"/>
          <w:sz w:val="32"/>
          <w:szCs w:val="32"/>
          <w14:textFill>
            <w14:solidFill>
              <w14:schemeClr w14:val="tx1"/>
            </w14:solidFill>
          </w14:textFill>
        </w:rPr>
      </w:pPr>
    </w:p>
    <w:p>
      <w:pPr>
        <w:pStyle w:val="31"/>
        <w:ind w:firstLine="643"/>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sz w:val="28"/>
          <w:szCs w:val="28"/>
        </w:rPr>
      </w:pPr>
      <w:r>
        <w:rPr>
          <w:rFonts w:hint="eastAsia" w:ascii="仿宋" w:hAnsi="仿宋" w:eastAsia="仿宋" w:cs="仿宋"/>
          <w:b/>
          <w:sz w:val="28"/>
          <w:szCs w:val="28"/>
        </w:rPr>
        <w:t>关于资格的声明函</w:t>
      </w:r>
    </w:p>
    <w:p>
      <w:pPr>
        <w:spacing w:line="360" w:lineRule="auto"/>
        <w:rPr>
          <w:rFonts w:ascii="仿宋" w:hAnsi="仿宋" w:eastAsia="仿宋" w:cs="仿宋"/>
          <w:sz w:val="24"/>
        </w:rPr>
      </w:pPr>
    </w:p>
    <w:p>
      <w:pPr>
        <w:spacing w:line="360" w:lineRule="auto"/>
        <w:ind w:firstLine="570"/>
        <w:rPr>
          <w:rFonts w:ascii="仿宋" w:hAnsi="仿宋" w:eastAsia="仿宋" w:cs="仿宋"/>
          <w:sz w:val="24"/>
        </w:rPr>
      </w:pPr>
      <w:r>
        <w:rPr>
          <w:rFonts w:hint="eastAsia" w:ascii="仿宋" w:hAnsi="仿宋" w:eastAsia="仿宋" w:cs="仿宋"/>
          <w:sz w:val="24"/>
        </w:rPr>
        <w:t>关于</w:t>
      </w:r>
      <w:r>
        <w:rPr>
          <w:rFonts w:hint="eastAsia" w:ascii="仿宋" w:hAnsi="仿宋" w:eastAsia="仿宋" w:cs="仿宋"/>
          <w:sz w:val="24"/>
          <w:u w:val="single"/>
        </w:rPr>
        <w:t>（项目名称）项目</w:t>
      </w:r>
      <w:r>
        <w:rPr>
          <w:rFonts w:hint="eastAsia" w:ascii="仿宋" w:hAnsi="仿宋" w:eastAsia="仿宋" w:cs="仿宋"/>
          <w:sz w:val="24"/>
        </w:rPr>
        <w:t>，本签字人愿意参加投标，并有能力提供本项目中的相关设备，并保证所提交的所有文件和说明是真实和准确的。</w:t>
      </w: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投标人：</w:t>
      </w:r>
      <w:r>
        <w:rPr>
          <w:rFonts w:hint="eastAsia" w:ascii="仿宋" w:hAnsi="仿宋" w:eastAsia="仿宋" w:cs="仿宋"/>
          <w:bCs/>
          <w:sz w:val="24"/>
          <w:u w:val="single"/>
        </w:rPr>
        <w:tab/>
      </w:r>
      <w:r>
        <w:rPr>
          <w:rFonts w:hint="eastAsia" w:ascii="仿宋" w:hAnsi="仿宋" w:eastAsia="仿宋" w:cs="仿宋"/>
          <w:bCs/>
          <w:sz w:val="24"/>
        </w:rPr>
        <w:t xml:space="preserve">（盖章） </w:t>
      </w: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法定代表人或被授权人：</w:t>
      </w:r>
      <w:r>
        <w:rPr>
          <w:rFonts w:hint="eastAsia" w:ascii="仿宋" w:hAnsi="仿宋" w:eastAsia="仿宋" w:cs="仿宋"/>
          <w:bCs/>
          <w:sz w:val="24"/>
          <w:u w:val="single"/>
        </w:rPr>
        <w:tab/>
      </w:r>
      <w:r>
        <w:rPr>
          <w:rFonts w:hint="eastAsia" w:ascii="仿宋" w:hAnsi="仿宋" w:eastAsia="仿宋" w:cs="仿宋"/>
          <w:bCs/>
          <w:sz w:val="24"/>
        </w:rPr>
        <w:t>（签字）</w:t>
      </w:r>
    </w:p>
    <w:p>
      <w:pPr>
        <w:pStyle w:val="7"/>
        <w:spacing w:line="480" w:lineRule="exact"/>
        <w:jc w:val="right"/>
        <w:rPr>
          <w:rFonts w:ascii="仿宋" w:hAnsi="仿宋" w:eastAsia="仿宋" w:cs="仿宋"/>
          <w:bCs/>
          <w:sz w:val="24"/>
        </w:rPr>
      </w:pPr>
      <w:r>
        <w:rPr>
          <w:rFonts w:hint="eastAsia" w:ascii="仿宋" w:hAnsi="仿宋" w:eastAsia="仿宋" w:cs="仿宋"/>
          <w:bCs/>
          <w:sz w:val="24"/>
        </w:rPr>
        <w:t>日</w:t>
      </w:r>
      <w:r>
        <w:rPr>
          <w:rFonts w:hint="eastAsia" w:ascii="仿宋" w:hAnsi="仿宋" w:eastAsia="仿宋" w:cs="仿宋"/>
          <w:bCs/>
          <w:sz w:val="24"/>
        </w:rPr>
        <w:tab/>
      </w:r>
      <w:r>
        <w:rPr>
          <w:rFonts w:hint="eastAsia" w:ascii="仿宋" w:hAnsi="仿宋" w:eastAsia="仿宋" w:cs="仿宋"/>
          <w:bCs/>
          <w:sz w:val="24"/>
        </w:rPr>
        <w:t>期：</w:t>
      </w:r>
      <w:r>
        <w:rPr>
          <w:rFonts w:hint="eastAsia" w:ascii="仿宋" w:hAnsi="仿宋" w:eastAsia="仿宋" w:cs="仿宋"/>
          <w:bCs/>
          <w:sz w:val="24"/>
          <w:u w:val="single"/>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日</w:t>
      </w:r>
    </w:p>
    <w:p>
      <w:pPr>
        <w:pStyle w:val="7"/>
        <w:spacing w:line="480" w:lineRule="exact"/>
        <w:rPr>
          <w:rFonts w:ascii="仿宋" w:hAnsi="仿宋" w:eastAsia="仿宋" w:cs="仿宋"/>
          <w:sz w:val="24"/>
        </w:rPr>
      </w:pPr>
    </w:p>
    <w:p>
      <w:pPr>
        <w:pStyle w:val="7"/>
        <w:spacing w:line="480" w:lineRule="exact"/>
        <w:rPr>
          <w:rFonts w:ascii="仿宋" w:hAnsi="仿宋" w:eastAsia="仿宋" w:cs="仿宋"/>
          <w:sz w:val="24"/>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480" w:lineRule="auto"/>
        <w:rPr>
          <w:rFonts w:hint="eastAsia" w:ascii="仿宋" w:hAnsi="仿宋" w:eastAsia="仿宋" w:cs="仿宋"/>
          <w:b/>
          <w:color w:val="000000" w:themeColor="text1"/>
          <w:sz w:val="28"/>
          <w:szCs w:val="28"/>
          <w14:textFill>
            <w14:solidFill>
              <w14:schemeClr w14:val="tx1"/>
            </w14:solidFill>
          </w14:textFill>
        </w:rPr>
      </w:pPr>
    </w:p>
    <w:p>
      <w:pPr>
        <w:spacing w:line="480" w:lineRule="auto"/>
        <w:rPr>
          <w:rFonts w:ascii="仿宋" w:hAnsi="仿宋" w:eastAsia="仿宋" w:cs="仿宋"/>
        </w:rPr>
      </w:pPr>
      <w:r>
        <w:rPr>
          <w:rFonts w:hint="eastAsia" w:ascii="仿宋" w:hAnsi="仿宋" w:eastAsia="仿宋" w:cs="仿宋"/>
          <w:b/>
          <w:color w:val="000000" w:themeColor="text1"/>
          <w:sz w:val="28"/>
          <w:szCs w:val="28"/>
          <w14:textFill>
            <w14:solidFill>
              <w14:schemeClr w14:val="tx1"/>
            </w14:solidFill>
          </w14:textFill>
        </w:rPr>
        <w:t>附表十七：</w:t>
      </w:r>
      <w:r>
        <w:rPr>
          <w:rFonts w:hint="eastAsia" w:ascii="仿宋" w:hAnsi="仿宋" w:eastAsia="仿宋" w:cs="仿宋"/>
          <w:bCs/>
          <w:color w:val="000000" w:themeColor="text1"/>
          <w:sz w:val="28"/>
          <w:szCs w:val="28"/>
          <w14:textFill>
            <w14:solidFill>
              <w14:schemeClr w14:val="tx1"/>
            </w14:solidFill>
          </w14:textFill>
        </w:rPr>
        <w:t>所投产品彩页及详细描述、进口产品需提供授权</w:t>
      </w:r>
    </w:p>
    <w:p>
      <w:pPr>
        <w:spacing w:line="480" w:lineRule="auto"/>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附表十八：</w:t>
      </w:r>
      <w:r>
        <w:rPr>
          <w:rFonts w:hint="eastAsia" w:ascii="仿宋" w:hAnsi="仿宋" w:eastAsia="仿宋" w:cs="仿宋"/>
          <w:bCs/>
          <w:color w:val="000000" w:themeColor="text1"/>
          <w:sz w:val="28"/>
          <w:szCs w:val="28"/>
          <w14:textFill>
            <w14:solidFill>
              <w14:schemeClr w14:val="tx1"/>
            </w14:solidFill>
          </w14:textFill>
        </w:rPr>
        <w:t>售后服务方案（包含但不限于安装方案，安装进度、售后服务、应急响应、培训方案）</w:t>
      </w:r>
    </w:p>
    <w:p>
      <w:pPr>
        <w:spacing w:line="360" w:lineRule="auto"/>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附表十九：</w:t>
      </w:r>
      <w:r>
        <w:rPr>
          <w:rFonts w:hint="eastAsia" w:ascii="仿宋" w:hAnsi="仿宋" w:eastAsia="仿宋" w:cs="仿宋"/>
          <w:bCs/>
          <w:color w:val="000000" w:themeColor="text1"/>
          <w:sz w:val="28"/>
          <w:szCs w:val="28"/>
          <w14:textFill>
            <w14:solidFill>
              <w14:schemeClr w14:val="tx1"/>
            </w14:solidFill>
          </w14:textFill>
        </w:rPr>
        <w:t>方案与技术措施、设备</w:t>
      </w:r>
      <w:r>
        <w:rPr>
          <w:rFonts w:hint="eastAsia" w:ascii="仿宋" w:hAnsi="仿宋" w:eastAsia="仿宋" w:cs="仿宋"/>
          <w:bCs/>
          <w:color w:val="000000" w:themeColor="text1"/>
          <w:sz w:val="28"/>
          <w:szCs w:val="28"/>
          <w:lang w:val="en-US" w:eastAsia="zh-CN"/>
          <w14:textFill>
            <w14:solidFill>
              <w14:schemeClr w14:val="tx1"/>
            </w14:solidFill>
          </w14:textFill>
        </w:rPr>
        <w:t>安装</w:t>
      </w:r>
      <w:r>
        <w:rPr>
          <w:rFonts w:hint="eastAsia" w:ascii="仿宋" w:hAnsi="仿宋" w:eastAsia="仿宋" w:cs="仿宋"/>
          <w:bCs/>
          <w:color w:val="000000" w:themeColor="text1"/>
          <w:sz w:val="28"/>
          <w:szCs w:val="28"/>
          <w14:textFill>
            <w14:solidFill>
              <w14:schemeClr w14:val="tx1"/>
            </w14:solidFill>
          </w14:textFill>
        </w:rPr>
        <w:t>准备、设备</w:t>
      </w:r>
      <w:r>
        <w:rPr>
          <w:rFonts w:hint="eastAsia" w:ascii="仿宋" w:hAnsi="仿宋" w:eastAsia="仿宋" w:cs="仿宋"/>
          <w:bCs/>
          <w:color w:val="000000" w:themeColor="text1"/>
          <w:sz w:val="28"/>
          <w:szCs w:val="28"/>
          <w:lang w:val="en-US" w:eastAsia="zh-CN"/>
          <w14:textFill>
            <w14:solidFill>
              <w14:schemeClr w14:val="tx1"/>
            </w14:solidFill>
          </w14:textFill>
        </w:rPr>
        <w:t>安装</w:t>
      </w:r>
      <w:r>
        <w:rPr>
          <w:rFonts w:hint="eastAsia" w:ascii="仿宋" w:hAnsi="仿宋" w:eastAsia="仿宋" w:cs="仿宋"/>
          <w:bCs/>
          <w:color w:val="000000" w:themeColor="text1"/>
          <w:sz w:val="28"/>
          <w:szCs w:val="28"/>
          <w14:textFill>
            <w14:solidFill>
              <w14:schemeClr w14:val="tx1"/>
            </w14:solidFill>
          </w14:textFill>
        </w:rPr>
        <w:t>现场管理、设备</w:t>
      </w:r>
      <w:r>
        <w:rPr>
          <w:rFonts w:hint="eastAsia" w:ascii="仿宋" w:hAnsi="仿宋" w:eastAsia="仿宋" w:cs="仿宋"/>
          <w:bCs/>
          <w:color w:val="000000" w:themeColor="text1"/>
          <w:sz w:val="28"/>
          <w:szCs w:val="28"/>
          <w:lang w:val="en-US" w:eastAsia="zh-CN"/>
          <w14:textFill>
            <w14:solidFill>
              <w14:schemeClr w14:val="tx1"/>
            </w14:solidFill>
          </w14:textFill>
        </w:rPr>
        <w:t>安装</w:t>
      </w:r>
      <w:r>
        <w:rPr>
          <w:rFonts w:hint="eastAsia" w:ascii="仿宋" w:hAnsi="仿宋" w:eastAsia="仿宋" w:cs="仿宋"/>
          <w:bCs/>
          <w:color w:val="000000" w:themeColor="text1"/>
          <w:sz w:val="28"/>
          <w:szCs w:val="28"/>
          <w14:textFill>
            <w14:solidFill>
              <w14:schemeClr w14:val="tx1"/>
            </w14:solidFill>
          </w14:textFill>
        </w:rPr>
        <w:t>平面图、设备</w:t>
      </w:r>
      <w:r>
        <w:rPr>
          <w:rFonts w:hint="eastAsia" w:ascii="仿宋" w:hAnsi="仿宋" w:eastAsia="仿宋" w:cs="仿宋"/>
          <w:bCs/>
          <w:color w:val="000000" w:themeColor="text1"/>
          <w:sz w:val="28"/>
          <w:szCs w:val="28"/>
          <w:lang w:val="en-US" w:eastAsia="zh-CN"/>
          <w14:textFill>
            <w14:solidFill>
              <w14:schemeClr w14:val="tx1"/>
            </w14:solidFill>
          </w14:textFill>
        </w:rPr>
        <w:t>安装</w:t>
      </w:r>
      <w:r>
        <w:rPr>
          <w:rFonts w:hint="eastAsia" w:ascii="仿宋" w:hAnsi="仿宋" w:eastAsia="仿宋" w:cs="仿宋"/>
          <w:bCs/>
          <w:color w:val="000000" w:themeColor="text1"/>
          <w:sz w:val="28"/>
          <w:szCs w:val="28"/>
          <w14:textFill>
            <w14:solidFill>
              <w14:schemeClr w14:val="tx1"/>
            </w14:solidFill>
          </w14:textFill>
        </w:rPr>
        <w:t>进度计划、</w:t>
      </w:r>
      <w:r>
        <w:rPr>
          <w:rFonts w:hint="eastAsia" w:ascii="仿宋" w:hAnsi="仿宋" w:eastAsia="仿宋" w:cs="仿宋"/>
          <w:bCs/>
          <w:color w:val="000000" w:themeColor="text1"/>
          <w:sz w:val="28"/>
          <w:szCs w:val="28"/>
          <w:lang w:val="en-US" w:eastAsia="zh-CN"/>
          <w14:textFill>
            <w14:solidFill>
              <w14:schemeClr w14:val="tx1"/>
            </w14:solidFill>
          </w14:textFill>
        </w:rPr>
        <w:t>安装</w:t>
      </w:r>
      <w:r>
        <w:rPr>
          <w:rFonts w:hint="eastAsia" w:ascii="仿宋" w:hAnsi="仿宋" w:eastAsia="仿宋" w:cs="仿宋"/>
          <w:bCs/>
          <w:color w:val="000000" w:themeColor="text1"/>
          <w:sz w:val="28"/>
          <w:szCs w:val="28"/>
          <w14:textFill>
            <w14:solidFill>
              <w14:schemeClr w14:val="tx1"/>
            </w14:solidFill>
          </w14:textFill>
        </w:rPr>
        <w:t>进度保证措施、安全生产措施</w:t>
      </w:r>
    </w:p>
    <w:p>
      <w:pPr>
        <w:spacing w:line="360" w:lineRule="auto"/>
        <w:rPr>
          <w:rFonts w:ascii="仿宋" w:hAnsi="仿宋" w:eastAsia="仿宋" w:cs="仿宋"/>
          <w:b/>
          <w:color w:val="000000" w:themeColor="text1"/>
          <w:sz w:val="28"/>
          <w:szCs w:val="28"/>
          <w14:textFill>
            <w14:solidFill>
              <w14:schemeClr w14:val="tx1"/>
            </w14:solidFill>
          </w14:textFill>
        </w:rPr>
      </w:pPr>
    </w:p>
    <w:p>
      <w:pPr>
        <w:pStyle w:val="31"/>
        <w:spacing w:line="480" w:lineRule="auto"/>
        <w:rPr>
          <w:rFonts w:ascii="仿宋" w:hAnsi="仿宋" w:eastAsia="仿宋" w:cs="仿宋"/>
        </w:rPr>
      </w:pPr>
    </w:p>
    <w:p>
      <w:pPr>
        <w:spacing w:line="48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其它资料（根据招标文件的要求和投标人认为需要提供的资料）：</w:t>
      </w:r>
      <w:bookmarkEnd w:id="140"/>
      <w:bookmarkEnd w:id="141"/>
    </w:p>
    <w:p>
      <w:pPr>
        <w:rPr>
          <w:rFonts w:ascii="仿宋" w:hAnsi="仿宋" w:eastAsia="仿宋" w:cs="仿宋"/>
        </w:rPr>
      </w:pPr>
    </w:p>
    <w:p>
      <w:pPr>
        <w:rPr>
          <w:rFonts w:ascii="仿宋" w:hAnsi="仿宋" w:eastAsia="仿宋" w:cs="仿宋"/>
        </w:rPr>
      </w:pPr>
    </w:p>
    <w:p/>
    <w:sectPr>
      <w:headerReference r:id="rId20" w:type="default"/>
      <w:footerReference r:id="rId21" w:type="default"/>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573"/>
        <w:tab w:val="clear" w:pos="4153"/>
        <w:tab w:val="clear"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706"/>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62</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rPr>
        <w:rStyle w:val="3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fldChar w:fldCharType="begin"/>
    </w:r>
    <w:r>
      <w:rPr>
        <w:rStyle w:val="20"/>
      </w:rPr>
      <w:instrText xml:space="preserve">PAGE  </w:instrTex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573"/>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0</w:t>
    </w:r>
    <w:r>
      <w:rPr>
        <w:rStyle w:val="20"/>
      </w:rPr>
      <w:fldChar w:fldCharType="end"/>
    </w:r>
  </w:p>
  <w:p>
    <w:pPr>
      <w:pStyle w:val="10"/>
      <w:framePr w:wrap="around" w:vAnchor="text" w:hAnchor="margin" w:y="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ascii="宋体" w:hAnsi="宋体" w:eastAsia="宋体" w:cs="宋体"/>
        <w:color w:val="FF0000"/>
        <w:spacing w:val="60"/>
        <w:sz w:val="21"/>
        <w:szCs w:val="2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y="1"/>
      <w:rPr>
        <w:rStyle w:val="20"/>
      </w:rPr>
    </w:pPr>
    <w:r>
      <w:fldChar w:fldCharType="begin"/>
    </w:r>
    <w:r>
      <w:rPr>
        <w:rStyle w:val="20"/>
      </w:rPr>
      <w:instrText xml:space="preserve">PAGE  </w:instrText>
    </w:r>
    <w:r>
      <w:fldChar w:fldCharType="end"/>
    </w:r>
  </w:p>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line="14" w:lineRule="auto"/>
      <w:rPr>
        <w:rFonts w:ascii="Times New Roman"/>
        <w:sz w:val="20"/>
        <w:szCs w:val="20"/>
      </w:rPr>
    </w:pPr>
  </w:p>
  <w:p>
    <w:pPr>
      <w:pStyle w:val="7"/>
      <w:kinsoku w:val="0"/>
      <w:overflowPunct w:val="0"/>
      <w:spacing w:line="14" w:lineRule="auto"/>
      <w:rPr>
        <w:rFonts w:ascii="Times New Roman"/>
        <w:sz w:val="20"/>
        <w:szCs w:val="20"/>
      </w:rPr>
    </w:pPr>
    <w:r>
      <mc:AlternateContent>
        <mc:Choice Requires="wps">
          <w:drawing>
            <wp:anchor distT="0" distB="0" distL="114300" distR="114300" simplePos="0" relativeHeight="251666432" behindDoc="1" locked="0" layoutInCell="0" allowOverlap="1">
              <wp:simplePos x="0" y="0"/>
              <wp:positionH relativeFrom="page">
                <wp:posOffset>953770</wp:posOffset>
              </wp:positionH>
              <wp:positionV relativeFrom="page">
                <wp:posOffset>703580</wp:posOffset>
              </wp:positionV>
              <wp:extent cx="5638165" cy="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5638165" cy="0"/>
                      </a:xfrm>
                      <a:custGeom>
                        <a:avLst/>
                        <a:gdLst/>
                        <a:ahLst/>
                        <a:cxnLst/>
                        <a:rect l="0" t="0" r="0" b="0"/>
                        <a:pathLst>
                          <a:path w="8879" h="20">
                            <a:moveTo>
                              <a:pt x="0" y="0"/>
                            </a:moveTo>
                            <a:lnTo>
                              <a:pt x="8879" y="0"/>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1pt;margin-top:55.4pt;height:0pt;width:443.95pt;mso-position-horizontal-relative:page;mso-position-vertical-relative:page;z-index:-251650048;mso-width-relative:page;mso-height-relative:page;" filled="f" stroked="t" coordsize="8879,20" o:allowincell="f" o:gfxdata="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biCvtgAAAAMAQAADwAAAAAAAAABACAAAAAiAAAAZHJzL2Rvd25y&#10;ZXYueG1sUEsBAhQAFAAAAAgAh07iQEe7b583AgAArAQAAA4AAAAAAAAAAQAgAAAAJwEAAGRycy9l&#10;Mm9Eb2MueG1sUEsFBgAAAAAGAAYAWQEAANAFAAAAAA==&#10;" path="m0,0l8879,0e">
              <v:fill on="f" focussize="0,0"/>
              <v:stroke weight="0.48pt" color="#000000" joinstyle="round"/>
              <v:imagedata o:title=""/>
              <o:lock v:ext="edit" aspectratio="f"/>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ascii="宋体" w:hAnsi="宋体" w:cs="宋体"/>
        <w:kern w:val="0"/>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1D04A"/>
    <w:multiLevelType w:val="singleLevel"/>
    <w:tmpl w:val="A951D04A"/>
    <w:lvl w:ilvl="0" w:tentative="0">
      <w:start w:val="1"/>
      <w:numFmt w:val="decimal"/>
      <w:lvlText w:val="%1."/>
      <w:lvlJc w:val="left"/>
      <w:pPr>
        <w:tabs>
          <w:tab w:val="left" w:pos="312"/>
        </w:tabs>
      </w:pPr>
    </w:lvl>
  </w:abstractNum>
  <w:abstractNum w:abstractNumId="1">
    <w:nsid w:val="ABF0344B"/>
    <w:multiLevelType w:val="singleLevel"/>
    <w:tmpl w:val="ABF0344B"/>
    <w:lvl w:ilvl="0" w:tentative="0">
      <w:start w:val="1"/>
      <w:numFmt w:val="decimal"/>
      <w:suff w:val="nothing"/>
      <w:lvlText w:val="%1、"/>
      <w:lvlJc w:val="left"/>
    </w:lvl>
  </w:abstractNum>
  <w:abstractNum w:abstractNumId="2">
    <w:nsid w:val="F88105E6"/>
    <w:multiLevelType w:val="singleLevel"/>
    <w:tmpl w:val="F88105E6"/>
    <w:lvl w:ilvl="0" w:tentative="0">
      <w:start w:val="1"/>
      <w:numFmt w:val="decimal"/>
      <w:suff w:val="nothing"/>
      <w:lvlText w:val="（%1）"/>
      <w:lvlJc w:val="left"/>
    </w:lvl>
  </w:abstractNum>
  <w:abstractNum w:abstractNumId="3">
    <w:nsid w:val="58B6989A"/>
    <w:multiLevelType w:val="singleLevel"/>
    <w:tmpl w:val="58B6989A"/>
    <w:lvl w:ilvl="0" w:tentative="0">
      <w:start w:val="1"/>
      <w:numFmt w:val="chineseCounting"/>
      <w:suff w:val="nothing"/>
      <w:lvlText w:val="（%1）"/>
      <w:lvlJc w:val="left"/>
      <w:pPr>
        <w:ind w:left="0" w:firstLine="420"/>
      </w:pPr>
      <w:rPr>
        <w:rFonts w:hint="eastAsia"/>
      </w:rPr>
    </w:lvl>
  </w:abstractNum>
  <w:abstractNum w:abstractNumId="4">
    <w:nsid w:val="594A109D"/>
    <w:multiLevelType w:val="singleLevel"/>
    <w:tmpl w:val="594A109D"/>
    <w:lvl w:ilvl="0" w:tentative="0">
      <w:start w:val="1"/>
      <w:numFmt w:val="decimal"/>
      <w:suff w:val="nothing"/>
      <w:lvlText w:val="（%1）"/>
      <w:lvlJc w:val="left"/>
    </w:lvl>
  </w:abstractNum>
  <w:abstractNum w:abstractNumId="5">
    <w:nsid w:val="59DEF5B5"/>
    <w:multiLevelType w:val="singleLevel"/>
    <w:tmpl w:val="59DEF5B5"/>
    <w:lvl w:ilvl="0" w:tentative="0">
      <w:start w:val="5"/>
      <w:numFmt w:val="chineseCounting"/>
      <w:suff w:val="nothing"/>
      <w:lvlText w:val="第%1部"/>
      <w:lvlJc w:val="left"/>
    </w:lvl>
  </w:abstractNum>
  <w:abstractNum w:abstractNumId="6">
    <w:nsid w:val="64B06E0B"/>
    <w:multiLevelType w:val="multilevel"/>
    <w:tmpl w:val="64B06E0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69E46813"/>
    <w:multiLevelType w:val="singleLevel"/>
    <w:tmpl w:val="69E46813"/>
    <w:lvl w:ilvl="0" w:tentative="0">
      <w:start w:val="1"/>
      <w:numFmt w:val="chineseCounting"/>
      <w:suff w:val="nothing"/>
      <w:lvlText w:val="%1、"/>
      <w:lvlJc w:val="left"/>
      <w:rPr>
        <w:rFonts w:hint="eastAsia"/>
      </w:rPr>
    </w:lvl>
  </w:abstractNum>
  <w:num w:numId="1">
    <w:abstractNumId w:val="3"/>
  </w:num>
  <w:num w:numId="2">
    <w:abstractNumId w:val="6"/>
  </w:num>
  <w:num w:numId="3">
    <w:abstractNumId w:val="2"/>
  </w:num>
  <w:num w:numId="4">
    <w:abstractNumId w:val="7"/>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1B14C8"/>
    <w:rsid w:val="03DE4B51"/>
    <w:rsid w:val="04035221"/>
    <w:rsid w:val="06C74040"/>
    <w:rsid w:val="073636A2"/>
    <w:rsid w:val="07576777"/>
    <w:rsid w:val="080A78AC"/>
    <w:rsid w:val="082F7F31"/>
    <w:rsid w:val="08CC1C31"/>
    <w:rsid w:val="0912156A"/>
    <w:rsid w:val="0DEE0C45"/>
    <w:rsid w:val="0E815205"/>
    <w:rsid w:val="0F032819"/>
    <w:rsid w:val="0F344BCF"/>
    <w:rsid w:val="0FB75ADD"/>
    <w:rsid w:val="10FC5772"/>
    <w:rsid w:val="118342E7"/>
    <w:rsid w:val="12456654"/>
    <w:rsid w:val="126D3751"/>
    <w:rsid w:val="13A36B8D"/>
    <w:rsid w:val="13BA0375"/>
    <w:rsid w:val="1445127B"/>
    <w:rsid w:val="150978C9"/>
    <w:rsid w:val="150C56F1"/>
    <w:rsid w:val="1510218E"/>
    <w:rsid w:val="15605B5C"/>
    <w:rsid w:val="15711E7B"/>
    <w:rsid w:val="16465E0D"/>
    <w:rsid w:val="16D30D27"/>
    <w:rsid w:val="16F02BAB"/>
    <w:rsid w:val="1776002C"/>
    <w:rsid w:val="181B14C8"/>
    <w:rsid w:val="19B84DC3"/>
    <w:rsid w:val="1A7E0DE0"/>
    <w:rsid w:val="1A830424"/>
    <w:rsid w:val="1B0B5EA8"/>
    <w:rsid w:val="1B3E3557"/>
    <w:rsid w:val="1D4F36C0"/>
    <w:rsid w:val="1E0F4156"/>
    <w:rsid w:val="1E8F7C25"/>
    <w:rsid w:val="1EA6074D"/>
    <w:rsid w:val="20270D60"/>
    <w:rsid w:val="21DE514B"/>
    <w:rsid w:val="238D7ADD"/>
    <w:rsid w:val="24207C9D"/>
    <w:rsid w:val="247104F9"/>
    <w:rsid w:val="24ED2128"/>
    <w:rsid w:val="251E0485"/>
    <w:rsid w:val="26417C70"/>
    <w:rsid w:val="27090EBD"/>
    <w:rsid w:val="271635D9"/>
    <w:rsid w:val="27B079F1"/>
    <w:rsid w:val="282C06D2"/>
    <w:rsid w:val="2865633A"/>
    <w:rsid w:val="286B2FD9"/>
    <w:rsid w:val="288954EF"/>
    <w:rsid w:val="295F7613"/>
    <w:rsid w:val="2A403DF7"/>
    <w:rsid w:val="2ABE62A6"/>
    <w:rsid w:val="2EAB2EC6"/>
    <w:rsid w:val="2EB02AF4"/>
    <w:rsid w:val="2F383BF2"/>
    <w:rsid w:val="2FD3758D"/>
    <w:rsid w:val="305F1FFA"/>
    <w:rsid w:val="30CB2D3F"/>
    <w:rsid w:val="31AB6929"/>
    <w:rsid w:val="32A41889"/>
    <w:rsid w:val="33114C55"/>
    <w:rsid w:val="33130ECB"/>
    <w:rsid w:val="33173611"/>
    <w:rsid w:val="340A6274"/>
    <w:rsid w:val="34294B54"/>
    <w:rsid w:val="347B5E9F"/>
    <w:rsid w:val="353D58AF"/>
    <w:rsid w:val="357E3E35"/>
    <w:rsid w:val="358A1E20"/>
    <w:rsid w:val="35AE50D1"/>
    <w:rsid w:val="361F39E5"/>
    <w:rsid w:val="367C68FC"/>
    <w:rsid w:val="36E970B6"/>
    <w:rsid w:val="37054AD1"/>
    <w:rsid w:val="37D319BD"/>
    <w:rsid w:val="38CA4224"/>
    <w:rsid w:val="391334D5"/>
    <w:rsid w:val="3B823073"/>
    <w:rsid w:val="3C7C729D"/>
    <w:rsid w:val="3D567E34"/>
    <w:rsid w:val="3DDD7708"/>
    <w:rsid w:val="3E52684D"/>
    <w:rsid w:val="3ECA0FAD"/>
    <w:rsid w:val="3FDD483D"/>
    <w:rsid w:val="405114B5"/>
    <w:rsid w:val="40BF3064"/>
    <w:rsid w:val="41641ED3"/>
    <w:rsid w:val="41861317"/>
    <w:rsid w:val="4211533C"/>
    <w:rsid w:val="424C7C04"/>
    <w:rsid w:val="425274F0"/>
    <w:rsid w:val="432A44B1"/>
    <w:rsid w:val="438A0837"/>
    <w:rsid w:val="43D17E68"/>
    <w:rsid w:val="43E33838"/>
    <w:rsid w:val="43EB7685"/>
    <w:rsid w:val="44365656"/>
    <w:rsid w:val="44603EAF"/>
    <w:rsid w:val="447F0464"/>
    <w:rsid w:val="44AF4D57"/>
    <w:rsid w:val="450E574D"/>
    <w:rsid w:val="45305B8A"/>
    <w:rsid w:val="45D03C10"/>
    <w:rsid w:val="45D67D64"/>
    <w:rsid w:val="45EE6198"/>
    <w:rsid w:val="467156C6"/>
    <w:rsid w:val="46815F57"/>
    <w:rsid w:val="48525564"/>
    <w:rsid w:val="48FA7091"/>
    <w:rsid w:val="497F4D77"/>
    <w:rsid w:val="4AA10E36"/>
    <w:rsid w:val="4C46376A"/>
    <w:rsid w:val="4EC62C8B"/>
    <w:rsid w:val="51DE6564"/>
    <w:rsid w:val="52133DD4"/>
    <w:rsid w:val="52571274"/>
    <w:rsid w:val="52616671"/>
    <w:rsid w:val="52913A78"/>
    <w:rsid w:val="52BD1126"/>
    <w:rsid w:val="531D7C5C"/>
    <w:rsid w:val="54542E1C"/>
    <w:rsid w:val="554F33F0"/>
    <w:rsid w:val="55E211AF"/>
    <w:rsid w:val="55E32A1C"/>
    <w:rsid w:val="56633896"/>
    <w:rsid w:val="567517D3"/>
    <w:rsid w:val="56CC1AC5"/>
    <w:rsid w:val="57AD2A15"/>
    <w:rsid w:val="582C651D"/>
    <w:rsid w:val="59260244"/>
    <w:rsid w:val="59906C52"/>
    <w:rsid w:val="59B9510A"/>
    <w:rsid w:val="5B8D4E58"/>
    <w:rsid w:val="5CD95A35"/>
    <w:rsid w:val="5D060B6D"/>
    <w:rsid w:val="5D177188"/>
    <w:rsid w:val="5F517AC2"/>
    <w:rsid w:val="5FA55663"/>
    <w:rsid w:val="606C1FF9"/>
    <w:rsid w:val="61FA4C81"/>
    <w:rsid w:val="6241019E"/>
    <w:rsid w:val="626B2BC8"/>
    <w:rsid w:val="633234CF"/>
    <w:rsid w:val="63F03AA6"/>
    <w:rsid w:val="644442D9"/>
    <w:rsid w:val="653E4EA9"/>
    <w:rsid w:val="663C1A0D"/>
    <w:rsid w:val="669464C0"/>
    <w:rsid w:val="67AE693B"/>
    <w:rsid w:val="68AD6EE8"/>
    <w:rsid w:val="6934331D"/>
    <w:rsid w:val="69361377"/>
    <w:rsid w:val="6AC73283"/>
    <w:rsid w:val="6B4665DD"/>
    <w:rsid w:val="6C170975"/>
    <w:rsid w:val="6C992049"/>
    <w:rsid w:val="6E154669"/>
    <w:rsid w:val="6EC804D3"/>
    <w:rsid w:val="706B361B"/>
    <w:rsid w:val="708F0943"/>
    <w:rsid w:val="70DC62C7"/>
    <w:rsid w:val="71434477"/>
    <w:rsid w:val="71B753FB"/>
    <w:rsid w:val="73972979"/>
    <w:rsid w:val="744523D5"/>
    <w:rsid w:val="747C472A"/>
    <w:rsid w:val="74A67272"/>
    <w:rsid w:val="74D30D14"/>
    <w:rsid w:val="750000AA"/>
    <w:rsid w:val="756923C9"/>
    <w:rsid w:val="7577493F"/>
    <w:rsid w:val="757924D0"/>
    <w:rsid w:val="7661253D"/>
    <w:rsid w:val="788860C0"/>
    <w:rsid w:val="7933489B"/>
    <w:rsid w:val="797D4D5A"/>
    <w:rsid w:val="79C93160"/>
    <w:rsid w:val="79DD01CC"/>
    <w:rsid w:val="79F71A7C"/>
    <w:rsid w:val="7BB71527"/>
    <w:rsid w:val="7C4F2857"/>
    <w:rsid w:val="7CAB1CA9"/>
    <w:rsid w:val="7D2D0BE9"/>
    <w:rsid w:val="7E0B13C7"/>
    <w:rsid w:val="7EB10C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3"/>
    <w:basedOn w:val="1"/>
    <w:next w:val="1"/>
    <w:qFormat/>
    <w:uiPriority w:val="0"/>
    <w:pPr>
      <w:keepNext/>
      <w:keepLines/>
      <w:spacing w:line="360" w:lineRule="auto"/>
      <w:outlineLvl w:val="2"/>
    </w:pPr>
    <w:rPr>
      <w:b/>
      <w:bCs/>
      <w:sz w:val="24"/>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99"/>
    <w:pPr>
      <w:spacing w:before="240" w:after="60"/>
      <w:jc w:val="center"/>
      <w:outlineLvl w:val="0"/>
    </w:pPr>
    <w:rPr>
      <w:rFonts w:ascii="Cambria" w:hAnsi="Cambria" w:cs="Cambria"/>
      <w:b/>
      <w:bCs/>
      <w:sz w:val="32"/>
      <w:szCs w:val="32"/>
    </w:rPr>
  </w:style>
  <w:style w:type="paragraph" w:styleId="5">
    <w:name w:val="Normal Indent"/>
    <w:basedOn w:val="1"/>
    <w:next w:val="1"/>
    <w:qFormat/>
    <w:uiPriority w:val="0"/>
    <w:pPr>
      <w:ind w:firstLine="420"/>
    </w:pPr>
    <w:rPr>
      <w:szCs w:val="20"/>
    </w:rPr>
  </w:style>
  <w:style w:type="paragraph" w:styleId="6">
    <w:name w:val="toa heading"/>
    <w:basedOn w:val="1"/>
    <w:next w:val="1"/>
    <w:qFormat/>
    <w:uiPriority w:val="0"/>
    <w:rPr>
      <w:rFonts w:ascii="Arial" w:hAnsi="Arial"/>
      <w:sz w:val="24"/>
      <w:szCs w:val="20"/>
    </w:rPr>
  </w:style>
  <w:style w:type="paragraph" w:styleId="7">
    <w:name w:val="Body Text"/>
    <w:basedOn w:val="1"/>
    <w:next w:val="1"/>
    <w:semiHidden/>
    <w:qFormat/>
    <w:uiPriority w:val="0"/>
    <w:pPr>
      <w:autoSpaceDE w:val="0"/>
      <w:autoSpaceDN w:val="0"/>
      <w:adjustRightInd w:val="0"/>
      <w:spacing w:before="40" w:after="40" w:line="320" w:lineRule="atLeast"/>
      <w:ind w:firstLine="357"/>
      <w:textAlignment w:val="baseline"/>
    </w:pPr>
    <w:rPr>
      <w:sz w:val="18"/>
    </w:rPr>
  </w:style>
  <w:style w:type="paragraph" w:styleId="8">
    <w:name w:val="Plain Text"/>
    <w:basedOn w:val="1"/>
    <w:next w:val="1"/>
    <w:qFormat/>
    <w:uiPriority w:val="0"/>
    <w:rPr>
      <w:rFonts w:ascii="宋体" w:hAnsi="Courier New"/>
      <w:szCs w:val="21"/>
    </w:rPr>
  </w:style>
  <w:style w:type="paragraph" w:styleId="9">
    <w:name w:val="Body Text Indent 2"/>
    <w:basedOn w:val="1"/>
    <w:qFormat/>
    <w:uiPriority w:val="0"/>
    <w:pPr>
      <w:spacing w:line="540" w:lineRule="exact"/>
      <w:ind w:firstLine="720" w:firstLineChars="225"/>
      <w:jc w:val="left"/>
    </w:pPr>
    <w:rPr>
      <w:rFonts w:ascii="仿宋_GB2312" w:eastAsia="仿宋_GB2312"/>
      <w:sz w:val="32"/>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qFormat/>
    <w:uiPriority w:val="0"/>
    <w:pPr>
      <w:snapToGrid w:val="0"/>
      <w:jc w:val="left"/>
    </w:pPr>
    <w:rPr>
      <w:sz w:val="18"/>
    </w:rPr>
  </w:style>
  <w:style w:type="paragraph" w:styleId="14">
    <w:name w:val="Body Text Indent 3"/>
    <w:basedOn w:val="1"/>
    <w:unhideWhenUsed/>
    <w:qFormat/>
    <w:uiPriority w:val="0"/>
    <w:pPr>
      <w:spacing w:after="120"/>
      <w:ind w:left="420" w:leftChars="200"/>
    </w:pPr>
    <w:rPr>
      <w:sz w:val="16"/>
      <w:szCs w:val="16"/>
    </w:rPr>
  </w:style>
  <w:style w:type="paragraph" w:styleId="15">
    <w:name w:val="Normal (Web)"/>
    <w:basedOn w:val="1"/>
    <w:qFormat/>
    <w:uiPriority w:val="0"/>
    <w:pPr>
      <w:widowControl/>
      <w:spacing w:beforeAutospacing="1" w:afterAutospacing="1"/>
      <w:jc w:val="left"/>
    </w:pPr>
    <w:rPr>
      <w:rFonts w:ascii="宋体" w:hAnsi="宋体" w:cs="宋体"/>
      <w:kern w:val="0"/>
      <w:sz w:val="2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paragraph" w:customStyle="1" w:styleId="21">
    <w:name w:val="Body Text Indent 21"/>
    <w:basedOn w:val="1"/>
    <w:qFormat/>
    <w:uiPriority w:val="99"/>
    <w:pPr>
      <w:widowControl/>
      <w:spacing w:line="480" w:lineRule="atLeast"/>
      <w:ind w:firstLine="480"/>
    </w:pPr>
    <w:rPr>
      <w:rFonts w:ascii="宋体"/>
      <w:kern w:val="0"/>
      <w:sz w:val="24"/>
      <w:szCs w:val="20"/>
    </w:rPr>
  </w:style>
  <w:style w:type="paragraph" w:customStyle="1" w:styleId="22">
    <w:name w:val="缺省文本"/>
    <w:basedOn w:val="1"/>
    <w:qFormat/>
    <w:uiPriority w:val="0"/>
    <w:pPr>
      <w:autoSpaceDE w:val="0"/>
      <w:autoSpaceDN w:val="0"/>
      <w:adjustRightInd w:val="0"/>
      <w:jc w:val="left"/>
    </w:pPr>
    <w:rPr>
      <w:kern w:val="0"/>
      <w:sz w:val="24"/>
      <w:szCs w:val="20"/>
    </w:rPr>
  </w:style>
  <w:style w:type="paragraph" w:customStyle="1" w:styleId="23">
    <w:name w:val="_Style 9"/>
    <w:basedOn w:val="1"/>
    <w:qFormat/>
    <w:uiPriority w:val="0"/>
    <w:pPr>
      <w:ind w:firstLine="420" w:firstLineChars="200"/>
    </w:pPr>
  </w:style>
  <w:style w:type="paragraph" w:styleId="24">
    <w:name w:val="List Paragraph"/>
    <w:basedOn w:val="1"/>
    <w:qFormat/>
    <w:uiPriority w:val="0"/>
    <w:pPr>
      <w:ind w:firstLine="420" w:firstLineChars="200"/>
    </w:pPr>
  </w:style>
  <w:style w:type="paragraph" w:customStyle="1" w:styleId="25">
    <w:name w:val="Table Paragraph"/>
    <w:basedOn w:val="1"/>
    <w:qFormat/>
    <w:uiPriority w:val="1"/>
    <w:pPr>
      <w:jc w:val="left"/>
    </w:pPr>
    <w:rPr>
      <w:rFonts w:ascii="Calibri" w:hAnsi="Calibri"/>
      <w:kern w:val="0"/>
      <w:sz w:val="22"/>
      <w:szCs w:val="22"/>
      <w:lang w:eastAsia="en-US"/>
    </w:rPr>
  </w:style>
  <w:style w:type="paragraph" w:styleId="2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7">
    <w:name w:val="不明显参考1"/>
    <w:basedOn w:val="18"/>
    <w:qFormat/>
    <w:uiPriority w:val="31"/>
    <w:rPr>
      <w:smallCaps/>
      <w:color w:val="595959" w:themeColor="text1" w:themeTint="A6"/>
      <w14:textFill>
        <w14:solidFill>
          <w14:schemeClr w14:val="tx1">
            <w14:lumMod w14:val="65000"/>
            <w14:lumOff w14:val="35000"/>
          </w14:schemeClr>
        </w14:solidFill>
      </w14:textFill>
    </w:rPr>
  </w:style>
  <w:style w:type="paragraph" w:customStyle="1" w:styleId="28">
    <w:name w:val="正文11"/>
    <w:qFormat/>
    <w:uiPriority w:val="0"/>
    <w:rPr>
      <w:rFonts w:ascii="Calibri" w:hAnsi="Calibri" w:eastAsia="Times New Roman" w:cs="Times New Roman"/>
      <w:sz w:val="24"/>
      <w:szCs w:val="24"/>
      <w:lang w:val="en-US" w:eastAsia="zh-CN" w:bidi="ar-SA"/>
    </w:rPr>
  </w:style>
  <w:style w:type="paragraph" w:customStyle="1" w:styleId="29">
    <w:name w:val="列出段落1"/>
    <w:basedOn w:val="1"/>
    <w:qFormat/>
    <w:uiPriority w:val="34"/>
    <w:pPr>
      <w:ind w:firstLine="420" w:firstLineChars="200"/>
    </w:pPr>
  </w:style>
  <w:style w:type="paragraph" w:customStyle="1" w:styleId="30">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
    <w:name w:val="正文缩进1"/>
    <w:basedOn w:val="1"/>
    <w:qFormat/>
    <w:uiPriority w:val="0"/>
    <w:pPr>
      <w:ind w:firstLine="420" w:firstLineChars="200"/>
    </w:pPr>
  </w:style>
  <w:style w:type="paragraph" w:customStyle="1" w:styleId="32">
    <w:name w:val="È±Ê¡ÎÄ±¾"/>
    <w:basedOn w:val="1"/>
    <w:qFormat/>
    <w:uiPriority w:val="0"/>
    <w:pPr>
      <w:widowControl/>
      <w:overflowPunct w:val="0"/>
      <w:autoSpaceDE w:val="0"/>
      <w:autoSpaceDN w:val="0"/>
      <w:adjustRightInd w:val="0"/>
      <w:jc w:val="left"/>
      <w:textAlignment w:val="baseline"/>
    </w:pPr>
    <w:rPr>
      <w:kern w:val="0"/>
      <w:sz w:val="24"/>
      <w:szCs w:val="20"/>
    </w:rPr>
  </w:style>
  <w:style w:type="table" w:customStyle="1" w:styleId="33">
    <w:name w:val="Table Normal"/>
    <w:semiHidden/>
    <w:unhideWhenUsed/>
    <w:qFormat/>
    <w:uiPriority w:val="2"/>
    <w:tblPr>
      <w:tblCellMar>
        <w:top w:w="0" w:type="dxa"/>
        <w:left w:w="0" w:type="dxa"/>
        <w:bottom w:w="0" w:type="dxa"/>
        <w:right w:w="0" w:type="dxa"/>
      </w:tblCellMar>
    </w:tblPr>
  </w:style>
  <w:style w:type="character" w:customStyle="1" w:styleId="34">
    <w:name w:val="页码1"/>
    <w:basedOn w:val="18"/>
    <w:qFormat/>
    <w:uiPriority w:val="0"/>
  </w:style>
  <w:style w:type="paragraph" w:customStyle="1" w:styleId="35">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427</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2021-08-09T06:36:00Z</dcterms:created>
  <dc:creator>鑫淼</dc:creator>
  <cp:lastModifiedBy>鑫淼</cp:lastModifiedBy>
  <cp:lastPrinted>2022-01-12T09:37:00Z</cp:lastPrinted>
  <dcterms:modified xsi:type="dcterms:W3CDTF">2022-01-18T08:39:09Z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364EC825E68A4BED9BB1F488CE0E9ED6</vt:lpwstr>
  </property>
</Properties>
</file>