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spacing w:line="240" w:lineRule="atLeast"/>
        <w:rPr>
          <w:rFonts w:ascii="仿宋" w:hAnsi="仿宋" w:eastAsia="仿宋" w:cs="仿宋"/>
          <w:bCs/>
          <w:sz w:val="28"/>
          <w:szCs w:val="28"/>
        </w:rPr>
      </w:pPr>
      <w:r>
        <w:rPr>
          <w:rFonts w:hint="eastAsia" w:ascii="仿宋" w:hAnsi="仿宋" w:eastAsia="仿宋" w:cs="仿宋"/>
          <w:bCs/>
          <w:sz w:val="28"/>
          <w:szCs w:val="28"/>
        </w:rPr>
        <w:t xml:space="preserve">                   </w:t>
      </w:r>
    </w:p>
    <w:p>
      <w:pPr>
        <w:pageBreakBefore w:val="0"/>
        <w:kinsoku/>
        <w:wordWrap w:val="0"/>
        <w:overflowPunct/>
        <w:topLinePunct w:val="0"/>
        <w:bidi w:val="0"/>
        <w:spacing w:line="240" w:lineRule="atLeast"/>
        <w:jc w:val="left"/>
        <w:rPr>
          <w:rFonts w:ascii="仿宋" w:hAnsi="仿宋" w:eastAsia="仿宋" w:cs="仿宋"/>
          <w:b/>
          <w:sz w:val="52"/>
          <w:szCs w:val="52"/>
        </w:rPr>
      </w:pPr>
    </w:p>
    <w:p>
      <w:pPr>
        <w:pageBreakBefore w:val="0"/>
        <w:widowControl/>
        <w:kinsoku/>
        <w:wordWrap w:val="0"/>
        <w:overflowPunct/>
        <w:topLinePunct w:val="0"/>
        <w:bidi w:val="0"/>
        <w:jc w:val="center"/>
        <w:rPr>
          <w:rFonts w:ascii="仿宋" w:hAnsi="仿宋" w:eastAsia="仿宋" w:cs="仿宋"/>
        </w:rPr>
      </w:pPr>
      <w:r>
        <w:rPr>
          <w:rFonts w:hint="eastAsia" w:ascii="仿宋" w:hAnsi="仿宋" w:eastAsia="仿宋" w:cs="仿宋"/>
          <w:b/>
          <w:sz w:val="48"/>
          <w:szCs w:val="48"/>
        </w:rPr>
        <w:t>伊吾县北山胜利峰崩塌泥石流防治工程</w:t>
      </w:r>
    </w:p>
    <w:p>
      <w:pPr>
        <w:pageBreakBefore w:val="0"/>
        <w:widowControl/>
        <w:kinsoku/>
        <w:wordWrap w:val="0"/>
        <w:overflowPunct/>
        <w:topLinePunct w:val="0"/>
        <w:bidi w:val="0"/>
        <w:jc w:val="left"/>
        <w:rPr>
          <w:rFonts w:ascii="仿宋" w:hAnsi="仿宋" w:eastAsia="仿宋" w:cs="仿宋"/>
        </w:rPr>
      </w:pPr>
    </w:p>
    <w:p>
      <w:pPr>
        <w:pageBreakBefore w:val="0"/>
        <w:widowControl/>
        <w:kinsoku/>
        <w:wordWrap w:val="0"/>
        <w:overflowPunct/>
        <w:topLinePunct w:val="0"/>
        <w:bidi w:val="0"/>
        <w:jc w:val="left"/>
        <w:rPr>
          <w:rFonts w:ascii="仿宋" w:hAnsi="仿宋" w:eastAsia="仿宋" w:cs="仿宋"/>
        </w:rPr>
      </w:pPr>
    </w:p>
    <w:p>
      <w:pPr>
        <w:pStyle w:val="2"/>
        <w:pageBreakBefore w:val="0"/>
        <w:kinsoku/>
        <w:wordWrap w:val="0"/>
        <w:overflowPunct/>
        <w:topLinePunct w:val="0"/>
        <w:bidi w:val="0"/>
        <w:ind w:firstLine="480"/>
      </w:pPr>
    </w:p>
    <w:p>
      <w:pPr>
        <w:pageBreakBefore w:val="0"/>
        <w:kinsoku/>
        <w:wordWrap w:val="0"/>
        <w:overflowPunct/>
        <w:topLinePunct w:val="0"/>
        <w:bidi w:val="0"/>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pageBreakBefore w:val="0"/>
        <w:kinsoku/>
        <w:wordWrap w:val="0"/>
        <w:overflowPunct/>
        <w:topLinePunct w:val="0"/>
        <w:bidi w:val="0"/>
        <w:spacing w:line="240" w:lineRule="atLeast"/>
        <w:ind w:left="1079" w:leftChars="257" w:hanging="540"/>
        <w:jc w:val="center"/>
        <w:rPr>
          <w:rFonts w:ascii="仿宋" w:hAnsi="仿宋" w:eastAsia="仿宋" w:cs="仿宋"/>
          <w:bCs/>
          <w:sz w:val="52"/>
          <w:szCs w:val="52"/>
        </w:rPr>
      </w:pPr>
    </w:p>
    <w:p>
      <w:pPr>
        <w:pageBreakBefore w:val="0"/>
        <w:kinsoku/>
        <w:wordWrap w:val="0"/>
        <w:overflowPunct/>
        <w:topLinePunct w:val="0"/>
        <w:bidi w:val="0"/>
        <w:spacing w:line="240" w:lineRule="atLeast"/>
        <w:ind w:left="1079" w:leftChars="257" w:hanging="540"/>
        <w:jc w:val="center"/>
        <w:rPr>
          <w:rFonts w:ascii="仿宋" w:hAnsi="仿宋" w:eastAsia="仿宋" w:cs="仿宋"/>
          <w:bCs/>
          <w:sz w:val="32"/>
          <w:szCs w:val="32"/>
        </w:rPr>
      </w:pPr>
      <w:r>
        <w:rPr>
          <w:rFonts w:hint="eastAsia" w:ascii="仿宋" w:hAnsi="仿宋" w:eastAsia="仿宋" w:cs="仿宋"/>
          <w:bCs/>
          <w:sz w:val="32"/>
          <w:szCs w:val="32"/>
        </w:rPr>
        <w:t>（项目编号：XJZYZB2022-H009-01至02）</w:t>
      </w:r>
    </w:p>
    <w:p>
      <w:pPr>
        <w:pageBreakBefore w:val="0"/>
        <w:kinsoku/>
        <w:wordWrap w:val="0"/>
        <w:overflowPunct/>
        <w:topLinePunct w:val="0"/>
        <w:bidi w:val="0"/>
        <w:spacing w:line="240" w:lineRule="atLeast"/>
        <w:ind w:left="1079" w:leftChars="257" w:hanging="540"/>
        <w:jc w:val="center"/>
        <w:rPr>
          <w:rFonts w:ascii="仿宋" w:hAnsi="仿宋" w:eastAsia="仿宋" w:cs="仿宋"/>
          <w:b/>
          <w:sz w:val="32"/>
          <w:szCs w:val="32"/>
        </w:rPr>
      </w:pPr>
    </w:p>
    <w:p>
      <w:pPr>
        <w:pageBreakBefore w:val="0"/>
        <w:kinsoku/>
        <w:wordWrap w:val="0"/>
        <w:overflowPunct/>
        <w:topLinePunct w:val="0"/>
        <w:bidi w:val="0"/>
        <w:spacing w:line="240" w:lineRule="atLeast"/>
        <w:ind w:left="1078" w:leftChars="257" w:hanging="539"/>
        <w:jc w:val="center"/>
        <w:outlineLvl w:val="0"/>
        <w:rPr>
          <w:rFonts w:ascii="仿宋" w:hAnsi="仿宋" w:eastAsia="仿宋" w:cs="仿宋"/>
          <w:b/>
          <w:sz w:val="36"/>
          <w:szCs w:val="36"/>
        </w:rPr>
      </w:pPr>
      <w:r>
        <w:rPr>
          <w:rFonts w:hint="eastAsia" w:ascii="仿宋" w:hAnsi="仿宋" w:eastAsia="仿宋" w:cs="仿宋"/>
          <w:b/>
          <w:sz w:val="36"/>
          <w:szCs w:val="36"/>
        </w:rPr>
        <w:t>第一册</w:t>
      </w:r>
    </w:p>
    <w:p>
      <w:pPr>
        <w:pageBreakBefore w:val="0"/>
        <w:kinsoku/>
        <w:wordWrap w:val="0"/>
        <w:overflowPunct/>
        <w:topLinePunct w:val="0"/>
        <w:bidi w:val="0"/>
        <w:spacing w:line="240" w:lineRule="atLeast"/>
        <w:ind w:left="1079" w:leftChars="257" w:hanging="540"/>
        <w:jc w:val="center"/>
        <w:rPr>
          <w:rFonts w:ascii="仿宋" w:hAnsi="仿宋" w:eastAsia="仿宋" w:cs="仿宋"/>
          <w:b/>
          <w:sz w:val="52"/>
        </w:rPr>
      </w:pPr>
    </w:p>
    <w:p>
      <w:pPr>
        <w:pageBreakBefore w:val="0"/>
        <w:kinsoku/>
        <w:wordWrap w:val="0"/>
        <w:overflowPunct/>
        <w:topLinePunct w:val="0"/>
        <w:bidi w:val="0"/>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伊吾县自然资源局</w:t>
      </w:r>
    </w:p>
    <w:p>
      <w:pPr>
        <w:pageBreakBefore w:val="0"/>
        <w:kinsoku/>
        <w:wordWrap w:val="0"/>
        <w:overflowPunct/>
        <w:topLinePunct w:val="0"/>
        <w:bidi w:val="0"/>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rPr>
        <w:t>新疆中业建设工程项目管理有限公司</w:t>
      </w:r>
    </w:p>
    <w:p>
      <w:pPr>
        <w:pageBreakBefore w:val="0"/>
        <w:kinsoku/>
        <w:wordWrap w:val="0"/>
        <w:overflowPunct/>
        <w:topLinePunct w:val="0"/>
        <w:bidi w:val="0"/>
        <w:spacing w:line="600" w:lineRule="exact"/>
        <w:ind w:firstLine="837" w:firstLineChars="299"/>
        <w:rPr>
          <w:rFonts w:ascii="仿宋" w:hAnsi="仿宋" w:eastAsia="仿宋" w:cs="仿宋"/>
          <w:b/>
          <w:sz w:val="28"/>
          <w:szCs w:val="28"/>
        </w:rPr>
      </w:pPr>
      <w:r>
        <w:rPr>
          <w:rFonts w:hint="eastAsia" w:ascii="仿宋" w:hAnsi="仿宋" w:eastAsia="仿宋" w:cs="仿宋"/>
          <w:sz w:val="28"/>
          <w:szCs w:val="28"/>
        </w:rPr>
        <w:t>发出日期：</w:t>
      </w:r>
      <w:r>
        <w:rPr>
          <w:rFonts w:hint="eastAsia" w:ascii="仿宋" w:hAnsi="仿宋" w:eastAsia="仿宋" w:cs="仿宋"/>
          <w:sz w:val="28"/>
          <w:szCs w:val="28"/>
          <w:u w:val="single"/>
        </w:rPr>
        <w:t>2022年2月</w:t>
      </w:r>
    </w:p>
    <w:p>
      <w:pPr>
        <w:pageBreakBefore w:val="0"/>
        <w:kinsoku/>
        <w:wordWrap w:val="0"/>
        <w:overflowPunct/>
        <w:topLinePunct w:val="0"/>
        <w:bidi w:val="0"/>
        <w:spacing w:line="240" w:lineRule="atLeast"/>
        <w:ind w:left="1079" w:leftChars="257" w:hanging="540"/>
        <w:rPr>
          <w:rFonts w:ascii="仿宋" w:hAnsi="仿宋" w:eastAsia="仿宋" w:cs="仿宋"/>
          <w:b/>
          <w:szCs w:val="21"/>
        </w:rPr>
      </w:pPr>
    </w:p>
    <w:p>
      <w:pPr>
        <w:pageBreakBefore w:val="0"/>
        <w:kinsoku/>
        <w:wordWrap w:val="0"/>
        <w:overflowPunct/>
        <w:topLinePunct w:val="0"/>
        <w:bidi w:val="0"/>
        <w:spacing w:line="240" w:lineRule="atLeast"/>
        <w:ind w:left="1079" w:leftChars="257" w:hanging="540"/>
        <w:jc w:val="center"/>
        <w:rPr>
          <w:rFonts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ageBreakBefore w:val="0"/>
        <w:kinsoku/>
        <w:wordWrap w:val="0"/>
        <w:overflowPunct/>
        <w:topLinePunct w:val="0"/>
        <w:bidi w:val="0"/>
        <w:spacing w:line="240" w:lineRule="atLeast"/>
        <w:ind w:left="1079" w:leftChars="257" w:hanging="540"/>
        <w:jc w:val="center"/>
        <w:rPr>
          <w:rFonts w:ascii="仿宋" w:hAnsi="仿宋" w:eastAsia="仿宋" w:cs="仿宋"/>
          <w:b/>
          <w:sz w:val="32"/>
        </w:rPr>
      </w:pPr>
    </w:p>
    <w:p>
      <w:pPr>
        <w:pStyle w:val="23"/>
        <w:pageBreakBefore w:val="0"/>
        <w:tabs>
          <w:tab w:val="right" w:leader="dot" w:pos="8312"/>
        </w:tabs>
        <w:kinsoku/>
        <w:wordWrap w:val="0"/>
        <w:overflowPunct/>
        <w:topLinePunct w:val="0"/>
        <w:bidi w:val="0"/>
        <w:rPr>
          <w:rFonts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fldChar w:fldCharType="begin"/>
      </w:r>
      <w:r>
        <w:instrText xml:space="preserve"> HYPERLINK \l "_Toc9228" </w:instrText>
      </w:r>
      <w:r>
        <w:fldChar w:fldCharType="separate"/>
      </w:r>
      <w:r>
        <w:rPr>
          <w:rFonts w:hint="eastAsia" w:ascii="仿宋" w:hAnsi="仿宋" w:eastAsia="仿宋" w:cs="仿宋"/>
        </w:rPr>
        <w:t>第1章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_Toc9228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"_Toc9485" </w:instrText>
      </w:r>
      <w:r>
        <w:fldChar w:fldCharType="separate"/>
      </w:r>
      <w:r>
        <w:rPr>
          <w:rFonts w:hint="eastAsia" w:ascii="仿宋" w:hAnsi="仿宋" w:eastAsia="仿宋" w:cs="仿宋"/>
        </w:rPr>
        <w:t>一   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_Toc9485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"_Toc12013" </w:instrText>
      </w:r>
      <w:r>
        <w:fldChar w:fldCharType="separate"/>
      </w:r>
      <w:r>
        <w:rPr>
          <w:rFonts w:hint="eastAsia" w:ascii="仿宋" w:hAnsi="仿宋" w:eastAsia="仿宋" w:cs="仿宋"/>
        </w:rPr>
        <w:t>1.采购人、采购代理机构及投标人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_Toc12013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"_Toc2643" </w:instrText>
      </w:r>
      <w:r>
        <w:fldChar w:fldCharType="separate"/>
      </w:r>
      <w:r>
        <w:rPr>
          <w:rFonts w:hint="eastAsia" w:ascii="仿宋" w:hAnsi="仿宋" w:eastAsia="仿宋" w:cs="仿宋"/>
        </w:rPr>
        <w:t>2.资金来源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_Toc2643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"_Toc28166" </w:instrText>
      </w:r>
      <w:r>
        <w:fldChar w:fldCharType="separate"/>
      </w:r>
      <w:r>
        <w:rPr>
          <w:rFonts w:hint="eastAsia" w:ascii="仿宋" w:hAnsi="仿宋" w:eastAsia="仿宋" w:cs="仿宋"/>
        </w:rPr>
        <w:t>3.投标费用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_Toc28166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"_Toc32365" </w:instrText>
      </w:r>
      <w:r>
        <w:fldChar w:fldCharType="separate"/>
      </w:r>
      <w:r>
        <w:rPr>
          <w:rFonts w:hint="eastAsia" w:ascii="仿宋" w:hAnsi="仿宋" w:eastAsia="仿宋" w:cs="仿宋"/>
        </w:rPr>
        <w:t>4.适用法律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_Toc32365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"_Toc809" </w:instrText>
      </w:r>
      <w:r>
        <w:fldChar w:fldCharType="separate"/>
      </w:r>
      <w:r>
        <w:rPr>
          <w:rFonts w:hint="eastAsia" w:ascii="仿宋" w:hAnsi="仿宋" w:eastAsia="仿宋" w:cs="仿宋"/>
        </w:rPr>
        <w:t>二   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_Toc809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"_Toc22990" </w:instrText>
      </w:r>
      <w:r>
        <w:fldChar w:fldCharType="separate"/>
      </w:r>
      <w:r>
        <w:rPr>
          <w:rFonts w:hint="eastAsia" w:ascii="仿宋" w:hAnsi="仿宋" w:eastAsia="仿宋" w:cs="仿宋"/>
        </w:rPr>
        <w:t>5.招标文件构成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_Toc22990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"_Toc21314" </w:instrText>
      </w:r>
      <w:r>
        <w:fldChar w:fldCharType="separate"/>
      </w:r>
      <w:r>
        <w:rPr>
          <w:rFonts w:hint="eastAsia" w:ascii="仿宋" w:hAnsi="仿宋" w:eastAsia="仿宋" w:cs="仿宋"/>
        </w:rPr>
        <w:t>6.招标文件的澄清与修改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_Toc21314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"_Toc10994" </w:instrText>
      </w:r>
      <w:r>
        <w:fldChar w:fldCharType="separate"/>
      </w:r>
      <w:r>
        <w:rPr>
          <w:rFonts w:hint="eastAsia" w:ascii="仿宋" w:hAnsi="仿宋" w:eastAsia="仿宋" w:cs="仿宋"/>
        </w:rPr>
        <w:t>7.投标截止时间的顺延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_Toc10994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"_Toc25389" </w:instrText>
      </w:r>
      <w:r>
        <w:fldChar w:fldCharType="separate"/>
      </w:r>
      <w:r>
        <w:rPr>
          <w:rFonts w:hint="eastAsia" w:ascii="仿宋" w:hAnsi="仿宋" w:eastAsia="仿宋" w:cs="仿宋"/>
        </w:rPr>
        <w:t>三   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_Toc25389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pos="3600"/>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"_Toc6728" </w:instrText>
      </w:r>
      <w:r>
        <w:fldChar w:fldCharType="separate"/>
      </w:r>
      <w:r>
        <w:rPr>
          <w:rFonts w:hint="eastAsia" w:ascii="仿宋" w:hAnsi="仿宋" w:eastAsia="仿宋" w:cs="仿宋"/>
        </w:rPr>
        <w:t>8.</w:t>
      </w:r>
      <w:r>
        <w:rPr>
          <w:rFonts w:hint="eastAsia" w:ascii="仿宋" w:hAnsi="仿宋" w:eastAsia="仿宋" w:cs="仿宋"/>
        </w:rPr>
        <w:tab/>
      </w:r>
      <w:r>
        <w:rPr>
          <w:rFonts w:hint="eastAsia" w:ascii="仿宋" w:hAnsi="仿宋" w:eastAsia="仿宋" w:cs="仿宋"/>
        </w:rPr>
        <w:t>投标范围及投标文件中标准和计量单位的使用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_Toc6728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"_Toc15487" </w:instrText>
      </w:r>
      <w:r>
        <w:fldChar w:fldCharType="separate"/>
      </w:r>
      <w:r>
        <w:rPr>
          <w:rFonts w:hint="eastAsia" w:ascii="仿宋" w:hAnsi="仿宋" w:eastAsia="仿宋" w:cs="仿宋"/>
        </w:rPr>
        <w:t>9.投标文件构成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_Toc15487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pos="3600"/>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"_Toc2671" </w:instrText>
      </w:r>
      <w:r>
        <w:fldChar w:fldCharType="separate"/>
      </w:r>
      <w:r>
        <w:rPr>
          <w:rFonts w:hint="eastAsia" w:ascii="仿宋" w:hAnsi="仿宋" w:eastAsia="仿宋" w:cs="仿宋"/>
        </w:rPr>
        <w:t>10.</w:t>
      </w:r>
      <w:r>
        <w:rPr>
          <w:rFonts w:hint="eastAsia" w:ascii="仿宋" w:hAnsi="仿宋" w:eastAsia="仿宋" w:cs="仿宋"/>
        </w:rPr>
        <w:tab/>
      </w:r>
      <w:r>
        <w:rPr>
          <w:rFonts w:hint="eastAsia" w:ascii="仿宋" w:hAnsi="仿宋" w:eastAsia="仿宋" w:cs="仿宋"/>
        </w:rPr>
        <w:t>证明投标标的的合格性和符合招标文件规定的投标文件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_Toc2671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"_Toc8529" </w:instrText>
      </w:r>
      <w:r>
        <w:fldChar w:fldCharType="separate"/>
      </w:r>
      <w:r>
        <w:rPr>
          <w:rFonts w:hint="eastAsia" w:ascii="仿宋" w:hAnsi="仿宋" w:eastAsia="仿宋" w:cs="仿宋"/>
        </w:rPr>
        <w:t>11.投标报价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_Toc8529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"_Toc16199" </w:instrText>
      </w:r>
      <w:r>
        <w:fldChar w:fldCharType="separate"/>
      </w:r>
      <w:r>
        <w:rPr>
          <w:rFonts w:hint="eastAsia" w:ascii="仿宋" w:hAnsi="仿宋" w:eastAsia="仿宋" w:cs="仿宋"/>
        </w:rPr>
        <w:t>12.投标保证金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_Toc16199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"_Toc20355" </w:instrText>
      </w:r>
      <w:r>
        <w:fldChar w:fldCharType="separate"/>
      </w:r>
      <w:r>
        <w:rPr>
          <w:rFonts w:hint="eastAsia" w:ascii="仿宋" w:hAnsi="仿宋" w:eastAsia="仿宋" w:cs="仿宋"/>
        </w:rPr>
        <w:t>13.投标有效期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_Toc20355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"_Toc27303" </w:instrText>
      </w:r>
      <w:r>
        <w:fldChar w:fldCharType="separate"/>
      </w:r>
      <w:r>
        <w:rPr>
          <w:rFonts w:hint="eastAsia" w:ascii="仿宋" w:hAnsi="仿宋" w:eastAsia="仿宋" w:cs="仿宋"/>
        </w:rPr>
        <w:t>14.投标文件的签署及规定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_Toc27303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"_Toc22303" </w:instrText>
      </w:r>
      <w:r>
        <w:fldChar w:fldCharType="separate"/>
      </w:r>
      <w:r>
        <w:rPr>
          <w:rFonts w:hint="eastAsia" w:ascii="仿宋" w:hAnsi="仿宋" w:eastAsia="仿宋" w:cs="仿宋"/>
        </w:rPr>
        <w:t>四   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_Toc22303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"_Toc13247" </w:instrText>
      </w:r>
      <w:r>
        <w:fldChar w:fldCharType="separate"/>
      </w:r>
      <w:r>
        <w:rPr>
          <w:rFonts w:hint="eastAsia" w:ascii="仿宋" w:hAnsi="仿宋" w:eastAsia="仿宋" w:cs="仿宋"/>
        </w:rPr>
        <w:t>15.投标文件的密封和标记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_Toc13247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"_Toc25787" </w:instrText>
      </w:r>
      <w:r>
        <w:fldChar w:fldCharType="separate"/>
      </w:r>
      <w:r>
        <w:rPr>
          <w:rFonts w:hint="eastAsia" w:ascii="仿宋" w:hAnsi="仿宋" w:eastAsia="仿宋" w:cs="仿宋"/>
        </w:rPr>
        <w:t>16.投标截止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_Toc25787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"_Toc13921" </w:instrText>
      </w:r>
      <w:r>
        <w:fldChar w:fldCharType="separate"/>
      </w:r>
      <w:r>
        <w:rPr>
          <w:rFonts w:hint="eastAsia" w:ascii="仿宋" w:hAnsi="仿宋" w:eastAsia="仿宋" w:cs="仿宋"/>
        </w:rPr>
        <w:t>17.投标文件的接收、修改与撤回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_Toc13921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"_Toc10257" </w:instrText>
      </w:r>
      <w:r>
        <w:fldChar w:fldCharType="separate"/>
      </w:r>
      <w:r>
        <w:rPr>
          <w:rFonts w:hint="eastAsia" w:ascii="仿宋" w:hAnsi="仿宋" w:eastAsia="仿宋" w:cs="仿宋"/>
        </w:rPr>
        <w:t>五   开标及评标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_Toc10257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"_Toc8653" </w:instrText>
      </w:r>
      <w:r>
        <w:fldChar w:fldCharType="separate"/>
      </w:r>
      <w:r>
        <w:rPr>
          <w:rFonts w:hint="eastAsia" w:ascii="仿宋" w:hAnsi="仿宋" w:eastAsia="仿宋" w:cs="仿宋"/>
        </w:rPr>
        <w:t>18.开标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_Toc8653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"_Toc34" </w:instrText>
      </w:r>
      <w:r>
        <w:fldChar w:fldCharType="separate"/>
      </w:r>
      <w:r>
        <w:rPr>
          <w:rFonts w:hint="eastAsia" w:ascii="仿宋" w:hAnsi="仿宋" w:eastAsia="仿宋" w:cs="仿宋"/>
        </w:rPr>
        <w:t>19.资格审查及组建评标委员会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"_Toc6842" </w:instrText>
      </w:r>
      <w:r>
        <w:fldChar w:fldCharType="separate"/>
      </w:r>
      <w:r>
        <w:rPr>
          <w:rFonts w:hint="eastAsia" w:ascii="仿宋" w:hAnsi="仿宋" w:eastAsia="仿宋" w:cs="仿宋"/>
        </w:rPr>
        <w:t>20.投标文件的符合性审查与澄清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_Toc6842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"_Toc8603" </w:instrText>
      </w:r>
      <w:r>
        <w:fldChar w:fldCharType="separate"/>
      </w:r>
      <w:r>
        <w:rPr>
          <w:rFonts w:hint="eastAsia" w:ascii="仿宋" w:hAnsi="仿宋" w:eastAsia="仿宋" w:cs="仿宋"/>
        </w:rPr>
        <w:t>21.投标偏离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_Toc8603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"_Toc25255" </w:instrText>
      </w:r>
      <w:r>
        <w:fldChar w:fldCharType="separate"/>
      </w:r>
      <w:r>
        <w:rPr>
          <w:rFonts w:hint="eastAsia" w:ascii="仿宋" w:hAnsi="仿宋" w:eastAsia="仿宋" w:cs="仿宋"/>
        </w:rPr>
        <w:t>22.投标无效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_Toc25255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"_Toc20835" </w:instrText>
      </w:r>
      <w:r>
        <w:fldChar w:fldCharType="separate"/>
      </w:r>
      <w:r>
        <w:rPr>
          <w:rFonts w:hint="eastAsia" w:ascii="仿宋" w:hAnsi="仿宋" w:eastAsia="仿宋" w:cs="仿宋"/>
        </w:rPr>
        <w:t>23.比较与评价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_Toc20835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"_Toc5823" </w:instrText>
      </w:r>
      <w:r>
        <w:fldChar w:fldCharType="separate"/>
      </w:r>
      <w:r>
        <w:rPr>
          <w:rFonts w:hint="eastAsia" w:ascii="仿宋" w:hAnsi="仿宋" w:eastAsia="仿宋" w:cs="仿宋"/>
        </w:rPr>
        <w:t>24.废标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_Toc5823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"_Toc23660" </w:instrText>
      </w:r>
      <w:r>
        <w:fldChar w:fldCharType="separate"/>
      </w:r>
      <w:r>
        <w:rPr>
          <w:rFonts w:hint="eastAsia" w:ascii="仿宋" w:hAnsi="仿宋" w:eastAsia="仿宋" w:cs="仿宋"/>
        </w:rPr>
        <w:t>25.保密原则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_Toc23660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"_Toc10964" </w:instrText>
      </w:r>
      <w:r>
        <w:fldChar w:fldCharType="separate"/>
      </w:r>
      <w:r>
        <w:rPr>
          <w:rFonts w:hint="eastAsia" w:ascii="仿宋" w:hAnsi="仿宋" w:eastAsia="仿宋" w:cs="仿宋"/>
        </w:rPr>
        <w:t>六   确定中标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_Toc10964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"_Toc32578" </w:instrText>
      </w:r>
      <w:r>
        <w:fldChar w:fldCharType="separate"/>
      </w:r>
      <w:r>
        <w:rPr>
          <w:rFonts w:hint="eastAsia" w:ascii="仿宋" w:hAnsi="仿宋" w:eastAsia="仿宋" w:cs="仿宋"/>
        </w:rPr>
        <w:t>26.中标候选人的确定原则及标准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_Toc32578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"_Toc10555" </w:instrText>
      </w:r>
      <w:r>
        <w:fldChar w:fldCharType="separate"/>
      </w:r>
      <w:r>
        <w:rPr>
          <w:rFonts w:hint="eastAsia" w:ascii="仿宋" w:hAnsi="仿宋" w:eastAsia="仿宋" w:cs="仿宋"/>
        </w:rPr>
        <w:t>27.确定中标候选人和中标人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_Toc10555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"_Toc17138" </w:instrText>
      </w:r>
      <w:r>
        <w:fldChar w:fldCharType="separate"/>
      </w:r>
      <w:r>
        <w:rPr>
          <w:rFonts w:hint="eastAsia" w:ascii="仿宋" w:hAnsi="仿宋" w:eastAsia="仿宋" w:cs="仿宋"/>
        </w:rPr>
        <w:t>28.采购任务取消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_Toc17138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"_Toc18072" </w:instrText>
      </w:r>
      <w:r>
        <w:fldChar w:fldCharType="separate"/>
      </w:r>
      <w:r>
        <w:rPr>
          <w:rFonts w:hint="eastAsia" w:ascii="仿宋" w:hAnsi="仿宋" w:eastAsia="仿宋" w:cs="仿宋"/>
        </w:rPr>
        <w:t>29.中标通知书和招标结果通知书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_Toc18072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"_Toc16952" </w:instrText>
      </w:r>
      <w:r>
        <w:fldChar w:fldCharType="separate"/>
      </w:r>
      <w:r>
        <w:rPr>
          <w:rFonts w:hint="eastAsia" w:ascii="仿宋" w:hAnsi="仿宋" w:eastAsia="仿宋" w:cs="仿宋"/>
        </w:rPr>
        <w:t>30.签订合同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_Toc16952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"_Toc4302" </w:instrText>
      </w:r>
      <w:r>
        <w:fldChar w:fldCharType="separate"/>
      </w:r>
      <w:r>
        <w:rPr>
          <w:rFonts w:hint="eastAsia" w:ascii="仿宋" w:hAnsi="仿宋" w:eastAsia="仿宋" w:cs="仿宋"/>
        </w:rPr>
        <w:t>31.履约保证金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_Toc4302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"_Toc8476" </w:instrText>
      </w:r>
      <w:r>
        <w:fldChar w:fldCharType="separate"/>
      </w:r>
      <w:r>
        <w:rPr>
          <w:rFonts w:hint="eastAsia" w:ascii="仿宋" w:hAnsi="仿宋" w:eastAsia="仿宋" w:cs="仿宋"/>
        </w:rPr>
        <w:t>32.中标服务费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_Toc8476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"_Toc31411" </w:instrText>
      </w:r>
      <w:r>
        <w:fldChar w:fldCharType="separate"/>
      </w:r>
      <w:r>
        <w:rPr>
          <w:rFonts w:hint="eastAsia" w:ascii="仿宋" w:hAnsi="仿宋" w:eastAsia="仿宋" w:cs="仿宋"/>
        </w:rPr>
        <w:t>33.政府采购信用担保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_Toc31411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"_Toc4701" </w:instrText>
      </w:r>
      <w:r>
        <w:fldChar w:fldCharType="separate"/>
      </w:r>
      <w:r>
        <w:rPr>
          <w:rFonts w:hint="eastAsia" w:ascii="仿宋" w:hAnsi="仿宋" w:eastAsia="仿宋" w:cs="仿宋"/>
        </w:rPr>
        <w:t>34.廉洁自律规定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_Toc4701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"_Toc21055" </w:instrText>
      </w:r>
      <w:r>
        <w:fldChar w:fldCharType="separate"/>
      </w:r>
      <w:r>
        <w:rPr>
          <w:rFonts w:hint="eastAsia" w:ascii="仿宋" w:hAnsi="仿宋" w:eastAsia="仿宋" w:cs="仿宋"/>
        </w:rPr>
        <w:t>35.人员回避</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_Toc21055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14"/>
        <w:pageBreakBefore w:val="0"/>
        <w:tabs>
          <w:tab w:val="right" w:leader="dot" w:pos="8312"/>
          <w:tab w:val="clear" w:pos="1260"/>
          <w:tab w:val="clear" w:pos="8630"/>
        </w:tabs>
        <w:kinsoku/>
        <w:wordWrap w:val="0"/>
        <w:overflowPunct/>
        <w:topLinePunct w:val="0"/>
        <w:bidi w:val="0"/>
        <w:rPr>
          <w:rFonts w:ascii="仿宋" w:hAnsi="仿宋" w:eastAsia="仿宋" w:cs="仿宋"/>
        </w:rPr>
      </w:pPr>
      <w:r>
        <w:fldChar w:fldCharType="begin"/>
      </w:r>
      <w:r>
        <w:instrText xml:space="preserve"> HYPERLINK \l "_Toc24931" </w:instrText>
      </w:r>
      <w:r>
        <w:fldChar w:fldCharType="separate"/>
      </w:r>
      <w:r>
        <w:rPr>
          <w:rFonts w:hint="eastAsia" w:ascii="仿宋" w:hAnsi="仿宋" w:eastAsia="仿宋" w:cs="仿宋"/>
        </w:rPr>
        <w:t>36.质疑与接收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_Toc24931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"_Toc23883" </w:instrText>
      </w:r>
      <w:r>
        <w:fldChar w:fldCharType="separate"/>
      </w:r>
      <w:r>
        <w:rPr>
          <w:rFonts w:hint="eastAsia" w:ascii="仿宋" w:hAnsi="仿宋" w:eastAsia="仿宋" w:cs="仿宋"/>
        </w:rPr>
        <w:t>附件1：履约保证金保函（格式）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_Toc23883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"_Toc27788" </w:instrText>
      </w:r>
      <w:r>
        <w:fldChar w:fldCharType="separate"/>
      </w:r>
      <w:r>
        <w:rPr>
          <w:rFonts w:hint="eastAsia" w:ascii="仿宋" w:hAnsi="仿宋" w:eastAsia="仿宋" w:cs="仿宋"/>
        </w:rPr>
        <w:t>附件2：履约担保函格式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_Toc27788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"_Toc30995" </w:instrText>
      </w:r>
      <w:r>
        <w:fldChar w:fldCharType="separate"/>
      </w:r>
      <w:r>
        <w:rPr>
          <w:rFonts w:hint="eastAsia" w:ascii="仿宋" w:hAnsi="仿宋" w:eastAsia="仿宋" w:cs="仿宋"/>
        </w:rPr>
        <w:t>（采用政府采购信用担保形式时使用）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_Toc30995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"_Toc6923" </w:instrText>
      </w:r>
      <w:r>
        <w:fldChar w:fldCharType="separate"/>
      </w:r>
      <w:r>
        <w:rPr>
          <w:rFonts w:hint="eastAsia" w:ascii="仿宋" w:hAnsi="仿宋" w:eastAsia="仿宋" w:cs="仿宋"/>
        </w:rPr>
        <w:t>第2章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_Toc6923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"_Toc15142" </w:instrText>
      </w:r>
      <w:r>
        <w:fldChar w:fldCharType="separate"/>
      </w:r>
      <w:r>
        <w:rPr>
          <w:rFonts w:hint="eastAsia" w:ascii="仿宋" w:hAnsi="仿宋" w:eastAsia="仿宋" w:cs="仿宋"/>
        </w:rPr>
        <w:t>第一部分 开标一览表及资格证明文件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_Toc15142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pPr>
        <w:pStyle w:val="29"/>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"_Toc16844" </w:instrText>
      </w:r>
      <w:r>
        <w:fldChar w:fldCharType="separate"/>
      </w:r>
      <w:r>
        <w:rPr>
          <w:rFonts w:hint="eastAsia" w:ascii="仿宋" w:hAnsi="仿宋" w:eastAsia="仿宋" w:cs="仿宋"/>
        </w:rPr>
        <w:t>第二部分  商务及技术文件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_Toc16844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"_Toc9913" </w:instrText>
      </w:r>
      <w:r>
        <w:fldChar w:fldCharType="separate"/>
      </w:r>
      <w:r>
        <w:rPr>
          <w:rFonts w:hint="eastAsia" w:ascii="仿宋" w:hAnsi="仿宋" w:eastAsia="仿宋" w:cs="仿宋"/>
        </w:rPr>
        <w:t>第3章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_Toc9913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"_Toc28647" </w:instrText>
      </w:r>
      <w:r>
        <w:fldChar w:fldCharType="separate"/>
      </w:r>
      <w:r>
        <w:rPr>
          <w:rFonts w:hint="eastAsia" w:ascii="仿宋" w:hAnsi="仿宋" w:eastAsia="仿宋" w:cs="仿宋"/>
          <w:szCs w:val="32"/>
        </w:rPr>
        <w:t xml:space="preserve">第4章 </w:t>
      </w:r>
      <w:r>
        <w:rPr>
          <w:rFonts w:hint="eastAsia" w:ascii="仿宋" w:hAnsi="仿宋" w:eastAsia="仿宋" w:cs="仿宋"/>
        </w:rPr>
        <w:t>投标人须知资料表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_Toc28647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"_Toc7112" </w:instrText>
      </w:r>
      <w:r>
        <w:fldChar w:fldCharType="separate"/>
      </w:r>
      <w:r>
        <w:rPr>
          <w:rFonts w:hint="eastAsia" w:ascii="仿宋" w:hAnsi="仿宋" w:eastAsia="仿宋" w:cs="仿宋"/>
        </w:rPr>
        <w:t>第5章 服务需求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_Toc7112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rPr>
      </w:pPr>
      <w:r>
        <w:fldChar w:fldCharType="begin"/>
      </w:r>
      <w:r>
        <w:instrText xml:space="preserve"> HYPERLINK \l "_Toc10220" </w:instrText>
      </w:r>
      <w:r>
        <w:fldChar w:fldCharType="separate"/>
      </w:r>
      <w:r>
        <w:rPr>
          <w:rFonts w:hint="eastAsia" w:ascii="仿宋" w:hAnsi="仿宋" w:eastAsia="仿宋" w:cs="仿宋"/>
        </w:rPr>
        <w:t>第6章 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_Toc10220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pPr>
        <w:pStyle w:val="23"/>
        <w:pageBreakBefore w:val="0"/>
        <w:tabs>
          <w:tab w:val="right" w:leader="dot" w:pos="8312"/>
        </w:tabs>
        <w:kinsoku/>
        <w:wordWrap w:val="0"/>
        <w:overflowPunct/>
        <w:topLinePunct w:val="0"/>
        <w:bidi w:val="0"/>
        <w:rPr>
          <w:rFonts w:ascii="仿宋" w:hAnsi="仿宋" w:eastAsia="仿宋" w:cs="仿宋"/>
          <w:kern w:val="0"/>
          <w:szCs w:val="21"/>
        </w:rPr>
      </w:pPr>
      <w:r>
        <w:fldChar w:fldCharType="begin"/>
      </w:r>
      <w:r>
        <w:instrText xml:space="preserve"> HYPERLINK \l "_Toc23018" </w:instrText>
      </w:r>
      <w:r>
        <w:fldChar w:fldCharType="separate"/>
      </w:r>
      <w:r>
        <w:rPr>
          <w:rFonts w:hint="eastAsia" w:ascii="仿宋" w:hAnsi="仿宋" w:eastAsia="仿宋" w:cs="仿宋"/>
        </w:rPr>
        <w:t>第7章 政府采购合同标准文本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_Toc23018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pPr>
        <w:pageBreakBefore w:val="0"/>
        <w:kinsoku/>
        <w:wordWrap w:val="0"/>
        <w:overflowPunct/>
        <w:topLinePunct w:val="0"/>
        <w:bidi w:val="0"/>
        <w:rPr>
          <w:rFonts w:ascii="仿宋" w:hAnsi="仿宋" w:eastAsia="仿宋" w:cs="仿宋"/>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ageBreakBefore w:val="0"/>
        <w:kinsoku/>
        <w:wordWrap w:val="0"/>
        <w:overflowPunct/>
        <w:topLinePunct w:val="0"/>
        <w:bidi w:val="0"/>
        <w:rPr>
          <w:rFonts w:ascii="仿宋" w:hAnsi="仿宋" w:eastAsia="仿宋" w:cs="仿宋"/>
        </w:rPr>
      </w:pPr>
    </w:p>
    <w:p>
      <w:pPr>
        <w:pStyle w:val="7"/>
        <w:pageBreakBefore w:val="0"/>
        <w:numPr>
          <w:ilvl w:val="0"/>
          <w:numId w:val="2"/>
        </w:numPr>
        <w:tabs>
          <w:tab w:val="left" w:pos="0"/>
          <w:tab w:val="clear" w:pos="3134"/>
        </w:tabs>
        <w:kinsoku/>
        <w:wordWrap w:val="0"/>
        <w:overflowPunct/>
        <w:topLinePunct w:val="0"/>
        <w:bidi w:val="0"/>
        <w:spacing w:before="0" w:after="0" w:line="240" w:lineRule="atLeast"/>
        <w:ind w:hanging="3134"/>
        <w:rPr>
          <w:rFonts w:ascii="仿宋" w:hAnsi="仿宋" w:eastAsia="仿宋" w:cs="仿宋"/>
        </w:rPr>
      </w:pPr>
      <w:r>
        <w:rPr>
          <w:rFonts w:hint="eastAsia" w:ascii="仿宋" w:hAnsi="仿宋" w:eastAsia="仿宋" w:cs="仿宋"/>
          <w:kern w:val="0"/>
          <w:szCs w:val="21"/>
        </w:rPr>
        <w:fldChar w:fldCharType="end"/>
      </w:r>
      <w:bookmarkStart w:id="0" w:name="_Toc9228"/>
      <w:bookmarkStart w:id="1" w:name="_Toc216582804"/>
      <w:r>
        <w:rPr>
          <w:rFonts w:hint="eastAsia" w:ascii="仿宋" w:hAnsi="仿宋" w:eastAsia="仿宋" w:cs="仿宋"/>
        </w:rPr>
        <w:t xml:space="preserve">  </w:t>
      </w:r>
      <w:bookmarkStart w:id="2" w:name="_Toc518923059"/>
      <w:r>
        <w:rPr>
          <w:rFonts w:hint="eastAsia" w:ascii="仿宋" w:hAnsi="仿宋" w:eastAsia="仿宋" w:cs="仿宋"/>
        </w:rPr>
        <w:t>投标人须知</w:t>
      </w:r>
      <w:bookmarkEnd w:id="0"/>
      <w:bookmarkEnd w:id="1"/>
      <w:bookmarkEnd w:id="2"/>
    </w:p>
    <w:p>
      <w:pPr>
        <w:pageBreakBefore w:val="0"/>
        <w:kinsoku/>
        <w:wordWrap w:val="0"/>
        <w:overflowPunct/>
        <w:topLinePunct w:val="0"/>
        <w:bidi w:val="0"/>
        <w:rPr>
          <w:rFonts w:ascii="仿宋" w:hAnsi="仿宋" w:eastAsia="仿宋" w:cs="仿宋"/>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8"/>
        </w:rPr>
      </w:pPr>
      <w:bookmarkStart w:id="3" w:name="_Toc520356143"/>
      <w:bookmarkStart w:id="4" w:name="_Toc216582805"/>
      <w:bookmarkStart w:id="5" w:name="_Toc518923060"/>
      <w:bookmarkStart w:id="6" w:name="_Toc9485"/>
      <w:r>
        <w:rPr>
          <w:rFonts w:hint="eastAsia" w:ascii="仿宋" w:hAnsi="仿宋" w:eastAsia="仿宋" w:cs="仿宋"/>
          <w:sz w:val="28"/>
        </w:rPr>
        <w:t xml:space="preserve">一   </w:t>
      </w:r>
      <w:bookmarkEnd w:id="3"/>
      <w:bookmarkEnd w:id="4"/>
      <w:r>
        <w:rPr>
          <w:rFonts w:hint="eastAsia" w:ascii="仿宋" w:hAnsi="仿宋" w:eastAsia="仿宋" w:cs="仿宋"/>
          <w:sz w:val="28"/>
        </w:rPr>
        <w:t>总  则</w:t>
      </w:r>
      <w:bookmarkEnd w:id="5"/>
      <w:bookmarkEnd w:id="6"/>
    </w:p>
    <w:p>
      <w:pPr>
        <w:pStyle w:val="11"/>
        <w:pageBreakBefore w:val="0"/>
        <w:kinsoku/>
        <w:wordWrap w:val="0"/>
        <w:overflowPunct/>
        <w:topLinePunct w:val="0"/>
        <w:bidi w:val="0"/>
        <w:rPr>
          <w:rFonts w:ascii="仿宋" w:hAnsi="仿宋" w:eastAsia="仿宋" w:cs="仿宋"/>
        </w:rPr>
      </w:pPr>
    </w:p>
    <w:p>
      <w:pPr>
        <w:pStyle w:val="9"/>
        <w:pageBreakBefore w:val="0"/>
        <w:kinsoku/>
        <w:wordWrap w:val="0"/>
        <w:overflowPunct/>
        <w:topLinePunct w:val="0"/>
        <w:bidi w:val="0"/>
        <w:spacing w:before="0" w:after="0" w:line="240" w:lineRule="atLeast"/>
        <w:rPr>
          <w:rFonts w:ascii="仿宋" w:hAnsi="仿宋" w:eastAsia="仿宋" w:cs="仿宋"/>
          <w:u w:val="none"/>
        </w:rPr>
      </w:pPr>
      <w:bookmarkStart w:id="7" w:name="_Toc520356144"/>
      <w:bookmarkStart w:id="8" w:name="_Toc12013"/>
      <w:bookmarkStart w:id="9" w:name="_Toc518923061"/>
      <w:r>
        <w:rPr>
          <w:rFonts w:hint="eastAsia" w:ascii="仿宋" w:hAnsi="仿宋" w:eastAsia="仿宋" w:cs="仿宋"/>
          <w:u w:val="none"/>
        </w:rPr>
        <w:t>1.采购人、采购代理机构及</w:t>
      </w:r>
      <w:bookmarkEnd w:id="7"/>
      <w:r>
        <w:rPr>
          <w:rFonts w:hint="eastAsia" w:ascii="仿宋" w:hAnsi="仿宋" w:eastAsia="仿宋" w:cs="仿宋"/>
          <w:u w:val="none"/>
        </w:rPr>
        <w:t>投标人</w:t>
      </w:r>
      <w:bookmarkEnd w:id="8"/>
      <w:bookmarkEnd w:id="9"/>
    </w:p>
    <w:p>
      <w:pPr>
        <w:pageBreakBefore w:val="0"/>
        <w:numPr>
          <w:ilvl w:val="1"/>
          <w:numId w:val="3"/>
        </w:numPr>
        <w:tabs>
          <w:tab w:val="left" w:pos="0"/>
          <w:tab w:val="clear" w:pos="900"/>
        </w:tabs>
        <w:kinsoku/>
        <w:wordWrap w:val="0"/>
        <w:overflowPunct/>
        <w:topLinePunct w:val="0"/>
        <w:bidi w:val="0"/>
        <w:spacing w:line="240" w:lineRule="atLeast"/>
        <w:ind w:hanging="898"/>
        <w:rPr>
          <w:rFonts w:ascii="仿宋" w:hAnsi="仿宋" w:eastAsia="仿宋" w:cs="仿宋"/>
          <w:sz w:val="24"/>
        </w:rPr>
      </w:pPr>
      <w:r>
        <w:rPr>
          <w:rFonts w:hint="eastAsia" w:ascii="仿宋" w:hAnsi="仿宋" w:eastAsia="仿宋" w:cs="仿宋"/>
          <w:sz w:val="24"/>
        </w:rPr>
        <w:t xml:space="preserve">    采购人：是指依法开展政府采购活动的国家机关、事业单位、团体组织。</w:t>
      </w:r>
    </w:p>
    <w:p>
      <w:pPr>
        <w:pageBreakBefore w:val="0"/>
        <w:tabs>
          <w:tab w:val="left" w:pos="0"/>
        </w:tabs>
        <w:kinsoku/>
        <w:wordWrap w:val="0"/>
        <w:overflowPunct/>
        <w:topLinePunct w:val="0"/>
        <w:bidi w:val="0"/>
        <w:spacing w:line="240" w:lineRule="atLeast"/>
        <w:ind w:left="900"/>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rPr>
        <w:t>投标人须知资料表</w:t>
      </w:r>
      <w:r>
        <w:rPr>
          <w:rFonts w:hint="eastAsia" w:ascii="仿宋" w:hAnsi="仿宋" w:eastAsia="仿宋" w:cs="仿宋"/>
          <w:sz w:val="24"/>
        </w:rPr>
        <w:t>。</w:t>
      </w:r>
    </w:p>
    <w:p>
      <w:pPr>
        <w:pageBreakBefore w:val="0"/>
        <w:numPr>
          <w:ilvl w:val="1"/>
          <w:numId w:val="3"/>
        </w:numPr>
        <w:tabs>
          <w:tab w:val="left" w:pos="0"/>
          <w:tab w:val="clear" w:pos="900"/>
        </w:tabs>
        <w:kinsoku/>
        <w:wordWrap w:val="0"/>
        <w:overflowPunct/>
        <w:topLinePunct w:val="0"/>
        <w:bidi w:val="0"/>
        <w:spacing w:line="240" w:lineRule="atLeast"/>
        <w:ind w:hanging="898"/>
        <w:rPr>
          <w:rFonts w:ascii="仿宋" w:hAnsi="仿宋" w:eastAsia="仿宋" w:cs="仿宋"/>
          <w:sz w:val="24"/>
        </w:rPr>
      </w:pPr>
      <w:r>
        <w:rPr>
          <w:rFonts w:hint="eastAsia" w:ascii="仿宋" w:hAnsi="仿宋" w:eastAsia="仿宋" w:cs="仿宋"/>
          <w:sz w:val="24"/>
        </w:rPr>
        <w:t xml:space="preserve">    采购代理机构：是指集中采购机构或从事采购代理业务的社会中介机构。本项目的采购代理机构见</w:t>
      </w:r>
      <w:r>
        <w:rPr>
          <w:rFonts w:hint="eastAsia" w:ascii="仿宋" w:hAnsi="仿宋" w:eastAsia="仿宋" w:cs="仿宋"/>
          <w:b/>
          <w:bCs/>
          <w:sz w:val="24"/>
          <w:u w:val="single"/>
        </w:rPr>
        <w:t>投标人须知资料表</w:t>
      </w:r>
      <w:r>
        <w:rPr>
          <w:rFonts w:hint="eastAsia" w:ascii="仿宋" w:hAnsi="仿宋" w:eastAsia="仿宋" w:cs="仿宋"/>
          <w:sz w:val="24"/>
        </w:rPr>
        <w:t>。</w:t>
      </w:r>
    </w:p>
    <w:p>
      <w:pPr>
        <w:pageBreakBefore w:val="0"/>
        <w:numPr>
          <w:ilvl w:val="1"/>
          <w:numId w:val="3"/>
        </w:numPr>
        <w:kinsoku/>
        <w:wordWrap w:val="0"/>
        <w:overflowPunct/>
        <w:topLinePunct w:val="0"/>
        <w:bidi w:val="0"/>
        <w:spacing w:line="240" w:lineRule="atLeast"/>
        <w:ind w:hangingChars="375"/>
        <w:rPr>
          <w:rFonts w:ascii="仿宋" w:hAnsi="仿宋" w:eastAsia="仿宋" w:cs="仿宋"/>
          <w:sz w:val="24"/>
        </w:rPr>
      </w:pPr>
      <w:r>
        <w:rPr>
          <w:rFonts w:hint="eastAsia" w:ascii="仿宋" w:hAnsi="仿宋" w:eastAsia="仿宋" w:cs="仿宋"/>
          <w:sz w:val="24"/>
        </w:rPr>
        <w:t>投标人：是指向采购人提供货物、工程或者服务的法人、非法人组织或者自然人。本项目的投标人须满足以下条件：</w:t>
      </w:r>
    </w:p>
    <w:p>
      <w:pPr>
        <w:pageBreakBefore w:val="0"/>
        <w:kinsoku/>
        <w:wordWrap w:val="0"/>
        <w:overflowPunct/>
        <w:topLinePunct w:val="0"/>
        <w:bidi w:val="0"/>
        <w:spacing w:line="240" w:lineRule="atLeast"/>
        <w:ind w:left="850" w:hanging="849" w:hangingChars="354"/>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1.3.3   以采购代理机构认可的方式获得了本项目的招标文件。</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投标人须知资料表</w:t>
      </w:r>
      <w:r>
        <w:rPr>
          <w:rFonts w:hint="eastAsia" w:ascii="仿宋" w:hAnsi="仿宋" w:eastAsia="仿宋" w:cs="仿宋"/>
          <w:sz w:val="24"/>
        </w:rPr>
        <w:t>中规定的其他要求。</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投标人须知资料表</w:t>
      </w:r>
      <w:r>
        <w:rPr>
          <w:rFonts w:hint="eastAsia" w:ascii="仿宋" w:hAnsi="仿宋" w:eastAsia="仿宋" w:cs="仿宋"/>
          <w:sz w:val="24"/>
        </w:rPr>
        <w:t>中写明专门面向中小企业采购的，如投标人为非中小企业，其投标将被认定为投标无效。</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投标人须知资料表</w:t>
      </w:r>
      <w:r>
        <w:rPr>
          <w:rFonts w:hint="eastAsia" w:ascii="仿宋" w:hAnsi="仿宋" w:eastAsia="仿宋" w:cs="仿宋"/>
          <w:sz w:val="24"/>
        </w:rPr>
        <w:t>中允许联合体投标，对联合体规定如下：</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1.4.1   两个以上供应商可以组成一个投标联合体，以一个投标人的身份投标。</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投标人须知资料表</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1.6    </w:t>
      </w:r>
      <w:r>
        <w:rPr>
          <w:rFonts w:hint="eastAsia" w:ascii="仿宋" w:hAnsi="仿宋" w:eastAsia="仿宋" w:cs="仿宋"/>
          <w:b/>
          <w:sz w:val="24"/>
        </w:rPr>
        <w:t>为本项目提供过整体设计、规范编制或者项目管理、监理、检测等服务的供应商，不得再参加本项目上述服务以外的其他采购活动。否则其投标将被认定为投标无效。</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投标人在投标过程中不得向采购人提供或给予影响其正常决策行为的任何有价值物品或服务。一经发现，其投标将被认定为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0" w:name="_Toc2643"/>
      <w:bookmarkStart w:id="11" w:name="_Toc518923062"/>
      <w:r>
        <w:rPr>
          <w:rFonts w:hint="eastAsia" w:ascii="仿宋" w:hAnsi="仿宋" w:eastAsia="仿宋" w:cs="仿宋"/>
          <w:u w:val="none"/>
        </w:rPr>
        <w:t>2.资金来源</w:t>
      </w:r>
      <w:bookmarkEnd w:id="10"/>
      <w:bookmarkEnd w:id="11"/>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见投标人须知资料表</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2.3    投标人报价超过招标文件规定的预算金额或者分项、分包最高限价的，其投标将被认定为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2" w:name="_Toc520356145"/>
      <w:bookmarkStart w:id="13" w:name="_Toc518923063"/>
      <w:bookmarkStart w:id="14" w:name="_Toc28166"/>
      <w:r>
        <w:rPr>
          <w:rFonts w:hint="eastAsia" w:ascii="仿宋" w:hAnsi="仿宋" w:eastAsia="仿宋" w:cs="仿宋"/>
          <w:u w:val="none"/>
        </w:rPr>
        <w:t>3.投标费用</w:t>
      </w:r>
      <w:bookmarkEnd w:id="12"/>
      <w:bookmarkEnd w:id="13"/>
      <w:bookmarkEnd w:id="14"/>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不论投标的结果如何，投标人应承担所有与准备和参加投标有关的费用。</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5" w:name="_Toc518923064"/>
      <w:bookmarkStart w:id="16" w:name="_Toc32365"/>
      <w:r>
        <w:rPr>
          <w:rFonts w:hint="eastAsia" w:ascii="仿宋" w:hAnsi="仿宋" w:eastAsia="仿宋" w:cs="仿宋"/>
          <w:u w:val="none"/>
        </w:rPr>
        <w:t>4.适用法律</w:t>
      </w:r>
      <w:bookmarkEnd w:id="15"/>
      <w:bookmarkEnd w:id="16"/>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ageBreakBefore w:val="0"/>
        <w:kinsoku/>
        <w:wordWrap w:val="0"/>
        <w:overflowPunct/>
        <w:topLinePunct w:val="0"/>
        <w:bidi w:val="0"/>
        <w:spacing w:line="240" w:lineRule="atLeast"/>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8"/>
        </w:rPr>
      </w:pPr>
      <w:bookmarkStart w:id="17" w:name="_Toc216582806"/>
      <w:bookmarkStart w:id="18" w:name="_Toc809"/>
      <w:bookmarkStart w:id="19" w:name="_Toc520356146"/>
      <w:bookmarkStart w:id="20" w:name="_Toc518923065"/>
      <w:r>
        <w:rPr>
          <w:rFonts w:hint="eastAsia" w:ascii="仿宋" w:hAnsi="仿宋" w:eastAsia="仿宋" w:cs="仿宋"/>
          <w:sz w:val="28"/>
        </w:rPr>
        <w:t>二   招标文件</w:t>
      </w:r>
      <w:bookmarkEnd w:id="17"/>
      <w:bookmarkEnd w:id="18"/>
      <w:bookmarkEnd w:id="19"/>
      <w:bookmarkEnd w:id="20"/>
    </w:p>
    <w:p>
      <w:pPr>
        <w:pStyle w:val="11"/>
        <w:pageBreakBefore w:val="0"/>
        <w:kinsoku/>
        <w:wordWrap w:val="0"/>
        <w:overflowPunct/>
        <w:topLinePunct w:val="0"/>
        <w:bidi w:val="0"/>
        <w:rPr>
          <w:rFonts w:ascii="仿宋" w:hAnsi="仿宋" w:eastAsia="仿宋" w:cs="仿宋"/>
        </w:rPr>
      </w:pPr>
    </w:p>
    <w:p>
      <w:pPr>
        <w:pStyle w:val="9"/>
        <w:pageBreakBefore w:val="0"/>
        <w:kinsoku/>
        <w:wordWrap w:val="0"/>
        <w:overflowPunct/>
        <w:topLinePunct w:val="0"/>
        <w:bidi w:val="0"/>
        <w:spacing w:before="0" w:after="0" w:line="240" w:lineRule="atLeast"/>
        <w:rPr>
          <w:rFonts w:ascii="仿宋" w:hAnsi="仿宋" w:eastAsia="仿宋" w:cs="仿宋"/>
          <w:u w:val="none"/>
        </w:rPr>
      </w:pPr>
      <w:bookmarkStart w:id="21" w:name="_Toc518923066"/>
      <w:bookmarkStart w:id="22" w:name="_Toc22990"/>
      <w:bookmarkStart w:id="23" w:name="_Toc520356147"/>
      <w:r>
        <w:rPr>
          <w:rFonts w:hint="eastAsia" w:ascii="仿宋" w:hAnsi="仿宋" w:eastAsia="仿宋" w:cs="仿宋"/>
          <w:u w:val="none"/>
        </w:rPr>
        <w:t>5.招标文件构成</w:t>
      </w:r>
      <w:bookmarkEnd w:id="21"/>
      <w:bookmarkEnd w:id="22"/>
      <w:bookmarkEnd w:id="23"/>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pPr>
        <w:pageBreakBefore w:val="0"/>
        <w:kinsoku/>
        <w:wordWrap w:val="0"/>
        <w:overflowPunct/>
        <w:topLinePunct w:val="0"/>
        <w:bidi w:val="0"/>
        <w:spacing w:line="240" w:lineRule="atLeast"/>
        <w:ind w:left="1078" w:leftChars="428" w:hanging="180" w:hangingChars="75"/>
        <w:rPr>
          <w:rFonts w:ascii="仿宋" w:hAnsi="仿宋" w:eastAsia="仿宋" w:cs="仿宋"/>
          <w:sz w:val="24"/>
        </w:rPr>
      </w:pPr>
      <w:r>
        <w:rPr>
          <w:rFonts w:hint="eastAsia" w:ascii="仿宋" w:hAnsi="仿宋" w:eastAsia="仿宋" w:cs="仿宋"/>
          <w:sz w:val="24"/>
        </w:rPr>
        <w:t xml:space="preserve">第一册 </w:t>
      </w:r>
    </w:p>
    <w:p>
      <w:pPr>
        <w:pageBreakBefore w:val="0"/>
        <w:kinsoku/>
        <w:wordWrap w:val="0"/>
        <w:overflowPunct/>
        <w:topLinePunct w:val="0"/>
        <w:bidi w:val="0"/>
        <w:spacing w:line="240" w:lineRule="atLeast"/>
        <w:ind w:left="1078" w:leftChars="428" w:hanging="180" w:hangingChars="75"/>
        <w:rPr>
          <w:rFonts w:ascii="仿宋" w:hAnsi="仿宋" w:eastAsia="仿宋" w:cs="仿宋"/>
          <w:sz w:val="24"/>
        </w:rPr>
      </w:pPr>
      <w:r>
        <w:rPr>
          <w:rFonts w:hint="eastAsia" w:ascii="仿宋" w:hAnsi="仿宋" w:eastAsia="仿宋" w:cs="仿宋"/>
          <w:sz w:val="24"/>
        </w:rPr>
        <w:t>第1章  投标人须知</w:t>
      </w:r>
    </w:p>
    <w:p>
      <w:pPr>
        <w:pageBreakBefore w:val="0"/>
        <w:kinsoku/>
        <w:wordWrap w:val="0"/>
        <w:overflowPunct/>
        <w:topLinePunct w:val="0"/>
        <w:bidi w:val="0"/>
        <w:spacing w:line="240" w:lineRule="atLeast"/>
        <w:ind w:left="901"/>
        <w:rPr>
          <w:rFonts w:ascii="仿宋" w:hAnsi="仿宋" w:eastAsia="仿宋" w:cs="仿宋"/>
          <w:sz w:val="24"/>
        </w:rPr>
      </w:pPr>
      <w:r>
        <w:rPr>
          <w:rFonts w:hint="eastAsia" w:ascii="仿宋" w:hAnsi="仿宋" w:eastAsia="仿宋" w:cs="仿宋"/>
          <w:sz w:val="24"/>
        </w:rPr>
        <w:t>第2章　投标文件格式</w:t>
      </w:r>
    </w:p>
    <w:p>
      <w:pPr>
        <w:pageBreakBefore w:val="0"/>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第二册</w:t>
      </w:r>
    </w:p>
    <w:p>
      <w:pPr>
        <w:pageBreakBefore w:val="0"/>
        <w:numPr>
          <w:ilvl w:val="0"/>
          <w:numId w:val="4"/>
        </w:numPr>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投标邀请</w:t>
      </w:r>
    </w:p>
    <w:p>
      <w:pPr>
        <w:pageBreakBefore w:val="0"/>
        <w:numPr>
          <w:ilvl w:val="0"/>
          <w:numId w:val="4"/>
        </w:numPr>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投标人须知资料表</w:t>
      </w:r>
    </w:p>
    <w:p>
      <w:pPr>
        <w:pageBreakBefore w:val="0"/>
        <w:numPr>
          <w:ilvl w:val="0"/>
          <w:numId w:val="4"/>
        </w:numPr>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项目服务及需求</w:t>
      </w:r>
    </w:p>
    <w:p>
      <w:pPr>
        <w:pageBreakBefore w:val="0"/>
        <w:numPr>
          <w:ilvl w:val="0"/>
          <w:numId w:val="4"/>
        </w:numPr>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 xml:space="preserve"> 评标方法和标准</w:t>
      </w:r>
    </w:p>
    <w:p>
      <w:pPr>
        <w:pageBreakBefore w:val="0"/>
        <w:kinsoku/>
        <w:wordWrap w:val="0"/>
        <w:overflowPunct/>
        <w:topLinePunct w:val="0"/>
        <w:bidi w:val="0"/>
        <w:spacing w:line="240" w:lineRule="atLeast"/>
        <w:ind w:left="901"/>
        <w:rPr>
          <w:rFonts w:ascii="仿宋" w:hAnsi="仿宋" w:eastAsia="仿宋" w:cs="仿宋"/>
          <w:sz w:val="24"/>
        </w:rPr>
      </w:pPr>
      <w:r>
        <w:rPr>
          <w:rFonts w:hint="eastAsia" w:ascii="仿宋" w:hAnsi="仿宋" w:eastAsia="仿宋" w:cs="仿宋"/>
          <w:sz w:val="24"/>
        </w:rPr>
        <w:t>第三册</w:t>
      </w:r>
    </w:p>
    <w:p>
      <w:pPr>
        <w:pageBreakBefore w:val="0"/>
        <w:numPr>
          <w:ilvl w:val="0"/>
          <w:numId w:val="4"/>
        </w:numPr>
        <w:kinsoku/>
        <w:wordWrap w:val="0"/>
        <w:overflowPunct/>
        <w:topLinePunct w:val="0"/>
        <w:bidi w:val="0"/>
        <w:spacing w:line="240" w:lineRule="atLeast"/>
        <w:ind w:left="1080" w:leftChars="429" w:hanging="180"/>
        <w:rPr>
          <w:rFonts w:ascii="仿宋" w:hAnsi="仿宋" w:eastAsia="仿宋" w:cs="仿宋"/>
          <w:sz w:val="24"/>
        </w:rPr>
      </w:pPr>
      <w:r>
        <w:rPr>
          <w:rFonts w:hint="eastAsia" w:ascii="仿宋" w:hAnsi="仿宋" w:eastAsia="仿宋" w:cs="仿宋"/>
          <w:sz w:val="24"/>
        </w:rPr>
        <w:t>政府采购合同格式</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9"/>
        <w:pageBreakBefore w:val="0"/>
        <w:kinsoku/>
        <w:wordWrap w:val="0"/>
        <w:overflowPunct/>
        <w:topLinePunct w:val="0"/>
        <w:bidi w:val="0"/>
        <w:spacing w:before="0" w:after="0" w:line="240" w:lineRule="atLeast"/>
        <w:rPr>
          <w:rFonts w:ascii="仿宋" w:hAnsi="仿宋" w:eastAsia="仿宋" w:cs="仿宋"/>
          <w:b w:val="0"/>
          <w:u w:val="none"/>
        </w:rPr>
      </w:pPr>
      <w:bookmarkStart w:id="24" w:name="_Toc520356148"/>
      <w:bookmarkStart w:id="25" w:name="_Toc518923067"/>
      <w:bookmarkStart w:id="26" w:name="_Toc21314"/>
      <w:r>
        <w:rPr>
          <w:rFonts w:hint="eastAsia" w:ascii="仿宋" w:hAnsi="仿宋" w:eastAsia="仿宋" w:cs="仿宋"/>
          <w:u w:val="none"/>
        </w:rPr>
        <w:t>6.招标文件的澄清</w:t>
      </w:r>
      <w:bookmarkEnd w:id="24"/>
      <w:r>
        <w:rPr>
          <w:rFonts w:hint="eastAsia" w:ascii="仿宋" w:hAnsi="仿宋" w:eastAsia="仿宋" w:cs="仿宋"/>
          <w:u w:val="none"/>
        </w:rPr>
        <w:t>与修改</w:t>
      </w:r>
      <w:bookmarkEnd w:id="25"/>
      <w:bookmarkEnd w:id="26"/>
    </w:p>
    <w:p>
      <w:pPr>
        <w:pStyle w:val="11"/>
        <w:pageBreakBefore w:val="0"/>
        <w:kinsoku/>
        <w:wordWrap w:val="0"/>
        <w:overflowPunct/>
        <w:topLinePunct w:val="0"/>
        <w:bidi w:val="0"/>
        <w:ind w:left="840" w:hanging="840" w:hangingChars="350"/>
        <w:rPr>
          <w:rFonts w:ascii="仿宋" w:hAnsi="仿宋" w:eastAsia="仿宋" w:cs="仿宋"/>
          <w:szCs w:val="24"/>
        </w:rPr>
      </w:pPr>
      <w:r>
        <w:rPr>
          <w:rFonts w:hint="eastAsia" w:ascii="仿宋" w:hAnsi="仿宋" w:eastAsia="仿宋" w:cs="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11"/>
        <w:pageBreakBefore w:val="0"/>
        <w:kinsoku/>
        <w:wordWrap w:val="0"/>
        <w:overflowPunct/>
        <w:topLinePunct w:val="0"/>
        <w:bidi w:val="0"/>
        <w:ind w:left="840" w:hanging="840" w:hangingChars="350"/>
        <w:rPr>
          <w:rFonts w:ascii="仿宋" w:hAnsi="仿宋" w:eastAsia="仿宋" w:cs="仿宋"/>
          <w:szCs w:val="24"/>
        </w:rPr>
      </w:pPr>
      <w:bookmarkStart w:id="27" w:name="_Toc520356149"/>
      <w:bookmarkStart w:id="2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采购人可主动地或在解答投标人提出的澄清问题时对招标文件澄清或修改。采购代理机构将以发布澄清（更正）公告的方式，澄清或修改招标文件，澄清或修改内容作为招标文件的组成部分。</w:t>
      </w:r>
    </w:p>
    <w:p>
      <w:pPr>
        <w:pStyle w:val="11"/>
        <w:pageBreakBefore w:val="0"/>
        <w:kinsoku/>
        <w:wordWrap w:val="0"/>
        <w:overflowPunct/>
        <w:topLinePunct w:val="0"/>
        <w:bidi w:val="0"/>
        <w:ind w:left="840" w:hanging="840" w:hangingChars="350"/>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澄清或者修改的内容可能影响投标文件编制的，采购代理机构将以发布澄清（更正）公告的方式告知所有潜在投标人，并对其具有约束力。</w:t>
      </w:r>
    </w:p>
    <w:p>
      <w:pPr>
        <w:pStyle w:val="9"/>
        <w:pageBreakBefore w:val="0"/>
        <w:tabs>
          <w:tab w:val="left" w:pos="900"/>
        </w:tabs>
        <w:kinsoku/>
        <w:wordWrap w:val="0"/>
        <w:overflowPunct/>
        <w:topLinePunct w:val="0"/>
        <w:bidi w:val="0"/>
        <w:spacing w:before="0" w:after="0" w:line="240" w:lineRule="atLeast"/>
        <w:rPr>
          <w:rFonts w:ascii="仿宋" w:hAnsi="仿宋" w:eastAsia="仿宋" w:cs="仿宋"/>
          <w:u w:val="none"/>
        </w:rPr>
      </w:pPr>
      <w:bookmarkStart w:id="29" w:name="_Toc10994"/>
      <w:bookmarkStart w:id="30" w:name="_Toc518923068"/>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为使投标人准备投标时有足够的时间对招标文件的澄清或者修改部分进行研究，采购人将依法决定是否顺延投标截止时间。</w:t>
      </w:r>
    </w:p>
    <w:p>
      <w:pPr>
        <w:pageBreakBefore w:val="0"/>
        <w:kinsoku/>
        <w:wordWrap w:val="0"/>
        <w:overflowPunct/>
        <w:topLinePunct w:val="0"/>
        <w:bidi w:val="0"/>
        <w:spacing w:line="240" w:lineRule="atLeast"/>
        <w:ind w:left="900" w:hanging="900" w:hangingChars="375"/>
        <w:rPr>
          <w:rFonts w:ascii="仿宋" w:hAnsi="仿宋" w:eastAsia="仿宋" w:cs="仿宋"/>
          <w:sz w:val="24"/>
        </w:rPr>
      </w:pPr>
    </w:p>
    <w:p>
      <w:pPr>
        <w:pStyle w:val="8"/>
        <w:pageBreakBefore w:val="0"/>
        <w:tabs>
          <w:tab w:val="left" w:pos="900"/>
        </w:tabs>
        <w:kinsoku/>
        <w:wordWrap w:val="0"/>
        <w:overflowPunct/>
        <w:topLinePunct w:val="0"/>
        <w:bidi w:val="0"/>
        <w:spacing w:before="0" w:line="240" w:lineRule="atLeast"/>
        <w:ind w:left="1079" w:leftChars="257" w:hanging="540"/>
        <w:rPr>
          <w:rFonts w:ascii="仿宋" w:hAnsi="仿宋" w:eastAsia="仿宋" w:cs="仿宋"/>
          <w:sz w:val="28"/>
        </w:rPr>
      </w:pPr>
      <w:bookmarkStart w:id="31" w:name="_Toc516367020"/>
      <w:bookmarkStart w:id="32" w:name="_Toc520356150"/>
      <w:bookmarkStart w:id="33" w:name="_Toc25389"/>
      <w:bookmarkStart w:id="34" w:name="_Toc518923069"/>
      <w:bookmarkStart w:id="35" w:name="_Toc216582807"/>
      <w:r>
        <w:rPr>
          <w:rFonts w:hint="eastAsia" w:ascii="仿宋" w:hAnsi="仿宋" w:eastAsia="仿宋" w:cs="仿宋"/>
          <w:sz w:val="28"/>
        </w:rPr>
        <w:t>三   投标文件</w:t>
      </w:r>
      <w:bookmarkEnd w:id="31"/>
      <w:r>
        <w:rPr>
          <w:rFonts w:hint="eastAsia" w:ascii="仿宋" w:hAnsi="仿宋" w:eastAsia="仿宋" w:cs="仿宋"/>
          <w:sz w:val="28"/>
        </w:rPr>
        <w:t>的编制</w:t>
      </w:r>
      <w:bookmarkEnd w:id="32"/>
      <w:bookmarkEnd w:id="33"/>
      <w:bookmarkEnd w:id="34"/>
      <w:bookmarkEnd w:id="35"/>
    </w:p>
    <w:p>
      <w:pPr>
        <w:pStyle w:val="11"/>
        <w:pageBreakBefore w:val="0"/>
        <w:kinsoku/>
        <w:wordWrap w:val="0"/>
        <w:overflowPunct/>
        <w:topLinePunct w:val="0"/>
        <w:bidi w:val="0"/>
        <w:rPr>
          <w:rFonts w:ascii="仿宋" w:hAnsi="仿宋" w:eastAsia="仿宋" w:cs="仿宋"/>
        </w:rPr>
      </w:pPr>
    </w:p>
    <w:p>
      <w:pPr>
        <w:pStyle w:val="9"/>
        <w:pageBreakBefore w:val="0"/>
        <w:tabs>
          <w:tab w:val="left" w:pos="900"/>
        </w:tabs>
        <w:kinsoku/>
        <w:wordWrap w:val="0"/>
        <w:overflowPunct/>
        <w:topLinePunct w:val="0"/>
        <w:bidi w:val="0"/>
        <w:spacing w:before="0" w:after="0" w:line="240" w:lineRule="atLeast"/>
        <w:rPr>
          <w:rFonts w:ascii="仿宋" w:hAnsi="仿宋" w:eastAsia="仿宋" w:cs="仿宋"/>
          <w:u w:val="none"/>
        </w:rPr>
      </w:pPr>
      <w:bookmarkStart w:id="36" w:name="_Toc520356151"/>
      <w:bookmarkStart w:id="37" w:name="_Toc518923070"/>
      <w:bookmarkStart w:id="38" w:name="_Toc516367021"/>
      <w:bookmarkStart w:id="39" w:name="_Toc6728"/>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投标范围及投标文件中标准和计量单位的使用</w:t>
      </w:r>
      <w:bookmarkEnd w:id="36"/>
      <w:bookmarkEnd w:id="37"/>
      <w:bookmarkEnd w:id="38"/>
      <w:bookmarkEnd w:id="39"/>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项目有分包的，投标人可对招标文件其中一个或几个分包进行投标，除非在</w:t>
      </w:r>
      <w:r>
        <w:rPr>
          <w:rFonts w:hint="eastAsia" w:ascii="仿宋" w:hAnsi="仿宋" w:eastAsia="仿宋" w:cs="仿宋"/>
          <w:sz w:val="24"/>
          <w:u w:val="single"/>
        </w:rPr>
        <w:t>投标人须知资料表</w:t>
      </w:r>
      <w:r>
        <w:rPr>
          <w:rFonts w:hint="eastAsia" w:ascii="仿宋" w:hAnsi="仿宋" w:eastAsia="仿宋" w:cs="仿宋"/>
          <w:sz w:val="24"/>
        </w:rPr>
        <w:t>中另有规定。</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8.2    投标人应当对所投分包招标文件中“服务需求”所列的所有服务内容进行投标，如仅响应分包中的部分内容，其投标将被认定为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8.3     无论招标文件第5章服务需求中是否要求，投标人所投服务均应符合国家强制性标准。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pPr>
        <w:pStyle w:val="9"/>
        <w:pageBreakBefore w:val="0"/>
        <w:tabs>
          <w:tab w:val="left" w:pos="900"/>
        </w:tabs>
        <w:kinsoku/>
        <w:wordWrap w:val="0"/>
        <w:overflowPunct/>
        <w:topLinePunct w:val="0"/>
        <w:bidi w:val="0"/>
        <w:spacing w:before="0" w:after="0" w:line="240" w:lineRule="atLeast"/>
        <w:rPr>
          <w:rFonts w:ascii="仿宋" w:hAnsi="仿宋" w:eastAsia="仿宋" w:cs="仿宋"/>
          <w:u w:val="none"/>
        </w:rPr>
      </w:pPr>
      <w:bookmarkStart w:id="40" w:name="_Ref467306195"/>
      <w:bookmarkStart w:id="41" w:name="_Toc516367022"/>
      <w:bookmarkStart w:id="42" w:name="_Ref467306676"/>
      <w:bookmarkStart w:id="43" w:name="_Toc15487"/>
      <w:bookmarkStart w:id="44" w:name="_Toc518923071"/>
      <w:bookmarkStart w:id="45" w:name="_Toc520356152"/>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pageBreakBefore w:val="0"/>
        <w:tabs>
          <w:tab w:val="left" w:pos="900"/>
          <w:tab w:val="left" w:pos="5580"/>
        </w:tabs>
        <w:kinsoku/>
        <w:wordWrap w:val="0"/>
        <w:overflowPunct/>
        <w:topLinePunct w:val="0"/>
        <w:bidi w:val="0"/>
        <w:spacing w:line="240" w:lineRule="atLeast"/>
        <w:ind w:left="960" w:hanging="960" w:hangingChars="400"/>
        <w:jc w:val="left"/>
        <w:rPr>
          <w:rFonts w:ascii="仿宋" w:hAnsi="仿宋" w:eastAsia="仿宋" w:cs="仿宋"/>
          <w:sz w:val="24"/>
          <w:u w:val="single"/>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sz w:val="24"/>
          <w:u w:val="single"/>
        </w:rPr>
        <w:t>投标人应完整地按招标文件提供的投标文件格式及要求编写投标文件，投标文件应包括</w:t>
      </w:r>
      <w:bookmarkEnd w:id="46"/>
      <w:r>
        <w:rPr>
          <w:rFonts w:hint="eastAsia" w:ascii="仿宋" w:hAnsi="仿宋" w:eastAsia="仿宋" w:cs="仿宋"/>
          <w:b/>
          <w:bCs/>
          <w:sz w:val="24"/>
          <w:u w:val="single"/>
        </w:rPr>
        <w:t>“开标一览表及资格证明文件”、“商务投标文件”和“技术投标方案”三部分。三部分分别胶装成册密封递交。投标人应承担封装失误产生的任何后果。</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9.2    上述文件应按照招标文件规定的格式填写、签署和盖章。若投标人未依照要求制作装订投标文件的，则视为不响应招标文件编制投标文件的要求，</w:t>
      </w:r>
      <w:r>
        <w:rPr>
          <w:rFonts w:hint="eastAsia" w:ascii="仿宋" w:hAnsi="仿宋" w:eastAsia="仿宋" w:cs="仿宋"/>
          <w:b/>
          <w:bCs/>
          <w:sz w:val="24"/>
        </w:rPr>
        <w:t>为无效投标。</w:t>
      </w:r>
    </w:p>
    <w:p>
      <w:pPr>
        <w:pStyle w:val="9"/>
        <w:pageBreakBefore w:val="0"/>
        <w:tabs>
          <w:tab w:val="left" w:pos="900"/>
        </w:tabs>
        <w:kinsoku/>
        <w:wordWrap w:val="0"/>
        <w:overflowPunct/>
        <w:topLinePunct w:val="0"/>
        <w:bidi w:val="0"/>
        <w:spacing w:before="0" w:after="0" w:line="240" w:lineRule="atLeast"/>
        <w:rPr>
          <w:rFonts w:ascii="仿宋" w:hAnsi="仿宋" w:eastAsia="仿宋" w:cs="仿宋"/>
          <w:bCs/>
          <w:kern w:val="2"/>
          <w:szCs w:val="24"/>
          <w:u w:val="none"/>
        </w:rPr>
      </w:pPr>
      <w:bookmarkStart w:id="47" w:name="_Toc516367023"/>
      <w:bookmarkStart w:id="48" w:name="_Toc508185920"/>
      <w:bookmarkStart w:id="49" w:name="_Toc518923072"/>
      <w:bookmarkStart w:id="50" w:name="_Toc520356153"/>
      <w:bookmarkStart w:id="51" w:name="_Toc2671"/>
      <w:bookmarkStart w:id="52" w:name="_Toc520356155"/>
      <w:r>
        <w:rPr>
          <w:rFonts w:hint="eastAsia" w:ascii="仿宋" w:hAnsi="仿宋" w:eastAsia="仿宋" w:cs="仿宋"/>
          <w:u w:val="none"/>
        </w:rPr>
        <w:t>10.</w:t>
      </w:r>
      <w:r>
        <w:rPr>
          <w:rFonts w:hint="eastAsia" w:ascii="仿宋" w:hAnsi="仿宋" w:eastAsia="仿宋" w:cs="仿宋"/>
          <w:u w:val="none"/>
        </w:rPr>
        <w:tab/>
      </w:r>
      <w:bookmarkEnd w:id="47"/>
      <w:bookmarkEnd w:id="48"/>
      <w:bookmarkEnd w:id="49"/>
      <w:bookmarkEnd w:id="50"/>
      <w:bookmarkEnd w:id="51"/>
      <w:r>
        <w:rPr>
          <w:rFonts w:hint="eastAsia" w:ascii="仿宋" w:hAnsi="仿宋" w:eastAsia="仿宋" w:cs="仿宋"/>
          <w:bCs/>
          <w:kern w:val="2"/>
          <w:szCs w:val="24"/>
          <w:u w:val="none"/>
        </w:rPr>
        <w:t>证明投标标的的合格性和符合招标文件规定的技术文件</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pPr>
        <w:pageBreakBefore w:val="0"/>
        <w:kinsoku/>
        <w:wordWrap w:val="0"/>
        <w:overflowPunct/>
        <w:topLinePunct w:val="0"/>
        <w:bidi w:val="0"/>
        <w:spacing w:line="240" w:lineRule="atLeast"/>
        <w:ind w:left="900" w:hanging="900" w:hangingChars="375"/>
        <w:rPr>
          <w:rFonts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54" w:name="_Toc8529"/>
      <w:bookmarkStart w:id="55" w:name="_Toc518923073"/>
      <w:r>
        <w:rPr>
          <w:rFonts w:hint="eastAsia" w:ascii="仿宋" w:hAnsi="仿宋" w:eastAsia="仿宋" w:cs="仿宋"/>
          <w:u w:val="none"/>
        </w:rPr>
        <w:t>11.投标报价</w:t>
      </w:r>
      <w:bookmarkEnd w:id="52"/>
      <w:bookmarkEnd w:id="54"/>
      <w:bookmarkEnd w:id="55"/>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投标人应在投标分项报价表上标明招标项目的总价，并由法定代表人或其委托代理人签署。</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投标人所报的投标报价在合同履行过程中是固定不变的，不得以任何理由予以变更。任何包含价格调整要求的投标，将被认定为投标无效。</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56" w:name="_Toc16199"/>
      <w:bookmarkStart w:id="57" w:name="_Ref467306513"/>
      <w:bookmarkStart w:id="58" w:name="_Toc520356156"/>
      <w:bookmarkStart w:id="59" w:name="_Toc518923074"/>
      <w:r>
        <w:rPr>
          <w:rFonts w:hint="eastAsia" w:ascii="仿宋" w:hAnsi="仿宋" w:eastAsia="仿宋" w:cs="仿宋"/>
          <w:u w:val="none"/>
        </w:rPr>
        <w:t>12.投标保证金</w:t>
      </w:r>
      <w:bookmarkEnd w:id="56"/>
      <w:bookmarkEnd w:id="57"/>
      <w:bookmarkEnd w:id="58"/>
      <w:bookmarkEnd w:id="59"/>
    </w:p>
    <w:p>
      <w:pPr>
        <w:pageBreakBefore w:val="0"/>
        <w:kinsoku/>
        <w:wordWrap w:val="0"/>
        <w:overflowPunct/>
        <w:topLinePunct w:val="0"/>
        <w:bidi w:val="0"/>
        <w:spacing w:line="240" w:lineRule="atLeast"/>
        <w:ind w:left="900" w:hanging="900" w:hangingChars="375"/>
        <w:rPr>
          <w:rFonts w:ascii="仿宋" w:hAnsi="仿宋" w:eastAsia="仿宋" w:cs="仿宋"/>
          <w:sz w:val="24"/>
        </w:rPr>
      </w:pPr>
      <w:bookmarkStart w:id="60"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投标人应提交</w:t>
      </w:r>
      <w:r>
        <w:rPr>
          <w:rFonts w:hint="eastAsia" w:ascii="仿宋" w:hAnsi="仿宋" w:eastAsia="仿宋" w:cs="仿宋"/>
          <w:sz w:val="24"/>
          <w:u w:val="single"/>
        </w:rPr>
        <w:t>投标人须知资料表</w:t>
      </w:r>
      <w:r>
        <w:rPr>
          <w:rFonts w:hint="eastAsia" w:ascii="仿宋" w:hAnsi="仿宋" w:eastAsia="仿宋" w:cs="仿宋"/>
          <w:sz w:val="24"/>
        </w:rPr>
        <w:t>中规定的投标保证金</w:t>
      </w:r>
      <w:bookmarkEnd w:id="60"/>
      <w:r>
        <w:rPr>
          <w:rFonts w:hint="eastAsia" w:ascii="仿宋" w:hAnsi="仿宋" w:eastAsia="仿宋" w:cs="仿宋"/>
          <w:sz w:val="24"/>
        </w:rPr>
        <w:t>，并作为其投标的一部分。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投标人存在下列情形的，投标保证金不予退还：</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（1）在投标有效期内，撤销投标的；</w:t>
      </w:r>
    </w:p>
    <w:p>
      <w:pPr>
        <w:pStyle w:val="15"/>
        <w:pageBreakBefore w:val="0"/>
        <w:tabs>
          <w:tab w:val="left" w:pos="2240"/>
        </w:tabs>
        <w:kinsoku/>
        <w:wordWrap w:val="0"/>
        <w:overflowPunct/>
        <w:topLinePunct w:val="0"/>
        <w:bidi w:val="0"/>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（2）中标后不按本须知第30条的规定与采购人签订合同的；</w:t>
      </w:r>
    </w:p>
    <w:p>
      <w:pPr>
        <w:pStyle w:val="15"/>
        <w:pageBreakBefore w:val="0"/>
        <w:tabs>
          <w:tab w:val="left" w:pos="2240"/>
        </w:tabs>
        <w:kinsoku/>
        <w:wordWrap w:val="0"/>
        <w:overflowPunct/>
        <w:topLinePunct w:val="0"/>
        <w:bidi w:val="0"/>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（3）中标后不按本须知第31条的规定提交履约保证金的；</w:t>
      </w:r>
    </w:p>
    <w:p>
      <w:pPr>
        <w:pStyle w:val="15"/>
        <w:pageBreakBefore w:val="0"/>
        <w:tabs>
          <w:tab w:val="left" w:pos="2240"/>
        </w:tabs>
        <w:kinsoku/>
        <w:wordWrap w:val="0"/>
        <w:overflowPunct/>
        <w:topLinePunct w:val="0"/>
        <w:bidi w:val="0"/>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（4）中标后不按本须知第32条的规定缴纳中标服务费的；</w:t>
      </w:r>
    </w:p>
    <w:p>
      <w:pPr>
        <w:pStyle w:val="15"/>
        <w:pageBreakBefore w:val="0"/>
        <w:tabs>
          <w:tab w:val="left" w:pos="2240"/>
        </w:tabs>
        <w:kinsoku/>
        <w:wordWrap w:val="0"/>
        <w:overflowPunct/>
        <w:topLinePunct w:val="0"/>
        <w:bidi w:val="0"/>
        <w:spacing w:line="240" w:lineRule="atLeast"/>
        <w:ind w:left="1079" w:leftChars="371" w:hanging="300" w:hangingChars="125"/>
        <w:rPr>
          <w:rFonts w:ascii="仿宋" w:hAnsi="仿宋" w:eastAsia="仿宋" w:cs="仿宋"/>
          <w:sz w:val="24"/>
        </w:rPr>
      </w:pPr>
      <w:r>
        <w:rPr>
          <w:rFonts w:hint="eastAsia" w:ascii="仿宋" w:hAnsi="仿宋" w:eastAsia="仿宋" w:cs="仿宋"/>
          <w:sz w:val="24"/>
        </w:rPr>
        <w:t>（5）存在其他违法违规行为的。</w:t>
      </w:r>
    </w:p>
    <w:p>
      <w:pPr>
        <w:pageBreakBefore w:val="0"/>
        <w:kinsoku/>
        <w:wordWrap w:val="0"/>
        <w:overflowPunct/>
        <w:topLinePunct w:val="0"/>
        <w:bidi w:val="0"/>
        <w:spacing w:line="240" w:lineRule="atLeast"/>
        <w:ind w:left="900" w:hanging="900" w:hangingChars="375"/>
        <w:rPr>
          <w:rFonts w:ascii="仿宋" w:hAnsi="仿宋" w:eastAsia="仿宋" w:cs="仿宋"/>
          <w:sz w:val="24"/>
        </w:rPr>
      </w:pPr>
      <w:bookmarkStart w:id="61" w:name="_Ref467306336"/>
      <w:r>
        <w:rPr>
          <w:rFonts w:hint="eastAsia" w:ascii="仿宋" w:hAnsi="仿宋" w:eastAsia="仿宋" w:cs="仿宋"/>
          <w:sz w:val="24"/>
        </w:rPr>
        <w:t>12.3</w:t>
      </w:r>
      <w:r>
        <w:rPr>
          <w:rFonts w:hint="eastAsia" w:ascii="仿宋" w:hAnsi="仿宋" w:eastAsia="仿宋" w:cs="仿宋"/>
          <w:sz w:val="24"/>
        </w:rPr>
        <w:tab/>
      </w:r>
      <w:bookmarkEnd w:id="61"/>
      <w:r>
        <w:rPr>
          <w:rFonts w:hint="eastAsia" w:ascii="仿宋" w:hAnsi="仿宋" w:eastAsia="仿宋" w:cs="仿宋"/>
          <w:sz w:val="24"/>
        </w:rPr>
        <w:t>政府采购信用担保试点范围内的项目，接受符合财政部门规定的政府采购投标担保函原件。</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投标人未按本须知第12.1和12.3条规定提交投标保证金的，其投标将被认定为</w:t>
      </w:r>
      <w:r>
        <w:rPr>
          <w:rFonts w:hint="eastAsia" w:ascii="仿宋" w:hAnsi="仿宋" w:eastAsia="仿宋" w:cs="仿宋"/>
          <w:b/>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12.4.1  采用电汇、对公转账形式的，一般可以实时入账；</w:t>
      </w:r>
    </w:p>
    <w:p>
      <w:pPr>
        <w:pageBreakBefore w:val="0"/>
        <w:kinsoku/>
        <w:wordWrap w:val="0"/>
        <w:overflowPunct/>
        <w:topLinePunct w:val="0"/>
        <w:bidi w:val="0"/>
        <w:spacing w:line="240" w:lineRule="atLeast"/>
        <w:ind w:left="960" w:hanging="960" w:hangingChars="400"/>
        <w:rPr>
          <w:rFonts w:ascii="仿宋" w:hAnsi="仿宋" w:eastAsia="仿宋" w:cs="仿宋"/>
          <w:sz w:val="24"/>
        </w:rPr>
      </w:pPr>
      <w:r>
        <w:rPr>
          <w:rFonts w:hint="eastAsia" w:ascii="仿宋" w:hAnsi="仿宋" w:eastAsia="仿宋" w:cs="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b/>
          <w:sz w:val="24"/>
        </w:rPr>
        <w:t>投标保证金的退还</w:t>
      </w:r>
    </w:p>
    <w:p>
      <w:pPr>
        <w:pageBreakBefore w:val="0"/>
        <w:kinsoku/>
        <w:wordWrap w:val="0"/>
        <w:overflowPunct/>
        <w:topLinePunct w:val="0"/>
        <w:bidi w:val="0"/>
        <w:spacing w:line="240" w:lineRule="atLeast"/>
        <w:ind w:left="1020" w:hanging="1020" w:hangingChars="425"/>
        <w:rPr>
          <w:rFonts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pageBreakBefore w:val="0"/>
        <w:kinsoku/>
        <w:wordWrap w:val="0"/>
        <w:overflowPunct/>
        <w:topLinePunct w:val="0"/>
        <w:bidi w:val="0"/>
        <w:ind w:left="1020" w:hanging="1020" w:hangingChars="425"/>
        <w:rPr>
          <w:rFonts w:ascii="仿宋" w:hAnsi="仿宋" w:eastAsia="仿宋" w:cs="仿宋"/>
          <w:sz w:val="24"/>
        </w:rPr>
      </w:pPr>
      <w:r>
        <w:rPr>
          <w:rFonts w:hint="eastAsia" w:ascii="仿宋" w:hAnsi="仿宋" w:eastAsia="仿宋" w:cs="仿宋"/>
          <w:sz w:val="24"/>
        </w:rPr>
        <w:t>12.6.2  未中标投标人的投标保证金将在中标通知书发出之日暨中标结果公告公布之日起5个工作日内无息退还。投标人及时联系保证金收受机构办理退还投标保证金手续。</w:t>
      </w:r>
      <w:bookmarkStart w:id="62" w:name="_Toc518923075"/>
    </w:p>
    <w:p>
      <w:pPr>
        <w:pageBreakBefore w:val="0"/>
        <w:kinsoku/>
        <w:wordWrap w:val="0"/>
        <w:overflowPunct/>
        <w:topLinePunct w:val="0"/>
        <w:bidi w:val="0"/>
        <w:ind w:left="1020" w:hanging="1020" w:hangingChars="425"/>
        <w:rPr>
          <w:rFonts w:ascii="仿宋" w:hAnsi="仿宋" w:eastAsia="仿宋" w:cs="仿宋"/>
          <w:sz w:val="24"/>
        </w:rPr>
      </w:pPr>
      <w:r>
        <w:rPr>
          <w:rFonts w:hint="eastAsia" w:ascii="仿宋" w:hAnsi="仿宋" w:eastAsia="仿宋" w:cs="仿宋"/>
          <w:sz w:val="24"/>
        </w:rPr>
        <w:t>12.6.3  政府采购投标担保函不予退回。</w:t>
      </w:r>
      <w:bookmarkEnd w:id="62"/>
    </w:p>
    <w:p>
      <w:pPr>
        <w:pageBreakBefore w:val="0"/>
        <w:kinsoku/>
        <w:wordWrap w:val="0"/>
        <w:overflowPunct/>
        <w:topLinePunct w:val="0"/>
        <w:bidi w:val="0"/>
        <w:spacing w:line="240" w:lineRule="atLeast"/>
        <w:ind w:left="960" w:hanging="960" w:hangingChars="400"/>
        <w:rPr>
          <w:rFonts w:ascii="仿宋" w:hAnsi="仿宋" w:eastAsia="仿宋" w:cs="仿宋"/>
          <w:sz w:val="24"/>
        </w:rPr>
      </w:pPr>
      <w:r>
        <w:rPr>
          <w:rFonts w:hint="eastAsia" w:ascii="仿宋" w:hAnsi="仿宋" w:eastAsia="仿宋" w:cs="仿宋"/>
          <w:sz w:val="24"/>
        </w:rPr>
        <w:t>12.7    因投标人自身原因导致无法及时退还的，采购人或采购代理机构将不承担相应责任。</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63" w:name="_Toc520356157"/>
      <w:bookmarkStart w:id="64" w:name="_Toc20355"/>
      <w:bookmarkStart w:id="65" w:name="_Toc518923076"/>
      <w:r>
        <w:rPr>
          <w:rFonts w:hint="eastAsia" w:ascii="仿宋" w:hAnsi="仿宋" w:eastAsia="仿宋" w:cs="仿宋"/>
          <w:u w:val="none"/>
        </w:rPr>
        <w:t>13.投标有效期</w:t>
      </w:r>
      <w:bookmarkEnd w:id="63"/>
      <w:bookmarkEnd w:id="64"/>
      <w:bookmarkEnd w:id="65"/>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投标人须知资料表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66" w:name="_Toc520356158"/>
      <w:bookmarkStart w:id="67" w:name="_Toc518923077"/>
      <w:bookmarkStart w:id="68" w:name="_Toc27303"/>
      <w:r>
        <w:rPr>
          <w:rFonts w:hint="eastAsia" w:ascii="仿宋" w:hAnsi="仿宋" w:eastAsia="仿宋" w:cs="仿宋"/>
          <w:u w:val="none"/>
        </w:rPr>
        <w:t>14.投标文件的签署</w:t>
      </w:r>
      <w:bookmarkEnd w:id="66"/>
      <w:r>
        <w:rPr>
          <w:rFonts w:hint="eastAsia" w:ascii="仿宋" w:hAnsi="仿宋" w:eastAsia="仿宋" w:cs="仿宋"/>
          <w:u w:val="none"/>
        </w:rPr>
        <w:t>及规定</w:t>
      </w:r>
      <w:bookmarkEnd w:id="67"/>
      <w:bookmarkEnd w:id="68"/>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投标人应按</w:t>
      </w:r>
      <w:r>
        <w:rPr>
          <w:rFonts w:hint="eastAsia" w:ascii="仿宋" w:hAnsi="仿宋" w:eastAsia="仿宋" w:cs="仿宋"/>
          <w:sz w:val="24"/>
          <w:u w:val="single"/>
        </w:rPr>
        <w:t>投标人须知资料表</w:t>
      </w:r>
      <w:r>
        <w:rPr>
          <w:rFonts w:hint="eastAsia" w:ascii="仿宋" w:hAnsi="仿宋" w:eastAsia="仿宋" w:cs="仿宋"/>
          <w:sz w:val="24"/>
        </w:rPr>
        <w:t>中的规定，准备和递交投标文件（包括资格证明文件、商务和技术文件）正本、副本和电子文档（投标文件正本的PDF格式文档），每份投标文件封皮须清楚地标明“正本”或“副本”。若正本和副本不符，以正本为准。</w:t>
      </w:r>
    </w:p>
    <w:p>
      <w:pPr>
        <w:pageBreakBefore w:val="0"/>
        <w:kinsoku/>
        <w:wordWrap w:val="0"/>
        <w:overflowPunct/>
        <w:topLinePunct w:val="0"/>
        <w:bidi w:val="0"/>
        <w:spacing w:line="240" w:lineRule="atLeast"/>
        <w:ind w:left="900" w:hanging="900" w:hangingChars="375"/>
        <w:rPr>
          <w:rFonts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投标文件的正本需打印或用不褪色墨水书写，并由投标人的法定代表人或其委托代理人按招标文件规定在投标文件上签字并加盖单位印章。</w:t>
      </w:r>
      <w:r>
        <w:rPr>
          <w:rFonts w:hint="eastAsia" w:ascii="仿宋" w:hAnsi="仿宋" w:eastAsia="仿宋" w:cs="仿宋"/>
          <w:sz w:val="24"/>
        </w:rPr>
        <w:t>委托代理人须持有书面的“法定代表人授权委托书”（投标文件格式二），并将其附在投标文件中。如对投标文件进行了修改，则应由投标人法定代表人或其委托代理人在每一修改处签字。</w:t>
      </w:r>
      <w:r>
        <w:rPr>
          <w:rFonts w:hint="eastAsia" w:ascii="仿宋" w:hAnsi="仿宋" w:eastAsia="仿宋" w:cs="仿宋"/>
          <w:b/>
          <w:bCs/>
          <w:sz w:val="24"/>
        </w:rPr>
        <w:t>投标文件的副本可采用正本的复印件。</w:t>
      </w:r>
    </w:p>
    <w:p>
      <w:pPr>
        <w:pageBreakBefore w:val="0"/>
        <w:kinsoku/>
        <w:wordWrap w:val="0"/>
        <w:overflowPunct/>
        <w:topLinePunct w:val="0"/>
        <w:bidi w:val="0"/>
        <w:spacing w:line="240" w:lineRule="atLeast"/>
        <w:ind w:left="900" w:hanging="900" w:hangingChars="375"/>
        <w:rPr>
          <w:rFonts w:ascii="仿宋" w:hAnsi="仿宋" w:eastAsia="仿宋" w:cs="仿宋"/>
          <w:b/>
          <w:bCs/>
          <w:sz w:val="24"/>
        </w:rPr>
      </w:pPr>
      <w:r>
        <w:rPr>
          <w:rFonts w:hint="eastAsia" w:ascii="仿宋" w:hAnsi="仿宋" w:eastAsia="仿宋" w:cs="仿宋"/>
          <w:sz w:val="24"/>
        </w:rPr>
        <w:t>14.3    所有投标文件采用不可拆装的胶订方式装订，否则将被认定为</w:t>
      </w:r>
      <w:r>
        <w:rPr>
          <w:rFonts w:hint="eastAsia" w:ascii="仿宋" w:hAnsi="仿宋" w:eastAsia="仿宋" w:cs="仿宋"/>
          <w:b/>
          <w:bCs/>
          <w:sz w:val="24"/>
        </w:rPr>
        <w:t>投标无效。</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14.4</w:t>
      </w:r>
      <w:r>
        <w:rPr>
          <w:rFonts w:hint="eastAsia" w:ascii="仿宋" w:hAnsi="仿宋" w:eastAsia="仿宋" w:cs="仿宋"/>
          <w:sz w:val="24"/>
        </w:rPr>
        <w:tab/>
      </w:r>
      <w:r>
        <w:rPr>
          <w:rFonts w:hint="eastAsia" w:ascii="仿宋" w:hAnsi="仿宋" w:eastAsia="仿宋" w:cs="仿宋"/>
          <w:sz w:val="24"/>
        </w:rPr>
        <w:t>投标文件因字迹潦草、表达不清或装订不当所引起的后果由投标人负责。</w:t>
      </w:r>
    </w:p>
    <w:p>
      <w:pPr>
        <w:pageBreakBefore w:val="0"/>
        <w:kinsoku/>
        <w:wordWrap w:val="0"/>
        <w:overflowPunct/>
        <w:topLinePunct w:val="0"/>
        <w:bidi w:val="0"/>
        <w:spacing w:line="240" w:lineRule="atLeast"/>
        <w:ind w:left="900" w:hanging="900" w:hangingChars="375"/>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69" w:name="_Toc518923078"/>
      <w:bookmarkStart w:id="70" w:name="_Toc22303"/>
      <w:bookmarkStart w:id="71" w:name="_Toc520356159"/>
      <w:bookmarkStart w:id="72" w:name="_Toc216582808"/>
      <w:r>
        <w:rPr>
          <w:rFonts w:hint="eastAsia" w:ascii="仿宋" w:hAnsi="仿宋" w:eastAsia="仿宋" w:cs="仿宋"/>
          <w:sz w:val="24"/>
        </w:rPr>
        <w:t>四   投标文件的递交</w:t>
      </w:r>
      <w:bookmarkEnd w:id="69"/>
      <w:bookmarkEnd w:id="70"/>
      <w:bookmarkEnd w:id="71"/>
      <w:bookmarkEnd w:id="72"/>
    </w:p>
    <w:p>
      <w:pPr>
        <w:pStyle w:val="11"/>
        <w:pageBreakBefore w:val="0"/>
        <w:kinsoku/>
        <w:wordWrap w:val="0"/>
        <w:overflowPunct/>
        <w:topLinePunct w:val="0"/>
        <w:bidi w:val="0"/>
        <w:rPr>
          <w:rFonts w:ascii="仿宋" w:hAnsi="仿宋" w:eastAsia="仿宋" w:cs="仿宋"/>
        </w:rPr>
      </w:pPr>
    </w:p>
    <w:p>
      <w:pPr>
        <w:pStyle w:val="9"/>
        <w:pageBreakBefore w:val="0"/>
        <w:kinsoku/>
        <w:wordWrap w:val="0"/>
        <w:overflowPunct/>
        <w:topLinePunct w:val="0"/>
        <w:bidi w:val="0"/>
        <w:spacing w:before="0" w:after="0" w:line="240" w:lineRule="atLeast"/>
        <w:rPr>
          <w:rFonts w:ascii="仿宋" w:hAnsi="仿宋" w:eastAsia="仿宋" w:cs="仿宋"/>
          <w:u w:val="none"/>
        </w:rPr>
      </w:pPr>
      <w:bookmarkStart w:id="73" w:name="_Toc520356160"/>
      <w:bookmarkStart w:id="74" w:name="_Toc518923079"/>
      <w:bookmarkStart w:id="75" w:name="_Toc13247"/>
      <w:r>
        <w:rPr>
          <w:rFonts w:hint="eastAsia" w:ascii="仿宋" w:hAnsi="仿宋" w:eastAsia="仿宋" w:cs="仿宋"/>
          <w:u w:val="none"/>
        </w:rPr>
        <w:t>15.投标文件的密封和标记</w:t>
      </w:r>
      <w:bookmarkEnd w:id="73"/>
      <w:bookmarkEnd w:id="74"/>
      <w:bookmarkEnd w:id="75"/>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15.1   投标文件三部分内容分别装订成册密封提交。</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15.2   所有包装封皮和信封上均应：</w:t>
      </w:r>
    </w:p>
    <w:p>
      <w:pPr>
        <w:pageBreakBefore w:val="0"/>
        <w:kinsoku/>
        <w:wordWrap w:val="0"/>
        <w:overflowPunct/>
        <w:topLinePunct w:val="0"/>
        <w:bidi w:val="0"/>
        <w:spacing w:line="240" w:lineRule="atLeast"/>
        <w:ind w:left="897" w:leftChars="399" w:hanging="60" w:hangingChars="25"/>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注明招标公告或投标邀请书中指明的项目名称、招标编号、包号、投标人名称和“在（开标时间）之前不得启封”的字样。</w:t>
      </w:r>
    </w:p>
    <w:p>
      <w:pPr>
        <w:pageBreakBefore w:val="0"/>
        <w:kinsoku/>
        <w:wordWrap w:val="0"/>
        <w:overflowPunct/>
        <w:topLinePunct w:val="0"/>
        <w:bidi w:val="0"/>
        <w:spacing w:line="240" w:lineRule="atLeast"/>
        <w:ind w:left="897" w:leftChars="399" w:hanging="60" w:hangingChars="25"/>
        <w:rPr>
          <w:rFonts w:ascii="仿宋" w:hAnsi="仿宋" w:eastAsia="仿宋" w:cs="仿宋"/>
          <w:b/>
          <w:bCs/>
          <w:sz w:val="24"/>
        </w:rPr>
      </w:pPr>
      <w:r>
        <w:rPr>
          <w:rFonts w:hint="eastAsia" w:ascii="仿宋" w:hAnsi="仿宋" w:eastAsia="仿宋" w:cs="仿宋"/>
          <w:sz w:val="24"/>
        </w:rPr>
        <w:t>（2）</w:t>
      </w:r>
      <w:r>
        <w:rPr>
          <w:rFonts w:hint="eastAsia" w:ascii="仿宋" w:hAnsi="仿宋" w:eastAsia="仿宋" w:cs="仿宋"/>
          <w:b/>
          <w:bCs/>
          <w:sz w:val="24"/>
        </w:rPr>
        <w:t>在封口处由法定代表人或其委托代理人签字或盖章并加盖单位印章。</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15.3    如果投标人未按上述要求密封，其投标文件将</w:t>
      </w:r>
      <w:r>
        <w:rPr>
          <w:rFonts w:hint="eastAsia" w:ascii="仿宋" w:hAnsi="仿宋" w:eastAsia="仿宋" w:cs="仿宋"/>
          <w:b/>
          <w:bCs/>
          <w:sz w:val="24"/>
        </w:rPr>
        <w:t>被拒绝接收。</w:t>
      </w:r>
    </w:p>
    <w:p>
      <w:pPr>
        <w:pageBreakBefore w:val="0"/>
        <w:kinsoku/>
        <w:wordWrap w:val="0"/>
        <w:overflowPunct/>
        <w:topLinePunct w:val="0"/>
        <w:bidi w:val="0"/>
        <w:spacing w:line="240" w:lineRule="atLeast"/>
        <w:ind w:left="900" w:hanging="900" w:hangingChars="375"/>
        <w:rPr>
          <w:rFonts w:ascii="仿宋" w:hAnsi="仿宋" w:eastAsia="仿宋" w:cs="仿宋"/>
          <w:b/>
          <w:sz w:val="24"/>
          <w:u w:val="single"/>
        </w:rPr>
      </w:pPr>
      <w:r>
        <w:rPr>
          <w:rFonts w:hint="eastAsia" w:ascii="仿宋" w:hAnsi="仿宋" w:eastAsia="仿宋" w:cs="仿宋"/>
          <w:sz w:val="24"/>
        </w:rPr>
        <w:t xml:space="preserve">15.4    </w:t>
      </w:r>
      <w:r>
        <w:rPr>
          <w:rFonts w:hint="eastAsia" w:ascii="仿宋" w:hAnsi="仿宋" w:eastAsia="仿宋" w:cs="仿宋"/>
          <w:b/>
          <w:sz w:val="24"/>
        </w:rPr>
        <w:t>为方便开标及进行资格审查，</w:t>
      </w:r>
      <w:r>
        <w:rPr>
          <w:rFonts w:hint="eastAsia" w:ascii="仿宋" w:hAnsi="仿宋" w:eastAsia="仿宋" w:cs="仿宋"/>
          <w:b/>
          <w:kern w:val="0"/>
          <w:sz w:val="24"/>
        </w:rPr>
        <w:t>投标人按本须知19.1规定现场提交一份投标资格证明文件。</w:t>
      </w:r>
      <w:r>
        <w:rPr>
          <w:rFonts w:hint="eastAsia" w:ascii="仿宋" w:hAnsi="仿宋" w:eastAsia="仿宋" w:cs="仿宋"/>
          <w:sz w:val="24"/>
          <w:u w:val="single"/>
        </w:rPr>
        <w:t>资格证明文件密封装订在其他投标文件中，其投标将被认定为</w:t>
      </w:r>
      <w:r>
        <w:rPr>
          <w:rFonts w:hint="eastAsia" w:ascii="仿宋" w:hAnsi="仿宋" w:eastAsia="仿宋" w:cs="仿宋"/>
          <w:b/>
          <w:bCs/>
          <w:sz w:val="24"/>
          <w:u w:val="single"/>
        </w:rPr>
        <w:t>投标无效</w:t>
      </w:r>
      <w:r>
        <w:rPr>
          <w:rFonts w:hint="eastAsia" w:ascii="仿宋" w:hAnsi="仿宋" w:eastAsia="仿宋" w:cs="仿宋"/>
          <w:b/>
          <w:sz w:val="24"/>
          <w:u w:val="single"/>
        </w:rPr>
        <w:t>。</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76" w:name="_Toc25787"/>
      <w:bookmarkStart w:id="77" w:name="_Toc520356161"/>
      <w:bookmarkStart w:id="78" w:name="_Toc518923080"/>
      <w:r>
        <w:rPr>
          <w:rFonts w:hint="eastAsia" w:ascii="仿宋" w:hAnsi="仿宋" w:eastAsia="仿宋" w:cs="仿宋"/>
          <w:u w:val="none"/>
        </w:rPr>
        <w:t>16.投标截止</w:t>
      </w:r>
      <w:bookmarkEnd w:id="76"/>
      <w:bookmarkEnd w:id="77"/>
      <w:bookmarkEnd w:id="78"/>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b/>
          <w:bCs/>
          <w:sz w:val="24"/>
          <w:u w:val="single"/>
        </w:rPr>
        <w:t>投标人须知资料表</w:t>
      </w:r>
      <w:r>
        <w:rPr>
          <w:rFonts w:hint="eastAsia" w:ascii="仿宋" w:hAnsi="仿宋" w:eastAsia="仿宋" w:cs="仿宋"/>
          <w:sz w:val="24"/>
        </w:rPr>
        <w:t>中规定的截止时间前，将投标文件递交到招标公告中规定的地点。</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采购人和采购代理机构有权按本须知的规定，延迟投标截止时间。在此情况下，采购人、采购代理机构和投标人受投标截止时间制约的所有权利和义务均应延长至新的截止时间。</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采购人和采购代理机构将拒绝接收在投标截止时间后送达的投标文件。</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79" w:name="_Toc13921"/>
      <w:bookmarkStart w:id="80" w:name="_Toc520356162"/>
      <w:bookmarkStart w:id="81" w:name="_Toc518923081"/>
      <w:r>
        <w:rPr>
          <w:rFonts w:hint="eastAsia" w:ascii="仿宋" w:hAnsi="仿宋" w:eastAsia="仿宋" w:cs="仿宋"/>
          <w:u w:val="none"/>
        </w:rPr>
        <w:t>17.投标文件的接收、修改与撤回</w:t>
      </w:r>
      <w:bookmarkEnd w:id="79"/>
      <w:bookmarkEnd w:id="80"/>
      <w:bookmarkEnd w:id="81"/>
    </w:p>
    <w:p>
      <w:pPr>
        <w:pageBreakBefore w:val="0"/>
        <w:kinsoku/>
        <w:wordWrap w:val="0"/>
        <w:overflowPunct/>
        <w:topLinePunct w:val="0"/>
        <w:bidi w:val="0"/>
        <w:spacing w:line="240" w:lineRule="atLeast"/>
        <w:ind w:left="900" w:hanging="900" w:hangingChars="375"/>
        <w:rPr>
          <w:rFonts w:ascii="仿宋" w:hAnsi="仿宋" w:eastAsia="仿宋" w:cs="仿宋"/>
          <w:b/>
        </w:rPr>
      </w:pPr>
      <w:r>
        <w:rPr>
          <w:rFonts w:hint="eastAsia" w:ascii="仿宋" w:hAnsi="仿宋" w:eastAsia="仿宋" w:cs="仿宋"/>
          <w:sz w:val="24"/>
        </w:rPr>
        <w:t>17.1   在投标截止时间后送达投标文件的，采购人和采购代理机构将拒绝接收。</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17.2</w:t>
      </w:r>
      <w:r>
        <w:rPr>
          <w:rFonts w:hint="eastAsia" w:ascii="仿宋" w:hAnsi="仿宋" w:eastAsia="仿宋" w:cs="仿宋"/>
          <w:sz w:val="24"/>
        </w:rPr>
        <w:tab/>
      </w:r>
      <w:r>
        <w:rPr>
          <w:rFonts w:hint="eastAsia" w:ascii="仿宋" w:hAnsi="仿宋" w:eastAsia="仿宋" w:cs="仿宋"/>
          <w:sz w:val="24"/>
        </w:rPr>
        <w:t>采购人或者采购代理机构收到投标文件后，应当如实记载投标文件的送达时间和密封情况，并向投标人出具以下签收回执。</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17.3   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val="0"/>
        <w:overflowPunct/>
        <w:topLinePunct w:val="0"/>
        <w:bidi w:val="0"/>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采购人和采购代理机构将予以接收，并视为投标文件的组成部分。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p>
    <w:p>
      <w:pPr>
        <w:pageBreakBefore w:val="0"/>
        <w:kinsoku/>
        <w:wordWrap w:val="0"/>
        <w:overflowPunct/>
        <w:topLinePunct w:val="0"/>
        <w:bidi w:val="0"/>
        <w:spacing w:line="240" w:lineRule="atLeast"/>
        <w:ind w:left="1079" w:leftChars="257" w:hanging="540"/>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82" w:name="_Toc520356163"/>
      <w:bookmarkStart w:id="83" w:name="_Toc10257"/>
      <w:bookmarkStart w:id="84" w:name="_Toc216582809"/>
      <w:bookmarkStart w:id="85" w:name="_Toc518923082"/>
      <w:r>
        <w:rPr>
          <w:rFonts w:hint="eastAsia" w:ascii="仿宋" w:hAnsi="仿宋" w:eastAsia="仿宋" w:cs="仿宋"/>
          <w:sz w:val="24"/>
        </w:rPr>
        <w:t>五   开标及评标</w:t>
      </w:r>
      <w:bookmarkEnd w:id="82"/>
      <w:bookmarkEnd w:id="83"/>
      <w:bookmarkEnd w:id="84"/>
      <w:bookmarkEnd w:id="85"/>
    </w:p>
    <w:p>
      <w:pPr>
        <w:pStyle w:val="11"/>
        <w:pageBreakBefore w:val="0"/>
        <w:kinsoku/>
        <w:wordWrap w:val="0"/>
        <w:overflowPunct/>
        <w:topLinePunct w:val="0"/>
        <w:bidi w:val="0"/>
        <w:rPr>
          <w:rFonts w:ascii="仿宋" w:hAnsi="仿宋" w:eastAsia="仿宋" w:cs="仿宋"/>
        </w:rPr>
      </w:pPr>
    </w:p>
    <w:p>
      <w:pPr>
        <w:pStyle w:val="9"/>
        <w:pageBreakBefore w:val="0"/>
        <w:kinsoku/>
        <w:wordWrap w:val="0"/>
        <w:overflowPunct/>
        <w:topLinePunct w:val="0"/>
        <w:bidi w:val="0"/>
        <w:spacing w:before="0" w:after="0" w:line="240" w:lineRule="atLeast"/>
        <w:rPr>
          <w:rFonts w:ascii="仿宋" w:hAnsi="仿宋" w:eastAsia="仿宋" w:cs="仿宋"/>
          <w:u w:val="none"/>
        </w:rPr>
      </w:pPr>
      <w:bookmarkStart w:id="86" w:name="_Toc518923083"/>
      <w:bookmarkStart w:id="87" w:name="_Toc8653"/>
      <w:bookmarkStart w:id="88" w:name="_Toc520356164"/>
      <w:r>
        <w:rPr>
          <w:rFonts w:hint="eastAsia" w:ascii="仿宋" w:hAnsi="仿宋" w:eastAsia="仿宋" w:cs="仿宋"/>
          <w:u w:val="none"/>
        </w:rPr>
        <w:t>18.开标</w:t>
      </w:r>
      <w:bookmarkEnd w:id="86"/>
      <w:bookmarkEnd w:id="87"/>
      <w:bookmarkEnd w:id="88"/>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rPr>
        <w:t>投标人须知资料表</w:t>
      </w:r>
      <w:r>
        <w:rPr>
          <w:rFonts w:hint="eastAsia" w:ascii="仿宋" w:hAnsi="仿宋" w:eastAsia="仿宋" w:cs="仿宋"/>
          <w:sz w:val="24"/>
        </w:rPr>
        <w:t xml:space="preserve">中规定的开标时间和地点组织公开开标并邀请所有投标人代表参加。  </w:t>
      </w:r>
    </w:p>
    <w:p>
      <w:pPr>
        <w:pageBreakBefore w:val="0"/>
        <w:kinsoku/>
        <w:wordWrap w:val="0"/>
        <w:overflowPunct/>
        <w:topLinePunct w:val="0"/>
        <w:bidi w:val="0"/>
        <w:spacing w:line="240" w:lineRule="atLeast"/>
        <w:ind w:firstLine="960" w:firstLineChars="400"/>
        <w:rPr>
          <w:rFonts w:ascii="仿宋" w:hAnsi="仿宋" w:eastAsia="仿宋" w:cs="仿宋"/>
          <w:sz w:val="24"/>
        </w:rPr>
      </w:pPr>
      <w:r>
        <w:rPr>
          <w:rFonts w:hint="eastAsia" w:ascii="仿宋" w:hAnsi="仿宋" w:eastAsia="仿宋" w:cs="仿宋"/>
          <w:sz w:val="24"/>
        </w:rPr>
        <w:t>投标人不足3家的，不得开标。</w:t>
      </w:r>
    </w:p>
    <w:p>
      <w:pPr>
        <w:pageBreakBefore w:val="0"/>
        <w:kinsoku/>
        <w:wordWrap w:val="0"/>
        <w:overflowPunct/>
        <w:topLinePunct w:val="0"/>
        <w:bidi w:val="0"/>
        <w:spacing w:line="240" w:lineRule="atLeast"/>
        <w:ind w:left="960" w:hanging="960" w:hangingChars="400"/>
        <w:rPr>
          <w:rFonts w:ascii="仿宋" w:hAnsi="仿宋" w:eastAsia="仿宋" w:cs="仿宋"/>
          <w:sz w:val="24"/>
        </w:rPr>
      </w:pPr>
      <w:r>
        <w:rPr>
          <w:rFonts w:hint="eastAsia" w:ascii="仿宋" w:hAnsi="仿宋" w:eastAsia="仿宋" w:cs="仿宋"/>
          <w:sz w:val="24"/>
        </w:rPr>
        <w:t>18.2   开标时，由投标人或其推选的代表检查自己及代表的投标文件的密封情况，经记录后，由采购人或采购代理机构当众拆封开标一览表，宣读投标人名称、投标价格及开标一览表规定的内容。对于投标人在投标截止期前递交的投标声明，在开标时当众宣读，评标时有效。</w:t>
      </w:r>
    </w:p>
    <w:p>
      <w:pPr>
        <w:pageBreakBefore w:val="0"/>
        <w:kinsoku/>
        <w:wordWrap w:val="0"/>
        <w:overflowPunct/>
        <w:topLinePunct w:val="0"/>
        <w:bidi w:val="0"/>
        <w:spacing w:line="240" w:lineRule="atLeast"/>
        <w:ind w:left="1078" w:leftChars="428" w:hanging="180" w:hangingChars="75"/>
        <w:rPr>
          <w:rFonts w:ascii="仿宋" w:hAnsi="仿宋" w:eastAsia="仿宋" w:cs="仿宋"/>
          <w:sz w:val="24"/>
        </w:rPr>
      </w:pPr>
      <w:r>
        <w:rPr>
          <w:rFonts w:hint="eastAsia" w:ascii="仿宋" w:hAnsi="仿宋" w:eastAsia="仿宋" w:cs="仿宋"/>
          <w:sz w:val="24"/>
        </w:rPr>
        <w:t>未宣读投标价格、价格折扣等实质内容，评标时不予承认。</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18.3    采购人或采购代理机构将对开标过程进行记录</w:t>
      </w:r>
      <w:bookmarkStart w:id="89" w:name="_Toc520356165"/>
      <w:r>
        <w:rPr>
          <w:rFonts w:hint="eastAsia" w:ascii="仿宋" w:hAnsi="仿宋" w:eastAsia="仿宋" w:cs="仿宋"/>
          <w:sz w:val="24"/>
        </w:rPr>
        <w:t>，由参加开标的各投标人代表和相关工作人员签字确认，并存档备查。</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18.4    投标人代表对开标过程和开标记录有疑义，以及认为采购人、采购代理机构相关工作人员有需要回避的情形的，应当场提出询问或者回避申请。</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90" w:name="_Toc34"/>
      <w:bookmarkStart w:id="91" w:name="_Toc518923084"/>
      <w:r>
        <w:rPr>
          <w:rFonts w:hint="eastAsia" w:ascii="仿宋" w:hAnsi="仿宋" w:eastAsia="仿宋" w:cs="仿宋"/>
          <w:u w:val="none"/>
        </w:rPr>
        <w:t>19</w:t>
      </w:r>
      <w:bookmarkEnd w:id="89"/>
      <w:r>
        <w:rPr>
          <w:rFonts w:hint="eastAsia" w:ascii="仿宋" w:hAnsi="仿宋" w:eastAsia="仿宋" w:cs="仿宋"/>
          <w:u w:val="none"/>
        </w:rPr>
        <w:t>.资格审查及组建评标委员会</w:t>
      </w:r>
      <w:bookmarkEnd w:id="90"/>
      <w:bookmarkEnd w:id="91"/>
    </w:p>
    <w:p>
      <w:pPr>
        <w:pageBreakBefore w:val="0"/>
        <w:kinsoku/>
        <w:wordWrap w:val="0"/>
        <w:overflowPunct/>
        <w:topLinePunct w:val="0"/>
        <w:bidi w:val="0"/>
        <w:spacing w:line="240" w:lineRule="atLeast"/>
        <w:ind w:left="960" w:hanging="960" w:hangingChars="400"/>
        <w:rPr>
          <w:rFonts w:ascii="仿宋" w:hAnsi="仿宋" w:eastAsia="仿宋" w:cs="仿宋"/>
          <w:sz w:val="24"/>
        </w:rPr>
      </w:pPr>
      <w:r>
        <w:rPr>
          <w:rFonts w:hint="eastAsia" w:ascii="仿宋" w:hAnsi="仿宋" w:eastAsia="仿宋" w:cs="仿宋"/>
          <w:sz w:val="24"/>
        </w:rPr>
        <w:t>19.1    采购人或采购代理机构依据法律法规和招标文件中规定的内容，对投标人的资格进行审查。未通过资格审查的投标人不进入评标；进入评标的投标人不足3家的，不得评标。</w:t>
      </w:r>
    </w:p>
    <w:p>
      <w:pPr>
        <w:pageBreakBefore w:val="0"/>
        <w:widowControl/>
        <w:kinsoku/>
        <w:wordWrap w:val="0"/>
        <w:overflowPunct/>
        <w:topLinePunct w:val="0"/>
        <w:bidi w:val="0"/>
        <w:spacing w:line="240" w:lineRule="atLeast"/>
        <w:ind w:left="957" w:leftChars="456" w:firstLine="60" w:firstLineChars="25"/>
        <w:rPr>
          <w:rFonts w:ascii="仿宋" w:hAnsi="仿宋" w:eastAsia="仿宋" w:cs="仿宋"/>
          <w:b/>
          <w:bCs/>
          <w:kern w:val="0"/>
          <w:sz w:val="24"/>
        </w:rPr>
      </w:pPr>
      <w:bookmarkStart w:id="92" w:name="_Hlk22377230"/>
      <w:r>
        <w:rPr>
          <w:rFonts w:hint="eastAsia" w:ascii="仿宋" w:hAnsi="仿宋" w:eastAsia="仿宋" w:cs="仿宋"/>
          <w:b/>
          <w:kern w:val="0"/>
          <w:sz w:val="24"/>
        </w:rPr>
        <w:t>投标人现场准备的投标资格证明文件应按下列顺序提供，</w:t>
      </w:r>
      <w:r>
        <w:rPr>
          <w:rFonts w:hint="eastAsia" w:ascii="仿宋" w:hAnsi="仿宋" w:eastAsia="仿宋" w:cs="仿宋"/>
          <w:b/>
          <w:bCs/>
          <w:kern w:val="0"/>
          <w:sz w:val="24"/>
        </w:rPr>
        <w:t>其中 ：</w:t>
      </w:r>
      <w:r>
        <w:rPr>
          <w:rFonts w:hint="eastAsia" w:ascii="仿宋" w:hAnsi="仿宋" w:eastAsia="仿宋" w:cs="仿宋"/>
          <w:b/>
          <w:bCs/>
          <w:color w:val="FF0000"/>
          <w:kern w:val="0"/>
          <w:sz w:val="24"/>
        </w:rPr>
        <w:t>1~</w:t>
      </w:r>
      <w:r>
        <w:rPr>
          <w:rFonts w:hint="eastAsia" w:ascii="仿宋" w:hAnsi="仿宋" w:eastAsia="仿宋" w:cs="仿宋"/>
          <w:b/>
          <w:bCs/>
          <w:color w:val="FF0000"/>
          <w:kern w:val="0"/>
          <w:sz w:val="24"/>
          <w:lang w:val="en-US" w:eastAsia="zh-CN"/>
        </w:rPr>
        <w:t>8</w:t>
      </w:r>
      <w:r>
        <w:rPr>
          <w:rFonts w:hint="eastAsia" w:ascii="仿宋" w:hAnsi="仿宋" w:eastAsia="仿宋" w:cs="仿宋"/>
          <w:b/>
          <w:bCs/>
          <w:color w:val="FF0000"/>
          <w:kern w:val="0"/>
          <w:sz w:val="24"/>
        </w:rPr>
        <w:t>项</w:t>
      </w:r>
      <w:r>
        <w:rPr>
          <w:rFonts w:hint="eastAsia" w:ascii="仿宋" w:hAnsi="仿宋" w:eastAsia="仿宋" w:cs="仿宋"/>
          <w:b/>
          <w:bCs/>
          <w:kern w:val="0"/>
          <w:sz w:val="24"/>
        </w:rPr>
        <w:t>为开标时资格审查的必备条件，在规定的投标截止时间内未提供则视为对招标文件资格审查内容的不响应，投标将被拒绝，（不接受第二次提供）。</w:t>
      </w:r>
    </w:p>
    <w:bookmarkEnd w:id="92"/>
    <w:p>
      <w:pPr>
        <w:pageBreakBefore w:val="0"/>
        <w:kinsoku/>
        <w:wordWrap w:val="0"/>
        <w:overflowPunct/>
        <w:topLinePunct w:val="0"/>
        <w:bidi w:val="0"/>
        <w:spacing w:line="240" w:lineRule="atLeast"/>
        <w:ind w:left="973" w:leftChars="230" w:hanging="491" w:hangingChars="205"/>
        <w:rPr>
          <w:rFonts w:ascii="仿宋" w:hAnsi="仿宋" w:eastAsia="仿宋"/>
          <w:sz w:val="24"/>
        </w:rPr>
      </w:pPr>
      <w:r>
        <w:rPr>
          <w:rFonts w:hint="eastAsia" w:ascii="仿宋" w:hAnsi="仿宋" w:eastAsia="仿宋"/>
          <w:sz w:val="24"/>
        </w:rPr>
        <w:t>1、</w:t>
      </w:r>
      <w:r>
        <w:rPr>
          <w:rFonts w:hint="eastAsia" w:ascii="仿宋" w:hAnsi="仿宋" w:eastAsia="仿宋" w:cs="仿宋"/>
          <w:color w:val="000000"/>
          <w:kern w:val="0"/>
          <w:sz w:val="22"/>
          <w:szCs w:val="22"/>
        </w:rPr>
        <w:t>是否具备有效的营业执照；</w:t>
      </w:r>
    </w:p>
    <w:p>
      <w:pPr>
        <w:pageBreakBefore w:val="0"/>
        <w:kinsoku/>
        <w:wordWrap w:val="0"/>
        <w:overflowPunct/>
        <w:topLinePunct w:val="0"/>
        <w:bidi w:val="0"/>
        <w:spacing w:line="240" w:lineRule="atLeast"/>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cs="仿宋"/>
          <w:color w:val="000000"/>
          <w:kern w:val="0"/>
          <w:sz w:val="22"/>
          <w:szCs w:val="22"/>
        </w:rPr>
        <w:t>是否具备有效的资质证书</w:t>
      </w:r>
      <w:r>
        <w:rPr>
          <w:rFonts w:hint="eastAsia" w:ascii="仿宋" w:hAnsi="仿宋" w:eastAsia="仿宋"/>
          <w:sz w:val="24"/>
        </w:rPr>
        <w:t>；</w:t>
      </w:r>
    </w:p>
    <w:p>
      <w:pPr>
        <w:pageBreakBefore w:val="0"/>
        <w:kinsoku/>
        <w:wordWrap w:val="0"/>
        <w:overflowPunct/>
        <w:topLinePunct w:val="0"/>
        <w:bidi w:val="0"/>
        <w:spacing w:line="240" w:lineRule="atLeast"/>
        <w:ind w:left="838" w:leftChars="228" w:hanging="360" w:hangingChars="150"/>
        <w:rPr>
          <w:rFonts w:ascii="仿宋" w:hAnsi="仿宋" w:eastAsia="仿宋"/>
          <w:sz w:val="24"/>
        </w:rPr>
      </w:pPr>
      <w:r>
        <w:rPr>
          <w:rFonts w:hint="eastAsia" w:ascii="仿宋" w:hAnsi="仿宋" w:eastAsia="仿宋"/>
          <w:sz w:val="24"/>
        </w:rPr>
        <w:t>3、法人本人投标的提供法人身份证明及身份证，被授权委托人需提供法人授权委托书及身份证；</w:t>
      </w:r>
    </w:p>
    <w:p>
      <w:pPr>
        <w:pageBreakBefore w:val="0"/>
        <w:kinsoku/>
        <w:wordWrap w:val="0"/>
        <w:overflowPunct/>
        <w:topLinePunct w:val="0"/>
        <w:bidi w:val="0"/>
        <w:spacing w:line="240" w:lineRule="atLeast"/>
        <w:ind w:left="898" w:leftChars="228" w:hanging="420" w:hangingChars="175"/>
      </w:pPr>
      <w:r>
        <w:rPr>
          <w:rFonts w:hint="eastAsia" w:ascii="仿宋" w:hAnsi="仿宋" w:eastAsia="仿宋"/>
          <w:sz w:val="24"/>
        </w:rPr>
        <w:t>4、供应商未被列入中国执行信息公开网（http://zxgk.court.gov.cn/shixin/）失信被执行人名单</w:t>
      </w:r>
      <w:r>
        <w:rPr>
          <w:rFonts w:hint="eastAsia" w:ascii="仿宋" w:hAnsi="仿宋" w:eastAsia="仿宋"/>
          <w:b/>
          <w:bCs/>
          <w:sz w:val="24"/>
        </w:rPr>
        <w:t>（企业、法定代表人）</w:t>
      </w:r>
      <w:r>
        <w:rPr>
          <w:rFonts w:hint="eastAsia" w:ascii="仿宋" w:hAnsi="仿宋" w:eastAsia="仿宋"/>
          <w:sz w:val="24"/>
        </w:rPr>
        <w:t>、信用中国网站（www.creditchina.gov.cn）重大税收违法案件当事人名单和中国政府采购网（www.ccgp.gov.cn）政府采购严重违法失信行为记录名单；</w:t>
      </w:r>
    </w:p>
    <w:p>
      <w:pPr>
        <w:pStyle w:val="2"/>
        <w:pageBreakBefore w:val="0"/>
        <w:kinsoku/>
        <w:wordWrap w:val="0"/>
        <w:overflowPunct/>
        <w:topLinePunct w:val="0"/>
        <w:bidi w:val="0"/>
        <w:ind w:firstLine="480"/>
      </w:pPr>
      <w:r>
        <w:rPr>
          <w:rFonts w:hint="eastAsia" w:ascii="仿宋" w:hAnsi="仿宋" w:eastAsia="仿宋"/>
        </w:rPr>
        <w:t>5、</w:t>
      </w:r>
      <w:r>
        <w:rPr>
          <w:rFonts w:hint="eastAsia" w:ascii="仿宋" w:hAnsi="仿宋" w:eastAsia="仿宋" w:cs="仿宋"/>
          <w:color w:val="000000"/>
          <w:kern w:val="0"/>
          <w:sz w:val="22"/>
          <w:szCs w:val="22"/>
        </w:rPr>
        <w:t>项目负责人是否符合招标文件要求；</w:t>
      </w:r>
    </w:p>
    <w:p>
      <w:pPr>
        <w:pageBreakBefore w:val="0"/>
        <w:kinsoku/>
        <w:wordWrap w:val="0"/>
        <w:overflowPunct/>
        <w:topLinePunct w:val="0"/>
        <w:bidi w:val="0"/>
        <w:spacing w:line="240" w:lineRule="atLeast"/>
        <w:ind w:left="718" w:leftChars="228" w:hanging="240" w:hangingChars="100"/>
        <w:rPr>
          <w:rFonts w:ascii="仿宋" w:hAnsi="仿宋" w:eastAsia="仿宋"/>
          <w:sz w:val="24"/>
        </w:rPr>
      </w:pPr>
      <w:r>
        <w:rPr>
          <w:rFonts w:hint="eastAsia" w:ascii="仿宋" w:hAnsi="仿宋" w:eastAsia="仿宋"/>
          <w:sz w:val="24"/>
        </w:rPr>
        <w:t>6、</w:t>
      </w:r>
      <w:r>
        <w:rPr>
          <w:rFonts w:hint="eastAsia" w:ascii="仿宋" w:hAnsi="仿宋" w:eastAsia="仿宋" w:cs="仿宋"/>
          <w:color w:val="000000"/>
          <w:kern w:val="0"/>
          <w:sz w:val="22"/>
          <w:szCs w:val="22"/>
        </w:rPr>
        <w:t>是否按照招标文件要求缴纳投标保证金</w:t>
      </w:r>
      <w:r>
        <w:rPr>
          <w:rFonts w:hint="eastAsia" w:ascii="仿宋" w:hAnsi="仿宋" w:eastAsia="仿宋"/>
          <w:sz w:val="24"/>
        </w:rPr>
        <w:t>；</w:t>
      </w:r>
    </w:p>
    <w:p>
      <w:pPr>
        <w:pageBreakBefore w:val="0"/>
        <w:kinsoku/>
        <w:wordWrap w:val="0"/>
        <w:overflowPunct/>
        <w:topLinePunct w:val="0"/>
        <w:bidi w:val="0"/>
        <w:spacing w:line="240" w:lineRule="atLeast"/>
        <w:ind w:firstLine="480" w:firstLineChars="200"/>
        <w:rPr>
          <w:rFonts w:ascii="仿宋" w:hAnsi="仿宋" w:eastAsia="仿宋"/>
          <w:sz w:val="24"/>
        </w:rPr>
      </w:pPr>
      <w:r>
        <w:rPr>
          <w:rFonts w:hint="eastAsia" w:ascii="仿宋" w:hAnsi="仿宋" w:eastAsia="仿宋"/>
          <w:sz w:val="24"/>
        </w:rPr>
        <w:t>7、提供针对本次项目的反商业贿赂承诺书；</w:t>
      </w:r>
    </w:p>
    <w:p>
      <w:pPr>
        <w:pageBreakBefore w:val="0"/>
        <w:kinsoku/>
        <w:wordWrap w:val="0"/>
        <w:overflowPunct/>
        <w:topLinePunct w:val="0"/>
        <w:bidi w:val="0"/>
        <w:spacing w:line="240" w:lineRule="atLeast"/>
        <w:ind w:firstLine="480" w:firstLineChars="200"/>
        <w:rPr>
          <w:rFonts w:ascii="仿宋" w:hAnsi="仿宋" w:eastAsia="仿宋" w:cs="仿宋"/>
          <w:color w:val="000000"/>
          <w:sz w:val="24"/>
        </w:rPr>
      </w:pPr>
      <w:r>
        <w:rPr>
          <w:rFonts w:hint="eastAsia" w:ascii="仿宋" w:hAnsi="仿宋" w:eastAsia="仿宋"/>
          <w:sz w:val="24"/>
        </w:rPr>
        <w:t>8、</w:t>
      </w:r>
      <w:r>
        <w:rPr>
          <w:rFonts w:hint="eastAsia" w:ascii="仿宋" w:hAnsi="仿宋" w:eastAsia="仿宋" w:cs="仿宋"/>
          <w:color w:val="000000"/>
          <w:kern w:val="0"/>
          <w:sz w:val="22"/>
          <w:szCs w:val="22"/>
        </w:rPr>
        <w:t>联合体协议书（如有）</w:t>
      </w:r>
      <w:r>
        <w:rPr>
          <w:rFonts w:hint="eastAsia" w:ascii="仿宋" w:hAnsi="仿宋" w:eastAsia="仿宋" w:cs="仿宋"/>
          <w:color w:val="000000"/>
          <w:sz w:val="24"/>
        </w:rPr>
        <w:t>。</w:t>
      </w:r>
    </w:p>
    <w:p>
      <w:pPr>
        <w:pageBreakBefore w:val="0"/>
        <w:kinsoku/>
        <w:wordWrap w:val="0"/>
        <w:overflowPunct/>
        <w:topLinePunct w:val="0"/>
        <w:bidi w:val="0"/>
        <w:spacing w:line="240" w:lineRule="atLeast"/>
        <w:ind w:firstLine="480"/>
        <w:rPr>
          <w:rFonts w:ascii="仿宋" w:hAnsi="仿宋" w:eastAsia="仿宋" w:cs="仿宋"/>
          <w:sz w:val="24"/>
        </w:rPr>
      </w:pPr>
      <w:r>
        <w:rPr>
          <w:rFonts w:hint="eastAsia" w:ascii="仿宋" w:hAnsi="仿宋" w:eastAsia="仿宋" w:cs="仿宋"/>
          <w:b/>
          <w:iCs/>
          <w:color w:val="000000"/>
          <w:sz w:val="24"/>
        </w:rPr>
        <w:t>通过资格审查的投标人少于不足三家的，不得评标。</w:t>
      </w:r>
    </w:p>
    <w:p>
      <w:pPr>
        <w:pageBreakBefore w:val="0"/>
        <w:kinsoku/>
        <w:wordWrap w:val="0"/>
        <w:overflowPunct/>
        <w:topLinePunct w:val="0"/>
        <w:bidi w:val="0"/>
        <w:spacing w:line="240" w:lineRule="atLeast"/>
        <w:ind w:left="720" w:hanging="720" w:hangingChars="300"/>
        <w:rPr>
          <w:rFonts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采购人或采购代理机构将在开标前1个工作日至投标截止后1小时的期间内查询投标人的信用记录。投标人存在不良信用记录的，其投标将被认定为投标无效。</w:t>
      </w:r>
    </w:p>
    <w:p>
      <w:pPr>
        <w:pageBreakBefore w:val="0"/>
        <w:kinsoku/>
        <w:wordWrap w:val="0"/>
        <w:overflowPunct/>
        <w:topLinePunct w:val="0"/>
        <w:bidi w:val="0"/>
        <w:spacing w:line="240" w:lineRule="atLeast"/>
        <w:ind w:left="720" w:hanging="720" w:hangingChars="300"/>
        <w:rPr>
          <w:rFonts w:ascii="仿宋" w:hAnsi="仿宋" w:eastAsia="仿宋" w:cs="仿宋"/>
          <w:color w:val="FF0000"/>
          <w:sz w:val="24"/>
        </w:rPr>
      </w:pPr>
      <w:r>
        <w:rPr>
          <w:rFonts w:hint="eastAsia" w:ascii="仿宋" w:hAnsi="仿宋" w:eastAsia="仿宋" w:cs="仿宋"/>
          <w:color w:val="000000"/>
          <w:sz w:val="24"/>
        </w:rPr>
        <w:t>19.2.1  不良信用记录指：符合《中华人民共和国政府采购法》第二十二条的规定,且必须为</w:t>
      </w:r>
      <w:r>
        <w:rPr>
          <w:rFonts w:hint="eastAsia" w:ascii="仿宋" w:hAnsi="仿宋" w:eastAsia="仿宋"/>
          <w:sz w:val="24"/>
        </w:rPr>
        <w:t>未被列入中国执行信息公开网（http://zxgk.court.gov.cn/shixin/）失信被执行人名单</w:t>
      </w:r>
      <w:r>
        <w:rPr>
          <w:rFonts w:hint="eastAsia" w:ascii="仿宋" w:hAnsi="仿宋" w:eastAsia="仿宋"/>
          <w:b/>
          <w:bCs/>
          <w:sz w:val="24"/>
        </w:rPr>
        <w:t>（企业、法定代表人）</w:t>
      </w:r>
      <w:r>
        <w:rPr>
          <w:rFonts w:hint="eastAsia" w:ascii="仿宋" w:hAnsi="仿宋" w:eastAsia="仿宋"/>
          <w:sz w:val="24"/>
        </w:rPr>
        <w:t>、信用中国网站（www.creditchina.gov.cn）重大税收违法案件当事人名单和中国政府采购网（www.ccgp.gov.cn）政府采购严重违法失信行为记录名单</w:t>
      </w:r>
      <w:r>
        <w:rPr>
          <w:rFonts w:hint="eastAsia" w:ascii="仿宋" w:hAnsi="仿宋" w:eastAsia="仿宋" w:cs="仿宋"/>
          <w:color w:val="000000"/>
          <w:sz w:val="24"/>
        </w:rPr>
        <w:t>，</w:t>
      </w:r>
      <w:r>
        <w:rPr>
          <w:rFonts w:hint="eastAsia" w:ascii="仿宋" w:hAnsi="仿宋" w:eastAsia="仿宋" w:cs="仿宋"/>
          <w:color w:val="FF0000"/>
          <w:sz w:val="24"/>
        </w:rPr>
        <w:t>裁判文书网（wenshu.court.gov.cn）查询在合同纠纷裁决中不得参加本项目招标，国家企业公示信息系统（www.gsxt.gov.cn）查询诚信记录如有严重行政处罚信息不得参加本项目（查询结果以代理公司开标现场核查为准）</w:t>
      </w:r>
    </w:p>
    <w:p>
      <w:pPr>
        <w:pageBreakBefore w:val="0"/>
        <w:kinsoku/>
        <w:wordWrap w:val="0"/>
        <w:overflowPunct/>
        <w:topLinePunct w:val="0"/>
        <w:bidi w:val="0"/>
        <w:spacing w:line="240" w:lineRule="atLeast"/>
        <w:ind w:left="718" w:leftChars="342"/>
        <w:rPr>
          <w:rFonts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11"/>
        <w:pageBreakBefore w:val="0"/>
        <w:kinsoku/>
        <w:wordWrap w:val="0"/>
        <w:overflowPunct/>
        <w:topLinePunct w:val="0"/>
        <w:bidi w:val="0"/>
        <w:spacing w:line="240" w:lineRule="atLeast"/>
        <w:ind w:left="850" w:hanging="849" w:hangingChars="354"/>
        <w:jc w:val="both"/>
        <w:rPr>
          <w:rFonts w:ascii="仿宋" w:hAnsi="仿宋" w:eastAsia="仿宋" w:cs="仿宋"/>
          <w:color w:val="FF0000"/>
          <w:kern w:val="2"/>
          <w:szCs w:val="24"/>
        </w:rPr>
      </w:pPr>
      <w:r>
        <w:rPr>
          <w:rFonts w:hint="eastAsia" w:ascii="仿宋" w:hAnsi="仿宋" w:eastAsia="仿宋" w:cs="仿宋"/>
        </w:rPr>
        <w:t xml:space="preserve">19.2.2 </w:t>
      </w:r>
      <w:r>
        <w:rPr>
          <w:rFonts w:hint="eastAsia" w:ascii="仿宋" w:hAnsi="仿宋" w:eastAsia="仿宋" w:cs="仿宋"/>
          <w:color w:val="FF0000"/>
          <w:kern w:val="2"/>
          <w:szCs w:val="24"/>
        </w:rPr>
        <w:t>查询及记录方式：采购人或采购代理机构经办人将查询网页打印、签字并存档备查。投标人不良信用记录以采购人或采购代理机构查询结果为准。</w:t>
      </w:r>
    </w:p>
    <w:p>
      <w:pPr>
        <w:pStyle w:val="11"/>
        <w:pageBreakBefore w:val="0"/>
        <w:kinsoku/>
        <w:wordWrap w:val="0"/>
        <w:overflowPunct/>
        <w:topLinePunct w:val="0"/>
        <w:bidi w:val="0"/>
        <w:spacing w:line="240" w:lineRule="atLeast"/>
        <w:ind w:left="850" w:leftChars="405" w:firstLine="0"/>
        <w:jc w:val="both"/>
        <w:rPr>
          <w:rFonts w:ascii="仿宋" w:hAnsi="仿宋" w:eastAsia="仿宋" w:cs="仿宋"/>
          <w:color w:val="FF0000"/>
          <w:kern w:val="2"/>
          <w:szCs w:val="24"/>
        </w:rPr>
      </w:pPr>
      <w:r>
        <w:rPr>
          <w:rFonts w:hint="eastAsia" w:ascii="仿宋" w:hAnsi="仿宋" w:eastAsia="仿宋" w:cs="仿宋"/>
          <w:color w:val="FF0000"/>
          <w:kern w:val="2"/>
          <w:szCs w:val="24"/>
        </w:rPr>
        <w:t>在本招标文件规定的查询时间之后，网站信息发生的任何变更均不再作为评标依据。</w:t>
      </w:r>
    </w:p>
    <w:p>
      <w:pPr>
        <w:pStyle w:val="11"/>
        <w:pageBreakBefore w:val="0"/>
        <w:kinsoku/>
        <w:wordWrap w:val="0"/>
        <w:overflowPunct/>
        <w:topLinePunct w:val="0"/>
        <w:bidi w:val="0"/>
        <w:spacing w:line="240" w:lineRule="atLeast"/>
        <w:ind w:left="850" w:leftChars="405" w:firstLine="0"/>
        <w:jc w:val="both"/>
        <w:rPr>
          <w:rFonts w:ascii="仿宋" w:hAnsi="仿宋" w:eastAsia="仿宋" w:cs="仿宋"/>
          <w:color w:val="FF0000"/>
        </w:rPr>
      </w:pPr>
      <w:r>
        <w:rPr>
          <w:rFonts w:hint="eastAsia" w:ascii="仿宋" w:hAnsi="仿宋" w:eastAsia="仿宋" w:cs="仿宋"/>
          <w:color w:val="FF0000"/>
          <w:kern w:val="2"/>
          <w:szCs w:val="24"/>
        </w:rPr>
        <w:t>投标人自行提供的与网站信</w:t>
      </w:r>
      <w:r>
        <w:rPr>
          <w:rFonts w:hint="eastAsia" w:ascii="仿宋" w:hAnsi="仿宋" w:eastAsia="仿宋" w:cs="仿宋"/>
          <w:color w:val="FF0000"/>
        </w:rPr>
        <w:t>息不一致的其他证明材料亦不作为资格审查的依据。</w:t>
      </w:r>
    </w:p>
    <w:p>
      <w:pPr>
        <w:pageBreakBefore w:val="0"/>
        <w:kinsoku/>
        <w:wordWrap w:val="0"/>
        <w:overflowPunct/>
        <w:topLinePunct w:val="0"/>
        <w:bidi w:val="0"/>
        <w:spacing w:line="240" w:lineRule="atLeast"/>
        <w:ind w:left="850" w:hanging="849" w:hangingChars="354"/>
        <w:rPr>
          <w:rFonts w:ascii="仿宋" w:hAnsi="仿宋" w:eastAsia="仿宋" w:cs="仿宋"/>
          <w:sz w:val="24"/>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93" w:name="_Toc520356166"/>
      <w:r>
        <w:rPr>
          <w:rFonts w:hint="eastAsia" w:ascii="仿宋" w:hAnsi="仿宋" w:eastAsia="仿宋" w:cs="仿宋"/>
          <w:b/>
          <w:bCs/>
          <w:i/>
          <w:iCs/>
          <w:color w:val="000000"/>
          <w:sz w:val="24"/>
          <w:u w:val="single"/>
        </w:rPr>
        <w:t>本项目评标委员会成员5名，在政府采购网专家库随机抽取。</w:t>
      </w:r>
    </w:p>
    <w:p>
      <w:pPr>
        <w:pStyle w:val="9"/>
        <w:pageBreakBefore w:val="0"/>
        <w:kinsoku/>
        <w:wordWrap w:val="0"/>
        <w:overflowPunct/>
        <w:topLinePunct w:val="0"/>
        <w:bidi w:val="0"/>
        <w:spacing w:before="0" w:after="0" w:line="240" w:lineRule="atLeast"/>
        <w:rPr>
          <w:rFonts w:ascii="仿宋" w:hAnsi="仿宋" w:eastAsia="仿宋" w:cs="仿宋"/>
          <w:b w:val="0"/>
          <w:bCs/>
          <w:bdr w:val="single" w:color="auto" w:sz="4" w:space="0"/>
        </w:rPr>
      </w:pPr>
      <w:bookmarkStart w:id="94" w:name="_Toc6842"/>
      <w:bookmarkStart w:id="95" w:name="_Toc518923085"/>
      <w:r>
        <w:rPr>
          <w:rFonts w:hint="eastAsia" w:ascii="仿宋" w:hAnsi="仿宋" w:eastAsia="仿宋" w:cs="仿宋"/>
          <w:u w:val="none"/>
        </w:rPr>
        <w:t>20.投标文件的</w:t>
      </w:r>
      <w:bookmarkEnd w:id="93"/>
      <w:r>
        <w:rPr>
          <w:rFonts w:hint="eastAsia" w:ascii="仿宋" w:hAnsi="仿宋" w:eastAsia="仿宋" w:cs="仿宋"/>
          <w:u w:val="none"/>
        </w:rPr>
        <w:t>符合性审查与澄清</w:t>
      </w:r>
      <w:bookmarkEnd w:id="94"/>
      <w:bookmarkEnd w:id="95"/>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96" w:name="_Hlt522424701"/>
      <w:bookmarkEnd w:id="96"/>
      <w:bookmarkStart w:id="97" w:name="_Toc520356167"/>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20.2.2  投标人的澄清、说明或补正将作为投标文件的一部分。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20.3   投标文件报价出现前后不一致的，按照下列规定修正：</w:t>
      </w:r>
    </w:p>
    <w:p>
      <w:pPr>
        <w:pageBreakBefore w:val="0"/>
        <w:kinsoku/>
        <w:wordWrap w:val="0"/>
        <w:overflowPunct/>
        <w:topLinePunct w:val="0"/>
        <w:bidi w:val="0"/>
        <w:spacing w:line="240" w:lineRule="atLeast"/>
        <w:ind w:left="1020" w:hanging="1020" w:hangingChars="425"/>
        <w:rPr>
          <w:rFonts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（二）大写金额和小写金额不一致的，以大写金额为准；</w:t>
      </w:r>
    </w:p>
    <w:p>
      <w:pPr>
        <w:pageBreakBefore w:val="0"/>
        <w:kinsoku/>
        <w:wordWrap w:val="0"/>
        <w:overflowPunct/>
        <w:topLinePunct w:val="0"/>
        <w:bidi w:val="0"/>
        <w:spacing w:line="240" w:lineRule="atLeast"/>
        <w:ind w:left="1020" w:hanging="1020" w:hangingChars="425"/>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同时出现两种以上不一致的，按照前款规定的顺序修正。修正后的报价按照第20.2条的规定经投标人确认后产生约束力，投标人不确认的，将被认定为投标无效。</w:t>
      </w:r>
    </w:p>
    <w:p>
      <w:pPr>
        <w:pageBreakBefore w:val="0"/>
        <w:kinsoku/>
        <w:wordWrap w:val="0"/>
        <w:overflowPunct/>
        <w:topLinePunct w:val="0"/>
        <w:bidi w:val="0"/>
        <w:spacing w:line="240" w:lineRule="atLeast"/>
        <w:ind w:left="735" w:leftChars="350" w:firstLine="120" w:firstLineChars="50"/>
        <w:rPr>
          <w:rFonts w:ascii="仿宋" w:hAnsi="仿宋" w:eastAsia="仿宋" w:cs="仿宋"/>
          <w:sz w:val="24"/>
        </w:rPr>
      </w:pPr>
      <w:r>
        <w:rPr>
          <w:rFonts w:hint="eastAsia" w:ascii="仿宋" w:hAnsi="仿宋" w:eastAsia="仿宋" w:cs="仿宋"/>
          <w:sz w:val="24"/>
        </w:rPr>
        <w:t>对不同文字文本投标文件的解释发生异议的，以中文文本为准。</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98" w:name="_Toc518923086"/>
      <w:bookmarkStart w:id="99" w:name="_Toc8603"/>
      <w:r>
        <w:rPr>
          <w:rFonts w:hint="eastAsia" w:ascii="仿宋" w:hAnsi="仿宋" w:eastAsia="仿宋" w:cs="仿宋"/>
          <w:u w:val="none"/>
        </w:rPr>
        <w:t>21.投标偏离</w:t>
      </w:r>
      <w:bookmarkEnd w:id="98"/>
      <w:bookmarkEnd w:id="99"/>
    </w:p>
    <w:p>
      <w:pPr>
        <w:pageBreakBefore w:val="0"/>
        <w:kinsoku/>
        <w:wordWrap w:val="0"/>
        <w:overflowPunct/>
        <w:topLinePunct w:val="0"/>
        <w:bidi w:val="0"/>
        <w:spacing w:line="240" w:lineRule="atLeast"/>
        <w:ind w:left="847" w:leftChars="99" w:hanging="640" w:hangingChars="267"/>
        <w:rPr>
          <w:rFonts w:ascii="仿宋" w:hAnsi="仿宋" w:eastAsia="仿宋" w:cs="仿宋"/>
          <w:sz w:val="24"/>
        </w:rPr>
      </w:pPr>
      <w:r>
        <w:rPr>
          <w:rFonts w:hint="eastAsia" w:ascii="仿宋" w:hAnsi="仿宋" w:eastAsia="仿宋" w:cs="仿宋"/>
          <w:sz w:val="24"/>
        </w:rPr>
        <w:t xml:space="preserve">     评标委员不接受接受投标文件中得负偏离。</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00" w:name="_Toc25255"/>
      <w:bookmarkStart w:id="101" w:name="_Toc518923087"/>
      <w:r>
        <w:rPr>
          <w:rFonts w:hint="eastAsia" w:ascii="仿宋" w:hAnsi="仿宋" w:eastAsia="仿宋" w:cs="仿宋"/>
          <w:u w:val="none"/>
        </w:rPr>
        <w:t>22.投标无效</w:t>
      </w:r>
      <w:bookmarkEnd w:id="100"/>
      <w:bookmarkEnd w:id="101"/>
    </w:p>
    <w:p>
      <w:pPr>
        <w:pageBreakBefore w:val="0"/>
        <w:kinsoku/>
        <w:wordWrap w:val="0"/>
        <w:overflowPunct/>
        <w:topLinePunct w:val="0"/>
        <w:bidi w:val="0"/>
        <w:spacing w:line="240" w:lineRule="atLeast"/>
        <w:ind w:left="852" w:leftChars="-23" w:hanging="900" w:hangingChars="375"/>
        <w:rPr>
          <w:rFonts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偏离的投标。对招标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。投标人不得通过修正或撤销不符合要求的偏离从而使其投标成为实质上响应的投标。</w:t>
      </w:r>
    </w:p>
    <w:p>
      <w:pPr>
        <w:pageBreakBefore w:val="0"/>
        <w:kinsoku/>
        <w:wordWrap w:val="0"/>
        <w:overflowPunct/>
        <w:topLinePunct w:val="0"/>
        <w:bidi w:val="0"/>
        <w:spacing w:line="240" w:lineRule="atLeast"/>
        <w:ind w:left="791" w:leftChars="377"/>
        <w:rPr>
          <w:rFonts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以下情形应当在招标文件中规定，并以醒目的方式标明</w:t>
      </w:r>
      <w:r>
        <w:rPr>
          <w:rFonts w:hint="eastAsia" w:ascii="仿宋" w:hAnsi="仿宋" w:eastAsia="仿宋" w:cs="仿宋"/>
          <w:sz w:val="24"/>
        </w:rPr>
        <w:t>）</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未按招标文件规定的形式和金额提交投标保证金的；</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未按照招标文件规定要求签署、盖章的；</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未满足招标文件中技术条款的实质性要求；</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与其他投标人串通投标，或者与招标人串通投标；</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属于招标文件规定的其他投标无效情形；</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p>
    <w:p>
      <w:pPr>
        <w:pageBreakBefore w:val="0"/>
        <w:numPr>
          <w:ilvl w:val="0"/>
          <w:numId w:val="5"/>
        </w:numPr>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投标文件含有采购人不能接受的附加条件的；</w:t>
      </w:r>
    </w:p>
    <w:p>
      <w:pPr>
        <w:pageBreakBefore w:val="0"/>
        <w:numPr>
          <w:ilvl w:val="0"/>
          <w:numId w:val="5"/>
        </w:numPr>
        <w:tabs>
          <w:tab w:val="left" w:pos="0"/>
        </w:tabs>
        <w:kinsoku/>
        <w:wordWrap w:val="0"/>
        <w:overflowPunct/>
        <w:topLinePunct w:val="0"/>
        <w:bidi w:val="0"/>
        <w:spacing w:line="240" w:lineRule="atLeast"/>
        <w:ind w:left="1020" w:hanging="180"/>
        <w:rPr>
          <w:rFonts w:ascii="仿宋" w:hAnsi="仿宋" w:eastAsia="仿宋" w:cs="仿宋"/>
          <w:b/>
          <w:bCs/>
          <w:sz w:val="24"/>
        </w:rPr>
      </w:pPr>
      <w:r>
        <w:rPr>
          <w:rFonts w:hint="eastAsia" w:ascii="仿宋" w:hAnsi="仿宋" w:eastAsia="仿宋" w:cs="仿宋"/>
          <w:b/>
          <w:bCs/>
          <w:sz w:val="24"/>
        </w:rPr>
        <w:t>不符合法规和招标文件中规定的其他实质性要求的。</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02" w:name="_Toc20835"/>
      <w:bookmarkStart w:id="103" w:name="_Toc518923088"/>
      <w:r>
        <w:rPr>
          <w:rFonts w:hint="eastAsia" w:ascii="仿宋" w:hAnsi="仿宋" w:eastAsia="仿宋" w:cs="仿宋"/>
          <w:u w:val="none"/>
        </w:rPr>
        <w:t>23</w:t>
      </w:r>
      <w:bookmarkEnd w:id="97"/>
      <w:r>
        <w:rPr>
          <w:rFonts w:hint="eastAsia" w:ascii="仿宋" w:hAnsi="仿宋" w:eastAsia="仿宋" w:cs="仿宋"/>
          <w:u w:val="none"/>
        </w:rPr>
        <w:t>.比较与评价</w:t>
      </w:r>
      <w:bookmarkEnd w:id="102"/>
      <w:bookmarkEnd w:id="103"/>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pPr>
        <w:pageBreakBefore w:val="0"/>
        <w:kinsoku/>
        <w:wordWrap w:val="0"/>
        <w:overflowPunct/>
        <w:topLinePunct w:val="0"/>
        <w:bidi w:val="0"/>
        <w:spacing w:line="240" w:lineRule="atLeast"/>
        <w:ind w:left="900" w:hanging="900" w:hangingChars="375"/>
        <w:rPr>
          <w:rFonts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投标人须知资料表</w:t>
      </w:r>
      <w:r>
        <w:rPr>
          <w:rFonts w:hint="eastAsia" w:ascii="仿宋" w:hAnsi="仿宋" w:eastAsia="仿宋" w:cs="仿宋"/>
          <w:sz w:val="24"/>
        </w:rPr>
        <w:t>中规定采用下列一种评标方法，具体办法详见第6章评标方法和标准：</w:t>
      </w:r>
    </w:p>
    <w:p>
      <w:pPr>
        <w:pStyle w:val="15"/>
        <w:pageBreakBefore w:val="0"/>
        <w:kinsoku/>
        <w:wordWrap w:val="0"/>
        <w:overflowPunct/>
        <w:topLinePunct w:val="0"/>
        <w:bidi w:val="0"/>
        <w:spacing w:line="240" w:lineRule="atLeast"/>
        <w:ind w:left="899" w:leftChars="342" w:hanging="181"/>
        <w:rPr>
          <w:rFonts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pPr>
        <w:pStyle w:val="15"/>
        <w:pageBreakBefore w:val="0"/>
        <w:kinsoku/>
        <w:wordWrap w:val="0"/>
        <w:overflowPunct/>
        <w:topLinePunct w:val="0"/>
        <w:bidi w:val="0"/>
        <w:spacing w:line="240" w:lineRule="atLeast"/>
        <w:ind w:left="898" w:leftChars="342" w:hanging="180"/>
        <w:rPr>
          <w:rFonts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pPr>
        <w:pStyle w:val="15"/>
        <w:pageBreakBefore w:val="0"/>
        <w:kinsoku/>
        <w:wordWrap w:val="0"/>
        <w:overflowPunct/>
        <w:topLinePunct w:val="0"/>
        <w:bidi w:val="0"/>
        <w:spacing w:line="240" w:lineRule="atLeast"/>
        <w:ind w:left="900" w:hanging="900" w:hangingChars="375"/>
        <w:rPr>
          <w:rFonts w:ascii="仿宋" w:hAnsi="仿宋" w:eastAsia="仿宋" w:cs="仿宋"/>
          <w:sz w:val="24"/>
          <w:szCs w:val="24"/>
        </w:rPr>
      </w:pPr>
      <w:r>
        <w:rPr>
          <w:rFonts w:hint="eastAsia" w:ascii="仿宋" w:hAnsi="仿宋" w:eastAsia="仿宋" w:cs="仿宋"/>
          <w:sz w:val="24"/>
          <w:szCs w:val="24"/>
        </w:rPr>
        <w:t>23.3   本项目为非专门面向中小企业（含中型、小型、微型企业）采购项目，根据《政府采购促进中小企业发展管理办法》（财库[2020]46号）、《财政部司法部关于政府采购支持监狱企业发展有关问题的通知》（财库〔2014〕68号）和《三部门联合发布关于促进残疾人就业政府采购政策的通知》（</w:t>
      </w:r>
      <w:bookmarkStart w:id="104" w:name="sendNo"/>
      <w:r>
        <w:rPr>
          <w:rFonts w:hint="eastAsia" w:ascii="仿宋" w:hAnsi="仿宋" w:eastAsia="仿宋" w:cs="仿宋"/>
          <w:bCs/>
          <w:sz w:val="24"/>
          <w:szCs w:val="24"/>
        </w:rPr>
        <w:t>财库〔</w:t>
      </w:r>
      <w:bookmarkEnd w:id="104"/>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w:t>
      </w:r>
      <w:r>
        <w:rPr>
          <w:rFonts w:hint="eastAsia" w:ascii="仿宋" w:hAnsi="仿宋" w:eastAsia="仿宋" w:cs="仿宋"/>
          <w:color w:val="FF0000"/>
          <w:sz w:val="24"/>
          <w:szCs w:val="24"/>
        </w:rPr>
        <w:t>具体办法详见招标文件</w:t>
      </w:r>
      <w:r>
        <w:rPr>
          <w:rFonts w:hint="eastAsia" w:ascii="仿宋" w:hAnsi="仿宋" w:eastAsia="仿宋" w:cs="仿宋"/>
          <w:color w:val="FF0000"/>
          <w:sz w:val="24"/>
        </w:rPr>
        <w:t>第6章评标方法和标准</w:t>
      </w:r>
      <w:r>
        <w:rPr>
          <w:rFonts w:hint="eastAsia" w:ascii="仿宋" w:hAnsi="仿宋" w:eastAsia="仿宋" w:cs="仿宋"/>
          <w:color w:val="FF0000"/>
          <w:sz w:val="24"/>
          <w:szCs w:val="24"/>
        </w:rPr>
        <w:t>。</w:t>
      </w:r>
    </w:p>
    <w:p>
      <w:pPr>
        <w:pStyle w:val="15"/>
        <w:pageBreakBefore w:val="0"/>
        <w:kinsoku/>
        <w:wordWrap w:val="0"/>
        <w:overflowPunct/>
        <w:topLinePunct w:val="0"/>
        <w:bidi w:val="0"/>
        <w:spacing w:line="240" w:lineRule="atLeast"/>
        <w:ind w:left="900" w:hanging="900" w:hangingChars="375"/>
        <w:rPr>
          <w:rFonts w:ascii="仿宋" w:hAnsi="仿宋" w:eastAsia="仿宋" w:cs="仿宋"/>
          <w:sz w:val="24"/>
          <w:szCs w:val="24"/>
        </w:rPr>
      </w:pPr>
      <w:r>
        <w:rPr>
          <w:rFonts w:hint="eastAsia" w:ascii="仿宋" w:hAnsi="仿宋" w:eastAsia="仿宋" w:cs="仿宋"/>
          <w:sz w:val="24"/>
          <w:szCs w:val="24"/>
        </w:rPr>
        <w:t>23.4    落实其他政府采购政策条款：详见中化人民共和国财政部、中华人民共和国工业和信息化部《政府采购促进中小企业发展管理办法》（财库【2020】46号）文件</w:t>
      </w:r>
    </w:p>
    <w:p>
      <w:pPr>
        <w:pStyle w:val="15"/>
        <w:pageBreakBefore w:val="0"/>
        <w:kinsoku/>
        <w:wordWrap w:val="0"/>
        <w:overflowPunct/>
        <w:topLinePunct w:val="0"/>
        <w:bidi w:val="0"/>
        <w:spacing w:line="240" w:lineRule="atLeast"/>
        <w:ind w:left="900" w:hanging="900" w:hangingChars="375"/>
        <w:rPr>
          <w:rFonts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05" w:name="_Toc520356168"/>
      <w:bookmarkStart w:id="106" w:name="_Toc5823"/>
      <w:bookmarkStart w:id="107" w:name="_Toc518923089"/>
      <w:r>
        <w:rPr>
          <w:rFonts w:hint="eastAsia" w:ascii="仿宋" w:hAnsi="仿宋" w:eastAsia="仿宋" w:cs="仿宋"/>
          <w:u w:val="none"/>
        </w:rPr>
        <w:t>24</w:t>
      </w:r>
      <w:bookmarkEnd w:id="105"/>
      <w:r>
        <w:rPr>
          <w:rFonts w:hint="eastAsia" w:ascii="仿宋" w:hAnsi="仿宋" w:eastAsia="仿宋" w:cs="仿宋"/>
          <w:u w:val="none"/>
        </w:rPr>
        <w:t>.废标</w:t>
      </w:r>
      <w:bookmarkEnd w:id="106"/>
      <w:bookmarkEnd w:id="107"/>
    </w:p>
    <w:p>
      <w:pPr>
        <w:pageBreakBefore w:val="0"/>
        <w:kinsoku/>
        <w:wordWrap w:val="0"/>
        <w:overflowPunct/>
        <w:topLinePunct w:val="0"/>
        <w:bidi w:val="0"/>
        <w:spacing w:line="240" w:lineRule="atLeast"/>
        <w:ind w:left="897" w:leftChars="399" w:hanging="60" w:hangingChars="25"/>
        <w:rPr>
          <w:rFonts w:ascii="仿宋" w:hAnsi="仿宋" w:eastAsia="仿宋" w:cs="仿宋"/>
          <w:sz w:val="24"/>
        </w:rPr>
      </w:pPr>
      <w:r>
        <w:rPr>
          <w:rFonts w:hint="eastAsia" w:ascii="仿宋" w:hAnsi="仿宋" w:eastAsia="仿宋" w:cs="仿宋"/>
          <w:sz w:val="24"/>
        </w:rPr>
        <w:t xml:space="preserve">出现下列情形之一，将导致项目废标： </w:t>
      </w:r>
    </w:p>
    <w:p>
      <w:pPr>
        <w:pageBreakBefore w:val="0"/>
        <w:kinsoku/>
        <w:wordWrap w:val="0"/>
        <w:overflowPunct/>
        <w:topLinePunct w:val="0"/>
        <w:bidi w:val="0"/>
        <w:spacing w:line="240" w:lineRule="atLeast"/>
        <w:ind w:left="958" w:leftChars="342" w:hanging="240" w:hangingChars="100"/>
        <w:rPr>
          <w:rFonts w:ascii="仿宋" w:hAnsi="仿宋" w:eastAsia="仿宋" w:cs="仿宋"/>
          <w:b/>
          <w:bCs/>
          <w:sz w:val="24"/>
        </w:rPr>
      </w:pPr>
      <w:r>
        <w:rPr>
          <w:rFonts w:hint="eastAsia" w:ascii="仿宋" w:hAnsi="仿宋" w:eastAsia="仿宋" w:cs="仿宋"/>
          <w:b/>
          <w:bCs/>
          <w:sz w:val="24"/>
        </w:rPr>
        <w:t>（1）符合专业条件的供应商或者对招标文件做实质性响应的供应商不足三家；</w:t>
      </w:r>
    </w:p>
    <w:p>
      <w:pPr>
        <w:pageBreakBefore w:val="0"/>
        <w:kinsoku/>
        <w:wordWrap w:val="0"/>
        <w:overflowPunct/>
        <w:topLinePunct w:val="0"/>
        <w:bidi w:val="0"/>
        <w:spacing w:line="240" w:lineRule="atLeast"/>
        <w:ind w:firstLine="720" w:firstLineChars="300"/>
        <w:rPr>
          <w:rFonts w:ascii="仿宋" w:hAnsi="仿宋" w:eastAsia="仿宋" w:cs="仿宋"/>
          <w:b/>
          <w:bCs/>
          <w:sz w:val="24"/>
        </w:rPr>
      </w:pPr>
      <w:r>
        <w:rPr>
          <w:rFonts w:hint="eastAsia" w:ascii="仿宋" w:hAnsi="仿宋" w:eastAsia="仿宋" w:cs="仿宋"/>
          <w:b/>
          <w:bCs/>
          <w:sz w:val="24"/>
        </w:rPr>
        <w:t>（2）出现影响采购公正的违法、违规行为的；</w:t>
      </w:r>
    </w:p>
    <w:p>
      <w:pPr>
        <w:pageBreakBefore w:val="0"/>
        <w:kinsoku/>
        <w:wordWrap w:val="0"/>
        <w:overflowPunct/>
        <w:topLinePunct w:val="0"/>
        <w:bidi w:val="0"/>
        <w:spacing w:line="240" w:lineRule="atLeast"/>
        <w:ind w:firstLine="720" w:firstLineChars="300"/>
        <w:rPr>
          <w:rFonts w:ascii="仿宋" w:hAnsi="仿宋" w:eastAsia="仿宋" w:cs="仿宋"/>
          <w:b/>
          <w:bCs/>
          <w:sz w:val="24"/>
        </w:rPr>
      </w:pPr>
      <w:r>
        <w:rPr>
          <w:rFonts w:hint="eastAsia" w:ascii="仿宋" w:hAnsi="仿宋" w:eastAsia="仿宋" w:cs="仿宋"/>
          <w:b/>
          <w:bCs/>
          <w:sz w:val="24"/>
        </w:rPr>
        <w:t>（3）投标人的报价均超过了采购预算，采购人不能支付的；</w:t>
      </w:r>
    </w:p>
    <w:p>
      <w:pPr>
        <w:pageBreakBefore w:val="0"/>
        <w:kinsoku/>
        <w:wordWrap w:val="0"/>
        <w:overflowPunct/>
        <w:topLinePunct w:val="0"/>
        <w:bidi w:val="0"/>
        <w:spacing w:line="240" w:lineRule="atLeast"/>
        <w:ind w:firstLine="720" w:firstLineChars="300"/>
        <w:rPr>
          <w:rFonts w:ascii="仿宋" w:hAnsi="仿宋" w:eastAsia="仿宋" w:cs="仿宋"/>
          <w:sz w:val="24"/>
        </w:rPr>
      </w:pPr>
      <w:r>
        <w:rPr>
          <w:rFonts w:hint="eastAsia" w:ascii="仿宋" w:hAnsi="仿宋" w:eastAsia="仿宋" w:cs="仿宋"/>
          <w:b/>
          <w:bCs/>
          <w:sz w:val="24"/>
        </w:rPr>
        <w:t xml:space="preserve">（4）因重大变故，采购任务取消的。 </w:t>
      </w:r>
      <w:r>
        <w:rPr>
          <w:rFonts w:hint="eastAsia" w:ascii="仿宋" w:hAnsi="仿宋" w:eastAsia="仿宋" w:cs="仿宋"/>
          <w:sz w:val="24"/>
        </w:rPr>
        <w:t xml:space="preserve">  </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08" w:name="_Toc23660"/>
      <w:bookmarkStart w:id="109" w:name="_Toc518923090"/>
      <w:bookmarkStart w:id="110" w:name="_Toc520356169"/>
      <w:r>
        <w:rPr>
          <w:rFonts w:hint="eastAsia" w:ascii="仿宋" w:hAnsi="仿宋" w:eastAsia="仿宋" w:cs="仿宋"/>
          <w:u w:val="none"/>
        </w:rPr>
        <w:t>25.保密原则</w:t>
      </w:r>
      <w:bookmarkEnd w:id="108"/>
      <w:bookmarkEnd w:id="109"/>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pageBreakBefore w:val="0"/>
        <w:kinsoku/>
        <w:wordWrap w:val="0"/>
        <w:overflowPunct/>
        <w:topLinePunct w:val="0"/>
        <w:bidi w:val="0"/>
        <w:spacing w:line="240" w:lineRule="atLeast"/>
        <w:ind w:left="1079" w:leftChars="257" w:hanging="540"/>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111" w:name="_Toc216582810"/>
      <w:bookmarkStart w:id="112" w:name="_Toc518923091"/>
      <w:bookmarkStart w:id="113" w:name="_Toc10964"/>
      <w:r>
        <w:rPr>
          <w:rFonts w:hint="eastAsia" w:ascii="仿宋" w:hAnsi="仿宋" w:eastAsia="仿宋" w:cs="仿宋"/>
          <w:sz w:val="24"/>
        </w:rPr>
        <w:t xml:space="preserve">六   </w:t>
      </w:r>
      <w:bookmarkEnd w:id="110"/>
      <w:r>
        <w:rPr>
          <w:rFonts w:hint="eastAsia" w:ascii="仿宋" w:hAnsi="仿宋" w:eastAsia="仿宋" w:cs="仿宋"/>
          <w:sz w:val="24"/>
        </w:rPr>
        <w:t>确定中标</w:t>
      </w:r>
      <w:bookmarkEnd w:id="111"/>
      <w:bookmarkEnd w:id="112"/>
      <w:bookmarkEnd w:id="113"/>
    </w:p>
    <w:p>
      <w:pPr>
        <w:pStyle w:val="11"/>
        <w:pageBreakBefore w:val="0"/>
        <w:kinsoku/>
        <w:wordWrap w:val="0"/>
        <w:overflowPunct/>
        <w:topLinePunct w:val="0"/>
        <w:bidi w:val="0"/>
        <w:rPr>
          <w:rFonts w:ascii="仿宋" w:hAnsi="仿宋" w:eastAsia="仿宋" w:cs="仿宋"/>
        </w:rPr>
      </w:pP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14" w:name="_Toc520356170"/>
      <w:bookmarkStart w:id="115" w:name="_Ref467307010"/>
      <w:bookmarkStart w:id="116" w:name="_Toc518923092"/>
      <w:bookmarkStart w:id="117" w:name="_Toc32578"/>
      <w:r>
        <w:rPr>
          <w:rFonts w:hint="eastAsia" w:ascii="仿宋" w:hAnsi="仿宋" w:eastAsia="仿宋" w:cs="仿宋"/>
          <w:u w:val="none"/>
        </w:rPr>
        <w:t>26.中标候选人的确定原则及标准</w:t>
      </w:r>
      <w:bookmarkEnd w:id="114"/>
      <w:bookmarkEnd w:id="115"/>
      <w:bookmarkEnd w:id="116"/>
      <w:bookmarkEnd w:id="117"/>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除第28条规定外，对实质上响应招标文件的投标人按下列方法进行排序，确定中标候选人：</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四、综合评分法评分标准。</w:t>
      </w:r>
    </w:p>
    <w:p>
      <w:pPr>
        <w:pageBreakBefore w:val="0"/>
        <w:kinsoku/>
        <w:wordWrap w:val="0"/>
        <w:overflowPunct/>
        <w:topLinePunct w:val="0"/>
        <w:bidi w:val="0"/>
        <w:spacing w:line="240" w:lineRule="atLeast"/>
        <w:ind w:left="901"/>
        <w:rPr>
          <w:rFonts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（2）采用综合评分法的，评标结果按评审后得分由高到低顺序排列。得分相同的，按修正和扣除后的投标报价由低到高顺序排列。得分与投标报价均相同的处理方式详见招标文件第6章评标方法和标准。</w:t>
      </w:r>
    </w:p>
    <w:p>
      <w:pPr>
        <w:pageBreakBefore w:val="0"/>
        <w:kinsoku/>
        <w:wordWrap w:val="0"/>
        <w:overflowPunct/>
        <w:topLinePunct w:val="0"/>
        <w:bidi w:val="0"/>
        <w:spacing w:line="240" w:lineRule="atLeast"/>
        <w:ind w:left="901"/>
        <w:rPr>
          <w:rFonts w:ascii="仿宋" w:hAnsi="仿宋" w:eastAsia="仿宋" w:cs="仿宋"/>
        </w:rPr>
      </w:pPr>
      <w:r>
        <w:rPr>
          <w:rFonts w:hint="eastAsia" w:ascii="仿宋" w:hAnsi="仿宋" w:eastAsia="仿宋" w:cs="仿宋"/>
          <w:b/>
          <w:bCs/>
          <w:sz w:val="24"/>
        </w:rPr>
        <w:t>本项目采用综合评分法，其中标项一价格分</w:t>
      </w:r>
      <w:r>
        <w:rPr>
          <w:rFonts w:hint="eastAsia" w:ascii="仿宋" w:hAnsi="仿宋" w:eastAsia="仿宋" w:cs="仿宋"/>
          <w:b/>
          <w:bCs/>
          <w:sz w:val="24"/>
          <w:lang w:val="en-US" w:eastAsia="zh-CN"/>
        </w:rPr>
        <w:t>10</w:t>
      </w:r>
      <w:r>
        <w:rPr>
          <w:rFonts w:hint="eastAsia" w:ascii="仿宋" w:hAnsi="仿宋" w:eastAsia="仿宋" w:cs="仿宋"/>
          <w:b/>
          <w:bCs/>
          <w:sz w:val="24"/>
        </w:rPr>
        <w:t>%，技术分</w:t>
      </w:r>
      <w:r>
        <w:rPr>
          <w:rFonts w:hint="eastAsia" w:ascii="仿宋" w:hAnsi="仿宋" w:eastAsia="仿宋" w:cs="仿宋"/>
          <w:b/>
          <w:bCs/>
          <w:sz w:val="24"/>
          <w:lang w:val="en-US" w:eastAsia="zh-CN"/>
        </w:rPr>
        <w:t>70</w:t>
      </w:r>
      <w:r>
        <w:rPr>
          <w:rFonts w:hint="eastAsia" w:ascii="仿宋" w:hAnsi="仿宋" w:eastAsia="仿宋" w:cs="仿宋"/>
          <w:b/>
          <w:bCs/>
          <w:sz w:val="24"/>
        </w:rPr>
        <w:t>%，商务分</w:t>
      </w:r>
      <w:r>
        <w:rPr>
          <w:rFonts w:hint="eastAsia" w:ascii="仿宋" w:hAnsi="仿宋" w:eastAsia="仿宋" w:cs="仿宋"/>
          <w:b/>
          <w:bCs/>
          <w:sz w:val="24"/>
          <w:lang w:val="en-US" w:eastAsia="zh-CN"/>
        </w:rPr>
        <w:t>20</w:t>
      </w:r>
      <w:bookmarkStart w:id="413" w:name="_GoBack"/>
      <w:bookmarkEnd w:id="413"/>
      <w:r>
        <w:rPr>
          <w:rFonts w:hint="eastAsia" w:ascii="仿宋" w:hAnsi="仿宋" w:eastAsia="仿宋" w:cs="仿宋"/>
          <w:b/>
          <w:bCs/>
          <w:sz w:val="24"/>
        </w:rPr>
        <w:t>%；标项二价格分10%，技术分80%，商务分10%。</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18" w:name="_Toc520356171"/>
      <w:bookmarkStart w:id="119" w:name="_Toc10555"/>
      <w:bookmarkStart w:id="120" w:name="_Toc518923093"/>
      <w:r>
        <w:rPr>
          <w:rFonts w:hint="eastAsia" w:ascii="仿宋" w:hAnsi="仿宋" w:eastAsia="仿宋" w:cs="仿宋"/>
          <w:u w:val="none"/>
        </w:rPr>
        <w:t>27</w:t>
      </w:r>
      <w:bookmarkEnd w:id="118"/>
      <w:r>
        <w:rPr>
          <w:rFonts w:hint="eastAsia" w:ascii="仿宋" w:hAnsi="仿宋" w:eastAsia="仿宋" w:cs="仿宋"/>
          <w:u w:val="none"/>
        </w:rPr>
        <w:t>.确定中标候选人和中标人</w:t>
      </w:r>
      <w:bookmarkEnd w:id="119"/>
      <w:bookmarkEnd w:id="120"/>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rPr>
        <w:t>投标人须知资料表中</w:t>
      </w:r>
      <w:r>
        <w:rPr>
          <w:rFonts w:hint="eastAsia" w:ascii="仿宋" w:hAnsi="仿宋" w:eastAsia="仿宋" w:cs="仿宋"/>
          <w:sz w:val="24"/>
        </w:rPr>
        <w:t>规定数量推荐中标候选人；或根据采购人的委托，直接确定中标人。</w:t>
      </w:r>
    </w:p>
    <w:p>
      <w:pPr>
        <w:pStyle w:val="9"/>
        <w:pageBreakBefore w:val="0"/>
        <w:tabs>
          <w:tab w:val="left" w:pos="900"/>
        </w:tabs>
        <w:kinsoku/>
        <w:wordWrap w:val="0"/>
        <w:overflowPunct/>
        <w:topLinePunct w:val="0"/>
        <w:bidi w:val="0"/>
        <w:spacing w:before="0" w:after="0" w:line="240" w:lineRule="atLeast"/>
        <w:rPr>
          <w:rFonts w:ascii="仿宋" w:hAnsi="仿宋" w:eastAsia="仿宋" w:cs="仿宋"/>
          <w:u w:val="none"/>
        </w:rPr>
      </w:pPr>
      <w:bookmarkStart w:id="121" w:name="_Ref467306874"/>
      <w:bookmarkStart w:id="122" w:name="_Toc520356173"/>
      <w:bookmarkStart w:id="123" w:name="_Toc17138"/>
      <w:bookmarkStart w:id="124" w:name="_Toc518923094"/>
      <w:r>
        <w:rPr>
          <w:rFonts w:hint="eastAsia" w:ascii="仿宋" w:hAnsi="仿宋" w:eastAsia="仿宋" w:cs="仿宋"/>
          <w:u w:val="none"/>
        </w:rPr>
        <w:t>28</w:t>
      </w:r>
      <w:bookmarkEnd w:id="121"/>
      <w:bookmarkEnd w:id="122"/>
      <w:r>
        <w:rPr>
          <w:rFonts w:hint="eastAsia" w:ascii="仿宋" w:hAnsi="仿宋" w:eastAsia="仿宋" w:cs="仿宋"/>
          <w:u w:val="none"/>
        </w:rPr>
        <w:t>.采购任务取消</w:t>
      </w:r>
      <w:bookmarkEnd w:id="123"/>
      <w:bookmarkEnd w:id="124"/>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因重大变故采购任务取消时，采购人有权拒绝任何投标人中标，且对受影响的投标人不承担任何责任。</w:t>
      </w:r>
      <w:bookmarkStart w:id="125" w:name="_Toc520356174"/>
    </w:p>
    <w:p>
      <w:pPr>
        <w:pStyle w:val="9"/>
        <w:pageBreakBefore w:val="0"/>
        <w:kinsoku/>
        <w:wordWrap w:val="0"/>
        <w:overflowPunct/>
        <w:topLinePunct w:val="0"/>
        <w:bidi w:val="0"/>
        <w:spacing w:before="0" w:after="0" w:line="240" w:lineRule="atLeast"/>
        <w:rPr>
          <w:rFonts w:ascii="仿宋" w:hAnsi="仿宋" w:eastAsia="仿宋" w:cs="仿宋"/>
          <w:u w:val="none"/>
        </w:rPr>
      </w:pPr>
      <w:bookmarkStart w:id="126" w:name="_Toc518923095"/>
      <w:bookmarkStart w:id="127" w:name="_Toc18072"/>
      <w:r>
        <w:rPr>
          <w:rFonts w:hint="eastAsia" w:ascii="仿宋" w:hAnsi="仿宋" w:eastAsia="仿宋" w:cs="仿宋"/>
          <w:u w:val="none"/>
        </w:rPr>
        <w:t>29.中标通知书</w:t>
      </w:r>
      <w:bookmarkEnd w:id="125"/>
      <w:r>
        <w:rPr>
          <w:rFonts w:hint="eastAsia" w:ascii="仿宋" w:hAnsi="仿宋" w:eastAsia="仿宋" w:cs="仿宋"/>
          <w:u w:val="none"/>
        </w:rPr>
        <w:t>和招标结果通知书</w:t>
      </w:r>
      <w:bookmarkEnd w:id="126"/>
      <w:bookmarkEnd w:id="127"/>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29.3    招标结果通知书和中标通知书同时发出。招标结果通知书中将告知未通过资格审查的投标人未通过的原因；采用综合评分法评审的，还将告知未中标人本人的评审得分和排序。</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28" w:name="_Ref467306377"/>
      <w:bookmarkStart w:id="129" w:name="_Toc520356175"/>
      <w:bookmarkStart w:id="130" w:name="_Toc16952"/>
      <w:bookmarkStart w:id="131" w:name="_Toc518923096"/>
      <w:bookmarkStart w:id="132" w:name="_Ref467307062"/>
      <w:bookmarkStart w:id="133" w:name="_Ref467306978"/>
      <w:bookmarkStart w:id="134" w:name="_Ref467307204"/>
      <w:r>
        <w:rPr>
          <w:rFonts w:hint="eastAsia" w:ascii="仿宋" w:hAnsi="仿宋" w:eastAsia="仿宋" w:cs="仿宋"/>
          <w:u w:val="none"/>
        </w:rPr>
        <w:t>30.签订合同</w:t>
      </w:r>
      <w:bookmarkEnd w:id="128"/>
      <w:bookmarkEnd w:id="129"/>
      <w:bookmarkEnd w:id="130"/>
      <w:bookmarkEnd w:id="131"/>
      <w:bookmarkEnd w:id="132"/>
      <w:bookmarkEnd w:id="133"/>
      <w:bookmarkEnd w:id="134"/>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5" w:name="_Ref467306425"/>
      <w:bookmarkStart w:id="136" w:name="_Ref467307090"/>
      <w:bookmarkStart w:id="137" w:name="_Toc520356176"/>
      <w:r>
        <w:rPr>
          <w:rFonts w:hint="eastAsia" w:ascii="仿宋" w:hAnsi="仿宋" w:eastAsia="仿宋" w:cs="仿宋"/>
          <w:sz w:val="24"/>
        </w:rPr>
        <w:t>招标文件、中标人的投标文件及其澄清文件等，均为签订合同的依据。</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38" w:name="_Toc518923097"/>
      <w:bookmarkStart w:id="139" w:name="_Toc4302"/>
      <w:r>
        <w:rPr>
          <w:rFonts w:hint="eastAsia" w:ascii="仿宋" w:hAnsi="仿宋" w:eastAsia="仿宋" w:cs="仿宋"/>
          <w:u w:val="none"/>
        </w:rPr>
        <w:t>31.履约保证金</w:t>
      </w:r>
      <w:bookmarkEnd w:id="135"/>
      <w:bookmarkEnd w:id="136"/>
      <w:bookmarkEnd w:id="137"/>
      <w:bookmarkEnd w:id="138"/>
      <w:bookmarkEnd w:id="139"/>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投标人须知资料表</w:t>
      </w:r>
      <w:r>
        <w:rPr>
          <w:rFonts w:hint="eastAsia" w:ascii="仿宋" w:hAnsi="仿宋" w:eastAsia="仿宋" w:cs="仿宋"/>
          <w:sz w:val="24"/>
        </w:rPr>
        <w:t>规定向采购人缴纳履约保证金（如采用保函形式，格式见本章附件1）。</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40" w:name="_Toc8476"/>
      <w:bookmarkStart w:id="141" w:name="_Toc518923098"/>
      <w:r>
        <w:rPr>
          <w:rFonts w:hint="eastAsia" w:ascii="仿宋" w:hAnsi="仿宋" w:eastAsia="仿宋" w:cs="仿宋"/>
          <w:u w:val="none"/>
        </w:rPr>
        <w:t>32.中标服务费</w:t>
      </w:r>
      <w:bookmarkEnd w:id="140"/>
      <w:bookmarkEnd w:id="141"/>
    </w:p>
    <w:p>
      <w:pPr>
        <w:pageBreakBefore w:val="0"/>
        <w:kinsoku/>
        <w:wordWrap w:val="0"/>
        <w:overflowPunct/>
        <w:topLinePunct w:val="0"/>
        <w:bidi w:val="0"/>
        <w:spacing w:line="240" w:lineRule="atLeast"/>
        <w:ind w:left="840" w:leftChars="200" w:hanging="420" w:hangingChars="175"/>
        <w:rPr>
          <w:rFonts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42" w:name="_Toc518923099"/>
      <w:bookmarkStart w:id="143" w:name="_Toc31411"/>
      <w:r>
        <w:rPr>
          <w:rFonts w:hint="eastAsia" w:ascii="仿宋" w:hAnsi="仿宋" w:eastAsia="仿宋" w:cs="仿宋"/>
          <w:u w:val="none"/>
        </w:rPr>
        <w:t>33.政府采购信用担保</w:t>
      </w:r>
      <w:bookmarkEnd w:id="142"/>
      <w:bookmarkEnd w:id="143"/>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投标人须知资料表</w:t>
      </w:r>
      <w:r>
        <w:rPr>
          <w:rFonts w:hint="eastAsia" w:ascii="仿宋" w:hAnsi="仿宋" w:eastAsia="仿宋" w:cs="仿宋"/>
          <w:sz w:val="24"/>
        </w:rPr>
        <w:t>。</w:t>
      </w:r>
    </w:p>
    <w:p>
      <w:pPr>
        <w:pageBreakBefore w:val="0"/>
        <w:kinsoku/>
        <w:wordWrap w:val="0"/>
        <w:overflowPunct/>
        <w:topLinePunct w:val="0"/>
        <w:bidi w:val="0"/>
        <w:spacing w:line="240" w:lineRule="atLeast"/>
        <w:ind w:left="850" w:hanging="849" w:hangingChars="354"/>
        <w:rPr>
          <w:rFonts w:ascii="仿宋" w:hAnsi="仿宋" w:eastAsia="仿宋" w:cs="仿宋"/>
          <w:sz w:val="24"/>
        </w:rPr>
      </w:pPr>
      <w:r>
        <w:rPr>
          <w:rFonts w:hint="eastAsia" w:ascii="仿宋" w:hAnsi="仿宋" w:eastAsia="仿宋" w:cs="仿宋"/>
          <w:sz w:val="24"/>
        </w:rPr>
        <w:t>33.2   如属于政府采购信用担保试点范围内，中小型企业投标人可以自由按照财政部门的规定，采用投标担保、履约担保和融资担保。</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33.2.1 投标人递交的投标担保函和履约担保函应符合本招标文件的规定。</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33.2.2 中标人可以采取融资担保的形式为政府采购项目履约进行融资。</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rPr>
        <w:t>投标人须知资料表</w:t>
      </w:r>
      <w:r>
        <w:rPr>
          <w:rFonts w:hint="eastAsia" w:ascii="仿宋" w:hAnsi="仿宋" w:eastAsia="仿宋" w:cs="仿宋"/>
          <w:sz w:val="24"/>
        </w:rPr>
        <w:t>。</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44" w:name="_Toc518923100"/>
      <w:bookmarkStart w:id="145" w:name="_Toc4701"/>
      <w:r>
        <w:rPr>
          <w:rFonts w:hint="eastAsia" w:ascii="仿宋" w:hAnsi="仿宋" w:eastAsia="仿宋" w:cs="仿宋"/>
          <w:u w:val="none"/>
        </w:rPr>
        <w:t>34.廉洁自律规定</w:t>
      </w:r>
      <w:bookmarkEnd w:id="144"/>
      <w:bookmarkEnd w:id="145"/>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投标人须知资料表中的</w:t>
      </w:r>
      <w:r>
        <w:rPr>
          <w:rFonts w:hint="eastAsia" w:ascii="仿宋" w:hAnsi="仿宋" w:eastAsia="仿宋" w:cs="仿宋"/>
          <w:sz w:val="24"/>
        </w:rPr>
        <w:t>监督电话和信箱，反映采购代理机构的廉洁自律等问题。</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46" w:name="_Toc21055"/>
      <w:bookmarkStart w:id="147" w:name="_Toc518923101"/>
      <w:r>
        <w:rPr>
          <w:rFonts w:hint="eastAsia" w:ascii="仿宋" w:hAnsi="仿宋" w:eastAsia="仿宋" w:cs="仿宋"/>
          <w:u w:val="none"/>
        </w:rPr>
        <w:t>35.人员回避</w:t>
      </w:r>
      <w:bookmarkEnd w:id="146"/>
      <w:bookmarkEnd w:id="147"/>
    </w:p>
    <w:p>
      <w:pPr>
        <w:pageBreakBefore w:val="0"/>
        <w:kinsoku/>
        <w:wordWrap w:val="0"/>
        <w:overflowPunct/>
        <w:topLinePunct w:val="0"/>
        <w:bidi w:val="0"/>
        <w:spacing w:line="240" w:lineRule="atLeast"/>
        <w:ind w:left="900" w:hanging="900" w:hangingChars="375"/>
        <w:rPr>
          <w:rFonts w:ascii="仿宋" w:hAnsi="仿宋" w:eastAsia="仿宋" w:cs="仿宋"/>
          <w:sz w:val="24"/>
        </w:rPr>
      </w:pPr>
      <w:r>
        <w:rPr>
          <w:rFonts w:hint="eastAsia" w:ascii="仿宋" w:hAnsi="仿宋" w:eastAsia="仿宋" w:cs="仿宋"/>
          <w:sz w:val="24"/>
        </w:rPr>
        <w:t xml:space="preserve">       投标人认为采购人员及其相关人员有法律法规所列与其他供应商有利害关系的，可以向采购人或采购代理机构书面提出回避申请，并说明理由。</w:t>
      </w:r>
    </w:p>
    <w:p>
      <w:pPr>
        <w:pStyle w:val="9"/>
        <w:pageBreakBefore w:val="0"/>
        <w:kinsoku/>
        <w:wordWrap w:val="0"/>
        <w:overflowPunct/>
        <w:topLinePunct w:val="0"/>
        <w:bidi w:val="0"/>
        <w:spacing w:before="0" w:after="0" w:line="240" w:lineRule="atLeast"/>
        <w:rPr>
          <w:rFonts w:ascii="仿宋" w:hAnsi="仿宋" w:eastAsia="仿宋" w:cs="仿宋"/>
          <w:u w:val="none"/>
        </w:rPr>
      </w:pPr>
      <w:bookmarkStart w:id="148" w:name="_Toc518923102"/>
      <w:bookmarkStart w:id="149" w:name="_Toc24931"/>
      <w:r>
        <w:rPr>
          <w:rFonts w:hint="eastAsia" w:ascii="仿宋" w:hAnsi="仿宋" w:eastAsia="仿宋" w:cs="仿宋"/>
          <w:u w:val="none"/>
        </w:rPr>
        <w:t>36.质疑与接收</w:t>
      </w:r>
      <w:bookmarkEnd w:id="148"/>
      <w:bookmarkEnd w:id="149"/>
    </w:p>
    <w:p>
      <w:pPr>
        <w:pageBreakBefore w:val="0"/>
        <w:kinsoku/>
        <w:wordWrap w:val="0"/>
        <w:overflowPunct/>
        <w:topLinePunct w:val="0"/>
        <w:bidi w:val="0"/>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val="0"/>
        <w:overflowPunct/>
        <w:topLinePunct w:val="0"/>
        <w:bidi w:val="0"/>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val="0"/>
        <w:overflowPunct/>
        <w:topLinePunct w:val="0"/>
        <w:bidi w:val="0"/>
        <w:spacing w:line="240" w:lineRule="atLeast"/>
        <w:ind w:left="851" w:leftChars="405" w:hanging="1"/>
        <w:rPr>
          <w:rFonts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pageBreakBefore w:val="0"/>
        <w:kinsoku/>
        <w:wordWrap w:val="0"/>
        <w:overflowPunct/>
        <w:topLinePunct w:val="0"/>
        <w:bidi w:val="0"/>
        <w:spacing w:line="240" w:lineRule="atLeast"/>
        <w:ind w:left="850" w:leftChars="68" w:hanging="708" w:hangingChars="295"/>
        <w:rPr>
          <w:rFonts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投标人须知资料表。</w:t>
      </w:r>
    </w:p>
    <w:p>
      <w:pPr>
        <w:pageBreakBefore w:val="0"/>
        <w:kinsoku/>
        <w:wordWrap w:val="0"/>
        <w:overflowPunct/>
        <w:topLinePunct w:val="0"/>
        <w:bidi w:val="0"/>
        <w:spacing w:line="240" w:lineRule="atLeast"/>
        <w:ind w:left="900" w:hanging="900" w:hangingChars="375"/>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Cs w:val="24"/>
        </w:rPr>
      </w:pPr>
      <w:r>
        <w:rPr>
          <w:rFonts w:hint="eastAsia" w:ascii="仿宋" w:hAnsi="仿宋" w:eastAsia="仿宋" w:cs="仿宋"/>
        </w:rPr>
        <w:br w:type="page"/>
      </w:r>
      <w:bookmarkStart w:id="150" w:name="_Toc23883"/>
      <w:bookmarkStart w:id="151" w:name="_Toc518923103"/>
      <w:r>
        <w:rPr>
          <w:rFonts w:hint="eastAsia" w:ascii="仿宋" w:hAnsi="仿宋" w:eastAsia="仿宋" w:cs="仿宋"/>
          <w:szCs w:val="24"/>
        </w:rPr>
        <w:t>附件1：</w:t>
      </w:r>
      <w:r>
        <w:rPr>
          <w:rFonts w:hint="eastAsia" w:ascii="仿宋" w:hAnsi="仿宋" w:eastAsia="仿宋" w:cs="仿宋"/>
          <w:color w:val="FF0000"/>
          <w:szCs w:val="24"/>
        </w:rPr>
        <w:t>履约保证金保函（格式</w:t>
      </w:r>
      <w:r>
        <w:rPr>
          <w:rFonts w:hint="eastAsia" w:ascii="仿宋" w:hAnsi="仿宋" w:eastAsia="仿宋" w:cs="仿宋"/>
          <w:szCs w:val="24"/>
        </w:rPr>
        <w:t>）</w:t>
      </w:r>
      <w:bookmarkEnd w:id="150"/>
      <w:bookmarkEnd w:id="151"/>
    </w:p>
    <w:p>
      <w:pPr>
        <w:pStyle w:val="15"/>
        <w:pageBreakBefore w:val="0"/>
        <w:kinsoku/>
        <w:wordWrap w:val="0"/>
        <w:overflowPunct/>
        <w:topLinePunct w:val="0"/>
        <w:bidi w:val="0"/>
        <w:spacing w:line="240" w:lineRule="atLeast"/>
        <w:ind w:left="1079" w:leftChars="257" w:hanging="540"/>
        <w:rPr>
          <w:rFonts w:ascii="仿宋" w:hAnsi="仿宋" w:eastAsia="仿宋" w:cs="仿宋"/>
          <w:b/>
          <w:sz w:val="24"/>
        </w:rPr>
      </w:pPr>
      <w:r>
        <w:rPr>
          <w:rFonts w:hint="eastAsia" w:ascii="仿宋" w:hAnsi="仿宋" w:eastAsia="仿宋" w:cs="仿宋"/>
          <w:b/>
          <w:sz w:val="24"/>
        </w:rPr>
        <w:t xml:space="preserve">                         （本项目不适用）</w:t>
      </w:r>
    </w:p>
    <w:p>
      <w:pPr>
        <w:pStyle w:val="15"/>
        <w:pageBreakBefore w:val="0"/>
        <w:kinsoku/>
        <w:wordWrap w:val="0"/>
        <w:overflowPunct/>
        <w:topLinePunct w:val="0"/>
        <w:bidi w:val="0"/>
        <w:spacing w:line="240" w:lineRule="atLeast"/>
        <w:ind w:left="1079" w:leftChars="257" w:hanging="540"/>
        <w:rPr>
          <w:rFonts w:ascii="仿宋" w:hAnsi="仿宋" w:eastAsia="仿宋" w:cs="仿宋"/>
          <w:b/>
          <w:sz w:val="24"/>
        </w:rPr>
      </w:pPr>
    </w:p>
    <w:p>
      <w:pPr>
        <w:pStyle w:val="15"/>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pPr>
        <w:pStyle w:val="15"/>
        <w:pageBreakBefore w:val="0"/>
        <w:kinsoku/>
        <w:wordWrap w:val="0"/>
        <w:overflowPunct/>
        <w:topLinePunct w:val="0"/>
        <w:bidi w:val="0"/>
        <w:spacing w:line="240" w:lineRule="atLeast"/>
        <w:ind w:left="1079" w:leftChars="257" w:hanging="540"/>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pPr>
        <w:pStyle w:val="15"/>
        <w:pageBreakBefore w:val="0"/>
        <w:kinsoku/>
        <w:wordWrap w:val="0"/>
        <w:overflowPunct/>
        <w:topLinePunct w:val="0"/>
        <w:bidi w:val="0"/>
        <w:spacing w:line="240" w:lineRule="atLeast"/>
        <w:ind w:left="1079" w:leftChars="257" w:hanging="540"/>
        <w:jc w:val="center"/>
        <w:rPr>
          <w:rFonts w:ascii="仿宋" w:hAnsi="仿宋" w:eastAsia="仿宋" w:cs="仿宋"/>
          <w:sz w:val="24"/>
        </w:rPr>
      </w:pPr>
    </w:p>
    <w:p>
      <w:pPr>
        <w:pStyle w:val="15"/>
        <w:pageBreakBefore w:val="0"/>
        <w:kinsoku/>
        <w:wordWrap w:val="0"/>
        <w:overflowPunct/>
        <w:topLinePunct w:val="0"/>
        <w:bidi w:val="0"/>
        <w:spacing w:line="240" w:lineRule="atLeast"/>
        <w:ind w:firstLine="600" w:firstLineChars="250"/>
        <w:rPr>
          <w:rFonts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服务名称</w:t>
      </w:r>
      <w:r>
        <w:rPr>
          <w:rFonts w:hint="eastAsia" w:ascii="仿宋" w:hAnsi="仿宋" w:eastAsia="仿宋" w:cs="仿宋"/>
          <w:sz w:val="24"/>
        </w:rPr>
        <w:t>)(以下简称服务)签订的(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pPr>
        <w:pStyle w:val="15"/>
        <w:pageBreakBefore w:val="0"/>
        <w:kinsoku/>
        <w:wordWrap w:val="0"/>
        <w:overflowPunct/>
        <w:topLinePunct w:val="0"/>
        <w:bidi w:val="0"/>
        <w:spacing w:line="240" w:lineRule="atLeast"/>
        <w:ind w:firstLine="540" w:firstLineChars="225"/>
        <w:rPr>
          <w:rFonts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pPr>
        <w:pStyle w:val="15"/>
        <w:pageBreakBefore w:val="0"/>
        <w:kinsoku/>
        <w:wordWrap w:val="0"/>
        <w:overflowPunct/>
        <w:topLinePunct w:val="0"/>
        <w:bidi w:val="0"/>
        <w:spacing w:line="240" w:lineRule="atLeast"/>
        <w:ind w:left="539" w:leftChars="257"/>
        <w:rPr>
          <w:rFonts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pageBreakBefore w:val="0"/>
        <w:kinsoku/>
        <w:wordWrap w:val="0"/>
        <w:overflowPunct/>
        <w:topLinePunct w:val="0"/>
        <w:bidi w:val="0"/>
        <w:spacing w:line="240" w:lineRule="atLeast"/>
        <w:ind w:left="540"/>
        <w:rPr>
          <w:rFonts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pPr>
        <w:pStyle w:val="15"/>
        <w:pageBreakBefore w:val="0"/>
        <w:kinsoku/>
        <w:wordWrap w:val="0"/>
        <w:overflowPunct/>
        <w:topLinePunct w:val="0"/>
        <w:bidi w:val="0"/>
        <w:spacing w:line="240" w:lineRule="atLeast"/>
        <w:ind w:left="540"/>
        <w:rPr>
          <w:rFonts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4.本保函在本合同规定的保证期期满前完全有效。</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谨启</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pPr>
        <w:pStyle w:val="15"/>
        <w:pageBreakBefore w:val="0"/>
        <w:kinsoku/>
        <w:wordWrap w:val="0"/>
        <w:overflowPunct/>
        <w:topLinePunct w:val="0"/>
        <w:bidi w:val="0"/>
        <w:spacing w:line="240" w:lineRule="atLeast"/>
        <w:ind w:left="1079" w:leftChars="257" w:hanging="540"/>
        <w:rPr>
          <w:rFonts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pPr>
        <w:pStyle w:val="8"/>
        <w:pageBreakBefore w:val="0"/>
        <w:kinsoku/>
        <w:wordWrap w:val="0"/>
        <w:overflowPunct/>
        <w:topLinePunct w:val="0"/>
        <w:bidi w:val="0"/>
        <w:spacing w:before="0" w:line="240" w:lineRule="atLeast"/>
        <w:ind w:left="1079" w:leftChars="257" w:hanging="540"/>
        <w:rPr>
          <w:rFonts w:ascii="仿宋" w:hAnsi="仿宋" w:eastAsia="仿宋" w:cs="仿宋"/>
          <w:color w:val="FF0000"/>
          <w:szCs w:val="24"/>
        </w:rPr>
      </w:pPr>
      <w:r>
        <w:rPr>
          <w:rFonts w:hint="eastAsia" w:ascii="仿宋" w:hAnsi="仿宋" w:eastAsia="仿宋" w:cs="仿宋"/>
        </w:rPr>
        <w:br w:type="page"/>
      </w:r>
      <w:bookmarkStart w:id="152" w:name="_Toc518923104"/>
      <w:bookmarkStart w:id="153" w:name="_Toc27788"/>
      <w:r>
        <w:rPr>
          <w:rFonts w:hint="eastAsia" w:ascii="仿宋" w:hAnsi="仿宋" w:eastAsia="仿宋" w:cs="仿宋"/>
          <w:color w:val="FF0000"/>
          <w:szCs w:val="24"/>
        </w:rPr>
        <w:t>附件2：履约担保函格式</w:t>
      </w:r>
      <w:bookmarkEnd w:id="152"/>
      <w:bookmarkEnd w:id="153"/>
    </w:p>
    <w:p>
      <w:pPr>
        <w:keepNext/>
        <w:keepLines/>
        <w:pageBreakBefore w:val="0"/>
        <w:kinsoku/>
        <w:wordWrap w:val="0"/>
        <w:overflowPunct/>
        <w:topLinePunct w:val="0"/>
        <w:autoSpaceDE w:val="0"/>
        <w:autoSpaceDN w:val="0"/>
        <w:bidi w:val="0"/>
        <w:adjustRightInd w:val="0"/>
        <w:spacing w:line="240" w:lineRule="atLeast"/>
        <w:ind w:left="1078" w:leftChars="257" w:hanging="539"/>
        <w:jc w:val="center"/>
        <w:rPr>
          <w:rFonts w:ascii="仿宋" w:hAnsi="仿宋" w:eastAsia="仿宋" w:cs="仿宋"/>
          <w:b/>
          <w:bCs/>
          <w:sz w:val="28"/>
          <w:szCs w:val="36"/>
        </w:rPr>
      </w:pPr>
      <w:bookmarkStart w:id="154" w:name="_Toc518923105"/>
      <w:bookmarkStart w:id="155" w:name="_Toc515904842"/>
      <w:bookmarkStart w:id="156" w:name="_Toc30995"/>
      <w:r>
        <w:rPr>
          <w:rFonts w:hint="eastAsia" w:ascii="仿宋" w:hAnsi="仿宋" w:eastAsia="仿宋" w:cs="仿宋"/>
          <w:b/>
          <w:bCs/>
          <w:sz w:val="28"/>
          <w:szCs w:val="36"/>
        </w:rPr>
        <w:t>（采用政府采购信用担保形式时使用）</w:t>
      </w:r>
      <w:bookmarkEnd w:id="154"/>
      <w:bookmarkEnd w:id="155"/>
      <w:bookmarkEnd w:id="156"/>
    </w:p>
    <w:p>
      <w:pPr>
        <w:pageBreakBefore w:val="0"/>
        <w:kinsoku/>
        <w:wordWrap w:val="0"/>
        <w:overflowPunct/>
        <w:topLinePunct w:val="0"/>
        <w:bidi w:val="0"/>
        <w:spacing w:line="240" w:lineRule="atLeast"/>
        <w:ind w:left="1079" w:leftChars="257" w:hanging="540"/>
        <w:rPr>
          <w:rFonts w:ascii="仿宋" w:hAnsi="仿宋" w:eastAsia="仿宋" w:cs="仿宋"/>
          <w:b/>
          <w:kern w:val="0"/>
          <w:sz w:val="24"/>
          <w:szCs w:val="20"/>
        </w:rPr>
      </w:pPr>
    </w:p>
    <w:p>
      <w:pPr>
        <w:pageBreakBefore w:val="0"/>
        <w:kinsoku/>
        <w:wordWrap w:val="0"/>
        <w:overflowPunct/>
        <w:topLinePunct w:val="0"/>
        <w:bidi w:val="0"/>
        <w:jc w:val="center"/>
        <w:rPr>
          <w:rFonts w:ascii="仿宋" w:hAnsi="仿宋" w:eastAsia="仿宋" w:cs="仿宋"/>
          <w:sz w:val="24"/>
        </w:rPr>
      </w:pPr>
      <w:r>
        <w:rPr>
          <w:rFonts w:hint="eastAsia" w:ascii="仿宋" w:hAnsi="仿宋" w:eastAsia="仿宋" w:cs="仿宋"/>
          <w:sz w:val="24"/>
        </w:rPr>
        <w:t>政府采购履约担保函（项目用）</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                                                   编号：</w:t>
      </w:r>
    </w:p>
    <w:p>
      <w:pPr>
        <w:pageBreakBefore w:val="0"/>
        <w:kinsoku/>
        <w:wordWrap w:val="0"/>
        <w:overflowPunct/>
        <w:topLinePunct w:val="0"/>
        <w:bidi w:val="0"/>
        <w:rPr>
          <w:rFonts w:ascii="仿宋" w:hAnsi="仿宋" w:eastAsia="仿宋" w:cs="仿宋"/>
          <w:sz w:val="24"/>
        </w:rPr>
      </w:pP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pageBreakBefore w:val="0"/>
        <w:kinsoku/>
        <w:wordWrap w:val="0"/>
        <w:overflowPunct/>
        <w:topLinePunct w:val="0"/>
        <w:bidi w:val="0"/>
        <w:rPr>
          <w:rFonts w:ascii="仿宋" w:hAnsi="仿宋" w:eastAsia="仿宋" w:cs="仿宋"/>
          <w:sz w:val="24"/>
        </w:rPr>
      </w:pP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一、保证责任的情形及保证金额</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（一）在供应商出现下列情形之一时，我方承担保证责任：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　　2．主合同约定的应当缴纳履约保证金的情形: </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二、保证的方式及保证期间</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三、承担保证责任的程序</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四、保证责任的终止</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五、免责条款</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3．因不可抗力造成供应商不能履行供货义务的，我方不承担保证责任。</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六、争议的解决</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七、保函的生效。</w:t>
      </w:r>
    </w:p>
    <w:p>
      <w:pPr>
        <w:pageBreakBefore w:val="0"/>
        <w:kinsoku/>
        <w:wordWrap w:val="0"/>
        <w:overflowPunct/>
        <w:topLinePunct w:val="0"/>
        <w:bidi w:val="0"/>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pageBreakBefore w:val="0"/>
        <w:kinsoku/>
        <w:wordWrap w:val="0"/>
        <w:overflowPunct/>
        <w:topLinePunct w:val="0"/>
        <w:bidi w:val="0"/>
        <w:rPr>
          <w:rFonts w:ascii="仿宋" w:hAnsi="仿宋" w:eastAsia="仿宋" w:cs="仿宋"/>
          <w:sz w:val="24"/>
        </w:rPr>
      </w:pP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                                      </w:t>
      </w:r>
    </w:p>
    <w:p>
      <w:pPr>
        <w:pageBreakBefore w:val="0"/>
        <w:kinsoku/>
        <w:wordWrap w:val="0"/>
        <w:overflowPunct/>
        <w:topLinePunct w:val="0"/>
        <w:bidi w:val="0"/>
        <w:ind w:firstLine="5400" w:firstLineChars="2250"/>
        <w:rPr>
          <w:rFonts w:ascii="仿宋" w:hAnsi="仿宋" w:eastAsia="仿宋" w:cs="仿宋"/>
          <w:sz w:val="24"/>
        </w:rPr>
      </w:pPr>
      <w:r>
        <w:rPr>
          <w:rFonts w:hint="eastAsia" w:ascii="仿宋" w:hAnsi="仿宋" w:eastAsia="仿宋" w:cs="仿宋"/>
          <w:sz w:val="24"/>
        </w:rPr>
        <w:t>保证人：（公章）</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                   </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                                                   年     月      日</w:t>
      </w:r>
    </w:p>
    <w:p>
      <w:pPr>
        <w:pStyle w:val="11"/>
        <w:pageBreakBefore w:val="0"/>
        <w:kinsoku/>
        <w:wordWrap w:val="0"/>
        <w:overflowPunct/>
        <w:topLinePunct w:val="0"/>
        <w:bidi w:val="0"/>
        <w:spacing w:line="240" w:lineRule="atLeast"/>
        <w:ind w:firstLine="0"/>
        <w:rPr>
          <w:rFonts w:ascii="仿宋" w:hAnsi="仿宋" w:eastAsia="仿宋" w:cs="仿宋"/>
          <w:kern w:val="2"/>
          <w:szCs w:val="24"/>
        </w:rPr>
      </w:pPr>
      <w:r>
        <w:rPr>
          <w:rFonts w:hint="eastAsia" w:ascii="仿宋" w:hAnsi="仿宋" w:eastAsia="仿宋" w:cs="仿宋"/>
          <w:b/>
        </w:rPr>
        <w:br w:type="page"/>
      </w:r>
    </w:p>
    <w:p>
      <w:pPr>
        <w:pStyle w:val="7"/>
        <w:pageBreakBefore w:val="0"/>
        <w:kinsoku/>
        <w:wordWrap w:val="0"/>
        <w:overflowPunct/>
        <w:topLinePunct w:val="0"/>
        <w:bidi w:val="0"/>
        <w:spacing w:before="0" w:after="0" w:line="240" w:lineRule="atLeast"/>
        <w:rPr>
          <w:rFonts w:ascii="仿宋" w:hAnsi="仿宋" w:eastAsia="仿宋" w:cs="仿宋"/>
        </w:rPr>
      </w:pPr>
      <w:bookmarkStart w:id="157" w:name="_Toc216582812"/>
      <w:bookmarkStart w:id="158" w:name="_Toc518923106"/>
      <w:bookmarkStart w:id="159" w:name="_Toc6923"/>
      <w:r>
        <w:rPr>
          <w:rFonts w:hint="eastAsia" w:ascii="仿宋" w:hAnsi="仿宋" w:eastAsia="仿宋" w:cs="仿宋"/>
        </w:rPr>
        <w:t>第2章  投标文件格式</w:t>
      </w:r>
      <w:bookmarkEnd w:id="157"/>
      <w:bookmarkEnd w:id="158"/>
      <w:bookmarkEnd w:id="159"/>
    </w:p>
    <w:p>
      <w:pPr>
        <w:pageBreakBefore w:val="0"/>
        <w:kinsoku/>
        <w:wordWrap w:val="0"/>
        <w:overflowPunct/>
        <w:topLinePunct w:val="0"/>
        <w:bidi w:val="0"/>
        <w:spacing w:line="240" w:lineRule="atLeast"/>
        <w:ind w:left="735" w:leftChars="350" w:firstLine="120" w:firstLineChars="50"/>
        <w:rPr>
          <w:rFonts w:ascii="仿宋" w:hAnsi="仿宋" w:eastAsia="仿宋" w:cs="仿宋"/>
          <w:sz w:val="24"/>
        </w:rPr>
      </w:pP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160" w:name="_Toc15142"/>
      <w:bookmarkStart w:id="161" w:name="_Toc518923107"/>
      <w:r>
        <w:rPr>
          <w:rFonts w:hint="eastAsia" w:ascii="仿宋" w:hAnsi="仿宋" w:eastAsia="仿宋" w:cs="仿宋"/>
          <w:sz w:val="24"/>
        </w:rPr>
        <w:t>第一部分 开标一览表及资格证明文件</w:t>
      </w:r>
      <w:bookmarkEnd w:id="160"/>
      <w:bookmarkEnd w:id="161"/>
    </w:p>
    <w:p>
      <w:pPr>
        <w:pageBreakBefore w:val="0"/>
        <w:kinsoku/>
        <w:wordWrap w:val="0"/>
        <w:overflowPunct/>
        <w:topLinePunct w:val="0"/>
        <w:bidi w:val="0"/>
        <w:spacing w:line="240" w:lineRule="atLeast"/>
        <w:ind w:left="708" w:hanging="708" w:hangingChars="295"/>
        <w:jc w:val="center"/>
        <w:rPr>
          <w:rFonts w:ascii="仿宋" w:hAnsi="仿宋" w:eastAsia="仿宋" w:cs="仿宋"/>
          <w:sz w:val="24"/>
        </w:rPr>
      </w:pPr>
    </w:p>
    <w:p>
      <w:pPr>
        <w:pageBreakBefore w:val="0"/>
        <w:kinsoku/>
        <w:wordWrap w:val="0"/>
        <w:overflowPunct/>
        <w:topLinePunct w:val="0"/>
        <w:bidi w:val="0"/>
        <w:spacing w:line="360" w:lineRule="auto"/>
        <w:ind w:firstLine="480"/>
        <w:rPr>
          <w:rFonts w:ascii="仿宋" w:hAnsi="仿宋" w:eastAsia="仿宋" w:cs="仿宋"/>
          <w:bCs/>
          <w:iCs/>
          <w:sz w:val="24"/>
        </w:rPr>
      </w:pPr>
      <w:r>
        <w:rPr>
          <w:rFonts w:hint="eastAsia" w:ascii="仿宋" w:hAnsi="仿宋" w:eastAsia="仿宋" w:cs="仿宋"/>
          <w:bCs/>
          <w:iCs/>
          <w:sz w:val="24"/>
        </w:rPr>
        <w:t>1、开标一览表（</w:t>
      </w:r>
      <w:r>
        <w:rPr>
          <w:rFonts w:hint="eastAsia" w:ascii="仿宋" w:hAnsi="仿宋" w:eastAsia="仿宋" w:cs="仿宋"/>
          <w:sz w:val="24"/>
        </w:rPr>
        <w:t>投标文件</w:t>
      </w:r>
      <w:r>
        <w:rPr>
          <w:rFonts w:hint="eastAsia" w:ascii="仿宋" w:hAnsi="仿宋" w:eastAsia="仿宋" w:cs="仿宋"/>
          <w:bCs/>
          <w:iCs/>
          <w:sz w:val="24"/>
        </w:rPr>
        <w:t>格式一）；</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2、符合《中华人民共和国政府采购法》第二十二条的规定,且必须为未被列入中国执行信息公开网（http://zxgk.court.gov.cn/shixin/）失信被执行人名单（企业、法定代表人）、信用中国网站（www.creditchina.gov.cn）重大税收违法案件当事人名单和中国政府采购网（www.ccgp.gov.cn）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相关查询记录和查询结果并加盖公章）；</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3、有效的营业执照正本或副本；</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4、法人本人投标的提供法人身份证明及身份证，被授权委托人需提供法人授权委托书及身份证原件（</w:t>
      </w:r>
      <w:r>
        <w:rPr>
          <w:rFonts w:hint="eastAsia" w:ascii="仿宋" w:hAnsi="仿宋" w:eastAsia="仿宋" w:cs="仿宋"/>
          <w:sz w:val="24"/>
        </w:rPr>
        <w:t>投标文件</w:t>
      </w:r>
      <w:r>
        <w:rPr>
          <w:rFonts w:hint="eastAsia" w:ascii="仿宋" w:hAnsi="仿宋" w:eastAsia="仿宋"/>
          <w:sz w:val="24"/>
        </w:rPr>
        <w:t>格式二）；</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cs="仿宋"/>
          <w:color w:val="000000"/>
          <w:kern w:val="0"/>
          <w:sz w:val="22"/>
          <w:szCs w:val="22"/>
        </w:rPr>
        <w:t>投标单位</w:t>
      </w:r>
      <w:r>
        <w:rPr>
          <w:rFonts w:hint="eastAsia" w:ascii="仿宋" w:hAnsi="仿宋" w:eastAsia="仿宋"/>
          <w:sz w:val="24"/>
        </w:rPr>
        <w:t>投标标项一、标项</w:t>
      </w:r>
      <w:r>
        <w:rPr>
          <w:rFonts w:hint="eastAsia" w:ascii="仿宋" w:hAnsi="仿宋" w:eastAsia="仿宋"/>
          <w:sz w:val="24"/>
          <w:lang w:val="en-US" w:eastAsia="zh-CN"/>
        </w:rPr>
        <w:t>二</w:t>
      </w:r>
      <w:r>
        <w:rPr>
          <w:rFonts w:hint="eastAsia" w:ascii="仿宋" w:hAnsi="仿宋" w:eastAsia="仿宋"/>
          <w:sz w:val="24"/>
        </w:rPr>
        <w:t>提供招标文件要求内的资质证书</w:t>
      </w:r>
      <w:r>
        <w:rPr>
          <w:rFonts w:hint="eastAsia" w:ascii="仿宋" w:hAnsi="仿宋" w:eastAsia="仿宋" w:cs="仿宋"/>
          <w:kern w:val="0"/>
          <w:sz w:val="24"/>
          <w:szCs w:val="20"/>
        </w:rPr>
        <w:t>；</w:t>
      </w:r>
    </w:p>
    <w:p>
      <w:pPr>
        <w:pageBreakBefore w:val="0"/>
        <w:kinsoku/>
        <w:wordWrap w:val="0"/>
        <w:overflowPunct/>
        <w:topLinePunct w:val="0"/>
        <w:bidi w:val="0"/>
        <w:spacing w:line="360" w:lineRule="auto"/>
        <w:ind w:firstLine="480" w:firstLineChars="200"/>
        <w:rPr>
          <w:rFonts w:ascii="仿宋" w:hAnsi="仿宋" w:eastAsia="仿宋"/>
          <w:color w:val="FF0000"/>
          <w:sz w:val="24"/>
        </w:rPr>
      </w:pPr>
      <w:r>
        <w:rPr>
          <w:rFonts w:hint="eastAsia" w:ascii="仿宋" w:hAnsi="仿宋" w:eastAsia="仿宋"/>
          <w:sz w:val="24"/>
        </w:rPr>
        <w:t>6</w:t>
      </w:r>
      <w:r>
        <w:rPr>
          <w:rFonts w:hint="eastAsia" w:ascii="仿宋" w:hAnsi="仿宋" w:eastAsia="仿宋"/>
          <w:color w:val="FF0000"/>
          <w:sz w:val="24"/>
        </w:rPr>
        <w:t>、提供依法缴纳社会保障资金的良好记录；（需提供近期3个月社保部门出具的投标单位的缴纳社保证明）；</w:t>
      </w:r>
    </w:p>
    <w:p>
      <w:pPr>
        <w:pageBreakBefore w:val="0"/>
        <w:kinsoku/>
        <w:wordWrap w:val="0"/>
        <w:overflowPunct/>
        <w:topLinePunct w:val="0"/>
        <w:bidi w:val="0"/>
        <w:spacing w:line="360" w:lineRule="auto"/>
        <w:ind w:firstLine="480" w:firstLineChars="200"/>
        <w:rPr>
          <w:rFonts w:ascii="仿宋" w:hAnsi="仿宋" w:eastAsia="仿宋"/>
          <w:color w:val="FF0000"/>
          <w:sz w:val="24"/>
        </w:rPr>
      </w:pPr>
      <w:r>
        <w:rPr>
          <w:rFonts w:hint="eastAsia" w:ascii="仿宋" w:hAnsi="仿宋" w:eastAsia="仿宋"/>
          <w:color w:val="FF0000"/>
          <w:sz w:val="24"/>
        </w:rPr>
        <w:t>7、提供税务部门出具近3个月依法缴纳税收的完税证明原件（依法免缴的，应提供依法免缴的相关证明文件）；</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8、提供针对本次项目的反商业贿赂承诺书；</w:t>
      </w:r>
    </w:p>
    <w:p>
      <w:pPr>
        <w:pStyle w:val="20"/>
        <w:pageBreakBefore w:val="0"/>
        <w:tabs>
          <w:tab w:val="center" w:pos="4140"/>
          <w:tab w:val="right" w:pos="8300"/>
          <w:tab w:val="clear" w:pos="4153"/>
          <w:tab w:val="clear" w:pos="8306"/>
        </w:tabs>
        <w:kinsoku/>
        <w:wordWrap w:val="0"/>
        <w:overflowPunct/>
        <w:topLinePunct w:val="0"/>
        <w:bidi w:val="0"/>
        <w:spacing w:line="440" w:lineRule="exact"/>
        <w:ind w:left="478" w:leftChars="228"/>
        <w:rPr>
          <w:rFonts w:ascii="仿宋" w:hAnsi="仿宋" w:eastAsia="仿宋"/>
          <w:kern w:val="2"/>
          <w:sz w:val="24"/>
          <w:szCs w:val="24"/>
        </w:rPr>
      </w:pPr>
      <w:r>
        <w:rPr>
          <w:rFonts w:hint="eastAsia" w:ascii="仿宋" w:hAnsi="仿宋" w:eastAsia="仿宋"/>
          <w:kern w:val="2"/>
          <w:sz w:val="24"/>
          <w:szCs w:val="24"/>
        </w:rPr>
        <w:t>9、参加政府采购活动前三年内，在经营活动中没有重大违法记录承诺书；</w:t>
      </w:r>
    </w:p>
    <w:p>
      <w:pPr>
        <w:pStyle w:val="20"/>
        <w:pageBreakBefore w:val="0"/>
        <w:tabs>
          <w:tab w:val="center" w:pos="4140"/>
          <w:tab w:val="right" w:pos="8300"/>
          <w:tab w:val="clear" w:pos="4153"/>
          <w:tab w:val="clear" w:pos="8306"/>
        </w:tabs>
        <w:kinsoku/>
        <w:wordWrap w:val="0"/>
        <w:overflowPunct/>
        <w:topLinePunct w:val="0"/>
        <w:bidi w:val="0"/>
        <w:spacing w:line="440" w:lineRule="exact"/>
        <w:ind w:left="478" w:leftChars="228"/>
        <w:rPr>
          <w:rFonts w:ascii="仿宋" w:hAnsi="仿宋" w:eastAsia="仿宋"/>
          <w:kern w:val="2"/>
          <w:sz w:val="24"/>
          <w:szCs w:val="24"/>
        </w:rPr>
      </w:pPr>
      <w:r>
        <w:rPr>
          <w:rFonts w:hint="eastAsia" w:ascii="仿宋" w:hAnsi="仿宋" w:eastAsia="仿宋"/>
          <w:kern w:val="2"/>
          <w:sz w:val="24"/>
          <w:szCs w:val="24"/>
        </w:rPr>
        <w:t>10、缴纳投标保证金凭证复印件及银行开户许可证加盖公章；</w:t>
      </w:r>
    </w:p>
    <w:p>
      <w:pPr>
        <w:pStyle w:val="20"/>
        <w:pageBreakBefore w:val="0"/>
        <w:tabs>
          <w:tab w:val="center" w:pos="4140"/>
          <w:tab w:val="right" w:pos="8300"/>
          <w:tab w:val="clear" w:pos="4153"/>
          <w:tab w:val="clear" w:pos="8306"/>
        </w:tabs>
        <w:kinsoku/>
        <w:wordWrap w:val="0"/>
        <w:overflowPunct/>
        <w:topLinePunct w:val="0"/>
        <w:bidi w:val="0"/>
        <w:spacing w:line="440" w:lineRule="exact"/>
        <w:ind w:firstLine="480" w:firstLineChars="200"/>
        <w:rPr>
          <w:rFonts w:ascii="仿宋" w:hAnsi="仿宋" w:eastAsia="仿宋" w:cs="仿宋"/>
          <w:bCs/>
          <w:iCs/>
          <w:sz w:val="24"/>
        </w:rPr>
      </w:pPr>
      <w:r>
        <w:rPr>
          <w:rFonts w:hint="eastAsia" w:ascii="仿宋" w:hAnsi="仿宋" w:eastAsia="仿宋" w:cs="仿宋"/>
          <w:bCs/>
          <w:iCs/>
          <w:color w:val="000000"/>
          <w:kern w:val="2"/>
          <w:sz w:val="24"/>
          <w:szCs w:val="24"/>
        </w:rPr>
        <w:t>11、</w:t>
      </w:r>
      <w:r>
        <w:rPr>
          <w:rFonts w:hint="eastAsia" w:ascii="仿宋" w:hAnsi="仿宋" w:eastAsia="仿宋"/>
          <w:kern w:val="2"/>
          <w:sz w:val="24"/>
          <w:szCs w:val="24"/>
        </w:rPr>
        <w:t>本项目标项一接受联合体投标；标项</w:t>
      </w:r>
      <w:r>
        <w:rPr>
          <w:rFonts w:hint="eastAsia" w:ascii="仿宋" w:hAnsi="仿宋" w:eastAsia="仿宋"/>
          <w:kern w:val="2"/>
          <w:sz w:val="24"/>
          <w:szCs w:val="24"/>
          <w:lang w:val="en-US" w:eastAsia="zh-CN"/>
        </w:rPr>
        <w:t>二</w:t>
      </w:r>
      <w:r>
        <w:rPr>
          <w:rFonts w:hint="eastAsia" w:ascii="仿宋" w:hAnsi="仿宋" w:eastAsia="仿宋"/>
          <w:kern w:val="2"/>
          <w:sz w:val="24"/>
          <w:szCs w:val="24"/>
        </w:rPr>
        <w:t>不接受联合体投标。</w:t>
      </w:r>
    </w:p>
    <w:p>
      <w:pPr>
        <w:pStyle w:val="20"/>
        <w:pageBreakBefore w:val="0"/>
        <w:tabs>
          <w:tab w:val="center" w:pos="4140"/>
          <w:tab w:val="right" w:pos="8300"/>
          <w:tab w:val="clear" w:pos="4153"/>
          <w:tab w:val="clear" w:pos="8306"/>
        </w:tabs>
        <w:kinsoku/>
        <w:wordWrap w:val="0"/>
        <w:overflowPunct/>
        <w:topLinePunct w:val="0"/>
        <w:bidi w:val="0"/>
        <w:spacing w:line="440" w:lineRule="exact"/>
        <w:jc w:val="both"/>
        <w:rPr>
          <w:rFonts w:ascii="仿宋" w:hAnsi="仿宋" w:eastAsia="仿宋" w:cs="仿宋"/>
          <w:sz w:val="24"/>
        </w:rPr>
      </w:pPr>
      <w:r>
        <w:rPr>
          <w:rFonts w:hint="eastAsia" w:ascii="仿宋" w:hAnsi="仿宋" w:eastAsia="仿宋" w:cs="仿宋"/>
          <w:bCs/>
          <w:iCs/>
          <w:sz w:val="24"/>
        </w:rPr>
        <w:br w:type="page"/>
      </w:r>
      <w:bookmarkStart w:id="162" w:name="_Toc29377"/>
      <w:bookmarkStart w:id="163" w:name="_Toc518923108"/>
      <w:r>
        <w:rPr>
          <w:rFonts w:hint="eastAsia" w:ascii="仿宋" w:hAnsi="仿宋" w:eastAsia="仿宋" w:cs="仿宋"/>
          <w:b/>
          <w:iCs/>
          <w:sz w:val="24"/>
        </w:rPr>
        <w:t xml:space="preserve">  </w:t>
      </w:r>
      <w:r>
        <w:rPr>
          <w:rFonts w:hint="eastAsia" w:ascii="仿宋" w:hAnsi="仿宋" w:eastAsia="仿宋" w:cs="仿宋"/>
          <w:b/>
          <w:sz w:val="24"/>
        </w:rPr>
        <w:t>1、开标一览表（投标文件格式一）</w:t>
      </w:r>
      <w:bookmarkEnd w:id="162"/>
      <w:bookmarkEnd w:id="163"/>
    </w:p>
    <w:p>
      <w:pPr>
        <w:pStyle w:val="15"/>
        <w:pageBreakBefore w:val="0"/>
        <w:tabs>
          <w:tab w:val="left" w:pos="5580"/>
        </w:tabs>
        <w:kinsoku/>
        <w:wordWrap w:val="0"/>
        <w:overflowPunct/>
        <w:topLinePunct w:val="0"/>
        <w:bidi w:val="0"/>
        <w:spacing w:line="240" w:lineRule="atLeast"/>
        <w:ind w:left="268" w:leftChars="128"/>
        <w:rPr>
          <w:rFonts w:ascii="仿宋" w:hAnsi="仿宋" w:eastAsia="仿宋" w:cs="仿宋"/>
          <w:sz w:val="24"/>
        </w:rPr>
      </w:pPr>
    </w:p>
    <w:p>
      <w:pPr>
        <w:pStyle w:val="15"/>
        <w:pageBreakBefore w:val="0"/>
        <w:tabs>
          <w:tab w:val="left" w:pos="5580"/>
        </w:tabs>
        <w:kinsoku/>
        <w:wordWrap w:val="0"/>
        <w:overflowPunct/>
        <w:topLinePunct w:val="0"/>
        <w:bidi w:val="0"/>
        <w:spacing w:line="240" w:lineRule="atLeast"/>
        <w:ind w:left="268" w:leftChars="128"/>
        <w:rPr>
          <w:rFonts w:ascii="仿宋" w:hAnsi="仿宋" w:eastAsia="仿宋" w:cs="仿宋"/>
          <w:sz w:val="24"/>
          <w:szCs w:val="24"/>
        </w:rPr>
      </w:pPr>
    </w:p>
    <w:p>
      <w:pPr>
        <w:pStyle w:val="11"/>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b/>
        </w:rPr>
      </w:pPr>
      <w:bookmarkStart w:id="164" w:name="_Hlt520356241"/>
      <w:bookmarkEnd w:id="164"/>
      <w:bookmarkStart w:id="165" w:name="_Toc494296984"/>
      <w:bookmarkStart w:id="166" w:name="_Toc480942349"/>
      <w:bookmarkStart w:id="167" w:name="_Ref467988698"/>
      <w:bookmarkStart w:id="168" w:name="_Toc520356217"/>
      <w:bookmarkStart w:id="169" w:name="_Toc216582813"/>
      <w:r>
        <w:rPr>
          <w:rFonts w:hint="eastAsia" w:ascii="仿宋" w:hAnsi="仿宋" w:eastAsia="仿宋" w:cs="仿宋"/>
          <w:b/>
        </w:rPr>
        <w:t>开标一览表</w:t>
      </w:r>
      <w:bookmarkEnd w:id="165"/>
      <w:r>
        <w:rPr>
          <w:rFonts w:hint="eastAsia" w:ascii="仿宋" w:hAnsi="仿宋" w:eastAsia="仿宋" w:cs="仿宋"/>
          <w:b/>
        </w:rPr>
        <w:cr/>
      </w:r>
    </w:p>
    <w:p>
      <w:pPr>
        <w:pStyle w:val="11"/>
        <w:pageBreakBefore w:val="0"/>
        <w:tabs>
          <w:tab w:val="left" w:pos="5580"/>
        </w:tabs>
        <w:kinsoku/>
        <w:wordWrap w:val="0"/>
        <w:overflowPunct/>
        <w:topLinePunct w:val="0"/>
        <w:bidi w:val="0"/>
        <w:spacing w:line="240" w:lineRule="atLeast"/>
        <w:ind w:left="1079" w:leftChars="257" w:hanging="540"/>
        <w:rPr>
          <w:rFonts w:ascii="仿宋" w:hAnsi="仿宋" w:eastAsia="仿宋" w:cs="仿宋"/>
        </w:rPr>
      </w:pPr>
    </w:p>
    <w:p>
      <w:pPr>
        <w:pageBreakBefore w:val="0"/>
        <w:tabs>
          <w:tab w:val="left" w:pos="1800"/>
          <w:tab w:val="left" w:pos="5580"/>
        </w:tabs>
        <w:kinsoku/>
        <w:wordWrap w:val="0"/>
        <w:overflowPunct/>
        <w:topLinePunct w:val="0"/>
        <w:bidi w:val="0"/>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 xml:space="preserve">项目名称：　                  招标编号：        包号：           </w:t>
      </w:r>
    </w:p>
    <w:p>
      <w:pPr>
        <w:pageBreakBefore w:val="0"/>
        <w:tabs>
          <w:tab w:val="left" w:pos="1800"/>
          <w:tab w:val="left" w:pos="5580"/>
        </w:tabs>
        <w:kinsoku/>
        <w:wordWrap w:val="0"/>
        <w:overflowPunct/>
        <w:topLinePunct w:val="0"/>
        <w:bidi w:val="0"/>
        <w:spacing w:line="240" w:lineRule="atLeast"/>
        <w:ind w:left="1079" w:leftChars="257" w:right="-867" w:rightChars="-413" w:hanging="540"/>
        <w:rPr>
          <w:rFonts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pageBreakBefore w:val="0"/>
              <w:tabs>
                <w:tab w:val="left" w:pos="5580"/>
              </w:tabs>
              <w:kinsoku/>
              <w:wordWrap w:val="0"/>
              <w:overflowPunct/>
              <w:topLinePunct w:val="0"/>
              <w:bidi w:val="0"/>
              <w:spacing w:line="240" w:lineRule="atLeast"/>
              <w:ind w:right="-199"/>
              <w:jc w:val="center"/>
              <w:rPr>
                <w:rFonts w:ascii="仿宋" w:hAnsi="仿宋" w:eastAsia="仿宋" w:cs="仿宋"/>
                <w:sz w:val="24"/>
              </w:rPr>
            </w:pPr>
            <w:r>
              <w:rPr>
                <w:rFonts w:hint="eastAsia" w:ascii="仿宋" w:hAnsi="仿宋" w:eastAsia="仿宋" w:cs="仿宋"/>
                <w:sz w:val="24"/>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pageBreakBefore w:val="0"/>
              <w:tabs>
                <w:tab w:val="left" w:pos="5580"/>
              </w:tabs>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投标总价</w:t>
            </w:r>
          </w:p>
        </w:tc>
        <w:tc>
          <w:tcPr>
            <w:tcW w:w="1805"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投标保证金</w:t>
            </w:r>
          </w:p>
        </w:tc>
        <w:tc>
          <w:tcPr>
            <w:tcW w:w="1445"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pageBreakBefore w:val="0"/>
              <w:tabs>
                <w:tab w:val="left" w:pos="5580"/>
              </w:tabs>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pageBreakBefore w:val="0"/>
              <w:tabs>
                <w:tab w:val="left" w:pos="5580"/>
              </w:tabs>
              <w:kinsoku/>
              <w:wordWrap w:val="0"/>
              <w:overflowPunct/>
              <w:topLinePunct w:val="0"/>
              <w:bidi w:val="0"/>
              <w:spacing w:line="240" w:lineRule="atLeast"/>
              <w:jc w:val="left"/>
              <w:rPr>
                <w:rFonts w:ascii="仿宋" w:hAnsi="仿宋" w:eastAsia="仿宋" w:cs="仿宋"/>
                <w:sz w:val="24"/>
              </w:rPr>
            </w:pPr>
            <w:r>
              <w:rPr>
                <w:rFonts w:hint="eastAsia" w:ascii="仿宋" w:hAnsi="仿宋" w:eastAsia="仿宋" w:cs="仿宋"/>
                <w:sz w:val="24"/>
              </w:rPr>
              <w:t>大写：</w:t>
            </w:r>
          </w:p>
          <w:p>
            <w:pPr>
              <w:pageBreakBefore w:val="0"/>
              <w:tabs>
                <w:tab w:val="left" w:pos="5580"/>
              </w:tabs>
              <w:kinsoku/>
              <w:wordWrap w:val="0"/>
              <w:overflowPunct/>
              <w:topLinePunct w:val="0"/>
              <w:bidi w:val="0"/>
              <w:spacing w:line="240" w:lineRule="atLeast"/>
              <w:jc w:val="left"/>
              <w:rPr>
                <w:rFonts w:ascii="仿宋" w:hAnsi="仿宋" w:eastAsia="仿宋" w:cs="仿宋"/>
                <w:sz w:val="24"/>
              </w:rPr>
            </w:pPr>
            <w:r>
              <w:rPr>
                <w:rFonts w:hint="eastAsia" w:ascii="仿宋" w:hAnsi="仿宋" w:eastAsia="仿宋" w:cs="仿宋"/>
                <w:sz w:val="24"/>
              </w:rPr>
              <w:t>小写：</w:t>
            </w:r>
          </w:p>
        </w:tc>
        <w:tc>
          <w:tcPr>
            <w:tcW w:w="1805" w:type="dxa"/>
            <w:tcBorders>
              <w:top w:val="single" w:color="auto" w:sz="8" w:space="0"/>
              <w:left w:val="nil"/>
              <w:bottom w:val="single" w:color="auto" w:sz="4" w:space="0"/>
              <w:right w:val="single" w:color="auto" w:sz="4" w:space="0"/>
            </w:tcBorders>
            <w:vAlign w:val="center"/>
          </w:tcPr>
          <w:p>
            <w:pPr>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sz w:val="24"/>
              </w:rPr>
            </w:pPr>
          </w:p>
        </w:tc>
        <w:tc>
          <w:tcPr>
            <w:tcW w:w="1445" w:type="dxa"/>
            <w:tcBorders>
              <w:top w:val="single" w:color="auto" w:sz="8" w:space="0"/>
              <w:left w:val="nil"/>
              <w:bottom w:val="single" w:color="auto" w:sz="4" w:space="0"/>
              <w:right w:val="single" w:color="auto" w:sz="4" w:space="0"/>
            </w:tcBorders>
            <w:vAlign w:val="center"/>
          </w:tcPr>
          <w:p>
            <w:pPr>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sz w:val="24"/>
              </w:rPr>
            </w:pPr>
          </w:p>
        </w:tc>
        <w:tc>
          <w:tcPr>
            <w:tcW w:w="1016" w:type="dxa"/>
            <w:tcBorders>
              <w:top w:val="single" w:color="auto" w:sz="8" w:space="0"/>
              <w:left w:val="nil"/>
              <w:bottom w:val="single" w:color="auto" w:sz="4" w:space="0"/>
              <w:right w:val="single" w:color="auto" w:sz="4" w:space="0"/>
            </w:tcBorders>
            <w:vAlign w:val="center"/>
          </w:tcPr>
          <w:p>
            <w:pPr>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pageBreakBefore w:val="0"/>
              <w:tabs>
                <w:tab w:val="left" w:pos="5580"/>
              </w:tabs>
              <w:kinsoku/>
              <w:wordWrap w:val="0"/>
              <w:overflowPunct/>
              <w:topLinePunct w:val="0"/>
              <w:bidi w:val="0"/>
              <w:spacing w:line="240" w:lineRule="atLeast"/>
              <w:ind w:left="1079" w:leftChars="257" w:hanging="540"/>
              <w:jc w:val="center"/>
              <w:rPr>
                <w:rFonts w:ascii="仿宋" w:hAnsi="仿宋" w:eastAsia="仿宋" w:cs="仿宋"/>
                <w:sz w:val="24"/>
              </w:rPr>
            </w:pPr>
          </w:p>
        </w:tc>
      </w:tr>
    </w:tbl>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p>
    <w:p>
      <w:pPr>
        <w:pStyle w:val="15"/>
        <w:pageBreakBefore w:val="0"/>
        <w:tabs>
          <w:tab w:val="left" w:pos="5580"/>
        </w:tabs>
        <w:kinsoku/>
        <w:wordWrap w:val="0"/>
        <w:overflowPunct/>
        <w:topLinePunct w:val="0"/>
        <w:bidi w:val="0"/>
        <w:spacing w:line="240" w:lineRule="atLeast"/>
        <w:rPr>
          <w:rFonts w:ascii="仿宋" w:hAnsi="仿宋" w:eastAsia="仿宋" w:cs="仿宋"/>
          <w:sz w:val="24"/>
          <w:u w:val="single"/>
        </w:rPr>
      </w:pP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投标人名称（单位章）：</w:t>
      </w:r>
      <w:r>
        <w:rPr>
          <w:rFonts w:hint="eastAsia" w:ascii="仿宋" w:hAnsi="仿宋" w:eastAsia="仿宋" w:cs="仿宋"/>
          <w:sz w:val="24"/>
          <w:u w:val="single"/>
        </w:rPr>
        <w:t xml:space="preserve">                       </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5"/>
        <w:pageBreakBefore w:val="0"/>
        <w:tabs>
          <w:tab w:val="left" w:pos="5580"/>
        </w:tabs>
        <w:kinsoku/>
        <w:wordWrap w:val="0"/>
        <w:overflowPunct/>
        <w:topLinePunct w:val="0"/>
        <w:bidi w:val="0"/>
        <w:spacing w:line="240" w:lineRule="atLeast"/>
        <w:rPr>
          <w:rFonts w:ascii="仿宋" w:hAnsi="仿宋" w:eastAsia="仿宋" w:cs="仿宋"/>
          <w:b/>
        </w:rPr>
      </w:pPr>
    </w:p>
    <w:p>
      <w:pPr>
        <w:pStyle w:val="15"/>
        <w:pageBreakBefore w:val="0"/>
        <w:tabs>
          <w:tab w:val="left" w:pos="5580"/>
        </w:tabs>
        <w:kinsoku/>
        <w:wordWrap w:val="0"/>
        <w:overflowPunct/>
        <w:topLinePunct w:val="0"/>
        <w:bidi w:val="0"/>
        <w:spacing w:line="240" w:lineRule="atLeast"/>
        <w:rPr>
          <w:rFonts w:ascii="仿宋" w:hAnsi="仿宋" w:eastAsia="仿宋" w:cs="仿宋"/>
          <w:sz w:val="24"/>
          <w:u w:val="single"/>
        </w:rPr>
      </w:pP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注:1、此表应按投标人须知的规定装订密封。</w:t>
      </w:r>
    </w:p>
    <w:p>
      <w:pPr>
        <w:pStyle w:val="15"/>
        <w:pageBreakBefore w:val="0"/>
        <w:tabs>
          <w:tab w:val="left" w:pos="5580"/>
        </w:tabs>
        <w:kinsoku/>
        <w:wordWrap w:val="0"/>
        <w:overflowPunct/>
        <w:topLinePunct w:val="0"/>
        <w:bidi w:val="0"/>
        <w:spacing w:line="240" w:lineRule="atLeast"/>
        <w:ind w:left="210" w:firstLine="720" w:firstLineChars="300"/>
        <w:rPr>
          <w:rFonts w:ascii="仿宋" w:hAnsi="仿宋" w:eastAsia="仿宋" w:cs="仿宋"/>
          <w:sz w:val="24"/>
        </w:rPr>
      </w:pPr>
      <w:r>
        <w:rPr>
          <w:rFonts w:hint="eastAsia" w:ascii="仿宋" w:hAnsi="仿宋" w:eastAsia="仿宋" w:cs="仿宋"/>
          <w:sz w:val="24"/>
        </w:rPr>
        <w:t>2、此表中，每个分包的投标总价应和投标分项报价表的总价相一致。</w:t>
      </w:r>
    </w:p>
    <w:p>
      <w:pPr>
        <w:pStyle w:val="15"/>
        <w:pageBreakBefore w:val="0"/>
        <w:tabs>
          <w:tab w:val="left" w:pos="5580"/>
        </w:tabs>
        <w:kinsoku/>
        <w:wordWrap w:val="0"/>
        <w:overflowPunct/>
        <w:topLinePunct w:val="0"/>
        <w:bidi w:val="0"/>
        <w:spacing w:line="240" w:lineRule="atLeast"/>
        <w:ind w:left="741" w:leftChars="353"/>
        <w:rPr>
          <w:rFonts w:ascii="仿宋" w:hAnsi="仿宋" w:eastAsia="仿宋" w:cs="仿宋"/>
          <w:sz w:val="24"/>
        </w:rPr>
      </w:pPr>
      <w:r>
        <w:rPr>
          <w:rFonts w:hint="eastAsia" w:ascii="仿宋" w:hAnsi="仿宋" w:eastAsia="仿宋" w:cs="仿宋"/>
          <w:sz w:val="24"/>
        </w:rPr>
        <w:t xml:space="preserve"> </w:t>
      </w:r>
    </w:p>
    <w:p>
      <w:pPr>
        <w:pStyle w:val="15"/>
        <w:pageBreakBefore w:val="0"/>
        <w:tabs>
          <w:tab w:val="left" w:pos="5580"/>
        </w:tabs>
        <w:kinsoku/>
        <w:wordWrap w:val="0"/>
        <w:overflowPunct/>
        <w:topLinePunct w:val="0"/>
        <w:bidi w:val="0"/>
        <w:spacing w:line="240" w:lineRule="atLeast"/>
        <w:rPr>
          <w:rFonts w:ascii="仿宋" w:hAnsi="仿宋" w:eastAsia="仿宋" w:cs="仿宋"/>
          <w:sz w:val="24"/>
        </w:rPr>
      </w:pPr>
    </w:p>
    <w:p>
      <w:pPr>
        <w:pageBreakBefore w:val="0"/>
        <w:numPr>
          <w:ilvl w:val="0"/>
          <w:numId w:val="6"/>
        </w:numPr>
        <w:kinsoku/>
        <w:wordWrap w:val="0"/>
        <w:overflowPunct/>
        <w:topLinePunct w:val="0"/>
        <w:bidi w:val="0"/>
        <w:spacing w:line="240" w:lineRule="atLeast"/>
        <w:ind w:left="390" w:hanging="180"/>
        <w:rPr>
          <w:rFonts w:ascii="仿宋" w:hAnsi="仿宋" w:eastAsia="仿宋" w:cs="仿宋"/>
          <w:b/>
          <w:color w:val="000000"/>
          <w:kern w:val="0"/>
          <w:sz w:val="24"/>
          <w:szCs w:val="20"/>
        </w:rPr>
      </w:pPr>
      <w:bookmarkStart w:id="170" w:name="_Toc22494199"/>
      <w:bookmarkStart w:id="171" w:name="_Toc39671740"/>
      <w:r>
        <w:rPr>
          <w:rFonts w:hint="eastAsia" w:ascii="仿宋" w:hAnsi="仿宋" w:eastAsia="仿宋" w:cs="仿宋"/>
          <w:b/>
          <w:color w:val="000000"/>
          <w:kern w:val="0"/>
          <w:sz w:val="24"/>
          <w:szCs w:val="20"/>
        </w:rPr>
        <w:t>符合《中华人民共和国政府采购法》第二十二条的规定,且必须为未被列入中国执行信息公开网（http://zxgk.court.gov.cn/shixin/）失信被执行人名单（企业、法定代表人）、信用中国网站（www.creditchina.gov.cn）重大税收违法案件当事人名单和中国政府采购网（www.ccgp.gov.cn）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p>
      <w:pPr>
        <w:pageBreakBefore w:val="0"/>
        <w:kinsoku/>
        <w:wordWrap w:val="0"/>
        <w:overflowPunct/>
        <w:topLinePunct w:val="0"/>
        <w:bidi w:val="0"/>
        <w:ind w:left="741" w:leftChars="353"/>
      </w:pPr>
    </w:p>
    <w:p>
      <w:pPr>
        <w:pageBreakBefore w:val="0"/>
        <w:kinsoku/>
        <w:wordWrap w:val="0"/>
        <w:overflowPunct/>
        <w:topLinePunct w:val="0"/>
        <w:bidi w:val="0"/>
        <w:spacing w:line="240" w:lineRule="atLeast"/>
        <w:ind w:firstLine="240" w:firstLineChars="100"/>
        <w:rPr>
          <w:rFonts w:ascii="仿宋" w:hAnsi="仿宋" w:eastAsia="仿宋" w:cs="仿宋"/>
          <w:b/>
          <w:bCs/>
          <w:color w:val="000000"/>
          <w:sz w:val="24"/>
        </w:rPr>
      </w:pPr>
      <w:r>
        <w:rPr>
          <w:rFonts w:hint="eastAsia" w:ascii="仿宋" w:hAnsi="仿宋" w:eastAsia="仿宋" w:cs="仿宋"/>
          <w:b/>
          <w:bCs/>
          <w:color w:val="000000"/>
          <w:sz w:val="24"/>
        </w:rPr>
        <w:t>3、有效的营业执照正本或副本；</w:t>
      </w:r>
      <w:bookmarkEnd w:id="170"/>
      <w:bookmarkEnd w:id="171"/>
    </w:p>
    <w:p>
      <w:pPr>
        <w:pageBreakBefore w:val="0"/>
        <w:kinsoku/>
        <w:wordWrap w:val="0"/>
        <w:overflowPunct/>
        <w:topLinePunct w:val="0"/>
        <w:bidi w:val="0"/>
        <w:ind w:left="741" w:leftChars="353"/>
        <w:rPr>
          <w:rFonts w:ascii="仿宋" w:hAnsi="仿宋" w:eastAsia="仿宋" w:cs="仿宋"/>
        </w:rPr>
      </w:pPr>
    </w:p>
    <w:p>
      <w:pPr>
        <w:pStyle w:val="15"/>
        <w:pageBreakBefore w:val="0"/>
        <w:tabs>
          <w:tab w:val="left" w:pos="5580"/>
        </w:tabs>
        <w:kinsoku/>
        <w:wordWrap w:val="0"/>
        <w:overflowPunct/>
        <w:topLinePunct w:val="0"/>
        <w:bidi w:val="0"/>
        <w:spacing w:line="240" w:lineRule="atLeast"/>
        <w:ind w:firstLine="480" w:firstLineChars="200"/>
        <w:rPr>
          <w:rFonts w:ascii="仿宋" w:hAnsi="仿宋" w:eastAsia="仿宋" w:cs="仿宋"/>
          <w:color w:val="000000"/>
          <w:sz w:val="24"/>
        </w:rPr>
      </w:pPr>
      <w:r>
        <w:rPr>
          <w:rFonts w:hint="eastAsia" w:ascii="仿宋" w:hAnsi="仿宋" w:eastAsia="仿宋" w:cs="仿宋"/>
          <w:color w:val="000000"/>
          <w:sz w:val="24"/>
        </w:rPr>
        <w:t>说明：1）法人或者非法人组织营业执照等证明文件复印件（须加盖本单位章）或自然人的身份证明复印件;</w:t>
      </w:r>
    </w:p>
    <w:p>
      <w:pPr>
        <w:pStyle w:val="15"/>
        <w:pageBreakBefore w:val="0"/>
        <w:tabs>
          <w:tab w:val="left" w:pos="5580"/>
        </w:tabs>
        <w:kinsoku/>
        <w:wordWrap w:val="0"/>
        <w:overflowPunct/>
        <w:topLinePunct w:val="0"/>
        <w:bidi w:val="0"/>
        <w:spacing w:line="240" w:lineRule="atLeast"/>
        <w:ind w:firstLine="1200" w:firstLineChars="500"/>
        <w:rPr>
          <w:rFonts w:ascii="仿宋" w:hAnsi="仿宋" w:eastAsia="仿宋" w:cs="仿宋"/>
          <w:color w:val="000000"/>
          <w:sz w:val="24"/>
        </w:rPr>
      </w:pPr>
      <w:r>
        <w:rPr>
          <w:rFonts w:hint="eastAsia" w:ascii="仿宋" w:hAnsi="仿宋" w:eastAsia="仿宋" w:cs="仿宋"/>
          <w:color w:val="000000"/>
          <w:sz w:val="24"/>
        </w:rPr>
        <w:t>2）投标人必须满足《中华人民共和国政府采购法》第二十二条要求，法定代表人（或企业负责人）授权书（见投标文件格式二，自然人投标的无需提供）。</w:t>
      </w:r>
    </w:p>
    <w:p>
      <w:pPr>
        <w:pStyle w:val="15"/>
        <w:pageBreakBefore w:val="0"/>
        <w:tabs>
          <w:tab w:val="left" w:pos="5580"/>
        </w:tabs>
        <w:kinsoku/>
        <w:wordWrap w:val="0"/>
        <w:overflowPunct/>
        <w:topLinePunct w:val="0"/>
        <w:bidi w:val="0"/>
        <w:spacing w:line="240" w:lineRule="atLeast"/>
        <w:rPr>
          <w:rFonts w:ascii="仿宋" w:hAnsi="仿宋" w:eastAsia="仿宋" w:cs="仿宋"/>
          <w:color w:val="000000"/>
          <w:sz w:val="24"/>
        </w:rPr>
      </w:pPr>
    </w:p>
    <w:p>
      <w:pPr>
        <w:pageBreakBefore w:val="0"/>
        <w:kinsoku/>
        <w:wordWrap w:val="0"/>
        <w:overflowPunct/>
        <w:topLinePunct w:val="0"/>
        <w:bidi w:val="0"/>
        <w:spacing w:line="240" w:lineRule="atLeast"/>
        <w:ind w:firstLine="240" w:firstLineChars="100"/>
        <w:rPr>
          <w:rFonts w:ascii="仿宋" w:hAnsi="仿宋" w:eastAsia="仿宋" w:cs="仿宋"/>
          <w:b/>
          <w:bCs/>
          <w:color w:val="000000"/>
          <w:sz w:val="24"/>
        </w:rPr>
      </w:pPr>
      <w:bookmarkStart w:id="172" w:name="_Toc1083"/>
      <w:bookmarkStart w:id="173" w:name="_Toc22472"/>
      <w:bookmarkStart w:id="174" w:name="_Toc515647807"/>
      <w:bookmarkStart w:id="175" w:name="_Toc22494200"/>
      <w:bookmarkStart w:id="176" w:name="_Toc39671741"/>
      <w:r>
        <w:rPr>
          <w:rFonts w:hint="eastAsia" w:ascii="仿宋" w:hAnsi="仿宋" w:eastAsia="仿宋" w:cs="仿宋"/>
          <w:b/>
          <w:bCs/>
          <w:color w:val="000000"/>
          <w:sz w:val="24"/>
        </w:rPr>
        <w:t>4、法定代表人（或企业负责人）授权委托书(投标文件格式二)</w:t>
      </w:r>
      <w:bookmarkEnd w:id="172"/>
      <w:bookmarkEnd w:id="173"/>
      <w:bookmarkEnd w:id="174"/>
      <w:bookmarkEnd w:id="175"/>
      <w:bookmarkEnd w:id="176"/>
    </w:p>
    <w:p>
      <w:pPr>
        <w:pStyle w:val="15"/>
        <w:pageBreakBefore w:val="0"/>
        <w:kinsoku/>
        <w:wordWrap w:val="0"/>
        <w:overflowPunct/>
        <w:topLinePunct w:val="0"/>
        <w:bidi w:val="0"/>
        <w:spacing w:line="240" w:lineRule="atLeast"/>
        <w:rPr>
          <w:rFonts w:hAnsi="宋体" w:cs="宋体"/>
          <w:szCs w:val="21"/>
        </w:rPr>
      </w:pPr>
      <w:r>
        <w:rPr>
          <w:rFonts w:hint="eastAsia" w:ascii="仿宋" w:hAnsi="仿宋" w:eastAsia="仿宋" w:cs="仿宋"/>
          <w:color w:val="000000"/>
          <w:sz w:val="24"/>
        </w:rPr>
        <w:cr/>
      </w:r>
      <w:r>
        <w:rPr>
          <w:rFonts w:hint="eastAsia" w:ascii="仿宋" w:hAnsi="仿宋" w:eastAsia="仿宋" w:cs="仿宋"/>
          <w:color w:val="000000"/>
          <w:sz w:val="24"/>
        </w:rPr>
        <w:t xml:space="preserve">  </w:t>
      </w:r>
      <w:r>
        <w:rPr>
          <w:rFonts w:hint="eastAsia" w:hAnsi="宋体" w:cs="宋体"/>
          <w:b/>
          <w:szCs w:val="21"/>
        </w:rPr>
        <w:t>（一）法定代表人身份证明</w:t>
      </w:r>
    </w:p>
    <w:p>
      <w:pPr>
        <w:pageBreakBefore w:val="0"/>
        <w:kinsoku/>
        <w:wordWrap w:val="0"/>
        <w:overflowPunct/>
        <w:topLinePunct w:val="0"/>
        <w:bidi w:val="0"/>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 xml:space="preserve">签发日期：                  单位：        </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附：代表人性别：            年龄：           身份证号码：</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联系电话：</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营业执照号码：              经济性质：</w:t>
      </w:r>
    </w:p>
    <w:p>
      <w:pPr>
        <w:pageBreakBefore w:val="0"/>
        <w:kinsoku/>
        <w:wordWrap w:val="0"/>
        <w:overflowPunct/>
        <w:topLinePunct w:val="0"/>
        <w:bidi w:val="0"/>
        <w:spacing w:line="360" w:lineRule="auto"/>
        <w:rPr>
          <w:rFonts w:ascii="宋体" w:hAnsi="宋体" w:cs="宋体"/>
          <w:szCs w:val="21"/>
        </w:rPr>
      </w:pPr>
      <w:r>
        <w:rPr>
          <w:rFonts w:hint="eastAsia" w:ascii="宋体" w:hAnsi="宋体" w:cs="宋体"/>
          <w:szCs w:val="21"/>
        </w:rPr>
        <w:t>说明：</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1、法定代表人为企业事业单位、国家机关、社会团体的主要行政负责人。</w:t>
      </w:r>
    </w:p>
    <w:p>
      <w:pPr>
        <w:pageBreakBefore w:val="0"/>
        <w:kinsoku/>
        <w:wordWrap w:val="0"/>
        <w:overflowPunct/>
        <w:topLinePunct w:val="0"/>
        <w:bidi w:val="0"/>
        <w:spacing w:line="360" w:lineRule="auto"/>
        <w:rPr>
          <w:rFonts w:ascii="宋体" w:hAnsi="宋体" w:cs="宋体"/>
          <w:szCs w:val="21"/>
        </w:rPr>
      </w:pPr>
      <w:r>
        <w:rPr>
          <w:rFonts w:hint="eastAsia" w:ascii="宋体" w:hAnsi="宋体" w:cs="宋体"/>
          <w:szCs w:val="21"/>
        </w:rPr>
        <w:t xml:space="preserve">  2、内容必须填写真实、清楚、涂改无效，不得转让。</w:t>
      </w: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w:t>3、将此证明书原件提交采购代理机构作为谈判投标文件附件。</w:t>
      </w:r>
    </w:p>
    <w:p>
      <w:pPr>
        <w:pageBreakBefore w:val="0"/>
        <w:kinsoku/>
        <w:wordWrap w:val="0"/>
        <w:overflowPunct/>
        <w:topLinePunct w:val="0"/>
        <w:bidi w:val="0"/>
        <w:spacing w:line="360" w:lineRule="auto"/>
        <w:rPr>
          <w:rFonts w:ascii="宋体" w:hAnsi="宋体" w:cs="宋体"/>
          <w:szCs w:val="21"/>
        </w:rPr>
      </w:pPr>
      <w:r>
        <w:rPr>
          <w:rFonts w:hint="eastAsia" w:ascii="宋体" w:hAnsi="宋体" w:cs="宋体"/>
          <w:szCs w:val="21"/>
        </w:rPr>
        <w:t xml:space="preserve">  (为避免废标，请供应商务必提供本附件)</w:t>
      </w:r>
    </w:p>
    <w:p>
      <w:pPr>
        <w:pageBreakBefore w:val="0"/>
        <w:kinsoku/>
        <w:wordWrap w:val="0"/>
        <w:overflowPunct/>
        <w:topLinePunct w:val="0"/>
        <w:bidi w:val="0"/>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2336;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Vk69dYAAAAIAQAA&#10;DwAAAAAAAAABACAAAAAiAAAAZHJzL2Rvd25yZXYueG1sUEsBAhQAFAAAAAgAh07iQB0+rvUbAgAA&#10;IAQAAA4AAAAAAAAAAQAgAAAAJQ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11"/>
                            </w:pPr>
                          </w:p>
                          <w:p>
                            <w:pPr>
                              <w:pStyle w:val="11"/>
                            </w:pPr>
                          </w:p>
                          <w:p>
                            <w:pPr>
                              <w:pStyle w:val="11"/>
                            </w:pPr>
                          </w:p>
                          <w:p>
                            <w:pPr>
                              <w:pStyle w:val="11"/>
                            </w:pPr>
                          </w:p>
                        </w:txbxContent>
                      </wps:txbx>
                      <wps:bodyPr wrap="square" upright="1"/>
                    </wps:wsp>
                  </a:graphicData>
                </a:graphic>
              </wp:anchor>
            </w:drawing>
          </mc:Choice>
          <mc:Fallback>
            <w:pict>
              <v:roundrect id="_x0000_s1026" o:spid="_x0000_s1026" o:spt="2" style="position:absolute;left:0pt;margin-left:229.8pt;margin-top:2.25pt;height:122.6pt;width:205.5pt;z-index:25166336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8vY1/aAAAA&#10;CQEAAA8AAAAAAAAAAQAgAAAAIgAAAGRycy9kb3ducmV2LnhtbFBLAQIUABQAAAAIAIdO4kDgm5dN&#10;GwIAACgEAAAOAAAAAAAAAAEAIAAAACkBAABkcnMvZTJvRG9jLnhtbFBLBQYAAAAABgAGAFkBAAC2&#10;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11"/>
                      </w:pPr>
                    </w:p>
                    <w:p>
                      <w:pPr>
                        <w:pStyle w:val="11"/>
                      </w:pPr>
                    </w:p>
                    <w:p>
                      <w:pPr>
                        <w:pStyle w:val="11"/>
                      </w:pPr>
                    </w:p>
                    <w:p>
                      <w:pPr>
                        <w:pStyle w:val="11"/>
                      </w:pPr>
                    </w:p>
                  </w:txbxContent>
                </v:textbox>
              </v:roundrect>
            </w:pict>
          </mc:Fallback>
        </mc:AlternateContent>
      </w:r>
    </w:p>
    <w:p>
      <w:pPr>
        <w:pageBreakBefore w:val="0"/>
        <w:kinsoku/>
        <w:wordWrap w:val="0"/>
        <w:overflowPunct/>
        <w:topLinePunct w:val="0"/>
        <w:bidi w:val="0"/>
        <w:spacing w:line="360" w:lineRule="auto"/>
        <w:rPr>
          <w:rFonts w:ascii="宋体" w:hAnsi="宋体" w:cs="宋体"/>
          <w:szCs w:val="21"/>
        </w:rPr>
      </w:pPr>
    </w:p>
    <w:p>
      <w:pPr>
        <w:pageBreakBefore w:val="0"/>
        <w:kinsoku/>
        <w:wordWrap w:val="0"/>
        <w:overflowPunct/>
        <w:topLinePunct w:val="0"/>
        <w:bidi w:val="0"/>
        <w:spacing w:line="360" w:lineRule="auto"/>
        <w:rPr>
          <w:rFonts w:ascii="宋体" w:hAnsi="宋体" w:cs="宋体"/>
          <w:szCs w:val="21"/>
        </w:rPr>
      </w:pPr>
    </w:p>
    <w:p>
      <w:pPr>
        <w:pageBreakBefore w:val="0"/>
        <w:tabs>
          <w:tab w:val="left" w:pos="654"/>
          <w:tab w:val="left" w:pos="1734"/>
          <w:tab w:val="left" w:pos="2814"/>
          <w:tab w:val="left" w:pos="3894"/>
          <w:tab w:val="left" w:pos="5334"/>
          <w:tab w:val="left" w:pos="6414"/>
          <w:tab w:val="left" w:pos="7254"/>
          <w:tab w:val="left" w:pos="8574"/>
          <w:tab w:val="left" w:pos="9654"/>
        </w:tabs>
        <w:kinsoku/>
        <w:wordWrap w:val="0"/>
        <w:overflowPunct/>
        <w:topLinePunct w:val="0"/>
        <w:bidi w:val="0"/>
        <w:spacing w:line="360" w:lineRule="auto"/>
        <w:rPr>
          <w:rFonts w:ascii="宋体" w:hAnsi="宋体" w:cs="宋体"/>
          <w:szCs w:val="21"/>
        </w:rPr>
      </w:pPr>
    </w:p>
    <w:p>
      <w:pPr>
        <w:pageBreakBefore w:val="0"/>
        <w:kinsoku/>
        <w:wordWrap w:val="0"/>
        <w:overflowPunct/>
        <w:topLinePunct w:val="0"/>
        <w:autoSpaceDE w:val="0"/>
        <w:autoSpaceDN w:val="0"/>
        <w:bidi w:val="0"/>
        <w:adjustRightInd w:val="0"/>
        <w:spacing w:line="360" w:lineRule="auto"/>
        <w:ind w:right="246"/>
        <w:rPr>
          <w:rFonts w:ascii="宋体" w:hAnsi="宋体" w:cs="宋体"/>
          <w:kern w:val="0"/>
          <w:szCs w:val="21"/>
        </w:rPr>
      </w:pPr>
    </w:p>
    <w:p>
      <w:pPr>
        <w:pageBreakBefore w:val="0"/>
        <w:kinsoku/>
        <w:wordWrap w:val="0"/>
        <w:overflowPunct/>
        <w:topLinePunct w:val="0"/>
        <w:autoSpaceDE w:val="0"/>
        <w:autoSpaceDN w:val="0"/>
        <w:bidi w:val="0"/>
        <w:adjustRightInd w:val="0"/>
        <w:spacing w:line="360" w:lineRule="auto"/>
        <w:ind w:right="246"/>
        <w:rPr>
          <w:rFonts w:ascii="宋体" w:hAnsi="宋体" w:cs="宋体"/>
          <w:kern w:val="0"/>
          <w:szCs w:val="21"/>
        </w:rPr>
      </w:pPr>
    </w:p>
    <w:p>
      <w:pPr>
        <w:pageBreakBefore w:val="0"/>
        <w:kinsoku/>
        <w:wordWrap w:val="0"/>
        <w:overflowPunct/>
        <w:topLinePunct w:val="0"/>
        <w:autoSpaceDE w:val="0"/>
        <w:autoSpaceDN w:val="0"/>
        <w:bidi w:val="0"/>
        <w:adjustRightInd w:val="0"/>
        <w:spacing w:line="360" w:lineRule="auto"/>
        <w:ind w:right="246" w:firstLine="686" w:firstLineChars="327"/>
        <w:rPr>
          <w:rFonts w:ascii="宋体" w:hAnsi="宋体" w:cs="宋体"/>
          <w:kern w:val="0"/>
          <w:szCs w:val="21"/>
        </w:rPr>
      </w:pPr>
    </w:p>
    <w:p>
      <w:pPr>
        <w:pageBreakBefore w:val="0"/>
        <w:kinsoku/>
        <w:wordWrap w:val="0"/>
        <w:overflowPunct/>
        <w:topLinePunct w:val="0"/>
        <w:autoSpaceDE w:val="0"/>
        <w:autoSpaceDN w:val="0"/>
        <w:bidi w:val="0"/>
        <w:adjustRightInd w:val="0"/>
        <w:spacing w:line="360" w:lineRule="auto"/>
        <w:ind w:right="246" w:firstLine="686" w:firstLineChars="327"/>
        <w:rPr>
          <w:rFonts w:ascii="宋体" w:hAnsi="宋体" w:cs="宋体"/>
          <w:szCs w:val="21"/>
        </w:rPr>
      </w:pPr>
      <w:r>
        <w:rPr>
          <w:rFonts w:hint="eastAsia" w:ascii="宋体" w:hAnsi="宋体" w:cs="宋体"/>
          <w:kern w:val="0"/>
          <w:szCs w:val="21"/>
        </w:rPr>
        <w:t>供应商（公章）：</w:t>
      </w:r>
      <w:r>
        <w:rPr>
          <w:rFonts w:hint="eastAsia" w:ascii="宋体" w:hAnsi="宋体" w:cs="宋体"/>
          <w:kern w:val="0"/>
          <w:szCs w:val="21"/>
          <w:u w:val="single"/>
        </w:rPr>
        <w:t xml:space="preserve">                             </w:t>
      </w:r>
      <w:r>
        <w:rPr>
          <w:rFonts w:hint="eastAsia" w:ascii="宋体" w:hAnsi="宋体" w:cs="宋体"/>
          <w:kern w:val="0"/>
          <w:szCs w:val="21"/>
        </w:rPr>
        <w:t xml:space="preserve"> </w:t>
      </w:r>
    </w:p>
    <w:p>
      <w:pPr>
        <w:pageBreakBefore w:val="0"/>
        <w:kinsoku/>
        <w:wordWrap w:val="0"/>
        <w:overflowPunct/>
        <w:topLinePunct w:val="0"/>
        <w:bidi w:val="0"/>
        <w:adjustRightInd w:val="0"/>
        <w:snapToGrid w:val="0"/>
        <w:spacing w:line="360" w:lineRule="auto"/>
        <w:ind w:firstLine="686" w:firstLineChars="327"/>
        <w:rPr>
          <w:rFonts w:ascii="宋体" w:hAnsi="宋体" w:cs="宋体"/>
          <w:szCs w:val="21"/>
        </w:rPr>
      </w:pPr>
      <w:r>
        <w:rPr>
          <w:rFonts w:hint="eastAsia" w:ascii="宋体" w:hAnsi="宋体" w:cs="宋体"/>
          <w:kern w:val="0"/>
          <w:szCs w:val="21"/>
        </w:rPr>
        <w:t>法定代表人（签/章）：</w:t>
      </w:r>
      <w:r>
        <w:rPr>
          <w:rFonts w:hint="eastAsia" w:ascii="宋体" w:hAnsi="宋体" w:cs="宋体"/>
          <w:szCs w:val="21"/>
          <w:u w:val="single"/>
        </w:rPr>
        <w:t xml:space="preserve">                    </w:t>
      </w:r>
    </w:p>
    <w:p>
      <w:pPr>
        <w:pageBreakBefore w:val="0"/>
        <w:kinsoku/>
        <w:wordWrap w:val="0"/>
        <w:overflowPunct/>
        <w:topLinePunct w:val="0"/>
        <w:bidi w:val="0"/>
        <w:adjustRightInd w:val="0"/>
        <w:snapToGrid w:val="0"/>
        <w:spacing w:line="360" w:lineRule="auto"/>
        <w:ind w:firstLine="686" w:firstLineChars="327"/>
        <w:rPr>
          <w:rFonts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pageBreakBefore w:val="0"/>
        <w:kinsoku/>
        <w:wordWrap w:val="0"/>
        <w:overflowPunct/>
        <w:topLinePunct w:val="0"/>
        <w:bidi w:val="0"/>
        <w:adjustRightInd w:val="0"/>
        <w:snapToGrid w:val="0"/>
        <w:spacing w:line="360" w:lineRule="auto"/>
        <w:rPr>
          <w:rFonts w:ascii="宋体" w:hAnsi="宋体" w:cs="宋体"/>
          <w:b/>
          <w:bCs/>
          <w:sz w:val="24"/>
          <w:u w:val="single"/>
        </w:rPr>
      </w:pPr>
      <w:r>
        <w:rPr>
          <w:rFonts w:hint="eastAsia" w:ascii="宋体" w:hAnsi="宋体" w:cs="宋体"/>
          <w:szCs w:val="21"/>
          <w:u w:val="single"/>
        </w:rPr>
        <w:br w:type="page"/>
      </w:r>
      <w:r>
        <w:rPr>
          <w:rFonts w:hint="eastAsia" w:ascii="宋体" w:hAnsi="宋体" w:cs="宋体"/>
          <w:b/>
          <w:bCs/>
          <w:sz w:val="24"/>
        </w:rPr>
        <w:t>（二）法定代表人授权委托书</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 xml:space="preserve">    本授权书声明：注册于</w:t>
      </w:r>
      <w:r>
        <w:rPr>
          <w:rFonts w:hint="eastAsia" w:hAnsi="宋体" w:cs="宋体"/>
          <w:szCs w:val="21"/>
          <w:u w:val="single"/>
        </w:rPr>
        <w:t>（国家或地区的名称）</w:t>
      </w:r>
      <w:r>
        <w:rPr>
          <w:rFonts w:hint="eastAsia" w:hAnsi="宋体" w:cs="宋体"/>
          <w:szCs w:val="21"/>
        </w:rPr>
        <w:t>的（</w:t>
      </w:r>
      <w:r>
        <w:rPr>
          <w:rFonts w:hint="eastAsia" w:hAnsi="宋体" w:cs="宋体"/>
          <w:i/>
          <w:szCs w:val="21"/>
          <w:u w:val="single"/>
        </w:rPr>
        <w:t>供应商</w:t>
      </w:r>
      <w:r>
        <w:rPr>
          <w:rFonts w:hint="eastAsia" w:hAnsi="宋体" w:cs="宋体"/>
          <w:szCs w:val="21"/>
        </w:rPr>
        <w:t>）的在下面签字的（</w:t>
      </w:r>
      <w:r>
        <w:rPr>
          <w:rFonts w:hint="eastAsia" w:hAnsi="宋体" w:cs="宋体"/>
          <w:i/>
          <w:szCs w:val="21"/>
          <w:u w:val="single"/>
        </w:rPr>
        <w:t>法人代表姓名、职务</w:t>
      </w:r>
      <w:r>
        <w:rPr>
          <w:rFonts w:hint="eastAsia" w:hAnsi="宋体" w:cs="宋体"/>
          <w:szCs w:val="21"/>
        </w:rPr>
        <w:t>）代表我单位授权（</w:t>
      </w:r>
      <w:r>
        <w:rPr>
          <w:rFonts w:hint="eastAsia" w:hAnsi="宋体" w:cs="宋体"/>
          <w:i/>
          <w:szCs w:val="21"/>
          <w:u w:val="single"/>
        </w:rPr>
        <w:t>单位名称</w:t>
      </w:r>
      <w:r>
        <w:rPr>
          <w:rFonts w:hint="eastAsia" w:hAnsi="宋体" w:cs="宋体"/>
          <w:szCs w:val="21"/>
        </w:rPr>
        <w:t>）的在下面签字的（</w:t>
      </w:r>
      <w:r>
        <w:rPr>
          <w:rFonts w:hint="eastAsia" w:hAnsi="宋体" w:cs="宋体"/>
          <w:i/>
          <w:szCs w:val="21"/>
          <w:u w:val="single"/>
        </w:rPr>
        <w:t>被授权人的姓名、职务</w:t>
      </w:r>
      <w:r>
        <w:rPr>
          <w:rFonts w:hint="eastAsia" w:hAnsi="宋体" w:cs="宋体"/>
          <w:szCs w:val="21"/>
        </w:rPr>
        <w:t>）为我单位的合法代理人，就（</w:t>
      </w:r>
      <w:r>
        <w:rPr>
          <w:rFonts w:hint="eastAsia" w:hAnsi="宋体" w:cs="宋体"/>
          <w:i/>
          <w:szCs w:val="21"/>
          <w:u w:val="single"/>
        </w:rPr>
        <w:t>项目名称）（包号）的</w:t>
      </w:r>
      <w:r>
        <w:rPr>
          <w:rFonts w:hint="eastAsia" w:hAnsi="宋体" w:cs="宋体"/>
          <w:szCs w:val="21"/>
        </w:rPr>
        <w:t>投标，以我单位名义处理一切与之有关的事务。</w:t>
      </w:r>
      <w:r>
        <w:rPr>
          <w:rFonts w:hint="eastAsia" w:hAnsi="宋体" w:cs="宋体"/>
          <w:szCs w:val="21"/>
        </w:rPr>
        <w:cr/>
      </w:r>
      <w:r>
        <w:rPr>
          <w:rFonts w:hint="eastAsia" w:hAnsi="宋体" w:cs="宋体"/>
          <w:szCs w:val="21"/>
        </w:rPr>
        <w:t>　　</w:t>
      </w:r>
    </w:p>
    <w:p>
      <w:pPr>
        <w:pStyle w:val="15"/>
        <w:pageBreakBefore w:val="0"/>
        <w:tabs>
          <w:tab w:val="left" w:pos="5580"/>
        </w:tabs>
        <w:kinsoku/>
        <w:wordWrap w:val="0"/>
        <w:overflowPunct/>
        <w:topLinePunct w:val="0"/>
        <w:bidi w:val="0"/>
        <w:spacing w:line="360" w:lineRule="exact"/>
        <w:ind w:left="-539" w:leftChars="-257" w:firstLine="787" w:firstLineChars="375"/>
        <w:rPr>
          <w:rFonts w:hAnsi="宋体" w:cs="宋体"/>
          <w:szCs w:val="21"/>
        </w:rPr>
      </w:pPr>
      <w:r>
        <w:rPr>
          <w:rFonts w:hint="eastAsia" w:hAnsi="宋体" w:cs="宋体"/>
          <w:szCs w:val="21"/>
        </w:rPr>
        <w:t>本授权书于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日签字生效,特此声明。</w:t>
      </w:r>
    </w:p>
    <w:p>
      <w:pPr>
        <w:pStyle w:val="15"/>
        <w:pageBreakBefore w:val="0"/>
        <w:tabs>
          <w:tab w:val="left" w:pos="5580"/>
        </w:tabs>
        <w:kinsoku/>
        <w:wordWrap w:val="0"/>
        <w:overflowPunct/>
        <w:topLinePunct w:val="0"/>
        <w:bidi w:val="0"/>
        <w:spacing w:line="240" w:lineRule="atLeast"/>
        <w:ind w:left="-539" w:leftChars="-257" w:firstLine="787" w:firstLineChars="375"/>
        <w:rPr>
          <w:rFonts w:hAnsi="宋体" w:cs="宋体"/>
          <w:szCs w:val="21"/>
        </w:rPr>
      </w:pPr>
      <w:r>
        <w:rPr>
          <w:rFonts w:hint="eastAsia"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2"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5408;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wWfuNsAAAAK&#10;AQAADwAAAAAAAAABACAAAAAiAAAAZHJzL2Rvd25yZXYueG1sUEsBAhQAFAAAAAgAh07iQKZipo0Z&#10;AgAAJQQAAA4AAAAAAAAAAQAgAAAAKgEAAGRycy9lMm9Eb2MueG1sUEsFBgAAAAAGAAYAWQEAALUF&#10;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9525" b="13335"/>
                <wp:wrapNone/>
                <wp:docPr id="1"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zaEDtYAAAAIAQAADwAAAAAAAAABACAA&#10;AAAiAAAAZHJzL2Rvd25yZXYueG1sUEsBAhQAFAAAAAgAh07iQEMHvtUPAgAAEgQAAA4AAAAAAAAA&#10;AQAgAAAAJQEAAGRycy9lMm9Eb2MueG1sUEsFBgAAAAAGAAYAWQEAAKY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4"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7456;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gNFZ7bAAAACgEA&#10;AA8AAAAAAAAAAQAgAAAAIgAAAGRycy9kb3ducmV2LnhtbFBLAQIUABQAAAAIAIdO4kDR9GkQFwIA&#10;ACUEAAAOAAAAAAAAAAEAIAAAACoBAABkcnMvZTJvRG9jLnhtbFBLBQYAAAAABgAGAFkBAACzBQAA&#10;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宋体" w:hAnsi="宋体" w:cs="宋体"/>
          <w:szCs w:val="21"/>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自选图形 8"/>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自选图形 8"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vgt72AAAAAgB&#10;AAAPAAAAAAAAAAEAIAAAACIAAABkcnMvZG93bnJldi54bWxQSwECFAAUAAAACACHTuJAAgPw9hsC&#10;AAAmBAAADgAAAAAAAAABACAAAAAnAQAAZHJzL2Uyb0RvYy54bWxQSwUGAAAAAAYABgBZAQAAtAUA&#10;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ageBreakBefore w:val="0"/>
        <w:kinsoku/>
        <w:wordWrap w:val="0"/>
        <w:overflowPunct/>
        <w:topLinePunct w:val="0"/>
        <w:bidi w:val="0"/>
        <w:spacing w:line="360" w:lineRule="auto"/>
        <w:ind w:firstLine="210" w:firstLineChars="100"/>
        <w:rPr>
          <w:rFonts w:ascii="宋体" w:hAnsi="宋体" w:cs="宋体"/>
          <w:szCs w:val="21"/>
        </w:rPr>
      </w:pPr>
    </w:p>
    <w:p>
      <w:pPr>
        <w:pStyle w:val="15"/>
        <w:pageBreakBefore w:val="0"/>
        <w:tabs>
          <w:tab w:val="left" w:pos="5580"/>
        </w:tabs>
        <w:kinsoku/>
        <w:wordWrap w:val="0"/>
        <w:overflowPunct/>
        <w:topLinePunct w:val="0"/>
        <w:bidi w:val="0"/>
        <w:spacing w:line="360" w:lineRule="exact"/>
        <w:rPr>
          <w:rFonts w:hAnsi="宋体" w:cs="宋体"/>
          <w:szCs w:val="21"/>
          <w:u w:val="single"/>
        </w:rPr>
      </w:pPr>
      <w:r>
        <w:rPr>
          <w:rFonts w:hint="eastAsia" w:hAnsi="宋体" w:cs="宋体"/>
          <w:szCs w:val="21"/>
        </w:rPr>
        <w:t>供应商（公章）;</w:t>
      </w:r>
      <w:r>
        <w:rPr>
          <w:rFonts w:hint="eastAsia" w:hAnsi="宋体" w:cs="宋体"/>
          <w:szCs w:val="21"/>
          <w:u w:val="single"/>
        </w:rPr>
        <w:t xml:space="preserve">                           </w:t>
      </w:r>
    </w:p>
    <w:p>
      <w:pPr>
        <w:pStyle w:val="15"/>
        <w:pageBreakBefore w:val="0"/>
        <w:tabs>
          <w:tab w:val="left" w:pos="5580"/>
        </w:tabs>
        <w:kinsoku/>
        <w:wordWrap w:val="0"/>
        <w:overflowPunct/>
        <w:topLinePunct w:val="0"/>
        <w:bidi w:val="0"/>
        <w:spacing w:line="360" w:lineRule="exact"/>
        <w:rPr>
          <w:rFonts w:hAnsi="宋体" w:cs="宋体"/>
          <w:szCs w:val="21"/>
          <w:u w:val="single"/>
        </w:rPr>
      </w:pPr>
      <w:r>
        <w:rPr>
          <w:rFonts w:hint="eastAsia" w:hAnsi="宋体" w:cs="宋体"/>
          <w:szCs w:val="21"/>
        </w:rPr>
        <w:t>法定代表人（签/章）：</w:t>
      </w:r>
      <w:r>
        <w:rPr>
          <w:rFonts w:hint="eastAsia" w:hAnsi="宋体" w:cs="宋体"/>
          <w:szCs w:val="21"/>
          <w:u w:val="single"/>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 xml:space="preserve">身份证号码：__________________________________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委托代理人（签/章）：</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身份证号码：</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详细通讯地址：</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邮 政 编 码 ：</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传　　　　真：</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rPr>
          <w:rFonts w:hAnsi="宋体" w:cs="宋体"/>
          <w:szCs w:val="21"/>
        </w:rPr>
      </w:pPr>
      <w:r>
        <w:rPr>
          <w:rFonts w:hint="eastAsia" w:hAnsi="宋体" w:cs="宋体"/>
          <w:szCs w:val="21"/>
        </w:rPr>
        <w:t>电　　　　话：</w:t>
      </w:r>
      <w:r>
        <w:rPr>
          <w:rFonts w:hint="eastAsia" w:hAnsi="宋体" w:cs="宋体"/>
          <w:szCs w:val="21"/>
          <w:u w:val="single"/>
        </w:rPr>
        <w:t xml:space="preserve">                            </w:t>
      </w:r>
      <w:r>
        <w:rPr>
          <w:rFonts w:hint="eastAsia" w:hAnsi="宋体" w:cs="宋体"/>
          <w:szCs w:val="21"/>
        </w:rPr>
        <w:t xml:space="preserve">     </w:t>
      </w:r>
    </w:p>
    <w:p>
      <w:pPr>
        <w:pStyle w:val="15"/>
        <w:pageBreakBefore w:val="0"/>
        <w:tabs>
          <w:tab w:val="left" w:pos="5580"/>
        </w:tabs>
        <w:kinsoku/>
        <w:wordWrap w:val="0"/>
        <w:overflowPunct/>
        <w:topLinePunct w:val="0"/>
        <w:bidi w:val="0"/>
        <w:spacing w:line="360" w:lineRule="exact"/>
        <w:jc w:val="right"/>
        <w:rPr>
          <w:rFonts w:hAnsi="宋体" w:cs="宋体"/>
          <w:szCs w:val="21"/>
        </w:rPr>
      </w:pPr>
    </w:p>
    <w:p>
      <w:pPr>
        <w:pStyle w:val="15"/>
        <w:pageBreakBefore w:val="0"/>
        <w:tabs>
          <w:tab w:val="left" w:pos="5580"/>
        </w:tabs>
        <w:kinsoku/>
        <w:wordWrap w:val="0"/>
        <w:overflowPunct/>
        <w:topLinePunct w:val="0"/>
        <w:bidi w:val="0"/>
        <w:spacing w:line="360" w:lineRule="exact"/>
        <w:jc w:val="right"/>
        <w:rPr>
          <w:rFonts w:hAnsi="宋体" w:cs="宋体"/>
          <w:szCs w:val="21"/>
        </w:rPr>
      </w:pPr>
    </w:p>
    <w:p>
      <w:pPr>
        <w:pStyle w:val="15"/>
        <w:pageBreakBefore w:val="0"/>
        <w:tabs>
          <w:tab w:val="left" w:pos="5580"/>
        </w:tabs>
        <w:kinsoku/>
        <w:wordWrap w:val="0"/>
        <w:overflowPunct/>
        <w:topLinePunct w:val="0"/>
        <w:bidi w:val="0"/>
        <w:spacing w:line="360" w:lineRule="exact"/>
        <w:jc w:val="right"/>
        <w:rPr>
          <w:rFonts w:hAnsi="宋体" w:cs="宋体"/>
          <w:szCs w:val="21"/>
        </w:rPr>
      </w:pPr>
    </w:p>
    <w:p>
      <w:pPr>
        <w:pStyle w:val="15"/>
        <w:pageBreakBefore w:val="0"/>
        <w:tabs>
          <w:tab w:val="left" w:pos="5580"/>
        </w:tabs>
        <w:kinsoku/>
        <w:wordWrap w:val="0"/>
        <w:overflowPunct/>
        <w:topLinePunct w:val="0"/>
        <w:bidi w:val="0"/>
        <w:spacing w:line="360" w:lineRule="exact"/>
        <w:jc w:val="right"/>
        <w:rPr>
          <w:rFonts w:hAnsi="宋体" w:cs="宋体"/>
          <w:szCs w:val="21"/>
        </w:rPr>
      </w:pPr>
    </w:p>
    <w:p>
      <w:pPr>
        <w:pStyle w:val="15"/>
        <w:pageBreakBefore w:val="0"/>
        <w:tabs>
          <w:tab w:val="left" w:pos="5580"/>
        </w:tabs>
        <w:kinsoku/>
        <w:wordWrap w:val="0"/>
        <w:overflowPunct/>
        <w:topLinePunct w:val="0"/>
        <w:bidi w:val="0"/>
        <w:spacing w:line="240" w:lineRule="atLeast"/>
        <w:ind w:firstLine="420" w:firstLineChars="200"/>
        <w:rPr>
          <w:rFonts w:ascii="仿宋" w:hAnsi="仿宋" w:eastAsia="仿宋" w:cs="仿宋"/>
          <w:color w:val="000000"/>
          <w:sz w:val="24"/>
        </w:rPr>
      </w:pPr>
      <w:r>
        <w:rPr>
          <w:rFonts w:hint="eastAsia" w:hAnsi="宋体" w:cs="宋体"/>
          <w:szCs w:val="21"/>
        </w:rPr>
        <w:t>年   月   日</w:t>
      </w:r>
    </w:p>
    <w:p>
      <w:pPr>
        <w:pageBreakBefore w:val="0"/>
        <w:kinsoku/>
        <w:wordWrap w:val="0"/>
        <w:overflowPunct/>
        <w:topLinePunct w:val="0"/>
        <w:bidi w:val="0"/>
        <w:rPr>
          <w:rFonts w:ascii="仿宋" w:hAnsi="仿宋" w:eastAsia="仿宋" w:cs="仿宋"/>
          <w:color w:val="000000"/>
        </w:rPr>
      </w:pPr>
      <w:bookmarkStart w:id="177" w:name="_Toc22494201"/>
      <w:bookmarkStart w:id="178" w:name="_Toc39671742"/>
      <w:bookmarkStart w:id="179" w:name="_Toc7039"/>
      <w:bookmarkStart w:id="180" w:name="_Toc515647808"/>
      <w:bookmarkStart w:id="181" w:name="_Toc32520"/>
    </w:p>
    <w:p>
      <w:pPr>
        <w:pStyle w:val="11"/>
        <w:pageBreakBefore w:val="0"/>
        <w:kinsoku/>
        <w:wordWrap w:val="0"/>
        <w:overflowPunct/>
        <w:topLinePunct w:val="0"/>
        <w:bidi w:val="0"/>
        <w:rPr>
          <w:rFonts w:ascii="仿宋" w:hAnsi="仿宋" w:eastAsia="仿宋" w:cs="仿宋"/>
          <w:b/>
          <w:color w:val="000000"/>
        </w:rPr>
      </w:pPr>
    </w:p>
    <w:p>
      <w:pPr>
        <w:pStyle w:val="11"/>
        <w:pageBreakBefore w:val="0"/>
        <w:kinsoku/>
        <w:wordWrap w:val="0"/>
        <w:overflowPunct/>
        <w:topLinePunct w:val="0"/>
        <w:bidi w:val="0"/>
        <w:rPr>
          <w:rFonts w:ascii="仿宋" w:hAnsi="仿宋" w:eastAsia="仿宋" w:cs="仿宋"/>
          <w:b/>
          <w:color w:val="000000"/>
        </w:rPr>
      </w:pPr>
    </w:p>
    <w:p>
      <w:pPr>
        <w:pStyle w:val="11"/>
        <w:pageBreakBefore w:val="0"/>
        <w:kinsoku/>
        <w:wordWrap w:val="0"/>
        <w:overflowPunct/>
        <w:topLinePunct w:val="0"/>
        <w:bidi w:val="0"/>
        <w:rPr>
          <w:rFonts w:ascii="仿宋" w:hAnsi="仿宋" w:eastAsia="仿宋" w:cs="仿宋"/>
          <w:b/>
          <w:color w:val="000000"/>
        </w:rPr>
      </w:pPr>
    </w:p>
    <w:p>
      <w:pPr>
        <w:pStyle w:val="11"/>
        <w:pageBreakBefore w:val="0"/>
        <w:kinsoku/>
        <w:wordWrap w:val="0"/>
        <w:overflowPunct/>
        <w:topLinePunct w:val="0"/>
        <w:bidi w:val="0"/>
        <w:rPr>
          <w:rFonts w:ascii="仿宋" w:hAnsi="仿宋" w:eastAsia="仿宋" w:cs="仿宋"/>
          <w:b/>
          <w:color w:val="000000"/>
        </w:rPr>
      </w:pPr>
    </w:p>
    <w:p>
      <w:pPr>
        <w:pStyle w:val="11"/>
        <w:pageBreakBefore w:val="0"/>
        <w:kinsoku/>
        <w:wordWrap w:val="0"/>
        <w:overflowPunct/>
        <w:topLinePunct w:val="0"/>
        <w:bidi w:val="0"/>
        <w:rPr>
          <w:rFonts w:ascii="仿宋" w:hAnsi="仿宋" w:eastAsia="仿宋" w:cs="仿宋"/>
          <w:b/>
          <w:color w:val="000000"/>
        </w:rPr>
      </w:pPr>
      <w:r>
        <w:rPr>
          <w:rFonts w:hint="eastAsia" w:ascii="仿宋" w:hAnsi="仿宋" w:eastAsia="仿宋" w:cs="仿宋"/>
          <w:b/>
          <w:color w:val="000000"/>
        </w:rPr>
        <w:t>5、</w:t>
      </w:r>
      <w:r>
        <w:rPr>
          <w:rFonts w:hint="eastAsia" w:ascii="仿宋" w:hAnsi="仿宋" w:eastAsia="仿宋" w:cs="仿宋"/>
          <w:b/>
          <w:bCs/>
          <w:color w:val="000000"/>
          <w:sz w:val="22"/>
          <w:szCs w:val="22"/>
        </w:rPr>
        <w:t>投标单位投标标项一、标项</w:t>
      </w:r>
      <w:r>
        <w:rPr>
          <w:rFonts w:hint="eastAsia" w:ascii="仿宋" w:hAnsi="仿宋" w:eastAsia="仿宋" w:cs="仿宋"/>
          <w:b/>
          <w:bCs/>
          <w:color w:val="000000"/>
          <w:sz w:val="22"/>
          <w:szCs w:val="22"/>
          <w:lang w:val="en-US" w:eastAsia="zh-CN"/>
        </w:rPr>
        <w:t>二</w:t>
      </w:r>
      <w:r>
        <w:rPr>
          <w:rFonts w:hint="eastAsia" w:ascii="仿宋" w:hAnsi="仿宋" w:eastAsia="仿宋" w:cs="仿宋"/>
          <w:b/>
          <w:bCs/>
          <w:color w:val="000000"/>
          <w:sz w:val="22"/>
          <w:szCs w:val="22"/>
        </w:rPr>
        <w:t>提供招标文件要求内的资质证书</w:t>
      </w:r>
      <w:r>
        <w:rPr>
          <w:rFonts w:hint="eastAsia" w:ascii="仿宋" w:hAnsi="仿宋" w:eastAsia="仿宋" w:cs="仿宋"/>
          <w:b/>
          <w:color w:val="000000"/>
        </w:rPr>
        <w:t>。</w:t>
      </w:r>
    </w:p>
    <w:p>
      <w:pPr>
        <w:pStyle w:val="11"/>
        <w:pageBreakBefore w:val="0"/>
        <w:kinsoku/>
        <w:wordWrap w:val="0"/>
        <w:overflowPunct/>
        <w:topLinePunct w:val="0"/>
        <w:bidi w:val="0"/>
        <w:rPr>
          <w:rFonts w:ascii="仿宋" w:hAnsi="仿宋" w:eastAsia="仿宋" w:cs="仿宋"/>
          <w:color w:val="000000"/>
        </w:rPr>
      </w:pPr>
    </w:p>
    <w:p>
      <w:pPr>
        <w:pStyle w:val="11"/>
        <w:pageBreakBefore w:val="0"/>
        <w:kinsoku/>
        <w:wordWrap w:val="0"/>
        <w:overflowPunct/>
        <w:topLinePunct w:val="0"/>
        <w:bidi w:val="0"/>
        <w:rPr>
          <w:rFonts w:ascii="仿宋" w:hAnsi="仿宋" w:eastAsia="仿宋" w:cs="仿宋"/>
          <w:color w:val="000000"/>
        </w:rPr>
      </w:pPr>
    </w:p>
    <w:bookmarkEnd w:id="177"/>
    <w:bookmarkEnd w:id="178"/>
    <w:p>
      <w:pPr>
        <w:pStyle w:val="15"/>
        <w:pageBreakBefore w:val="0"/>
        <w:numPr>
          <w:ilvl w:val="0"/>
          <w:numId w:val="7"/>
        </w:numPr>
        <w:tabs>
          <w:tab w:val="left" w:pos="5580"/>
        </w:tabs>
        <w:kinsoku/>
        <w:wordWrap w:val="0"/>
        <w:overflowPunct/>
        <w:topLinePunct w:val="0"/>
        <w:bidi w:val="0"/>
        <w:spacing w:line="240" w:lineRule="atLeast"/>
        <w:ind w:firstLine="480" w:firstLineChars="200"/>
        <w:rPr>
          <w:rFonts w:ascii="仿宋" w:hAnsi="仿宋" w:eastAsia="仿宋" w:cs="仿宋"/>
          <w:color w:val="FF0000"/>
          <w:sz w:val="24"/>
        </w:rPr>
      </w:pPr>
      <w:r>
        <w:rPr>
          <w:rFonts w:hint="eastAsia" w:ascii="仿宋" w:hAnsi="仿宋" w:eastAsia="仿宋" w:cs="仿宋"/>
          <w:b/>
          <w:color w:val="FF0000"/>
          <w:kern w:val="0"/>
          <w:sz w:val="24"/>
        </w:rPr>
        <w:t xml:space="preserve">提供依法缴纳社会保障资金的良好记录；（需提供近期3个月社保部门出具的投标单位的缴纳社保证明）   </w:t>
      </w:r>
      <w:r>
        <w:rPr>
          <w:rFonts w:hint="eastAsia" w:ascii="仿宋" w:hAnsi="仿宋" w:eastAsia="仿宋" w:cs="仿宋"/>
          <w:color w:val="FF0000"/>
          <w:sz w:val="24"/>
        </w:rPr>
        <w:t xml:space="preserve">   </w:t>
      </w:r>
    </w:p>
    <w:p>
      <w:pPr>
        <w:pStyle w:val="15"/>
        <w:pageBreakBefore w:val="0"/>
        <w:tabs>
          <w:tab w:val="left" w:pos="5580"/>
        </w:tabs>
        <w:kinsoku/>
        <w:wordWrap w:val="0"/>
        <w:overflowPunct/>
        <w:topLinePunct w:val="0"/>
        <w:bidi w:val="0"/>
        <w:spacing w:line="240" w:lineRule="atLeast"/>
        <w:ind w:firstLine="480" w:firstLineChars="200"/>
        <w:rPr>
          <w:rFonts w:ascii="仿宋" w:hAnsi="仿宋" w:eastAsia="仿宋" w:cs="仿宋"/>
          <w:color w:val="FF0000"/>
          <w:sz w:val="24"/>
        </w:rPr>
      </w:pPr>
      <w:r>
        <w:rPr>
          <w:rFonts w:hint="eastAsia" w:ascii="仿宋" w:hAnsi="仿宋" w:eastAsia="仿宋" w:cs="仿宋"/>
          <w:color w:val="FF0000"/>
          <w:sz w:val="24"/>
        </w:rPr>
        <w:t>说明：复印件上应加盖本单位章。</w:t>
      </w:r>
    </w:p>
    <w:p>
      <w:pPr>
        <w:pageBreakBefore w:val="0"/>
        <w:tabs>
          <w:tab w:val="left" w:pos="5580"/>
        </w:tabs>
        <w:kinsoku/>
        <w:wordWrap w:val="0"/>
        <w:overflowPunct/>
        <w:topLinePunct w:val="0"/>
        <w:bidi w:val="0"/>
        <w:spacing w:line="240" w:lineRule="atLeast"/>
        <w:ind w:left="540" w:firstLine="480" w:firstLineChars="200"/>
        <w:rPr>
          <w:rFonts w:ascii="仿宋" w:hAnsi="仿宋" w:eastAsia="仿宋" w:cs="仿宋"/>
          <w:bCs/>
          <w:color w:val="000000"/>
          <w:sz w:val="24"/>
        </w:rPr>
      </w:pPr>
    </w:p>
    <w:p>
      <w:pPr>
        <w:pStyle w:val="15"/>
        <w:pageBreakBefore w:val="0"/>
        <w:tabs>
          <w:tab w:val="left" w:pos="5580"/>
        </w:tabs>
        <w:kinsoku/>
        <w:wordWrap w:val="0"/>
        <w:overflowPunct/>
        <w:topLinePunct w:val="0"/>
        <w:bidi w:val="0"/>
        <w:spacing w:line="240" w:lineRule="atLeast"/>
        <w:ind w:firstLine="480" w:firstLineChars="200"/>
        <w:rPr>
          <w:rFonts w:ascii="仿宋" w:hAnsi="仿宋" w:eastAsia="仿宋" w:cs="仿宋"/>
          <w:b/>
          <w:color w:val="FF0000"/>
          <w:kern w:val="0"/>
          <w:sz w:val="24"/>
        </w:rPr>
      </w:pPr>
      <w:bookmarkStart w:id="182" w:name="_Toc22494202"/>
      <w:bookmarkStart w:id="183" w:name="_Toc39671743"/>
      <w:r>
        <w:rPr>
          <w:rFonts w:hint="eastAsia" w:ascii="仿宋" w:hAnsi="仿宋" w:eastAsia="仿宋" w:cs="仿宋"/>
          <w:b/>
          <w:color w:val="FF0000"/>
          <w:kern w:val="0"/>
          <w:sz w:val="24"/>
        </w:rPr>
        <w:t>7、</w:t>
      </w:r>
      <w:bookmarkEnd w:id="182"/>
      <w:bookmarkEnd w:id="183"/>
      <w:r>
        <w:rPr>
          <w:rFonts w:hint="eastAsia" w:ascii="仿宋" w:hAnsi="仿宋" w:eastAsia="仿宋" w:cs="仿宋"/>
          <w:b/>
          <w:color w:val="FF0000"/>
          <w:kern w:val="0"/>
          <w:sz w:val="24"/>
        </w:rPr>
        <w:t>提供税务部门出具近3个月依法缴纳税收的完税证明原件（依法免缴的，应提供依法免缴的相关证明文件）</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color w:val="FF0000"/>
          <w:sz w:val="24"/>
        </w:rPr>
      </w:pPr>
      <w:r>
        <w:rPr>
          <w:rFonts w:hint="eastAsia" w:ascii="仿宋" w:hAnsi="仿宋" w:eastAsia="仿宋" w:cs="仿宋"/>
          <w:color w:val="FF0000"/>
          <w:sz w:val="24"/>
        </w:rPr>
        <w:t>说明 ：复印件上应加盖本单位章。</w:t>
      </w:r>
    </w:p>
    <w:p>
      <w:pPr>
        <w:pStyle w:val="11"/>
        <w:pageBreakBefore w:val="0"/>
        <w:kinsoku/>
        <w:wordWrap w:val="0"/>
        <w:overflowPunct/>
        <w:topLinePunct w:val="0"/>
        <w:bidi w:val="0"/>
        <w:rPr>
          <w:rFonts w:ascii="仿宋" w:hAnsi="仿宋" w:eastAsia="仿宋" w:cs="仿宋"/>
          <w:color w:val="000000"/>
        </w:rPr>
      </w:pPr>
    </w:p>
    <w:bookmarkEnd w:id="179"/>
    <w:bookmarkEnd w:id="180"/>
    <w:bookmarkEnd w:id="181"/>
    <w:p>
      <w:pPr>
        <w:pageBreakBefore w:val="0"/>
        <w:tabs>
          <w:tab w:val="left" w:pos="5580"/>
        </w:tabs>
        <w:kinsoku/>
        <w:wordWrap w:val="0"/>
        <w:overflowPunct/>
        <w:topLinePunct w:val="0"/>
        <w:bidi w:val="0"/>
        <w:spacing w:line="240" w:lineRule="atLeast"/>
        <w:ind w:left="1079" w:leftChars="257" w:hanging="540"/>
        <w:rPr>
          <w:rFonts w:ascii="仿宋" w:hAnsi="仿宋" w:eastAsia="仿宋" w:cs="仿宋"/>
          <w:color w:val="000000"/>
          <w:sz w:val="24"/>
        </w:rPr>
      </w:pPr>
    </w:p>
    <w:p>
      <w:pPr>
        <w:pageBreakBefore w:val="0"/>
        <w:kinsoku/>
        <w:wordWrap w:val="0"/>
        <w:overflowPunct/>
        <w:topLinePunct w:val="0"/>
        <w:bidi w:val="0"/>
        <w:spacing w:line="240" w:lineRule="atLeast"/>
        <w:ind w:firstLine="420" w:firstLineChars="200"/>
        <w:rPr>
          <w:rFonts w:ascii="仿宋" w:hAnsi="仿宋" w:eastAsia="仿宋" w:cs="仿宋"/>
          <w:color w:val="000000"/>
        </w:rPr>
      </w:pPr>
      <w:bookmarkStart w:id="184" w:name="_Toc39671745"/>
      <w:bookmarkStart w:id="185" w:name="_Toc22494204"/>
      <w:r>
        <w:rPr>
          <w:rFonts w:hint="eastAsia" w:ascii="仿宋" w:hAnsi="仿宋" w:eastAsia="仿宋" w:cs="仿宋"/>
          <w:b/>
          <w:bCs/>
          <w:color w:val="000000"/>
        </w:rPr>
        <w:t>8、</w:t>
      </w:r>
      <w:r>
        <w:rPr>
          <w:rFonts w:hint="eastAsia" w:ascii="仿宋" w:hAnsi="仿宋" w:eastAsia="仿宋" w:cs="仿宋"/>
          <w:b/>
          <w:bCs/>
          <w:color w:val="000000"/>
          <w:kern w:val="0"/>
          <w:sz w:val="24"/>
          <w:szCs w:val="20"/>
        </w:rPr>
        <w:t>提</w:t>
      </w:r>
      <w:r>
        <w:rPr>
          <w:rFonts w:hint="eastAsia" w:ascii="仿宋" w:hAnsi="仿宋" w:eastAsia="仿宋" w:cs="仿宋"/>
          <w:b/>
          <w:color w:val="000000"/>
          <w:kern w:val="0"/>
          <w:sz w:val="24"/>
          <w:szCs w:val="20"/>
        </w:rPr>
        <w:t>供针对本次项目的反商业贿赂承诺书</w:t>
      </w:r>
      <w:bookmarkEnd w:id="184"/>
      <w:bookmarkEnd w:id="185"/>
    </w:p>
    <w:p>
      <w:pPr>
        <w:pageBreakBefore w:val="0"/>
        <w:kinsoku/>
        <w:wordWrap w:val="0"/>
        <w:overflowPunct/>
        <w:topLinePunct w:val="0"/>
        <w:bidi w:val="0"/>
        <w:ind w:firstLine="420" w:firstLineChars="200"/>
        <w:rPr>
          <w:rFonts w:ascii="仿宋" w:hAnsi="仿宋" w:eastAsia="仿宋" w:cs="仿宋"/>
          <w:color w:val="000000"/>
        </w:rPr>
      </w:pPr>
      <w:r>
        <w:rPr>
          <w:rFonts w:hint="eastAsia" w:ascii="仿宋" w:hAnsi="仿宋" w:eastAsia="仿宋" w:cs="仿宋"/>
          <w:color w:val="000000"/>
        </w:rPr>
        <w:t>投标人可将本项目投标保证金支付的汇款凭证复印件作为缴纳凭证装订在本部分，复印件上应加盖本单位章，将原件装订在本部分正本中</w:t>
      </w:r>
    </w:p>
    <w:p>
      <w:pPr>
        <w:pageBreakBefore w:val="0"/>
        <w:widowControl/>
        <w:kinsoku/>
        <w:wordWrap w:val="0"/>
        <w:overflowPunct/>
        <w:topLinePunct w:val="0"/>
        <w:bidi w:val="0"/>
        <w:jc w:val="left"/>
        <w:rPr>
          <w:rFonts w:ascii="仿宋" w:hAnsi="仿宋" w:eastAsia="仿宋" w:cs="仿宋"/>
        </w:rPr>
      </w:pPr>
    </w:p>
    <w:p>
      <w:pPr>
        <w:pageBreakBefore w:val="0"/>
        <w:kinsoku/>
        <w:wordWrap w:val="0"/>
        <w:overflowPunct/>
        <w:topLinePunct w:val="0"/>
        <w:bidi w:val="0"/>
        <w:spacing w:line="240" w:lineRule="atLeast"/>
        <w:ind w:firstLine="480" w:firstLineChars="200"/>
        <w:rPr>
          <w:rFonts w:ascii="仿宋" w:hAnsi="仿宋" w:eastAsia="仿宋" w:cs="仿宋"/>
          <w:b/>
          <w:color w:val="000000"/>
          <w:kern w:val="0"/>
          <w:sz w:val="24"/>
          <w:szCs w:val="20"/>
        </w:rPr>
      </w:pPr>
      <w:bookmarkStart w:id="186" w:name="_Toc22494205"/>
      <w:bookmarkStart w:id="187" w:name="_Toc39671746"/>
      <w:r>
        <w:rPr>
          <w:rFonts w:hint="eastAsia" w:ascii="仿宋" w:hAnsi="仿宋" w:eastAsia="仿宋" w:cs="仿宋"/>
          <w:b/>
          <w:color w:val="000000"/>
          <w:kern w:val="0"/>
          <w:sz w:val="24"/>
          <w:szCs w:val="20"/>
        </w:rPr>
        <w:t>9、参加政府采购活动前3年内在经营活动中没有重大违法记录的书面声明</w:t>
      </w:r>
      <w:bookmarkEnd w:id="186"/>
      <w:bookmarkEnd w:id="187"/>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color w:val="000000"/>
          <w:szCs w:val="24"/>
        </w:rPr>
      </w:pPr>
      <w:r>
        <w:rPr>
          <w:rFonts w:hint="eastAsia" w:ascii="仿宋" w:hAnsi="仿宋" w:eastAsia="仿宋" w:cs="仿宋"/>
          <w:color w:val="000000"/>
          <w:szCs w:val="24"/>
        </w:rPr>
        <w:t>说明：1.投标人应按照相关法规规定如实作出说明。</w:t>
      </w:r>
    </w:p>
    <w:p>
      <w:pPr>
        <w:pageBreakBefore w:val="0"/>
        <w:kinsoku/>
        <w:wordWrap w:val="0"/>
        <w:overflowPunct/>
        <w:topLinePunct w:val="0"/>
        <w:bidi w:val="0"/>
      </w:pPr>
    </w:p>
    <w:p>
      <w:pPr>
        <w:pageBreakBefore w:val="0"/>
        <w:kinsoku/>
        <w:wordWrap w:val="0"/>
        <w:overflowPunct/>
        <w:topLinePunct w:val="0"/>
        <w:bidi w:val="0"/>
      </w:pPr>
    </w:p>
    <w:p>
      <w:pPr>
        <w:pageBreakBefore w:val="0"/>
        <w:kinsoku/>
        <w:wordWrap w:val="0"/>
        <w:overflowPunct/>
        <w:topLinePunct w:val="0"/>
        <w:bidi w:val="0"/>
        <w:spacing w:line="240" w:lineRule="atLeast"/>
        <w:ind w:firstLine="480" w:firstLineChars="200"/>
        <w:rPr>
          <w:rFonts w:ascii="仿宋" w:hAnsi="仿宋" w:eastAsia="仿宋" w:cs="仿宋"/>
          <w:b/>
          <w:color w:val="000000"/>
          <w:kern w:val="0"/>
          <w:sz w:val="24"/>
          <w:szCs w:val="20"/>
        </w:rPr>
      </w:pPr>
      <w:r>
        <w:rPr>
          <w:rFonts w:hint="eastAsia" w:ascii="仿宋" w:hAnsi="仿宋" w:eastAsia="仿宋" w:cs="仿宋"/>
          <w:b/>
          <w:color w:val="000000"/>
          <w:kern w:val="0"/>
          <w:sz w:val="24"/>
          <w:szCs w:val="20"/>
        </w:rPr>
        <w:t>10、缴纳投标保证金有效凭证复印件及银行开户许可证加盖公章；</w:t>
      </w:r>
    </w:p>
    <w:p>
      <w:pPr>
        <w:pStyle w:val="20"/>
        <w:pageBreakBefore w:val="0"/>
        <w:tabs>
          <w:tab w:val="center" w:pos="4140"/>
          <w:tab w:val="right" w:pos="8300"/>
          <w:tab w:val="clear" w:pos="4153"/>
          <w:tab w:val="clear" w:pos="8306"/>
        </w:tabs>
        <w:kinsoku/>
        <w:wordWrap w:val="0"/>
        <w:overflowPunct/>
        <w:topLinePunct w:val="0"/>
        <w:bidi w:val="0"/>
        <w:spacing w:line="440" w:lineRule="exact"/>
        <w:ind w:firstLine="480" w:firstLineChars="200"/>
        <w:rPr>
          <w:rFonts w:ascii="仿宋" w:hAnsi="仿宋" w:eastAsia="仿宋" w:cs="仿宋"/>
          <w:b/>
          <w:color w:val="000000"/>
          <w:sz w:val="24"/>
        </w:rPr>
      </w:pPr>
    </w:p>
    <w:p>
      <w:pPr>
        <w:pageBreakBefore w:val="0"/>
        <w:kinsoku/>
        <w:wordWrap w:val="0"/>
        <w:overflowPunct/>
        <w:topLinePunct w:val="0"/>
        <w:bidi w:val="0"/>
        <w:spacing w:line="240" w:lineRule="atLeast"/>
        <w:ind w:firstLine="480" w:firstLineChars="200"/>
        <w:rPr>
          <w:rFonts w:ascii="仿宋" w:hAnsi="仿宋" w:eastAsia="仿宋" w:cs="仿宋"/>
          <w:b/>
          <w:color w:val="000000"/>
          <w:kern w:val="0"/>
          <w:sz w:val="24"/>
          <w:szCs w:val="20"/>
        </w:rPr>
      </w:pPr>
      <w:r>
        <w:rPr>
          <w:rFonts w:hint="eastAsia" w:ascii="仿宋" w:hAnsi="仿宋" w:eastAsia="仿宋" w:cs="仿宋"/>
          <w:b/>
          <w:color w:val="000000"/>
          <w:kern w:val="0"/>
          <w:sz w:val="24"/>
          <w:szCs w:val="20"/>
        </w:rPr>
        <w:t>11、联合体协议书（如有）；</w:t>
      </w:r>
    </w:p>
    <w:p>
      <w:pPr>
        <w:pStyle w:val="11"/>
        <w:pageBreakBefore w:val="0"/>
        <w:kinsoku/>
        <w:wordWrap w:val="0"/>
        <w:overflowPunct/>
        <w:topLinePunct w:val="0"/>
        <w:bidi w:val="0"/>
        <w:ind w:firstLine="422"/>
        <w:rPr>
          <w:rFonts w:ascii="仿宋" w:hAnsi="仿宋" w:eastAsia="仿宋" w:cs="仿宋"/>
          <w:b/>
          <w:color w:val="000000"/>
          <w:szCs w:val="24"/>
        </w:rPr>
      </w:pPr>
    </w:p>
    <w:p>
      <w:pPr>
        <w:pStyle w:val="20"/>
        <w:pageBreakBefore w:val="0"/>
        <w:tabs>
          <w:tab w:val="center" w:pos="4140"/>
          <w:tab w:val="right" w:pos="8300"/>
          <w:tab w:val="clear" w:pos="4153"/>
          <w:tab w:val="clear" w:pos="8306"/>
        </w:tabs>
        <w:kinsoku/>
        <w:wordWrap w:val="0"/>
        <w:overflowPunct/>
        <w:topLinePunct w:val="0"/>
        <w:bidi w:val="0"/>
        <w:spacing w:line="440" w:lineRule="exact"/>
        <w:jc w:val="center"/>
        <w:outlineLvl w:val="1"/>
        <w:rPr>
          <w:rFonts w:ascii="仿宋" w:hAnsi="仿宋" w:eastAsia="仿宋" w:cs="仿宋"/>
          <w:sz w:val="24"/>
        </w:rPr>
      </w:pPr>
      <w:r>
        <w:rPr>
          <w:rFonts w:hint="eastAsia" w:ascii="仿宋" w:hAnsi="仿宋" w:eastAsia="仿宋" w:cs="仿宋"/>
          <w:b/>
          <w:color w:val="000000"/>
          <w:sz w:val="24"/>
        </w:rPr>
        <w:br w:type="page"/>
      </w:r>
      <w:bookmarkStart w:id="188" w:name="_Toc518923115"/>
      <w:bookmarkStart w:id="189" w:name="_Toc16844"/>
      <w:r>
        <w:rPr>
          <w:rFonts w:hint="eastAsia" w:ascii="仿宋" w:hAnsi="仿宋" w:eastAsia="仿宋" w:cs="仿宋"/>
          <w:b/>
          <w:sz w:val="24"/>
        </w:rPr>
        <w:t>第二部分  商务</w:t>
      </w:r>
      <w:bookmarkEnd w:id="188"/>
      <w:bookmarkEnd w:id="189"/>
      <w:r>
        <w:rPr>
          <w:rFonts w:hint="eastAsia" w:ascii="仿宋" w:hAnsi="仿宋" w:eastAsia="仿宋" w:cs="仿宋"/>
          <w:b/>
          <w:sz w:val="24"/>
        </w:rPr>
        <w:t>投标文件</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投标人应根据招标文件的要求提供详细的</w:t>
      </w:r>
      <w:r>
        <w:rPr>
          <w:rFonts w:hint="eastAsia" w:ascii="仿宋" w:hAnsi="仿宋" w:eastAsia="仿宋" w:cs="仿宋"/>
          <w:sz w:val="24"/>
        </w:rPr>
        <w:t>商务投标方案</w:t>
      </w:r>
      <w:r>
        <w:rPr>
          <w:rFonts w:hint="eastAsia" w:ascii="仿宋" w:hAnsi="仿宋" w:eastAsia="仿宋" w:cs="仿宋"/>
          <w:sz w:val="24"/>
          <w:lang w:val="zh-CN"/>
        </w:rPr>
        <w:t>，参照项目的具体情况及评分标准</w:t>
      </w:r>
      <w:r>
        <w:rPr>
          <w:rFonts w:hint="eastAsia" w:ascii="仿宋" w:hAnsi="仿宋" w:eastAsia="仿宋" w:cs="仿宋"/>
          <w:sz w:val="24"/>
        </w:rPr>
        <w:t>编制</w:t>
      </w:r>
      <w:r>
        <w:rPr>
          <w:rFonts w:hint="eastAsia" w:ascii="仿宋" w:hAnsi="仿宋" w:eastAsia="仿宋" w:cs="仿宋"/>
          <w:sz w:val="24"/>
          <w:lang w:val="zh-CN"/>
        </w:rPr>
        <w:t>；</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lang w:val="zh-CN"/>
        </w:rPr>
      </w:pPr>
      <w:r>
        <w:rPr>
          <w:rFonts w:hint="eastAsia" w:ascii="仿宋" w:hAnsi="仿宋" w:eastAsia="仿宋" w:cs="仿宋"/>
          <w:sz w:val="24"/>
        </w:rPr>
        <w:t>标项一</w:t>
      </w:r>
      <w:r>
        <w:rPr>
          <w:rFonts w:hint="eastAsia" w:ascii="仿宋" w:hAnsi="仿宋" w:eastAsia="仿宋" w:cs="仿宋"/>
          <w:sz w:val="24"/>
          <w:lang w:val="zh-CN"/>
        </w:rPr>
        <w:t>商务投标</w:t>
      </w:r>
      <w:r>
        <w:rPr>
          <w:rFonts w:hint="eastAsia" w:ascii="仿宋" w:hAnsi="仿宋" w:eastAsia="仿宋" w:cs="仿宋"/>
          <w:sz w:val="24"/>
        </w:rPr>
        <w:t>文件</w:t>
      </w:r>
      <w:r>
        <w:rPr>
          <w:rFonts w:hint="eastAsia" w:ascii="仿宋" w:hAnsi="仿宋" w:eastAsia="仿宋" w:cs="仿宋"/>
          <w:sz w:val="24"/>
          <w:lang w:val="zh-CN"/>
        </w:rPr>
        <w:t>将从送审材料完整性、适用表式、编制方法、预算标准、预算内容、计算和勾稽关系、与技术方案工作量平衡、预算编制说明和报价的合理性、</w:t>
      </w:r>
      <w:r>
        <w:rPr>
          <w:rFonts w:hint="eastAsia" w:ascii="仿宋" w:hAnsi="仿宋" w:eastAsia="仿宋" w:cs="仿宋"/>
          <w:sz w:val="24"/>
        </w:rPr>
        <w:t>主要工作业绩、相关承诺</w:t>
      </w:r>
      <w:r>
        <w:rPr>
          <w:rFonts w:hint="eastAsia" w:ascii="仿宋" w:hAnsi="仿宋" w:eastAsia="仿宋" w:cs="仿宋"/>
          <w:sz w:val="24"/>
          <w:lang w:val="zh-CN"/>
        </w:rPr>
        <w:t>等方面进行评审。</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标项二商务投标文件将从对招标文件及合同条款的确认，投入项目人员数量满足要求，工种齐全，人员专业结构配备合理，仪器、设备配置，近三年资产状况，组织管理、质量、进度、安全的保障体系及主要措施，组织管理机构应健全，应建立领导小组，拟派出的总监、总监代表人的职称，主要业绩，相关承诺等方面进行评审。</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lang w:val="zh-CN"/>
        </w:rPr>
      </w:pPr>
      <w:r>
        <w:rPr>
          <w:rFonts w:hint="eastAsia" w:ascii="仿宋" w:hAnsi="仿宋" w:eastAsia="仿宋" w:cs="仿宋"/>
          <w:sz w:val="24"/>
        </w:rPr>
        <w:t>以下</w:t>
      </w: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rPr>
        <w:t>投标单位需</w:t>
      </w:r>
      <w:r>
        <w:rPr>
          <w:rFonts w:hint="eastAsia" w:ascii="仿宋" w:hAnsi="仿宋" w:eastAsia="仿宋" w:cs="仿宋"/>
          <w:sz w:val="24"/>
          <w:lang w:val="zh-CN"/>
        </w:rPr>
        <w:t>保证所提供的资料的真实性。未提供格式的，投标人可自行编制，为了便于查找，请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Pr>
        <w:pStyle w:val="15"/>
        <w:pageBreakBefore w:val="0"/>
        <w:kinsoku/>
        <w:wordWrap w:val="0"/>
        <w:overflowPunct/>
        <w:topLinePunct w:val="0"/>
        <w:bidi w:val="0"/>
        <w:ind w:left="1079" w:leftChars="257" w:hanging="540"/>
        <w:rPr>
          <w:rFonts w:ascii="仿宋" w:hAnsi="仿宋" w:eastAsia="仿宋" w:cs="仿宋"/>
          <w:sz w:val="24"/>
        </w:rPr>
      </w:pP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lang w:val="zh-CN"/>
        </w:rPr>
        <w:t>提供</w:t>
      </w:r>
      <w:r>
        <w:rPr>
          <w:rFonts w:hint="eastAsia" w:ascii="仿宋" w:hAnsi="仿宋" w:eastAsia="仿宋" w:cs="仿宋"/>
          <w:sz w:val="24"/>
        </w:rPr>
        <w:t>部分</w:t>
      </w:r>
      <w:r>
        <w:rPr>
          <w:rFonts w:hint="eastAsia" w:ascii="仿宋" w:hAnsi="仿宋" w:eastAsia="仿宋" w:cs="仿宋"/>
          <w:sz w:val="24"/>
          <w:lang w:val="zh-CN"/>
        </w:rPr>
        <w:t>投标文件格式</w:t>
      </w:r>
      <w:r>
        <w:rPr>
          <w:rFonts w:hint="eastAsia" w:ascii="仿宋" w:hAnsi="仿宋" w:eastAsia="仿宋" w:cs="仿宋"/>
          <w:sz w:val="24"/>
        </w:rPr>
        <w:t>目录</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1、投标书（投标文件格式三）</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2、投标保证金缴纳凭证（投标文件格式四）</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3、投标报价表（投标文件格式五）</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4、商务条款偏离表（投标文件格式六）</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6、符合《政府采购促进中小企业发展暂行办法》、《关于政府采购支持监狱企业发展有关问题的通知》和《三部门联合发布关于促进残疾人就业政府采购政策的通知》价格扣减条件的投标人须提交）</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6-1《投标人企业类型声明函》（投标文件格式七）</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6-2《制造商投标人企业类型声明函》（投标文件格式八）</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6-3《残疾人福利性单位声明函》（投标文件格式九）</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7、投标人关联单位的说明（格式自拟）</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rPr>
      </w:pPr>
      <w:r>
        <w:rPr>
          <w:rFonts w:hint="eastAsia" w:ascii="仿宋" w:hAnsi="仿宋" w:eastAsia="仿宋" w:cs="仿宋"/>
          <w:sz w:val="24"/>
        </w:rPr>
        <w:t>8、投标文件还应包括投标人须知第10条的所有技术文件</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br w:type="page"/>
      </w: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190" w:name="_Toc518923116"/>
      <w:bookmarkStart w:id="191" w:name="_Toc26126"/>
      <w:r>
        <w:rPr>
          <w:rFonts w:hint="eastAsia" w:ascii="仿宋" w:hAnsi="仿宋" w:eastAsia="仿宋" w:cs="仿宋"/>
          <w:sz w:val="24"/>
        </w:rPr>
        <w:t xml:space="preserve">1   </w:t>
      </w:r>
      <w:bookmarkStart w:id="192" w:name="_Hlt520355504"/>
      <w:bookmarkEnd w:id="192"/>
      <w:r>
        <w:rPr>
          <w:rFonts w:hint="eastAsia" w:ascii="仿宋" w:hAnsi="仿宋" w:eastAsia="仿宋" w:cs="仿宋"/>
          <w:sz w:val="24"/>
        </w:rPr>
        <w:t>投标</w:t>
      </w:r>
      <w:bookmarkEnd w:id="166"/>
      <w:bookmarkEnd w:id="167"/>
      <w:r>
        <w:rPr>
          <w:rFonts w:hint="eastAsia" w:ascii="仿宋" w:hAnsi="仿宋" w:eastAsia="仿宋" w:cs="仿宋"/>
          <w:sz w:val="24"/>
        </w:rPr>
        <w:t>书</w:t>
      </w:r>
      <w:bookmarkEnd w:id="168"/>
      <w:r>
        <w:rPr>
          <w:rFonts w:hint="eastAsia" w:ascii="仿宋" w:hAnsi="仿宋" w:eastAsia="仿宋" w:cs="仿宋"/>
          <w:sz w:val="24"/>
        </w:rPr>
        <w:t>（投标文件格式三）</w:t>
      </w:r>
      <w:bookmarkEnd w:id="169"/>
      <w:bookmarkEnd w:id="190"/>
      <w:bookmarkEnd w:id="191"/>
    </w:p>
    <w:p>
      <w:pPr>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p>
    <w:p>
      <w:pPr>
        <w:pageBreakBefore w:val="0"/>
        <w:tabs>
          <w:tab w:val="left" w:pos="5580"/>
        </w:tabs>
        <w:kinsoku/>
        <w:wordWrap w:val="0"/>
        <w:overflowPunct/>
        <w:topLinePunct w:val="0"/>
        <w:bidi w:val="0"/>
        <w:spacing w:line="240" w:lineRule="atLeast"/>
        <w:ind w:left="1080" w:hanging="108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color w:val="000000"/>
          <w:sz w:val="24"/>
          <w:u w:val="single"/>
        </w:rPr>
        <w:t>新疆中业建设工程项目管理有限公司</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p>
    <w:p>
      <w:pPr>
        <w:pStyle w:val="15"/>
        <w:pageBreakBefore w:val="0"/>
        <w:tabs>
          <w:tab w:val="left" w:pos="5580"/>
        </w:tabs>
        <w:kinsoku/>
        <w:wordWrap w:val="0"/>
        <w:overflowPunct/>
        <w:topLinePunct w:val="0"/>
        <w:bidi w:val="0"/>
        <w:spacing w:line="240" w:lineRule="atLeast"/>
        <w:ind w:left="2" w:leftChars="1" w:firstLine="480" w:firstLineChars="200"/>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)经正式授权并代表投标人（</w:t>
      </w:r>
      <w:r>
        <w:rPr>
          <w:rFonts w:hint="eastAsia" w:ascii="仿宋" w:hAnsi="仿宋" w:eastAsia="仿宋" w:cs="仿宋"/>
          <w:i/>
          <w:sz w:val="24"/>
          <w:u w:val="single"/>
        </w:rPr>
        <w:t>名称、地址</w:t>
      </w:r>
      <w:r>
        <w:rPr>
          <w:rFonts w:hint="eastAsia" w:ascii="仿宋" w:hAnsi="仿宋" w:eastAsia="仿宋" w:cs="仿宋"/>
          <w:sz w:val="24"/>
        </w:rPr>
        <w:t>）提交下述文件正本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份及电子文档</w:t>
      </w:r>
      <w:r>
        <w:rPr>
          <w:rFonts w:hint="eastAsia" w:ascii="仿宋" w:hAnsi="仿宋" w:eastAsia="仿宋" w:cs="仿宋"/>
          <w:sz w:val="24"/>
          <w:u w:val="single"/>
        </w:rPr>
        <w:t xml:space="preserve">     </w:t>
      </w:r>
      <w:r>
        <w:rPr>
          <w:rFonts w:hint="eastAsia" w:ascii="仿宋" w:hAnsi="仿宋" w:eastAsia="仿宋" w:cs="仿宋"/>
          <w:sz w:val="24"/>
        </w:rPr>
        <w:t>份，并以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据此，签字代表宣布同意如下：</w:t>
      </w:r>
    </w:p>
    <w:p>
      <w:pPr>
        <w:pStyle w:val="15"/>
        <w:pageBreakBefore w:val="0"/>
        <w:tabs>
          <w:tab w:val="left" w:pos="720"/>
          <w:tab w:val="left" w:pos="900"/>
        </w:tabs>
        <w:kinsoku/>
        <w:wordWrap w:val="0"/>
        <w:overflowPunct/>
        <w:topLinePunct w:val="0"/>
        <w:bidi w:val="0"/>
        <w:spacing w:line="240" w:lineRule="atLeast"/>
        <w:ind w:left="768" w:leftChars="257" w:hanging="229"/>
        <w:rPr>
          <w:rFonts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（5）在规定的开标时间后，遵守招标文件中有关保证金的规定。</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（6）根据投标人须知第1条规定，我方不是为本项目提供整体设计、规范编制或者项目管理、监理、检测等服务的供应商，我方不是采购代理机构的附属机构。</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（9）按照招标文件的规定履行合同责任和义务。</w:t>
      </w:r>
    </w:p>
    <w:p>
      <w:pPr>
        <w:pStyle w:val="15"/>
        <w:pageBreakBefore w:val="0"/>
        <w:tabs>
          <w:tab w:val="left" w:pos="5580"/>
        </w:tabs>
        <w:kinsoku/>
        <w:wordWrap w:val="0"/>
        <w:overflowPunct/>
        <w:topLinePunct w:val="0"/>
        <w:bidi w:val="0"/>
        <w:spacing w:line="240" w:lineRule="atLeast"/>
        <w:ind w:left="358" w:leftChars="68" w:hanging="216" w:hangingChars="90"/>
        <w:rPr>
          <w:rFonts w:ascii="仿宋" w:hAnsi="仿宋" w:eastAsia="仿宋" w:cs="仿宋"/>
          <w:sz w:val="24"/>
        </w:rPr>
      </w:pPr>
      <w:r>
        <w:rPr>
          <w:rFonts w:hint="eastAsia" w:ascii="仿宋" w:hAnsi="仿宋" w:eastAsia="仿宋" w:cs="仿宋"/>
          <w:sz w:val="24"/>
        </w:rPr>
        <w:t xml:space="preserve">  </w:t>
      </w:r>
    </w:p>
    <w:p>
      <w:pPr>
        <w:pStyle w:val="15"/>
        <w:pageBreakBefore w:val="0"/>
        <w:tabs>
          <w:tab w:val="left" w:pos="5580"/>
        </w:tabs>
        <w:kinsoku/>
        <w:wordWrap w:val="0"/>
        <w:overflowPunct/>
        <w:topLinePunct w:val="0"/>
        <w:bidi w:val="0"/>
        <w:spacing w:line="240" w:lineRule="atLeast"/>
        <w:ind w:left="358" w:leftChars="68" w:hanging="216" w:hangingChars="90"/>
        <w:rPr>
          <w:rFonts w:ascii="仿宋" w:hAnsi="仿宋" w:eastAsia="仿宋" w:cs="仿宋"/>
          <w:sz w:val="24"/>
        </w:rPr>
      </w:pPr>
      <w:r>
        <w:rPr>
          <w:rFonts w:hint="eastAsia" w:ascii="仿宋" w:hAnsi="仿宋" w:eastAsia="仿宋" w:cs="仿宋"/>
          <w:sz w:val="24"/>
        </w:rPr>
        <w:t>与本投标有关的一切正式往来信函请寄：</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法定代表人或其委托代理人签字：-----------------</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投标人名称（全称）：-----------------</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投标人单位章：-------------------------</w:t>
      </w:r>
    </w:p>
    <w:p>
      <w:pPr>
        <w:pStyle w:val="15"/>
        <w:pageBreakBefore w:val="0"/>
        <w:tabs>
          <w:tab w:val="left" w:pos="5580"/>
        </w:tabs>
        <w:kinsoku/>
        <w:wordWrap w:val="0"/>
        <w:overflowPunct/>
        <w:topLinePunct w:val="0"/>
        <w:bidi w:val="0"/>
        <w:spacing w:line="240" w:lineRule="atLeast"/>
        <w:ind w:left="1079" w:leftChars="257" w:hanging="540"/>
        <w:rPr>
          <w:rFonts w:ascii="仿宋" w:hAnsi="仿宋" w:eastAsia="仿宋" w:cs="仿宋"/>
          <w:sz w:val="24"/>
        </w:rPr>
      </w:pPr>
      <w:r>
        <w:rPr>
          <w:rFonts w:hint="eastAsia" w:ascii="仿宋" w:hAnsi="仿宋" w:eastAsia="仿宋" w:cs="仿宋"/>
          <w:sz w:val="24"/>
        </w:rPr>
        <w:t>日期-：------------------------------</w:t>
      </w:r>
    </w:p>
    <w:p>
      <w:pPr>
        <w:pStyle w:val="8"/>
        <w:pageBreakBefore w:val="0"/>
        <w:kinsoku/>
        <w:wordWrap w:val="0"/>
        <w:overflowPunct/>
        <w:topLinePunct w:val="0"/>
        <w:bidi w:val="0"/>
        <w:spacing w:before="0" w:line="240" w:lineRule="atLeast"/>
        <w:ind w:left="1079" w:leftChars="257" w:hanging="540"/>
        <w:rPr>
          <w:rFonts w:ascii="仿宋" w:hAnsi="仿宋" w:eastAsia="仿宋" w:cs="仿宋"/>
          <w:sz w:val="24"/>
        </w:rPr>
      </w:pPr>
      <w:bookmarkStart w:id="193" w:name="_Hlt520355938"/>
      <w:bookmarkEnd w:id="193"/>
      <w:bookmarkStart w:id="194" w:name="_Hlt520356243"/>
      <w:bookmarkEnd w:id="194"/>
      <w:bookmarkStart w:id="195" w:name="_Toc216582815"/>
      <w:r>
        <w:rPr>
          <w:rFonts w:hint="eastAsia" w:ascii="仿宋" w:hAnsi="仿宋" w:eastAsia="仿宋" w:cs="仿宋"/>
          <w:sz w:val="24"/>
        </w:rPr>
        <w:br w:type="page"/>
      </w:r>
      <w:bookmarkStart w:id="196" w:name="_Toc518923117"/>
      <w:bookmarkStart w:id="197" w:name="_Toc24886"/>
      <w:r>
        <w:rPr>
          <w:rFonts w:hint="eastAsia" w:ascii="仿宋" w:hAnsi="仿宋" w:eastAsia="仿宋" w:cs="仿宋"/>
          <w:sz w:val="24"/>
        </w:rPr>
        <w:t>2   投标保证金缴纳有效凭证</w:t>
      </w:r>
      <w:bookmarkEnd w:id="196"/>
      <w:bookmarkEnd w:id="197"/>
      <w:r>
        <w:rPr>
          <w:rFonts w:hint="eastAsia" w:ascii="仿宋" w:hAnsi="仿宋" w:eastAsia="仿宋" w:cs="仿宋"/>
          <w:sz w:val="24"/>
        </w:rPr>
        <w:t>扫描件</w:t>
      </w:r>
    </w:p>
    <w:p>
      <w:pPr>
        <w:pageBreakBefore w:val="0"/>
        <w:kinsoku/>
        <w:wordWrap w:val="0"/>
        <w:overflowPunct/>
        <w:topLinePunct w:val="0"/>
        <w:bidi w:val="0"/>
        <w:ind w:firstLine="420" w:firstLineChars="200"/>
        <w:rPr>
          <w:rFonts w:ascii="仿宋" w:hAnsi="仿宋" w:eastAsia="仿宋" w:cs="仿宋"/>
          <w:sz w:val="24"/>
        </w:rPr>
      </w:pPr>
      <w:bookmarkStart w:id="198" w:name="_Toc494296665"/>
      <w:bookmarkStart w:id="199" w:name="_Toc494296991"/>
      <w:r>
        <w:rPr>
          <w:rFonts w:hint="eastAsia" w:ascii="仿宋" w:hAnsi="仿宋" w:eastAsia="仿宋" w:cs="仿宋"/>
        </w:rPr>
        <w:t>投标人可将本项目投标保证金支付的汇款凭证或保证金收据（如有）的扫描件作为缴纳凭证装订在本部分，扫描件上应加盖本单位章装订在本部分有效格式中。</w:t>
      </w:r>
      <w:bookmarkEnd w:id="198"/>
      <w:bookmarkEnd w:id="199"/>
    </w:p>
    <w:p>
      <w:pPr>
        <w:pageBreakBefore w:val="0"/>
        <w:kinsoku/>
        <w:wordWrap w:val="0"/>
        <w:overflowPunct/>
        <w:topLinePunct w:val="0"/>
        <w:bidi w:val="0"/>
        <w:ind w:firstLine="5775" w:firstLineChars="2750"/>
        <w:rPr>
          <w:rFonts w:ascii="仿宋" w:hAnsi="仿宋" w:eastAsia="仿宋" w:cs="仿宋"/>
        </w:rPr>
        <w:sectPr>
          <w:footerReference r:id="rId7" w:type="first"/>
          <w:footerReference r:id="rId5" w:type="default"/>
          <w:footerReference r:id="rId6" w:type="even"/>
          <w:pgSz w:w="11906" w:h="16838"/>
          <w:pgMar w:top="1440" w:right="1797" w:bottom="1440" w:left="1797" w:header="851" w:footer="992" w:gutter="0"/>
          <w:cols w:space="720" w:num="1"/>
          <w:docGrid w:type="linesAndChars" w:linePitch="312" w:charSpace="0"/>
        </w:sectPr>
      </w:pPr>
    </w:p>
    <w:bookmarkEnd w:id="195"/>
    <w:p>
      <w:pPr>
        <w:pStyle w:val="15"/>
        <w:pageBreakBefore w:val="0"/>
        <w:tabs>
          <w:tab w:val="left" w:pos="5370"/>
        </w:tabs>
        <w:kinsoku/>
        <w:wordWrap w:val="0"/>
        <w:overflowPunct/>
        <w:topLinePunct w:val="0"/>
        <w:bidi w:val="0"/>
        <w:spacing w:line="240" w:lineRule="atLeast"/>
        <w:ind w:left="1080" w:leftChars="257" w:hanging="540"/>
        <w:rPr>
          <w:rFonts w:ascii="仿宋" w:hAnsi="仿宋" w:eastAsia="仿宋" w:cs="仿宋"/>
          <w:sz w:val="24"/>
        </w:rPr>
      </w:pPr>
    </w:p>
    <w:p>
      <w:pPr>
        <w:pStyle w:val="8"/>
        <w:pageBreakBefore w:val="0"/>
        <w:kinsoku/>
        <w:wordWrap w:val="0"/>
        <w:overflowPunct/>
        <w:topLinePunct w:val="0"/>
        <w:bidi w:val="0"/>
        <w:spacing w:before="0" w:line="240" w:lineRule="atLeast"/>
        <w:ind w:left="1080" w:leftChars="257" w:hanging="540"/>
        <w:rPr>
          <w:rFonts w:ascii="仿宋" w:hAnsi="仿宋" w:eastAsia="仿宋" w:cs="仿宋"/>
          <w:sz w:val="24"/>
        </w:rPr>
      </w:pPr>
      <w:r>
        <w:rPr>
          <w:rFonts w:hint="eastAsia" w:ascii="仿宋" w:hAnsi="仿宋" w:eastAsia="仿宋" w:cs="仿宋"/>
          <w:sz w:val="24"/>
        </w:rPr>
        <w:t>3   技术规格偏离表（投标文件格式五）</w:t>
      </w: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 xml:space="preserve">项目名称:                       招标编号:           包号：          </w:t>
      </w: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货物名称</w:t>
            </w:r>
          </w:p>
        </w:tc>
        <w:tc>
          <w:tcPr>
            <w:tcW w:w="2340" w:type="dxa"/>
            <w:vAlign w:val="center"/>
          </w:tcPr>
          <w:p>
            <w:pPr>
              <w:pStyle w:val="15"/>
              <w:pageBreakBefore w:val="0"/>
              <w:kinsoku/>
              <w:wordWrap w:val="0"/>
              <w:overflowPunct/>
              <w:topLinePunct w:val="0"/>
              <w:bidi w:val="0"/>
              <w:spacing w:line="240" w:lineRule="atLeast"/>
              <w:ind w:left="269" w:leftChars="128"/>
              <w:jc w:val="center"/>
              <w:rPr>
                <w:rFonts w:ascii="仿宋" w:hAnsi="仿宋" w:eastAsia="仿宋" w:cs="仿宋"/>
                <w:sz w:val="24"/>
              </w:rPr>
            </w:pPr>
            <w:r>
              <w:rPr>
                <w:rFonts w:hint="eastAsia" w:ascii="仿宋" w:hAnsi="仿宋" w:eastAsia="仿宋" w:cs="仿宋"/>
                <w:sz w:val="24"/>
              </w:rPr>
              <w:t>招标文件条款号</w:t>
            </w:r>
          </w:p>
        </w:tc>
        <w:tc>
          <w:tcPr>
            <w:tcW w:w="1260"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招标规格</w:t>
            </w:r>
          </w:p>
        </w:tc>
        <w:tc>
          <w:tcPr>
            <w:tcW w:w="1260"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投标规格</w:t>
            </w:r>
          </w:p>
        </w:tc>
        <w:tc>
          <w:tcPr>
            <w:tcW w:w="900"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偏离</w:t>
            </w:r>
          </w:p>
        </w:tc>
        <w:tc>
          <w:tcPr>
            <w:tcW w:w="900" w:type="dxa"/>
            <w:vAlign w:val="center"/>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3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126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bl>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5"/>
        <w:pageBreakBefore w:val="0"/>
        <w:tabs>
          <w:tab w:val="left" w:pos="5370"/>
        </w:tabs>
        <w:kinsoku/>
        <w:wordWrap w:val="0"/>
        <w:overflowPunct/>
        <w:topLinePunct w:val="0"/>
        <w:bidi w:val="0"/>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u w:val="single"/>
        </w:rPr>
        <w:br w:type="page"/>
      </w:r>
    </w:p>
    <w:p>
      <w:pPr>
        <w:pStyle w:val="8"/>
        <w:pageBreakBefore w:val="0"/>
        <w:kinsoku/>
        <w:wordWrap w:val="0"/>
        <w:overflowPunct/>
        <w:topLinePunct w:val="0"/>
        <w:bidi w:val="0"/>
        <w:spacing w:before="0" w:line="240" w:lineRule="atLeast"/>
        <w:ind w:left="1080" w:leftChars="257" w:hanging="540"/>
        <w:rPr>
          <w:rFonts w:ascii="仿宋" w:hAnsi="仿宋" w:eastAsia="仿宋" w:cs="仿宋"/>
          <w:sz w:val="24"/>
        </w:rPr>
      </w:pPr>
      <w:bookmarkStart w:id="200" w:name="_Toc216582818"/>
      <w:bookmarkStart w:id="201" w:name="_Toc518923119"/>
      <w:bookmarkStart w:id="202" w:name="_Toc8079"/>
      <w:r>
        <w:rPr>
          <w:rFonts w:hint="eastAsia" w:ascii="仿宋" w:hAnsi="仿宋" w:eastAsia="仿宋" w:cs="仿宋"/>
          <w:sz w:val="24"/>
        </w:rPr>
        <w:t>4   商务条款偏离表</w:t>
      </w:r>
      <w:bookmarkEnd w:id="200"/>
      <w:r>
        <w:rPr>
          <w:rFonts w:hint="eastAsia" w:ascii="仿宋" w:hAnsi="仿宋" w:eastAsia="仿宋" w:cs="仿宋"/>
          <w:sz w:val="24"/>
        </w:rPr>
        <w:t>（投标文件格式六）</w:t>
      </w:r>
      <w:bookmarkEnd w:id="201"/>
      <w:bookmarkEnd w:id="202"/>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项目名称:                      招标编号:            包号：</w:t>
      </w: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序号</w:t>
            </w:r>
          </w:p>
        </w:tc>
        <w:tc>
          <w:tcPr>
            <w:tcW w:w="2040" w:type="dxa"/>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招标文件条款号</w:t>
            </w:r>
          </w:p>
        </w:tc>
        <w:tc>
          <w:tcPr>
            <w:tcW w:w="2520" w:type="dxa"/>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投标文件的商务条款</w:t>
            </w:r>
          </w:p>
        </w:tc>
        <w:tc>
          <w:tcPr>
            <w:tcW w:w="900" w:type="dxa"/>
          </w:tcPr>
          <w:p>
            <w:pPr>
              <w:pStyle w:val="15"/>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jc w:val="center"/>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jc w:val="center"/>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04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252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c>
          <w:tcPr>
            <w:tcW w:w="900" w:type="dxa"/>
          </w:tcPr>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tc>
      </w:tr>
    </w:tbl>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p>
    <w:p>
      <w:pPr>
        <w:pStyle w:val="15"/>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5"/>
        <w:pageBreakBefore w:val="0"/>
        <w:tabs>
          <w:tab w:val="left" w:pos="5370"/>
        </w:tabs>
        <w:kinsoku/>
        <w:wordWrap w:val="0"/>
        <w:overflowPunct/>
        <w:topLinePunct w:val="0"/>
        <w:bidi w:val="0"/>
        <w:spacing w:line="240" w:lineRule="atLeast"/>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pPr>
        <w:pStyle w:val="15"/>
        <w:pageBreakBefore w:val="0"/>
        <w:kinsoku/>
        <w:wordWrap w:val="0"/>
        <w:overflowPunct/>
        <w:topLinePunct w:val="0"/>
        <w:bidi w:val="0"/>
        <w:spacing w:line="240" w:lineRule="atLeast"/>
        <w:rPr>
          <w:rFonts w:ascii="仿宋" w:hAnsi="仿宋" w:eastAsia="仿宋" w:cs="仿宋"/>
          <w:sz w:val="24"/>
        </w:rPr>
      </w:pPr>
    </w:p>
    <w:p>
      <w:pPr>
        <w:pStyle w:val="15"/>
        <w:pageBreakBefore w:val="0"/>
        <w:kinsoku/>
        <w:wordWrap w:val="0"/>
        <w:overflowPunct/>
        <w:topLinePunct w:val="0"/>
        <w:bidi w:val="0"/>
        <w:spacing w:line="240" w:lineRule="atLeast"/>
        <w:rPr>
          <w:rFonts w:ascii="仿宋" w:hAnsi="仿宋" w:eastAsia="仿宋" w:cs="仿宋"/>
          <w:sz w:val="24"/>
        </w:rPr>
      </w:pPr>
    </w:p>
    <w:p>
      <w:pPr>
        <w:pStyle w:val="15"/>
        <w:pageBreakBefore w:val="0"/>
        <w:kinsoku/>
        <w:wordWrap w:val="0"/>
        <w:overflowPunct/>
        <w:topLinePunct w:val="0"/>
        <w:bidi w:val="0"/>
        <w:spacing w:line="240" w:lineRule="atLeast"/>
        <w:rPr>
          <w:rFonts w:ascii="仿宋" w:hAnsi="仿宋" w:eastAsia="仿宋" w:cs="仿宋"/>
          <w:sz w:val="24"/>
        </w:rPr>
      </w:pPr>
    </w:p>
    <w:p>
      <w:pPr>
        <w:pStyle w:val="15"/>
        <w:pageBreakBefore w:val="0"/>
        <w:kinsoku/>
        <w:wordWrap w:val="0"/>
        <w:overflowPunct/>
        <w:topLinePunct w:val="0"/>
        <w:bidi w:val="0"/>
        <w:spacing w:line="240" w:lineRule="atLeast"/>
        <w:rPr>
          <w:rFonts w:ascii="仿宋" w:hAnsi="仿宋" w:eastAsia="仿宋" w:cs="仿宋"/>
          <w:sz w:val="24"/>
        </w:rPr>
      </w:pPr>
    </w:p>
    <w:p>
      <w:pPr>
        <w:pageBreakBefore w:val="0"/>
        <w:kinsoku/>
        <w:wordWrap w:val="0"/>
        <w:overflowPunct/>
        <w:topLinePunct w:val="0"/>
        <w:bidi w:val="0"/>
        <w:ind w:firstLine="6600" w:firstLineChars="2750"/>
        <w:rPr>
          <w:rFonts w:ascii="仿宋" w:hAnsi="仿宋" w:eastAsia="仿宋" w:cs="仿宋"/>
          <w:sz w:val="24"/>
        </w:rPr>
      </w:pPr>
      <w:bookmarkStart w:id="203" w:name="_Hlt520273711"/>
      <w:bookmarkEnd w:id="203"/>
      <w:bookmarkStart w:id="204" w:name="_Hlt520274911"/>
      <w:bookmarkEnd w:id="204"/>
      <w:bookmarkStart w:id="205" w:name="_Hlt520274407"/>
      <w:bookmarkEnd w:id="205"/>
      <w:bookmarkStart w:id="206" w:name="_Hlt520343000"/>
      <w:bookmarkEnd w:id="206"/>
      <w:bookmarkStart w:id="207" w:name="_Hlt520274393"/>
      <w:bookmarkEnd w:id="207"/>
      <w:bookmarkStart w:id="208" w:name="_Hlt520274065"/>
      <w:bookmarkEnd w:id="208"/>
      <w:bookmarkStart w:id="209" w:name="_Hlt520343392"/>
      <w:bookmarkEnd w:id="209"/>
      <w:bookmarkStart w:id="210" w:name="_Hlt520271212"/>
      <w:bookmarkEnd w:id="210"/>
      <w:bookmarkStart w:id="211" w:name="_Hlt520350957"/>
      <w:bookmarkEnd w:id="211"/>
      <w:bookmarkStart w:id="212" w:name="_Hlt520350918"/>
      <w:bookmarkEnd w:id="212"/>
      <w:bookmarkStart w:id="213" w:name="_Hlt520273973"/>
      <w:bookmarkEnd w:id="213"/>
      <w:r>
        <w:rPr>
          <w:rFonts w:hint="eastAsia" w:ascii="仿宋" w:hAnsi="仿宋" w:eastAsia="仿宋" w:cs="仿宋"/>
          <w:sz w:val="24"/>
        </w:rPr>
        <w:t xml:space="preserve">  </w:t>
      </w:r>
    </w:p>
    <w:p>
      <w:pPr>
        <w:pageBreakBefore w:val="0"/>
        <w:kinsoku/>
        <w:wordWrap w:val="0"/>
        <w:overflowPunct/>
        <w:topLinePunct w:val="0"/>
        <w:bidi w:val="0"/>
      </w:pPr>
      <w:bookmarkStart w:id="214" w:name="_Toc518923120"/>
      <w:bookmarkStart w:id="215" w:name="_Toc480"/>
    </w:p>
    <w:p>
      <w:pPr>
        <w:pStyle w:val="8"/>
        <w:pageBreakBefore w:val="0"/>
        <w:kinsoku/>
        <w:wordWrap w:val="0"/>
        <w:overflowPunct/>
        <w:topLinePunct w:val="0"/>
        <w:bidi w:val="0"/>
        <w:spacing w:before="0" w:line="240" w:lineRule="atLeast"/>
        <w:ind w:firstLine="723" w:firstLineChars="300"/>
        <w:jc w:val="both"/>
        <w:rPr>
          <w:rFonts w:ascii="仿宋" w:hAnsi="仿宋" w:eastAsia="仿宋" w:cs="仿宋"/>
          <w:b w:val="0"/>
          <w:sz w:val="24"/>
        </w:rPr>
      </w:pPr>
      <w:r>
        <w:rPr>
          <w:rFonts w:hint="eastAsia" w:ascii="仿宋" w:hAnsi="仿宋" w:eastAsia="仿宋" w:cs="仿宋"/>
          <w:sz w:val="24"/>
        </w:rPr>
        <w:t xml:space="preserve">5-1 </w:t>
      </w:r>
      <w:r>
        <w:rPr>
          <w:rFonts w:hint="eastAsia" w:ascii="仿宋" w:hAnsi="仿宋" w:eastAsia="仿宋" w:cs="仿宋"/>
          <w:b w:val="0"/>
          <w:sz w:val="24"/>
        </w:rPr>
        <w:t xml:space="preserve"> </w:t>
      </w:r>
      <w:r>
        <w:rPr>
          <w:rFonts w:hint="eastAsia" w:ascii="仿宋" w:hAnsi="仿宋" w:eastAsia="仿宋" w:cs="仿宋"/>
          <w:sz w:val="24"/>
        </w:rPr>
        <w:t>投标人企业（单位）类型声明函（投标文件格式七）</w:t>
      </w:r>
      <w:bookmarkEnd w:id="214"/>
      <w:bookmarkEnd w:id="215"/>
    </w:p>
    <w:p>
      <w:pPr>
        <w:pageBreakBefore w:val="0"/>
        <w:kinsoku/>
        <w:wordWrap w:val="0"/>
        <w:overflowPunct/>
        <w:topLinePunct w:val="0"/>
        <w:bidi w:val="0"/>
        <w:spacing w:line="240" w:lineRule="atLeast"/>
        <w:ind w:left="1080" w:leftChars="257" w:hanging="540"/>
        <w:jc w:val="center"/>
        <w:rPr>
          <w:rFonts w:ascii="仿宋" w:hAnsi="仿宋" w:eastAsia="仿宋" w:cs="仿宋"/>
          <w:b/>
          <w:kern w:val="0"/>
          <w:sz w:val="24"/>
          <w:szCs w:val="20"/>
        </w:rPr>
      </w:pPr>
    </w:p>
    <w:p>
      <w:pPr>
        <w:pageBreakBefore w:val="0"/>
        <w:widowControl/>
        <w:kinsoku/>
        <w:wordWrap w:val="0"/>
        <w:overflowPunct/>
        <w:topLinePunct w:val="0"/>
        <w:bidi w:val="0"/>
        <w:spacing w:before="100" w:beforeAutospacing="1" w:after="100" w:afterAutospacing="1" w:line="330" w:lineRule="atLeast"/>
        <w:ind w:firstLine="480" w:firstLineChars="200"/>
        <w:jc w:val="left"/>
        <w:rPr>
          <w:rFonts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1、□本企业（单位）为直接投标人，提供本企业（单位）服务。</w:t>
      </w:r>
    </w:p>
    <w:p>
      <w:pPr>
        <w:pageBreakBefore w:val="0"/>
        <w:widowControl/>
        <w:kinsoku/>
        <w:wordWrap w:val="0"/>
        <w:overflowPunct/>
        <w:topLinePunct w:val="0"/>
        <w:bidi w:val="0"/>
        <w:spacing w:before="100" w:beforeAutospacing="1" w:after="100" w:afterAutospacing="1" w:line="330" w:lineRule="atLeast"/>
        <w:ind w:firstLine="240" w:firstLineChars="100"/>
        <w:jc w:val="left"/>
        <w:rPr>
          <w:rFonts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pageBreakBefore w:val="0"/>
        <w:widowControl/>
        <w:kinsoku/>
        <w:wordWrap w:val="0"/>
        <w:overflowPunct/>
        <w:topLinePunct w:val="0"/>
        <w:bidi w:val="0"/>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2"/>
        <w:pageBreakBefore w:val="0"/>
        <w:kinsoku/>
        <w:wordWrap w:val="0"/>
        <w:overflowPunct/>
        <w:topLinePunct w:val="0"/>
        <w:bidi w:val="0"/>
        <w:ind w:firstLine="480"/>
        <w:rPr>
          <w:rFonts w:ascii="仿宋" w:hAnsi="仿宋" w:eastAsia="仿宋" w:cs="仿宋"/>
          <w:kern w:val="0"/>
        </w:rPr>
      </w:pPr>
      <w:r>
        <w:rPr>
          <w:rFonts w:hint="eastAsia" w:ascii="仿宋" w:hAnsi="仿宋" w:eastAsia="仿宋" w:cs="仿宋"/>
          <w:kern w:val="0"/>
        </w:rPr>
        <w:t>注:小微企业须提供以下证明材料</w:t>
      </w:r>
    </w:p>
    <w:p>
      <w:pPr>
        <w:pStyle w:val="2"/>
        <w:pageBreakBefore w:val="0"/>
        <w:kinsoku/>
        <w:wordWrap w:val="0"/>
        <w:overflowPunct/>
        <w:topLinePunct w:val="0"/>
        <w:bidi w:val="0"/>
        <w:ind w:firstLine="480"/>
        <w:rPr>
          <w:rFonts w:ascii="仿宋" w:hAnsi="仿宋" w:eastAsia="仿宋" w:cs="仿宋"/>
          <w:kern w:val="0"/>
        </w:rPr>
      </w:pPr>
      <w:r>
        <w:rPr>
          <w:rFonts w:hint="eastAsia" w:ascii="仿宋" w:hAnsi="仿宋" w:eastAsia="仿宋" w:cs="仿宋"/>
          <w:kern w:val="0"/>
        </w:rPr>
        <w:t>1、中小企业声明函</w:t>
      </w:r>
    </w:p>
    <w:p>
      <w:pPr>
        <w:pStyle w:val="2"/>
        <w:pageBreakBefore w:val="0"/>
        <w:kinsoku/>
        <w:wordWrap w:val="0"/>
        <w:overflowPunct/>
        <w:topLinePunct w:val="0"/>
        <w:bidi w:val="0"/>
        <w:ind w:firstLine="480"/>
        <w:rPr>
          <w:rFonts w:ascii="仿宋" w:hAnsi="仿宋" w:eastAsia="仿宋" w:cs="仿宋"/>
          <w:kern w:val="0"/>
        </w:rPr>
      </w:pPr>
      <w:r>
        <w:rPr>
          <w:rFonts w:hint="eastAsia" w:ascii="仿宋" w:hAnsi="仿宋" w:eastAsia="仿宋" w:cs="仿宋"/>
          <w:kern w:val="0"/>
        </w:rPr>
        <w:t>2、各行业主管部门出具的小微企业证明材料或政府网站“小微企业名录”查询截图。</w:t>
      </w:r>
    </w:p>
    <w:p>
      <w:pPr>
        <w:pStyle w:val="2"/>
        <w:pageBreakBefore w:val="0"/>
        <w:kinsoku/>
        <w:wordWrap w:val="0"/>
        <w:overflowPunct/>
        <w:topLinePunct w:val="0"/>
        <w:bidi w:val="0"/>
        <w:ind w:firstLine="480"/>
        <w:rPr>
          <w:rFonts w:ascii="仿宋" w:hAnsi="仿宋" w:eastAsia="仿宋" w:cs="仿宋"/>
          <w:kern w:val="0"/>
        </w:rPr>
      </w:pPr>
      <w:r>
        <w:rPr>
          <w:rFonts w:hint="eastAsia" w:ascii="仿宋" w:hAnsi="仿宋" w:eastAsia="仿宋" w:cs="仿宋"/>
          <w:kern w:val="0"/>
        </w:rPr>
        <w:t>3、投标货物是小微企业自身或其它小微企业生产的证明材料。</w:t>
      </w:r>
    </w:p>
    <w:p>
      <w:pPr>
        <w:pageBreakBefore w:val="0"/>
        <w:widowControl/>
        <w:kinsoku/>
        <w:wordWrap w:val="0"/>
        <w:overflowPunct/>
        <w:topLinePunct w:val="0"/>
        <w:bidi w:val="0"/>
        <w:spacing w:before="100" w:beforeAutospacing="1" w:after="100" w:afterAutospacing="1" w:line="330" w:lineRule="atLeast"/>
        <w:jc w:val="left"/>
        <w:rPr>
          <w:rFonts w:ascii="仿宋" w:hAnsi="仿宋" w:eastAsia="仿宋" w:cs="仿宋"/>
          <w:kern w:val="0"/>
          <w:sz w:val="24"/>
        </w:rPr>
      </w:pPr>
      <w:r>
        <w:rPr>
          <w:rFonts w:hint="eastAsia" w:ascii="仿宋" w:hAnsi="仿宋" w:eastAsia="仿宋" w:cs="仿宋"/>
          <w:kern w:val="0"/>
          <w:sz w:val="24"/>
        </w:rPr>
        <w:t>　　</w:t>
      </w:r>
    </w:p>
    <w:p>
      <w:pPr>
        <w:pageBreakBefore w:val="0"/>
        <w:kinsoku/>
        <w:wordWrap w:val="0"/>
        <w:overflowPunct/>
        <w:topLinePunct w:val="0"/>
        <w:bidi w:val="0"/>
        <w:spacing w:line="240" w:lineRule="atLeast"/>
        <w:ind w:left="1080" w:leftChars="257" w:hanging="540"/>
        <w:jc w:val="center"/>
        <w:rPr>
          <w:rFonts w:ascii="仿宋" w:hAnsi="仿宋" w:eastAsia="仿宋" w:cs="仿宋"/>
          <w:b/>
          <w:kern w:val="0"/>
          <w:sz w:val="24"/>
          <w:szCs w:val="20"/>
        </w:rPr>
      </w:pPr>
      <w:r>
        <w:rPr>
          <w:rFonts w:hint="eastAsia" w:ascii="仿宋" w:hAnsi="仿宋" w:eastAsia="仿宋" w:cs="仿宋"/>
          <w:b/>
          <w:kern w:val="0"/>
          <w:sz w:val="24"/>
          <w:szCs w:val="20"/>
        </w:rPr>
        <w:t>　</w:t>
      </w:r>
    </w:p>
    <w:p>
      <w:pPr>
        <w:pageBreakBefore w:val="0"/>
        <w:widowControl/>
        <w:kinsoku/>
        <w:wordWrap w:val="0"/>
        <w:overflowPunct/>
        <w:topLinePunct w:val="0"/>
        <w:bidi w:val="0"/>
        <w:spacing w:before="100" w:beforeAutospacing="1" w:after="100" w:afterAutospacing="1" w:line="330" w:lineRule="atLeast"/>
        <w:ind w:firstLine="3960" w:firstLineChars="1650"/>
        <w:jc w:val="left"/>
        <w:rPr>
          <w:rFonts w:ascii="仿宋" w:hAnsi="仿宋" w:eastAsia="仿宋" w:cs="仿宋"/>
          <w:kern w:val="0"/>
          <w:sz w:val="24"/>
        </w:rPr>
      </w:pPr>
      <w:r>
        <w:rPr>
          <w:rFonts w:hint="eastAsia" w:ascii="仿宋" w:hAnsi="仿宋" w:eastAsia="仿宋" w:cs="仿宋"/>
          <w:kern w:val="0"/>
          <w:sz w:val="24"/>
        </w:rPr>
        <w:t>投标人名称（盖单位章）：</w:t>
      </w:r>
      <w:r>
        <w:rPr>
          <w:rFonts w:hint="eastAsia" w:ascii="仿宋" w:hAnsi="仿宋" w:eastAsia="仿宋" w:cs="仿宋"/>
          <w:kern w:val="0"/>
          <w:sz w:val="24"/>
          <w:u w:val="single"/>
        </w:rPr>
        <w:t xml:space="preserve">             </w:t>
      </w:r>
    </w:p>
    <w:p>
      <w:pPr>
        <w:pageBreakBefore w:val="0"/>
        <w:widowControl/>
        <w:kinsoku/>
        <w:wordWrap w:val="0"/>
        <w:overflowPunct/>
        <w:topLinePunct w:val="0"/>
        <w:bidi w:val="0"/>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pageBreakBefore w:val="0"/>
        <w:widowControl/>
        <w:kinsoku/>
        <w:wordWrap w:val="0"/>
        <w:overflowPunct/>
        <w:topLinePunct w:val="0"/>
        <w:bidi w:val="0"/>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u w:val="single"/>
        </w:rPr>
        <w:br w:type="page"/>
      </w:r>
    </w:p>
    <w:p>
      <w:pPr>
        <w:pStyle w:val="8"/>
        <w:pageBreakBefore w:val="0"/>
        <w:kinsoku/>
        <w:wordWrap w:val="0"/>
        <w:overflowPunct/>
        <w:topLinePunct w:val="0"/>
        <w:bidi w:val="0"/>
        <w:spacing w:before="0" w:line="240" w:lineRule="atLeast"/>
        <w:ind w:firstLine="723" w:firstLineChars="300"/>
        <w:jc w:val="both"/>
        <w:rPr>
          <w:rFonts w:ascii="仿宋" w:hAnsi="仿宋" w:eastAsia="仿宋" w:cs="仿宋"/>
          <w:b w:val="0"/>
          <w:sz w:val="24"/>
        </w:rPr>
      </w:pPr>
      <w:bookmarkStart w:id="216" w:name="_Toc14769"/>
      <w:bookmarkStart w:id="217" w:name="_Toc518923121"/>
      <w:r>
        <w:rPr>
          <w:rFonts w:hint="eastAsia" w:ascii="仿宋" w:hAnsi="仿宋" w:eastAsia="仿宋" w:cs="仿宋"/>
          <w:sz w:val="24"/>
        </w:rPr>
        <w:t>5-2   监狱企业声明函（投标文件格式八）</w:t>
      </w:r>
      <w:bookmarkEnd w:id="216"/>
      <w:bookmarkEnd w:id="217"/>
    </w:p>
    <w:p>
      <w:pPr>
        <w:pageBreakBefore w:val="0"/>
        <w:kinsoku/>
        <w:wordWrap w:val="0"/>
        <w:overflowPunct/>
        <w:topLinePunct w:val="0"/>
        <w:bidi w:val="0"/>
        <w:spacing w:line="240" w:lineRule="atLeast"/>
        <w:ind w:left="1080" w:leftChars="257" w:hanging="540"/>
        <w:jc w:val="center"/>
        <w:rPr>
          <w:rFonts w:ascii="仿宋" w:hAnsi="仿宋" w:eastAsia="仿宋" w:cs="仿宋"/>
          <w:b/>
          <w:kern w:val="0"/>
          <w:sz w:val="24"/>
          <w:szCs w:val="20"/>
        </w:rPr>
      </w:pP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本企业为______（请填写：中型、小型、微型）企业。</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本企业为</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本单位为</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本企业（单位）提供企业（单位）制造的货物。</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 w:val="24"/>
        </w:rPr>
      </w:pPr>
      <w:r>
        <w:rPr>
          <w:rFonts w:hint="eastAsia" w:ascii="仿宋" w:hAnsi="仿宋" w:eastAsia="仿宋" w:cs="仿宋"/>
          <w:kern w:val="0"/>
          <w:sz w:val="24"/>
        </w:rPr>
        <w:t>本声明函经制造商和投标人共同盖章生效。</w:t>
      </w:r>
    </w:p>
    <w:p>
      <w:pPr>
        <w:pageBreakBefore w:val="0"/>
        <w:widowControl/>
        <w:kinsoku/>
        <w:wordWrap w:val="0"/>
        <w:overflowPunct/>
        <w:topLinePunct w:val="0"/>
        <w:bidi w:val="0"/>
        <w:spacing w:before="100" w:beforeAutospacing="1" w:after="100" w:afterAutospacing="1" w:line="330" w:lineRule="atLeast"/>
        <w:ind w:firstLine="5160" w:firstLineChars="2150"/>
        <w:jc w:val="left"/>
        <w:rPr>
          <w:rFonts w:ascii="仿宋" w:hAnsi="仿宋" w:eastAsia="仿宋" w:cs="仿宋"/>
          <w:kern w:val="0"/>
          <w:sz w:val="24"/>
        </w:rPr>
      </w:pPr>
    </w:p>
    <w:p>
      <w:pPr>
        <w:pageBreakBefore w:val="0"/>
        <w:widowControl/>
        <w:kinsoku/>
        <w:wordWrap w:val="0"/>
        <w:overflowPunct/>
        <w:topLinePunct w:val="0"/>
        <w:bidi w:val="0"/>
        <w:spacing w:before="100" w:beforeAutospacing="1" w:after="100" w:afterAutospacing="1" w:line="330" w:lineRule="atLeast"/>
        <w:ind w:firstLine="5160" w:firstLineChars="2150"/>
        <w:jc w:val="left"/>
        <w:rPr>
          <w:rFonts w:ascii="仿宋" w:hAnsi="仿宋" w:eastAsia="仿宋" w:cs="仿宋"/>
          <w:kern w:val="0"/>
          <w:sz w:val="24"/>
        </w:rPr>
      </w:pPr>
    </w:p>
    <w:p>
      <w:pPr>
        <w:pageBreakBefore w:val="0"/>
        <w:widowControl/>
        <w:kinsoku/>
        <w:wordWrap w:val="0"/>
        <w:overflowPunct/>
        <w:topLinePunct w:val="0"/>
        <w:bidi w:val="0"/>
        <w:spacing w:before="100" w:beforeAutospacing="1" w:after="100" w:afterAutospacing="1" w:line="330" w:lineRule="atLeast"/>
        <w:ind w:firstLine="5160" w:firstLineChars="2150"/>
        <w:jc w:val="left"/>
        <w:rPr>
          <w:rFonts w:ascii="仿宋" w:hAnsi="仿宋" w:eastAsia="仿宋" w:cs="仿宋"/>
          <w:kern w:val="0"/>
          <w:sz w:val="24"/>
        </w:rPr>
      </w:pPr>
    </w:p>
    <w:p>
      <w:pPr>
        <w:pageBreakBefore w:val="0"/>
        <w:widowControl/>
        <w:kinsoku/>
        <w:wordWrap w:val="0"/>
        <w:overflowPunct/>
        <w:topLinePunct w:val="0"/>
        <w:bidi w:val="0"/>
        <w:spacing w:before="100" w:beforeAutospacing="1" w:after="100" w:afterAutospacing="1" w:line="330" w:lineRule="atLeast"/>
        <w:ind w:firstLine="5160" w:firstLineChars="2150"/>
        <w:jc w:val="left"/>
        <w:rPr>
          <w:rFonts w:ascii="仿宋" w:hAnsi="仿宋" w:eastAsia="仿宋" w:cs="仿宋"/>
          <w:kern w:val="0"/>
          <w:sz w:val="24"/>
        </w:rPr>
      </w:pPr>
    </w:p>
    <w:p>
      <w:pPr>
        <w:pageBreakBefore w:val="0"/>
        <w:widowControl/>
        <w:kinsoku/>
        <w:wordWrap w:val="0"/>
        <w:overflowPunct/>
        <w:topLinePunct w:val="0"/>
        <w:bidi w:val="0"/>
        <w:spacing w:before="100" w:beforeAutospacing="1" w:after="100" w:afterAutospacing="1" w:line="330" w:lineRule="atLeast"/>
        <w:ind w:firstLine="3960" w:firstLineChars="1650"/>
        <w:jc w:val="left"/>
        <w:rPr>
          <w:rFonts w:ascii="仿宋" w:hAnsi="仿宋" w:eastAsia="仿宋" w:cs="仿宋"/>
          <w:kern w:val="0"/>
          <w:sz w:val="24"/>
          <w:u w:val="single"/>
        </w:rPr>
      </w:pPr>
      <w:r>
        <w:rPr>
          <w:rFonts w:hint="eastAsia" w:ascii="仿宋" w:hAnsi="仿宋" w:eastAsia="仿宋" w:cs="仿宋"/>
          <w:kern w:val="0"/>
          <w:sz w:val="24"/>
        </w:rPr>
        <w:t>制造商名称（盖单位章）：</w:t>
      </w:r>
      <w:r>
        <w:rPr>
          <w:rFonts w:hint="eastAsia" w:ascii="仿宋" w:hAnsi="仿宋" w:eastAsia="仿宋" w:cs="仿宋"/>
          <w:kern w:val="0"/>
          <w:sz w:val="24"/>
          <w:u w:val="single"/>
        </w:rPr>
        <w:t xml:space="preserve">             </w:t>
      </w:r>
    </w:p>
    <w:p>
      <w:pPr>
        <w:pageBreakBefore w:val="0"/>
        <w:widowControl/>
        <w:kinsoku/>
        <w:wordWrap w:val="0"/>
        <w:overflowPunct/>
        <w:topLinePunct w:val="0"/>
        <w:bidi w:val="0"/>
        <w:spacing w:before="100" w:beforeAutospacing="1" w:after="100" w:afterAutospacing="1" w:line="330" w:lineRule="atLeast"/>
        <w:ind w:firstLine="3960" w:firstLineChars="1650"/>
        <w:jc w:val="left"/>
        <w:rPr>
          <w:rFonts w:ascii="仿宋" w:hAnsi="仿宋" w:eastAsia="仿宋" w:cs="仿宋"/>
          <w:kern w:val="0"/>
          <w:sz w:val="24"/>
        </w:rPr>
      </w:pPr>
      <w:r>
        <w:rPr>
          <w:rFonts w:hint="eastAsia" w:ascii="仿宋" w:hAnsi="仿宋" w:eastAsia="仿宋" w:cs="仿宋"/>
          <w:kern w:val="0"/>
          <w:sz w:val="24"/>
        </w:rPr>
        <w:t>投标人名称（盖单位章）：</w:t>
      </w:r>
      <w:r>
        <w:rPr>
          <w:rFonts w:hint="eastAsia" w:ascii="仿宋" w:hAnsi="仿宋" w:eastAsia="仿宋" w:cs="仿宋"/>
          <w:kern w:val="0"/>
          <w:sz w:val="24"/>
          <w:u w:val="single"/>
        </w:rPr>
        <w:t xml:space="preserve">             </w:t>
      </w:r>
    </w:p>
    <w:p>
      <w:pPr>
        <w:pageBreakBefore w:val="0"/>
        <w:widowControl/>
        <w:kinsoku/>
        <w:wordWrap w:val="0"/>
        <w:overflowPunct/>
        <w:topLinePunct w:val="0"/>
        <w:bidi w:val="0"/>
        <w:spacing w:before="100" w:beforeAutospacing="1" w:after="100" w:afterAutospacing="1" w:line="330" w:lineRule="atLeast"/>
        <w:ind w:firstLine="3720" w:firstLineChars="1550"/>
        <w:jc w:val="left"/>
        <w:rPr>
          <w:rFonts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pageBreakBefore w:val="0"/>
        <w:widowControl/>
        <w:kinsoku/>
        <w:wordWrap w:val="0"/>
        <w:overflowPunct/>
        <w:topLinePunct w:val="0"/>
        <w:bidi w:val="0"/>
        <w:spacing w:before="100" w:beforeAutospacing="1" w:after="100" w:afterAutospacing="1" w:line="330" w:lineRule="atLeast"/>
        <w:ind w:firstLine="420"/>
        <w:jc w:val="left"/>
        <w:rPr>
          <w:rFonts w:ascii="仿宋" w:hAnsi="仿宋" w:eastAsia="仿宋" w:cs="仿宋"/>
          <w:kern w:val="0"/>
          <w:szCs w:val="21"/>
        </w:rPr>
      </w:pPr>
    </w:p>
    <w:p>
      <w:pPr>
        <w:pageBreakBefore w:val="0"/>
        <w:widowControl/>
        <w:kinsoku/>
        <w:wordWrap w:val="0"/>
        <w:overflowPunct/>
        <w:topLinePunct w:val="0"/>
        <w:bidi w:val="0"/>
        <w:spacing w:before="100" w:beforeAutospacing="1" w:after="100" w:afterAutospacing="1" w:line="330" w:lineRule="atLeast"/>
        <w:ind w:firstLine="630" w:firstLineChars="300"/>
        <w:jc w:val="left"/>
        <w:rPr>
          <w:rFonts w:ascii="仿宋" w:hAnsi="仿宋" w:eastAsia="仿宋" w:cs="仿宋"/>
        </w:rPr>
      </w:pPr>
    </w:p>
    <w:p>
      <w:pPr>
        <w:pageBreakBefore w:val="0"/>
        <w:widowControl/>
        <w:kinsoku/>
        <w:wordWrap w:val="0"/>
        <w:overflowPunct/>
        <w:topLinePunct w:val="0"/>
        <w:bidi w:val="0"/>
        <w:spacing w:before="100" w:beforeAutospacing="1" w:after="100" w:afterAutospacing="1" w:line="330" w:lineRule="atLeast"/>
        <w:jc w:val="left"/>
        <w:rPr>
          <w:rFonts w:ascii="仿宋" w:hAnsi="仿宋" w:eastAsia="仿宋" w:cs="仿宋"/>
        </w:rPr>
      </w:pPr>
    </w:p>
    <w:p>
      <w:pPr>
        <w:pStyle w:val="15"/>
        <w:pageBreakBefore w:val="0"/>
        <w:kinsoku/>
        <w:wordWrap w:val="0"/>
        <w:overflowPunct/>
        <w:topLinePunct w:val="0"/>
        <w:bidi w:val="0"/>
        <w:ind w:left="311" w:leftChars="148" w:firstLine="228"/>
        <w:rPr>
          <w:rFonts w:ascii="仿宋" w:hAnsi="仿宋" w:eastAsia="仿宋" w:cs="仿宋"/>
          <w:b/>
          <w:bCs/>
          <w:kern w:val="0"/>
          <w:sz w:val="24"/>
        </w:rPr>
      </w:pPr>
      <w:bookmarkStart w:id="218" w:name="_Toc27742"/>
      <w:bookmarkStart w:id="219" w:name="_Toc515647825"/>
      <w:bookmarkStart w:id="220" w:name="_Toc23068"/>
      <w:bookmarkStart w:id="221" w:name="_Toc19284"/>
      <w:bookmarkStart w:id="222" w:name="OLE_LINK14"/>
      <w:bookmarkStart w:id="223" w:name="OLE_LINK13"/>
      <w:bookmarkStart w:id="224" w:name="_Toc518923122"/>
      <w:bookmarkStart w:id="225" w:name="_Toc6238"/>
    </w:p>
    <w:p>
      <w:pPr>
        <w:pStyle w:val="15"/>
        <w:pageBreakBefore w:val="0"/>
        <w:kinsoku/>
        <w:wordWrap w:val="0"/>
        <w:overflowPunct/>
        <w:topLinePunct w:val="0"/>
        <w:bidi w:val="0"/>
        <w:ind w:left="311" w:leftChars="148" w:firstLine="228"/>
        <w:rPr>
          <w:rFonts w:ascii="仿宋" w:hAnsi="仿宋" w:eastAsia="仿宋" w:cs="仿宋"/>
          <w:b/>
          <w:bCs/>
          <w:kern w:val="0"/>
          <w:sz w:val="24"/>
        </w:rPr>
      </w:pPr>
      <w:r>
        <w:rPr>
          <w:rFonts w:hint="eastAsia" w:ascii="仿宋" w:hAnsi="仿宋" w:eastAsia="仿宋" w:cs="仿宋"/>
          <w:b/>
          <w:bCs/>
          <w:kern w:val="0"/>
          <w:sz w:val="24"/>
        </w:rPr>
        <w:t>5-3   残疾人福利性单位声明函</w:t>
      </w:r>
      <w:bookmarkEnd w:id="218"/>
      <w:bookmarkEnd w:id="219"/>
      <w:bookmarkEnd w:id="220"/>
      <w:bookmarkEnd w:id="221"/>
      <w:r>
        <w:rPr>
          <w:rFonts w:hint="eastAsia" w:ascii="仿宋" w:hAnsi="仿宋" w:eastAsia="仿宋" w:cs="仿宋"/>
          <w:b/>
          <w:bCs/>
          <w:kern w:val="0"/>
          <w:sz w:val="24"/>
        </w:rPr>
        <w:t>（投标文件格式九）</w:t>
      </w:r>
    </w:p>
    <w:p>
      <w:pPr>
        <w:pageBreakBefore w:val="0"/>
        <w:kinsoku/>
        <w:wordWrap w:val="0"/>
        <w:overflowPunct/>
        <w:topLinePunct w:val="0"/>
        <w:bidi w:val="0"/>
      </w:pPr>
    </w:p>
    <w:bookmarkEnd w:id="222"/>
    <w:bookmarkEnd w:id="223"/>
    <w:p>
      <w:pPr>
        <w:pageBreakBefore w:val="0"/>
        <w:kinsoku/>
        <w:wordWrap w:val="0"/>
        <w:overflowPunct/>
        <w:topLinePunct w:val="0"/>
        <w:bidi w:val="0"/>
        <w:spacing w:line="240" w:lineRule="atLeast"/>
        <w:ind w:left="1080" w:leftChars="257" w:hanging="540"/>
        <w:jc w:val="center"/>
        <w:rPr>
          <w:rFonts w:ascii="仿宋_GB2312" w:hAnsi="Arial" w:eastAsia="仿宋_GB2312"/>
          <w:kern w:val="0"/>
          <w:sz w:val="24"/>
          <w:szCs w:val="20"/>
        </w:rPr>
      </w:pPr>
    </w:p>
    <w:p>
      <w:pPr>
        <w:pageBreakBefore w:val="0"/>
        <w:kinsoku/>
        <w:wordWrap w:val="0"/>
        <w:overflowPunct/>
        <w:topLinePunct w:val="0"/>
        <w:bidi w:val="0"/>
        <w:spacing w:line="240" w:lineRule="atLeast"/>
        <w:ind w:firstLine="567"/>
        <w:rPr>
          <w:rFonts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singl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singl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pageBreakBefore w:val="0"/>
        <w:kinsoku/>
        <w:wordWrap w:val="0"/>
        <w:overflowPunct/>
        <w:topLinePunct w:val="0"/>
        <w:bidi w:val="0"/>
        <w:spacing w:line="240" w:lineRule="atLeast"/>
        <w:ind w:left="1080" w:leftChars="257" w:hanging="540"/>
        <w:rPr>
          <w:rFonts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pageBreakBefore w:val="0"/>
        <w:kinsoku/>
        <w:wordWrap w:val="0"/>
        <w:overflowPunct/>
        <w:topLinePunct w:val="0"/>
        <w:bidi w:val="0"/>
        <w:spacing w:line="240" w:lineRule="atLeast"/>
        <w:ind w:left="1080" w:leftChars="257" w:hanging="540"/>
        <w:jc w:val="center"/>
        <w:rPr>
          <w:rFonts w:ascii="仿宋" w:hAnsi="仿宋" w:eastAsia="仿宋" w:cs="仿宋"/>
          <w:kern w:val="0"/>
          <w:sz w:val="24"/>
          <w:szCs w:val="20"/>
        </w:rPr>
      </w:pPr>
    </w:p>
    <w:p>
      <w:pPr>
        <w:pageBreakBefore w:val="0"/>
        <w:kinsoku/>
        <w:wordWrap w:val="0"/>
        <w:overflowPunct/>
        <w:topLinePunct w:val="0"/>
        <w:bidi w:val="0"/>
        <w:spacing w:line="240" w:lineRule="atLeast"/>
        <w:ind w:left="1080" w:leftChars="257" w:hanging="540"/>
        <w:jc w:val="center"/>
        <w:rPr>
          <w:rFonts w:ascii="仿宋" w:hAnsi="仿宋" w:eastAsia="仿宋" w:cs="仿宋"/>
          <w:kern w:val="0"/>
          <w:sz w:val="24"/>
          <w:szCs w:val="20"/>
        </w:rPr>
      </w:pPr>
    </w:p>
    <w:p>
      <w:pPr>
        <w:pageBreakBefore w:val="0"/>
        <w:kinsoku/>
        <w:wordWrap w:val="0"/>
        <w:overflowPunct/>
        <w:topLinePunct w:val="0"/>
        <w:bidi w:val="0"/>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pageBreakBefore w:val="0"/>
        <w:kinsoku/>
        <w:wordWrap w:val="0"/>
        <w:overflowPunct/>
        <w:topLinePunct w:val="0"/>
        <w:bidi w:val="0"/>
        <w:spacing w:line="240" w:lineRule="atLeast"/>
        <w:ind w:left="1080" w:leftChars="257" w:hanging="540"/>
        <w:jc w:val="center"/>
        <w:rPr>
          <w:rFonts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期：_____________________________________________</w:t>
      </w:r>
    </w:p>
    <w:p>
      <w:pPr>
        <w:pStyle w:val="11"/>
        <w:pageBreakBefore w:val="0"/>
        <w:kinsoku/>
        <w:wordWrap w:val="0"/>
        <w:overflowPunct/>
        <w:topLinePunct w:val="0"/>
        <w:bidi w:val="0"/>
        <w:ind w:firstLine="964" w:firstLineChars="400"/>
        <w:rPr>
          <w:rFonts w:ascii="仿宋" w:hAnsi="仿宋" w:eastAsia="仿宋" w:cs="仿宋"/>
          <w:b/>
          <w:bCs/>
        </w:rPr>
      </w:pPr>
    </w:p>
    <w:p>
      <w:pPr>
        <w:pStyle w:val="11"/>
        <w:pageBreakBefore w:val="0"/>
        <w:kinsoku/>
        <w:wordWrap w:val="0"/>
        <w:overflowPunct/>
        <w:topLinePunct w:val="0"/>
        <w:bidi w:val="0"/>
        <w:ind w:firstLine="964" w:firstLineChars="400"/>
        <w:rPr>
          <w:rFonts w:ascii="仿宋" w:hAnsi="仿宋" w:eastAsia="仿宋" w:cs="仿宋"/>
          <w:b/>
          <w:bCs/>
        </w:rPr>
      </w:pPr>
    </w:p>
    <w:p>
      <w:pPr>
        <w:pStyle w:val="11"/>
        <w:pageBreakBefore w:val="0"/>
        <w:kinsoku/>
        <w:wordWrap w:val="0"/>
        <w:overflowPunct/>
        <w:topLinePunct w:val="0"/>
        <w:bidi w:val="0"/>
        <w:ind w:firstLine="723" w:firstLineChars="300"/>
        <w:rPr>
          <w:rFonts w:ascii="仿宋" w:hAnsi="仿宋" w:eastAsia="仿宋" w:cs="仿宋"/>
          <w:b/>
          <w:bCs/>
        </w:rPr>
      </w:pPr>
      <w:r>
        <w:rPr>
          <w:rFonts w:hint="eastAsia" w:ascii="仿宋" w:hAnsi="仿宋" w:eastAsia="仿宋" w:cs="仿宋"/>
          <w:b/>
          <w:bCs/>
        </w:rPr>
        <w:t>7   投标人关联单位的说明</w:t>
      </w:r>
      <w:bookmarkEnd w:id="224"/>
      <w:bookmarkEnd w:id="225"/>
    </w:p>
    <w:p>
      <w:pPr>
        <w:pStyle w:val="11"/>
        <w:pageBreakBefore w:val="0"/>
        <w:kinsoku/>
        <w:wordWrap w:val="0"/>
        <w:overflowPunct/>
        <w:topLinePunct w:val="0"/>
        <w:bidi w:val="0"/>
        <w:ind w:firstLine="480" w:firstLineChars="200"/>
        <w:rPr>
          <w:rFonts w:ascii="仿宋" w:hAnsi="仿宋" w:eastAsia="仿宋" w:cs="仿宋"/>
        </w:rPr>
      </w:pPr>
    </w:p>
    <w:p>
      <w:pPr>
        <w:pStyle w:val="11"/>
        <w:pageBreakBefore w:val="0"/>
        <w:kinsoku/>
        <w:wordWrap w:val="0"/>
        <w:overflowPunct/>
        <w:topLinePunct w:val="0"/>
        <w:bidi w:val="0"/>
        <w:ind w:firstLine="480" w:firstLineChars="200"/>
        <w:rPr>
          <w:rFonts w:ascii="仿宋" w:hAnsi="仿宋" w:eastAsia="仿宋" w:cs="仿宋"/>
        </w:rPr>
      </w:pPr>
    </w:p>
    <w:p>
      <w:pPr>
        <w:pStyle w:val="11"/>
        <w:pageBreakBefore w:val="0"/>
        <w:kinsoku/>
        <w:wordWrap w:val="0"/>
        <w:overflowPunct/>
        <w:topLinePunct w:val="0"/>
        <w:bidi w:val="0"/>
        <w:ind w:firstLine="480" w:firstLineChars="200"/>
        <w:rPr>
          <w:rFonts w:ascii="仿宋" w:hAnsi="仿宋" w:eastAsia="仿宋" w:cs="仿宋"/>
        </w:rPr>
      </w:pPr>
      <w:r>
        <w:rPr>
          <w:rFonts w:hint="eastAsia" w:ascii="仿宋" w:hAnsi="仿宋" w:eastAsia="仿宋" w:cs="仿宋"/>
        </w:rPr>
        <w:t>说明：投标人应当如实披露与本单位存在下列关联关系的单位名称：</w:t>
      </w:r>
    </w:p>
    <w:p>
      <w:pPr>
        <w:pStyle w:val="11"/>
        <w:pageBreakBefore w:val="0"/>
        <w:kinsoku/>
        <w:wordWrap w:val="0"/>
        <w:overflowPunct/>
        <w:topLinePunct w:val="0"/>
        <w:bidi w:val="0"/>
        <w:ind w:firstLine="480" w:firstLineChars="200"/>
        <w:rPr>
          <w:rFonts w:ascii="仿宋" w:hAnsi="仿宋" w:eastAsia="仿宋" w:cs="仿宋"/>
        </w:rPr>
      </w:pPr>
      <w:r>
        <w:rPr>
          <w:rFonts w:hint="eastAsia" w:ascii="仿宋" w:hAnsi="仿宋" w:eastAsia="仿宋" w:cs="仿宋"/>
        </w:rPr>
        <w:t>（1）与投标人单位负责人为同一人的其他单位；</w:t>
      </w:r>
      <w:r>
        <w:rPr>
          <w:rFonts w:hint="eastAsia" w:ascii="仿宋" w:hAnsi="仿宋" w:eastAsia="仿宋" w:cs="仿宋"/>
        </w:rPr>
        <w:br w:type="textWrapping"/>
      </w:r>
      <w:r>
        <w:rPr>
          <w:rFonts w:hint="eastAsia" w:ascii="仿宋" w:hAnsi="仿宋" w:eastAsia="仿宋" w:cs="仿宋"/>
        </w:rPr>
        <w:t xml:space="preserve">    （2）与投标人存在直接控股、管理关系的其他单位。</w:t>
      </w:r>
    </w:p>
    <w:p>
      <w:pPr>
        <w:pStyle w:val="11"/>
        <w:pageBreakBefore w:val="0"/>
        <w:kinsoku/>
        <w:wordWrap w:val="0"/>
        <w:overflowPunct/>
        <w:topLinePunct w:val="0"/>
        <w:bidi w:val="0"/>
        <w:jc w:val="center"/>
        <w:rPr>
          <w:rFonts w:ascii="仿宋" w:hAnsi="仿宋" w:eastAsia="仿宋" w:cs="仿宋"/>
        </w:rPr>
      </w:pPr>
    </w:p>
    <w:p>
      <w:pPr>
        <w:pStyle w:val="11"/>
        <w:pageBreakBefore w:val="0"/>
        <w:kinsoku/>
        <w:wordWrap w:val="0"/>
        <w:overflowPunct/>
        <w:topLinePunct w:val="0"/>
        <w:bidi w:val="0"/>
        <w:ind w:firstLine="723" w:firstLineChars="300"/>
        <w:rPr>
          <w:rFonts w:ascii="仿宋" w:hAnsi="仿宋" w:eastAsia="仿宋" w:cs="仿宋"/>
          <w:b/>
          <w:bCs/>
        </w:rPr>
      </w:pPr>
      <w:bookmarkStart w:id="226" w:name="_Toc17066"/>
      <w:bookmarkStart w:id="227" w:name="_Toc518923123"/>
      <w:r>
        <w:rPr>
          <w:rFonts w:hint="eastAsia" w:ascii="仿宋" w:hAnsi="仿宋" w:eastAsia="仿宋" w:cs="仿宋"/>
          <w:b/>
          <w:bCs/>
        </w:rPr>
        <w:t>8   投标文件还应包括投标人须知第10条的所有</w:t>
      </w:r>
      <w:bookmarkEnd w:id="226"/>
      <w:bookmarkEnd w:id="227"/>
      <w:r>
        <w:rPr>
          <w:rFonts w:hint="eastAsia" w:ascii="仿宋" w:hAnsi="仿宋" w:eastAsia="仿宋" w:cs="仿宋"/>
          <w:b/>
          <w:bCs/>
        </w:rPr>
        <w:t>投标文件</w:t>
      </w:r>
    </w:p>
    <w:p>
      <w:pPr>
        <w:pStyle w:val="20"/>
        <w:pageBreakBefore w:val="0"/>
        <w:numPr>
          <w:ilvl w:val="0"/>
          <w:numId w:val="8"/>
        </w:numPr>
        <w:tabs>
          <w:tab w:val="center" w:pos="4140"/>
          <w:tab w:val="right" w:pos="8300"/>
          <w:tab w:val="clear" w:pos="4153"/>
          <w:tab w:val="clear" w:pos="8306"/>
        </w:tabs>
        <w:kinsoku/>
        <w:wordWrap w:val="0"/>
        <w:overflowPunct/>
        <w:topLinePunct w:val="0"/>
        <w:bidi w:val="0"/>
        <w:spacing w:line="440" w:lineRule="exact"/>
        <w:jc w:val="center"/>
        <w:outlineLvl w:val="0"/>
        <w:rPr>
          <w:rFonts w:ascii="仿宋" w:hAnsi="仿宋" w:eastAsia="仿宋" w:cs="仿宋"/>
          <w:b/>
          <w:sz w:val="24"/>
        </w:rPr>
      </w:pPr>
      <w:r>
        <w:rPr>
          <w:rFonts w:hint="eastAsia" w:ascii="仿宋" w:hAnsi="仿宋" w:eastAsia="仿宋" w:cs="仿宋"/>
          <w:b/>
          <w:bCs/>
        </w:rPr>
        <w:br w:type="page"/>
      </w:r>
      <w:r>
        <w:rPr>
          <w:rFonts w:hint="eastAsia" w:ascii="仿宋" w:hAnsi="仿宋" w:eastAsia="仿宋" w:cs="仿宋"/>
          <w:b/>
          <w:sz w:val="24"/>
        </w:rPr>
        <w:t xml:space="preserve"> 技术投标方案</w:t>
      </w:r>
    </w:p>
    <w:p>
      <w:pPr>
        <w:pStyle w:val="20"/>
        <w:pageBreakBefore w:val="0"/>
        <w:tabs>
          <w:tab w:val="center" w:pos="4140"/>
          <w:tab w:val="right" w:pos="8300"/>
          <w:tab w:val="clear" w:pos="4153"/>
          <w:tab w:val="clear" w:pos="8306"/>
        </w:tabs>
        <w:kinsoku/>
        <w:wordWrap w:val="0"/>
        <w:overflowPunct/>
        <w:topLinePunct w:val="0"/>
        <w:bidi w:val="0"/>
        <w:spacing w:line="440" w:lineRule="exact"/>
        <w:ind w:firstLine="480" w:firstLineChars="200"/>
        <w:jc w:val="both"/>
        <w:rPr>
          <w:rFonts w:ascii="仿宋" w:hAnsi="仿宋" w:eastAsia="仿宋" w:cs="仿宋"/>
          <w:sz w:val="24"/>
          <w:lang w:val="zh-CN"/>
        </w:rPr>
      </w:pPr>
      <w:bookmarkStart w:id="228" w:name="_Toc375218897"/>
      <w:r>
        <w:rPr>
          <w:rFonts w:hint="eastAsia" w:ascii="仿宋" w:hAnsi="仿宋" w:eastAsia="仿宋" w:cs="仿宋"/>
          <w:sz w:val="24"/>
          <w:lang w:val="zh-CN"/>
        </w:rPr>
        <w:t>投标人应根据招标文件的要求，参照项目的具体情况及评分标准</w:t>
      </w:r>
      <w:bookmarkStart w:id="229" w:name="_Toc375218899"/>
      <w:r>
        <w:rPr>
          <w:rFonts w:hint="eastAsia" w:ascii="仿宋" w:hAnsi="仿宋" w:eastAsia="仿宋" w:cs="仿宋"/>
          <w:sz w:val="24"/>
          <w:lang w:val="zh-CN"/>
        </w:rPr>
        <w:t>技术</w:t>
      </w:r>
      <w:r>
        <w:rPr>
          <w:rFonts w:hint="eastAsia" w:ascii="仿宋" w:hAnsi="仿宋" w:eastAsia="仿宋" w:cs="仿宋"/>
          <w:sz w:val="24"/>
        </w:rPr>
        <w:t>表</w:t>
      </w:r>
      <w:r>
        <w:rPr>
          <w:rFonts w:hint="eastAsia" w:ascii="仿宋" w:hAnsi="仿宋" w:eastAsia="仿宋" w:cs="仿宋"/>
          <w:sz w:val="24"/>
          <w:lang w:val="zh-CN"/>
        </w:rPr>
        <w:t>内容</w:t>
      </w:r>
      <w:r>
        <w:rPr>
          <w:rFonts w:hint="eastAsia" w:ascii="仿宋" w:hAnsi="仿宋" w:eastAsia="仿宋" w:cs="仿宋"/>
          <w:sz w:val="24"/>
        </w:rPr>
        <w:t>编制技术投标方案</w:t>
      </w:r>
      <w:r>
        <w:rPr>
          <w:rFonts w:hint="eastAsia" w:ascii="仿宋" w:hAnsi="仿宋" w:eastAsia="仿宋" w:cs="仿宋"/>
          <w:sz w:val="24"/>
          <w:lang w:val="zh-CN"/>
        </w:rPr>
        <w:t>。</w:t>
      </w:r>
      <w:bookmarkEnd w:id="228"/>
      <w:bookmarkEnd w:id="229"/>
    </w:p>
    <w:p>
      <w:pPr>
        <w:pStyle w:val="20"/>
        <w:pageBreakBefore w:val="0"/>
        <w:tabs>
          <w:tab w:val="center" w:pos="4140"/>
          <w:tab w:val="right" w:pos="8300"/>
          <w:tab w:val="clear" w:pos="4153"/>
          <w:tab w:val="clear" w:pos="8306"/>
        </w:tabs>
        <w:kinsoku/>
        <w:wordWrap w:val="0"/>
        <w:overflowPunct/>
        <w:topLinePunct w:val="0"/>
        <w:bidi w:val="0"/>
        <w:spacing w:line="440" w:lineRule="exact"/>
        <w:ind w:firstLine="480" w:firstLineChars="200"/>
        <w:jc w:val="both"/>
        <w:rPr>
          <w:rFonts w:ascii="仿宋" w:hAnsi="仿宋" w:eastAsia="仿宋" w:cs="仿宋"/>
          <w:sz w:val="24"/>
        </w:rPr>
      </w:pPr>
      <w:r>
        <w:rPr>
          <w:rFonts w:hint="eastAsia" w:ascii="仿宋" w:hAnsi="仿宋" w:eastAsia="仿宋" w:cs="仿宋"/>
          <w:sz w:val="24"/>
        </w:rPr>
        <w:t>标项一：技术投标方案将从与招标文件的响应性，</w:t>
      </w:r>
      <w:r>
        <w:rPr>
          <w:rFonts w:hint="eastAsia" w:ascii="仿宋" w:hAnsi="仿宋" w:eastAsia="仿宋" w:cs="仿宋"/>
          <w:sz w:val="24"/>
          <w:lang w:val="zh-CN"/>
        </w:rPr>
        <w:t>将从与招标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sz w:val="24"/>
        </w:rPr>
        <w:t>投入本项目的主要设备和仪器等方面评审。</w:t>
      </w:r>
    </w:p>
    <w:p>
      <w:pPr>
        <w:pStyle w:val="20"/>
        <w:pageBreakBefore w:val="0"/>
        <w:tabs>
          <w:tab w:val="center" w:pos="4140"/>
          <w:tab w:val="right" w:pos="8300"/>
          <w:tab w:val="clear" w:pos="4153"/>
          <w:tab w:val="clear" w:pos="8306"/>
        </w:tabs>
        <w:kinsoku/>
        <w:wordWrap w:val="0"/>
        <w:overflowPunct/>
        <w:topLinePunct w:val="0"/>
        <w:bidi w:val="0"/>
        <w:spacing w:line="440" w:lineRule="exact"/>
        <w:ind w:firstLine="480" w:firstLineChars="200"/>
        <w:jc w:val="both"/>
        <w:rPr>
          <w:rFonts w:ascii="仿宋" w:hAnsi="仿宋" w:eastAsia="仿宋" w:cs="仿宋"/>
          <w:sz w:val="24"/>
        </w:rPr>
      </w:pPr>
      <w:r>
        <w:rPr>
          <w:rFonts w:hint="eastAsia" w:ascii="仿宋" w:hAnsi="仿宋" w:eastAsia="仿宋" w:cs="仿宋"/>
          <w:sz w:val="24"/>
        </w:rPr>
        <w:t>标项二：</w:t>
      </w:r>
      <w:r>
        <w:rPr>
          <w:rFonts w:hint="eastAsia" w:ascii="仿宋" w:hAnsi="仿宋" w:eastAsia="仿宋" w:cs="仿宋"/>
          <w:sz w:val="24"/>
          <w:lang w:val="zh-CN"/>
        </w:rPr>
        <w:t>技术投标方案将将从与招标文件的响应性，监理工作范围、内容、目标及依据，监理机构和组织形式，监理工作程序的合理性，技术要求的可行性，监理工作方法、措施和制度，工程质量控制方法及措施，预期成果等方面进行评审。</w:t>
      </w:r>
    </w:p>
    <w:p>
      <w:pPr>
        <w:pageBreakBefore w:val="0"/>
        <w:shd w:val="clear" w:color="auto" w:fill="FFFFFF"/>
        <w:kinsoku/>
        <w:wordWrap w:val="0"/>
        <w:overflowPunct/>
        <w:topLinePunct w:val="0"/>
        <w:bidi w:val="0"/>
        <w:spacing w:line="400" w:lineRule="exact"/>
        <w:ind w:firstLine="484" w:firstLineChars="202"/>
        <w:rPr>
          <w:rFonts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rPr>
        <w:t>编制目录</w:t>
      </w:r>
      <w:r>
        <w:rPr>
          <w:rFonts w:hint="eastAsia" w:ascii="仿宋" w:hAnsi="仿宋" w:eastAsia="仿宋" w:cs="仿宋"/>
          <w:sz w:val="24"/>
          <w:lang w:val="zh-CN"/>
        </w:rPr>
        <w:t>，并在目录中注明每项内容的页码。</w:t>
      </w:r>
    </w:p>
    <w:p>
      <w:pPr>
        <w:pageBreakBefore w:val="0"/>
        <w:kinsoku/>
        <w:wordWrap w:val="0"/>
        <w:overflowPunct/>
        <w:topLinePunct w:val="0"/>
        <w:bidi w:val="0"/>
        <w:rPr>
          <w:rFonts w:ascii="仿宋" w:hAnsi="仿宋" w:eastAsia="仿宋" w:cs="仿宋"/>
          <w:sz w:val="24"/>
          <w:lang w:val="zh-CN"/>
        </w:rPr>
      </w:pPr>
      <w:r>
        <w:rPr>
          <w:rFonts w:hint="eastAsia" w:ascii="仿宋" w:hAnsi="仿宋" w:eastAsia="仿宋" w:cs="仿宋"/>
          <w:sz w:val="24"/>
          <w:lang w:val="zh-CN"/>
        </w:rPr>
        <w:br w:type="page"/>
      </w:r>
    </w:p>
    <w:p>
      <w:pPr>
        <w:pStyle w:val="2"/>
        <w:pageBreakBefore w:val="0"/>
        <w:numPr>
          <w:ilvl w:val="0"/>
          <w:numId w:val="8"/>
        </w:numPr>
        <w:kinsoku/>
        <w:wordWrap w:val="0"/>
        <w:overflowPunct/>
        <w:topLinePunct w:val="0"/>
        <w:bidi w:val="0"/>
        <w:ind w:firstLine="0" w:firstLineChars="0"/>
        <w:jc w:val="center"/>
        <w:outlineLvl w:val="0"/>
        <w:rPr>
          <w:rFonts w:ascii="仿宋" w:hAnsi="仿宋" w:eastAsia="仿宋" w:cs="仿宋"/>
          <w:b/>
          <w:kern w:val="0"/>
          <w:szCs w:val="20"/>
        </w:rPr>
      </w:pPr>
      <w:r>
        <w:rPr>
          <w:rFonts w:hint="eastAsia" w:ascii="仿宋" w:hAnsi="仿宋" w:eastAsia="仿宋" w:cs="仿宋"/>
          <w:b/>
          <w:kern w:val="0"/>
          <w:szCs w:val="20"/>
        </w:rPr>
        <w:t xml:space="preserve"> 其他</w:t>
      </w:r>
    </w:p>
    <w:p>
      <w:pPr>
        <w:pageBreakBefore w:val="0"/>
        <w:kinsoku/>
        <w:wordWrap w:val="0"/>
        <w:overflowPunct/>
        <w:topLinePunct w:val="0"/>
        <w:bidi w:val="0"/>
        <w:spacing w:line="240" w:lineRule="atLeast"/>
        <w:rPr>
          <w:rFonts w:ascii="仿宋" w:hAnsi="仿宋" w:eastAsia="仿宋" w:cs="仿宋"/>
          <w:kern w:val="0"/>
          <w:sz w:val="24"/>
          <w:szCs w:val="20"/>
        </w:rPr>
      </w:pPr>
      <w:r>
        <w:rPr>
          <w:rFonts w:hint="eastAsia" w:ascii="仿宋" w:hAnsi="仿宋" w:eastAsia="仿宋" w:cs="仿宋"/>
          <w:kern w:val="0"/>
          <w:sz w:val="24"/>
          <w:szCs w:val="20"/>
        </w:rPr>
        <w:t>一、选用的预算标准</w:t>
      </w:r>
    </w:p>
    <w:p>
      <w:pPr>
        <w:pageBreakBefore w:val="0"/>
        <w:kinsoku/>
        <w:wordWrap w:val="0"/>
        <w:overflowPunct/>
        <w:topLinePunct w:val="0"/>
        <w:bidi w:val="0"/>
        <w:spacing w:line="240" w:lineRule="atLeast"/>
        <w:rPr>
          <w:rFonts w:ascii="仿宋" w:hAnsi="仿宋" w:eastAsia="仿宋" w:cs="仿宋"/>
          <w:kern w:val="0"/>
          <w:sz w:val="24"/>
          <w:szCs w:val="20"/>
        </w:rPr>
      </w:pPr>
      <w:r>
        <w:rPr>
          <w:rFonts w:hint="eastAsia" w:ascii="仿宋" w:hAnsi="仿宋" w:eastAsia="仿宋" w:cs="仿宋"/>
          <w:kern w:val="0"/>
          <w:sz w:val="24"/>
          <w:szCs w:val="20"/>
        </w:rPr>
        <w:t>标项一：项目价格预算参照《土地开发整理项目预算定额标准》（财综〔2011〕128号）执行；该《标准》未涉及的内容，可参照其他相关标准执行。</w:t>
      </w:r>
    </w:p>
    <w:p>
      <w:pPr>
        <w:pageBreakBefore w:val="0"/>
        <w:kinsoku/>
        <w:wordWrap w:val="0"/>
        <w:overflowPunct/>
        <w:topLinePunct w:val="0"/>
        <w:bidi w:val="0"/>
        <w:spacing w:line="240" w:lineRule="atLeast"/>
        <w:rPr>
          <w:rFonts w:ascii="仿宋" w:hAnsi="仿宋" w:eastAsia="仿宋" w:cs="仿宋"/>
          <w:kern w:val="0"/>
          <w:sz w:val="24"/>
          <w:szCs w:val="20"/>
        </w:rPr>
      </w:pPr>
      <w:r>
        <w:rPr>
          <w:rFonts w:hint="eastAsia" w:ascii="仿宋" w:hAnsi="仿宋" w:eastAsia="仿宋" w:cs="仿宋"/>
          <w:kern w:val="0"/>
          <w:sz w:val="24"/>
          <w:szCs w:val="20"/>
        </w:rPr>
        <w:t>二、付款方式为直接付款，付款进度如下：</w:t>
      </w:r>
    </w:p>
    <w:p>
      <w:pPr>
        <w:pageBreakBefore w:val="0"/>
        <w:kinsoku/>
        <w:wordWrap w:val="0"/>
        <w:overflowPunct/>
        <w:topLinePunct w:val="0"/>
        <w:bidi w:val="0"/>
        <w:spacing w:line="240" w:lineRule="atLeast"/>
        <w:ind w:firstLine="482" w:firstLineChars="200"/>
        <w:rPr>
          <w:rFonts w:ascii="仿宋" w:hAnsi="仿宋" w:eastAsia="仿宋" w:cs="仿宋"/>
          <w:kern w:val="0"/>
          <w:sz w:val="24"/>
          <w:szCs w:val="20"/>
          <w:lang w:val="zh-CN"/>
        </w:rPr>
      </w:pPr>
      <w:r>
        <w:rPr>
          <w:rFonts w:hint="eastAsia" w:ascii="仿宋" w:hAnsi="仿宋" w:eastAsia="仿宋" w:cs="仿宋"/>
          <w:b/>
          <w:bCs/>
          <w:kern w:val="0"/>
          <w:sz w:val="24"/>
          <w:szCs w:val="20"/>
          <w:lang w:val="zh-CN"/>
        </w:rPr>
        <w:t>甲方根据认定的项目预算和工作任务，按伊吾县财政部门的拨款进度向乙方分批拨付项目进度款。</w:t>
      </w:r>
    </w:p>
    <w:p>
      <w:pPr>
        <w:pageBreakBefore w:val="0"/>
        <w:kinsoku/>
        <w:wordWrap w:val="0"/>
        <w:overflowPunct/>
        <w:topLinePunct w:val="0"/>
        <w:bidi w:val="0"/>
        <w:rPr>
          <w:rFonts w:ascii="仿宋" w:hAnsi="仿宋" w:eastAsia="仿宋" w:cs="仿宋"/>
          <w:sz w:val="24"/>
          <w:lang w:val="zh-CN"/>
        </w:rPr>
      </w:pPr>
      <w:r>
        <w:rPr>
          <w:rFonts w:hint="eastAsia" w:ascii="仿宋" w:hAnsi="仿宋" w:eastAsia="仿宋" w:cs="仿宋"/>
          <w:sz w:val="24"/>
          <w:lang w:val="zh-CN"/>
        </w:rPr>
        <w:br w:type="page"/>
      </w:r>
    </w:p>
    <w:p>
      <w:pPr>
        <w:pStyle w:val="5"/>
        <w:pageBreakBefore w:val="0"/>
        <w:kinsoku/>
        <w:wordWrap w:val="0"/>
        <w:overflowPunct/>
        <w:topLinePunct w:val="0"/>
        <w:bidi w:val="0"/>
        <w:ind w:firstLine="480"/>
        <w:rPr>
          <w:rFonts w:ascii="仿宋" w:hAnsi="仿宋" w:eastAsia="仿宋" w:cs="仿宋"/>
        </w:rPr>
      </w:pPr>
    </w:p>
    <w:p>
      <w:pPr>
        <w:pageBreakBefore w:val="0"/>
        <w:kinsoku/>
        <w:wordWrap w:val="0"/>
        <w:overflowPunct/>
        <w:topLinePunct w:val="0"/>
        <w:bidi w:val="0"/>
        <w:spacing w:line="240" w:lineRule="atLeast"/>
        <w:ind w:left="1080" w:leftChars="257" w:hanging="540"/>
        <w:jc w:val="center"/>
        <w:rPr>
          <w:rFonts w:ascii="仿宋" w:hAnsi="仿宋" w:eastAsia="仿宋" w:cs="仿宋"/>
          <w:sz w:val="24"/>
        </w:rPr>
      </w:pPr>
    </w:p>
    <w:p>
      <w:pPr>
        <w:pageBreakBefore w:val="0"/>
        <w:kinsoku/>
        <w:wordWrap w:val="0"/>
        <w:overflowPunct/>
        <w:topLinePunct w:val="0"/>
        <w:bidi w:val="0"/>
        <w:spacing w:line="240" w:lineRule="atLeast"/>
        <w:ind w:left="1080" w:leftChars="257" w:hanging="540"/>
        <w:jc w:val="center"/>
        <w:rPr>
          <w:rFonts w:ascii="仿宋" w:hAnsi="仿宋" w:eastAsia="仿宋" w:cs="仿宋"/>
          <w:sz w:val="24"/>
        </w:rPr>
      </w:pPr>
    </w:p>
    <w:p>
      <w:pPr>
        <w:pageBreakBefore w:val="0"/>
        <w:kinsoku/>
        <w:wordWrap w:val="0"/>
        <w:overflowPunct/>
        <w:topLinePunct w:val="0"/>
        <w:bidi w:val="0"/>
        <w:spacing w:line="240" w:lineRule="atLeast"/>
        <w:ind w:left="1080" w:leftChars="257" w:hanging="540"/>
        <w:jc w:val="center"/>
        <w:rPr>
          <w:rFonts w:ascii="仿宋" w:hAnsi="仿宋" w:eastAsia="仿宋" w:cs="仿宋"/>
          <w:sz w:val="24"/>
        </w:rPr>
      </w:pPr>
    </w:p>
    <w:p>
      <w:pPr>
        <w:pageBreakBefore w:val="0"/>
        <w:kinsoku/>
        <w:wordWrap w:val="0"/>
        <w:overflowPunct/>
        <w:topLinePunct w:val="0"/>
        <w:bidi w:val="0"/>
        <w:spacing w:line="240" w:lineRule="atLeast"/>
        <w:ind w:left="1080" w:leftChars="257" w:hanging="540"/>
        <w:jc w:val="center"/>
        <w:rPr>
          <w:rFonts w:ascii="仿宋" w:hAnsi="仿宋" w:eastAsia="仿宋" w:cs="仿宋"/>
          <w:sz w:val="24"/>
        </w:rPr>
      </w:pPr>
    </w:p>
    <w:p>
      <w:pPr>
        <w:pageBreakBefore w:val="0"/>
        <w:widowControl/>
        <w:kinsoku/>
        <w:wordWrap w:val="0"/>
        <w:overflowPunct/>
        <w:topLinePunct w:val="0"/>
        <w:bidi w:val="0"/>
        <w:jc w:val="center"/>
        <w:rPr>
          <w:rFonts w:ascii="仿宋" w:hAnsi="仿宋" w:eastAsia="仿宋" w:cs="仿宋"/>
        </w:rPr>
      </w:pPr>
      <w:r>
        <w:rPr>
          <w:rFonts w:hint="eastAsia" w:ascii="仿宋" w:hAnsi="仿宋" w:eastAsia="仿宋" w:cs="仿宋"/>
          <w:b/>
          <w:sz w:val="48"/>
          <w:szCs w:val="48"/>
        </w:rPr>
        <w:t>伊吾县北山胜利峰崩塌泥石流防治工程</w:t>
      </w:r>
    </w:p>
    <w:p>
      <w:pPr>
        <w:pageBreakBefore w:val="0"/>
        <w:widowControl/>
        <w:kinsoku/>
        <w:wordWrap w:val="0"/>
        <w:overflowPunct/>
        <w:topLinePunct w:val="0"/>
        <w:bidi w:val="0"/>
        <w:jc w:val="left"/>
        <w:rPr>
          <w:rFonts w:ascii="仿宋" w:hAnsi="仿宋" w:eastAsia="仿宋" w:cs="仿宋"/>
        </w:rPr>
      </w:pPr>
    </w:p>
    <w:p>
      <w:pPr>
        <w:pageBreakBefore w:val="0"/>
        <w:widowControl/>
        <w:kinsoku/>
        <w:wordWrap w:val="0"/>
        <w:overflowPunct/>
        <w:topLinePunct w:val="0"/>
        <w:bidi w:val="0"/>
        <w:jc w:val="left"/>
        <w:rPr>
          <w:rFonts w:ascii="仿宋" w:hAnsi="仿宋" w:eastAsia="仿宋" w:cs="仿宋"/>
        </w:rPr>
      </w:pPr>
    </w:p>
    <w:p>
      <w:pPr>
        <w:pStyle w:val="2"/>
        <w:pageBreakBefore w:val="0"/>
        <w:kinsoku/>
        <w:wordWrap w:val="0"/>
        <w:overflowPunct/>
        <w:topLinePunct w:val="0"/>
        <w:bidi w:val="0"/>
        <w:ind w:firstLine="480"/>
      </w:pPr>
    </w:p>
    <w:p>
      <w:pPr>
        <w:pageBreakBefore w:val="0"/>
        <w:kinsoku/>
        <w:wordWrap w:val="0"/>
        <w:overflowPunct/>
        <w:topLinePunct w:val="0"/>
        <w:bidi w:val="0"/>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pageBreakBefore w:val="0"/>
        <w:kinsoku/>
        <w:wordWrap w:val="0"/>
        <w:overflowPunct/>
        <w:topLinePunct w:val="0"/>
        <w:bidi w:val="0"/>
        <w:spacing w:line="240" w:lineRule="atLeast"/>
        <w:ind w:left="1080" w:leftChars="257" w:hanging="540"/>
        <w:jc w:val="center"/>
        <w:rPr>
          <w:rFonts w:ascii="仿宋" w:hAnsi="仿宋" w:eastAsia="仿宋" w:cs="仿宋"/>
          <w:bCs/>
          <w:sz w:val="52"/>
          <w:szCs w:val="52"/>
        </w:rPr>
      </w:pPr>
    </w:p>
    <w:p>
      <w:pPr>
        <w:pageBreakBefore w:val="0"/>
        <w:kinsoku/>
        <w:wordWrap w:val="0"/>
        <w:overflowPunct/>
        <w:topLinePunct w:val="0"/>
        <w:bidi w:val="0"/>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（项目编号：XJZYZB2022-H009-01至02）</w:t>
      </w:r>
    </w:p>
    <w:p>
      <w:pPr>
        <w:pStyle w:val="11"/>
        <w:pageBreakBefore w:val="0"/>
        <w:kinsoku/>
        <w:wordWrap w:val="0"/>
        <w:overflowPunct/>
        <w:topLinePunct w:val="0"/>
        <w:bidi w:val="0"/>
        <w:ind w:firstLine="0"/>
      </w:pPr>
    </w:p>
    <w:p>
      <w:pPr>
        <w:pageBreakBefore w:val="0"/>
        <w:kinsoku/>
        <w:wordWrap w:val="0"/>
        <w:overflowPunct/>
        <w:topLinePunct w:val="0"/>
        <w:bidi w:val="0"/>
        <w:spacing w:line="240" w:lineRule="atLeast"/>
        <w:ind w:left="1080" w:leftChars="257" w:hanging="540"/>
        <w:jc w:val="center"/>
        <w:rPr>
          <w:rFonts w:ascii="仿宋" w:hAnsi="仿宋" w:eastAsia="仿宋" w:cs="仿宋"/>
          <w:b/>
          <w:sz w:val="52"/>
        </w:rPr>
      </w:pPr>
    </w:p>
    <w:p>
      <w:pPr>
        <w:pageBreakBefore w:val="0"/>
        <w:kinsoku/>
        <w:wordWrap w:val="0"/>
        <w:overflowPunct/>
        <w:topLinePunct w:val="0"/>
        <w:bidi w:val="0"/>
        <w:spacing w:line="240" w:lineRule="atLeast"/>
        <w:ind w:left="1079" w:leftChars="257" w:hanging="539"/>
        <w:jc w:val="center"/>
        <w:outlineLvl w:val="0"/>
        <w:rPr>
          <w:rFonts w:ascii="仿宋" w:hAnsi="仿宋" w:eastAsia="仿宋" w:cs="仿宋"/>
          <w:b/>
          <w:sz w:val="36"/>
          <w:szCs w:val="36"/>
        </w:rPr>
      </w:pPr>
      <w:r>
        <w:rPr>
          <w:rFonts w:hint="eastAsia" w:ascii="仿宋" w:hAnsi="仿宋" w:eastAsia="仿宋" w:cs="仿宋"/>
          <w:b/>
          <w:sz w:val="36"/>
          <w:szCs w:val="36"/>
        </w:rPr>
        <w:t>第二册</w:t>
      </w:r>
    </w:p>
    <w:p>
      <w:pPr>
        <w:pStyle w:val="5"/>
        <w:pageBreakBefore w:val="0"/>
        <w:kinsoku/>
        <w:wordWrap w:val="0"/>
        <w:overflowPunct/>
        <w:topLinePunct w:val="0"/>
        <w:bidi w:val="0"/>
        <w:ind w:firstLine="1044"/>
        <w:rPr>
          <w:rFonts w:ascii="仿宋" w:hAnsi="仿宋" w:eastAsia="仿宋" w:cs="仿宋"/>
          <w:b/>
          <w:sz w:val="52"/>
        </w:rPr>
      </w:pPr>
    </w:p>
    <w:p>
      <w:pPr>
        <w:pStyle w:val="2"/>
        <w:pageBreakBefore w:val="0"/>
        <w:kinsoku/>
        <w:wordWrap w:val="0"/>
        <w:overflowPunct/>
        <w:topLinePunct w:val="0"/>
        <w:bidi w:val="0"/>
        <w:ind w:firstLine="480"/>
      </w:pPr>
    </w:p>
    <w:p>
      <w:pPr>
        <w:pageBreakBefore w:val="0"/>
        <w:kinsoku/>
        <w:wordWrap w:val="0"/>
        <w:overflowPunct/>
        <w:topLinePunct w:val="0"/>
        <w:bidi w:val="0"/>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伊吾县自然资源局</w:t>
      </w:r>
    </w:p>
    <w:p>
      <w:pPr>
        <w:pageBreakBefore w:val="0"/>
        <w:kinsoku/>
        <w:wordWrap w:val="0"/>
        <w:overflowPunct/>
        <w:topLinePunct w:val="0"/>
        <w:bidi w:val="0"/>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rPr>
        <w:t>新疆中业建设工程项目管理有限公司</w:t>
      </w:r>
      <w:r>
        <w:rPr>
          <w:rFonts w:hint="eastAsia" w:ascii="仿宋" w:hAnsi="仿宋" w:eastAsia="仿宋" w:cs="仿宋"/>
          <w:sz w:val="28"/>
          <w:szCs w:val="28"/>
        </w:rPr>
        <w:t xml:space="preserve"> </w:t>
      </w:r>
    </w:p>
    <w:p>
      <w:pPr>
        <w:pageBreakBefore w:val="0"/>
        <w:kinsoku/>
        <w:wordWrap w:val="0"/>
        <w:overflowPunct/>
        <w:topLinePunct w:val="0"/>
        <w:bidi w:val="0"/>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2022年2月</w:t>
      </w:r>
    </w:p>
    <w:p>
      <w:pPr>
        <w:pageBreakBefore w:val="0"/>
        <w:kinsoku/>
        <w:wordWrap w:val="0"/>
        <w:overflowPunct/>
        <w:topLinePunct w:val="0"/>
        <w:bidi w:val="0"/>
        <w:spacing w:line="600" w:lineRule="exact"/>
        <w:jc w:val="center"/>
        <w:outlineLvl w:val="0"/>
        <w:rPr>
          <w:rFonts w:ascii="仿宋" w:hAnsi="仿宋" w:eastAsia="仿宋" w:cs="仿宋"/>
        </w:rPr>
      </w:pPr>
      <w:r>
        <w:rPr>
          <w:rFonts w:hint="eastAsia" w:ascii="仿宋" w:hAnsi="仿宋" w:eastAsia="仿宋" w:cs="仿宋"/>
          <w:sz w:val="28"/>
          <w:szCs w:val="28"/>
          <w:u w:val="single"/>
        </w:rPr>
        <w:br w:type="page"/>
      </w:r>
      <w:bookmarkStart w:id="230" w:name="_Toc218935350"/>
      <w:bookmarkStart w:id="231" w:name="_Toc507399902"/>
      <w:bookmarkStart w:id="232" w:name="_Toc216582822"/>
      <w:bookmarkStart w:id="233" w:name="_Toc9913"/>
      <w:bookmarkStart w:id="234" w:name="_Toc518923124"/>
      <w:bookmarkStart w:id="235" w:name="_Toc219175634"/>
      <w:r>
        <w:rPr>
          <w:rFonts w:hint="eastAsia" w:ascii="仿宋" w:hAnsi="仿宋" w:eastAsia="仿宋" w:cs="仿宋"/>
          <w:b/>
          <w:kern w:val="44"/>
          <w:sz w:val="32"/>
          <w:szCs w:val="20"/>
        </w:rPr>
        <w:t xml:space="preserve">第3章  </w:t>
      </w:r>
      <w:bookmarkEnd w:id="230"/>
      <w:bookmarkEnd w:id="231"/>
      <w:bookmarkEnd w:id="232"/>
      <w:bookmarkEnd w:id="233"/>
      <w:bookmarkEnd w:id="234"/>
      <w:bookmarkEnd w:id="235"/>
      <w:r>
        <w:rPr>
          <w:rFonts w:hint="eastAsia" w:ascii="仿宋" w:hAnsi="仿宋" w:eastAsia="仿宋" w:cs="仿宋"/>
          <w:b/>
          <w:kern w:val="44"/>
          <w:sz w:val="32"/>
          <w:szCs w:val="20"/>
        </w:rPr>
        <w:t>招标公告</w:t>
      </w:r>
    </w:p>
    <w:p>
      <w:pPr>
        <w:pageBreakBefore w:val="0"/>
        <w:kinsoku/>
        <w:wordWrap w:val="0"/>
        <w:overflowPunct/>
        <w:topLinePunct w:val="0"/>
        <w:bidi w:val="0"/>
        <w:rPr>
          <w:rFonts w:ascii="仿宋" w:hAnsi="仿宋" w:eastAsia="仿宋" w:cs="仿宋"/>
        </w:rPr>
      </w:pPr>
    </w:p>
    <w:p>
      <w:pPr>
        <w:pStyle w:val="11"/>
        <w:pageBreakBefore w:val="0"/>
        <w:kinsoku/>
        <w:wordWrap w:val="0"/>
        <w:overflowPunct/>
        <w:topLinePunct w:val="0"/>
        <w:bidi w:val="0"/>
        <w:ind w:firstLine="480" w:firstLineChars="200"/>
        <w:rPr>
          <w:rFonts w:ascii="仿宋" w:hAnsi="仿宋" w:eastAsia="仿宋" w:cs="仿宋"/>
        </w:rPr>
      </w:pPr>
      <w:bookmarkStart w:id="236" w:name="_Toc512937850"/>
      <w:r>
        <w:rPr>
          <w:rFonts w:hint="eastAsia" w:ascii="仿宋" w:hAnsi="仿宋" w:eastAsia="仿宋" w:cs="仿宋"/>
        </w:rPr>
        <w:t>项目概况</w:t>
      </w:r>
    </w:p>
    <w:tbl>
      <w:tblPr>
        <w:tblStyle w:val="3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tcPr>
          <w:p>
            <w:pPr>
              <w:pStyle w:val="11"/>
              <w:pageBreakBefore w:val="0"/>
              <w:kinsoku/>
              <w:wordWrap w:val="0"/>
              <w:overflowPunct/>
              <w:topLinePunct w:val="0"/>
              <w:bidi w:val="0"/>
              <w:ind w:firstLine="480" w:firstLineChars="200"/>
              <w:rPr>
                <w:rFonts w:ascii="仿宋" w:hAnsi="仿宋" w:eastAsia="仿宋" w:cs="仿宋"/>
              </w:rPr>
            </w:pPr>
            <w:r>
              <w:rPr>
                <w:rFonts w:hint="eastAsia" w:ascii="仿宋" w:hAnsi="仿宋" w:eastAsia="仿宋"/>
                <w:kern w:val="2"/>
                <w:szCs w:val="24"/>
              </w:rPr>
              <w:t>伊吾县北山胜利峰崩塌泥石流防治工程招标项目的潜在投标人应在新疆中业建设工程项目管理有限公司（新疆哈密市伊州区大营房建设大厦2楼）领取招标文件，并于</w:t>
            </w:r>
            <w:r>
              <w:rPr>
                <w:rFonts w:hint="eastAsia" w:ascii="仿宋" w:hAnsi="仿宋" w:eastAsia="仿宋"/>
                <w:color w:val="FF0000"/>
                <w:kern w:val="2"/>
                <w:szCs w:val="24"/>
              </w:rPr>
              <w:t>2022年3月</w:t>
            </w:r>
            <w:r>
              <w:rPr>
                <w:rFonts w:hint="eastAsia" w:ascii="仿宋" w:hAnsi="仿宋" w:eastAsia="仿宋"/>
                <w:color w:val="FF0000"/>
                <w:kern w:val="2"/>
                <w:szCs w:val="24"/>
                <w:lang w:val="en-US" w:eastAsia="zh-CN"/>
              </w:rPr>
              <w:t>16</w:t>
            </w:r>
            <w:r>
              <w:rPr>
                <w:rFonts w:hint="eastAsia" w:ascii="仿宋" w:hAnsi="仿宋" w:eastAsia="仿宋"/>
                <w:color w:val="FF0000"/>
                <w:kern w:val="2"/>
                <w:szCs w:val="24"/>
              </w:rPr>
              <w:t>日10:30</w:t>
            </w:r>
            <w:r>
              <w:rPr>
                <w:rFonts w:hint="eastAsia" w:ascii="仿宋" w:hAnsi="仿宋" w:eastAsia="仿宋"/>
                <w:kern w:val="2"/>
                <w:szCs w:val="24"/>
              </w:rPr>
              <w:t>（北京时间）前递交投标文件。</w:t>
            </w:r>
          </w:p>
        </w:tc>
      </w:tr>
    </w:tbl>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一、项目基本情况</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项目编号：XJZYZB2022-H009</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项目名称：伊吾县北山胜利峰崩塌泥石流防治工程</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采购方式：公开招标</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预算金额（元）：3000000.00</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最高限价（元）：</w:t>
      </w:r>
      <w:r>
        <w:rPr>
          <w:rFonts w:ascii="仿宋" w:hAnsi="仿宋" w:eastAsia="仿宋"/>
          <w:sz w:val="24"/>
        </w:rPr>
        <w:t>2865</w:t>
      </w:r>
      <w:r>
        <w:rPr>
          <w:rFonts w:hint="eastAsia" w:ascii="仿宋" w:hAnsi="仿宋" w:eastAsia="仿宋"/>
          <w:sz w:val="24"/>
        </w:rPr>
        <w:t>000.00，</w:t>
      </w:r>
      <w:r>
        <w:rPr>
          <w:rFonts w:ascii="仿宋" w:hAnsi="仿宋" w:eastAsia="仿宋"/>
          <w:sz w:val="24"/>
        </w:rPr>
        <w:t>135</w:t>
      </w:r>
      <w:r>
        <w:rPr>
          <w:rFonts w:hint="eastAsia" w:ascii="仿宋" w:hAnsi="仿宋" w:eastAsia="仿宋"/>
          <w:sz w:val="24"/>
        </w:rPr>
        <w:t>000.00。</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采购需求：</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标项一：XJZYZB2022-H009-01；伊吾县北山胜利峰崩塌泥石流防治工程；预算金额：</w:t>
      </w:r>
      <w:r>
        <w:rPr>
          <w:rFonts w:ascii="仿宋" w:hAnsi="仿宋" w:eastAsia="仿宋"/>
          <w:sz w:val="24"/>
        </w:rPr>
        <w:t>286.5</w:t>
      </w:r>
      <w:r>
        <w:rPr>
          <w:rFonts w:hint="eastAsia" w:ascii="仿宋" w:hAnsi="仿宋" w:eastAsia="仿宋"/>
          <w:sz w:val="24"/>
        </w:rPr>
        <w:t>0万元</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本项目（</w:t>
      </w:r>
      <w:r>
        <w:rPr>
          <w:rFonts w:hint="eastAsia" w:ascii="仿宋" w:hAnsi="仿宋" w:eastAsia="仿宋"/>
          <w:color w:val="FF0000"/>
          <w:sz w:val="24"/>
        </w:rPr>
        <w:t>是</w:t>
      </w:r>
      <w:r>
        <w:rPr>
          <w:rFonts w:hint="eastAsia" w:ascii="仿宋" w:hAnsi="仿宋" w:eastAsia="仿宋"/>
          <w:sz w:val="24"/>
        </w:rPr>
        <w:t>）接受联合体投标。</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标项二：XJZYZB2022-H009-02；伊吾县北山胜利峰崩塌泥石流防治工程（监理）；预算金额：</w:t>
      </w:r>
      <w:r>
        <w:rPr>
          <w:rFonts w:ascii="仿宋" w:hAnsi="仿宋" w:eastAsia="仿宋"/>
          <w:sz w:val="24"/>
        </w:rPr>
        <w:t>13.5</w:t>
      </w:r>
      <w:r>
        <w:rPr>
          <w:rFonts w:hint="eastAsia" w:ascii="仿宋" w:hAnsi="仿宋" w:eastAsia="仿宋"/>
          <w:sz w:val="24"/>
        </w:rPr>
        <w:t>0万元。</w:t>
      </w:r>
    </w:p>
    <w:p>
      <w:pPr>
        <w:pageBreakBefore w:val="0"/>
        <w:kinsoku/>
        <w:wordWrap w:val="0"/>
        <w:overflowPunct/>
        <w:topLinePunct w:val="0"/>
        <w:bidi w:val="0"/>
        <w:spacing w:line="360" w:lineRule="auto"/>
        <w:ind w:firstLine="480" w:firstLineChars="200"/>
      </w:pPr>
      <w:r>
        <w:rPr>
          <w:rFonts w:hint="eastAsia" w:ascii="仿宋" w:hAnsi="仿宋" w:eastAsia="仿宋"/>
          <w:sz w:val="24"/>
        </w:rPr>
        <w:t>本项目（否）接受联合体投标。</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合同履行期限：详见招标文件。</w:t>
      </w:r>
    </w:p>
    <w:p>
      <w:pPr>
        <w:pageBreakBefore w:val="0"/>
        <w:numPr>
          <w:ilvl w:val="0"/>
          <w:numId w:val="9"/>
        </w:numPr>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申请人的资格要求：</w:t>
      </w:r>
    </w:p>
    <w:p>
      <w:pPr>
        <w:pStyle w:val="2"/>
        <w:pageBreakBefore w:val="0"/>
        <w:kinsoku/>
        <w:wordWrap w:val="0"/>
        <w:overflowPunct/>
        <w:topLinePunct w:val="0"/>
        <w:bidi w:val="0"/>
        <w:ind w:firstLine="482"/>
        <w:rPr>
          <w:rFonts w:ascii="仿宋" w:hAnsi="仿宋" w:eastAsia="仿宋"/>
          <w:b/>
        </w:rPr>
      </w:pPr>
      <w:r>
        <w:rPr>
          <w:rFonts w:hint="eastAsia" w:ascii="仿宋" w:hAnsi="仿宋" w:eastAsia="仿宋"/>
          <w:b/>
        </w:rPr>
        <w:t>标项一：</w:t>
      </w:r>
    </w:p>
    <w:p>
      <w:pPr>
        <w:pStyle w:val="2"/>
        <w:pageBreakBefore w:val="0"/>
        <w:kinsoku/>
        <w:wordWrap w:val="0"/>
        <w:overflowPunct/>
        <w:topLinePunct w:val="0"/>
        <w:bidi w:val="0"/>
        <w:ind w:firstLine="480"/>
        <w:rPr>
          <w:rFonts w:ascii="仿宋" w:hAnsi="仿宋" w:eastAsia="仿宋"/>
        </w:rPr>
      </w:pPr>
      <w:r>
        <w:rPr>
          <w:rFonts w:hint="eastAsia" w:ascii="仿宋" w:hAnsi="仿宋" w:eastAsia="仿宋"/>
        </w:rPr>
        <w:t>1.满足《中华人民共和国政府采购法》第二十二条规定；</w:t>
      </w:r>
    </w:p>
    <w:p>
      <w:pPr>
        <w:pStyle w:val="2"/>
        <w:pageBreakBefore w:val="0"/>
        <w:kinsoku/>
        <w:wordWrap w:val="0"/>
        <w:overflowPunct/>
        <w:topLinePunct w:val="0"/>
        <w:bidi w:val="0"/>
        <w:ind w:firstLine="480"/>
        <w:rPr>
          <w:rFonts w:ascii="仿宋" w:hAnsi="仿宋" w:eastAsia="仿宋"/>
        </w:rPr>
      </w:pPr>
      <w:r>
        <w:rPr>
          <w:rFonts w:hint="eastAsia" w:ascii="仿宋" w:hAnsi="仿宋" w:eastAsia="仿宋"/>
        </w:rPr>
        <w:t>2.落实政府采购政策需满足的资格要求：无。 </w:t>
      </w:r>
    </w:p>
    <w:p>
      <w:pPr>
        <w:pStyle w:val="2"/>
        <w:pageBreakBefore w:val="0"/>
        <w:kinsoku/>
        <w:wordWrap w:val="0"/>
        <w:overflowPunct/>
        <w:topLinePunct w:val="0"/>
        <w:bidi w:val="0"/>
        <w:ind w:firstLine="480"/>
        <w:rPr>
          <w:rFonts w:ascii="仿宋" w:hAnsi="仿宋" w:eastAsia="仿宋"/>
        </w:rPr>
      </w:pPr>
      <w:r>
        <w:rPr>
          <w:rFonts w:hint="eastAsia" w:ascii="仿宋" w:hAnsi="仿宋" w:eastAsia="仿宋"/>
        </w:rPr>
        <w:t>3.本项目的特定资格要求：（1）应同时具有地质灾害治理工程设计和施工乙级（含乙级）以上资质；仅有地质灾害治理工程施工资质的投标人，可以联合具有地质灾害治理工程设计资质的单位共同投标；</w:t>
      </w:r>
      <w:r>
        <w:rPr>
          <w:rFonts w:hint="eastAsia" w:ascii="仿宋" w:hAnsi="仿宋" w:eastAsia="仿宋"/>
          <w:lang w:val="en-US" w:eastAsia="zh-CN"/>
        </w:rPr>
        <w:t>项目负责人</w:t>
      </w:r>
      <w:r>
        <w:rPr>
          <w:rFonts w:hint="eastAsia" w:ascii="仿宋" w:hAnsi="仿宋" w:eastAsia="仿宋"/>
          <w:sz w:val="24"/>
        </w:rPr>
        <w:t>应具备</w:t>
      </w:r>
      <w:r>
        <w:rPr>
          <w:rFonts w:hint="eastAsia" w:ascii="仿宋" w:hAnsi="仿宋" w:eastAsia="仿宋"/>
          <w:sz w:val="24"/>
          <w:lang w:val="en-US" w:eastAsia="zh-CN"/>
        </w:rPr>
        <w:t>水文地质（或工程地质或环境地质）专业中级及以上职称</w:t>
      </w:r>
      <w:r>
        <w:rPr>
          <w:rFonts w:hint="eastAsia" w:ascii="仿宋" w:hAnsi="仿宋" w:eastAsia="仿宋"/>
          <w:sz w:val="24"/>
        </w:rPr>
        <w:t>；</w:t>
      </w: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hint="eastAsia" w:ascii="仿宋" w:hAnsi="仿宋" w:eastAsia="仿宋"/>
        </w:rPr>
        <w:t>具有独立承担民事责任的能力、在人员、设备、资金等方面具有相应的履约能力，能够在项目所在地提供长期稳定的服务；（</w:t>
      </w:r>
      <w:r>
        <w:rPr>
          <w:rFonts w:hint="eastAsia" w:ascii="仿宋" w:hAnsi="仿宋" w:eastAsia="仿宋"/>
          <w:lang w:val="en-US" w:eastAsia="zh-CN"/>
        </w:rPr>
        <w:t>3</w:t>
      </w:r>
      <w:r>
        <w:rPr>
          <w:rFonts w:hint="eastAsia" w:ascii="仿宋" w:hAnsi="仿宋" w:eastAsia="仿宋"/>
        </w:rPr>
        <w:t>）单位负责人为同一人或者存在直接控股、管理关系的不同供应商，不得参加同一合同下的政府采购活动；（</w:t>
      </w:r>
      <w:r>
        <w:rPr>
          <w:rFonts w:hint="eastAsia" w:ascii="仿宋" w:hAnsi="仿宋" w:eastAsia="仿宋"/>
          <w:lang w:val="en-US" w:eastAsia="zh-CN"/>
        </w:rPr>
        <w:t>4</w:t>
      </w:r>
      <w:r>
        <w:rPr>
          <w:rFonts w:hint="eastAsia" w:ascii="仿宋" w:hAnsi="仿宋" w:eastAsia="仿宋"/>
        </w:rPr>
        <w:t>）</w:t>
      </w:r>
      <w:r>
        <w:rPr>
          <w:rFonts w:hint="eastAsia" w:ascii="仿宋" w:hAnsi="仿宋" w:eastAsia="仿宋"/>
          <w:sz w:val="24"/>
        </w:rPr>
        <w:t>供应商未被列入中国执行信息公开网（http://zxgk.court.gov.cn/shixin/）失信被执行人名单（企业、法定代表人）、信用中国网站（www.creditchina.gov.cn）重大税收违法案件当事人名单和中国政府采购网（www.ccgp.gov.cn）政府采购严重违法失信行为记录名单；</w:t>
      </w:r>
      <w:r>
        <w:rPr>
          <w:rFonts w:hint="eastAsia" w:ascii="仿宋" w:hAnsi="仿宋" w:eastAsia="仿宋"/>
        </w:rPr>
        <w:t>（</w:t>
      </w:r>
      <w:r>
        <w:rPr>
          <w:rFonts w:hint="eastAsia" w:ascii="仿宋" w:hAnsi="仿宋" w:eastAsia="仿宋"/>
          <w:lang w:val="en-US" w:eastAsia="zh-CN"/>
        </w:rPr>
        <w:t>5</w:t>
      </w:r>
      <w:r>
        <w:rPr>
          <w:rFonts w:hint="eastAsia" w:ascii="仿宋" w:hAnsi="仿宋" w:eastAsia="仿宋"/>
        </w:rPr>
        <w:t>）本项目接受联合体投标；（</w:t>
      </w:r>
      <w:r>
        <w:rPr>
          <w:rFonts w:hint="eastAsia" w:ascii="仿宋" w:hAnsi="仿宋" w:eastAsia="仿宋"/>
          <w:lang w:val="en-US" w:eastAsia="zh-CN"/>
        </w:rPr>
        <w:t>6</w:t>
      </w:r>
      <w:r>
        <w:rPr>
          <w:rFonts w:hint="eastAsia" w:ascii="仿宋" w:hAnsi="仿宋" w:eastAsia="仿宋"/>
        </w:rPr>
        <w:t>）法律、行政法规规定的其他条件。</w:t>
      </w:r>
    </w:p>
    <w:p>
      <w:pPr>
        <w:pStyle w:val="5"/>
        <w:pageBreakBefore w:val="0"/>
        <w:kinsoku/>
        <w:wordWrap w:val="0"/>
        <w:overflowPunct/>
        <w:topLinePunct w:val="0"/>
        <w:bidi w:val="0"/>
        <w:ind w:firstLine="482"/>
        <w:rPr>
          <w:b/>
        </w:rPr>
      </w:pPr>
      <w:r>
        <w:rPr>
          <w:rFonts w:hint="eastAsia" w:ascii="仿宋" w:hAnsi="仿宋" w:eastAsia="仿宋"/>
          <w:b/>
          <w:szCs w:val="24"/>
        </w:rPr>
        <w:t>标项二：</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1.满足《中华人民共和国政府采购法》第二十二条规定；</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2.落实政府采购政策需满足的资格要求：无；</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3.本项目的特定资格要求：（1）具有有效营业执照；（2）提供地质灾害防治工程监理乙级（含乙级）以上资质证书；（3）供应商在人员、设备、资金等方面具有相应的履约能力，能够在项目所在地提供长期稳定的服务；（</w:t>
      </w:r>
      <w:r>
        <w:rPr>
          <w:rFonts w:hint="eastAsia" w:ascii="仿宋" w:hAnsi="仿宋" w:eastAsia="仿宋"/>
          <w:sz w:val="24"/>
          <w:lang w:val="en-US" w:eastAsia="zh-CN"/>
        </w:rPr>
        <w:t>4</w:t>
      </w:r>
      <w:r>
        <w:rPr>
          <w:rFonts w:hint="eastAsia" w:ascii="仿宋" w:hAnsi="仿宋" w:eastAsia="仿宋"/>
          <w:sz w:val="24"/>
        </w:rPr>
        <w:t>）单位负责人为同一人或者存在直接控股、管理关系的不同供应商，不得参加同一合同下的政府采购活动；（</w:t>
      </w:r>
      <w:r>
        <w:rPr>
          <w:rFonts w:hint="eastAsia" w:ascii="仿宋" w:hAnsi="仿宋" w:eastAsia="仿宋"/>
          <w:sz w:val="24"/>
          <w:lang w:val="en-US" w:eastAsia="zh-CN"/>
        </w:rPr>
        <w:t>5</w:t>
      </w:r>
      <w:r>
        <w:rPr>
          <w:rFonts w:hint="eastAsia" w:ascii="仿宋" w:hAnsi="仿宋" w:eastAsia="仿宋"/>
          <w:sz w:val="24"/>
        </w:rPr>
        <w:t>）供应商未被列入中国执行信息公开网（http://zxgk.court.gov.cn/shixin/）失信被执行人名单（企业、法定代表人）、信用中国网站（www.creditchina.gov.cn）重大税收违法案件当事人名单和中国政府采购网（www.ccgp.gov.cn）政府采购严重违法失信行为记录名单；（</w:t>
      </w:r>
      <w:r>
        <w:rPr>
          <w:rFonts w:hint="eastAsia" w:ascii="仿宋" w:hAnsi="仿宋" w:eastAsia="仿宋"/>
          <w:sz w:val="24"/>
          <w:lang w:val="en-US" w:eastAsia="zh-CN"/>
        </w:rPr>
        <w:t>6</w:t>
      </w:r>
      <w:r>
        <w:rPr>
          <w:rFonts w:hint="eastAsia" w:ascii="仿宋" w:hAnsi="仿宋" w:eastAsia="仿宋"/>
          <w:sz w:val="24"/>
        </w:rPr>
        <w:t>）法律、行政法规规定的其他条件。</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三、获取招标文件</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时间：</w:t>
      </w:r>
      <w:r>
        <w:rPr>
          <w:rFonts w:hint="eastAsia" w:ascii="仿宋" w:hAnsi="仿宋" w:eastAsia="仿宋"/>
          <w:color w:val="FF0000"/>
          <w:sz w:val="24"/>
        </w:rPr>
        <w:t>2022年</w:t>
      </w:r>
      <w:r>
        <w:rPr>
          <w:rFonts w:hint="eastAsia" w:ascii="仿宋" w:hAnsi="仿宋" w:eastAsia="仿宋"/>
          <w:color w:val="FF0000"/>
          <w:sz w:val="24"/>
          <w:lang w:val="en-US" w:eastAsia="zh-CN"/>
        </w:rPr>
        <w:t>2</w:t>
      </w:r>
      <w:r>
        <w:rPr>
          <w:rFonts w:hint="eastAsia" w:ascii="仿宋" w:hAnsi="仿宋" w:eastAsia="仿宋"/>
          <w:color w:val="FF0000"/>
          <w:sz w:val="24"/>
        </w:rPr>
        <w:t>月</w:t>
      </w:r>
      <w:r>
        <w:rPr>
          <w:rFonts w:hint="eastAsia" w:ascii="仿宋" w:hAnsi="仿宋" w:eastAsia="仿宋"/>
          <w:color w:val="FF0000"/>
          <w:sz w:val="24"/>
          <w:lang w:val="en-US" w:eastAsia="zh-CN"/>
        </w:rPr>
        <w:t>24</w:t>
      </w:r>
      <w:r>
        <w:rPr>
          <w:rFonts w:hint="eastAsia" w:ascii="仿宋" w:hAnsi="仿宋" w:eastAsia="仿宋"/>
          <w:color w:val="FF0000"/>
          <w:sz w:val="24"/>
        </w:rPr>
        <w:t>日至2022年</w:t>
      </w:r>
      <w:r>
        <w:rPr>
          <w:rFonts w:hint="eastAsia" w:ascii="仿宋" w:hAnsi="仿宋" w:eastAsia="仿宋"/>
          <w:color w:val="FF0000"/>
          <w:sz w:val="24"/>
          <w:lang w:val="en-US" w:eastAsia="zh-CN"/>
        </w:rPr>
        <w:t>3</w:t>
      </w:r>
      <w:r>
        <w:rPr>
          <w:rFonts w:hint="eastAsia" w:ascii="仿宋" w:hAnsi="仿宋" w:eastAsia="仿宋"/>
          <w:color w:val="FF0000"/>
          <w:sz w:val="24"/>
        </w:rPr>
        <w:t>月</w:t>
      </w:r>
      <w:r>
        <w:rPr>
          <w:rFonts w:hint="eastAsia" w:ascii="仿宋" w:hAnsi="仿宋" w:eastAsia="仿宋"/>
          <w:color w:val="FF0000"/>
          <w:sz w:val="24"/>
          <w:lang w:val="en-US" w:eastAsia="zh-CN"/>
        </w:rPr>
        <w:t>3</w:t>
      </w:r>
      <w:r>
        <w:rPr>
          <w:rFonts w:hint="eastAsia" w:ascii="仿宋" w:hAnsi="仿宋" w:eastAsia="仿宋"/>
          <w:color w:val="FF0000"/>
          <w:sz w:val="24"/>
        </w:rPr>
        <w:t>日</w:t>
      </w:r>
      <w:r>
        <w:rPr>
          <w:rFonts w:hint="eastAsia" w:ascii="仿宋" w:hAnsi="仿宋" w:eastAsia="仿宋"/>
          <w:sz w:val="24"/>
        </w:rPr>
        <w:t>，每天上午10:</w:t>
      </w:r>
      <w:r>
        <w:rPr>
          <w:rFonts w:hint="eastAsia" w:ascii="仿宋" w:hAnsi="仿宋" w:eastAsia="仿宋"/>
          <w:sz w:val="24"/>
          <w:lang w:val="en-US" w:eastAsia="zh-CN"/>
        </w:rPr>
        <w:t>00</w:t>
      </w:r>
      <w:r>
        <w:rPr>
          <w:rFonts w:hint="eastAsia" w:ascii="仿宋" w:hAnsi="仿宋" w:eastAsia="仿宋"/>
          <w:sz w:val="24"/>
        </w:rPr>
        <w:t>至13:30，下午15:30至19:00（北京时间，法定节假日除外）.</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地点：新疆哈密市伊州区大营房建设大厦2楼</w:t>
      </w:r>
    </w:p>
    <w:p>
      <w:pPr>
        <w:pageBreakBefore w:val="0"/>
        <w:kinsoku/>
        <w:wordWrap w:val="0"/>
        <w:overflowPunct/>
        <w:topLinePunct w:val="0"/>
        <w:bidi w:val="0"/>
        <w:spacing w:line="360" w:lineRule="auto"/>
        <w:ind w:firstLine="480" w:firstLineChars="200"/>
      </w:pPr>
      <w:r>
        <w:rPr>
          <w:rFonts w:hint="eastAsia" w:ascii="仿宋" w:hAnsi="仿宋" w:eastAsia="仿宋"/>
          <w:sz w:val="24"/>
        </w:rPr>
        <w:t>方式：凡符合上述资格要求且有意参加投标的企业，须携带营业执照、资质证书、法定代表人身份证明书及法定代表人身份证或法人授权委托书及被授权人身份证、中国执行信息公开网（http://zxgk.court.gov.cn/shixin/）失信被执行人名单、信用中国网站（www.creditchina.gov.cn）重大税收违法案件当事人名单和中国政府采购网（www.ccgp.gov.cn）政府采购严重违法失信行为记录名单（提供加盖公章网页截图）；以上资料须提供原件及加盖公章的复印件（一套）至新疆中业建设工程项目管理有限公司领取招标文件。</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售价（元）：</w:t>
      </w:r>
      <w:r>
        <w:rPr>
          <w:rFonts w:hint="eastAsia" w:ascii="仿宋" w:hAnsi="仿宋" w:eastAsia="仿宋"/>
          <w:color w:val="FF0000"/>
          <w:sz w:val="24"/>
        </w:rPr>
        <w:t>200.00/份</w:t>
      </w:r>
      <w:r>
        <w:rPr>
          <w:rFonts w:hint="eastAsia" w:ascii="仿宋" w:hAnsi="仿宋" w:eastAsia="仿宋"/>
          <w:sz w:val="24"/>
        </w:rPr>
        <w:t>（售后不退）</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四、提交投标文件截止时间、开标时间和地点</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提交投标文件截止时间：</w:t>
      </w:r>
      <w:r>
        <w:rPr>
          <w:rFonts w:hint="eastAsia" w:ascii="仿宋" w:hAnsi="仿宋" w:eastAsia="仿宋"/>
          <w:color w:val="FF0000"/>
          <w:sz w:val="24"/>
        </w:rPr>
        <w:t>2022年3月</w:t>
      </w:r>
      <w:r>
        <w:rPr>
          <w:rFonts w:hint="eastAsia" w:ascii="仿宋" w:hAnsi="仿宋" w:eastAsia="仿宋"/>
          <w:color w:val="FF0000"/>
          <w:sz w:val="24"/>
          <w:lang w:val="en-US" w:eastAsia="zh-CN"/>
        </w:rPr>
        <w:t>16</w:t>
      </w:r>
      <w:r>
        <w:rPr>
          <w:rFonts w:hint="eastAsia" w:ascii="仿宋" w:hAnsi="仿宋" w:eastAsia="仿宋"/>
          <w:color w:val="FF0000"/>
          <w:sz w:val="24"/>
        </w:rPr>
        <w:t>日 10:30</w:t>
      </w:r>
      <w:r>
        <w:rPr>
          <w:rFonts w:hint="eastAsia" w:ascii="仿宋" w:hAnsi="仿宋" w:eastAsia="仿宋"/>
          <w:sz w:val="24"/>
        </w:rPr>
        <w:t>（北京时间）</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投标地点：新疆哈密市伊州区大营房建设大厦2楼会议室</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开标时间：</w:t>
      </w:r>
      <w:r>
        <w:rPr>
          <w:rFonts w:hint="eastAsia" w:ascii="仿宋" w:hAnsi="仿宋" w:eastAsia="仿宋"/>
          <w:color w:val="FF0000"/>
          <w:sz w:val="24"/>
        </w:rPr>
        <w:t>2022年3月</w:t>
      </w:r>
      <w:r>
        <w:rPr>
          <w:rFonts w:hint="eastAsia" w:ascii="仿宋" w:hAnsi="仿宋" w:eastAsia="仿宋"/>
          <w:color w:val="FF0000"/>
          <w:sz w:val="24"/>
          <w:lang w:val="en-US" w:eastAsia="zh-CN"/>
        </w:rPr>
        <w:t>16</w:t>
      </w:r>
      <w:r>
        <w:rPr>
          <w:rFonts w:hint="eastAsia" w:ascii="仿宋" w:hAnsi="仿宋" w:eastAsia="仿宋"/>
          <w:color w:val="FF0000"/>
          <w:sz w:val="24"/>
        </w:rPr>
        <w:t>日 10:30</w:t>
      </w:r>
      <w:r>
        <w:rPr>
          <w:rFonts w:hint="eastAsia" w:ascii="仿宋" w:hAnsi="仿宋" w:eastAsia="仿宋"/>
          <w:sz w:val="24"/>
        </w:rPr>
        <w:t>（北京时间）</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开标地点：新疆哈密市伊州区大营房建设大厦2楼会议室</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五、公告期限</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自本公告发布之日起</w:t>
      </w:r>
      <w:r>
        <w:rPr>
          <w:rFonts w:hint="eastAsia" w:ascii="仿宋" w:hAnsi="仿宋" w:eastAsia="仿宋"/>
          <w:sz w:val="24"/>
          <w:lang w:val="en-US" w:eastAsia="zh-CN"/>
        </w:rPr>
        <w:t>5</w:t>
      </w:r>
      <w:r>
        <w:rPr>
          <w:rFonts w:hint="eastAsia" w:ascii="仿宋" w:hAnsi="仿宋" w:eastAsia="仿宋"/>
          <w:sz w:val="24"/>
        </w:rPr>
        <w:t>个工作日。</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六、其他补充事宜</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无</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七、对本次采购提出询问，请按以下方式联系</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1.采购人信息</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名称：伊吾县自然资源局　</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地址：新疆哈密市伊吾县</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联系人：</w:t>
      </w:r>
      <w:bookmarkStart w:id="237" w:name="_Toc28359009"/>
      <w:bookmarkStart w:id="238" w:name="_Toc28359086"/>
      <w:r>
        <w:rPr>
          <w:rFonts w:hint="eastAsia" w:ascii="仿宋" w:hAnsi="仿宋" w:eastAsia="仿宋"/>
          <w:sz w:val="24"/>
        </w:rPr>
        <w:t xml:space="preserve">王磊 </w:t>
      </w:r>
    </w:p>
    <w:p>
      <w:pPr>
        <w:pageBreakBefore w:val="0"/>
        <w:kinsoku/>
        <w:wordWrap w:val="0"/>
        <w:overflowPunct/>
        <w:topLinePunct w:val="0"/>
        <w:bidi w:val="0"/>
        <w:spacing w:line="360" w:lineRule="auto"/>
        <w:ind w:firstLine="480" w:firstLineChars="200"/>
        <w:rPr>
          <w:rFonts w:ascii="仿宋" w:hAnsi="仿宋" w:eastAsia="仿宋"/>
          <w:sz w:val="24"/>
        </w:rPr>
      </w:pPr>
      <w:bookmarkStart w:id="239" w:name="_Toc472"/>
      <w:r>
        <w:rPr>
          <w:rFonts w:hint="eastAsia" w:ascii="仿宋" w:hAnsi="仿宋" w:eastAsia="仿宋"/>
          <w:sz w:val="24"/>
        </w:rPr>
        <w:t>2.采购代理机构信息</w:t>
      </w:r>
      <w:bookmarkEnd w:id="237"/>
      <w:bookmarkEnd w:id="238"/>
      <w:bookmarkEnd w:id="239"/>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名称：新疆中业建设工程项目管理有限公司　</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地址：新疆哈密市伊州区大营房建设大厦2楼　</w:t>
      </w:r>
    </w:p>
    <w:p>
      <w:pPr>
        <w:pageBreakBefore w:val="0"/>
        <w:kinsoku/>
        <w:wordWrap w:val="0"/>
        <w:overflowPunct/>
        <w:topLinePunct w:val="0"/>
        <w:bidi w:val="0"/>
        <w:spacing w:line="360" w:lineRule="auto"/>
        <w:ind w:firstLine="480" w:firstLineChars="200"/>
        <w:rPr>
          <w:rFonts w:ascii="仿宋" w:hAnsi="仿宋" w:eastAsia="仿宋"/>
          <w:sz w:val="24"/>
        </w:rPr>
      </w:pPr>
      <w:r>
        <w:rPr>
          <w:rFonts w:hint="eastAsia" w:ascii="仿宋" w:hAnsi="仿宋" w:eastAsia="仿宋"/>
          <w:sz w:val="24"/>
        </w:rPr>
        <w:t>联系方式：</w:t>
      </w:r>
      <w:bookmarkStart w:id="240" w:name="_Toc28359087"/>
      <w:bookmarkStart w:id="241" w:name="_Toc28359010"/>
      <w:r>
        <w:rPr>
          <w:rFonts w:hint="eastAsia" w:ascii="仿宋" w:hAnsi="仿宋" w:eastAsia="仿宋"/>
          <w:sz w:val="24"/>
        </w:rPr>
        <w:t>周永恒 0902-2200006  17799351188　</w:t>
      </w:r>
    </w:p>
    <w:p>
      <w:pPr>
        <w:pageBreakBefore w:val="0"/>
        <w:kinsoku/>
        <w:wordWrap w:val="0"/>
        <w:overflowPunct/>
        <w:topLinePunct w:val="0"/>
        <w:bidi w:val="0"/>
        <w:spacing w:line="360" w:lineRule="auto"/>
        <w:ind w:firstLine="480" w:firstLineChars="200"/>
        <w:rPr>
          <w:rFonts w:ascii="仿宋" w:hAnsi="仿宋" w:eastAsia="仿宋"/>
          <w:sz w:val="24"/>
        </w:rPr>
      </w:pPr>
      <w:bookmarkStart w:id="242" w:name="_Toc15500"/>
      <w:r>
        <w:rPr>
          <w:rFonts w:hint="eastAsia" w:ascii="仿宋" w:hAnsi="仿宋" w:eastAsia="仿宋"/>
          <w:sz w:val="24"/>
        </w:rPr>
        <w:t>3.</w:t>
      </w:r>
      <w:bookmarkEnd w:id="240"/>
      <w:bookmarkEnd w:id="241"/>
      <w:bookmarkEnd w:id="242"/>
      <w:r>
        <w:rPr>
          <w:rFonts w:hint="eastAsia" w:ascii="仿宋" w:hAnsi="仿宋" w:eastAsia="仿宋"/>
          <w:sz w:val="24"/>
        </w:rPr>
        <w:t>监管单位信息</w:t>
      </w:r>
    </w:p>
    <w:p>
      <w:pPr>
        <w:pageBreakBefore w:val="0"/>
        <w:kinsoku/>
        <w:wordWrap w:val="0"/>
        <w:overflowPunct/>
        <w:topLinePunct w:val="0"/>
        <w:bidi w:val="0"/>
        <w:spacing w:line="360" w:lineRule="auto"/>
        <w:ind w:firstLine="480" w:firstLineChars="200"/>
        <w:rPr>
          <w:rFonts w:ascii="仿宋" w:hAnsi="仿宋" w:eastAsia="仿宋"/>
          <w:color w:val="FF0000"/>
          <w:sz w:val="24"/>
        </w:rPr>
      </w:pPr>
      <w:r>
        <w:rPr>
          <w:rFonts w:hint="eastAsia" w:ascii="仿宋" w:hAnsi="仿宋" w:eastAsia="仿宋"/>
          <w:sz w:val="24"/>
        </w:rPr>
        <w:t>名称：</w:t>
      </w:r>
      <w:r>
        <w:rPr>
          <w:rFonts w:hint="eastAsia" w:ascii="仿宋" w:hAnsi="仿宋" w:eastAsia="仿宋"/>
          <w:color w:val="FF0000"/>
          <w:sz w:val="24"/>
        </w:rPr>
        <w:t>伊吾县财政局</w:t>
      </w:r>
    </w:p>
    <w:p>
      <w:pPr>
        <w:pageBreakBefore w:val="0"/>
        <w:kinsoku/>
        <w:wordWrap w:val="0"/>
        <w:overflowPunct/>
        <w:topLinePunct w:val="0"/>
        <w:bidi w:val="0"/>
        <w:spacing w:line="360" w:lineRule="auto"/>
        <w:ind w:firstLine="480" w:firstLineChars="200"/>
        <w:rPr>
          <w:rFonts w:ascii="仿宋" w:hAnsi="仿宋" w:eastAsia="仿宋"/>
          <w:color w:val="FF0000"/>
          <w:sz w:val="24"/>
        </w:rPr>
      </w:pPr>
      <w:r>
        <w:rPr>
          <w:rFonts w:hint="eastAsia" w:ascii="仿宋" w:hAnsi="仿宋" w:eastAsia="仿宋"/>
          <w:color w:val="FF0000"/>
          <w:sz w:val="24"/>
        </w:rPr>
        <w:t>电话：****</w:t>
      </w:r>
    </w:p>
    <w:p>
      <w:pPr>
        <w:pageBreakBefore w:val="0"/>
        <w:kinsoku/>
        <w:wordWrap w:val="0"/>
        <w:overflowPunct/>
        <w:topLinePunct w:val="0"/>
        <w:bidi w:val="0"/>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rPr>
          <w:rFonts w:ascii="仿宋" w:hAnsi="仿宋" w:eastAsia="仿宋" w:cs="仿宋"/>
          <w:b w:val="0"/>
          <w:szCs w:val="32"/>
        </w:rPr>
      </w:pPr>
      <w:r>
        <w:rPr>
          <w:rFonts w:hint="eastAsia" w:ascii="仿宋" w:hAnsi="仿宋" w:eastAsia="仿宋" w:cs="仿宋"/>
          <w:sz w:val="24"/>
        </w:rPr>
        <w:br w:type="page"/>
      </w:r>
      <w:bookmarkStart w:id="243" w:name="_Toc507399903"/>
      <w:bookmarkStart w:id="244" w:name="_Toc216582823"/>
      <w:bookmarkStart w:id="245" w:name="_Toc518923125"/>
      <w:bookmarkStart w:id="246" w:name="_Toc28647"/>
      <w:r>
        <w:rPr>
          <w:rFonts w:hint="eastAsia" w:ascii="仿宋" w:hAnsi="仿宋" w:eastAsia="仿宋" w:cs="仿宋"/>
        </w:rPr>
        <w:t>第4章</w:t>
      </w:r>
      <w:r>
        <w:rPr>
          <w:rFonts w:hint="eastAsia" w:ascii="仿宋" w:hAnsi="仿宋" w:eastAsia="仿宋" w:cs="仿宋"/>
          <w:sz w:val="24"/>
        </w:rPr>
        <w:t xml:space="preserve">  </w:t>
      </w:r>
      <w:r>
        <w:rPr>
          <w:rFonts w:hint="eastAsia" w:ascii="仿宋" w:hAnsi="仿宋" w:eastAsia="仿宋" w:cs="仿宋"/>
        </w:rPr>
        <w:t>投标人须知资料表</w:t>
      </w:r>
      <w:bookmarkEnd w:id="243"/>
      <w:bookmarkEnd w:id="244"/>
      <w:bookmarkEnd w:id="245"/>
      <w:bookmarkEnd w:id="246"/>
    </w:p>
    <w:bookmarkEnd w:id="236"/>
    <w:p>
      <w:pPr>
        <w:pageBreakBefore w:val="0"/>
        <w:kinsoku/>
        <w:wordWrap w:val="0"/>
        <w:overflowPunct/>
        <w:topLinePunct w:val="0"/>
        <w:bidi w:val="0"/>
        <w:spacing w:line="240" w:lineRule="atLeast"/>
        <w:ind w:left="1080" w:leftChars="257" w:hanging="540"/>
        <w:rPr>
          <w:rFonts w:ascii="仿宋" w:hAnsi="仿宋" w:eastAsia="仿宋" w:cs="仿宋"/>
          <w:sz w:val="24"/>
        </w:rPr>
      </w:pPr>
    </w:p>
    <w:p>
      <w:pPr>
        <w:pageBreakBefore w:val="0"/>
        <w:kinsoku/>
        <w:wordWrap w:val="0"/>
        <w:overflowPunct/>
        <w:topLinePunct w:val="0"/>
        <w:bidi w:val="0"/>
        <w:spacing w:line="240" w:lineRule="atLeast"/>
        <w:ind w:firstLine="360" w:firstLineChars="150"/>
        <w:rPr>
          <w:rFonts w:ascii="仿宋" w:hAnsi="仿宋" w:eastAsia="仿宋" w:cs="仿宋"/>
          <w:sz w:val="24"/>
        </w:rPr>
      </w:pPr>
      <w:r>
        <w:rPr>
          <w:rFonts w:hint="eastAsia" w:ascii="仿宋" w:hAnsi="仿宋" w:eastAsia="仿宋" w:cs="仿宋"/>
          <w:sz w:val="24"/>
        </w:rPr>
        <w:t xml:space="preserve"> 本表是本招标项目的具体资料，是对投标人须知的具体补充和修改，如有矛盾，应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条款号</w:t>
            </w:r>
          </w:p>
        </w:tc>
        <w:tc>
          <w:tcPr>
            <w:tcW w:w="6840" w:type="dxa"/>
            <w:vAlign w:val="center"/>
          </w:tcPr>
          <w:p>
            <w:pPr>
              <w:pageBreakBefore w:val="0"/>
              <w:kinsoku/>
              <w:wordWrap w:val="0"/>
              <w:overflowPunct/>
              <w:topLinePunct w:val="0"/>
              <w:bidi w:val="0"/>
              <w:spacing w:line="240" w:lineRule="atLeast"/>
              <w:jc w:val="center"/>
              <w:rPr>
                <w:rFonts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1.1</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single"/>
              </w:rPr>
              <w:t>伊吾县自然资源局</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single"/>
              </w:rPr>
              <w:t>王磊</w:t>
            </w:r>
            <w:r>
              <w:rPr>
                <w:rFonts w:hint="eastAsia" w:ascii="仿宋" w:hAnsi="仿宋" w:eastAsia="仿宋" w:cs="仿宋"/>
                <w:sz w:val="24"/>
              </w:rPr>
              <w:t xml:space="preserve">     </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color w:val="FF0000"/>
                <w:sz w:val="24"/>
                <w:u w:val="single"/>
              </w:rPr>
              <w:t>*******</w:t>
            </w:r>
            <w:r>
              <w:rPr>
                <w:rFonts w:hint="eastAsia" w:ascii="仿宋" w:hAnsi="仿宋" w:eastAsia="仿宋" w:cs="仿宋"/>
                <w:color w:val="FF000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1.2</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u w:val="single"/>
              </w:rPr>
            </w:pPr>
            <w:r>
              <w:rPr>
                <w:rFonts w:hint="eastAsia" w:ascii="仿宋" w:hAnsi="仿宋" w:eastAsia="仿宋" w:cs="仿宋"/>
                <w:sz w:val="24"/>
              </w:rPr>
              <w:t>采购代理机构：</w:t>
            </w:r>
            <w:r>
              <w:rPr>
                <w:rFonts w:hint="eastAsia" w:ascii="仿宋" w:hAnsi="仿宋" w:eastAsia="仿宋" w:cs="仿宋"/>
                <w:sz w:val="24"/>
                <w:u w:val="single"/>
              </w:rPr>
              <w:t>新疆中业建设工程项目管理有限公司</w:t>
            </w:r>
          </w:p>
          <w:p>
            <w:pPr>
              <w:pageBreakBefore w:val="0"/>
              <w:kinsoku/>
              <w:wordWrap w:val="0"/>
              <w:overflowPunct/>
              <w:topLinePunct w:val="0"/>
              <w:bidi w:val="0"/>
              <w:spacing w:line="240" w:lineRule="atLeast"/>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新疆哈密市伊州区大营房建设大厦2楼</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业务联系人：</w:t>
            </w:r>
            <w:r>
              <w:rPr>
                <w:rFonts w:hint="eastAsia" w:ascii="仿宋" w:hAnsi="仿宋" w:eastAsia="仿宋" w:cs="仿宋"/>
                <w:sz w:val="24"/>
                <w:u w:val="single"/>
              </w:rPr>
              <w:t>周永恒</w:t>
            </w:r>
            <w:r>
              <w:rPr>
                <w:rFonts w:hint="eastAsia" w:ascii="仿宋" w:hAnsi="仿宋" w:eastAsia="仿宋" w:cs="仿宋"/>
                <w:sz w:val="24"/>
              </w:rPr>
              <w:t xml:space="preserve">  电话：</w:t>
            </w:r>
            <w:r>
              <w:rPr>
                <w:rFonts w:hint="eastAsia" w:ascii="仿宋" w:hAnsi="仿宋" w:eastAsia="仿宋" w:cs="仿宋"/>
                <w:sz w:val="24"/>
                <w:u w:val="single"/>
              </w:rPr>
              <w:t>0902-2200006  17799351188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1.3</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合格投标人的其他资格要求：</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 xml:space="preserve">1、满足《中华人民共和国政府采购法》第二十二条规定； </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2、有效的营业执照正本或副本；</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3、具有独立承担民事责任的能力、在人员、设备、资金等方面具有相应的履约能力，能够在项目所在地提供长期稳定的售后服务；</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4、单位负责人为同一人或者存在直接控股、管理关系的不同供应商，不得参加同一合同下的政府采购活动；</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5、供应商未被列入中国执行信息公开网（http://zxgk.court.gov.cn/shixin/）失信被执行人名单（企业、法定代表人）、信用中国网站（www.creditchina.gov.cn）重大税收违法案件当事人名单和中国政府采购网（www.ccgp.gov.cn）政府采购严重违法失信行为记录名单；</w:t>
            </w:r>
          </w:p>
          <w:p>
            <w:pPr>
              <w:pageBreakBefore w:val="0"/>
              <w:kinsoku/>
              <w:wordWrap w:val="0"/>
              <w:overflowPunct/>
              <w:topLinePunct w:val="0"/>
              <w:bidi w:val="0"/>
              <w:spacing w:line="240" w:lineRule="atLeast"/>
              <w:rPr>
                <w:rFonts w:hint="eastAsia" w:ascii="仿宋" w:hAnsi="仿宋" w:eastAsia="仿宋" w:cs="仿宋"/>
                <w:color w:val="FF0000"/>
                <w:sz w:val="24"/>
                <w:lang w:eastAsia="zh-CN"/>
              </w:rPr>
            </w:pPr>
            <w:r>
              <w:rPr>
                <w:rFonts w:hint="eastAsia" w:ascii="仿宋" w:hAnsi="仿宋" w:eastAsia="仿宋" w:cs="仿宋"/>
                <w:sz w:val="24"/>
              </w:rPr>
              <w:t>6、投标单位投标标项一：</w:t>
            </w:r>
            <w:r>
              <w:rPr>
                <w:rFonts w:hint="eastAsia" w:ascii="仿宋" w:hAnsi="仿宋" w:eastAsia="仿宋" w:cs="仿宋"/>
                <w:color w:val="FF0000"/>
                <w:sz w:val="24"/>
              </w:rPr>
              <w:t>①应同时具有地质灾害治理工程设计和施工乙级（含乙级）以上资质；仅有地质灾害治理工程施工资质的投标人，可以联合具有地质灾害治理工程设计资质的单位共同投标；</w:t>
            </w:r>
            <w:r>
              <w:rPr>
                <w:rFonts w:hint="eastAsia" w:ascii="仿宋" w:hAnsi="仿宋" w:eastAsia="仿宋" w:cs="仿宋"/>
                <w:color w:val="FF0000"/>
                <w:sz w:val="24"/>
                <w:lang w:val="en-US" w:eastAsia="zh-CN"/>
              </w:rPr>
              <w:t>项目负责人</w:t>
            </w:r>
            <w:r>
              <w:rPr>
                <w:rFonts w:hint="eastAsia" w:ascii="仿宋" w:hAnsi="仿宋" w:eastAsia="仿宋" w:cs="仿宋"/>
                <w:color w:val="FF0000"/>
                <w:sz w:val="24"/>
              </w:rPr>
              <w:t>应具备</w:t>
            </w:r>
            <w:r>
              <w:rPr>
                <w:rFonts w:hint="eastAsia" w:ascii="仿宋" w:hAnsi="仿宋" w:eastAsia="仿宋" w:cs="仿宋"/>
                <w:color w:val="FF0000"/>
                <w:sz w:val="24"/>
                <w:lang w:val="en-US" w:eastAsia="zh-CN"/>
              </w:rPr>
              <w:t>水文地质（或工程地质或环境地质）专业中级及以上职称</w:t>
            </w:r>
            <w:r>
              <w:rPr>
                <w:rFonts w:hint="eastAsia" w:ascii="仿宋" w:hAnsi="仿宋" w:eastAsia="仿宋" w:cs="仿宋"/>
                <w:color w:val="FF0000"/>
                <w:sz w:val="24"/>
                <w:lang w:eastAsia="zh-CN"/>
              </w:rPr>
              <w:t>。</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color w:val="FF0000"/>
                <w:sz w:val="24"/>
              </w:rPr>
              <w:t>标项二：（1）具有有效营业执照；（2）提供地质灾害防治工程监理乙级（含乙级）以上资质证书；（</w:t>
            </w:r>
            <w:r>
              <w:rPr>
                <w:rFonts w:hint="eastAsia" w:ascii="仿宋" w:hAnsi="仿宋" w:eastAsia="仿宋" w:cs="仿宋"/>
                <w:color w:val="FF0000"/>
                <w:sz w:val="24"/>
                <w:lang w:val="en-US" w:eastAsia="zh-CN"/>
              </w:rPr>
              <w:t>3</w:t>
            </w:r>
            <w:r>
              <w:rPr>
                <w:rFonts w:hint="eastAsia" w:ascii="仿宋" w:hAnsi="仿宋" w:eastAsia="仿宋" w:cs="仿宋"/>
                <w:color w:val="FF0000"/>
                <w:sz w:val="24"/>
              </w:rPr>
              <w:t>）供应商在人员、设备、资金等方面具有相应的履约能力，能够在项目所在地提供长期稳定的售后服务；（</w:t>
            </w:r>
            <w:r>
              <w:rPr>
                <w:rFonts w:hint="eastAsia" w:ascii="仿宋" w:hAnsi="仿宋" w:eastAsia="仿宋" w:cs="仿宋"/>
                <w:color w:val="FF0000"/>
                <w:sz w:val="24"/>
                <w:lang w:val="en-US" w:eastAsia="zh-CN"/>
              </w:rPr>
              <w:t>4</w:t>
            </w:r>
            <w:r>
              <w:rPr>
                <w:rFonts w:hint="eastAsia" w:ascii="仿宋" w:hAnsi="仿宋" w:eastAsia="仿宋" w:cs="仿宋"/>
                <w:color w:val="FF0000"/>
                <w:sz w:val="24"/>
              </w:rPr>
              <w:t>）单位负责人为同一人或者存在直接控股、管理关系的不同供应商，不得参加同一合同下的政府采购活动；（</w:t>
            </w:r>
            <w:r>
              <w:rPr>
                <w:rFonts w:hint="eastAsia" w:ascii="仿宋" w:hAnsi="仿宋" w:eastAsia="仿宋" w:cs="仿宋"/>
                <w:color w:val="FF0000"/>
                <w:sz w:val="24"/>
                <w:lang w:val="en-US" w:eastAsia="zh-CN"/>
              </w:rPr>
              <w:t>5</w:t>
            </w:r>
            <w:r>
              <w:rPr>
                <w:rFonts w:hint="eastAsia" w:ascii="仿宋" w:hAnsi="仿宋" w:eastAsia="仿宋" w:cs="仿宋"/>
                <w:color w:val="FF0000"/>
                <w:sz w:val="24"/>
              </w:rPr>
              <w:t>）供应商未被列入中国执行信息公开网（http://zxgk.court.gov.cn/shixin/）失信被执行人名单（企业、法定代表人）、信用中国网站（www.creditchina.gov.cn）重大税收违法案件当事人名单和中国政府采购网（www.ccgp.gov.cn）政府采购严重违法失信行为记录名单；（</w:t>
            </w:r>
            <w:r>
              <w:rPr>
                <w:rFonts w:hint="eastAsia" w:ascii="仿宋" w:hAnsi="仿宋" w:eastAsia="仿宋" w:cs="仿宋"/>
                <w:color w:val="FF0000"/>
                <w:sz w:val="24"/>
                <w:lang w:val="en-US" w:eastAsia="zh-CN"/>
              </w:rPr>
              <w:t>6</w:t>
            </w:r>
            <w:r>
              <w:rPr>
                <w:rFonts w:hint="eastAsia" w:ascii="仿宋" w:hAnsi="仿宋" w:eastAsia="仿宋" w:cs="仿宋"/>
                <w:color w:val="FF0000"/>
                <w:sz w:val="24"/>
              </w:rPr>
              <w:t>）法律、行政法规规定的其他条件。</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7、提供针对本次项目的反商业贿赂承诺书；</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8、参加政府采购活动前三年内，在经营活动中没有重大违法记录承诺书；</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9、投标保证金有效凭证及银行开户许可证加盖鲜章；</w:t>
            </w:r>
          </w:p>
          <w:p>
            <w:pPr>
              <w:pageBreakBefore w:val="0"/>
              <w:kinsoku/>
              <w:wordWrap w:val="0"/>
              <w:overflowPunct/>
              <w:topLinePunct w:val="0"/>
              <w:bidi w:val="0"/>
              <w:spacing w:line="240" w:lineRule="atLeast"/>
              <w:rPr>
                <w:sz w:val="24"/>
              </w:rPr>
            </w:pPr>
            <w:r>
              <w:rPr>
                <w:rFonts w:hint="eastAsia" w:ascii="仿宋" w:hAnsi="仿宋" w:eastAsia="仿宋" w:cs="仿宋"/>
                <w:sz w:val="24"/>
              </w:rPr>
              <w:t>10、法律、行政法规规定的其他条件。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1.4</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标项一：</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工程规模：依据《新疆伊吾县北山胜利峰崩塌泥石流灾害专项勘查报告》并结合现场地质灾害现状，于胜利峰一带重点选取几处地质灾害隐患点开展地质灾害防治工作，通过防治工程的实施，减轻或消除崩塌泥石流对胜利峰一带人员及基础设施的威胁，保障当地的生命和财产安全。</w:t>
            </w:r>
          </w:p>
          <w:p>
            <w:pPr>
              <w:pageBreakBefore w:val="0"/>
              <w:kinsoku/>
              <w:wordWrap w:val="0"/>
              <w:overflowPunct/>
              <w:topLinePunct w:val="0"/>
              <w:bidi w:val="0"/>
              <w:spacing w:line="240" w:lineRule="atLeast"/>
              <w:rPr>
                <w:rFonts w:ascii="仿宋" w:hAnsi="仿宋" w:eastAsia="仿宋" w:cs="仿宋"/>
                <w:sz w:val="24"/>
              </w:rPr>
            </w:pPr>
            <w:r>
              <w:rPr>
                <w:rFonts w:ascii="仿宋" w:hAnsi="仿宋" w:eastAsia="仿宋" w:cs="仿宋"/>
                <w:sz w:val="24"/>
              </w:rPr>
              <w:t>合同履约期限:</w:t>
            </w:r>
            <w:r>
              <w:rPr>
                <w:rFonts w:hint="eastAsia" w:ascii="仿宋" w:hAnsi="仿宋" w:eastAsia="仿宋" w:cs="仿宋"/>
                <w:sz w:val="24"/>
              </w:rPr>
              <w:t xml:space="preserve"> 2022年3月-2022年12月，其中：8月30日前完成野外施工工作；9月30日前完成项目初验；10月30日前完成竣工验收，11月15日提交项目成果报告。2023年10月30日完成工程复验。</w:t>
            </w:r>
          </w:p>
          <w:p>
            <w:pPr>
              <w:pageBreakBefore w:val="0"/>
              <w:kinsoku/>
              <w:wordWrap w:val="0"/>
              <w:overflowPunct/>
              <w:topLinePunct w:val="0"/>
              <w:bidi w:val="0"/>
              <w:spacing w:line="240" w:lineRule="atLeast"/>
              <w:rPr>
                <w:rFonts w:ascii="仿宋" w:hAnsi="仿宋" w:eastAsia="仿宋" w:cs="仿宋"/>
                <w:sz w:val="24"/>
              </w:rPr>
            </w:pPr>
            <w:r>
              <w:rPr>
                <w:rFonts w:ascii="仿宋" w:hAnsi="仿宋" w:eastAsia="仿宋" w:cs="仿宋"/>
                <w:sz w:val="24"/>
              </w:rPr>
              <w:t>质量要求</w:t>
            </w:r>
            <w:r>
              <w:rPr>
                <w:rFonts w:hint="eastAsia" w:ascii="仿宋" w:hAnsi="仿宋" w:eastAsia="仿宋" w:cs="仿宋"/>
                <w:sz w:val="24"/>
              </w:rPr>
              <w:t>：</w:t>
            </w:r>
            <w:r>
              <w:rPr>
                <w:rFonts w:ascii="仿宋" w:hAnsi="仿宋" w:eastAsia="仿宋" w:cs="仿宋"/>
                <w:sz w:val="24"/>
              </w:rPr>
              <w:t>国家验评标准规定的合格及以上标准</w:t>
            </w:r>
            <w:r>
              <w:rPr>
                <w:rFonts w:hint="eastAsia" w:ascii="仿宋" w:hAnsi="仿宋" w:eastAsia="仿宋" w:cs="仿宋"/>
                <w:sz w:val="24"/>
              </w:rPr>
              <w:t>。</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标项二：</w:t>
            </w:r>
          </w:p>
          <w:p>
            <w:pPr>
              <w:pageBreakBefore w:val="0"/>
              <w:kinsoku/>
              <w:wordWrap w:val="0"/>
              <w:overflowPunct/>
              <w:topLinePunct w:val="0"/>
              <w:bidi w:val="0"/>
              <w:spacing w:line="240" w:lineRule="atLeast"/>
              <w:rPr>
                <w:rFonts w:ascii="仿宋" w:hAnsi="仿宋" w:eastAsia="仿宋" w:cs="仿宋"/>
                <w:sz w:val="24"/>
              </w:rPr>
            </w:pPr>
            <w:r>
              <w:rPr>
                <w:rFonts w:ascii="仿宋" w:hAnsi="仿宋" w:eastAsia="仿宋" w:cs="仿宋"/>
                <w:sz w:val="24"/>
              </w:rPr>
              <w:t>招标范围</w:t>
            </w:r>
            <w:r>
              <w:rPr>
                <w:rFonts w:hint="eastAsia" w:ascii="仿宋" w:hAnsi="仿宋" w:eastAsia="仿宋" w:cs="仿宋"/>
                <w:sz w:val="24"/>
              </w:rPr>
              <w:t>：</w:t>
            </w:r>
            <w:r>
              <w:rPr>
                <w:rFonts w:ascii="仿宋" w:hAnsi="仿宋" w:eastAsia="仿宋" w:cs="仿宋"/>
                <w:sz w:val="24"/>
              </w:rPr>
              <w:t>项目全过程的监理服务</w:t>
            </w:r>
          </w:p>
          <w:p>
            <w:pPr>
              <w:pageBreakBefore w:val="0"/>
              <w:kinsoku/>
              <w:wordWrap w:val="0"/>
              <w:overflowPunct/>
              <w:topLinePunct w:val="0"/>
              <w:bidi w:val="0"/>
              <w:spacing w:line="240" w:lineRule="atLeast"/>
              <w:rPr>
                <w:rFonts w:ascii="仿宋" w:hAnsi="仿宋" w:eastAsia="仿宋" w:cs="仿宋"/>
                <w:sz w:val="24"/>
              </w:rPr>
            </w:pPr>
            <w:r>
              <w:rPr>
                <w:rFonts w:ascii="仿宋" w:hAnsi="仿宋" w:eastAsia="仿宋" w:cs="仿宋"/>
                <w:sz w:val="24"/>
              </w:rPr>
              <w:t>质量要求</w:t>
            </w:r>
            <w:r>
              <w:rPr>
                <w:rFonts w:hint="eastAsia" w:ascii="仿宋" w:hAnsi="仿宋" w:eastAsia="仿宋" w:cs="仿宋"/>
                <w:sz w:val="24"/>
              </w:rPr>
              <w:t>：</w:t>
            </w:r>
            <w:r>
              <w:rPr>
                <w:rFonts w:ascii="仿宋" w:hAnsi="仿宋" w:eastAsia="仿宋" w:cs="仿宋"/>
                <w:sz w:val="24"/>
              </w:rPr>
              <w:t>国家验评标准规定的合格及以上标准</w:t>
            </w:r>
            <w:r>
              <w:rPr>
                <w:rFonts w:hint="eastAsia" w:ascii="仿宋" w:hAnsi="仿宋" w:eastAsia="仿宋" w:cs="仿宋"/>
                <w:sz w:val="24"/>
              </w:rPr>
              <w:t>。</w:t>
            </w:r>
          </w:p>
          <w:p>
            <w:pPr>
              <w:pageBreakBefore w:val="0"/>
              <w:kinsoku/>
              <w:wordWrap w:val="0"/>
              <w:overflowPunct/>
              <w:topLinePunct w:val="0"/>
              <w:bidi w:val="0"/>
              <w:spacing w:line="240" w:lineRule="atLeast"/>
              <w:rPr>
                <w:sz w:val="24"/>
              </w:rPr>
            </w:pPr>
            <w:r>
              <w:rPr>
                <w:rFonts w:ascii="仿宋" w:hAnsi="仿宋" w:eastAsia="仿宋" w:cs="仿宋"/>
                <w:sz w:val="24"/>
              </w:rPr>
              <w:t>监理期限</w:t>
            </w:r>
            <w:r>
              <w:rPr>
                <w:rFonts w:hint="eastAsia" w:ascii="仿宋" w:hAnsi="仿宋" w:eastAsia="仿宋" w:cs="仿宋"/>
                <w:sz w:val="24"/>
              </w:rPr>
              <w:t>：</w:t>
            </w:r>
            <w:r>
              <w:rPr>
                <w:rFonts w:ascii="仿宋" w:hAnsi="仿宋" w:eastAsia="仿宋" w:cs="仿宋"/>
                <w:sz w:val="24"/>
              </w:rPr>
              <w:t>按施工工期计划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1.5</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ascii="仿宋" w:hAnsi="仿宋" w:eastAsia="仿宋" w:cs="仿宋"/>
                <w:sz w:val="24"/>
              </w:rPr>
              <w:t>建设地点：伊吾县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1.6</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是否为专门面向中小企业采购：</w:t>
            </w:r>
            <w:r>
              <w:rPr>
                <w:rFonts w:hint="eastAsia" w:ascii="仿宋" w:hAnsi="仿宋" w:eastAsia="仿宋" w:cs="仿宋"/>
                <w:sz w:val="24"/>
                <w:u w:val="single"/>
              </w:rPr>
              <w:t xml:space="preserve"> 否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1.7</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标项一：伊吾县北山胜利峰崩塌泥石流防治工程；本项目（是）接受联合体投标。</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标项二：伊吾县北山胜利峰崩塌泥石流防治工程（监理）；本项目（否）接受联合体投标。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1.8</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联合体的其他资格要求：</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1.联合体投标的，应签订联合体投标协议书，确定联合牵头人并确定各方的权利和义务；项目牵头投标单位为专业地质类单位；</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3.联合体成员签订联合体协议书后，不得再以自己的名义单独投标，也不得组成新的联合体或参加其他联合体在本项目中投标。</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4.联合体投标协议书格式自拟。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2</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项目总预算金额：300.00万元；</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标项一：预算金额：</w:t>
            </w:r>
            <w:r>
              <w:rPr>
                <w:rFonts w:ascii="仿宋" w:hAnsi="仿宋" w:eastAsia="仿宋" w:cs="仿宋"/>
                <w:sz w:val="24"/>
              </w:rPr>
              <w:t>286.5</w:t>
            </w:r>
            <w:r>
              <w:rPr>
                <w:rFonts w:hint="eastAsia" w:ascii="仿宋" w:hAnsi="仿宋" w:eastAsia="仿宋" w:cs="仿宋"/>
                <w:sz w:val="24"/>
              </w:rPr>
              <w:t>0万元；最高限价：</w:t>
            </w:r>
            <w:r>
              <w:rPr>
                <w:rFonts w:ascii="仿宋" w:hAnsi="仿宋" w:eastAsia="仿宋" w:cs="仿宋"/>
                <w:sz w:val="24"/>
              </w:rPr>
              <w:t>286.50</w:t>
            </w:r>
            <w:r>
              <w:rPr>
                <w:rFonts w:hint="eastAsia" w:ascii="仿宋" w:hAnsi="仿宋" w:eastAsia="仿宋" w:cs="仿宋"/>
                <w:sz w:val="24"/>
              </w:rPr>
              <w:t>万元</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标项二：预算金额：</w:t>
            </w:r>
            <w:r>
              <w:rPr>
                <w:rFonts w:ascii="仿宋" w:hAnsi="仿宋" w:eastAsia="仿宋" w:cs="仿宋"/>
                <w:sz w:val="24"/>
              </w:rPr>
              <w:t>13.5</w:t>
            </w:r>
            <w:r>
              <w:rPr>
                <w:rFonts w:hint="eastAsia" w:ascii="仿宋" w:hAnsi="仿宋" w:eastAsia="仿宋" w:cs="仿宋"/>
                <w:sz w:val="24"/>
              </w:rPr>
              <w:t>0万元；最高限价：</w:t>
            </w:r>
            <w:r>
              <w:rPr>
                <w:rFonts w:ascii="仿宋" w:hAnsi="仿宋" w:eastAsia="仿宋" w:cs="仿宋"/>
                <w:sz w:val="24"/>
              </w:rPr>
              <w:t>13.50</w:t>
            </w:r>
            <w:r>
              <w:rPr>
                <w:rFonts w:hint="eastAsia" w:ascii="仿宋" w:hAnsi="仿宋" w:eastAsia="仿宋" w:cs="仿宋"/>
                <w:sz w:val="24"/>
              </w:rPr>
              <w:t>万元</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资金来源：2022年中央自然灾害防治体系建设项目补助资金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2.1</w:t>
            </w:r>
          </w:p>
        </w:tc>
        <w:tc>
          <w:tcPr>
            <w:tcW w:w="6840" w:type="dxa"/>
            <w:vAlign w:val="center"/>
          </w:tcPr>
          <w:p>
            <w:pPr>
              <w:pStyle w:val="11"/>
              <w:pageBreakBefore w:val="0"/>
              <w:kinsoku/>
              <w:wordWrap w:val="0"/>
              <w:overflowPunct/>
              <w:topLinePunct w:val="0"/>
              <w:bidi w:val="0"/>
              <w:ind w:firstLine="0"/>
              <w:rPr>
                <w:rFonts w:ascii="仿宋" w:hAnsi="仿宋" w:eastAsia="仿宋" w:cs="仿宋"/>
                <w:kern w:val="2"/>
                <w:szCs w:val="24"/>
              </w:rPr>
            </w:pPr>
            <w:r>
              <w:rPr>
                <w:rFonts w:hint="eastAsia" w:ascii="仿宋" w:hAnsi="仿宋" w:eastAsia="仿宋" w:cs="仿宋"/>
                <w:kern w:val="2"/>
                <w:szCs w:val="24"/>
              </w:rPr>
              <w:t>投标保证金形式：</w:t>
            </w:r>
            <w:r>
              <w:rPr>
                <w:rFonts w:hint="eastAsia" w:ascii="仿宋" w:hAnsi="仿宋" w:eastAsia="仿宋" w:cs="仿宋"/>
                <w:szCs w:val="24"/>
              </w:rPr>
              <w:t>☑对公转账□保函□保单☑电汇</w:t>
            </w:r>
          </w:p>
          <w:p>
            <w:pPr>
              <w:pageBreakBefore w:val="0"/>
              <w:kinsoku/>
              <w:wordWrap w:val="0"/>
              <w:overflowPunct/>
              <w:topLinePunct w:val="0"/>
              <w:bidi w:val="0"/>
              <w:rPr>
                <w:rFonts w:ascii="仿宋" w:hAnsi="仿宋" w:eastAsia="仿宋" w:cs="仿宋"/>
                <w:b/>
                <w:bCs/>
                <w:sz w:val="24"/>
              </w:rPr>
            </w:pPr>
            <w:r>
              <w:rPr>
                <w:rFonts w:hint="eastAsia" w:ascii="仿宋" w:hAnsi="仿宋" w:eastAsia="仿宋" w:cs="仿宋"/>
                <w:sz w:val="24"/>
              </w:rPr>
              <w:t>保证金数额：标项一：</w:t>
            </w:r>
            <w:r>
              <w:rPr>
                <w:rFonts w:hint="eastAsia" w:ascii="仿宋" w:hAnsi="仿宋" w:eastAsia="仿宋" w:cs="仿宋"/>
                <w:sz w:val="24"/>
                <w:lang w:val="en-US" w:eastAsia="zh-CN"/>
              </w:rPr>
              <w:t>50000.00</w:t>
            </w:r>
            <w:r>
              <w:rPr>
                <w:rFonts w:hint="eastAsia" w:ascii="仿宋" w:hAnsi="仿宋" w:eastAsia="仿宋" w:cs="仿宋"/>
                <w:sz w:val="24"/>
              </w:rPr>
              <w:t>元；标项二：2000.00元。</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 xml:space="preserve">投标保证金收款人：新疆中业建设工程项目管理有限公司哈密分公司            </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开户名：新疆中业建设工程项目管理有限公司哈密分公司</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开户账号：6603 0101 3020 2407 5</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开户银行：哈密红星国民村镇银行有限责任公司</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行号：3208 8400 0025</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联系人：李林斐   电话：0902-2200006</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投标人在投标截止时间前3个工作日（因考虑异地、跨行、公休日等因素造成的保证金到账延迟风险）必须交纳投标保证金，以确保保证金在投标截止时间前到账，以便新疆中业建设工程项目管理有限公司获取保证金开户银行的出具收款单后，出具保证金收据。未按此时限要求办理保证金交纳事宜，致使投标保证金未能在投标截止时间前到账，不能正常获取保证金收据的责任由投标人自负。</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投标人未交纳投标保证金的，其投标将被拒绝。</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投标保证金交纳及确认方式：投标保证金提交方式为银行电汇或银行转账方式交纳，并从投标人的基本账户转出，个人交款无效，并在汇款单或现金交款单上注明投标项目名称。</w:t>
            </w:r>
          </w:p>
          <w:p>
            <w:pPr>
              <w:pageBreakBefore w:val="0"/>
              <w:kinsoku/>
              <w:wordWrap w:val="0"/>
              <w:overflowPunct/>
              <w:topLinePunct w:val="0"/>
              <w:bidi w:val="0"/>
              <w:rPr>
                <w:rFonts w:ascii="仿宋" w:hAnsi="仿宋" w:eastAsia="仿宋" w:cs="仿宋"/>
                <w:sz w:val="24"/>
              </w:rPr>
            </w:pPr>
            <w:r>
              <w:rPr>
                <w:rFonts w:hint="eastAsia" w:ascii="仿宋" w:hAnsi="仿宋" w:eastAsia="仿宋" w:cs="仿宋"/>
                <w:sz w:val="24"/>
              </w:rPr>
              <w:t>制作投标文件，所附投标保证金缴纳的复印件是指：</w:t>
            </w:r>
            <w:r>
              <w:rPr>
                <w:rFonts w:hint="eastAsia" w:ascii="仿宋" w:hAnsi="仿宋" w:eastAsia="仿宋" w:cs="仿宋"/>
                <w:b/>
                <w:bCs/>
                <w:sz w:val="24"/>
              </w:rPr>
              <w:t>投标保证金银行汇款或转账凭证或招标代理出具的投标保证金收据复印件加盖公章。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3</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4</w:t>
            </w:r>
          </w:p>
        </w:tc>
        <w:tc>
          <w:tcPr>
            <w:tcW w:w="6840" w:type="dxa"/>
            <w:vAlign w:val="center"/>
          </w:tcPr>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投标文件包括“开标一览表及资格证明文件”、“商务投标文件”和“技术投标方案”三部分，三部分分别胶装成册密封递交。</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招标文件：正本：壹份、副本：陆份；（正、副本分别单独密封提交，密封袋封面右上角标明“正本”和“副本”字样）</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投标单位必须制作“开标一览表”并单独密封提交，并在密封袋上标明“开标一览表”的字样。不按要求标注或不单独提交报价一览表，其投标文件将被拒绝。</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除上述文件外，还须密封递交投标文件电子文档1份。投标人必须制作“电子版U盘”并单独密封提交。电子版U盘必须是正本扫描件，并制作成与正本完全一致PDF格式文本及Word文档两个格式。U盘不小于8GB。不按要求提交电子版U盘，其投标无效。</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投标文件使用A4，胶装，每册装订应牢固、不易拆散和换页，不得采用活页装订。除上述文件外，还须密封递交投标文件电子文档1份。</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投标文件的签署及规定：</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投标人应按投标人须知资料表中的规定，准备和递交投标文件，每份投标文件封皮须清楚地标明“正本”或“副本”。若正本和副本不符，以正本为准。</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投标文件的正本需打印或用不褪色墨水书写，并由投标人的法定代表人或委托代理人按招标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所有包装封皮和信封上均应：</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注明招标公告指明的项目名称、项目编号、包号、投标人名称和“在（开标时间）之前不得启封”的字样。</w:t>
            </w:r>
          </w:p>
          <w:p>
            <w:pPr>
              <w:pageBreakBefore w:val="0"/>
              <w:kinsoku/>
              <w:wordWrap w:val="0"/>
              <w:overflowPunct/>
              <w:topLinePunct w:val="0"/>
              <w:bidi w:val="0"/>
              <w:rPr>
                <w:rFonts w:ascii="仿宋" w:hAnsi="仿宋" w:eastAsia="仿宋" w:cs="仿宋"/>
                <w:sz w:val="24"/>
                <w:u w:val="single"/>
              </w:rPr>
            </w:pPr>
            <w:r>
              <w:rPr>
                <w:rFonts w:hint="eastAsia" w:ascii="仿宋" w:hAnsi="仿宋" w:eastAsia="仿宋" w:cs="仿宋"/>
                <w:b/>
                <w:bCs/>
                <w:sz w:val="24"/>
              </w:rPr>
              <w:t>在封口处由法定代表人或委托代理人签字并加盖投标人单位章。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5</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投标截止时间：</w:t>
            </w:r>
            <w:r>
              <w:rPr>
                <w:rFonts w:hint="eastAsia" w:ascii="仿宋" w:hAnsi="仿宋" w:eastAsia="仿宋"/>
                <w:color w:val="FF0000"/>
                <w:sz w:val="24"/>
              </w:rPr>
              <w:t>2022年3月</w:t>
            </w:r>
            <w:r>
              <w:rPr>
                <w:rFonts w:hint="eastAsia" w:ascii="仿宋" w:hAnsi="仿宋" w:eastAsia="仿宋"/>
                <w:color w:val="FF0000"/>
                <w:sz w:val="24"/>
                <w:lang w:val="en-US" w:eastAsia="zh-CN"/>
              </w:rPr>
              <w:t>16</w:t>
            </w:r>
            <w:r>
              <w:rPr>
                <w:rFonts w:hint="eastAsia" w:ascii="仿宋" w:hAnsi="仿宋" w:eastAsia="仿宋"/>
                <w:color w:val="FF0000"/>
                <w:sz w:val="24"/>
              </w:rPr>
              <w:t>日</w:t>
            </w:r>
            <w:r>
              <w:rPr>
                <w:rFonts w:hint="eastAsia" w:ascii="仿宋" w:hAnsi="仿宋" w:eastAsia="仿宋"/>
                <w:sz w:val="24"/>
              </w:rPr>
              <w:t xml:space="preserve"> 10:30（北京时间）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5.1</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highlight w:val="red"/>
                <w:u w:val="single"/>
              </w:rPr>
            </w:pPr>
            <w:r>
              <w:rPr>
                <w:rFonts w:hint="eastAsia" w:ascii="仿宋" w:hAnsi="仿宋" w:eastAsia="仿宋" w:cs="仿宋"/>
                <w:sz w:val="24"/>
              </w:rPr>
              <w:t>开标时间：</w:t>
            </w:r>
            <w:r>
              <w:rPr>
                <w:rFonts w:hint="eastAsia" w:ascii="仿宋" w:hAnsi="仿宋" w:eastAsia="仿宋"/>
                <w:color w:val="FF0000"/>
                <w:sz w:val="24"/>
              </w:rPr>
              <w:t>2022年3月</w:t>
            </w:r>
            <w:r>
              <w:rPr>
                <w:rFonts w:hint="eastAsia" w:ascii="仿宋" w:hAnsi="仿宋" w:eastAsia="仿宋"/>
                <w:color w:val="FF0000"/>
                <w:sz w:val="24"/>
                <w:lang w:val="en-US" w:eastAsia="zh-CN"/>
              </w:rPr>
              <w:t>16</w:t>
            </w:r>
            <w:r>
              <w:rPr>
                <w:rFonts w:hint="eastAsia" w:ascii="仿宋" w:hAnsi="仿宋" w:eastAsia="仿宋"/>
                <w:color w:val="FF0000"/>
                <w:sz w:val="24"/>
              </w:rPr>
              <w:t>日</w:t>
            </w:r>
            <w:r>
              <w:rPr>
                <w:rFonts w:hint="eastAsia" w:ascii="仿宋" w:hAnsi="仿宋" w:eastAsia="仿宋"/>
                <w:sz w:val="24"/>
              </w:rPr>
              <w:t xml:space="preserve"> 10:30（北京时间）</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开标地点：新疆哈密市伊州区大营房建设大厦2楼开标室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6</w:t>
            </w:r>
          </w:p>
        </w:tc>
        <w:tc>
          <w:tcPr>
            <w:tcW w:w="6840" w:type="dxa"/>
            <w:vAlign w:val="center"/>
          </w:tcPr>
          <w:p>
            <w:pPr>
              <w:pageBreakBefore w:val="0"/>
              <w:kinsoku/>
              <w:wordWrap w:val="0"/>
              <w:overflowPunct/>
              <w:topLinePunct w:val="0"/>
              <w:bidi w:val="0"/>
              <w:spacing w:line="240" w:lineRule="atLeast"/>
              <w:rPr>
                <w:rFonts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6.1</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pageBreakBefore w:val="0"/>
              <w:kinsoku/>
              <w:wordWrap w:val="0"/>
              <w:overflowPunct/>
              <w:topLinePunct w:val="0"/>
              <w:bidi w:val="0"/>
              <w:spacing w:line="240" w:lineRule="atLeast"/>
              <w:ind w:left="1080" w:leftChars="257" w:hanging="540"/>
              <w:rPr>
                <w:rFonts w:ascii="仿宋" w:hAnsi="仿宋" w:eastAsia="仿宋" w:cs="仿宋"/>
                <w:sz w:val="24"/>
              </w:rPr>
            </w:pPr>
            <w:r>
              <w:rPr>
                <w:rFonts w:hint="eastAsia" w:ascii="仿宋" w:hAnsi="仿宋" w:eastAsia="仿宋" w:cs="仿宋"/>
                <w:sz w:val="24"/>
              </w:rPr>
              <w:t>6.2</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招标人是否委托评标委员会直接确定中标人：</w:t>
            </w:r>
            <w:r>
              <w:rPr>
                <w:rFonts w:hint="eastAsia" w:ascii="仿宋" w:hAnsi="仿宋" w:eastAsia="仿宋" w:cs="仿宋"/>
                <w:sz w:val="24"/>
                <w:u w:val="single"/>
              </w:rPr>
              <w:t xml:space="preserve">否 </w:t>
            </w:r>
            <w:r>
              <w:rPr>
                <w:rFonts w:hint="eastAsia" w:ascii="仿宋" w:hAnsi="仿宋" w:eastAsia="仿宋" w:cs="仿宋"/>
                <w:sz w:val="24"/>
              </w:rPr>
              <w:t xml:space="preserve">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7</w:t>
            </w:r>
          </w:p>
        </w:tc>
        <w:tc>
          <w:tcPr>
            <w:tcW w:w="6840" w:type="dxa"/>
            <w:vAlign w:val="center"/>
          </w:tcPr>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履约保证金金额</w:t>
            </w:r>
            <w:r>
              <w:rPr>
                <w:rFonts w:hint="eastAsia" w:ascii="仿宋" w:hAnsi="仿宋" w:eastAsia="仿宋" w:cs="仿宋"/>
                <w:color w:val="FF0000"/>
                <w:sz w:val="24"/>
              </w:rPr>
              <w:t>：10%（</w:t>
            </w:r>
            <w:r>
              <w:rPr>
                <w:rFonts w:hint="eastAsia" w:ascii="仿宋" w:hAnsi="仿宋" w:eastAsia="仿宋" w:cs="仿宋"/>
                <w:sz w:val="24"/>
              </w:rPr>
              <w:t>不得超过政府采购合同金额的10%）。</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 xml:space="preserve">履约保证金形式： </w:t>
            </w:r>
            <w:bookmarkStart w:id="247" w:name="_Hlk22725541"/>
            <w:r>
              <w:rPr>
                <w:rFonts w:hint="eastAsia" w:ascii="仿宋" w:hAnsi="仿宋" w:eastAsia="仿宋" w:cs="仿宋"/>
                <w:sz w:val="24"/>
              </w:rPr>
              <w:t>电汇、企业账户网银汇款</w:t>
            </w:r>
            <w:bookmarkEnd w:id="247"/>
            <w:r>
              <w:rPr>
                <w:rFonts w:hint="eastAsia" w:ascii="仿宋" w:hAnsi="仿宋" w:eastAsia="仿宋" w:cs="仿宋"/>
                <w:sz w:val="24"/>
              </w:rPr>
              <w:t xml:space="preserve">。 </w:t>
            </w:r>
          </w:p>
          <w:p>
            <w:pPr>
              <w:pageBreakBefore w:val="0"/>
              <w:kinsoku/>
              <w:wordWrap w:val="0"/>
              <w:overflowPunct/>
              <w:topLinePunct w:val="0"/>
              <w:bidi w:val="0"/>
              <w:spacing w:line="240" w:lineRule="atLeast"/>
              <w:rPr>
                <w:rFonts w:ascii="仿宋" w:hAnsi="仿宋" w:eastAsia="仿宋" w:cs="仿宋"/>
                <w:sz w:val="24"/>
              </w:rPr>
            </w:pPr>
            <w:r>
              <w:rPr>
                <w:rFonts w:hint="eastAsia" w:ascii="仿宋" w:hAnsi="仿宋" w:eastAsia="仿宋" w:cs="仿宋"/>
                <w:sz w:val="24"/>
              </w:rPr>
              <w:t>提交履约保证金的时间： 在中标通知书发出后</w:t>
            </w:r>
            <w:r>
              <w:rPr>
                <w:rFonts w:hint="eastAsia" w:ascii="仿宋" w:hAnsi="仿宋" w:eastAsia="仿宋" w:cs="仿宋"/>
                <w:sz w:val="24"/>
                <w:u w:val="single"/>
              </w:rPr>
              <w:t xml:space="preserve">  3  </w:t>
            </w:r>
            <w:r>
              <w:rPr>
                <w:rFonts w:hint="eastAsia" w:ascii="仿宋" w:hAnsi="仿宋" w:eastAsia="仿宋" w:cs="仿宋"/>
                <w:sz w:val="24"/>
              </w:rPr>
              <w:t>日历日内。</w:t>
            </w:r>
          </w:p>
          <w:p>
            <w:pPr>
              <w:pageBreakBefore w:val="0"/>
              <w:kinsoku/>
              <w:wordWrap w:val="0"/>
              <w:overflowPunct/>
              <w:topLinePunct w:val="0"/>
              <w:bidi w:val="0"/>
              <w:spacing w:line="240" w:lineRule="atLeast"/>
              <w:rPr>
                <w:rFonts w:ascii="仿宋" w:hAnsi="仿宋" w:eastAsia="仿宋" w:cs="仿宋"/>
                <w:sz w:val="24"/>
                <w:u w:val="single"/>
              </w:rPr>
            </w:pPr>
            <w:r>
              <w:rPr>
                <w:rFonts w:hint="eastAsia" w:ascii="仿宋" w:hAnsi="仿宋" w:eastAsia="仿宋" w:cs="仿宋"/>
                <w:sz w:val="24"/>
              </w:rPr>
              <w:t>履约保证金收款人：伊吾县自然资源局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8</w:t>
            </w:r>
          </w:p>
        </w:tc>
        <w:tc>
          <w:tcPr>
            <w:tcW w:w="6840" w:type="dxa"/>
            <w:vAlign w:val="center"/>
          </w:tcPr>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1、招标代理服务费由中标人支付：</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交纳时间：中标结果公告结束后2日内</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交纳金额：</w:t>
            </w:r>
            <w:bookmarkStart w:id="248" w:name="EB2141701fe45e43ecb43361d4713eb39b"/>
            <w:r>
              <w:rPr>
                <w:rFonts w:hint="eastAsia" w:ascii="仿宋" w:hAnsi="仿宋" w:eastAsia="仿宋" w:cs="仿宋"/>
                <w:b/>
                <w:bCs/>
                <w:sz w:val="24"/>
              </w:rPr>
              <w:t>按中标价计取，执行计价格[2002]1980号文</w:t>
            </w:r>
            <w:bookmarkEnd w:id="248"/>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收款单位：新疆中业建设工程项目管理有限公司哈密分公司</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统一社会信用代码：91652201MA78FT3U28</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开户银行：中国农业银行股份有限公司哈密伊州支行</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银行账号：30287301040009751</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2、场地服务费：200.00元</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3、投标单位自行考虑疫情防控阶段人工、材料和机械的涨幅风险；开工后，如仍处在疫情防控阶段、疫情防控措施费依据国家相关规定，施工单位需提交专项的经采购单位和监理单位批准的专项防疫措施方案及签证资料才可计入到结算价中。</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4、退投标保证金收据格式：</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今收到：新疆中业建设工程项目管理有限公司哈密分公司</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要素：退保证金，项目名称写清楚。（如：退xxxxxxx项目的保证金）</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人民币：大小写金额写清楚。</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必须加盖单位财务专用章。</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注：退还投标保证金时，由投标单位携带本单位开具的退还投标保证金收据原件一份（格式如上）开标时递交至本代理公司。不得白条形式写收据加盖财务专用章，项目名称写错、漏写或不正确都不予接收。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pageBreakBefore w:val="0"/>
              <w:kinsoku/>
              <w:wordWrap w:val="0"/>
              <w:overflowPunct/>
              <w:topLinePunct w:val="0"/>
              <w:bidi w:val="0"/>
              <w:spacing w:line="240" w:lineRule="atLeast"/>
              <w:jc w:val="center"/>
              <w:rPr>
                <w:rFonts w:ascii="仿宋" w:hAnsi="仿宋" w:eastAsia="仿宋" w:cs="仿宋"/>
                <w:sz w:val="24"/>
              </w:rPr>
            </w:pPr>
            <w:r>
              <w:rPr>
                <w:rFonts w:hint="eastAsia" w:ascii="仿宋" w:hAnsi="仿宋" w:eastAsia="仿宋" w:cs="仿宋"/>
                <w:sz w:val="24"/>
              </w:rPr>
              <w:t>9</w:t>
            </w:r>
          </w:p>
        </w:tc>
        <w:tc>
          <w:tcPr>
            <w:tcW w:w="6840" w:type="dxa"/>
            <w:vAlign w:val="center"/>
          </w:tcPr>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1、采购项目需要落实的政府采购政策：（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财政部、民政部、中国残疾人联合会《关于促进残疾人就业政府采购政策的通知》（财库[2017]141号）。</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2、中小微型企业有关政策：(1)根据工信部等部委发布的《关于印发中小企业划型标准规定的通知》（工信部联企业[2011]300号）规定执行；</w:t>
            </w:r>
          </w:p>
          <w:p>
            <w:pPr>
              <w:pageBreakBefore w:val="0"/>
              <w:kinsoku/>
              <w:wordWrap w:val="0"/>
              <w:overflowPunct/>
              <w:topLinePunct w:val="0"/>
              <w:bidi w:val="0"/>
              <w:spacing w:line="240" w:lineRule="atLeast"/>
              <w:rPr>
                <w:rFonts w:ascii="仿宋" w:hAnsi="仿宋" w:eastAsia="仿宋" w:cs="仿宋"/>
                <w:b/>
                <w:bCs/>
                <w:sz w:val="24"/>
              </w:rPr>
            </w:pPr>
            <w:r>
              <w:rPr>
                <w:rFonts w:hint="eastAsia" w:ascii="仿宋" w:hAnsi="仿宋" w:eastAsia="仿宋" w:cs="仿宋"/>
                <w:b/>
                <w:bCs/>
                <w:sz w:val="24"/>
              </w:rPr>
              <w:t>(2)价格扣除幅度：价格给予6%的扣除。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52"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pageBreakBefore w:val="0"/>
              <w:kinsoku/>
              <w:wordWrap w:val="0"/>
              <w:overflowPunct/>
              <w:topLinePunct w:val="0"/>
              <w:bidi w:val="0"/>
              <w:spacing w:line="240" w:lineRule="atLeast"/>
              <w:jc w:val="right"/>
              <w:rPr>
                <w:rFonts w:ascii="仿宋" w:hAnsi="仿宋" w:eastAsia="仿宋" w:cs="仿宋"/>
                <w:sz w:val="24"/>
              </w:rPr>
            </w:pPr>
          </w:p>
        </w:tc>
      </w:tr>
    </w:tbl>
    <w:p>
      <w:pPr>
        <w:pageBreakBefore w:val="0"/>
        <w:kinsoku/>
        <w:wordWrap w:val="0"/>
        <w:overflowPunct/>
        <w:topLinePunct w:val="0"/>
        <w:bidi w:val="0"/>
        <w:spacing w:line="240" w:lineRule="atLeast"/>
        <w:ind w:left="1080" w:leftChars="257" w:hanging="540"/>
        <w:rPr>
          <w:rFonts w:ascii="仿宋" w:hAnsi="仿宋" w:eastAsia="仿宋" w:cs="仿宋"/>
          <w:sz w:val="24"/>
        </w:rPr>
        <w:sectPr>
          <w:headerReference r:id="rId8" w:type="default"/>
          <w:footerReference r:id="rId10" w:type="default"/>
          <w:headerReference r:id="rId9" w:type="even"/>
          <w:footerReference r:id="rId11" w:type="even"/>
          <w:pgSz w:w="11906" w:h="16838"/>
          <w:pgMar w:top="1440" w:right="1797" w:bottom="1440" w:left="1797" w:header="851" w:footer="992" w:gutter="0"/>
          <w:cols w:space="720" w:num="1"/>
          <w:docGrid w:linePitch="312" w:charSpace="0"/>
        </w:sectPr>
      </w:pPr>
    </w:p>
    <w:p>
      <w:pPr>
        <w:pageBreakBefore w:val="0"/>
        <w:widowControl/>
        <w:kinsoku/>
        <w:wordWrap w:val="0"/>
        <w:overflowPunct/>
        <w:topLinePunct w:val="0"/>
        <w:bidi w:val="0"/>
        <w:jc w:val="center"/>
        <w:rPr>
          <w:rFonts w:ascii="仿宋" w:hAnsi="仿宋" w:eastAsia="仿宋" w:cs="仿宋"/>
          <w:b/>
          <w:kern w:val="0"/>
          <w:sz w:val="32"/>
          <w:szCs w:val="32"/>
        </w:rPr>
      </w:pPr>
      <w:bookmarkStart w:id="249" w:name="_Toc218935351"/>
      <w:bookmarkStart w:id="250" w:name="_Toc216582811"/>
      <w:bookmarkStart w:id="251" w:name="_Toc219175635"/>
      <w:bookmarkStart w:id="252" w:name="_Toc216513787"/>
      <w:r>
        <w:rPr>
          <w:rFonts w:hint="eastAsia" w:ascii="仿宋" w:hAnsi="仿宋" w:eastAsia="仿宋" w:cs="仿宋"/>
          <w:b/>
          <w:kern w:val="0"/>
          <w:sz w:val="32"/>
          <w:szCs w:val="32"/>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pageBreakBefore w:val="0"/>
              <w:widowControl/>
              <w:kinsoku/>
              <w:wordWrap w:val="0"/>
              <w:overflowPunct/>
              <w:topLinePunct w:val="0"/>
              <w:bidi w:val="0"/>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pageBreakBefore w:val="0"/>
              <w:widowControl/>
              <w:kinsoku/>
              <w:wordWrap w:val="0"/>
              <w:overflowPunct/>
              <w:topLinePunct w:val="0"/>
              <w:bidi w:val="0"/>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pageBreakBefore w:val="0"/>
              <w:widowControl/>
              <w:kinsoku/>
              <w:wordWrap w:val="0"/>
              <w:overflowPunct/>
              <w:topLinePunct w:val="0"/>
              <w:bidi w:val="0"/>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投标人</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ageBreakBefore w:val="0"/>
              <w:widowControl/>
              <w:kinsoku/>
              <w:wordWrap w:val="0"/>
              <w:overflowPunct/>
              <w:topLinePunct w:val="0"/>
              <w:bidi w:val="0"/>
              <w:jc w:val="left"/>
              <w:rPr>
                <w:rFonts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ageBreakBefore w:val="0"/>
              <w:widowControl/>
              <w:kinsoku/>
              <w:wordWrap w:val="0"/>
              <w:overflowPunct/>
              <w:topLinePunct w:val="0"/>
              <w:bidi w:val="0"/>
              <w:jc w:val="left"/>
              <w:rPr>
                <w:rFonts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pageBreakBefore w:val="0"/>
              <w:widowControl/>
              <w:kinsoku/>
              <w:wordWrap w:val="0"/>
              <w:overflowPunct/>
              <w:topLinePunct w:val="0"/>
              <w:bidi w:val="0"/>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pageBreakBefore w:val="0"/>
              <w:widowControl/>
              <w:kinsoku/>
              <w:wordWrap w:val="0"/>
              <w:overflowPunct/>
              <w:topLinePunct w:val="0"/>
              <w:bidi w:val="0"/>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578"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是否具备有效的营业执照</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71"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是否具备有效的资质证书</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65"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项目负责人是否符合招标文件要求</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1532"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供应商未被列入中国执行信息公开网（http://zxgk.court.gov.cn/shixin/）失信被执行人名单（企业、法定代表人）、信用中国网站（www.creditchina.gov.cn）重大税收违法案件当事人名单和中国政府采购网（www.ccgp.gov.cn）政府采购严重违法失信行为记录名单</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13"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是否具备有效的法定代表人授权委托书。授权委托书应由法定代表签章并加盖企业公章</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74"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是否具备有效的被授权人身份证</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568"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7</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是否按照招标文件要求缴纳投标保证金</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562"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8</w:t>
            </w:r>
          </w:p>
        </w:tc>
        <w:tc>
          <w:tcPr>
            <w:tcW w:w="6114"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联合体协议书（如有）。</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12"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9</w:t>
            </w:r>
          </w:p>
        </w:tc>
        <w:tc>
          <w:tcPr>
            <w:tcW w:w="6114" w:type="dxa"/>
            <w:tcBorders>
              <w:top w:val="nil"/>
              <w:left w:val="nil"/>
              <w:bottom w:val="single" w:color="auto" w:sz="4" w:space="0"/>
              <w:right w:val="single" w:color="auto" w:sz="4" w:space="0"/>
            </w:tcBorders>
          </w:tcPr>
          <w:p>
            <w:pPr>
              <w:pageBreakBefore w:val="0"/>
              <w:kinsoku/>
              <w:wordWrap w:val="0"/>
              <w:overflowPunct/>
              <w:topLinePunct w:val="0"/>
              <w:bidi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提供依法缴纳社会保障资金的良好记录；需提供近期3个月社保部门出具的投标单位的缴纳社保证；</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715"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r>
              <w:rPr>
                <w:rFonts w:ascii="仿宋" w:hAnsi="仿宋" w:eastAsia="仿宋" w:cs="仿宋"/>
                <w:color w:val="000000"/>
                <w:kern w:val="0"/>
                <w:sz w:val="22"/>
                <w:szCs w:val="22"/>
              </w:rPr>
              <w:t>0</w:t>
            </w:r>
          </w:p>
        </w:tc>
        <w:tc>
          <w:tcPr>
            <w:tcW w:w="6114" w:type="dxa"/>
            <w:tcBorders>
              <w:top w:val="nil"/>
              <w:left w:val="nil"/>
              <w:bottom w:val="single" w:color="auto" w:sz="4" w:space="0"/>
              <w:right w:val="single" w:color="auto" w:sz="4" w:space="0"/>
            </w:tcBorders>
          </w:tcPr>
          <w:p>
            <w:pPr>
              <w:pageBreakBefore w:val="0"/>
              <w:kinsoku/>
              <w:wordWrap w:val="0"/>
              <w:overflowPunct/>
              <w:topLinePunct w:val="0"/>
              <w:bidi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提供税务部门出具近3个月依法缴纳税收的完税证明原件（依法免缴的，应提供依法免缴的相关证明文件）；</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429"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r>
              <w:rPr>
                <w:rFonts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tcPr>
          <w:p>
            <w:pPr>
              <w:pageBreakBefore w:val="0"/>
              <w:kinsoku/>
              <w:wordWrap w:val="0"/>
              <w:overflowPunct/>
              <w:topLinePunct w:val="0"/>
              <w:bidi w:val="0"/>
              <w:rPr>
                <w:rFonts w:ascii="仿宋" w:hAnsi="仿宋" w:eastAsia="仿宋" w:cs="仿宋"/>
                <w:color w:val="000000"/>
                <w:kern w:val="0"/>
                <w:sz w:val="22"/>
                <w:szCs w:val="22"/>
              </w:rPr>
            </w:pPr>
            <w:r>
              <w:rPr>
                <w:rFonts w:hint="eastAsia" w:ascii="仿宋" w:hAnsi="仿宋" w:eastAsia="仿宋" w:cs="仿宋"/>
                <w:color w:val="000000"/>
                <w:kern w:val="0"/>
                <w:sz w:val="22"/>
                <w:szCs w:val="22"/>
              </w:rPr>
              <w:t>提供针对本次项目的反商业贿赂承诺书；</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629" w:hRule="exact"/>
        </w:trPr>
        <w:tc>
          <w:tcPr>
            <w:tcW w:w="740" w:type="dxa"/>
            <w:tcBorders>
              <w:top w:val="nil"/>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r>
              <w:rPr>
                <w:rFonts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tcPr>
          <w:p>
            <w:pPr>
              <w:pageBreakBefore w:val="0"/>
              <w:kinsoku/>
              <w:wordWrap w:val="0"/>
              <w:overflowPunct/>
              <w:topLinePunct w:val="0"/>
              <w:bidi w:val="0"/>
              <w:rPr>
                <w:rFonts w:ascii="仿宋" w:hAnsi="仿宋" w:eastAsia="仿宋" w:cs="仿宋"/>
                <w:color w:val="000000"/>
                <w:kern w:val="0"/>
                <w:sz w:val="22"/>
                <w:szCs w:val="22"/>
              </w:rPr>
            </w:pPr>
            <w:r>
              <w:rPr>
                <w:rFonts w:hint="eastAsia" w:ascii="仿宋" w:hAnsi="仿宋" w:eastAsia="仿宋" w:cs="仿宋"/>
                <w:color w:val="000000"/>
                <w:kern w:val="0"/>
                <w:sz w:val="22"/>
                <w:szCs w:val="22"/>
              </w:rPr>
              <w:t>参加政府采购活动前三年内，在经营活动中没有重大违法记录承诺书；</w:t>
            </w:r>
          </w:p>
        </w:tc>
        <w:tc>
          <w:tcPr>
            <w:tcW w:w="925"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753" w:hRule="exact"/>
        </w:trPr>
        <w:tc>
          <w:tcPr>
            <w:tcW w:w="6854"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1134" w:hRule="exact"/>
        </w:trPr>
        <w:tc>
          <w:tcPr>
            <w:tcW w:w="6854"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bookmarkStart w:id="253" w:name="_Toc218935354"/>
            <w:bookmarkStart w:id="254" w:name="_Toc518923126"/>
            <w:bookmarkStart w:id="255" w:name="_Toc216582825"/>
            <w:bookmarkStart w:id="256" w:name="_Toc7112"/>
            <w:bookmarkStart w:id="257" w:name="_Toc219175638"/>
            <w:bookmarkStart w:id="258" w:name="_Toc507399906"/>
            <w:r>
              <w:rPr>
                <w:rFonts w:hint="eastAsia" w:ascii="仿宋" w:hAnsi="仿宋" w:eastAsia="仿宋" w:cs="仿宋"/>
                <w:color w:val="000000"/>
                <w:kern w:val="0"/>
                <w:sz w:val="22"/>
                <w:szCs w:val="22"/>
              </w:rPr>
              <w:t>结论：是否通过评审（须填写通过或不通过）</w:t>
            </w:r>
          </w:p>
          <w:p>
            <w:pPr>
              <w:pageBreakBefore w:val="0"/>
              <w:widowControl/>
              <w:kinsoku/>
              <w:wordWrap w:val="0"/>
              <w:overflowPunct/>
              <w:topLinePunct w:val="0"/>
              <w:bidi w:val="0"/>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c>
          <w:tcPr>
            <w:tcW w:w="937" w:type="dxa"/>
            <w:tcBorders>
              <w:top w:val="single" w:color="auto" w:sz="4" w:space="0"/>
              <w:left w:val="nil"/>
              <w:bottom w:val="single" w:color="auto" w:sz="4" w:space="0"/>
              <w:right w:val="single" w:color="auto" w:sz="4" w:space="0"/>
            </w:tcBorders>
            <w:vAlign w:val="center"/>
          </w:tcPr>
          <w:p>
            <w:pPr>
              <w:pageBreakBefore w:val="0"/>
              <w:widowControl/>
              <w:kinsoku/>
              <w:wordWrap w:val="0"/>
              <w:overflowPunct/>
              <w:topLinePunct w:val="0"/>
              <w:bidi w:val="0"/>
              <w:jc w:val="left"/>
              <w:rPr>
                <w:rFonts w:ascii="仿宋" w:hAnsi="仿宋" w:eastAsia="仿宋" w:cs="仿宋"/>
                <w:color w:val="000000"/>
                <w:kern w:val="0"/>
                <w:sz w:val="22"/>
                <w:szCs w:val="22"/>
              </w:rPr>
            </w:pPr>
          </w:p>
        </w:tc>
      </w:tr>
    </w:tbl>
    <w:p>
      <w:pPr>
        <w:pageBreakBefore w:val="0"/>
        <w:kinsoku/>
        <w:wordWrap w:val="0"/>
        <w:overflowPunct/>
        <w:topLinePunct w:val="0"/>
        <w:bidi w:val="0"/>
        <w:rPr>
          <w:rFonts w:ascii="仿宋" w:hAnsi="仿宋" w:eastAsia="仿宋" w:cs="仿宋"/>
        </w:rPr>
      </w:pPr>
    </w:p>
    <w:p>
      <w:pPr>
        <w:pageBreakBefore w:val="0"/>
        <w:kinsoku/>
        <w:wordWrap w:val="0"/>
        <w:overflowPunct/>
        <w:topLinePunct w:val="0"/>
        <w:bidi w:val="0"/>
      </w:pPr>
      <w:r>
        <w:rPr>
          <w:rFonts w:hint="eastAsia"/>
        </w:rPr>
        <w:br w:type="page"/>
      </w:r>
    </w:p>
    <w:p>
      <w:pPr>
        <w:pStyle w:val="7"/>
        <w:pageBreakBefore w:val="0"/>
        <w:tabs>
          <w:tab w:val="left" w:pos="0"/>
        </w:tabs>
        <w:kinsoku/>
        <w:wordWrap w:val="0"/>
        <w:overflowPunct/>
        <w:topLinePunct w:val="0"/>
        <w:bidi w:val="0"/>
        <w:spacing w:before="0" w:after="0" w:line="240" w:lineRule="atLeast"/>
        <w:rPr>
          <w:rFonts w:ascii="仿宋" w:hAnsi="仿宋" w:eastAsia="仿宋" w:cs="仿宋"/>
        </w:rPr>
      </w:pPr>
      <w:r>
        <w:rPr>
          <w:rFonts w:hint="eastAsia" w:ascii="仿宋" w:hAnsi="仿宋" w:eastAsia="仿宋" w:cs="仿宋"/>
        </w:rPr>
        <w:t xml:space="preserve">第5章   </w:t>
      </w:r>
      <w:bookmarkEnd w:id="253"/>
      <w:bookmarkEnd w:id="254"/>
      <w:bookmarkEnd w:id="255"/>
      <w:bookmarkEnd w:id="256"/>
      <w:bookmarkEnd w:id="257"/>
      <w:bookmarkEnd w:id="258"/>
      <w:r>
        <w:rPr>
          <w:rFonts w:hint="eastAsia" w:ascii="仿宋" w:hAnsi="仿宋" w:eastAsia="仿宋" w:cs="仿宋"/>
        </w:rPr>
        <w:t>项目需求</w:t>
      </w:r>
    </w:p>
    <w:p>
      <w:pPr>
        <w:pageBreakBefore w:val="0"/>
        <w:kinsoku/>
        <w:wordWrap w:val="0"/>
        <w:overflowPunct/>
        <w:topLinePunct w:val="0"/>
        <w:bidi w:val="0"/>
        <w:rPr>
          <w:rFonts w:ascii="仿宋" w:hAnsi="仿宋" w:eastAsia="仿宋" w:cs="仿宋"/>
        </w:rPr>
      </w:pPr>
    </w:p>
    <w:bookmarkEnd w:id="249"/>
    <w:bookmarkEnd w:id="250"/>
    <w:bookmarkEnd w:id="251"/>
    <w:bookmarkEnd w:id="252"/>
    <w:p>
      <w:pPr>
        <w:pageBreakBefore w:val="0"/>
        <w:kinsoku/>
        <w:wordWrap w:val="0"/>
        <w:overflowPunct/>
        <w:topLinePunct w:val="0"/>
        <w:bidi w:val="0"/>
        <w:rPr>
          <w:rFonts w:ascii="仿宋" w:hAnsi="仿宋" w:eastAsia="仿宋" w:cs="仿宋"/>
        </w:rPr>
      </w:pPr>
      <w:bookmarkStart w:id="259" w:name="_Toc216582826"/>
      <w:bookmarkStart w:id="260" w:name="_Toc218935355"/>
      <w:bookmarkStart w:id="261" w:name="_Toc219175639"/>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62" w:name="_Toc11481"/>
      <w:bookmarkStart w:id="263" w:name="_Toc309246654"/>
      <w:bookmarkStart w:id="264" w:name="_Toc309305499"/>
      <w:bookmarkStart w:id="265" w:name="_Toc309244628"/>
      <w:bookmarkStart w:id="266" w:name="_Toc309246786"/>
      <w:r>
        <w:rPr>
          <w:rFonts w:hint="eastAsia" w:ascii="仿宋" w:hAnsi="仿宋" w:eastAsia="仿宋" w:cs="仿宋"/>
          <w:b/>
          <w:sz w:val="24"/>
        </w:rPr>
        <w:t>一、项目名称、编号及费用</w:t>
      </w:r>
      <w:bookmarkEnd w:id="262"/>
    </w:p>
    <w:p>
      <w:pPr>
        <w:pStyle w:val="32"/>
        <w:pageBreakBefore w:val="0"/>
        <w:kinsoku/>
        <w:wordWrap w:val="0"/>
        <w:overflowPunct/>
        <w:topLinePunct w:val="0"/>
        <w:bidi w:val="0"/>
        <w:spacing w:line="484" w:lineRule="exact"/>
        <w:ind w:firstLine="480" w:firstLineChars="200"/>
        <w:rPr>
          <w:rFonts w:ascii="仿宋" w:hAnsi="仿宋" w:eastAsia="仿宋" w:cs="仿宋"/>
        </w:rPr>
      </w:pPr>
      <w:r>
        <w:rPr>
          <w:rFonts w:hint="eastAsia" w:ascii="仿宋" w:hAnsi="仿宋" w:eastAsia="仿宋" w:cs="仿宋"/>
        </w:rPr>
        <w:t>项目名称：伊吾县北山胜利峰崩塌泥石流防治工程</w:t>
      </w:r>
    </w:p>
    <w:p>
      <w:pPr>
        <w:pStyle w:val="32"/>
        <w:pageBreakBefore w:val="0"/>
        <w:kinsoku/>
        <w:wordWrap w:val="0"/>
        <w:overflowPunct/>
        <w:topLinePunct w:val="0"/>
        <w:bidi w:val="0"/>
        <w:spacing w:line="484" w:lineRule="exact"/>
        <w:ind w:firstLine="480" w:firstLineChars="200"/>
        <w:rPr>
          <w:rFonts w:ascii="仿宋" w:hAnsi="仿宋" w:eastAsia="仿宋" w:cs="仿宋"/>
        </w:rPr>
      </w:pPr>
      <w:r>
        <w:rPr>
          <w:rFonts w:hint="eastAsia" w:ascii="仿宋" w:hAnsi="仿宋" w:eastAsia="仿宋" w:cs="仿宋"/>
        </w:rPr>
        <w:t>项目编号：XJZYZB2021-H009</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67" w:name="_Toc15670"/>
      <w:r>
        <w:rPr>
          <w:rFonts w:hint="eastAsia" w:ascii="仿宋" w:hAnsi="仿宋" w:eastAsia="仿宋" w:cs="仿宋"/>
          <w:b/>
          <w:sz w:val="24"/>
        </w:rPr>
        <w:t>二、工作范围</w:t>
      </w:r>
      <w:bookmarkEnd w:id="267"/>
    </w:p>
    <w:p>
      <w:pPr>
        <w:pageBreakBefore w:val="0"/>
        <w:kinsoku/>
        <w:wordWrap w:val="0"/>
        <w:overflowPunct/>
        <w:topLinePunct w:val="0"/>
        <w:autoSpaceDE w:val="0"/>
        <w:autoSpaceDN w:val="0"/>
        <w:bidi w:val="0"/>
        <w:adjustRightInd w:val="0"/>
        <w:snapToGrid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东部边界以胜利峰南坡B1向东延深的崩塌危岩带为界，西侧以N3泥石流为界，北部以N1、N2、N3泥石流沟分水岭为界，南部以S302省道南部居民区、办公楼为界，南北长约400m，东西宽约1000m，总面积1.38km2。</w:t>
      </w:r>
    </w:p>
    <w:p>
      <w:pPr>
        <w:pageBreakBefore w:val="0"/>
        <w:kinsoku/>
        <w:wordWrap w:val="0"/>
        <w:overflowPunct/>
        <w:topLinePunct w:val="0"/>
        <w:bidi w:val="0"/>
        <w:spacing w:line="560"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最终防治工程区范围以投标单位现场踏勘并与当地自然资源部门充分沟通确定的为准。</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68" w:name="_Toc27173"/>
      <w:r>
        <w:rPr>
          <w:rFonts w:hint="eastAsia" w:ascii="仿宋" w:hAnsi="仿宋" w:eastAsia="仿宋" w:cs="仿宋"/>
          <w:b/>
          <w:sz w:val="24"/>
        </w:rPr>
        <w:t>三、自然经济地理</w:t>
      </w:r>
      <w:bookmarkEnd w:id="268"/>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69" w:name="_Toc31604"/>
      <w:r>
        <w:rPr>
          <w:rFonts w:hint="eastAsia" w:ascii="仿宋" w:hAnsi="仿宋" w:eastAsia="仿宋" w:cs="仿宋"/>
          <w:b/>
          <w:sz w:val="24"/>
        </w:rPr>
        <w:t>（一）交通位置</w:t>
      </w:r>
      <w:bookmarkEnd w:id="269"/>
    </w:p>
    <w:p>
      <w:pPr>
        <w:pageBreakBefore w:val="0"/>
        <w:kinsoku/>
        <w:wordWrap w:val="0"/>
        <w:overflowPunct/>
        <w:topLinePunct w:val="0"/>
        <w:bidi w:val="0"/>
        <w:spacing w:line="560" w:lineRule="exact"/>
        <w:ind w:firstLine="480" w:firstLineChars="200"/>
        <w:rPr>
          <w:rFonts w:ascii="仿宋" w:hAnsi="仿宋" w:eastAsia="仿宋" w:cs="仿宋"/>
          <w:kern w:val="0"/>
          <w:sz w:val="24"/>
        </w:rPr>
      </w:pPr>
      <w:bookmarkStart w:id="270" w:name="_Toc10403"/>
      <w:r>
        <w:rPr>
          <w:rFonts w:hint="eastAsia" w:ascii="仿宋" w:hAnsi="仿宋" w:eastAsia="仿宋" w:cs="仿宋"/>
          <w:kern w:val="0"/>
          <w:sz w:val="24"/>
        </w:rPr>
        <w:t>防治区位于伊吾县县城北侧，行政区划隶属于哈密市伊吾县吐葫芦乡管辖。中心地理坐标：东经 94°41′32″，北纬 43°15′22″。伊吾县城距哈密市伊州区 180 千米(直线 120 千米)。S302线由西向东穿过县城，各乡、镇均靠该路与县城相通，勘查区胜利峰泥石流沟内由于修建栈道施工车辆无法通行，其它勘查区内便道修整后均施工车辆均可通行，交通条件较为便利。</w:t>
      </w:r>
    </w:p>
    <w:p>
      <w:pPr>
        <w:pageBreakBefore w:val="0"/>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（二）社会经济概况</w:t>
      </w:r>
      <w:bookmarkEnd w:id="270"/>
    </w:p>
    <w:p>
      <w:pPr>
        <w:pageBreakBefore w:val="0"/>
        <w:kinsoku/>
        <w:wordWrap w:val="0"/>
        <w:overflowPunct/>
        <w:topLinePunct w:val="0"/>
        <w:bidi w:val="0"/>
        <w:spacing w:line="560" w:lineRule="exact"/>
        <w:ind w:firstLine="480" w:firstLineChars="200"/>
        <w:rPr>
          <w:rFonts w:ascii="仿宋" w:hAnsi="仿宋" w:eastAsia="仿宋" w:cs="仿宋"/>
          <w:kern w:val="0"/>
          <w:sz w:val="24"/>
        </w:rPr>
      </w:pPr>
      <w:bookmarkStart w:id="271" w:name="_Toc16751"/>
      <w:r>
        <w:rPr>
          <w:rFonts w:hint="eastAsia" w:ascii="仿宋" w:hAnsi="仿宋" w:eastAsia="仿宋" w:cs="仿宋"/>
          <w:kern w:val="0"/>
          <w:sz w:val="24"/>
        </w:rPr>
        <w:t>防治区位于伊吾县县城北侧，行政区划隶属于伊吾县吐葫芦乡管辖。伊吾县距乌鲁木齐市670km，距哈密市180km，下辖 3 镇、4 乡，共计 31 个村民小组，总面积19519km2。县政府设在伊吾镇。2016 年年末总人口 23455 人，人口出生率 13.32‰，自然增长率 9.78‰；全县有耕地面积 9.17 万亩；各类草场面积 837.5万亩；林业用地面积 87.94 万亩。2018年，实现生产总值62.8亿元，同比增长16%。其中，第一产业4.3亿元，增长3.0%;第二产业48.2亿元，增长21.1%;第三产业10.3亿元，增长8%。地方财政收入11.1亿元，增长1.6倍。</w:t>
      </w:r>
    </w:p>
    <w:p>
      <w:pPr>
        <w:pageBreakBefore w:val="0"/>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四、地质环境条件和工作程度</w:t>
      </w:r>
      <w:bookmarkEnd w:id="271"/>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72" w:name="_Toc2802"/>
      <w:r>
        <w:rPr>
          <w:rFonts w:hint="eastAsia" w:ascii="仿宋" w:hAnsi="仿宋" w:eastAsia="仿宋" w:cs="仿宋"/>
          <w:b/>
          <w:sz w:val="24"/>
        </w:rPr>
        <w:t>（一）地形地貌</w:t>
      </w:r>
      <w:bookmarkEnd w:id="272"/>
    </w:p>
    <w:p>
      <w:pPr>
        <w:pageBreakBefore w:val="0"/>
        <w:kinsoku/>
        <w:wordWrap w:val="0"/>
        <w:overflowPunct/>
        <w:topLinePunct w:val="0"/>
        <w:bidi w:val="0"/>
        <w:spacing w:line="560" w:lineRule="exact"/>
        <w:ind w:firstLine="480" w:firstLineChars="200"/>
        <w:rPr>
          <w:rFonts w:ascii="仿宋" w:hAnsi="仿宋" w:eastAsia="仿宋" w:cs="仿宋"/>
          <w:kern w:val="0"/>
          <w:sz w:val="24"/>
        </w:rPr>
      </w:pPr>
      <w:bookmarkStart w:id="273" w:name="_Toc21477"/>
      <w:r>
        <w:rPr>
          <w:rFonts w:hint="eastAsia" w:ascii="仿宋" w:hAnsi="仿宋" w:eastAsia="仿宋" w:cs="仿宋"/>
          <w:kern w:val="0"/>
          <w:sz w:val="24"/>
        </w:rPr>
        <w:t>防治区地处伊吾县中山区、伊吾河中上游，地势总体北高南低，勘查区地貌地貌类型可分为两类，分别为构造侵蚀-剥蚀中山和侵蚀河谷平原地貌。</w:t>
      </w:r>
    </w:p>
    <w:p>
      <w:pPr>
        <w:pageBreakBefore w:val="0"/>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（二）地层岩性</w:t>
      </w:r>
      <w:bookmarkEnd w:id="273"/>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防治区出露的地层主要有：地层主要为石炭系下统和第四系上更新统-全新统，其分布特征如下：</w:t>
      </w:r>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bookmarkStart w:id="274" w:name="_Toc9479"/>
      <w:r>
        <w:rPr>
          <w:rFonts w:hint="eastAsia" w:ascii="仿宋" w:hAnsi="仿宋" w:eastAsia="仿宋" w:cs="仿宋"/>
          <w:sz w:val="24"/>
        </w:rPr>
        <w:t>1、石炭系(C)</w:t>
      </w:r>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勘查区山体主要出露地层为石炭系下统(Cl)，岩性为一套碎屑沉积岩，山体岩性主要为灰褐色凝灰岩组成，在勘查区东南角局部出现灰绿色花岗岩，岩石呈砂质或泥质结构，块状构造，成分主要以石英、长石及岩屑组成，岩 层呈中厚层状展布，岩体破碎，风化强烈，节理裂隙发育，主要发育有三组节理裂隙，倾向北东或北西，倾角50-80°。裂隙类型以构造裂隙、风化裂隙为主。</w:t>
      </w:r>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2、第四系（Q）</w:t>
      </w:r>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r>
        <w:rPr>
          <w:rFonts w:hint="eastAsia" w:ascii="仿宋" w:hAnsi="仿宋" w:eastAsia="仿宋" w:cs="仿宋"/>
          <w:sz w:val="24"/>
        </w:rPr>
        <w:t>该层分布于伊吾县城北侧山体坡脚与伊吾河谷接触带，以及各泥石流沟 或冲沟中，由块石、碎石、角砾、卵砾石、砂土组成。块石直径一般为O.0l-0.05m3,结构松散，为泥石流的主要物源。</w:t>
      </w:r>
    </w:p>
    <w:p>
      <w:pPr>
        <w:pageBreakBefore w:val="0"/>
        <w:numPr>
          <w:ilvl w:val="0"/>
          <w:numId w:val="10"/>
        </w:numPr>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水文地质条件</w:t>
      </w:r>
      <w:bookmarkEnd w:id="274"/>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防治区可以划分为基岩裂隙水及第四系松散岩类孔隙潜水。</w:t>
      </w:r>
    </w:p>
    <w:p>
      <w:pPr>
        <w:pageBreakBefore w:val="0"/>
        <w:numPr>
          <w:ilvl w:val="0"/>
          <w:numId w:val="10"/>
        </w:numPr>
        <w:kinsoku/>
        <w:wordWrap w:val="0"/>
        <w:overflowPunct/>
        <w:topLinePunct w:val="0"/>
        <w:bidi w:val="0"/>
        <w:spacing w:line="560" w:lineRule="exact"/>
        <w:ind w:firstLine="482" w:firstLineChars="200"/>
        <w:rPr>
          <w:rFonts w:ascii="仿宋" w:hAnsi="仿宋" w:eastAsia="仿宋" w:cs="仿宋"/>
          <w:b/>
          <w:sz w:val="24"/>
        </w:rPr>
      </w:pPr>
      <w:bookmarkStart w:id="275" w:name="_Toc6241"/>
      <w:r>
        <w:rPr>
          <w:rFonts w:hint="eastAsia" w:ascii="仿宋" w:hAnsi="仿宋" w:eastAsia="仿宋" w:cs="仿宋"/>
          <w:b/>
          <w:sz w:val="24"/>
        </w:rPr>
        <w:t>工程地质条件</w:t>
      </w:r>
      <w:bookmarkEnd w:id="275"/>
    </w:p>
    <w:p>
      <w:pPr>
        <w:pageBreakBefore w:val="0"/>
        <w:kinsoku/>
        <w:wordWrap w:val="0"/>
        <w:overflowPunct/>
        <w:topLinePunct w:val="0"/>
        <w:bidi w:val="0"/>
        <w:adjustRightInd w:val="0"/>
        <w:snapToGrid w:val="0"/>
        <w:spacing w:line="560" w:lineRule="exact"/>
        <w:ind w:firstLine="480" w:firstLineChars="200"/>
        <w:rPr>
          <w:rFonts w:ascii="仿宋" w:hAnsi="仿宋" w:eastAsia="仿宋" w:cs="仿宋"/>
          <w:sz w:val="24"/>
        </w:rPr>
      </w:pPr>
      <w:bookmarkStart w:id="276" w:name="_Toc2566"/>
      <w:r>
        <w:rPr>
          <w:rFonts w:hint="eastAsia" w:ascii="仿宋" w:hAnsi="仿宋" w:eastAsia="仿宋" w:cs="仿宋"/>
          <w:sz w:val="24"/>
        </w:rPr>
        <w:t xml:space="preserve">防治区内岩体组成主要为较坚硬的石炭系凝灰岩，零星出露较软的花岗岩。凝灰岩呈块状，岩体表面破碎，节理裂隙较为发育，根据探槽、探井、岩心钻探及物探资料，岩体强风化层真厚度一般为0.5-3m，主要为风化原因产生的节理裂隙较发育；中风化层真厚度一般为3-13m，主要为构造原因产生的节理裂隙较发育；勘查区弱风化层或相对完整基岩埋深真厚度一般为13m以上，岩体节理裂隙弱发育或不发育。根据凝灰岩块体检测成果报告分析，勘查区适宜本防治工程的实施。 </w:t>
      </w:r>
    </w:p>
    <w:p>
      <w:pPr>
        <w:pageBreakBefore w:val="0"/>
        <w:numPr>
          <w:ilvl w:val="0"/>
          <w:numId w:val="10"/>
        </w:numPr>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研究程度</w:t>
      </w:r>
      <w:bookmarkEnd w:id="276"/>
    </w:p>
    <w:p>
      <w:pPr>
        <w:pageBreakBefore w:val="0"/>
        <w:kinsoku/>
        <w:wordWrap w:val="0"/>
        <w:overflowPunct/>
        <w:topLinePunct w:val="0"/>
        <w:bidi w:val="0"/>
        <w:spacing w:line="560" w:lineRule="exact"/>
        <w:ind w:firstLine="480" w:firstLineChars="200"/>
        <w:rPr>
          <w:rFonts w:ascii="仿宋" w:hAnsi="仿宋" w:eastAsia="仿宋" w:cs="仿宋"/>
          <w:sz w:val="24"/>
        </w:rPr>
      </w:pPr>
      <w:bookmarkStart w:id="277" w:name="_Toc4656"/>
      <w:r>
        <w:rPr>
          <w:rFonts w:hint="eastAsia" w:ascii="仿宋" w:hAnsi="仿宋" w:eastAsia="仿宋" w:cs="仿宋"/>
          <w:sz w:val="24"/>
        </w:rPr>
        <w:t>1、1993 年《新疆地质灾害调查》。</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2、2012年《新疆维吾尔自治区地质灾害防治规划（2020-2015 年）》。</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3、2006 年 《新疆伊吾县地质灾害调查与区划报告》。</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4、2010 年《新疆伊吾县县城北侧崩塌泥石流灾害专项勘查》。</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5、2012 年《新疆伊吾县地质灾害防治规划（2013-2020 年）》。</w:t>
      </w:r>
    </w:p>
    <w:p>
      <w:pPr>
        <w:pageBreakBefore w:val="0"/>
        <w:numPr>
          <w:ilvl w:val="0"/>
          <w:numId w:val="11"/>
        </w:numPr>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主要地质灾害</w:t>
      </w:r>
      <w:bookmarkEnd w:id="277"/>
    </w:p>
    <w:p>
      <w:pPr>
        <w:pageBreakBefore w:val="0"/>
        <w:kinsoku/>
        <w:wordWrap w:val="0"/>
        <w:overflowPunct/>
        <w:topLinePunct w:val="0"/>
        <w:bidi w:val="0"/>
        <w:spacing w:line="560" w:lineRule="exact"/>
        <w:ind w:firstLine="482" w:firstLineChars="200"/>
        <w:rPr>
          <w:rFonts w:ascii="仿宋" w:hAnsi="仿宋" w:eastAsia="仿宋" w:cs="仿宋"/>
          <w:b/>
          <w:bCs/>
          <w:sz w:val="24"/>
        </w:rPr>
      </w:pPr>
      <w:r>
        <w:rPr>
          <w:rFonts w:hint="eastAsia" w:ascii="仿宋" w:hAnsi="仿宋" w:eastAsia="仿宋" w:cs="仿宋"/>
          <w:b/>
          <w:bCs/>
          <w:sz w:val="24"/>
        </w:rPr>
        <w:t>（一）崩塌地质灾害特征</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第一崩塌危岩段特征</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从东向西崩塌形成机理和影响因素及发育规律基本相同，仅8处危岩体（带）的构成及分布位置存在差异，危害对象及灾情险情略有不同。本危岩段内包括8处崩塌危岩体（带），编号B3-B10，上述危岩体（带）相互间的连接地段仍存在崩塌隐患。</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第二崩塌危岩段特征</w:t>
      </w:r>
    </w:p>
    <w:p>
      <w:pPr>
        <w:pageBreakBefore w:val="0"/>
        <w:kinsoku/>
        <w:wordWrap w:val="0"/>
        <w:overflowPunct/>
        <w:topLinePunct w:val="0"/>
        <w:bidi w:val="0"/>
        <w:spacing w:line="560" w:lineRule="exact"/>
        <w:ind w:firstLine="480" w:firstLineChars="200"/>
        <w:rPr>
          <w:rFonts w:ascii="仿宋" w:hAnsi="仿宋" w:eastAsia="仿宋" w:cs="仿宋"/>
          <w:sz w:val="24"/>
        </w:rPr>
      </w:pPr>
      <w:bookmarkStart w:id="278" w:name="_Toc18298"/>
      <w:r>
        <w:rPr>
          <w:rFonts w:hint="eastAsia" w:ascii="仿宋" w:hAnsi="仿宋" w:eastAsia="仿宋" w:cs="仿宋"/>
          <w:sz w:val="24"/>
        </w:rPr>
        <w:t>第二危岩体段从东向西崩塌形成机理和影响因素及发育规律基本相同，仅9处危岩体（带）的构成及分布位置存在差异，危害对象及灾情险情略有不同。本危岩段内包括9处崩塌危岩体（带），编号B1-B2、B11-B17，上述危岩体（带）相互间的连接地段仍存在崩塌隐患。</w:t>
      </w:r>
    </w:p>
    <w:p>
      <w:pPr>
        <w:pageBreakBefore w:val="0"/>
        <w:kinsoku/>
        <w:wordWrap w:val="0"/>
        <w:overflowPunct/>
        <w:topLinePunct w:val="0"/>
        <w:bidi w:val="0"/>
        <w:spacing w:line="560" w:lineRule="exact"/>
        <w:ind w:firstLine="482" w:firstLineChars="200"/>
        <w:rPr>
          <w:rFonts w:ascii="仿宋" w:hAnsi="仿宋" w:eastAsia="仿宋" w:cs="仿宋"/>
          <w:b/>
          <w:bCs/>
          <w:sz w:val="24"/>
        </w:rPr>
      </w:pPr>
      <w:r>
        <w:rPr>
          <w:rFonts w:hint="eastAsia" w:ascii="仿宋" w:hAnsi="仿宋" w:eastAsia="仿宋" w:cs="仿宋"/>
          <w:b/>
          <w:bCs/>
          <w:sz w:val="24"/>
        </w:rPr>
        <w:t>(二)泥石流地质灾害特征</w:t>
      </w:r>
    </w:p>
    <w:p>
      <w:pPr>
        <w:pStyle w:val="76"/>
        <w:pageBreakBefore w:val="0"/>
        <w:kinsoku/>
        <w:wordWrap w:val="0"/>
        <w:overflowPunct/>
        <w:topLinePunct w:val="0"/>
        <w:bidi w:val="0"/>
        <w:snapToGrid w:val="0"/>
        <w:spacing w:line="560" w:lineRule="exact"/>
        <w:ind w:firstLine="480"/>
        <w:rPr>
          <w:rFonts w:ascii="仿宋" w:hAnsi="仿宋" w:eastAsia="仿宋" w:cs="仿宋"/>
          <w:kern w:val="2"/>
          <w:sz w:val="24"/>
          <w:szCs w:val="24"/>
        </w:rPr>
      </w:pPr>
      <w:r>
        <w:rPr>
          <w:rFonts w:hint="eastAsia" w:ascii="仿宋" w:hAnsi="仿宋" w:eastAsia="仿宋" w:cs="仿宋"/>
          <w:kern w:val="2"/>
          <w:sz w:val="24"/>
          <w:szCs w:val="24"/>
        </w:rPr>
        <w:t>N1泥石流</w:t>
      </w:r>
    </w:p>
    <w:p>
      <w:pPr>
        <w:pStyle w:val="2"/>
        <w:pageBreakBefore w:val="0"/>
        <w:kinsoku/>
        <w:wordWrap w:val="0"/>
        <w:overflowPunct/>
        <w:topLinePunct w:val="0"/>
        <w:bidi w:val="0"/>
        <w:snapToGrid w:val="0"/>
        <w:spacing w:line="560" w:lineRule="exact"/>
        <w:ind w:firstLine="480"/>
        <w:rPr>
          <w:rFonts w:ascii="仿宋" w:hAnsi="仿宋" w:eastAsia="仿宋" w:cs="仿宋"/>
        </w:rPr>
      </w:pPr>
      <w:r>
        <w:rPr>
          <w:rFonts w:hint="eastAsia" w:ascii="仿宋" w:hAnsi="仿宋" w:eastAsia="仿宋" w:cs="仿宋"/>
        </w:rPr>
        <w:t>该泥石流沟流域总面积0.082km2，主沟总长约584m，源头最高海拔1890m，最低点海拔1666m，最大相对高差224m，纵坡降384‰左右。N1泥石流沟上游东、北、西三侧均以山脊自然分水岭为界，南面出口，上游仅有2条较为明显的支沟，长度约120m左右，主沟及支沟两侧谷坡较陡，山坡坡度32°－70°，大部分降雨直接自坡面汇流而下至主沟内，泥石流形成区及流通区界限不明显，因此将N1泥石流划分为形成流通区及堆积区两个区。</w:t>
      </w:r>
    </w:p>
    <w:p>
      <w:pPr>
        <w:pStyle w:val="5"/>
        <w:pageBreakBefore w:val="0"/>
        <w:kinsoku/>
        <w:wordWrap w:val="0"/>
        <w:overflowPunct/>
        <w:topLinePunct w:val="0"/>
        <w:bidi w:val="0"/>
        <w:snapToGrid w:val="0"/>
        <w:spacing w:line="560" w:lineRule="exact"/>
        <w:ind w:firstLine="480"/>
        <w:rPr>
          <w:rFonts w:ascii="仿宋" w:hAnsi="仿宋" w:eastAsia="仿宋" w:cs="仿宋"/>
          <w:szCs w:val="24"/>
        </w:rPr>
      </w:pPr>
      <w:r>
        <w:rPr>
          <w:rFonts w:hint="eastAsia" w:ascii="仿宋" w:hAnsi="仿宋" w:eastAsia="仿宋" w:cs="仿宋"/>
          <w:szCs w:val="24"/>
        </w:rPr>
        <w:t>N2泥石流</w:t>
      </w:r>
    </w:p>
    <w:p>
      <w:pPr>
        <w:pStyle w:val="2"/>
        <w:pageBreakBefore w:val="0"/>
        <w:kinsoku/>
        <w:wordWrap w:val="0"/>
        <w:overflowPunct/>
        <w:topLinePunct w:val="0"/>
        <w:bidi w:val="0"/>
        <w:snapToGrid w:val="0"/>
        <w:spacing w:line="560" w:lineRule="exact"/>
        <w:ind w:firstLine="480"/>
        <w:rPr>
          <w:rFonts w:ascii="仿宋" w:hAnsi="仿宋" w:eastAsia="仿宋" w:cs="仿宋"/>
        </w:rPr>
      </w:pPr>
      <w:r>
        <w:rPr>
          <w:rFonts w:hint="eastAsia" w:ascii="仿宋" w:hAnsi="仿宋" w:eastAsia="仿宋" w:cs="仿宋"/>
        </w:rPr>
        <w:t>该泥石流沟流域总面积0.12km2，主沟总长约479km，源头最高海拔1896m，最低点海拔1656m，最大相对高差240m，纵坡降428－501‰。N2泥石流沟上游东、北、西三侧均以山脊自然分水岭为界，南面出口，上游仅有1条较为明显的支沟，长度约122m左右，主沟及支沟两侧谷坡较陡，山坡坡度35°－75°，大部分降雨直接自坡面汇流而下至主沟内，泥石流形成区及流通区界限不明显，因此将N1泥石流划分为形成流通区及堆积区两个区。</w:t>
      </w:r>
    </w:p>
    <w:p>
      <w:pPr>
        <w:pStyle w:val="5"/>
        <w:pageBreakBefore w:val="0"/>
        <w:kinsoku/>
        <w:wordWrap w:val="0"/>
        <w:overflowPunct/>
        <w:topLinePunct w:val="0"/>
        <w:bidi w:val="0"/>
        <w:snapToGrid w:val="0"/>
        <w:spacing w:line="560" w:lineRule="exact"/>
        <w:ind w:firstLine="480"/>
        <w:rPr>
          <w:rFonts w:ascii="仿宋" w:hAnsi="仿宋" w:eastAsia="仿宋" w:cs="仿宋"/>
          <w:szCs w:val="24"/>
        </w:rPr>
      </w:pPr>
      <w:r>
        <w:rPr>
          <w:rFonts w:hint="eastAsia" w:ascii="仿宋" w:hAnsi="仿宋" w:eastAsia="仿宋" w:cs="仿宋"/>
          <w:szCs w:val="24"/>
        </w:rPr>
        <w:t>N3泥石流</w:t>
      </w:r>
    </w:p>
    <w:p>
      <w:pPr>
        <w:pStyle w:val="76"/>
        <w:pageBreakBefore w:val="0"/>
        <w:kinsoku/>
        <w:wordWrap w:val="0"/>
        <w:overflowPunct/>
        <w:topLinePunct w:val="0"/>
        <w:bidi w:val="0"/>
        <w:snapToGrid w:val="0"/>
        <w:spacing w:line="560" w:lineRule="exact"/>
        <w:ind w:firstLine="480"/>
        <w:rPr>
          <w:rFonts w:ascii="仿宋" w:hAnsi="仿宋" w:eastAsia="仿宋" w:cs="仿宋"/>
          <w:sz w:val="24"/>
          <w:szCs w:val="24"/>
        </w:rPr>
      </w:pPr>
      <w:r>
        <w:rPr>
          <w:rFonts w:hint="eastAsia" w:ascii="仿宋" w:hAnsi="仿宋" w:eastAsia="仿宋" w:cs="仿宋"/>
          <w:kern w:val="2"/>
          <w:sz w:val="24"/>
          <w:szCs w:val="24"/>
        </w:rPr>
        <w:t>该泥石流沟流域总面积0.18km2，主沟总长约437m，源头最高海拔1904m，最低点海拔1648m，最大相对高差256m，纵坡降428－501‰。N3泥石流沟上游东、北、西三侧均以山脊自然分水岭为界，南面出口，上游仅有1条较为明显的支沟，长度约240m左右，主沟及支沟两侧谷坡较陡，山坡坡度38°－79°，大部分降雨直接自坡面汇流而下至主沟内，泥石流形成区及流通区界限不明显，因此将N3泥石流划分为形成流通区及堆积区两个区。</w:t>
      </w:r>
    </w:p>
    <w:p>
      <w:pPr>
        <w:pageBreakBefore w:val="0"/>
        <w:kinsoku/>
        <w:wordWrap w:val="0"/>
        <w:overflowPunct/>
        <w:topLinePunct w:val="0"/>
        <w:bidi w:val="0"/>
        <w:spacing w:line="560" w:lineRule="exact"/>
        <w:ind w:firstLine="482" w:firstLineChars="200"/>
        <w:rPr>
          <w:rFonts w:ascii="仿宋" w:hAnsi="仿宋" w:eastAsia="仿宋" w:cs="仿宋"/>
          <w:b/>
          <w:sz w:val="24"/>
        </w:rPr>
      </w:pPr>
      <w:r>
        <w:rPr>
          <w:rFonts w:hint="eastAsia" w:ascii="仿宋" w:hAnsi="仿宋" w:eastAsia="仿宋" w:cs="仿宋"/>
          <w:b/>
          <w:sz w:val="24"/>
        </w:rPr>
        <w:t>六、目标任务</w:t>
      </w:r>
      <w:bookmarkEnd w:id="278"/>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79" w:name="_Toc10767"/>
      <w:r>
        <w:rPr>
          <w:rFonts w:hint="eastAsia" w:ascii="仿宋" w:hAnsi="仿宋" w:eastAsia="仿宋" w:cs="仿宋"/>
          <w:b/>
          <w:sz w:val="24"/>
        </w:rPr>
        <w:t>（一）目标</w:t>
      </w:r>
      <w:bookmarkEnd w:id="27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通过对</w:t>
      </w:r>
      <w:r>
        <w:rPr>
          <w:rFonts w:hint="eastAsia" w:ascii="仿宋" w:hAnsi="仿宋" w:eastAsia="仿宋" w:cs="仿宋"/>
          <w:kern w:val="0"/>
          <w:sz w:val="24"/>
        </w:rPr>
        <w:t>伊吾县北山胜利峰崩塌泥石流防治工程</w:t>
      </w:r>
      <w:r>
        <w:rPr>
          <w:rFonts w:hint="eastAsia" w:ascii="仿宋" w:hAnsi="仿宋" w:eastAsia="仿宋" w:cs="仿宋"/>
          <w:sz w:val="24"/>
        </w:rPr>
        <w:t>的设计与实施，减轻或消除</w:t>
      </w:r>
      <w:r>
        <w:rPr>
          <w:rFonts w:hint="eastAsia" w:ascii="仿宋" w:hAnsi="仿宋" w:eastAsia="仿宋" w:cs="仿宋"/>
          <w:kern w:val="0"/>
          <w:sz w:val="24"/>
        </w:rPr>
        <w:t>崩塌泥石流对胜利峰一带人员及基础设施的威胁</w:t>
      </w:r>
      <w:r>
        <w:rPr>
          <w:rFonts w:hint="eastAsia" w:ascii="仿宋" w:hAnsi="仿宋" w:eastAsia="仿宋" w:cs="仿宋"/>
          <w:sz w:val="24"/>
        </w:rPr>
        <w:t>，保障当地的生命和财产安全。</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0" w:name="_Toc890"/>
      <w:r>
        <w:rPr>
          <w:rFonts w:hint="eastAsia" w:ascii="仿宋" w:hAnsi="仿宋" w:eastAsia="仿宋" w:cs="仿宋"/>
          <w:b/>
          <w:sz w:val="24"/>
        </w:rPr>
        <w:t>（二）任务</w:t>
      </w:r>
      <w:bookmarkEnd w:id="280"/>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根据实地踏勘成果和勘查报告</w:t>
      </w:r>
      <w:r>
        <w:rPr>
          <w:rFonts w:hint="eastAsia" w:ascii="仿宋" w:hAnsi="仿宋" w:eastAsia="仿宋" w:cs="仿宋"/>
          <w:kern w:val="0"/>
          <w:sz w:val="24"/>
        </w:rPr>
        <w:t>以及相关标准规范</w:t>
      </w:r>
      <w:r>
        <w:rPr>
          <w:rFonts w:hint="eastAsia" w:ascii="仿宋" w:hAnsi="仿宋" w:eastAsia="仿宋" w:cs="仿宋"/>
          <w:sz w:val="24"/>
        </w:rPr>
        <w:t>编制地质灾害防治工程设计和施工组织设计</w:t>
      </w:r>
      <w:r>
        <w:rPr>
          <w:rFonts w:hint="eastAsia" w:ascii="仿宋" w:hAnsi="仿宋" w:eastAsia="仿宋" w:cs="仿宋"/>
          <w:kern w:val="0"/>
          <w:sz w:val="24"/>
        </w:rPr>
        <w:t xml:space="preserve">； </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2.按照审批通过的防治工程设计，组织地质灾害防治工程施工；</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sz w:val="24"/>
        </w:rPr>
        <w:t>减轻或消除</w:t>
      </w:r>
      <w:r>
        <w:rPr>
          <w:rFonts w:hint="eastAsia" w:ascii="仿宋" w:hAnsi="仿宋" w:eastAsia="仿宋" w:cs="仿宋"/>
          <w:kern w:val="0"/>
          <w:sz w:val="24"/>
        </w:rPr>
        <w:t>防治区及其周边居民</w:t>
      </w:r>
      <w:r>
        <w:rPr>
          <w:rFonts w:hint="eastAsia" w:ascii="仿宋" w:hAnsi="仿宋" w:eastAsia="仿宋" w:cs="仿宋"/>
          <w:sz w:val="24"/>
        </w:rPr>
        <w:t>遭受灾害的威胁；</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4.防治工程完成后，制作永久性工程说明碑。</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1" w:name="_Toc23426"/>
      <w:r>
        <w:rPr>
          <w:rFonts w:hint="eastAsia" w:ascii="仿宋" w:hAnsi="仿宋" w:eastAsia="仿宋" w:cs="仿宋"/>
          <w:b/>
          <w:sz w:val="24"/>
        </w:rPr>
        <w:t>七、主要技术要求</w:t>
      </w:r>
      <w:bookmarkEnd w:id="281"/>
    </w:p>
    <w:p>
      <w:pPr>
        <w:pStyle w:val="2"/>
        <w:pageBreakBefore w:val="0"/>
        <w:kinsoku/>
        <w:wordWrap w:val="0"/>
        <w:overflowPunct/>
        <w:topLinePunct w:val="0"/>
        <w:bidi w:val="0"/>
        <w:ind w:firstLine="480"/>
        <w:rPr>
          <w:rFonts w:ascii="仿宋" w:hAnsi="仿宋" w:eastAsia="仿宋" w:cs="仿宋"/>
        </w:rPr>
      </w:pPr>
      <w:r>
        <w:rPr>
          <w:rStyle w:val="71"/>
          <w:rFonts w:hint="default" w:ascii="仿宋" w:hAnsi="仿宋" w:eastAsia="仿宋" w:cs="仿宋"/>
          <w:color w:val="auto"/>
          <w:sz w:val="24"/>
          <w:szCs w:val="24"/>
        </w:rPr>
        <w:t>主要执行的技术规范、技术要求、验收标准和依据主要有：</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1.《泥石流灾害防治工程设计规范》(DZ/T0239-2004)；</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2.《崩塌防治工程设计规范（试行）》（T/CAGHP032-2018）；</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3.《建筑抗震设计规范》（GB50011-2010）；</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4.《工业建筑防腐蚀设计规范》（GB50046-2008）；</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5.《砌体结构设计规范》（GB50003-2011）；</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6.《混凝土结构设计规范》（GB50010-2010）；</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7.《建筑地基基础设计规范》（GB50007-2011）；</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8.《建筑边坡工程技术规范》（GB50330-2013）；</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9.《崩塌·滑坡·泥石流监测规范》（DZ/T0221-2006）；</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10.《地质防治与地质灾害监测评估防治技术使用手册》；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11.《工程测量规范》（GB50026-2007）；</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12.《全球定位系统（GPS）测量规范》（GB/T18314-2009）；</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13.《建设工程质量管理条例》；</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14.《建设工程安全生产管理条例》；</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15.《建设项目环境保护管理条例》；</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16.其他有关规范、规程和技术要求。</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同时满足招标文件、设计书及其审批意见书和有关规定的要求。</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2" w:name="_Toc5380"/>
      <w:r>
        <w:rPr>
          <w:rFonts w:hint="eastAsia" w:ascii="仿宋" w:hAnsi="仿宋" w:eastAsia="仿宋" w:cs="仿宋"/>
          <w:b/>
          <w:sz w:val="24"/>
        </w:rPr>
        <w:t>八、主要实物工作量</w:t>
      </w:r>
      <w:bookmarkEnd w:id="282"/>
    </w:p>
    <w:p>
      <w:pPr>
        <w:keepNext w:val="0"/>
        <w:keepLines w:val="0"/>
        <w:pageBreakBefore w:val="0"/>
        <w:widowControl w:val="0"/>
        <w:kinsoku/>
        <w:wordWrap w:val="0"/>
        <w:overflowPunct/>
        <w:topLinePunct w:val="0"/>
        <w:bidi w:val="0"/>
        <w:spacing w:line="560" w:lineRule="exact"/>
        <w:ind w:firstLine="480" w:firstLineChars="200"/>
        <w:textAlignment w:val="auto"/>
        <w:outlineLvl w:val="9"/>
        <w:rPr>
          <w:rFonts w:hint="eastAsia" w:ascii="仿宋" w:hAnsi="仿宋" w:eastAsia="仿宋" w:cs="仿宋"/>
          <w:kern w:val="0"/>
          <w:sz w:val="24"/>
        </w:rPr>
      </w:pPr>
      <w:r>
        <w:rPr>
          <w:rFonts w:hint="eastAsia" w:ascii="仿宋" w:hAnsi="仿宋" w:eastAsia="仿宋" w:cs="仿宋"/>
          <w:kern w:val="0"/>
          <w:sz w:val="24"/>
        </w:rPr>
        <w:t>（一）根据本项目的目标和任务，结合防治区地质灾害特征和环境现状，以减轻或消除地质灾害为目的，由投标单位现场踏勘自行设计具体防治方案。</w:t>
      </w:r>
    </w:p>
    <w:p>
      <w:pPr>
        <w:pageBreakBefore w:val="0"/>
        <w:kinsoku/>
        <w:wordWrap w:val="0"/>
        <w:overflowPunct/>
        <w:topLinePunct w:val="0"/>
        <w:bidi w:val="0"/>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（二）开展地质灾害防治知识培训，人数不少于100人次/</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期；地质灾害防治演练1-2次。</w:t>
      </w:r>
    </w:p>
    <w:p>
      <w:pPr>
        <w:pageBreakBefore w:val="0"/>
        <w:kinsoku/>
        <w:wordWrap w:val="0"/>
        <w:overflowPunct/>
        <w:topLinePunct w:val="0"/>
        <w:bidi w:val="0"/>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（三）在适当位置设立管护责任公示牌，编制住户防灾明白卡上墙。</w:t>
      </w:r>
    </w:p>
    <w:p>
      <w:pPr>
        <w:pageBreakBefore w:val="0"/>
        <w:kinsoku/>
        <w:wordWrap w:val="0"/>
        <w:overflowPunct/>
        <w:topLinePunct w:val="0"/>
        <w:bidi w:val="0"/>
        <w:spacing w:line="560" w:lineRule="exact"/>
        <w:ind w:firstLine="480" w:firstLineChars="200"/>
        <w:rPr>
          <w:rFonts w:hint="eastAsia" w:ascii="仿宋" w:hAnsi="仿宋" w:eastAsia="仿宋" w:cs="仿宋"/>
          <w:sz w:val="24"/>
        </w:rPr>
      </w:pPr>
      <w:r>
        <w:rPr>
          <w:rFonts w:hint="eastAsia" w:ascii="仿宋" w:hAnsi="仿宋" w:eastAsia="仿宋" w:cs="仿宋"/>
          <w:sz w:val="24"/>
          <w:lang w:eastAsia="zh-CN"/>
        </w:rPr>
        <w:t>（四）投标单位在现场踏勘后提出投标设计方案。</w:t>
      </w:r>
    </w:p>
    <w:p>
      <w:pPr>
        <w:pageBreakBefore w:val="0"/>
        <w:kinsoku/>
        <w:wordWrap w:val="0"/>
        <w:overflowPunct/>
        <w:topLinePunct w:val="0"/>
        <w:bidi w:val="0"/>
        <w:spacing w:line="560" w:lineRule="exact"/>
        <w:ind w:firstLine="482" w:firstLineChars="200"/>
        <w:rPr>
          <w:rFonts w:ascii="仿宋" w:hAnsi="仿宋" w:eastAsia="仿宋" w:cs="仿宋"/>
          <w:b/>
          <w:sz w:val="24"/>
          <w:u w:val="single"/>
        </w:rPr>
      </w:pPr>
      <w:r>
        <w:rPr>
          <w:rFonts w:hint="eastAsia" w:ascii="仿宋" w:hAnsi="仿宋" w:eastAsia="仿宋" w:cs="仿宋"/>
          <w:b/>
          <w:sz w:val="24"/>
          <w:u w:val="single"/>
        </w:rPr>
        <w:t>最终设计方案及工作量以审批后的防治工程项目设计书为准。</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3" w:name="_Toc25755"/>
      <w:r>
        <w:rPr>
          <w:rFonts w:hint="eastAsia" w:ascii="仿宋" w:hAnsi="仿宋" w:eastAsia="仿宋" w:cs="仿宋"/>
          <w:b/>
          <w:sz w:val="24"/>
        </w:rPr>
        <w:t>九、预期提交成果</w:t>
      </w:r>
      <w:bookmarkEnd w:id="283"/>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4" w:name="_Toc32431"/>
      <w:r>
        <w:rPr>
          <w:rFonts w:hint="eastAsia" w:ascii="仿宋" w:hAnsi="仿宋" w:eastAsia="仿宋" w:cs="仿宋"/>
          <w:b/>
          <w:sz w:val="24"/>
        </w:rPr>
        <w:t>（一）防治工程设计成果</w:t>
      </w:r>
      <w:bookmarkEnd w:id="284"/>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1伊吾县北山胜利峰崩塌泥石流防治工程设计书（施工设计和施工组织设计）；</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2、伊吾县北山胜利峰崩塌泥石流防治工程平面部署图及各单项防治工程设计图；</w:t>
      </w:r>
    </w:p>
    <w:p>
      <w:pPr>
        <w:pageBreakBefore w:val="0"/>
        <w:kinsoku/>
        <w:wordWrap w:val="0"/>
        <w:overflowPunct/>
        <w:topLinePunct w:val="0"/>
        <w:bidi w:val="0"/>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3、伊吾县北山胜利峰崩塌泥石流防治工程施工平面布置图。</w:t>
      </w:r>
    </w:p>
    <w:p>
      <w:pPr>
        <w:pageBreakBefore w:val="0"/>
        <w:kinsoku/>
        <w:wordWrap w:val="0"/>
        <w:overflowPunct/>
        <w:topLinePunct w:val="0"/>
        <w:bidi w:val="0"/>
        <w:spacing w:line="560" w:lineRule="exact"/>
        <w:ind w:firstLine="482" w:firstLineChars="200"/>
        <w:rPr>
          <w:rFonts w:ascii="仿宋" w:hAnsi="仿宋" w:eastAsia="仿宋" w:cs="仿宋"/>
          <w:b/>
          <w:sz w:val="24"/>
        </w:rPr>
      </w:pPr>
      <w:bookmarkStart w:id="285" w:name="_Toc24155"/>
      <w:r>
        <w:rPr>
          <w:rFonts w:hint="eastAsia" w:ascii="仿宋" w:hAnsi="仿宋" w:eastAsia="仿宋" w:cs="仿宋"/>
          <w:b/>
          <w:sz w:val="24"/>
        </w:rPr>
        <w:t>（二）防治工程施工成果</w:t>
      </w:r>
      <w:bookmarkEnd w:id="285"/>
    </w:p>
    <w:p>
      <w:pPr>
        <w:pageBreakBefore w:val="0"/>
        <w:kinsoku/>
        <w:wordWrap w:val="0"/>
        <w:overflowPunct/>
        <w:topLinePunct w:val="0"/>
        <w:bidi w:val="0"/>
        <w:spacing w:line="560" w:lineRule="exact"/>
        <w:ind w:firstLine="480" w:firstLineChars="200"/>
        <w:rPr>
          <w:rFonts w:ascii="仿宋" w:hAnsi="仿宋" w:eastAsia="仿宋" w:cs="仿宋"/>
          <w:kern w:val="0"/>
          <w:sz w:val="24"/>
        </w:rPr>
      </w:pPr>
      <w:bookmarkStart w:id="286" w:name="_Toc7242"/>
      <w:r>
        <w:rPr>
          <w:rFonts w:hint="eastAsia" w:ascii="仿宋" w:hAnsi="仿宋" w:eastAsia="仿宋" w:cs="仿宋"/>
          <w:kern w:val="0"/>
          <w:sz w:val="24"/>
        </w:rPr>
        <w:t>最终成果资料汇交应按《新疆维吾尔自治区地质灾害防治项目管理办法（试行）》要求执行。</w:t>
      </w:r>
    </w:p>
    <w:p>
      <w:pPr>
        <w:pStyle w:val="25"/>
        <w:pageBreakBefore w:val="0"/>
        <w:numPr>
          <w:ilvl w:val="0"/>
          <w:numId w:val="12"/>
        </w:numPr>
        <w:kinsoku/>
        <w:wordWrap w:val="0"/>
        <w:overflowPunct/>
        <w:topLinePunct w:val="0"/>
        <w:bidi w:val="0"/>
        <w:spacing w:line="480" w:lineRule="exact"/>
        <w:ind w:left="426" w:leftChars="203" w:firstLine="0"/>
        <w:rPr>
          <w:rFonts w:ascii="仿宋" w:hAnsi="仿宋" w:eastAsia="仿宋" w:cs="仿宋"/>
          <w:b/>
          <w:szCs w:val="24"/>
        </w:rPr>
      </w:pPr>
      <w:r>
        <w:rPr>
          <w:rFonts w:hint="eastAsia" w:ascii="仿宋" w:hAnsi="仿宋" w:eastAsia="仿宋" w:cs="仿宋"/>
          <w:b/>
          <w:szCs w:val="24"/>
        </w:rPr>
        <w:t>结算报告</w:t>
      </w:r>
      <w:bookmarkEnd w:id="286"/>
    </w:p>
    <w:p>
      <w:pPr>
        <w:pStyle w:val="25"/>
        <w:pageBreakBefore w:val="0"/>
        <w:kinsoku/>
        <w:wordWrap w:val="0"/>
        <w:overflowPunct/>
        <w:topLinePunct w:val="0"/>
        <w:bidi w:val="0"/>
        <w:spacing w:line="480" w:lineRule="exact"/>
        <w:ind w:left="426" w:leftChars="203" w:firstLine="0"/>
        <w:rPr>
          <w:rFonts w:ascii="仿宋" w:hAnsi="仿宋" w:eastAsia="仿宋" w:cs="仿宋"/>
          <w:bCs/>
          <w:szCs w:val="24"/>
        </w:rPr>
      </w:pPr>
      <w:r>
        <w:rPr>
          <w:rFonts w:hint="eastAsia" w:ascii="仿宋" w:hAnsi="仿宋" w:eastAsia="仿宋" w:cs="仿宋"/>
          <w:bCs/>
          <w:szCs w:val="24"/>
        </w:rPr>
        <w:t>《</w:t>
      </w:r>
      <w:r>
        <w:rPr>
          <w:rFonts w:hint="eastAsia" w:ascii="仿宋" w:hAnsi="仿宋" w:eastAsia="仿宋" w:cs="仿宋"/>
          <w:kern w:val="0"/>
          <w:szCs w:val="24"/>
        </w:rPr>
        <w:t>伊吾县北山胜利峰崩塌泥石流防治工程</w:t>
      </w:r>
      <w:r>
        <w:rPr>
          <w:rFonts w:hint="eastAsia" w:ascii="仿宋" w:hAnsi="仿宋" w:eastAsia="仿宋" w:cs="仿宋"/>
          <w:bCs/>
          <w:kern w:val="0"/>
          <w:szCs w:val="24"/>
        </w:rPr>
        <w:t>结算报告</w:t>
      </w:r>
      <w:r>
        <w:rPr>
          <w:rFonts w:hint="eastAsia" w:ascii="仿宋" w:hAnsi="仿宋" w:eastAsia="仿宋" w:cs="仿宋"/>
          <w:bCs/>
          <w:szCs w:val="24"/>
        </w:rPr>
        <w:t>》。</w:t>
      </w:r>
    </w:p>
    <w:p>
      <w:pPr>
        <w:pageBreakBefore w:val="0"/>
        <w:kinsoku/>
        <w:wordWrap w:val="0"/>
        <w:overflowPunct/>
        <w:topLinePunct w:val="0"/>
        <w:bidi w:val="0"/>
        <w:spacing w:line="480" w:lineRule="exact"/>
        <w:ind w:firstLine="482" w:firstLineChars="200"/>
        <w:rPr>
          <w:rFonts w:ascii="仿宋" w:hAnsi="仿宋" w:eastAsia="仿宋" w:cs="仿宋"/>
          <w:b/>
          <w:sz w:val="24"/>
        </w:rPr>
      </w:pPr>
      <w:bookmarkStart w:id="287" w:name="_Toc22422"/>
      <w:r>
        <w:rPr>
          <w:rFonts w:hint="eastAsia" w:ascii="仿宋" w:hAnsi="仿宋" w:eastAsia="仿宋" w:cs="仿宋"/>
          <w:b/>
          <w:sz w:val="24"/>
        </w:rPr>
        <w:t>十、工作周期</w:t>
      </w:r>
      <w:bookmarkEnd w:id="287"/>
    </w:p>
    <w:p>
      <w:pPr>
        <w:pageBreakBefore w:val="0"/>
        <w:kinsoku/>
        <w:wordWrap w:val="0"/>
        <w:overflowPunct/>
        <w:topLinePunct w:val="0"/>
        <w:bidi w:val="0"/>
        <w:spacing w:line="240" w:lineRule="atLeast"/>
        <w:jc w:val="center"/>
        <w:outlineLvl w:val="0"/>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2022年3月-2022年12月，其中：8月30日前完成野外施工工作；9月30日前完成项目初验；10月30日前完成竣工验收，11月15日提交项目成果报告。2023年10月30</w:t>
      </w:r>
    </w:p>
    <w:p>
      <w:pPr>
        <w:pageBreakBefore w:val="0"/>
        <w:kinsoku/>
        <w:wordWrap w:val="0"/>
        <w:overflowPunct/>
        <w:topLinePunct w:val="0"/>
        <w:bidi w:val="0"/>
        <w:spacing w:line="240" w:lineRule="atLeast"/>
        <w:jc w:val="both"/>
        <w:outlineLvl w:val="0"/>
        <w:rPr>
          <w:rFonts w:hint="eastAsia" w:ascii="仿宋" w:hAnsi="仿宋" w:eastAsia="仿宋" w:cs="仿宋"/>
          <w:b/>
          <w:bCs/>
          <w:sz w:val="28"/>
          <w:szCs w:val="28"/>
        </w:rPr>
      </w:pPr>
      <w:r>
        <w:rPr>
          <w:rFonts w:hint="eastAsia" w:ascii="仿宋" w:hAnsi="仿宋" w:eastAsia="仿宋" w:cs="仿宋"/>
          <w:sz w:val="24"/>
        </w:rPr>
        <w:t>日完成工程复验。</w:t>
      </w:r>
      <w:bookmarkEnd w:id="263"/>
      <w:bookmarkEnd w:id="264"/>
      <w:bookmarkEnd w:id="265"/>
      <w:bookmarkEnd w:id="266"/>
      <w:r>
        <w:rPr>
          <w:rFonts w:hint="eastAsia" w:ascii="仿宋" w:hAnsi="仿宋" w:eastAsia="仿宋" w:cs="仿宋"/>
          <w:b/>
          <w:bCs/>
          <w:sz w:val="28"/>
          <w:szCs w:val="28"/>
        </w:rPr>
        <w:t xml:space="preserve">  </w:t>
      </w:r>
    </w:p>
    <w:p>
      <w:pPr>
        <w:pageBreakBefore w:val="0"/>
        <w:kinsoku/>
        <w:wordWrap w:val="0"/>
        <w:overflowPunct/>
        <w:topLinePunct w:val="0"/>
        <w:bidi w:val="0"/>
        <w:spacing w:line="240" w:lineRule="atLeast"/>
        <w:jc w:val="center"/>
        <w:outlineLvl w:val="0"/>
        <w:rPr>
          <w:rFonts w:ascii="仿宋" w:hAnsi="仿宋" w:eastAsia="仿宋" w:cs="仿宋"/>
          <w:b/>
          <w:bCs/>
          <w:sz w:val="28"/>
          <w:szCs w:val="28"/>
        </w:rPr>
      </w:pPr>
      <w:r>
        <w:rPr>
          <w:rFonts w:hint="eastAsia" w:ascii="仿宋" w:hAnsi="仿宋" w:eastAsia="仿宋" w:cs="仿宋"/>
          <w:b/>
          <w:bCs/>
          <w:sz w:val="28"/>
          <w:szCs w:val="28"/>
        </w:rPr>
        <w:t>第6章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288" w:name="_Toc518923127"/>
      <w:bookmarkStart w:id="289" w:name="_Toc10220"/>
      <w:bookmarkStart w:id="290" w:name="_Toc507399907"/>
      <w:r>
        <w:rPr>
          <w:rFonts w:hint="eastAsia" w:ascii="仿宋" w:hAnsi="仿宋" w:eastAsia="仿宋" w:cs="仿宋"/>
          <w:b/>
          <w:bCs/>
          <w:sz w:val="28"/>
          <w:szCs w:val="28"/>
        </w:rPr>
        <w:t>评标方法和标准</w:t>
      </w:r>
      <w:bookmarkEnd w:id="259"/>
      <w:bookmarkEnd w:id="260"/>
      <w:bookmarkEnd w:id="261"/>
      <w:bookmarkEnd w:id="288"/>
      <w:bookmarkEnd w:id="289"/>
      <w:bookmarkEnd w:id="290"/>
    </w:p>
    <w:p>
      <w:pPr>
        <w:pStyle w:val="6"/>
        <w:pageBreakBefore w:val="0"/>
        <w:tabs>
          <w:tab w:val="clear" w:pos="567"/>
        </w:tabs>
        <w:kinsoku/>
        <w:wordWrap w:val="0"/>
        <w:overflowPunct/>
        <w:topLinePunct w:val="0"/>
        <w:bidi w:val="0"/>
        <w:spacing w:before="0" w:line="240" w:lineRule="atLeast"/>
        <w:ind w:firstLine="540" w:firstLineChars="225"/>
        <w:rPr>
          <w:rFonts w:ascii="仿宋" w:hAnsi="仿宋" w:eastAsia="仿宋" w:cs="仿宋"/>
        </w:rPr>
      </w:pPr>
    </w:p>
    <w:p>
      <w:pPr>
        <w:keepNext/>
        <w:keepLines/>
        <w:pageBreakBefore w:val="0"/>
        <w:kinsoku/>
        <w:wordWrap w:val="0"/>
        <w:overflowPunct/>
        <w:topLinePunct w:val="0"/>
        <w:autoSpaceDE w:val="0"/>
        <w:autoSpaceDN w:val="0"/>
        <w:bidi w:val="0"/>
        <w:adjustRightInd w:val="0"/>
        <w:spacing w:line="240" w:lineRule="atLeast"/>
        <w:ind w:firstLine="562" w:firstLineChars="200"/>
        <w:rPr>
          <w:rFonts w:ascii="仿宋" w:hAnsi="仿宋" w:eastAsia="仿宋" w:cs="仿宋"/>
          <w:b/>
          <w:bCs/>
          <w:sz w:val="28"/>
          <w:szCs w:val="36"/>
        </w:rPr>
      </w:pPr>
      <w:r>
        <w:rPr>
          <w:rFonts w:hint="eastAsia" w:ascii="仿宋" w:hAnsi="仿宋" w:eastAsia="仿宋" w:cs="仿宋"/>
          <w:b/>
          <w:bCs/>
          <w:sz w:val="28"/>
          <w:szCs w:val="36"/>
        </w:rPr>
        <w:t>本项目将按照招标文件第一章投标人须知中“五 开标及评标”、“六 确定中标”及本章的规定评标。</w:t>
      </w:r>
    </w:p>
    <w:p>
      <w:pPr>
        <w:pStyle w:val="6"/>
        <w:pageBreakBefore w:val="0"/>
        <w:tabs>
          <w:tab w:val="clear" w:pos="567"/>
        </w:tabs>
        <w:kinsoku/>
        <w:wordWrap w:val="0"/>
        <w:overflowPunct/>
        <w:topLinePunct w:val="0"/>
        <w:bidi w:val="0"/>
        <w:spacing w:before="100" w:beforeAutospacing="1" w:after="100" w:afterAutospacing="1" w:line="240" w:lineRule="atLeast"/>
        <w:ind w:left="1080" w:leftChars="257" w:hanging="540"/>
        <w:rPr>
          <w:rFonts w:ascii="仿宋" w:hAnsi="仿宋" w:eastAsia="仿宋" w:cs="仿宋"/>
          <w:iCs/>
          <w:sz w:val="28"/>
          <w:szCs w:val="28"/>
        </w:rPr>
      </w:pPr>
      <w:r>
        <w:rPr>
          <w:rFonts w:hint="eastAsia" w:ascii="仿宋" w:hAnsi="仿宋" w:eastAsia="仿宋" w:cs="仿宋"/>
          <w:iCs/>
          <w:sz w:val="28"/>
          <w:szCs w:val="28"/>
        </w:rPr>
        <w:t>（内容包括</w:t>
      </w:r>
      <w:r>
        <w:rPr>
          <w:rFonts w:hint="eastAsia" w:ascii="仿宋" w:hAnsi="仿宋" w:eastAsia="仿宋" w:cs="仿宋"/>
          <w:b/>
          <w:iCs/>
          <w:sz w:val="28"/>
          <w:szCs w:val="28"/>
        </w:rPr>
        <w:t>投标无效</w:t>
      </w:r>
      <w:r>
        <w:rPr>
          <w:rFonts w:hint="eastAsia" w:ascii="仿宋" w:hAnsi="仿宋" w:eastAsia="仿宋" w:cs="仿宋"/>
          <w:iCs/>
          <w:sz w:val="28"/>
          <w:szCs w:val="28"/>
        </w:rPr>
        <w:t>界定和详细评标标准）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 总则</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1.1 根据《中华人民共和国政府采购法》、《中华人民共和国政府采购法实施条例》、《政府采购货物和服务招标投标管理办法（财政部第87号令）》等法律制度，结合采购项目特点制定本评标办法。</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1.2 评标工作由采购代理机构负责组织，具体评标事务由采购代理机构依法组建的评标委员会负责。评标委员会由采购人代表和有关技术、经济、法律等方面的专家组成。（本项目评标委员会由</w:t>
      </w:r>
      <w:r>
        <w:rPr>
          <w:rFonts w:ascii="仿宋" w:hAnsi="仿宋" w:eastAsia="仿宋" w:cs="仿宋"/>
          <w:kern w:val="0"/>
          <w:lang w:bidi="ar"/>
        </w:rPr>
        <w:t>5</w:t>
      </w:r>
      <w:r>
        <w:rPr>
          <w:rFonts w:hint="eastAsia" w:ascii="仿宋" w:hAnsi="仿宋" w:eastAsia="仿宋" w:cs="仿宋"/>
          <w:kern w:val="0"/>
          <w:lang w:bidi="ar"/>
        </w:rPr>
        <w:t>人组成，从自然资源厅专家库中随机抽取后在政府采购网按3：1比例自行组建并随机抽取）</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1.3 评标工作应遵循公平、公正、科学及择优的原则，并以相同的评标程序和标准对待所有的投标人。</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1.4 评标委员会按照招标文件规定的评标方法和标准进行评标，并独立履行下列职责：</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（一）审查、评价投标文件是否符合招标文件的商务、技术等实质性要求；</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（二）要求投标人对投标文件有关事项作出澄清或者说明；</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（三）对投标文件进行比较和评价；</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（四）确定中标候选人名单，以及根据采购人委托直接确定中标人；</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（五）向采购人、采购代理机构或者有关部门报告评标中发现的违法行为。</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（六）法律、法规和规章规定的其他职责。</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1.5 评标过程独立、保密。投标人非法干预评标过程的行为将导致其投标文件作为无效处理。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1.6评标委员会评价投标文件的响应性，对于投标人而言，除评标委员会要求其澄清、说明或者更正而提供的资料外，仅依据投标文件本身的内容，不寻求其他外部证据。</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 xml:space="preserve"> 1.7采购人或者采购代理机构负责组织评标工作，并履行下列职责：</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（一）核对评审专家身份和采购人代表信息，对评审专家在政府采购活动中的职责履行情况予以记录，并及时将有关违法违规行为向财政部门报告；</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（二）宣布评标纪律；</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（三）公布投标人名单，告知评审专家应当回避的情形；</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（四）组织评标委员会推选评标组长，采购人代表不得担任组长；</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（五）在评标期间采取必要的通讯管理措施，保证评标活动不受外界干扰；</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（六）根据评标委员会的要求介绍政府采购相关政策法规、招标文件；</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（七）维护评标秩序，监督评标委员会依照招标文件规定的评标程序、方法和标准进行独立评审，及时制止和纠正采购人代表、评审专家的倾向性言论或者违法违规行为；</w:t>
      </w:r>
    </w:p>
    <w:p>
      <w:pPr>
        <w:pStyle w:val="6"/>
        <w:pageBreakBefore w:val="0"/>
        <w:tabs>
          <w:tab w:val="clear" w:pos="567"/>
        </w:tabs>
        <w:kinsoku/>
        <w:wordWrap w:val="0"/>
        <w:overflowPunct/>
        <w:topLinePunct w:val="0"/>
        <w:bidi w:val="0"/>
        <w:spacing w:before="0" w:line="360" w:lineRule="auto"/>
        <w:ind w:firstLine="240" w:firstLineChars="100"/>
        <w:rPr>
          <w:rFonts w:ascii="仿宋" w:hAnsi="仿宋" w:eastAsia="仿宋" w:cs="仿宋"/>
          <w:kern w:val="0"/>
          <w:lang w:bidi="ar"/>
        </w:rPr>
      </w:pPr>
      <w:r>
        <w:rPr>
          <w:rFonts w:hint="eastAsia" w:ascii="仿宋" w:hAnsi="仿宋" w:eastAsia="仿宋" w:cs="仿宋"/>
          <w:kern w:val="0"/>
          <w:lang w:bidi="ar"/>
        </w:rPr>
        <w:t>（八）核对评标结果，有财政部87号令第六十四条规定情形的，要求评标委员会复核或者书面说明理由，评标委员会拒绝的，应予记录并向本级财政部门报告；</w:t>
      </w:r>
    </w:p>
    <w:p>
      <w:pPr>
        <w:pStyle w:val="6"/>
        <w:pageBreakBefore w:val="0"/>
        <w:tabs>
          <w:tab w:val="clear" w:pos="567"/>
        </w:tabs>
        <w:kinsoku/>
        <w:wordWrap w:val="0"/>
        <w:overflowPunct/>
        <w:topLinePunct w:val="0"/>
        <w:bidi w:val="0"/>
        <w:spacing w:before="0" w:line="360" w:lineRule="auto"/>
        <w:rPr>
          <w:rFonts w:ascii="仿宋" w:hAnsi="仿宋" w:eastAsia="仿宋" w:cs="仿宋"/>
          <w:kern w:val="0"/>
          <w:lang w:bidi="ar"/>
        </w:rPr>
      </w:pPr>
      <w:r>
        <w:rPr>
          <w:rFonts w:hint="eastAsia" w:ascii="仿宋" w:hAnsi="仿宋" w:eastAsia="仿宋" w:cs="仿宋"/>
          <w:kern w:val="0"/>
          <w:lang w:bidi="ar"/>
        </w:rPr>
        <w:t>　（九）处理与评标有关的其他事项。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采购人可以在评标前说明项目背景和采购需求，说明内容不得含有歧视性、倾向性意见，不得超出招标文件所述范围。说明应当提交书面材料，并随采购文件一并存档。</w:t>
      </w:r>
    </w:p>
    <w:p>
      <w:pPr>
        <w:pStyle w:val="6"/>
        <w:pageBreakBefore w:val="0"/>
        <w:tabs>
          <w:tab w:val="clear" w:pos="567"/>
        </w:tabs>
        <w:kinsoku/>
        <w:wordWrap w:val="0"/>
        <w:overflowPunct/>
        <w:topLinePunct w:val="0"/>
        <w:bidi w:val="0"/>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2、评标方法</w:t>
      </w:r>
    </w:p>
    <w:p>
      <w:pPr>
        <w:pStyle w:val="26"/>
        <w:pageBreakBefore w:val="0"/>
        <w:kinsoku/>
        <w:wordWrap w:val="0"/>
        <w:overflowPunct/>
        <w:topLinePunct w:val="0"/>
        <w:bidi w:val="0"/>
        <w:ind w:firstLine="482" w:firstLineChars="200"/>
        <w:rPr>
          <w:rFonts w:ascii="仿宋" w:hAnsi="仿宋" w:eastAsia="仿宋" w:cs="仿宋"/>
          <w:kern w:val="0"/>
          <w:sz w:val="24"/>
          <w:szCs w:val="24"/>
          <w:lang w:bidi="ar"/>
        </w:rPr>
      </w:pPr>
      <w:r>
        <w:rPr>
          <w:rFonts w:hint="eastAsia" w:ascii="仿宋" w:hAnsi="仿宋" w:eastAsia="仿宋" w:cs="仿宋"/>
          <w:b/>
          <w:bCs/>
          <w:kern w:val="0"/>
          <w:sz w:val="24"/>
          <w:szCs w:val="24"/>
          <w:lang w:bidi="ar"/>
        </w:rPr>
        <w:t>本项目评标方法为：综合评分法。</w:t>
      </w:r>
      <w:r>
        <w:rPr>
          <w:rFonts w:hint="eastAsia" w:ascii="仿宋" w:hAnsi="仿宋" w:eastAsia="仿宋" w:cs="仿宋"/>
          <w:b/>
          <w:bCs/>
          <w:sz w:val="24"/>
          <w:szCs w:val="24"/>
        </w:rPr>
        <w:t xml:space="preserve">详细评标标准：采用综合评标法，则： 评标结果按评审后得分由高到低顺序排列。得分相同的，按投标报价由低到高顺序排列。得分且投标报价相同的并列。投标文件满足招标文件全部实质性要求，且按照评审因素的量化指标评审得分最高的投标单位为排名第一的中标候选人。 </w:t>
      </w:r>
    </w:p>
    <w:p>
      <w:pPr>
        <w:pStyle w:val="6"/>
        <w:pageBreakBefore w:val="0"/>
        <w:tabs>
          <w:tab w:val="clear" w:pos="567"/>
        </w:tabs>
        <w:kinsoku/>
        <w:wordWrap w:val="0"/>
        <w:overflowPunct/>
        <w:topLinePunct w:val="0"/>
        <w:bidi w:val="0"/>
        <w:spacing w:before="0" w:line="360" w:lineRule="auto"/>
        <w:ind w:firstLine="482" w:firstLineChars="200"/>
        <w:rPr>
          <w:rFonts w:ascii="仿宋" w:hAnsi="仿宋" w:eastAsia="仿宋" w:cs="仿宋"/>
          <w:b/>
          <w:bCs/>
          <w:kern w:val="0"/>
          <w:lang w:bidi="ar"/>
        </w:rPr>
      </w:pPr>
      <w:r>
        <w:rPr>
          <w:rFonts w:hint="eastAsia" w:ascii="仿宋" w:hAnsi="仿宋" w:eastAsia="仿宋" w:cs="仿宋"/>
          <w:b/>
          <w:bCs/>
          <w:kern w:val="0"/>
          <w:lang w:bidi="ar"/>
        </w:rPr>
        <w:t>3、 评标程序</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3.1熟悉和理解招标文件和停止评标。</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3.1.1评标委员会正式评标前，应当对招标文件进行熟悉和理解，内容主要包括招标文件中采购项目技术、规格型号和商务要求、评标方法和标准以及可能涉及签订政府采购合同的内容等。</w:t>
      </w:r>
    </w:p>
    <w:p>
      <w:pPr>
        <w:pStyle w:val="6"/>
        <w:pageBreakBefore w:val="0"/>
        <w:tabs>
          <w:tab w:val="clear" w:pos="567"/>
        </w:tabs>
        <w:kinsoku/>
        <w:wordWrap w:val="0"/>
        <w:overflowPunct/>
        <w:topLinePunct w:val="0"/>
        <w:bidi w:val="0"/>
        <w:spacing w:before="0" w:line="360" w:lineRule="auto"/>
        <w:ind w:left="-199" w:leftChars="-95" w:firstLine="199" w:firstLineChars="83"/>
        <w:rPr>
          <w:rFonts w:ascii="仿宋" w:hAnsi="仿宋" w:eastAsia="仿宋" w:cs="仿宋"/>
          <w:kern w:val="0"/>
          <w:lang w:bidi="ar"/>
        </w:rPr>
      </w:pPr>
      <w:r>
        <w:rPr>
          <w:rFonts w:hint="eastAsia" w:ascii="仿宋" w:hAnsi="仿宋" w:eastAsia="仿宋" w:cs="仿宋"/>
          <w:kern w:val="0"/>
          <w:lang w:bidi="ar"/>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3.2资格性检查（见综合评分表前附表）。</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3.3符合性检查（见综合评分表前附表）。</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3.3.1评标委员会依据本招标文件的实质性要求，对符合资格的投标文件进行审查，以确定其是否满足本招标文件的实质性要求。</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3.3.2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3.3.3投标文件正本、副本以骑缝章的形式代替投标文件内容逐页盖章的（但是骑缝章模糊不清，印章名称无法辨认的除外）本项目不作为实质性要求进行规定，即不作为符合性审查事项，不得作为无效投标处理：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3.4比较与评价。按招标文件中规定的评标方法和标准，对未作无效投标处理的投标文件进行技术、型号、商务等方面评估，综合比较与评价。</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评审完毕，评标委员会根据汇总各投标单位的综合得分，按照得分高低进行排序，取前三名作为中标候选人推荐给招标委员会。如果两投标人的得分相同，投标价格低者排在前。</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本项目参数要求、评审内容如有指向性，仅作为招标参考，投标服务不应低于招标要求，如有不符合要求，视为不响应招标文件规定。</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3.5复核。评分汇总结束后，评标委员会应当进行复核，特别要对拟推荐为中标候选供应商的、报价最低的、投标文件被认定为无效的进行重点复核。</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3.6推荐中标候选供应商。中标候选供应商应当排序。</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3.7出具评标报告。评标委员会推荐中标候选供应商后，应当向招标采购单位出具评标报告。评标报告应当包括下列内容：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（一）招标公告刊登的媒体名称、开标日期和地点；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（二）评标委员会成员名单；</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（三）评标方法和标准；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（四）开标记录和评标情况及说明，包括无效投标人名单及原因；</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（五）评标结果，确定的中标候选人名单或者经采购人委托直接确定的中标人；</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（六）其他需要说明的情况，包括评标过程中投标人根据评标委员会要求进行的澄清、说明或者补正，评标委员会成员的更换等。</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3.9供应商应当书面澄清、说明或者更正。</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3.9.3评标委员会要求供应商澄清、说明或者更正，不得超出招标文件的范围，不得以此让供应商实质改变投标文件的内容，不得影响供应商公平竞争。本项目下列内容不得澄清：</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（一）按财政部规定应当在评标时不予承认的投标文件内容事项；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（二）投标文件中已经明确的内容事项；</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（三）投标文件未提供的材料。</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3.11招标采购单位现场复核评标结果。</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6"/>
        <w:pageBreakBefore w:val="0"/>
        <w:tabs>
          <w:tab w:val="clear" w:pos="567"/>
        </w:tabs>
        <w:kinsoku/>
        <w:wordWrap w:val="0"/>
        <w:overflowPunct/>
        <w:topLinePunct w:val="0"/>
        <w:bidi w:val="0"/>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5、废标</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废标后，采购代理机构应在网上公告。投标人需要知晓导致废标情形的具体原因和理由的，可以通过书面形式询问招标采购单位。</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b/>
          <w:bCs/>
          <w:kern w:val="0"/>
          <w:lang w:bidi="ar"/>
        </w:rPr>
      </w:pPr>
      <w:r>
        <w:rPr>
          <w:rFonts w:hint="eastAsia" w:ascii="仿宋" w:hAnsi="仿宋" w:eastAsia="仿宋" w:cs="仿宋"/>
          <w:kern w:val="0"/>
          <w:lang w:bidi="ar"/>
        </w:rPr>
        <w:t>对于评标过程中废标的采购项目，评标委员会应当对招标文件是否存在倾向性和歧</w:t>
      </w:r>
      <w:r>
        <w:rPr>
          <w:rFonts w:hint="eastAsia" w:ascii="仿宋" w:hAnsi="仿宋" w:eastAsia="仿宋" w:cs="仿宋"/>
          <w:b/>
          <w:bCs/>
          <w:kern w:val="0"/>
          <w:lang w:bidi="ar"/>
        </w:rPr>
        <w:t>视性、是否存在不合理条款进行论证，并出具书面论证意见。</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如发现下列情况之一的，其投标将被认定为投标无效：</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1.未按招标文件规定的形式和金额提交投标保证金的；</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2.未按照招标文件规定要求签署、盖章的；</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3.未满足招标文件中技术条款的实质性要求；</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4.与其他投标人串通投标，或者与招标人串通投标；</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5.属于招标文件规定的其他投标无效情形；</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6.评标委员会认为投标人的报价明显低于其他通过符合性检查投标人的报价，有可能影响履约的，且投标人未按照规定证明其报价合理性的；</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7.投标文件含有采购人不能接受的附加条件的；</w:t>
      </w:r>
    </w:p>
    <w:p>
      <w:pPr>
        <w:pageBreakBefore w:val="0"/>
        <w:kinsoku/>
        <w:wordWrap w:val="0"/>
        <w:overflowPunct/>
        <w:topLinePunct w:val="0"/>
        <w:bidi w:val="0"/>
        <w:ind w:firstLine="482" w:firstLineChars="200"/>
        <w:rPr>
          <w:rFonts w:ascii="仿宋" w:hAnsi="仿宋" w:eastAsia="仿宋" w:cs="仿宋"/>
          <w:b/>
          <w:bCs/>
          <w:kern w:val="0"/>
          <w:sz w:val="24"/>
          <w:lang w:bidi="ar"/>
        </w:rPr>
      </w:pPr>
      <w:r>
        <w:rPr>
          <w:rFonts w:hint="eastAsia" w:ascii="仿宋" w:hAnsi="仿宋" w:eastAsia="仿宋" w:cs="仿宋"/>
          <w:b/>
          <w:bCs/>
          <w:kern w:val="0"/>
          <w:sz w:val="24"/>
          <w:lang w:bidi="ar"/>
        </w:rPr>
        <w:t>8.不符合法规和招标文件中规定的其他实质性要求的。</w:t>
      </w:r>
    </w:p>
    <w:p>
      <w:pPr>
        <w:pageBreakBefore w:val="0"/>
        <w:kinsoku/>
        <w:wordWrap w:val="0"/>
        <w:overflowPunct/>
        <w:topLinePunct w:val="0"/>
        <w:bidi w:val="0"/>
        <w:rPr>
          <w:rFonts w:ascii="仿宋" w:hAnsi="仿宋" w:eastAsia="仿宋" w:cs="仿宋"/>
          <w:kern w:val="0"/>
          <w:sz w:val="24"/>
          <w:lang w:bidi="ar"/>
        </w:rPr>
      </w:pPr>
    </w:p>
    <w:p>
      <w:pPr>
        <w:pStyle w:val="6"/>
        <w:pageBreakBefore w:val="0"/>
        <w:tabs>
          <w:tab w:val="clear" w:pos="567"/>
        </w:tabs>
        <w:kinsoku/>
        <w:wordWrap w:val="0"/>
        <w:overflowPunct/>
        <w:topLinePunct w:val="0"/>
        <w:bidi w:val="0"/>
        <w:spacing w:before="0" w:line="360" w:lineRule="auto"/>
        <w:ind w:left="-181" w:leftChars="-86" w:firstLine="663" w:firstLineChars="275"/>
        <w:rPr>
          <w:rFonts w:ascii="仿宋" w:hAnsi="仿宋" w:eastAsia="仿宋" w:cs="仿宋"/>
          <w:b/>
          <w:bCs/>
          <w:kern w:val="0"/>
          <w:lang w:bidi="ar"/>
        </w:rPr>
      </w:pPr>
      <w:r>
        <w:rPr>
          <w:rFonts w:hint="eastAsia" w:ascii="仿宋" w:hAnsi="仿宋" w:eastAsia="仿宋" w:cs="仿宋"/>
          <w:b/>
          <w:bCs/>
          <w:kern w:val="0"/>
          <w:lang w:bidi="ar"/>
        </w:rPr>
        <w:t>6、定标</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6.1. 定标原则：由采购人根据评标委员会的推荐意见确定中标供应商。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 定标程序</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6.2.1 评标委员会将评标情况写出书面报告，推荐中标候选供应商。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6.2.2 采购代理机构在评标结束后2个工作日内将评标报告送采购人。</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6.2.4 根据采购人确定的中标供应商，采购代理机构在新疆政府采购网上发布中标公告，并自采购人确定中标之日起3个工作日内向中标供应商发出中标通知书。</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6.2.5 招标采购单位不退回投标人投标文件和其他投标资料。</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7、详细的评标标准：（具体内容详见综合评分表）</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计算分数时四舍五入取小数点后两位,标项一分数最高不超过</w:t>
      </w:r>
      <w:r>
        <w:rPr>
          <w:rFonts w:hint="eastAsia" w:ascii="仿宋" w:hAnsi="仿宋" w:eastAsia="仿宋" w:cs="仿宋"/>
          <w:kern w:val="0"/>
          <w:lang w:val="en-US" w:eastAsia="zh-CN" w:bidi="ar"/>
        </w:rPr>
        <w:t>10</w:t>
      </w:r>
      <w:r>
        <w:rPr>
          <w:rFonts w:hint="eastAsia" w:ascii="仿宋" w:hAnsi="仿宋" w:eastAsia="仿宋" w:cs="仿宋"/>
          <w:kern w:val="0"/>
          <w:lang w:bidi="ar"/>
        </w:rPr>
        <w:t>分。标项二分数最高不超过</w:t>
      </w:r>
      <w:r>
        <w:rPr>
          <w:rFonts w:ascii="仿宋" w:hAnsi="仿宋" w:eastAsia="仿宋" w:cs="仿宋"/>
          <w:kern w:val="0"/>
          <w:lang w:bidi="ar"/>
        </w:rPr>
        <w:t>10</w:t>
      </w:r>
      <w:r>
        <w:rPr>
          <w:rFonts w:hint="eastAsia" w:ascii="仿宋" w:hAnsi="仿宋" w:eastAsia="仿宋" w:cs="仿宋"/>
          <w:kern w:val="0"/>
          <w:lang w:bidi="ar"/>
        </w:rPr>
        <w:t>分，由监标人员负责核准每个合格供应商的价格得分。</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rPr>
      </w:pPr>
      <w:r>
        <w:rPr>
          <w:rFonts w:hint="eastAsia" w:ascii="仿宋" w:hAnsi="仿宋" w:eastAsia="仿宋" w:cs="仿宋"/>
          <w:kern w:val="0"/>
          <w:lang w:bidi="ar"/>
        </w:rPr>
        <w:t>注：若为</w:t>
      </w:r>
      <w:r>
        <w:rPr>
          <w:rFonts w:hint="eastAsia" w:ascii="仿宋" w:hAnsi="仿宋" w:eastAsia="仿宋" w:cs="仿宋"/>
        </w:rPr>
        <w:t>若报价单位为中小企业、监狱企业、残疾人福利企业，其投标报价扣除6%后参与评审，提供相关证明资料，否则无效。</w:t>
      </w:r>
    </w:p>
    <w:p>
      <w:pPr>
        <w:pStyle w:val="6"/>
        <w:pageBreakBefore w:val="0"/>
        <w:tabs>
          <w:tab w:val="clear" w:pos="567"/>
        </w:tabs>
        <w:kinsoku/>
        <w:wordWrap w:val="0"/>
        <w:overflowPunct/>
        <w:topLinePunct w:val="0"/>
        <w:bidi w:val="0"/>
        <w:spacing w:before="0" w:line="360" w:lineRule="auto"/>
        <w:ind w:left="-181" w:leftChars="-86" w:firstLine="660" w:firstLineChars="275"/>
        <w:rPr>
          <w:rFonts w:ascii="仿宋" w:hAnsi="仿宋" w:eastAsia="仿宋" w:cs="仿宋"/>
          <w:kern w:val="0"/>
          <w:lang w:bidi="ar"/>
        </w:rPr>
      </w:pPr>
      <w:r>
        <w:rPr>
          <w:rFonts w:hint="eastAsia" w:ascii="仿宋" w:hAnsi="仿宋" w:eastAsia="仿宋" w:cs="仿宋"/>
          <w:kern w:val="0"/>
          <w:lang w:bidi="ar"/>
        </w:rPr>
        <w:t>标项一,技术占</w:t>
      </w:r>
      <w:r>
        <w:rPr>
          <w:rFonts w:hint="eastAsia" w:ascii="仿宋" w:hAnsi="仿宋" w:eastAsia="仿宋" w:cs="仿宋"/>
          <w:kern w:val="0"/>
          <w:lang w:val="en-US" w:eastAsia="zh-CN" w:bidi="ar"/>
        </w:rPr>
        <w:t>7</w:t>
      </w:r>
      <w:r>
        <w:rPr>
          <w:rFonts w:hint="eastAsia" w:ascii="仿宋" w:hAnsi="仿宋" w:eastAsia="仿宋" w:cs="仿宋"/>
          <w:kern w:val="0"/>
          <w:lang w:bidi="ar"/>
        </w:rPr>
        <w:t>0%，商务</w:t>
      </w:r>
      <w:r>
        <w:rPr>
          <w:rFonts w:hint="eastAsia" w:ascii="仿宋" w:hAnsi="仿宋" w:eastAsia="仿宋" w:cs="仿宋"/>
          <w:kern w:val="0"/>
          <w:lang w:val="en-US" w:eastAsia="zh-CN" w:bidi="ar"/>
        </w:rPr>
        <w:t>2</w:t>
      </w:r>
      <w:r>
        <w:rPr>
          <w:rFonts w:ascii="仿宋" w:hAnsi="仿宋" w:eastAsia="仿宋" w:cs="仿宋"/>
          <w:kern w:val="0"/>
          <w:lang w:bidi="ar"/>
        </w:rPr>
        <w:t>0</w:t>
      </w:r>
      <w:r>
        <w:rPr>
          <w:rFonts w:hint="eastAsia" w:ascii="仿宋" w:hAnsi="仿宋" w:eastAsia="仿宋" w:cs="仿宋"/>
          <w:kern w:val="0"/>
          <w:lang w:bidi="ar"/>
        </w:rPr>
        <w:t>%；标项</w:t>
      </w:r>
      <w:r>
        <w:rPr>
          <w:rFonts w:hint="eastAsia" w:ascii="仿宋" w:hAnsi="仿宋" w:eastAsia="仿宋" w:cs="仿宋"/>
          <w:kern w:val="0"/>
          <w:lang w:val="en-US" w:eastAsia="zh-CN" w:bidi="ar"/>
        </w:rPr>
        <w:t>二</w:t>
      </w:r>
      <w:r>
        <w:rPr>
          <w:rFonts w:hint="eastAsia" w:ascii="仿宋" w:hAnsi="仿宋" w:eastAsia="仿宋" w:cs="仿宋"/>
          <w:kern w:val="0"/>
          <w:lang w:bidi="ar"/>
        </w:rPr>
        <w:t>技术占80%，商务占10%。</w:t>
      </w:r>
    </w:p>
    <w:p>
      <w:pPr>
        <w:pStyle w:val="2"/>
        <w:pageBreakBefore w:val="0"/>
        <w:kinsoku/>
        <w:wordWrap w:val="0"/>
        <w:overflowPunct/>
        <w:topLinePunct w:val="0"/>
        <w:bidi w:val="0"/>
        <w:ind w:firstLine="480"/>
      </w:pPr>
      <w:r>
        <w:rPr>
          <w:rFonts w:hint="eastAsia" w:ascii="仿宋" w:hAnsi="仿宋" w:eastAsia="仿宋" w:cs="仿宋"/>
          <w:kern w:val="0"/>
          <w:lang w:bidi="ar"/>
        </w:rPr>
        <w:br w:type="page"/>
      </w:r>
    </w:p>
    <w:p>
      <w:pPr>
        <w:pStyle w:val="26"/>
        <w:pageBreakBefore w:val="0"/>
        <w:kinsoku/>
        <w:wordWrap w:val="0"/>
        <w:overflowPunct/>
        <w:topLinePunct w:val="0"/>
        <w:bidi w:val="0"/>
        <w:jc w:val="center"/>
        <w:outlineLvl w:val="2"/>
        <w:rPr>
          <w:rFonts w:ascii="仿宋" w:hAnsi="仿宋" w:eastAsia="仿宋" w:cs="仿宋"/>
          <w:b/>
          <w:bCs/>
          <w:sz w:val="28"/>
          <w:szCs w:val="28"/>
        </w:rPr>
      </w:pPr>
      <w:bookmarkStart w:id="291" w:name="_Toc507399904"/>
      <w:r>
        <w:rPr>
          <w:rFonts w:hint="eastAsia" w:ascii="仿宋" w:hAnsi="仿宋" w:eastAsia="仿宋" w:cs="仿宋"/>
          <w:b/>
          <w:bCs/>
          <w:sz w:val="28"/>
          <w:szCs w:val="28"/>
        </w:rPr>
        <w:t>商务符合性审查表</w:t>
      </w:r>
    </w:p>
    <w:p>
      <w:pPr>
        <w:pageBreakBefore w:val="0"/>
        <w:kinsoku/>
        <w:wordWrap w:val="0"/>
        <w:overflowPunct/>
        <w:topLinePunct w:val="0"/>
        <w:bidi w:val="0"/>
      </w:pPr>
    </w:p>
    <w:tbl>
      <w:tblPr>
        <w:tblStyle w:val="35"/>
        <w:tblW w:w="9356" w:type="dxa"/>
        <w:tblInd w:w="108" w:type="dxa"/>
        <w:tblLayout w:type="fixed"/>
        <w:tblCellMar>
          <w:top w:w="0" w:type="dxa"/>
          <w:left w:w="108" w:type="dxa"/>
          <w:bottom w:w="0" w:type="dxa"/>
          <w:right w:w="108" w:type="dxa"/>
        </w:tblCellMar>
      </w:tblPr>
      <w:tblGrid>
        <w:gridCol w:w="2126"/>
        <w:gridCol w:w="4137"/>
        <w:gridCol w:w="967"/>
        <w:gridCol w:w="1134"/>
        <w:gridCol w:w="992"/>
      </w:tblGrid>
      <w:tr>
        <w:tblPrEx>
          <w:tblCellMar>
            <w:top w:w="0" w:type="dxa"/>
            <w:left w:w="108" w:type="dxa"/>
            <w:bottom w:w="0" w:type="dxa"/>
            <w:right w:w="108" w:type="dxa"/>
          </w:tblCellMar>
        </w:tblPrEx>
        <w:trPr>
          <w:trHeight w:val="754" w:hRule="atLeast"/>
        </w:trPr>
        <w:tc>
          <w:tcPr>
            <w:tcW w:w="6263"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jc w:val="center"/>
              <w:rPr>
                <w:rFonts w:ascii="仿宋" w:hAnsi="仿宋" w:eastAsia="仿宋" w:cs="仿宋"/>
                <w:sz w:val="24"/>
                <w:szCs w:val="24"/>
              </w:rPr>
            </w:pPr>
            <w:r>
              <w:rPr>
                <w:rFonts w:hint="eastAsia" w:ascii="仿宋" w:hAnsi="仿宋" w:eastAsia="仿宋" w:cs="仿宋"/>
                <w:sz w:val="24"/>
                <w:szCs w:val="24"/>
              </w:rPr>
              <w:t>审查事项</w:t>
            </w:r>
          </w:p>
        </w:tc>
        <w:tc>
          <w:tcPr>
            <w:tcW w:w="3093" w:type="dxa"/>
            <w:gridSpan w:val="3"/>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审查标准</w:t>
            </w:r>
          </w:p>
        </w:tc>
        <w:tc>
          <w:tcPr>
            <w:tcW w:w="4137"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本项目要求</w:t>
            </w:r>
          </w:p>
        </w:tc>
        <w:tc>
          <w:tcPr>
            <w:tcW w:w="967"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r>
              <w:rPr>
                <w:rFonts w:hint="eastAsia" w:ascii="仿宋" w:hAnsi="仿宋" w:eastAsia="仿宋" w:cs="仿宋"/>
              </w:rPr>
              <w:t>　</w:t>
            </w: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r>
              <w:rPr>
                <w:rFonts w:hint="eastAsia" w:ascii="仿宋" w:hAnsi="仿宋" w:eastAsia="仿宋" w:cs="仿宋"/>
              </w:rPr>
              <w:t>　</w:t>
            </w: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513"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中小企业投标要求（1.4）</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本项目适用</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3"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联合体投标规定</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本项目是否接受联合体投标，如有是否客服招标文件要求</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投标人的关联性</w:t>
            </w:r>
          </w:p>
          <w:p>
            <w:pPr>
              <w:pStyle w:val="26"/>
              <w:pageBreakBefore w:val="0"/>
              <w:kinsoku/>
              <w:wordWrap w:val="0"/>
              <w:overflowPunct/>
              <w:topLinePunct w:val="0"/>
              <w:bidi w:val="0"/>
              <w:rPr>
                <w:rFonts w:ascii="仿宋" w:hAnsi="仿宋" w:eastAsia="仿宋" w:cs="仿宋"/>
                <w:sz w:val="24"/>
                <w:szCs w:val="24"/>
              </w:rPr>
            </w:pP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在同一标包内，单位负责人为非同一人或者不存在直接控股、管理关系的不同供应商</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5"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未发现影响采购人决策行为</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投标人在投标过程中未向采购人提供、给予任何有价值的物品，影响其正常决策行为</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满足投标范围的完整性要求</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投标人对所投分包招标文件中所列的所有内容进行投标</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投标保证金</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符合招标文件要求</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投标文件的装订方式</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所有投标文件采用不可拆装的胶订方式装订</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投标文件的签署和盖章符合要求</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按照招标文件规定要求签署、盖章。</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未发现串通投标</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未与其他投标人串通投标，或者与招标人串通投标</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无采购人不能接受的附加条件</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投标文件未含有采购人不能接受的附加条件</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其他要求</w:t>
            </w:r>
          </w:p>
        </w:tc>
        <w:tc>
          <w:tcPr>
            <w:tcW w:w="413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投标文件无不符合招标文件中规定的其他实质性要求</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r>
        <w:tblPrEx>
          <w:tblCellMar>
            <w:top w:w="0" w:type="dxa"/>
            <w:left w:w="108" w:type="dxa"/>
            <w:bottom w:w="0" w:type="dxa"/>
            <w:right w:w="108" w:type="dxa"/>
          </w:tblCellMar>
        </w:tblPrEx>
        <w:trPr>
          <w:trHeight w:val="774" w:hRule="atLeast"/>
        </w:trPr>
        <w:tc>
          <w:tcPr>
            <w:tcW w:w="6263" w:type="dxa"/>
            <w:gridSpan w:val="2"/>
            <w:tcBorders>
              <w:top w:val="single" w:color="auto" w:sz="4" w:space="0"/>
              <w:left w:val="single" w:color="auto" w:sz="4" w:space="0"/>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sz w:val="24"/>
                <w:szCs w:val="24"/>
              </w:rPr>
            </w:pPr>
            <w:r>
              <w:rPr>
                <w:rFonts w:hint="eastAsia" w:ascii="仿宋" w:hAnsi="仿宋" w:eastAsia="仿宋" w:cs="仿宋"/>
                <w:sz w:val="24"/>
                <w:szCs w:val="24"/>
              </w:rPr>
              <w:t>结论：出现偏差的标记“×”，没有出现偏差的标记“√” 。</w:t>
            </w:r>
          </w:p>
        </w:tc>
        <w:tc>
          <w:tcPr>
            <w:tcW w:w="967"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1134"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c>
          <w:tcPr>
            <w:tcW w:w="992" w:type="dxa"/>
            <w:tcBorders>
              <w:top w:val="single" w:color="auto" w:sz="4" w:space="0"/>
              <w:left w:val="nil"/>
              <w:bottom w:val="single" w:color="auto" w:sz="4" w:space="0"/>
              <w:right w:val="single" w:color="auto" w:sz="4" w:space="0"/>
            </w:tcBorders>
            <w:vAlign w:val="center"/>
          </w:tcPr>
          <w:p>
            <w:pPr>
              <w:pStyle w:val="26"/>
              <w:pageBreakBefore w:val="0"/>
              <w:kinsoku/>
              <w:wordWrap w:val="0"/>
              <w:overflowPunct/>
              <w:topLinePunct w:val="0"/>
              <w:bidi w:val="0"/>
              <w:rPr>
                <w:rFonts w:ascii="仿宋" w:hAnsi="仿宋" w:eastAsia="仿宋" w:cs="仿宋"/>
              </w:rPr>
            </w:pPr>
          </w:p>
        </w:tc>
      </w:tr>
    </w:tbl>
    <w:p>
      <w:pPr>
        <w:pageBreakBefore w:val="0"/>
        <w:kinsoku/>
        <w:wordWrap w:val="0"/>
        <w:overflowPunct/>
        <w:topLinePunct w:val="0"/>
        <w:bidi w:val="0"/>
        <w:spacing w:line="240" w:lineRule="atLeast"/>
        <w:rPr>
          <w:rFonts w:ascii="仿宋" w:hAnsi="仿宋" w:eastAsia="仿宋" w:cs="仿宋"/>
        </w:rPr>
      </w:pPr>
    </w:p>
    <w:p>
      <w:pPr>
        <w:pageBreakBefore w:val="0"/>
        <w:widowControl/>
        <w:kinsoku/>
        <w:wordWrap w:val="0"/>
        <w:overflowPunct/>
        <w:topLinePunct w:val="0"/>
        <w:bidi w:val="0"/>
        <w:jc w:val="center"/>
        <w:rPr>
          <w:rFonts w:ascii="仿宋" w:hAnsi="仿宋" w:eastAsia="仿宋" w:cs="仿宋"/>
          <w:b/>
          <w:bCs/>
          <w:kern w:val="0"/>
          <w:sz w:val="32"/>
          <w:szCs w:val="32"/>
        </w:rPr>
      </w:pPr>
    </w:p>
    <w:p>
      <w:pPr>
        <w:pStyle w:val="2"/>
        <w:pageBreakBefore w:val="0"/>
        <w:kinsoku/>
        <w:wordWrap w:val="0"/>
        <w:overflowPunct/>
        <w:topLinePunct w:val="0"/>
        <w:bidi w:val="0"/>
        <w:ind w:firstLine="643"/>
        <w:rPr>
          <w:rFonts w:ascii="仿宋" w:hAnsi="仿宋" w:eastAsia="仿宋" w:cs="仿宋"/>
          <w:b/>
          <w:bCs/>
          <w:kern w:val="0"/>
          <w:sz w:val="32"/>
          <w:szCs w:val="32"/>
        </w:rPr>
      </w:pPr>
    </w:p>
    <w:p>
      <w:pPr>
        <w:pStyle w:val="5"/>
        <w:pageBreakBefore w:val="0"/>
        <w:kinsoku/>
        <w:wordWrap w:val="0"/>
        <w:overflowPunct/>
        <w:topLinePunct w:val="0"/>
        <w:bidi w:val="0"/>
        <w:ind w:firstLine="643"/>
        <w:rPr>
          <w:rFonts w:ascii="仿宋" w:hAnsi="仿宋" w:eastAsia="仿宋" w:cs="仿宋"/>
          <w:b/>
          <w:bCs/>
          <w:kern w:val="0"/>
          <w:sz w:val="32"/>
          <w:szCs w:val="32"/>
        </w:rPr>
      </w:pPr>
    </w:p>
    <w:p>
      <w:pPr>
        <w:pStyle w:val="2"/>
        <w:pageBreakBefore w:val="0"/>
        <w:kinsoku/>
        <w:wordWrap w:val="0"/>
        <w:overflowPunct/>
        <w:topLinePunct w:val="0"/>
        <w:bidi w:val="0"/>
        <w:ind w:firstLine="480"/>
      </w:pPr>
    </w:p>
    <w:p>
      <w:pPr>
        <w:pageBreakBefore w:val="0"/>
        <w:widowControl/>
        <w:kinsoku/>
        <w:wordWrap w:val="0"/>
        <w:overflowPunct/>
        <w:topLinePunct w:val="0"/>
        <w:bidi w:val="0"/>
        <w:jc w:val="center"/>
        <w:rPr>
          <w:rFonts w:ascii="仿宋" w:hAnsi="仿宋" w:eastAsia="仿宋" w:cs="仿宋"/>
          <w:b/>
          <w:bCs/>
          <w:kern w:val="0"/>
          <w:sz w:val="32"/>
          <w:szCs w:val="32"/>
        </w:rPr>
      </w:pPr>
    </w:p>
    <w:p>
      <w:pPr>
        <w:pageBreakBefore w:val="0"/>
        <w:widowControl/>
        <w:kinsoku/>
        <w:wordWrap w:val="0"/>
        <w:overflowPunct/>
        <w:topLinePunct w:val="0"/>
        <w:bidi w:val="0"/>
        <w:jc w:val="center"/>
        <w:rPr>
          <w:rFonts w:ascii="仿宋" w:hAnsi="仿宋" w:eastAsia="仿宋" w:cs="仿宋"/>
          <w:b/>
          <w:bCs/>
          <w:kern w:val="0"/>
          <w:sz w:val="32"/>
          <w:szCs w:val="32"/>
        </w:rPr>
      </w:pPr>
    </w:p>
    <w:p>
      <w:pPr>
        <w:pageBreakBefore w:val="0"/>
        <w:widowControl/>
        <w:kinsoku/>
        <w:wordWrap w:val="0"/>
        <w:overflowPunct/>
        <w:topLinePunct w:val="0"/>
        <w:bidi w:val="0"/>
        <w:jc w:val="center"/>
        <w:outlineLvl w:val="2"/>
        <w:rPr>
          <w:rFonts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5"/>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b/>
                <w:bCs/>
                <w:kern w:val="0"/>
                <w:sz w:val="22"/>
                <w:szCs w:val="22"/>
              </w:rPr>
            </w:pPr>
            <w:r>
              <w:rPr>
                <w:rFonts w:hint="eastAsia" w:ascii="仿宋" w:hAnsi="仿宋" w:eastAsia="仿宋" w:cs="仿宋"/>
                <w:b/>
                <w:bCs/>
                <w:kern w:val="0"/>
                <w:sz w:val="22"/>
                <w:szCs w:val="22"/>
              </w:rPr>
              <w:t>序号</w:t>
            </w:r>
          </w:p>
        </w:tc>
        <w:tc>
          <w:tcPr>
            <w:tcW w:w="8101"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b/>
                <w:bCs/>
                <w:kern w:val="0"/>
                <w:sz w:val="22"/>
                <w:szCs w:val="22"/>
              </w:rPr>
            </w:pPr>
            <w:r>
              <w:rPr>
                <w:rFonts w:hint="eastAsia" w:ascii="仿宋" w:hAnsi="仿宋" w:eastAsia="仿宋" w:cs="仿宋"/>
                <w:b/>
                <w:bCs/>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投标人名称</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3</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投标文件的格式</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投标文件按照招标文件格式完整提供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4</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投标文件签署</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投标文件的签章符合招标文件规定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5</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投标报价</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投标文件针对同一种内容出现了两个或两个以上的报价；投标人的报价超过本项目预算价。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6</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合同条款</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对招标文件规定的服务条款作出响应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7</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投标文件制作</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8</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投标有效期</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9</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服务期限</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满足招标文件对服务期限的要求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10</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其他</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11</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其他违法行为</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有串通投标或弄虚作假或有其他违法行为的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12</w:t>
            </w:r>
          </w:p>
        </w:tc>
        <w:tc>
          <w:tcPr>
            <w:tcW w:w="18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响应实质性条款</w:t>
            </w:r>
          </w:p>
        </w:tc>
        <w:tc>
          <w:tcPr>
            <w:tcW w:w="625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对招标文件实质性条款作出响应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38"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bidi w:val="0"/>
              <w:jc w:val="center"/>
              <w:rPr>
                <w:rFonts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pageBreakBefore w:val="0"/>
        <w:kinsoku/>
        <w:wordWrap w:val="0"/>
        <w:overflowPunct/>
        <w:topLinePunct w:val="0"/>
        <w:bidi w:val="0"/>
        <w:spacing w:line="240" w:lineRule="atLeast"/>
        <w:jc w:val="center"/>
        <w:rPr>
          <w:rFonts w:ascii="仿宋" w:hAnsi="仿宋" w:eastAsia="仿宋" w:cs="仿宋"/>
        </w:rPr>
      </w:pPr>
    </w:p>
    <w:p>
      <w:pPr>
        <w:pageBreakBefore w:val="0"/>
        <w:kinsoku/>
        <w:wordWrap w:val="0"/>
        <w:overflowPunct/>
        <w:topLinePunct w:val="0"/>
        <w:bidi w:val="0"/>
        <w:rPr>
          <w:rFonts w:ascii="仿宋" w:hAnsi="仿宋" w:eastAsia="仿宋" w:cs="仿宋"/>
        </w:rPr>
      </w:pPr>
      <w:r>
        <w:rPr>
          <w:rFonts w:hint="eastAsia" w:ascii="仿宋" w:hAnsi="仿宋" w:eastAsia="仿宋" w:cs="仿宋"/>
        </w:rPr>
        <w:br w:type="page"/>
      </w:r>
    </w:p>
    <w:p>
      <w:pPr>
        <w:pStyle w:val="6"/>
        <w:pageBreakBefore w:val="0"/>
        <w:tabs>
          <w:tab w:val="clear" w:pos="567"/>
        </w:tabs>
        <w:kinsoku/>
        <w:wordWrap w:val="0"/>
        <w:overflowPunct/>
        <w:topLinePunct w:val="0"/>
        <w:bidi w:val="0"/>
        <w:spacing w:before="0" w:line="360" w:lineRule="auto"/>
        <w:ind w:left="210"/>
        <w:jc w:val="center"/>
        <w:outlineLvl w:val="0"/>
        <w:rPr>
          <w:rFonts w:ascii="仿宋" w:hAnsi="仿宋" w:eastAsia="仿宋" w:cs="宋体"/>
          <w:b/>
          <w:bCs/>
          <w:kern w:val="0"/>
          <w:sz w:val="32"/>
          <w:szCs w:val="32"/>
        </w:rPr>
      </w:pPr>
      <w:r>
        <w:rPr>
          <w:rFonts w:hint="eastAsia" w:ascii="仿宋" w:hAnsi="仿宋" w:eastAsia="仿宋" w:cs="宋体"/>
          <w:b/>
          <w:bCs/>
          <w:kern w:val="0"/>
          <w:sz w:val="32"/>
          <w:szCs w:val="32"/>
        </w:rPr>
        <w:t>综合评分表</w:t>
      </w:r>
    </w:p>
    <w:p>
      <w:pPr>
        <w:pageBreakBefore w:val="0"/>
        <w:kinsoku/>
        <w:wordWrap w:val="0"/>
        <w:overflowPunct/>
        <w:topLinePunct w:val="0"/>
        <w:bidi w:val="0"/>
        <w:spacing w:line="360" w:lineRule="auto"/>
        <w:outlineLvl w:val="1"/>
        <w:rPr>
          <w:rFonts w:ascii="楷体" w:hAnsi="楷体" w:eastAsia="楷体" w:cs="楷体"/>
          <w:b/>
          <w:color w:val="000000"/>
          <w:sz w:val="24"/>
        </w:rPr>
      </w:pPr>
      <w:r>
        <w:rPr>
          <w:rFonts w:hint="eastAsia" w:ascii="楷体" w:hAnsi="楷体" w:eastAsia="楷体" w:cs="楷体"/>
          <w:b/>
          <w:color w:val="000000"/>
          <w:sz w:val="24"/>
        </w:rPr>
        <w:t>标项一评分标准</w:t>
      </w:r>
    </w:p>
    <w:p>
      <w:pPr>
        <w:pageBreakBefore w:val="0"/>
        <w:tabs>
          <w:tab w:val="right" w:pos="9213"/>
        </w:tabs>
        <w:kinsoku/>
        <w:wordWrap w:val="0"/>
        <w:overflowPunct/>
        <w:topLinePunct w:val="0"/>
        <w:bidi w:val="0"/>
        <w:jc w:val="center"/>
        <w:rPr>
          <w:rFonts w:ascii="仿宋" w:hAnsi="仿宋" w:eastAsia="仿宋" w:cs="仿宋"/>
          <w:b/>
          <w:sz w:val="24"/>
          <w:szCs w:val="20"/>
        </w:rPr>
      </w:pPr>
      <w:bookmarkStart w:id="292" w:name="_Toc1728"/>
      <w:bookmarkStart w:id="293" w:name="_Toc26151"/>
      <w:bookmarkStart w:id="294" w:name="_Toc17358"/>
      <w:r>
        <w:rPr>
          <w:rFonts w:hint="eastAsia" w:ascii="仿宋" w:hAnsi="仿宋" w:eastAsia="仿宋" w:cs="仿宋"/>
          <w:b/>
          <w:sz w:val="24"/>
          <w:szCs w:val="20"/>
        </w:rPr>
        <w:t>商务评分表</w:t>
      </w:r>
      <w:bookmarkEnd w:id="292"/>
      <w:bookmarkEnd w:id="293"/>
      <w:bookmarkEnd w:id="294"/>
    </w:p>
    <w:p>
      <w:pPr>
        <w:pStyle w:val="26"/>
        <w:pageBreakBefore w:val="0"/>
        <w:kinsoku/>
        <w:wordWrap w:val="0"/>
        <w:overflowPunct/>
        <w:topLinePunct w:val="0"/>
        <w:bidi w:val="0"/>
      </w:pPr>
    </w:p>
    <w:tbl>
      <w:tblPr>
        <w:tblStyle w:val="35"/>
        <w:tblW w:w="9336" w:type="dxa"/>
        <w:tblInd w:w="0" w:type="dxa"/>
        <w:tblLayout w:type="fixed"/>
        <w:tblCellMar>
          <w:top w:w="0" w:type="dxa"/>
          <w:left w:w="0" w:type="dxa"/>
          <w:bottom w:w="0" w:type="dxa"/>
          <w:right w:w="0" w:type="dxa"/>
        </w:tblCellMar>
      </w:tblPr>
      <w:tblGrid>
        <w:gridCol w:w="516"/>
        <w:gridCol w:w="1071"/>
        <w:gridCol w:w="7029"/>
        <w:gridCol w:w="720"/>
      </w:tblGrid>
      <w:tr>
        <w:tblPrEx>
          <w:tblCellMar>
            <w:top w:w="0" w:type="dxa"/>
            <w:left w:w="0" w:type="dxa"/>
            <w:bottom w:w="0" w:type="dxa"/>
            <w:right w:w="0" w:type="dxa"/>
          </w:tblCellMar>
        </w:tblPrEx>
        <w:trPr>
          <w:trHeight w:val="312" w:hRule="atLeast"/>
        </w:trPr>
        <w:tc>
          <w:tcPr>
            <w:tcW w:w="5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序号</w:t>
            </w:r>
          </w:p>
        </w:tc>
        <w:tc>
          <w:tcPr>
            <w:tcW w:w="107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评分内容</w:t>
            </w:r>
          </w:p>
        </w:tc>
        <w:tc>
          <w:tcPr>
            <w:tcW w:w="70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评分标准</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满分</w:t>
            </w:r>
          </w:p>
        </w:tc>
      </w:tr>
      <w:tr>
        <w:tblPrEx>
          <w:tblCellMar>
            <w:top w:w="0" w:type="dxa"/>
            <w:left w:w="0" w:type="dxa"/>
            <w:bottom w:w="0" w:type="dxa"/>
            <w:right w:w="0" w:type="dxa"/>
          </w:tblCellMar>
        </w:tblPrEx>
        <w:trPr>
          <w:trHeight w:val="312" w:hRule="atLeast"/>
        </w:trPr>
        <w:tc>
          <w:tcPr>
            <w:tcW w:w="5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107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70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100分</w:t>
            </w:r>
          </w:p>
        </w:tc>
      </w:tr>
      <w:tr>
        <w:tblPrEx>
          <w:tblCellMar>
            <w:top w:w="0" w:type="dxa"/>
            <w:left w:w="0" w:type="dxa"/>
            <w:bottom w:w="0" w:type="dxa"/>
            <w:right w:w="0" w:type="dxa"/>
          </w:tblCellMar>
        </w:tblPrEx>
        <w:trPr>
          <w:trHeight w:val="10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送审材料</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有独立的按要求编制的商务标，得5分；有独立的商务标标书，但部分预算内容或资料混入其中标中但可审，扣1分；未单独编制商务标而在技术标中作为独立章节且可审，扣2分；没有商务标或实质性内容的为0分，且以下各项均不得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5</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2</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适用表式</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表式正确且齐全12分；缺表1扣3分，缺表2得0分，且以下各项不得分；表式不正确为0分；缺少相应的表号、项目名称、计量单位、技术条件等每缺一项扣0.5分，单表最大扣分2分。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8</w:t>
            </w:r>
          </w:p>
        </w:tc>
      </w:tr>
      <w:tr>
        <w:tblPrEx>
          <w:tblCellMar>
            <w:top w:w="0" w:type="dxa"/>
            <w:left w:w="0" w:type="dxa"/>
            <w:bottom w:w="0" w:type="dxa"/>
            <w:right w:w="0" w:type="dxa"/>
          </w:tblCellMar>
        </w:tblPrEx>
        <w:trPr>
          <w:trHeight w:val="7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3</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编制方法</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选用正确的工作项目、费用项目按规定顺序进行编制，及逐级汇总全部正确得8分，每错（漏）一处扣2分。表1标准分2分，表2标准分6分，每表扣分不能超过标准分。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8</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4</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预算标准</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每错用预算标准1处扣2分，错用地区调整系数每错用一处扣2分，最大扣分6分。采用预算指定标准以外的标准又未作相应说明或使用标准明显不合理的，每处扣2分。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16</w:t>
            </w:r>
          </w:p>
        </w:tc>
      </w:tr>
      <w:tr>
        <w:tblPrEx>
          <w:tblCellMar>
            <w:top w:w="0" w:type="dxa"/>
            <w:left w:w="0" w:type="dxa"/>
            <w:bottom w:w="0" w:type="dxa"/>
            <w:right w:w="0"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5</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预算内容</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工作手段或成本内容设置不重复、不扩大、不遗漏的得满分，每重复、扩大或遗漏1处扣2分。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20</w:t>
            </w:r>
          </w:p>
        </w:tc>
      </w:tr>
      <w:tr>
        <w:tblPrEx>
          <w:tblCellMar>
            <w:top w:w="0" w:type="dxa"/>
            <w:left w:w="0" w:type="dxa"/>
            <w:bottom w:w="0" w:type="dxa"/>
            <w:right w:w="0"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6</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计算和勾稽关系</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主要审查预算各表中及表间数据计算和勾稽关系的正确性。完全正确者满分，每错1处扣2分扣完为止。</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8</w:t>
            </w:r>
          </w:p>
        </w:tc>
      </w:tr>
      <w:tr>
        <w:tblPrEx>
          <w:tblCellMar>
            <w:top w:w="0" w:type="dxa"/>
            <w:left w:w="0" w:type="dxa"/>
            <w:bottom w:w="0" w:type="dxa"/>
            <w:right w:w="0"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7</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与技术方案工作量平衡</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工作方法、具体工作量及相关技术条件的采用与技术方案的部署完全一致得满分，每错1处扣2分，扣完为止。</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10</w:t>
            </w:r>
          </w:p>
        </w:tc>
      </w:tr>
      <w:tr>
        <w:tblPrEx>
          <w:tblCellMar>
            <w:top w:w="0" w:type="dxa"/>
            <w:left w:w="0" w:type="dxa"/>
            <w:bottom w:w="0" w:type="dxa"/>
            <w:right w:w="0" w:type="dxa"/>
          </w:tblCellMar>
        </w:tblPrEx>
        <w:trPr>
          <w:trHeight w:val="90"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8</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预算编制说明</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投标报价及承诺、项目概况、项目设计预算编制依据、工程方案内容及工作量情况、采用的费用标准和计算方法、工程技术指标分析及需要说明的问题等方面完整15分。其中：缺少项目投标报价及承诺扣4分；项目概况和工作区基本情况、工程方案内容及工作量情况、项目设计预算编制依据、采用的费用标准和计算方法、工程技术指标分析及需要说明的问题，每缺一方面内容扣2分。每个方面内容不详细、不全面或不正确者扣1—2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15</w:t>
            </w:r>
          </w:p>
        </w:tc>
      </w:tr>
      <w:tr>
        <w:tblPrEx>
          <w:tblCellMar>
            <w:top w:w="0" w:type="dxa"/>
            <w:left w:w="0" w:type="dxa"/>
            <w:bottom w:w="0" w:type="dxa"/>
            <w:right w:w="0" w:type="dxa"/>
          </w:tblCellMar>
        </w:tblPrEx>
        <w:trPr>
          <w:trHeight w:val="711"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kern w:val="0"/>
                <w:sz w:val="20"/>
                <w:szCs w:val="20"/>
                <w:lang w:bidi="ar"/>
              </w:rPr>
            </w:pPr>
            <w:r>
              <w:rPr>
                <w:rFonts w:hint="eastAsia" w:ascii="仿宋" w:hAnsi="仿宋" w:eastAsia="仿宋" w:cs="仿宋"/>
                <w:b/>
                <w:kern w:val="0"/>
                <w:sz w:val="20"/>
                <w:szCs w:val="20"/>
                <w:lang w:bidi="ar"/>
              </w:rPr>
              <w:t>9</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业绩</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每提供近三年一项类似业绩并提供证明材料得</w:t>
            </w:r>
            <w:r>
              <w:rPr>
                <w:rFonts w:hint="eastAsia" w:ascii="仿宋" w:hAnsi="仿宋" w:eastAsia="仿宋" w:cs="仿宋"/>
                <w:kern w:val="0"/>
                <w:sz w:val="20"/>
                <w:szCs w:val="20"/>
                <w:lang w:val="en-US" w:eastAsia="zh-CN" w:bidi="ar"/>
              </w:rPr>
              <w:t>5</w:t>
            </w:r>
            <w:r>
              <w:rPr>
                <w:rFonts w:hint="eastAsia" w:ascii="仿宋" w:hAnsi="仿宋" w:eastAsia="仿宋" w:cs="仿宋"/>
                <w:kern w:val="0"/>
                <w:sz w:val="20"/>
                <w:szCs w:val="20"/>
                <w:lang w:bidi="ar"/>
              </w:rPr>
              <w:t>分，未提供证明材料不得分，本项最高得5分。</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kern w:val="0"/>
                <w:sz w:val="24"/>
                <w:lang w:bidi="ar"/>
              </w:rPr>
            </w:pPr>
            <w:r>
              <w:rPr>
                <w:rFonts w:hint="eastAsia" w:ascii="仿宋" w:hAnsi="仿宋" w:eastAsia="仿宋" w:cs="仿宋"/>
                <w:b/>
                <w:bCs/>
                <w:kern w:val="0"/>
                <w:sz w:val="24"/>
                <w:lang w:bidi="ar"/>
              </w:rPr>
              <w:t>5</w:t>
            </w:r>
          </w:p>
        </w:tc>
      </w:tr>
      <w:tr>
        <w:tblPrEx>
          <w:tblCellMar>
            <w:top w:w="0" w:type="dxa"/>
            <w:left w:w="0" w:type="dxa"/>
            <w:bottom w:w="0" w:type="dxa"/>
            <w:right w:w="0" w:type="dxa"/>
          </w:tblCellMar>
        </w:tblPrEx>
        <w:trPr>
          <w:trHeight w:val="408" w:hRule="atLeast"/>
        </w:trPr>
        <w:tc>
          <w:tcPr>
            <w:tcW w:w="5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kern w:val="0"/>
                <w:sz w:val="20"/>
                <w:szCs w:val="20"/>
                <w:lang w:bidi="ar"/>
              </w:rPr>
            </w:pPr>
            <w:r>
              <w:rPr>
                <w:rFonts w:hint="eastAsia" w:ascii="仿宋" w:hAnsi="仿宋" w:eastAsia="仿宋" w:cs="仿宋"/>
                <w:b/>
                <w:kern w:val="0"/>
                <w:sz w:val="20"/>
                <w:szCs w:val="20"/>
                <w:lang w:bidi="ar"/>
              </w:rPr>
              <w:t>10</w:t>
            </w:r>
          </w:p>
        </w:tc>
        <w:tc>
          <w:tcPr>
            <w:tcW w:w="107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承诺</w:t>
            </w:r>
          </w:p>
        </w:tc>
        <w:tc>
          <w:tcPr>
            <w:tcW w:w="70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highlight w:val="yellow"/>
                <w:lang w:bidi="ar"/>
              </w:rPr>
              <w:t>防治工程复验期维护及时性及承诺</w:t>
            </w:r>
            <w:r>
              <w:rPr>
                <w:rFonts w:hint="eastAsia" w:ascii="仿宋" w:hAnsi="仿宋" w:eastAsia="仿宋" w:cs="仿宋"/>
                <w:kern w:val="0"/>
                <w:sz w:val="20"/>
                <w:szCs w:val="20"/>
                <w:highlight w:val="yellow"/>
                <w:lang w:eastAsia="zh-CN" w:bidi="ar"/>
              </w:rPr>
              <w:t>，</w:t>
            </w:r>
            <w:r>
              <w:rPr>
                <w:rFonts w:hint="eastAsia" w:ascii="仿宋" w:hAnsi="仿宋" w:eastAsia="仿宋" w:cs="仿宋"/>
                <w:kern w:val="0"/>
                <w:sz w:val="20"/>
                <w:szCs w:val="20"/>
                <w:highlight w:val="yellow"/>
                <w:lang w:bidi="ar"/>
              </w:rPr>
              <w:t>承诺全面5分，基本全面3分，无承诺不得分</w:t>
            </w:r>
            <w:r>
              <w:rPr>
                <w:rFonts w:hint="eastAsia" w:ascii="仿宋" w:hAnsi="仿宋" w:eastAsia="仿宋" w:cs="仿宋"/>
                <w:kern w:val="0"/>
                <w:sz w:val="20"/>
                <w:szCs w:val="20"/>
                <w:lang w:bidi="ar"/>
              </w:rPr>
              <w:t>。</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kern w:val="0"/>
                <w:sz w:val="24"/>
                <w:lang w:bidi="ar"/>
              </w:rPr>
            </w:pPr>
            <w:r>
              <w:rPr>
                <w:rFonts w:hint="eastAsia" w:ascii="仿宋" w:hAnsi="仿宋" w:eastAsia="仿宋" w:cs="仿宋"/>
                <w:b/>
                <w:bCs/>
                <w:kern w:val="0"/>
                <w:sz w:val="24"/>
                <w:lang w:bidi="ar"/>
              </w:rPr>
              <w:t>5</w:t>
            </w:r>
          </w:p>
        </w:tc>
      </w:tr>
      <w:tr>
        <w:tblPrEx>
          <w:tblCellMar>
            <w:top w:w="0" w:type="dxa"/>
            <w:left w:w="0" w:type="dxa"/>
            <w:bottom w:w="0" w:type="dxa"/>
            <w:right w:w="0" w:type="dxa"/>
          </w:tblCellMar>
        </w:tblPrEx>
        <w:trPr>
          <w:trHeight w:val="480" w:hRule="atLeast"/>
        </w:trPr>
        <w:tc>
          <w:tcPr>
            <w:tcW w:w="861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总得分V</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100</w:t>
            </w:r>
          </w:p>
        </w:tc>
      </w:tr>
      <w:tr>
        <w:tblPrEx>
          <w:tblCellMar>
            <w:top w:w="0" w:type="dxa"/>
            <w:left w:w="0" w:type="dxa"/>
            <w:bottom w:w="0" w:type="dxa"/>
            <w:right w:w="0" w:type="dxa"/>
          </w:tblCellMar>
        </w:tblPrEx>
        <w:trPr>
          <w:trHeight w:val="540" w:hRule="atLeast"/>
        </w:trPr>
        <w:tc>
          <w:tcPr>
            <w:tcW w:w="8616"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折算得分（实际得分）＝V×</w:t>
            </w:r>
            <w:r>
              <w:rPr>
                <w:rFonts w:hint="eastAsia" w:ascii="仿宋" w:hAnsi="仿宋" w:eastAsia="仿宋" w:cs="仿宋"/>
                <w:b/>
                <w:kern w:val="0"/>
                <w:sz w:val="24"/>
                <w:lang w:val="en-US" w:eastAsia="zh-CN" w:bidi="ar"/>
              </w:rPr>
              <w:t>2</w:t>
            </w:r>
            <w:r>
              <w:rPr>
                <w:rFonts w:hint="eastAsia" w:ascii="仿宋" w:hAnsi="仿宋" w:eastAsia="仿宋" w:cs="仿宋"/>
                <w:b/>
                <w:kern w:val="0"/>
                <w:sz w:val="24"/>
                <w:lang w:bidi="ar"/>
              </w:rPr>
              <w:t>0％</w:t>
            </w:r>
          </w:p>
        </w:tc>
        <w:tc>
          <w:tcPr>
            <w:tcW w:w="72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val="en-US" w:eastAsia="zh-CN" w:bidi="ar"/>
              </w:rPr>
              <w:t>2</w:t>
            </w:r>
            <w:r>
              <w:rPr>
                <w:rFonts w:hint="eastAsia" w:ascii="仿宋" w:hAnsi="仿宋" w:eastAsia="仿宋" w:cs="仿宋"/>
                <w:b/>
                <w:kern w:val="0"/>
                <w:sz w:val="24"/>
                <w:lang w:bidi="ar"/>
              </w:rPr>
              <w:t>0%</w:t>
            </w:r>
          </w:p>
        </w:tc>
      </w:tr>
    </w:tbl>
    <w:p>
      <w:pPr>
        <w:pageBreakBefore w:val="0"/>
        <w:kinsoku/>
        <w:wordWrap w:val="0"/>
        <w:overflowPunct/>
        <w:topLinePunct w:val="0"/>
        <w:bidi w:val="0"/>
        <w:spacing w:line="440" w:lineRule="exact"/>
        <w:jc w:val="center"/>
        <w:rPr>
          <w:rFonts w:ascii="仿宋" w:hAnsi="仿宋" w:eastAsia="仿宋" w:cs="仿宋"/>
          <w:sz w:val="24"/>
        </w:rPr>
      </w:pPr>
      <w:r>
        <w:rPr>
          <w:rFonts w:hint="eastAsia" w:ascii="仿宋" w:hAnsi="仿宋" w:eastAsia="仿宋" w:cs="仿宋"/>
          <w:sz w:val="24"/>
        </w:rPr>
        <w:br w:type="page"/>
      </w:r>
    </w:p>
    <w:p>
      <w:pPr>
        <w:pageBreakBefore w:val="0"/>
        <w:tabs>
          <w:tab w:val="right" w:pos="9213"/>
        </w:tabs>
        <w:kinsoku/>
        <w:wordWrap w:val="0"/>
        <w:overflowPunct/>
        <w:topLinePunct w:val="0"/>
        <w:bidi w:val="0"/>
        <w:jc w:val="center"/>
        <w:rPr>
          <w:rFonts w:ascii="仿宋" w:hAnsi="仿宋" w:eastAsia="仿宋" w:cs="仿宋"/>
          <w:b/>
          <w:sz w:val="24"/>
          <w:szCs w:val="20"/>
        </w:rPr>
      </w:pPr>
      <w:bookmarkStart w:id="295" w:name="_Toc19788"/>
      <w:bookmarkStart w:id="296" w:name="_Toc8799"/>
      <w:bookmarkStart w:id="297" w:name="_Toc17451"/>
      <w:r>
        <w:rPr>
          <w:rFonts w:hint="eastAsia" w:ascii="仿宋" w:hAnsi="仿宋" w:eastAsia="仿宋" w:cs="仿宋"/>
          <w:b/>
          <w:sz w:val="24"/>
          <w:szCs w:val="20"/>
        </w:rPr>
        <w:t>技术评分表</w:t>
      </w:r>
      <w:bookmarkEnd w:id="295"/>
      <w:bookmarkEnd w:id="296"/>
      <w:bookmarkEnd w:id="297"/>
    </w:p>
    <w:tbl>
      <w:tblPr>
        <w:tblStyle w:val="35"/>
        <w:tblW w:w="9237" w:type="dxa"/>
        <w:tblInd w:w="0" w:type="dxa"/>
        <w:tblLayout w:type="fixed"/>
        <w:tblCellMar>
          <w:top w:w="0" w:type="dxa"/>
          <w:left w:w="0" w:type="dxa"/>
          <w:bottom w:w="0" w:type="dxa"/>
          <w:right w:w="0" w:type="dxa"/>
        </w:tblCellMar>
      </w:tblPr>
      <w:tblGrid>
        <w:gridCol w:w="576"/>
        <w:gridCol w:w="3766"/>
        <w:gridCol w:w="3760"/>
        <w:gridCol w:w="1135"/>
      </w:tblGrid>
      <w:tr>
        <w:tblPrEx>
          <w:tblCellMar>
            <w:top w:w="0" w:type="dxa"/>
            <w:left w:w="0" w:type="dxa"/>
            <w:bottom w:w="0" w:type="dxa"/>
            <w:right w:w="0" w:type="dxa"/>
          </w:tblCellMar>
        </w:tblPrEx>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37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100分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标书的完整性及与招标文件的响应性。</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完全响应和完整4-5分；部分未响应或不完整2-3分；未响应部分份额较大且不完整≤1分。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2</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施工设计目标任务、工作内容、工程布置、施工方案、工程量、进度安排的明确清晰程度及合理性；工作方法的可行性、技术要求的明确程度。</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施工设计目标任务、工作内容、工程布置、施工方案、工程量、进度安排明确合理0—10分；施工图设计齐全0－5分；设计指标明确，技术要求全面、明确0—5分；设计工作量与招标文件响应0－5分；设计图规范、图面美观，设计参数标注齐全完整0－5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30</w:t>
            </w:r>
          </w:p>
        </w:tc>
      </w:tr>
      <w:tr>
        <w:tblPrEx>
          <w:tblCellMar>
            <w:top w:w="0" w:type="dxa"/>
            <w:left w:w="0" w:type="dxa"/>
            <w:bottom w:w="0" w:type="dxa"/>
            <w:right w:w="0" w:type="dxa"/>
          </w:tblCellMar>
        </w:tblPrEx>
        <w:trPr>
          <w:trHeight w:val="176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3</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施工组织设计内容齐全完整0－5分；</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工作方法可行、技术要求明确，工作方法与施工图设计衔接0－10分；技术要求符合项目治理方案和实际，满足相关标准、规范，施工组织严密，并附施工平面图0－10分，安全施工0-2分，环保施工0-3分。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 xml:space="preserve">30 </w:t>
            </w:r>
          </w:p>
        </w:tc>
      </w:tr>
      <w:tr>
        <w:tblPrEx>
          <w:tblCellMar>
            <w:top w:w="0" w:type="dxa"/>
            <w:left w:w="0" w:type="dxa"/>
            <w:bottom w:w="0" w:type="dxa"/>
            <w:right w:w="0" w:type="dxa"/>
          </w:tblCellMar>
        </w:tblPrEx>
        <w:trPr>
          <w:trHeight w:val="97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4</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预期成果的全面程度。</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预期成果包括治理效果和提交的成果资料全面4—5分；基本全面3—4分；不全面≤3分。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4"/>
              </w:rPr>
            </w:pPr>
            <w:r>
              <w:rPr>
                <w:rFonts w:hint="eastAsia" w:ascii="仿宋" w:hAnsi="仿宋" w:eastAsia="仿宋" w:cs="仿宋"/>
                <w:b/>
                <w:kern w:val="0"/>
                <w:sz w:val="24"/>
                <w:lang w:bidi="ar"/>
              </w:rPr>
              <w:t xml:space="preserve"> 5</w:t>
            </w:r>
          </w:p>
        </w:tc>
      </w:tr>
      <w:tr>
        <w:tblPrEx>
          <w:tblCellMar>
            <w:top w:w="0" w:type="dxa"/>
            <w:left w:w="0" w:type="dxa"/>
            <w:bottom w:w="0" w:type="dxa"/>
            <w:right w:w="0" w:type="dxa"/>
          </w:tblCellMar>
        </w:tblPrEx>
        <w:trPr>
          <w:trHeight w:val="889"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5</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保障体系齐全、措施有效9-10分；保障体系基本齐全、措施基本有效7—8分；保障体系不健全≤6分。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r>
              <w:rPr>
                <w:rFonts w:hint="eastAsia" w:ascii="仿宋" w:hAnsi="仿宋" w:eastAsia="仿宋" w:cs="仿宋"/>
                <w:b/>
                <w:sz w:val="24"/>
              </w:rPr>
              <w:t>10</w:t>
            </w:r>
          </w:p>
        </w:tc>
      </w:tr>
      <w:tr>
        <w:tblPrEx>
          <w:tblCellMar>
            <w:top w:w="0" w:type="dxa"/>
            <w:left w:w="0" w:type="dxa"/>
            <w:bottom w:w="0" w:type="dxa"/>
            <w:right w:w="0" w:type="dxa"/>
          </w:tblCellMar>
        </w:tblPrEx>
        <w:trPr>
          <w:trHeight w:val="629"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6</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人员数量情况0—4分；工种搭配情况0—3分；专业结构情况0—3分。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r>
              <w:rPr>
                <w:rFonts w:hint="eastAsia" w:ascii="仿宋" w:hAnsi="仿宋" w:eastAsia="仿宋" w:cs="仿宋"/>
                <w:b/>
                <w:sz w:val="24"/>
              </w:rPr>
              <w:t>10</w:t>
            </w:r>
          </w:p>
        </w:tc>
      </w:tr>
      <w:tr>
        <w:tblPrEx>
          <w:tblCellMar>
            <w:top w:w="0" w:type="dxa"/>
            <w:left w:w="0" w:type="dxa"/>
            <w:bottom w:w="0" w:type="dxa"/>
            <w:right w:w="0" w:type="dxa"/>
          </w:tblCellMar>
        </w:tblPrEx>
        <w:trPr>
          <w:trHeight w:val="711"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7</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仪器、设备配置</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设备齐全且符合要求5分；设备较齐全3-4分；其他情况≤3分。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r>
              <w:rPr>
                <w:rFonts w:hint="eastAsia" w:ascii="仿宋" w:hAnsi="仿宋" w:eastAsia="仿宋" w:cs="仿宋"/>
                <w:b/>
                <w:sz w:val="24"/>
              </w:rPr>
              <w:t>5</w:t>
            </w:r>
          </w:p>
        </w:tc>
      </w:tr>
      <w:tr>
        <w:tblPrEx>
          <w:tblCellMar>
            <w:top w:w="0" w:type="dxa"/>
            <w:left w:w="0" w:type="dxa"/>
            <w:bottom w:w="0" w:type="dxa"/>
            <w:right w:w="0" w:type="dxa"/>
          </w:tblCellMar>
        </w:tblPrEx>
        <w:trPr>
          <w:trHeight w:val="683"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8</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sz w:val="20"/>
                <w:szCs w:val="20"/>
              </w:rPr>
            </w:pPr>
            <w:r>
              <w:rPr>
                <w:rFonts w:hint="eastAsia" w:ascii="仿宋" w:hAnsi="仿宋" w:eastAsia="仿宋" w:cs="仿宋"/>
                <w:kern w:val="0"/>
                <w:sz w:val="20"/>
                <w:szCs w:val="20"/>
                <w:lang w:bidi="ar"/>
              </w:rPr>
              <w:t>健全明确5分，基本健全明确1-4分，无内容0分。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sz w:val="24"/>
              </w:rPr>
            </w:pPr>
            <w:r>
              <w:rPr>
                <w:rFonts w:hint="eastAsia" w:ascii="仿宋" w:hAnsi="仿宋" w:eastAsia="仿宋" w:cs="仿宋"/>
                <w:b/>
                <w:sz w:val="24"/>
              </w:rPr>
              <w:t>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总得分V</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r>
      <w:tr>
        <w:tblPrEx>
          <w:tblCellMar>
            <w:top w:w="0" w:type="dxa"/>
            <w:left w:w="0" w:type="dxa"/>
            <w:bottom w:w="0" w:type="dxa"/>
            <w:right w:w="0" w:type="dxa"/>
          </w:tblCellMar>
        </w:tblPrEx>
        <w:trPr>
          <w:trHeight w:val="50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折算得分（实际得分）＝V×</w:t>
            </w:r>
            <w:r>
              <w:rPr>
                <w:rFonts w:hint="eastAsia" w:ascii="仿宋" w:hAnsi="仿宋" w:eastAsia="仿宋" w:cs="仿宋"/>
                <w:b/>
                <w:kern w:val="0"/>
                <w:sz w:val="20"/>
                <w:szCs w:val="20"/>
                <w:lang w:val="en-US" w:eastAsia="zh-CN" w:bidi="ar"/>
              </w:rPr>
              <w:t>7</w:t>
            </w:r>
            <w:r>
              <w:rPr>
                <w:rFonts w:hint="eastAsia" w:ascii="仿宋" w:hAnsi="仿宋" w:eastAsia="仿宋" w:cs="仿宋"/>
                <w:b/>
                <w:kern w:val="0"/>
                <w:sz w:val="20"/>
                <w:szCs w:val="20"/>
                <w:lang w:bidi="ar"/>
              </w:rPr>
              <w:t>0％</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sz w:val="20"/>
                <w:szCs w:val="20"/>
              </w:rPr>
            </w:pPr>
            <w:r>
              <w:rPr>
                <w:rFonts w:hint="eastAsia" w:ascii="仿宋" w:hAnsi="仿宋" w:eastAsia="仿宋" w:cs="仿宋"/>
                <w:b/>
                <w:kern w:val="0"/>
                <w:sz w:val="20"/>
                <w:szCs w:val="20"/>
                <w:lang w:val="en-US" w:eastAsia="zh-CN" w:bidi="ar"/>
              </w:rPr>
              <w:t>7</w:t>
            </w:r>
            <w:r>
              <w:rPr>
                <w:rFonts w:hint="eastAsia" w:ascii="仿宋" w:hAnsi="仿宋" w:eastAsia="仿宋" w:cs="仿宋"/>
                <w:b/>
                <w:kern w:val="0"/>
                <w:sz w:val="20"/>
                <w:szCs w:val="20"/>
                <w:lang w:bidi="ar"/>
              </w:rPr>
              <w:t>0%</w:t>
            </w:r>
          </w:p>
        </w:tc>
      </w:tr>
    </w:tbl>
    <w:p>
      <w:pPr>
        <w:pStyle w:val="25"/>
        <w:pageBreakBefore w:val="0"/>
        <w:kinsoku/>
        <w:wordWrap w:val="0"/>
        <w:overflowPunct/>
        <w:topLinePunct w:val="0"/>
        <w:bidi w:val="0"/>
        <w:rPr>
          <w:rFonts w:ascii="仿宋" w:hAnsi="仿宋" w:eastAsia="仿宋" w:cs="仿宋"/>
        </w:rPr>
      </w:pPr>
    </w:p>
    <w:p>
      <w:pPr>
        <w:pageBreakBefore w:val="0"/>
        <w:kinsoku/>
        <w:wordWrap w:val="0"/>
        <w:overflowPunct/>
        <w:topLinePunct w:val="0"/>
        <w:bidi w:val="0"/>
      </w:pPr>
    </w:p>
    <w:p>
      <w:pPr>
        <w:pageBreakBefore w:val="0"/>
        <w:kinsoku/>
        <w:wordWrap w:val="0"/>
        <w:overflowPunct/>
        <w:topLinePunct w:val="0"/>
        <w:bidi w:val="0"/>
      </w:pPr>
    </w:p>
    <w:p>
      <w:pPr>
        <w:pageBreakBefore w:val="0"/>
        <w:tabs>
          <w:tab w:val="right" w:pos="9213"/>
        </w:tabs>
        <w:kinsoku/>
        <w:wordWrap w:val="0"/>
        <w:overflowPunct/>
        <w:topLinePunct w:val="0"/>
        <w:bidi w:val="0"/>
        <w:jc w:val="center"/>
      </w:pPr>
      <w:r>
        <w:rPr>
          <w:rFonts w:hint="eastAsia"/>
        </w:rPr>
        <w:br w:type="page"/>
      </w:r>
    </w:p>
    <w:p>
      <w:pPr>
        <w:pageBreakBefore w:val="0"/>
        <w:tabs>
          <w:tab w:val="right" w:pos="9213"/>
        </w:tabs>
        <w:kinsoku/>
        <w:wordWrap w:val="0"/>
        <w:overflowPunct/>
        <w:topLinePunct w:val="0"/>
        <w:bidi w:val="0"/>
        <w:jc w:val="center"/>
        <w:rPr>
          <w:rFonts w:ascii="仿宋" w:hAnsi="仿宋" w:eastAsia="仿宋" w:cs="仿宋"/>
          <w:b/>
          <w:sz w:val="24"/>
          <w:szCs w:val="20"/>
        </w:rPr>
      </w:pPr>
      <w:bookmarkStart w:id="298" w:name="_Toc20213"/>
      <w:r>
        <w:rPr>
          <w:rFonts w:hint="eastAsia" w:ascii="仿宋" w:hAnsi="仿宋" w:eastAsia="仿宋" w:cs="仿宋"/>
          <w:b/>
          <w:sz w:val="24"/>
          <w:szCs w:val="20"/>
        </w:rPr>
        <w:t>报价评分表</w:t>
      </w:r>
      <w:bookmarkEnd w:id="298"/>
    </w:p>
    <w:p>
      <w:pPr>
        <w:pStyle w:val="25"/>
        <w:pageBreakBefore w:val="0"/>
        <w:kinsoku/>
        <w:wordWrap w:val="0"/>
        <w:overflowPunct/>
        <w:topLinePunct w:val="0"/>
        <w:bidi w:val="0"/>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263" w:type="dxa"/>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报价评审</w:t>
            </w:r>
          </w:p>
        </w:tc>
        <w:tc>
          <w:tcPr>
            <w:tcW w:w="681" w:type="dxa"/>
            <w:vAlign w:val="center"/>
          </w:tcPr>
          <w:p>
            <w:pPr>
              <w:pageBreakBefore w:val="0"/>
              <w:kinsoku/>
              <w:wordWrap w:val="0"/>
              <w:overflowPunct/>
              <w:topLinePunct w:val="0"/>
              <w:bidi w:val="0"/>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6698" w:type="dxa"/>
            <w:vAlign w:val="center"/>
          </w:tcPr>
          <w:p>
            <w:pPr>
              <w:pageBreakBefore w:val="0"/>
              <w:kinsoku/>
              <w:wordWrap w:val="0"/>
              <w:overflowPunct/>
              <w:topLinePunct w:val="0"/>
              <w:bidi w:val="0"/>
              <w:jc w:val="both"/>
              <w:rPr>
                <w:rFonts w:hint="eastAsia" w:ascii="仿宋" w:hAnsi="仿宋" w:eastAsia="仿宋" w:cs="仿宋"/>
                <w:lang w:eastAsia="zh-CN"/>
              </w:rPr>
            </w:pPr>
            <w:r>
              <w:rPr>
                <w:rFonts w:hint="eastAsia" w:ascii="仿宋" w:hAnsi="仿宋" w:eastAsia="仿宋" w:cs="仿宋"/>
              </w:rPr>
              <w:t>评标基准价计算方法</w:t>
            </w:r>
            <w:r>
              <w:rPr>
                <w:rFonts w:hint="eastAsia" w:ascii="仿宋" w:hAnsi="仿宋" w:eastAsia="仿宋" w:cs="仿宋"/>
                <w:lang w:eastAsia="zh-CN"/>
              </w:rPr>
              <w:t>：</w:t>
            </w:r>
          </w:p>
          <w:p>
            <w:pPr>
              <w:pageBreakBefore w:val="0"/>
              <w:kinsoku/>
              <w:wordWrap w:val="0"/>
              <w:overflowPunct/>
              <w:topLinePunct w:val="0"/>
              <w:bidi w:val="0"/>
              <w:jc w:val="center"/>
              <w:rPr>
                <w:rFonts w:hint="eastAsia" w:ascii="仿宋" w:hAnsi="仿宋" w:eastAsia="仿宋" w:cs="仿宋"/>
              </w:rPr>
            </w:pPr>
            <w:r>
              <w:rPr>
                <w:rFonts w:hint="eastAsia" w:ascii="仿宋" w:hAnsi="仿宋" w:eastAsia="仿宋" w:cs="仿宋"/>
              </w:rPr>
              <w:t>合格投标单位家数大于等于9家时去二个最高价和一个最低价，剩余家数的报价算术平均值作为评标基准价；大于等于5家时去一个最高价和一个最低价，剩余家数的报价算术平均值作为评标基准价；小于5家时，</w:t>
            </w:r>
          </w:p>
          <w:p>
            <w:pPr>
              <w:pageBreakBefore w:val="0"/>
              <w:kinsoku/>
              <w:wordWrap w:val="0"/>
              <w:overflowPunct/>
              <w:topLinePunct w:val="0"/>
              <w:bidi w:val="0"/>
              <w:jc w:val="both"/>
              <w:rPr>
                <w:rFonts w:hint="eastAsia" w:ascii="仿宋" w:hAnsi="仿宋" w:eastAsia="仿宋" w:cs="仿宋"/>
              </w:rPr>
            </w:pPr>
            <w:r>
              <w:rPr>
                <w:rFonts w:hint="eastAsia" w:ascii="仿宋" w:hAnsi="仿宋" w:eastAsia="仿宋" w:cs="仿宋"/>
              </w:rPr>
              <w:t>以各投标报价的算术平均值作为评标基准价。</w:t>
            </w:r>
          </w:p>
          <w:p>
            <w:pPr>
              <w:pageBreakBefore w:val="0"/>
              <w:kinsoku/>
              <w:wordWrap w:val="0"/>
              <w:overflowPunct/>
              <w:topLinePunct w:val="0"/>
              <w:bidi w:val="0"/>
              <w:jc w:val="both"/>
              <w:rPr>
                <w:rFonts w:hint="eastAsia" w:ascii="仿宋" w:hAnsi="仿宋" w:eastAsia="仿宋" w:cs="仿宋"/>
                <w:lang w:eastAsia="zh-CN"/>
              </w:rPr>
            </w:pPr>
            <w:r>
              <w:rPr>
                <w:rFonts w:hint="eastAsia" w:ascii="仿宋" w:hAnsi="仿宋" w:eastAsia="仿宋" w:cs="仿宋"/>
              </w:rPr>
              <w:t>投标报价的偏差率计算公式</w:t>
            </w:r>
            <w:r>
              <w:rPr>
                <w:rFonts w:hint="eastAsia" w:ascii="仿宋" w:hAnsi="仿宋" w:eastAsia="仿宋" w:cs="仿宋"/>
                <w:lang w:eastAsia="zh-CN"/>
              </w:rPr>
              <w:t>：</w:t>
            </w:r>
          </w:p>
          <w:p>
            <w:pPr>
              <w:pageBreakBefore w:val="0"/>
              <w:kinsoku/>
              <w:wordWrap w:val="0"/>
              <w:overflowPunct/>
              <w:topLinePunct w:val="0"/>
              <w:bidi w:val="0"/>
              <w:jc w:val="both"/>
              <w:rPr>
                <w:rFonts w:hint="eastAsia" w:eastAsia="宋体"/>
                <w:lang w:eastAsia="zh-CN"/>
              </w:rPr>
            </w:pPr>
            <w:r>
              <w:rPr>
                <w:rFonts w:hint="eastAsia" w:ascii="仿宋" w:hAnsi="仿宋" w:eastAsia="仿宋" w:cs="仿宋"/>
                <w:lang w:eastAsia="zh-CN"/>
              </w:rPr>
              <w:t>偏差率=（投标人报价－评标基准价）/评标基准价×100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报价分合计</w:t>
            </w:r>
          </w:p>
        </w:tc>
        <w:tc>
          <w:tcPr>
            <w:tcW w:w="6698" w:type="dxa"/>
            <w:vAlign w:val="center"/>
          </w:tcPr>
          <w:p>
            <w:pPr>
              <w:pageBreakBefore w:val="0"/>
              <w:kinsoku/>
              <w:wordWrap w:val="0"/>
              <w:overflowPunct/>
              <w:topLinePunct w:val="0"/>
              <w:bidi w:val="0"/>
              <w:jc w:val="center"/>
              <w:rPr>
                <w:rFonts w:hint="default" w:ascii="仿宋" w:hAnsi="仿宋" w:eastAsia="仿宋" w:cs="仿宋"/>
                <w:lang w:val="en-US" w:eastAsia="zh-CN"/>
              </w:rPr>
            </w:pPr>
            <w:r>
              <w:rPr>
                <w:rFonts w:hint="eastAsia" w:ascii="仿宋" w:hAnsi="仿宋" w:eastAsia="仿宋" w:cs="仿宋"/>
                <w:lang w:val="en-US" w:eastAsia="zh-CN"/>
              </w:rPr>
              <w:t>10</w:t>
            </w:r>
          </w:p>
        </w:tc>
      </w:tr>
    </w:tbl>
    <w:p>
      <w:pPr>
        <w:pageBreakBefore w:val="0"/>
        <w:kinsoku/>
        <w:wordWrap w:val="0"/>
        <w:overflowPunct/>
        <w:topLinePunct w:val="0"/>
        <w:bidi w:val="0"/>
        <w:spacing w:line="240" w:lineRule="atLeast"/>
        <w:jc w:val="center"/>
        <w:rPr>
          <w:rFonts w:ascii="仿宋" w:hAnsi="仿宋" w:eastAsia="仿宋" w:cs="仿宋"/>
          <w:b/>
          <w:bCs/>
          <w:sz w:val="28"/>
          <w:szCs w:val="28"/>
        </w:rPr>
      </w:pPr>
      <w:r>
        <w:br w:type="page"/>
      </w:r>
    </w:p>
    <w:p>
      <w:pPr>
        <w:pageBreakBefore w:val="0"/>
        <w:kinsoku/>
        <w:wordWrap w:val="0"/>
        <w:overflowPunct/>
        <w:topLinePunct w:val="0"/>
        <w:bidi w:val="0"/>
        <w:spacing w:line="240" w:lineRule="atLeast"/>
        <w:jc w:val="left"/>
        <w:outlineLvl w:val="1"/>
        <w:rPr>
          <w:rFonts w:ascii="仿宋" w:hAnsi="仿宋" w:eastAsia="仿宋" w:cs="仿宋"/>
          <w:b/>
          <w:bCs/>
          <w:sz w:val="28"/>
          <w:szCs w:val="28"/>
        </w:rPr>
      </w:pPr>
      <w:r>
        <w:rPr>
          <w:rFonts w:hint="eastAsia" w:ascii="楷体" w:hAnsi="楷体" w:eastAsia="楷体" w:cs="楷体"/>
          <w:b/>
          <w:color w:val="000000"/>
          <w:sz w:val="24"/>
        </w:rPr>
        <w:t>标项二评分标准</w:t>
      </w:r>
    </w:p>
    <w:p>
      <w:pPr>
        <w:pStyle w:val="25"/>
        <w:pageBreakBefore w:val="0"/>
        <w:kinsoku/>
        <w:wordWrap w:val="0"/>
        <w:overflowPunct/>
        <w:topLinePunct w:val="0"/>
        <w:bidi w:val="0"/>
        <w:rPr>
          <w:rFonts w:ascii="楷体" w:hAnsi="楷体" w:eastAsia="楷体" w:cs="楷体"/>
          <w:b/>
          <w:color w:val="000000"/>
          <w:szCs w:val="24"/>
        </w:rPr>
      </w:pPr>
    </w:p>
    <w:p>
      <w:pPr>
        <w:pageBreakBefore w:val="0"/>
        <w:tabs>
          <w:tab w:val="right" w:pos="9213"/>
        </w:tabs>
        <w:kinsoku/>
        <w:wordWrap w:val="0"/>
        <w:overflowPunct/>
        <w:topLinePunct w:val="0"/>
        <w:bidi w:val="0"/>
        <w:jc w:val="center"/>
        <w:rPr>
          <w:rFonts w:ascii="仿宋" w:hAnsi="仿宋" w:eastAsia="仿宋" w:cs="仿宋"/>
          <w:b/>
          <w:sz w:val="24"/>
          <w:szCs w:val="20"/>
        </w:rPr>
      </w:pPr>
      <w:r>
        <w:rPr>
          <w:rFonts w:hint="eastAsia" w:ascii="仿宋" w:hAnsi="仿宋" w:eastAsia="仿宋" w:cs="仿宋"/>
          <w:b/>
          <w:sz w:val="24"/>
          <w:szCs w:val="20"/>
        </w:rPr>
        <w:t>商务评分表</w:t>
      </w:r>
    </w:p>
    <w:tbl>
      <w:tblPr>
        <w:tblStyle w:val="35"/>
        <w:tblpPr w:leftFromText="180" w:rightFromText="180" w:vertAnchor="text" w:horzAnchor="page" w:tblpX="1411" w:tblpY="191"/>
        <w:tblOverlap w:val="never"/>
        <w:tblW w:w="9237" w:type="dxa"/>
        <w:tblInd w:w="0" w:type="dxa"/>
        <w:tblLayout w:type="fixed"/>
        <w:tblCellMar>
          <w:top w:w="0" w:type="dxa"/>
          <w:left w:w="0" w:type="dxa"/>
          <w:bottom w:w="0" w:type="dxa"/>
          <w:right w:w="0" w:type="dxa"/>
        </w:tblCellMar>
      </w:tblPr>
      <w:tblGrid>
        <w:gridCol w:w="695"/>
        <w:gridCol w:w="4213"/>
        <w:gridCol w:w="3480"/>
        <w:gridCol w:w="849"/>
      </w:tblGrid>
      <w:tr>
        <w:tblPrEx>
          <w:tblCellMar>
            <w:top w:w="0" w:type="dxa"/>
            <w:left w:w="0" w:type="dxa"/>
            <w:bottom w:w="0" w:type="dxa"/>
            <w:right w:w="0" w:type="dxa"/>
          </w:tblCellMar>
        </w:tblPrEx>
        <w:trPr>
          <w:trHeight w:val="312" w:hRule="atLeast"/>
        </w:trPr>
        <w:tc>
          <w:tcPr>
            <w:tcW w:w="6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序号</w:t>
            </w:r>
          </w:p>
        </w:tc>
        <w:tc>
          <w:tcPr>
            <w:tcW w:w="42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评分内容</w:t>
            </w:r>
          </w:p>
        </w:tc>
        <w:tc>
          <w:tcPr>
            <w:tcW w:w="34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评分标准</w:t>
            </w: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满分</w:t>
            </w:r>
          </w:p>
        </w:tc>
      </w:tr>
      <w:tr>
        <w:tblPrEx>
          <w:tblCellMar>
            <w:top w:w="0" w:type="dxa"/>
            <w:left w:w="0" w:type="dxa"/>
            <w:bottom w:w="0" w:type="dxa"/>
            <w:right w:w="0" w:type="dxa"/>
          </w:tblCellMar>
        </w:tblPrEx>
        <w:trPr>
          <w:trHeight w:val="312" w:hRule="atLeast"/>
        </w:trPr>
        <w:tc>
          <w:tcPr>
            <w:tcW w:w="6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42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34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100分</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1</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tabs>
                <w:tab w:val="left" w:pos="1381"/>
              </w:tabs>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对招标文件及合同条款的确认。</w:t>
            </w:r>
          </w:p>
        </w:tc>
        <w:tc>
          <w:tcPr>
            <w:tcW w:w="34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color w:val="000000"/>
                <w:sz w:val="22"/>
                <w:szCs w:val="22"/>
              </w:rPr>
            </w:pPr>
            <w:r>
              <w:rPr>
                <w:rFonts w:hint="eastAsia" w:ascii="仿宋" w:hAnsi="仿宋" w:eastAsia="仿宋" w:cs="仿宋"/>
                <w:color w:val="000000"/>
                <w:sz w:val="22"/>
                <w:szCs w:val="22"/>
              </w:rPr>
              <w:t>具有明确的确认说明10分，无说明不得分。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10</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2</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投入项目人员数量满足要求，工种齐全，人员专业结构配备合理。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人员数量情况0—5分；工种搭配情况0—5分；专业结构情况0—5分。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15</w:t>
            </w:r>
          </w:p>
        </w:tc>
      </w:tr>
      <w:tr>
        <w:tblPrEx>
          <w:tblCellMar>
            <w:top w:w="0" w:type="dxa"/>
            <w:left w:w="0" w:type="dxa"/>
            <w:bottom w:w="0" w:type="dxa"/>
            <w:right w:w="0" w:type="dxa"/>
          </w:tblCellMar>
        </w:tblPrEx>
        <w:trPr>
          <w:trHeight w:val="104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3</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仪器、设备配置。</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设备齐全且满足需求10分；设备较齐全5-9分；其他情况≤4分。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10</w:t>
            </w:r>
          </w:p>
        </w:tc>
      </w:tr>
      <w:tr>
        <w:tblPrEx>
          <w:tblCellMar>
            <w:top w:w="0" w:type="dxa"/>
            <w:left w:w="0" w:type="dxa"/>
            <w:bottom w:w="0" w:type="dxa"/>
            <w:right w:w="0" w:type="dxa"/>
          </w:tblCellMar>
        </w:tblPrEx>
        <w:trPr>
          <w:trHeight w:val="576"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4</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近三年资产状况。</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资产状况良级及以上10分，良级以下不得分。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10</w:t>
            </w:r>
          </w:p>
        </w:tc>
      </w:tr>
      <w:tr>
        <w:tblPrEx>
          <w:tblCellMar>
            <w:top w:w="0" w:type="dxa"/>
            <w:left w:w="0" w:type="dxa"/>
            <w:bottom w:w="0" w:type="dxa"/>
            <w:right w:w="0" w:type="dxa"/>
          </w:tblCellMar>
        </w:tblPrEx>
        <w:trPr>
          <w:trHeight w:val="13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5</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组织管理、质量、进度、安全的保障体系及主要措施。</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保障体系齐全、措施有效15分；保障体系基本齐全、措施基本有效8-14分；保障体系不健全≤7分。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15</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6</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组织管理机构应健全，应建立领导小组。</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健全明确10分，基本健全明确5-9分，无内容≤4分。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szCs w:val="21"/>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7</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拟派出的总监、总监代表人的职称。</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0"/>
                <w:szCs w:val="20"/>
                <w:lang w:bidi="ar"/>
              </w:rPr>
              <w:t>总监、总监代表人具有全国地质灾害治理工程培训证书10分，没有不得分。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8</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主要业绩。</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kern w:val="0"/>
                <w:sz w:val="20"/>
                <w:szCs w:val="20"/>
                <w:lang w:bidi="ar"/>
              </w:rPr>
              <w:t>每提供近三年一项类似业绩并提供证明材料得3分，未提供证明材料不得分，本项最高得15分。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15</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9</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相关承诺。</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kern w:val="0"/>
                <w:sz w:val="20"/>
                <w:szCs w:val="20"/>
                <w:lang w:bidi="ar"/>
              </w:rPr>
              <w:t>承诺全面5分，基本全面3分，无承诺不得分。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kern w:val="0"/>
                <w:szCs w:val="21"/>
                <w:lang w:bidi="ar"/>
              </w:rPr>
            </w:pPr>
            <w:r>
              <w:rPr>
                <w:rFonts w:hint="eastAsia" w:ascii="仿宋" w:hAnsi="仿宋" w:eastAsia="仿宋" w:cs="仿宋"/>
                <w:b/>
                <w:color w:val="000000"/>
                <w:kern w:val="0"/>
                <w:szCs w:val="21"/>
                <w:lang w:bidi="ar"/>
              </w:rPr>
              <w:t>5</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总得分V</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100</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折算得分（实际得分）＝V×10％</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w:t>
            </w:r>
          </w:p>
        </w:tc>
      </w:tr>
    </w:tbl>
    <w:p>
      <w:pPr>
        <w:pStyle w:val="26"/>
        <w:pageBreakBefore w:val="0"/>
        <w:kinsoku/>
        <w:wordWrap w:val="0"/>
        <w:overflowPunct/>
        <w:topLinePunct w:val="0"/>
        <w:bidi w:val="0"/>
      </w:pPr>
    </w:p>
    <w:p>
      <w:pPr>
        <w:pageBreakBefore w:val="0"/>
        <w:tabs>
          <w:tab w:val="right" w:pos="9213"/>
        </w:tabs>
        <w:kinsoku/>
        <w:wordWrap w:val="0"/>
        <w:overflowPunct/>
        <w:topLinePunct w:val="0"/>
        <w:bidi w:val="0"/>
        <w:jc w:val="center"/>
        <w:rPr>
          <w:rFonts w:ascii="仿宋" w:hAnsi="仿宋" w:eastAsia="仿宋" w:cs="仿宋"/>
          <w:b/>
          <w:sz w:val="24"/>
          <w:szCs w:val="20"/>
        </w:rPr>
      </w:pPr>
      <w:r>
        <w:rPr>
          <w:rFonts w:hint="eastAsia" w:ascii="仿宋" w:hAnsi="仿宋" w:eastAsia="仿宋" w:cs="仿宋"/>
          <w:sz w:val="24"/>
        </w:rPr>
        <w:br w:type="page"/>
      </w:r>
    </w:p>
    <w:p>
      <w:pPr>
        <w:pageBreakBefore w:val="0"/>
        <w:tabs>
          <w:tab w:val="right" w:pos="9213"/>
        </w:tabs>
        <w:kinsoku/>
        <w:wordWrap w:val="0"/>
        <w:overflowPunct/>
        <w:topLinePunct w:val="0"/>
        <w:bidi w:val="0"/>
        <w:jc w:val="center"/>
        <w:rPr>
          <w:rFonts w:ascii="仿宋" w:hAnsi="仿宋" w:eastAsia="仿宋" w:cs="仿宋"/>
          <w:b/>
          <w:sz w:val="24"/>
          <w:szCs w:val="20"/>
        </w:rPr>
      </w:pPr>
      <w:r>
        <w:rPr>
          <w:rFonts w:hint="eastAsia" w:ascii="仿宋" w:hAnsi="仿宋" w:eastAsia="仿宋" w:cs="仿宋"/>
          <w:b/>
          <w:sz w:val="24"/>
          <w:szCs w:val="20"/>
        </w:rPr>
        <w:t>技术评分表</w:t>
      </w:r>
    </w:p>
    <w:tbl>
      <w:tblPr>
        <w:tblStyle w:val="35"/>
        <w:tblW w:w="9237" w:type="dxa"/>
        <w:tblInd w:w="0" w:type="dxa"/>
        <w:tblLayout w:type="fixed"/>
        <w:tblCellMar>
          <w:top w:w="0" w:type="dxa"/>
          <w:left w:w="0" w:type="dxa"/>
          <w:bottom w:w="0" w:type="dxa"/>
          <w:right w:w="0" w:type="dxa"/>
        </w:tblCellMar>
      </w:tblPr>
      <w:tblGrid>
        <w:gridCol w:w="695"/>
        <w:gridCol w:w="4213"/>
        <w:gridCol w:w="3480"/>
        <w:gridCol w:w="849"/>
      </w:tblGrid>
      <w:tr>
        <w:tblPrEx>
          <w:tblCellMar>
            <w:top w:w="0" w:type="dxa"/>
            <w:left w:w="0" w:type="dxa"/>
            <w:bottom w:w="0" w:type="dxa"/>
            <w:right w:w="0" w:type="dxa"/>
          </w:tblCellMar>
        </w:tblPrEx>
        <w:trPr>
          <w:trHeight w:val="312" w:hRule="atLeast"/>
        </w:trPr>
        <w:tc>
          <w:tcPr>
            <w:tcW w:w="6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序号</w:t>
            </w:r>
          </w:p>
        </w:tc>
        <w:tc>
          <w:tcPr>
            <w:tcW w:w="421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评分内容</w:t>
            </w:r>
          </w:p>
        </w:tc>
        <w:tc>
          <w:tcPr>
            <w:tcW w:w="34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评分标准</w:t>
            </w: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满分</w:t>
            </w:r>
          </w:p>
        </w:tc>
      </w:tr>
      <w:tr>
        <w:tblPrEx>
          <w:tblCellMar>
            <w:top w:w="0" w:type="dxa"/>
            <w:left w:w="0" w:type="dxa"/>
            <w:bottom w:w="0" w:type="dxa"/>
            <w:right w:w="0" w:type="dxa"/>
          </w:tblCellMar>
        </w:tblPrEx>
        <w:trPr>
          <w:trHeight w:val="312" w:hRule="atLeast"/>
        </w:trPr>
        <w:tc>
          <w:tcPr>
            <w:tcW w:w="6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421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34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val="0"/>
              <w:overflowPunct/>
              <w:topLinePunct w:val="0"/>
              <w:bidi w:val="0"/>
              <w:jc w:val="center"/>
              <w:rPr>
                <w:rFonts w:ascii="仿宋" w:hAnsi="仿宋" w:eastAsia="仿宋" w:cs="仿宋"/>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100分</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1</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标书与招标文件的响应性或完整性。</w:t>
            </w:r>
          </w:p>
        </w:tc>
        <w:tc>
          <w:tcPr>
            <w:tcW w:w="34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pageBreakBefore w:val="0"/>
              <w:widowControl/>
              <w:kinsoku/>
              <w:wordWrap w:val="0"/>
              <w:overflowPunct/>
              <w:topLinePunct w:val="0"/>
              <w:bidi w:val="0"/>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完全响应和完整10分；部分响应或部分完整7-9分；未响应部分分额较大且不完整≤6分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10</w:t>
            </w:r>
          </w:p>
        </w:tc>
      </w:tr>
      <w:tr>
        <w:tblPrEx>
          <w:tblCellMar>
            <w:top w:w="0" w:type="dxa"/>
            <w:left w:w="0" w:type="dxa"/>
            <w:bottom w:w="0" w:type="dxa"/>
            <w:right w:w="0" w:type="dxa"/>
          </w:tblCellMar>
        </w:tblPrEx>
        <w:trPr>
          <w:trHeight w:val="864"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2</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监理工作范围、内容、目标及依据，监理机构和组织形式健全。</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合理26-30分；较合理21-25分；其他情况≤20分（一项不合理扣2分）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30</w:t>
            </w:r>
          </w:p>
        </w:tc>
      </w:tr>
      <w:tr>
        <w:tblPrEx>
          <w:tblCellMar>
            <w:top w:w="0" w:type="dxa"/>
            <w:left w:w="0" w:type="dxa"/>
            <w:bottom w:w="0" w:type="dxa"/>
            <w:right w:w="0" w:type="dxa"/>
          </w:tblCellMar>
        </w:tblPrEx>
        <w:trPr>
          <w:trHeight w:val="104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3</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监理工作程序的合理性，技术要求的可行性。技术要求应符合相关地质灾害工程监理规范</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合理21-25分；较合理16-20分；其他情况≤15分（一项不合理扣3分）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25</w:t>
            </w:r>
          </w:p>
        </w:tc>
      </w:tr>
      <w:tr>
        <w:tblPrEx>
          <w:tblCellMar>
            <w:top w:w="0" w:type="dxa"/>
            <w:left w:w="0" w:type="dxa"/>
            <w:bottom w:w="0" w:type="dxa"/>
            <w:right w:w="0" w:type="dxa"/>
          </w:tblCellMar>
        </w:tblPrEx>
        <w:trPr>
          <w:trHeight w:val="576"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4</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监理工作方法、措施和制度，工程质量控制方法及措施全面合理。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全面20分；较全面12-19分；其他情况≤11分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20</w:t>
            </w:r>
          </w:p>
        </w:tc>
      </w:tr>
      <w:tr>
        <w:tblPrEx>
          <w:tblCellMar>
            <w:top w:w="0" w:type="dxa"/>
            <w:left w:w="0" w:type="dxa"/>
            <w:bottom w:w="0" w:type="dxa"/>
            <w:right w:w="0" w:type="dxa"/>
          </w:tblCellMar>
        </w:tblPrEx>
        <w:trPr>
          <w:trHeight w:val="13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5</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预期成果应包括：监理规划、项目监理实施细则；监理工作总结、质量评估报告；监理工作照片集、监理日志、月报、通知单及相关记录，其他原始资料等</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齐全有效10分；基本齐全有效5-10分；其他情况≤4分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10</w:t>
            </w:r>
          </w:p>
        </w:tc>
      </w:tr>
      <w:tr>
        <w:tblPrEx>
          <w:tblCellMar>
            <w:top w:w="0" w:type="dxa"/>
            <w:left w:w="0" w:type="dxa"/>
            <w:bottom w:w="0" w:type="dxa"/>
            <w:right w:w="0" w:type="dxa"/>
          </w:tblCellMar>
        </w:tblPrEx>
        <w:trPr>
          <w:trHeight w:val="700" w:hRule="atLeast"/>
        </w:trPr>
        <w:tc>
          <w:tcPr>
            <w:tcW w:w="6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6</w:t>
            </w:r>
          </w:p>
        </w:tc>
        <w:tc>
          <w:tcPr>
            <w:tcW w:w="42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项目负责人及主要技术人员的配备应全面，人员结构应合理。</w:t>
            </w:r>
          </w:p>
        </w:tc>
        <w:tc>
          <w:tcPr>
            <w:tcW w:w="34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人员配置合理5分，较合理≤3分</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5</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总得分V</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100</w:t>
            </w:r>
          </w:p>
        </w:tc>
      </w:tr>
      <w:tr>
        <w:tblPrEx>
          <w:tblCellMar>
            <w:top w:w="0" w:type="dxa"/>
            <w:left w:w="0" w:type="dxa"/>
            <w:bottom w:w="0" w:type="dxa"/>
            <w:right w:w="0" w:type="dxa"/>
          </w:tblCellMar>
        </w:tblPrEx>
        <w:trPr>
          <w:trHeight w:val="400" w:hRule="atLeast"/>
        </w:trPr>
        <w:tc>
          <w:tcPr>
            <w:tcW w:w="838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折算得分（实际得分）＝V×80％</w:t>
            </w:r>
          </w:p>
        </w:tc>
        <w:tc>
          <w:tcPr>
            <w:tcW w:w="8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kinsoku/>
              <w:wordWrap w:val="0"/>
              <w:overflowPunct/>
              <w:topLinePunct w:val="0"/>
              <w:bidi w:val="0"/>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80%</w:t>
            </w:r>
          </w:p>
        </w:tc>
      </w:tr>
    </w:tbl>
    <w:p>
      <w:pPr>
        <w:pStyle w:val="25"/>
        <w:pageBreakBefore w:val="0"/>
        <w:kinsoku/>
        <w:wordWrap w:val="0"/>
        <w:overflowPunct/>
        <w:topLinePunct w:val="0"/>
        <w:bidi w:val="0"/>
        <w:rPr>
          <w:rFonts w:ascii="仿宋" w:hAnsi="仿宋" w:eastAsia="仿宋" w:cs="仿宋"/>
        </w:rPr>
      </w:pPr>
    </w:p>
    <w:p>
      <w:pPr>
        <w:pageBreakBefore w:val="0"/>
        <w:kinsoku/>
        <w:wordWrap w:val="0"/>
        <w:overflowPunct/>
        <w:topLinePunct w:val="0"/>
        <w:bidi w:val="0"/>
      </w:pPr>
    </w:p>
    <w:p>
      <w:pPr>
        <w:pageBreakBefore w:val="0"/>
        <w:kinsoku/>
        <w:wordWrap w:val="0"/>
        <w:overflowPunct/>
        <w:topLinePunct w:val="0"/>
        <w:bidi w:val="0"/>
      </w:pPr>
    </w:p>
    <w:p>
      <w:pPr>
        <w:pageBreakBefore w:val="0"/>
        <w:tabs>
          <w:tab w:val="right" w:pos="9213"/>
        </w:tabs>
        <w:kinsoku/>
        <w:wordWrap w:val="0"/>
        <w:overflowPunct/>
        <w:topLinePunct w:val="0"/>
        <w:bidi w:val="0"/>
        <w:jc w:val="center"/>
      </w:pPr>
      <w:r>
        <w:rPr>
          <w:rFonts w:hint="eastAsia"/>
        </w:rPr>
        <w:br w:type="page"/>
      </w:r>
    </w:p>
    <w:p>
      <w:pPr>
        <w:pageBreakBefore w:val="0"/>
        <w:tabs>
          <w:tab w:val="right" w:pos="9213"/>
        </w:tabs>
        <w:kinsoku/>
        <w:wordWrap w:val="0"/>
        <w:overflowPunct/>
        <w:topLinePunct w:val="0"/>
        <w:bidi w:val="0"/>
        <w:jc w:val="center"/>
      </w:pPr>
      <w:bookmarkStart w:id="299" w:name="_Toc24923"/>
      <w:r>
        <w:rPr>
          <w:rFonts w:hint="eastAsia" w:ascii="仿宋" w:hAnsi="仿宋" w:eastAsia="仿宋" w:cs="仿宋"/>
          <w:b/>
          <w:sz w:val="24"/>
          <w:szCs w:val="20"/>
        </w:rPr>
        <w:t>报价评分表</w:t>
      </w:r>
      <w:bookmarkEnd w:id="299"/>
    </w:p>
    <w:p>
      <w:pPr>
        <w:pStyle w:val="25"/>
        <w:pageBreakBefore w:val="0"/>
        <w:kinsoku/>
        <w:wordWrap w:val="0"/>
        <w:overflowPunct/>
        <w:topLinePunct w:val="0"/>
        <w:bidi w:val="0"/>
      </w:pPr>
    </w:p>
    <w:tbl>
      <w:tblPr>
        <w:tblStyle w:val="3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1263" w:type="dxa"/>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报价评审</w:t>
            </w:r>
          </w:p>
        </w:tc>
        <w:tc>
          <w:tcPr>
            <w:tcW w:w="681" w:type="dxa"/>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10</w:t>
            </w:r>
          </w:p>
        </w:tc>
        <w:tc>
          <w:tcPr>
            <w:tcW w:w="6698" w:type="dxa"/>
            <w:vAlign w:val="center"/>
          </w:tcPr>
          <w:p>
            <w:pPr>
              <w:pageBreakBefore w:val="0"/>
              <w:kinsoku/>
              <w:wordWrap w:val="0"/>
              <w:overflowPunct/>
              <w:topLinePunct w:val="0"/>
              <w:bidi w:val="0"/>
              <w:jc w:val="both"/>
              <w:rPr>
                <w:rFonts w:hint="eastAsia" w:ascii="仿宋" w:hAnsi="仿宋" w:eastAsia="仿宋" w:cs="仿宋"/>
                <w:lang w:eastAsia="zh-CN"/>
              </w:rPr>
            </w:pPr>
            <w:r>
              <w:rPr>
                <w:rFonts w:hint="eastAsia" w:ascii="仿宋" w:hAnsi="仿宋" w:eastAsia="仿宋" w:cs="仿宋"/>
              </w:rPr>
              <w:t>评标基准价计算方法</w:t>
            </w:r>
            <w:r>
              <w:rPr>
                <w:rFonts w:hint="eastAsia" w:ascii="仿宋" w:hAnsi="仿宋" w:eastAsia="仿宋" w:cs="仿宋"/>
                <w:lang w:eastAsia="zh-CN"/>
              </w:rPr>
              <w:t>：</w:t>
            </w:r>
          </w:p>
          <w:p>
            <w:pPr>
              <w:pageBreakBefore w:val="0"/>
              <w:kinsoku/>
              <w:wordWrap w:val="0"/>
              <w:overflowPunct/>
              <w:topLinePunct w:val="0"/>
              <w:bidi w:val="0"/>
              <w:jc w:val="center"/>
              <w:rPr>
                <w:rFonts w:hint="eastAsia" w:ascii="仿宋" w:hAnsi="仿宋" w:eastAsia="仿宋" w:cs="仿宋"/>
              </w:rPr>
            </w:pPr>
            <w:r>
              <w:rPr>
                <w:rFonts w:hint="eastAsia" w:ascii="仿宋" w:hAnsi="仿宋" w:eastAsia="仿宋" w:cs="仿宋"/>
              </w:rPr>
              <w:t>合格投标单位家数大于等于9家时去二个最高价和一个最低价，剩余家数的报价算术平均值作为评标基准价；大于等于5家时去一个最高价和一个最低价，剩余家数的报价算术平均值作为评标基准价；小于5家时，</w:t>
            </w:r>
          </w:p>
          <w:p>
            <w:pPr>
              <w:pageBreakBefore w:val="0"/>
              <w:kinsoku/>
              <w:wordWrap w:val="0"/>
              <w:overflowPunct/>
              <w:topLinePunct w:val="0"/>
              <w:bidi w:val="0"/>
              <w:jc w:val="both"/>
              <w:rPr>
                <w:rFonts w:hint="eastAsia" w:ascii="仿宋" w:hAnsi="仿宋" w:eastAsia="仿宋" w:cs="仿宋"/>
              </w:rPr>
            </w:pPr>
            <w:r>
              <w:rPr>
                <w:rFonts w:hint="eastAsia" w:ascii="仿宋" w:hAnsi="仿宋" w:eastAsia="仿宋" w:cs="仿宋"/>
              </w:rPr>
              <w:t>以各投标报价的算术平均值作为评标基准价。</w:t>
            </w:r>
          </w:p>
          <w:p>
            <w:pPr>
              <w:pageBreakBefore w:val="0"/>
              <w:kinsoku/>
              <w:wordWrap w:val="0"/>
              <w:overflowPunct/>
              <w:topLinePunct w:val="0"/>
              <w:bidi w:val="0"/>
              <w:jc w:val="both"/>
              <w:rPr>
                <w:rFonts w:hint="eastAsia" w:ascii="仿宋" w:hAnsi="仿宋" w:eastAsia="仿宋" w:cs="仿宋"/>
                <w:lang w:eastAsia="zh-CN"/>
              </w:rPr>
            </w:pPr>
            <w:r>
              <w:rPr>
                <w:rFonts w:hint="eastAsia" w:ascii="仿宋" w:hAnsi="仿宋" w:eastAsia="仿宋" w:cs="仿宋"/>
              </w:rPr>
              <w:t>投标报价的偏差率计算公式</w:t>
            </w:r>
            <w:r>
              <w:rPr>
                <w:rFonts w:hint="eastAsia" w:ascii="仿宋" w:hAnsi="仿宋" w:eastAsia="仿宋" w:cs="仿宋"/>
                <w:lang w:eastAsia="zh-CN"/>
              </w:rPr>
              <w:t>：</w:t>
            </w:r>
          </w:p>
          <w:p>
            <w:pPr>
              <w:pageBreakBefore w:val="0"/>
              <w:kinsoku/>
              <w:wordWrap w:val="0"/>
              <w:overflowPunct/>
              <w:topLinePunct w:val="0"/>
              <w:bidi w:val="0"/>
              <w:spacing w:line="440" w:lineRule="exact"/>
              <w:rPr>
                <w:rFonts w:ascii="仿宋" w:hAnsi="仿宋" w:eastAsia="仿宋" w:cs="仿宋"/>
              </w:rPr>
            </w:pPr>
            <w:r>
              <w:rPr>
                <w:rFonts w:hint="eastAsia" w:ascii="仿宋" w:hAnsi="仿宋" w:eastAsia="仿宋" w:cs="仿宋"/>
                <w:lang w:eastAsia="zh-CN"/>
              </w:rPr>
              <w:t>偏差率=（投标人报价－评标基准价）/评标基准价×100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报价分合计</w:t>
            </w:r>
          </w:p>
        </w:tc>
        <w:tc>
          <w:tcPr>
            <w:tcW w:w="6698" w:type="dxa"/>
            <w:vAlign w:val="center"/>
          </w:tcPr>
          <w:p>
            <w:pPr>
              <w:pageBreakBefore w:val="0"/>
              <w:kinsoku/>
              <w:wordWrap w:val="0"/>
              <w:overflowPunct/>
              <w:topLinePunct w:val="0"/>
              <w:bidi w:val="0"/>
              <w:jc w:val="center"/>
              <w:rPr>
                <w:rFonts w:ascii="仿宋" w:hAnsi="仿宋" w:eastAsia="仿宋" w:cs="仿宋"/>
              </w:rPr>
            </w:pPr>
            <w:r>
              <w:rPr>
                <w:rFonts w:hint="eastAsia" w:ascii="仿宋" w:hAnsi="仿宋" w:eastAsia="仿宋" w:cs="仿宋"/>
              </w:rPr>
              <w:t>10</w:t>
            </w:r>
          </w:p>
        </w:tc>
      </w:tr>
    </w:tbl>
    <w:p>
      <w:pPr>
        <w:pStyle w:val="25"/>
        <w:pageBreakBefore w:val="0"/>
        <w:kinsoku/>
        <w:wordWrap w:val="0"/>
        <w:overflowPunct/>
        <w:topLinePunct w:val="0"/>
        <w:bidi w:val="0"/>
        <w:rPr>
          <w:rFonts w:ascii="楷体" w:hAnsi="楷体" w:eastAsia="楷体" w:cs="楷体"/>
          <w:b/>
          <w:color w:val="000000"/>
          <w:szCs w:val="24"/>
        </w:rPr>
        <w:sectPr>
          <w:footerReference r:id="rId12" w:type="default"/>
          <w:pgSz w:w="11906" w:h="16838"/>
          <w:pgMar w:top="680" w:right="1276" w:bottom="1712" w:left="1417" w:header="703" w:footer="850" w:gutter="0"/>
          <w:cols w:space="720" w:num="1"/>
          <w:docGrid w:type="lines" w:linePitch="314" w:charSpace="0"/>
        </w:sectPr>
      </w:pPr>
    </w:p>
    <w:p>
      <w:pPr>
        <w:pageBreakBefore w:val="0"/>
        <w:widowControl/>
        <w:kinsoku/>
        <w:wordWrap w:val="0"/>
        <w:overflowPunct/>
        <w:topLinePunct w:val="0"/>
        <w:bidi w:val="0"/>
        <w:jc w:val="center"/>
        <w:rPr>
          <w:rFonts w:ascii="仿宋" w:hAnsi="仿宋" w:eastAsia="仿宋" w:cs="仿宋"/>
          <w:b/>
          <w:sz w:val="48"/>
          <w:szCs w:val="48"/>
        </w:rPr>
      </w:pPr>
    </w:p>
    <w:p>
      <w:pPr>
        <w:pageBreakBefore w:val="0"/>
        <w:widowControl/>
        <w:kinsoku/>
        <w:wordWrap w:val="0"/>
        <w:overflowPunct/>
        <w:topLinePunct w:val="0"/>
        <w:bidi w:val="0"/>
        <w:jc w:val="center"/>
        <w:rPr>
          <w:rFonts w:ascii="仿宋" w:hAnsi="仿宋" w:eastAsia="仿宋" w:cs="仿宋"/>
        </w:rPr>
      </w:pPr>
      <w:r>
        <w:rPr>
          <w:rFonts w:hint="eastAsia" w:ascii="仿宋" w:hAnsi="仿宋" w:eastAsia="仿宋" w:cs="仿宋"/>
          <w:b/>
          <w:sz w:val="48"/>
          <w:szCs w:val="48"/>
        </w:rPr>
        <w:t>伊吾县北山胜利峰崩塌泥石流防治工程</w:t>
      </w:r>
    </w:p>
    <w:p>
      <w:pPr>
        <w:pageBreakBefore w:val="0"/>
        <w:widowControl/>
        <w:kinsoku/>
        <w:wordWrap w:val="0"/>
        <w:overflowPunct/>
        <w:topLinePunct w:val="0"/>
        <w:bidi w:val="0"/>
        <w:jc w:val="left"/>
        <w:rPr>
          <w:rFonts w:ascii="仿宋" w:hAnsi="仿宋" w:eastAsia="仿宋" w:cs="仿宋"/>
        </w:rPr>
      </w:pPr>
    </w:p>
    <w:p>
      <w:pPr>
        <w:pageBreakBefore w:val="0"/>
        <w:widowControl/>
        <w:kinsoku/>
        <w:wordWrap w:val="0"/>
        <w:overflowPunct/>
        <w:topLinePunct w:val="0"/>
        <w:bidi w:val="0"/>
        <w:jc w:val="left"/>
        <w:rPr>
          <w:rFonts w:ascii="仿宋" w:hAnsi="仿宋" w:eastAsia="仿宋" w:cs="仿宋"/>
        </w:rPr>
      </w:pPr>
    </w:p>
    <w:p>
      <w:pPr>
        <w:pStyle w:val="2"/>
        <w:pageBreakBefore w:val="0"/>
        <w:kinsoku/>
        <w:wordWrap w:val="0"/>
        <w:overflowPunct/>
        <w:topLinePunct w:val="0"/>
        <w:bidi w:val="0"/>
        <w:ind w:firstLine="480"/>
      </w:pPr>
    </w:p>
    <w:p>
      <w:pPr>
        <w:pageBreakBefore w:val="0"/>
        <w:kinsoku/>
        <w:wordWrap w:val="0"/>
        <w:overflowPunct/>
        <w:topLinePunct w:val="0"/>
        <w:bidi w:val="0"/>
        <w:spacing w:line="240" w:lineRule="atLeast"/>
        <w:jc w:val="center"/>
        <w:rPr>
          <w:rFonts w:ascii="仿宋" w:hAnsi="仿宋" w:eastAsia="仿宋" w:cs="仿宋"/>
          <w:bCs/>
          <w:sz w:val="52"/>
          <w:szCs w:val="52"/>
        </w:rPr>
      </w:pPr>
      <w:r>
        <w:rPr>
          <w:rFonts w:hint="eastAsia" w:ascii="仿宋" w:hAnsi="仿宋" w:eastAsia="仿宋" w:cs="仿宋"/>
          <w:bCs/>
          <w:sz w:val="52"/>
          <w:szCs w:val="52"/>
        </w:rPr>
        <w:t xml:space="preserve"> </w:t>
      </w:r>
      <w:r>
        <w:rPr>
          <w:rFonts w:hint="eastAsia" w:ascii="仿宋" w:hAnsi="仿宋" w:eastAsia="仿宋" w:cs="仿宋"/>
          <w:b/>
          <w:sz w:val="52"/>
          <w:szCs w:val="52"/>
        </w:rPr>
        <w:t>公开招标文件</w:t>
      </w:r>
    </w:p>
    <w:p>
      <w:pPr>
        <w:pageBreakBefore w:val="0"/>
        <w:kinsoku/>
        <w:wordWrap w:val="0"/>
        <w:overflowPunct/>
        <w:topLinePunct w:val="0"/>
        <w:bidi w:val="0"/>
        <w:spacing w:line="240" w:lineRule="atLeast"/>
        <w:ind w:left="1080" w:leftChars="257" w:hanging="540"/>
        <w:jc w:val="center"/>
        <w:rPr>
          <w:rFonts w:ascii="仿宋" w:hAnsi="仿宋" w:eastAsia="仿宋" w:cs="仿宋"/>
          <w:bCs/>
          <w:sz w:val="52"/>
          <w:szCs w:val="52"/>
        </w:rPr>
      </w:pPr>
    </w:p>
    <w:p>
      <w:pPr>
        <w:pageBreakBefore w:val="0"/>
        <w:kinsoku/>
        <w:wordWrap w:val="0"/>
        <w:overflowPunct/>
        <w:topLinePunct w:val="0"/>
        <w:bidi w:val="0"/>
        <w:spacing w:line="240" w:lineRule="atLeast"/>
        <w:ind w:left="1080" w:leftChars="257" w:hanging="540"/>
        <w:jc w:val="center"/>
        <w:rPr>
          <w:rFonts w:ascii="仿宋" w:hAnsi="仿宋" w:eastAsia="仿宋" w:cs="仿宋"/>
          <w:bCs/>
          <w:sz w:val="32"/>
          <w:szCs w:val="32"/>
        </w:rPr>
      </w:pPr>
      <w:r>
        <w:rPr>
          <w:rFonts w:hint="eastAsia" w:ascii="仿宋" w:hAnsi="仿宋" w:eastAsia="仿宋" w:cs="仿宋"/>
          <w:bCs/>
          <w:sz w:val="32"/>
          <w:szCs w:val="32"/>
        </w:rPr>
        <w:t>（项目编号：XJZYZB2022-H009-01至02）</w:t>
      </w:r>
    </w:p>
    <w:p>
      <w:pPr>
        <w:pStyle w:val="11"/>
        <w:pageBreakBefore w:val="0"/>
        <w:kinsoku/>
        <w:wordWrap w:val="0"/>
        <w:overflowPunct/>
        <w:topLinePunct w:val="0"/>
        <w:bidi w:val="0"/>
        <w:ind w:firstLine="0"/>
      </w:pPr>
    </w:p>
    <w:p>
      <w:pPr>
        <w:pageBreakBefore w:val="0"/>
        <w:kinsoku/>
        <w:wordWrap w:val="0"/>
        <w:overflowPunct/>
        <w:topLinePunct w:val="0"/>
        <w:bidi w:val="0"/>
        <w:spacing w:line="240" w:lineRule="atLeast"/>
        <w:ind w:left="1080" w:leftChars="257" w:hanging="540"/>
        <w:jc w:val="center"/>
        <w:rPr>
          <w:rFonts w:ascii="仿宋" w:hAnsi="仿宋" w:eastAsia="仿宋" w:cs="仿宋"/>
          <w:b/>
          <w:sz w:val="52"/>
        </w:rPr>
      </w:pPr>
    </w:p>
    <w:p>
      <w:pPr>
        <w:pageBreakBefore w:val="0"/>
        <w:kinsoku/>
        <w:wordWrap w:val="0"/>
        <w:overflowPunct/>
        <w:topLinePunct w:val="0"/>
        <w:bidi w:val="0"/>
        <w:spacing w:line="240" w:lineRule="atLeast"/>
        <w:ind w:left="1079" w:leftChars="257" w:hanging="539"/>
        <w:jc w:val="center"/>
        <w:outlineLvl w:val="0"/>
        <w:rPr>
          <w:rFonts w:ascii="仿宋" w:hAnsi="仿宋" w:eastAsia="仿宋" w:cs="仿宋"/>
          <w:b/>
          <w:sz w:val="36"/>
          <w:szCs w:val="36"/>
        </w:rPr>
      </w:pPr>
      <w:r>
        <w:rPr>
          <w:rFonts w:hint="eastAsia" w:ascii="仿宋" w:hAnsi="仿宋" w:eastAsia="仿宋" w:cs="仿宋"/>
          <w:b/>
          <w:sz w:val="36"/>
          <w:szCs w:val="36"/>
        </w:rPr>
        <w:t>第三册</w:t>
      </w:r>
    </w:p>
    <w:p>
      <w:pPr>
        <w:pStyle w:val="5"/>
        <w:pageBreakBefore w:val="0"/>
        <w:kinsoku/>
        <w:wordWrap w:val="0"/>
        <w:overflowPunct/>
        <w:topLinePunct w:val="0"/>
        <w:bidi w:val="0"/>
        <w:ind w:firstLine="1044"/>
        <w:rPr>
          <w:rFonts w:ascii="仿宋" w:hAnsi="仿宋" w:eastAsia="仿宋" w:cs="仿宋"/>
          <w:b/>
          <w:sz w:val="52"/>
        </w:rPr>
      </w:pPr>
    </w:p>
    <w:p>
      <w:pPr>
        <w:pStyle w:val="2"/>
        <w:pageBreakBefore w:val="0"/>
        <w:kinsoku/>
        <w:wordWrap w:val="0"/>
        <w:overflowPunct/>
        <w:topLinePunct w:val="0"/>
        <w:bidi w:val="0"/>
        <w:ind w:firstLine="480"/>
      </w:pPr>
    </w:p>
    <w:p>
      <w:pPr>
        <w:pageBreakBefore w:val="0"/>
        <w:kinsoku/>
        <w:wordWrap w:val="0"/>
        <w:overflowPunct/>
        <w:topLinePunct w:val="0"/>
        <w:bidi w:val="0"/>
        <w:spacing w:line="360" w:lineRule="auto"/>
        <w:ind w:firstLine="837" w:firstLineChars="299"/>
        <w:jc w:val="left"/>
        <w:rPr>
          <w:rFonts w:ascii="仿宋" w:hAnsi="仿宋" w:eastAsia="仿宋" w:cs="仿宋"/>
          <w:sz w:val="28"/>
          <w:szCs w:val="28"/>
          <w:u w:val="single"/>
        </w:rPr>
      </w:pPr>
      <w:r>
        <w:rPr>
          <w:rFonts w:hint="eastAsia" w:ascii="仿宋" w:hAnsi="仿宋" w:eastAsia="仿宋" w:cs="仿宋"/>
          <w:sz w:val="28"/>
          <w:szCs w:val="28"/>
        </w:rPr>
        <w:t>采 购 人：</w:t>
      </w:r>
      <w:r>
        <w:rPr>
          <w:rFonts w:hint="eastAsia" w:ascii="仿宋" w:hAnsi="仿宋" w:eastAsia="仿宋" w:cs="仿宋"/>
          <w:sz w:val="28"/>
          <w:szCs w:val="28"/>
          <w:u w:val="single"/>
        </w:rPr>
        <w:t>伊吾县自然资源局</w:t>
      </w:r>
    </w:p>
    <w:p>
      <w:pPr>
        <w:pageBreakBefore w:val="0"/>
        <w:kinsoku/>
        <w:wordWrap w:val="0"/>
        <w:overflowPunct/>
        <w:topLinePunct w:val="0"/>
        <w:bidi w:val="0"/>
        <w:spacing w:line="600" w:lineRule="exact"/>
        <w:ind w:firstLine="837" w:firstLineChars="299"/>
        <w:rPr>
          <w:rFonts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rPr>
        <w:t>新疆中业建设工程项目管理有限公司</w:t>
      </w:r>
      <w:r>
        <w:rPr>
          <w:rFonts w:hint="eastAsia" w:ascii="仿宋" w:hAnsi="仿宋" w:eastAsia="仿宋" w:cs="仿宋"/>
          <w:sz w:val="28"/>
          <w:szCs w:val="28"/>
        </w:rPr>
        <w:t xml:space="preserve"> </w:t>
      </w:r>
    </w:p>
    <w:p>
      <w:pPr>
        <w:pageBreakBefore w:val="0"/>
        <w:kinsoku/>
        <w:wordWrap w:val="0"/>
        <w:overflowPunct/>
        <w:topLinePunct w:val="0"/>
        <w:bidi w:val="0"/>
        <w:spacing w:line="600" w:lineRule="exact"/>
        <w:ind w:firstLine="837" w:firstLineChars="299"/>
        <w:rPr>
          <w:rFonts w:ascii="仿宋" w:hAnsi="仿宋" w:eastAsia="仿宋" w:cs="仿宋"/>
          <w:sz w:val="28"/>
          <w:szCs w:val="28"/>
          <w:u w:val="single"/>
        </w:rPr>
      </w:pPr>
      <w:r>
        <w:rPr>
          <w:rFonts w:hint="eastAsia" w:ascii="仿宋" w:hAnsi="仿宋" w:eastAsia="仿宋" w:cs="仿宋"/>
          <w:sz w:val="28"/>
          <w:szCs w:val="28"/>
        </w:rPr>
        <w:t>发出日期：</w:t>
      </w:r>
      <w:r>
        <w:rPr>
          <w:rFonts w:hint="eastAsia" w:ascii="仿宋" w:hAnsi="仿宋" w:eastAsia="仿宋" w:cs="仿宋"/>
          <w:sz w:val="28"/>
          <w:szCs w:val="28"/>
          <w:u w:val="single"/>
        </w:rPr>
        <w:t>2022年2月</w:t>
      </w: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bookmarkStart w:id="300" w:name="_Toc23018"/>
      <w:bookmarkStart w:id="301" w:name="_Toc518923128"/>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ageBreakBefore w:val="0"/>
        <w:kinsoku/>
        <w:wordWrap w:val="0"/>
        <w:overflowPunct/>
        <w:topLinePunct w:val="0"/>
        <w:bidi w:val="0"/>
      </w:pPr>
    </w:p>
    <w:p>
      <w:pPr>
        <w:pStyle w:val="2"/>
        <w:pageBreakBefore w:val="0"/>
        <w:kinsoku/>
        <w:wordWrap w:val="0"/>
        <w:overflowPunct/>
        <w:topLinePunct w:val="0"/>
        <w:bidi w:val="0"/>
        <w:ind w:firstLine="480"/>
        <w:rPr>
          <w:rFonts w:hint="eastAsia"/>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p>
    <w:p>
      <w:pPr>
        <w:pStyle w:val="7"/>
        <w:pageBreakBefore w:val="0"/>
        <w:tabs>
          <w:tab w:val="left" w:pos="0"/>
        </w:tabs>
        <w:kinsoku/>
        <w:wordWrap w:val="0"/>
        <w:overflowPunct/>
        <w:topLinePunct w:val="0"/>
        <w:bidi w:val="0"/>
        <w:spacing w:before="0" w:after="0" w:line="240" w:lineRule="atLeast"/>
        <w:ind w:firstLine="2249" w:firstLineChars="700"/>
        <w:jc w:val="both"/>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7</w:t>
      </w:r>
      <w:r>
        <w:rPr>
          <w:rFonts w:hint="eastAsia" w:ascii="仿宋" w:hAnsi="仿宋" w:eastAsia="仿宋" w:cs="仿宋"/>
        </w:rPr>
        <w:t>章  政府采购合同</w:t>
      </w:r>
      <w:bookmarkEnd w:id="291"/>
      <w:bookmarkEnd w:id="300"/>
      <w:bookmarkEnd w:id="301"/>
      <w:bookmarkStart w:id="302" w:name="_Hlt487972895"/>
      <w:bookmarkEnd w:id="302"/>
      <w:bookmarkStart w:id="303" w:name="_Toc216513788"/>
      <w:bookmarkStart w:id="304" w:name="_Toc487900382"/>
    </w:p>
    <w:bookmarkEnd w:id="303"/>
    <w:bookmarkEnd w:id="304"/>
    <w:p>
      <w:pPr>
        <w:pStyle w:val="11"/>
        <w:pageBreakBefore w:val="0"/>
        <w:kinsoku/>
        <w:wordWrap w:val="0"/>
        <w:overflowPunct/>
        <w:topLinePunct w:val="0"/>
        <w:bidi w:val="0"/>
        <w:spacing w:line="240" w:lineRule="atLeast"/>
        <w:ind w:left="1080" w:leftChars="257" w:hanging="540"/>
        <w:rPr>
          <w:rFonts w:ascii="仿宋" w:hAnsi="仿宋" w:eastAsia="仿宋" w:cs="仿宋"/>
          <w:sz w:val="28"/>
        </w:rPr>
      </w:pPr>
    </w:p>
    <w:p>
      <w:pPr>
        <w:pageBreakBefore w:val="0"/>
        <w:kinsoku/>
        <w:wordWrap w:val="0"/>
        <w:overflowPunct/>
        <w:topLinePunct w:val="0"/>
        <w:bidi w:val="0"/>
        <w:spacing w:line="240" w:lineRule="atLeast"/>
        <w:ind w:left="-567" w:leftChars="-270" w:firstLine="540"/>
        <w:jc w:val="center"/>
        <w:rPr>
          <w:rFonts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pageBreakBefore w:val="0"/>
        <w:kinsoku/>
        <w:wordWrap w:val="0"/>
        <w:overflowPunct/>
        <w:topLinePunct w:val="0"/>
        <w:bidi w:val="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pageBreakBefore w:val="0"/>
        <w:kinsoku/>
        <w:wordWrap w:val="0"/>
        <w:overflowPunct/>
        <w:topLinePunct w:val="0"/>
        <w:bidi w:val="0"/>
        <w:spacing w:line="480" w:lineRule="auto"/>
        <w:rPr>
          <w:rFonts w:ascii="仿宋" w:hAnsi="仿宋" w:eastAsia="仿宋" w:cs="仿宋"/>
          <w:b/>
          <w:bCs/>
          <w:sz w:val="28"/>
          <w:szCs w:val="28"/>
        </w:rPr>
      </w:pPr>
    </w:p>
    <w:p>
      <w:pPr>
        <w:pageBreakBefore w:val="0"/>
        <w:kinsoku/>
        <w:wordWrap w:val="0"/>
        <w:overflowPunct/>
        <w:topLinePunct w:val="0"/>
        <w:bidi w:val="0"/>
        <w:spacing w:line="480" w:lineRule="auto"/>
        <w:jc w:val="center"/>
        <w:rPr>
          <w:rFonts w:ascii="仿宋" w:hAnsi="仿宋" w:eastAsia="仿宋" w:cs="仿宋"/>
          <w:b/>
          <w:bCs/>
          <w:sz w:val="28"/>
          <w:szCs w:val="28"/>
        </w:rPr>
      </w:pPr>
      <w:r>
        <w:rPr>
          <w:rFonts w:hint="eastAsia" w:ascii="仿宋" w:hAnsi="仿宋" w:eastAsia="仿宋" w:cs="仿宋"/>
          <w:b/>
          <w:bCs/>
          <w:sz w:val="28"/>
          <w:szCs w:val="28"/>
        </w:rPr>
        <w:t>政府采购合同</w:t>
      </w:r>
    </w:p>
    <w:p>
      <w:pPr>
        <w:pStyle w:val="51"/>
        <w:pageBreakBefore w:val="0"/>
        <w:kinsoku/>
        <w:wordWrap w:val="0"/>
        <w:overflowPunct/>
        <w:topLinePunct w:val="0"/>
        <w:bidi w:val="0"/>
        <w:ind w:firstLine="0"/>
        <w:rPr>
          <w:rFonts w:ascii="仿宋" w:hAnsi="仿宋" w:eastAsia="仿宋" w:cs="仿宋"/>
          <w:sz w:val="28"/>
          <w:szCs w:val="28"/>
        </w:rPr>
      </w:pPr>
    </w:p>
    <w:p>
      <w:pPr>
        <w:pStyle w:val="51"/>
        <w:pageBreakBefore w:val="0"/>
        <w:kinsoku/>
        <w:wordWrap w:val="0"/>
        <w:overflowPunct/>
        <w:topLinePunct w:val="0"/>
        <w:bidi w:val="0"/>
        <w:ind w:firstLine="0"/>
        <w:rPr>
          <w:rFonts w:ascii="仿宋" w:hAnsi="仿宋" w:eastAsia="仿宋" w:cs="仿宋"/>
          <w:sz w:val="28"/>
          <w:szCs w:val="28"/>
        </w:rPr>
      </w:pPr>
    </w:p>
    <w:p>
      <w:pPr>
        <w:pStyle w:val="51"/>
        <w:pageBreakBefore w:val="0"/>
        <w:kinsoku/>
        <w:wordWrap w:val="0"/>
        <w:overflowPunct/>
        <w:topLinePunct w:val="0"/>
        <w:bidi w:val="0"/>
        <w:ind w:firstLine="0"/>
        <w:jc w:val="center"/>
        <w:rPr>
          <w:rFonts w:ascii="仿宋" w:hAnsi="仿宋" w:eastAsia="仿宋" w:cs="仿宋"/>
          <w:b/>
          <w:bCs/>
          <w:sz w:val="28"/>
          <w:szCs w:val="28"/>
        </w:rPr>
      </w:pPr>
      <w:r>
        <w:rPr>
          <w:rFonts w:hint="eastAsia" w:ascii="仿宋" w:hAnsi="仿宋" w:eastAsia="仿宋" w:cs="仿宋"/>
          <w:b/>
          <w:bCs/>
          <w:sz w:val="28"/>
          <w:szCs w:val="28"/>
        </w:rPr>
        <w:t>第一部分 合同书</w:t>
      </w:r>
    </w:p>
    <w:p>
      <w:pPr>
        <w:pStyle w:val="51"/>
        <w:pageBreakBefore w:val="0"/>
        <w:kinsoku/>
        <w:wordWrap w:val="0"/>
        <w:overflowPunct/>
        <w:topLinePunct w:val="0"/>
        <w:bidi w:val="0"/>
        <w:ind w:firstLine="0"/>
        <w:rPr>
          <w:rFonts w:ascii="仿宋" w:hAnsi="仿宋" w:eastAsia="仿宋" w:cs="仿宋"/>
          <w:sz w:val="28"/>
          <w:szCs w:val="28"/>
        </w:rPr>
      </w:pPr>
    </w:p>
    <w:p>
      <w:pPr>
        <w:pStyle w:val="51"/>
        <w:pageBreakBefore w:val="0"/>
        <w:kinsoku/>
        <w:wordWrap w:val="0"/>
        <w:overflowPunct/>
        <w:topLinePunct w:val="0"/>
        <w:bidi w:val="0"/>
        <w:ind w:firstLine="0"/>
        <w:rPr>
          <w:rFonts w:ascii="仿宋" w:hAnsi="仿宋" w:eastAsia="仿宋" w:cs="仿宋"/>
          <w:sz w:val="28"/>
          <w:szCs w:val="28"/>
        </w:rPr>
      </w:pPr>
    </w:p>
    <w:p>
      <w:pPr>
        <w:pageBreakBefore w:val="0"/>
        <w:kinsoku/>
        <w:wordWrap w:val="0"/>
        <w:overflowPunct/>
        <w:topLinePunct w:val="0"/>
        <w:bidi w:val="0"/>
        <w:spacing w:before="120" w:line="22" w:lineRule="atLeast"/>
        <w:rPr>
          <w:rFonts w:ascii="仿宋" w:hAnsi="仿宋" w:eastAsia="仿宋" w:cs="仿宋"/>
          <w:sz w:val="28"/>
          <w:szCs w:val="28"/>
        </w:rPr>
      </w:pPr>
    </w:p>
    <w:p>
      <w:pPr>
        <w:pageBreakBefore w:val="0"/>
        <w:kinsoku/>
        <w:wordWrap w:val="0"/>
        <w:overflowPunct/>
        <w:topLinePunct w:val="0"/>
        <w:bidi w:val="0"/>
        <w:spacing w:before="120" w:line="22" w:lineRule="atLeas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48"/>
        <w:pageBreakBefore w:val="0"/>
        <w:kinsoku/>
        <w:wordWrap w:val="0"/>
        <w:overflowPunct/>
        <w:topLinePunct w:val="0"/>
        <w:bidi w:val="0"/>
        <w:spacing w:before="120" w:line="22" w:lineRule="atLeast"/>
        <w:rPr>
          <w:rFonts w:ascii="仿宋" w:hAnsi="仿宋" w:eastAsia="仿宋" w:cs="仿宋"/>
          <w:szCs w:val="24"/>
        </w:rPr>
      </w:pPr>
    </w:p>
    <w:p>
      <w:pPr>
        <w:pStyle w:val="48"/>
        <w:pageBreakBefore w:val="0"/>
        <w:kinsoku/>
        <w:wordWrap w:val="0"/>
        <w:overflowPunct/>
        <w:topLinePunct w:val="0"/>
        <w:bidi w:val="0"/>
        <w:spacing w:before="120" w:line="22" w:lineRule="atLeast"/>
        <w:rPr>
          <w:rFonts w:ascii="仿宋" w:hAnsi="仿宋" w:eastAsia="仿宋" w:cs="仿宋"/>
          <w:szCs w:val="24"/>
        </w:rPr>
      </w:pPr>
    </w:p>
    <w:p>
      <w:pPr>
        <w:pageBreakBefore w:val="0"/>
        <w:kinsoku/>
        <w:wordWrap w:val="0"/>
        <w:overflowPunct/>
        <w:topLinePunct w:val="0"/>
        <w:bidi w:val="0"/>
        <w:rPr>
          <w:rFonts w:ascii="仿宋" w:hAnsi="仿宋" w:eastAsia="仿宋" w:cs="仿宋"/>
          <w:sz w:val="24"/>
        </w:rPr>
      </w:pPr>
    </w:p>
    <w:p>
      <w:pPr>
        <w:pageBreakBefore w:val="0"/>
        <w:kinsoku/>
        <w:wordWrap w:val="0"/>
        <w:overflowPunct/>
        <w:topLinePunct w:val="0"/>
        <w:bidi w:val="0"/>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pageBreakBefore w:val="0"/>
        <w:kinsoku/>
        <w:wordWrap w:val="0"/>
        <w:overflowPunct/>
        <w:topLinePunct w:val="0"/>
        <w:bidi w:val="0"/>
        <w:spacing w:before="120" w:line="22" w:lineRule="atLeast"/>
        <w:rPr>
          <w:rFonts w:ascii="仿宋" w:hAnsi="仿宋" w:eastAsia="仿宋" w:cs="仿宋"/>
          <w:sz w:val="24"/>
        </w:rPr>
      </w:pPr>
    </w:p>
    <w:p>
      <w:pPr>
        <w:pageBreakBefore w:val="0"/>
        <w:kinsoku/>
        <w:wordWrap w:val="0"/>
        <w:overflowPunct/>
        <w:topLinePunct w:val="0"/>
        <w:bidi w:val="0"/>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pageBreakBefore w:val="0"/>
        <w:kinsoku/>
        <w:wordWrap w:val="0"/>
        <w:overflowPunct/>
        <w:topLinePunct w:val="0"/>
        <w:bidi w:val="0"/>
        <w:spacing w:before="120" w:line="22" w:lineRule="atLeast"/>
        <w:rPr>
          <w:rFonts w:ascii="仿宋" w:hAnsi="仿宋" w:eastAsia="仿宋" w:cs="仿宋"/>
          <w:sz w:val="24"/>
        </w:rPr>
      </w:pPr>
    </w:p>
    <w:p>
      <w:pPr>
        <w:pageBreakBefore w:val="0"/>
        <w:kinsoku/>
        <w:wordWrap w:val="0"/>
        <w:overflowPunct/>
        <w:topLinePunct w:val="0"/>
        <w:bidi w:val="0"/>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pageBreakBefore w:val="0"/>
        <w:kinsoku/>
        <w:wordWrap w:val="0"/>
        <w:overflowPunct/>
        <w:topLinePunct w:val="0"/>
        <w:bidi w:val="0"/>
        <w:spacing w:before="120" w:line="22" w:lineRule="atLeast"/>
        <w:rPr>
          <w:rFonts w:ascii="仿宋" w:hAnsi="仿宋" w:eastAsia="仿宋" w:cs="仿宋"/>
          <w:sz w:val="24"/>
        </w:rPr>
      </w:pPr>
    </w:p>
    <w:p>
      <w:pPr>
        <w:pageBreakBefore w:val="0"/>
        <w:kinsoku/>
        <w:wordWrap w:val="0"/>
        <w:overflowPunct/>
        <w:topLinePunct w:val="0"/>
        <w:bidi w:val="0"/>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ageBreakBefore w:val="0"/>
        <w:kinsoku/>
        <w:wordWrap w:val="0"/>
        <w:overflowPunct/>
        <w:topLinePunct w:val="0"/>
        <w:autoSpaceDE w:val="0"/>
        <w:autoSpaceDN w:val="0"/>
        <w:bidi w:val="0"/>
        <w:adjustRightInd w:val="0"/>
        <w:spacing w:line="600" w:lineRule="exact"/>
        <w:ind w:firstLine="640"/>
        <w:jc w:val="center"/>
        <w:rPr>
          <w:rFonts w:ascii="仿宋" w:hAnsi="仿宋" w:eastAsia="仿宋" w:cs="仿宋"/>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伊吾县自然资源局  </w:t>
      </w:r>
      <w:r>
        <w:rPr>
          <w:rFonts w:hint="eastAsia" w:ascii="仿宋" w:hAnsi="仿宋" w:eastAsia="仿宋" w:cs="仿宋"/>
          <w:sz w:val="24"/>
        </w:rPr>
        <w:t>以</w:t>
      </w:r>
      <w:r>
        <w:rPr>
          <w:rFonts w:hint="eastAsia" w:ascii="仿宋" w:hAnsi="仿宋" w:eastAsia="仿宋" w:cs="仿宋"/>
          <w:sz w:val="24"/>
          <w:u w:val="single"/>
        </w:rPr>
        <w:t xml:space="preserve">公开招标方式  </w:t>
      </w:r>
      <w:r>
        <w:rPr>
          <w:rFonts w:hint="eastAsia" w:ascii="仿宋" w:hAnsi="仿宋" w:eastAsia="仿宋" w:cs="仿宋"/>
          <w:sz w:val="24"/>
        </w:rPr>
        <w:t>对</w:t>
      </w:r>
      <w:r>
        <w:rPr>
          <w:rFonts w:hint="eastAsia" w:ascii="仿宋" w:hAnsi="仿宋" w:eastAsia="仿宋" w:cs="仿宋"/>
          <w:sz w:val="24"/>
          <w:u w:val="single"/>
        </w:rPr>
        <w:t xml:space="preserve">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（中标供应商名称） </w:t>
      </w:r>
      <w:r>
        <w:rPr>
          <w:rFonts w:hint="eastAsia" w:ascii="仿宋" w:hAnsi="仿宋" w:eastAsia="仿宋" w:cs="仿宋"/>
          <w:sz w:val="24"/>
        </w:rPr>
        <w:t>为该项目中标供应商。现于中标通知书发出之日起三十日内，按照采购文件确定的事项签订本合同。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pageBreakBefore w:val="0"/>
        <w:kinsoku/>
        <w:wordWrap w:val="0"/>
        <w:overflowPunct/>
        <w:topLinePunct w:val="0"/>
        <w:bidi w:val="0"/>
        <w:spacing w:line="560" w:lineRule="exact"/>
        <w:ind w:firstLine="482" w:firstLineChars="200"/>
        <w:outlineLvl w:val="0"/>
        <w:rPr>
          <w:rFonts w:ascii="仿宋" w:hAnsi="仿宋" w:eastAsia="仿宋" w:cs="仿宋"/>
          <w:sz w:val="24"/>
        </w:rPr>
      </w:pPr>
      <w:bookmarkStart w:id="305" w:name="_Toc22967"/>
      <w:bookmarkStart w:id="306" w:name="_Toc15367"/>
      <w:bookmarkStart w:id="307" w:name="_Toc28855"/>
      <w:bookmarkStart w:id="308" w:name="_Toc20421"/>
      <w:bookmarkStart w:id="309" w:name="_Toc19273"/>
      <w:r>
        <w:rPr>
          <w:rFonts w:hint="eastAsia" w:ascii="仿宋" w:hAnsi="仿宋" w:eastAsia="仿宋" w:cs="仿宋"/>
          <w:b/>
          <w:bCs/>
          <w:sz w:val="24"/>
        </w:rPr>
        <w:t>1.1 合同组成部分</w:t>
      </w:r>
      <w:bookmarkEnd w:id="305"/>
      <w:bookmarkEnd w:id="306"/>
      <w:bookmarkEnd w:id="307"/>
      <w:bookmarkEnd w:id="308"/>
      <w:bookmarkEnd w:id="30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1.1.2 中标通知书；</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1.1.3 投标文件（含澄清或者说明文件）；</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1.1.4 招标文件（含澄清或者修改文件）；</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10" w:name="_Toc6311"/>
      <w:bookmarkStart w:id="311" w:name="_Toc22185"/>
      <w:bookmarkStart w:id="312" w:name="_Toc18585"/>
      <w:bookmarkStart w:id="313" w:name="_Toc2918"/>
      <w:bookmarkStart w:id="314" w:name="_Toc6773"/>
      <w:r>
        <w:rPr>
          <w:rFonts w:hint="eastAsia" w:ascii="仿宋" w:hAnsi="仿宋" w:eastAsia="仿宋" w:cs="仿宋"/>
          <w:b/>
          <w:bCs/>
          <w:sz w:val="24"/>
        </w:rPr>
        <w:t>1.2 标的</w:t>
      </w:r>
      <w:bookmarkEnd w:id="310"/>
      <w:bookmarkEnd w:id="311"/>
      <w:bookmarkEnd w:id="312"/>
      <w:bookmarkEnd w:id="313"/>
      <w:bookmarkEnd w:id="314"/>
    </w:p>
    <w:p>
      <w:pPr>
        <w:pageBreakBefore w:val="0"/>
        <w:kinsoku/>
        <w:wordWrap w:val="0"/>
        <w:overflowPunct/>
        <w:topLinePunct w:val="0"/>
        <w:bidi w:val="0"/>
        <w:spacing w:line="56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（详见清单）</w:t>
      </w:r>
    </w:p>
    <w:p>
      <w:pPr>
        <w:pageBreakBefore w:val="0"/>
        <w:kinsoku/>
        <w:wordWrap w:val="0"/>
        <w:overflowPunct/>
        <w:topLinePunct w:val="0"/>
        <w:bidi w:val="0"/>
        <w:spacing w:line="56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按招标文件要求（详见清单）</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按招标文件要求和投标文件的实际填写。</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15" w:name="_Toc13918"/>
      <w:bookmarkStart w:id="316" w:name="_Toc5635"/>
      <w:bookmarkStart w:id="317" w:name="_Toc4929"/>
      <w:bookmarkStart w:id="318" w:name="_Toc21124"/>
      <w:bookmarkStart w:id="319" w:name="_Toc1386"/>
      <w:r>
        <w:rPr>
          <w:rFonts w:hint="eastAsia" w:ascii="仿宋" w:hAnsi="仿宋" w:eastAsia="仿宋" w:cs="仿宋"/>
          <w:b/>
          <w:bCs/>
          <w:sz w:val="24"/>
        </w:rPr>
        <w:t>1.3 价款</w:t>
      </w:r>
      <w:bookmarkEnd w:id="315"/>
      <w:bookmarkEnd w:id="316"/>
      <w:bookmarkEnd w:id="317"/>
      <w:bookmarkEnd w:id="318"/>
      <w:bookmarkEnd w:id="31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ageBreakBefore w:val="0"/>
        <w:kinsoku/>
        <w:wordWrap w:val="0"/>
        <w:overflowPunct/>
        <w:topLinePunct w:val="0"/>
        <w:bidi w:val="0"/>
        <w:spacing w:line="560" w:lineRule="exact"/>
        <w:ind w:firstLine="480" w:firstLineChars="200"/>
        <w:rPr>
          <w:rFonts w:ascii="仿宋" w:hAnsi="仿宋" w:eastAsia="仿宋" w:cs="仿宋"/>
          <w:sz w:val="24"/>
          <w:u w:val="single"/>
        </w:rPr>
      </w:pPr>
      <w:r>
        <w:rPr>
          <w:rFonts w:hint="eastAsia" w:ascii="仿宋" w:hAnsi="仿宋" w:eastAsia="仿宋" w:cs="仿宋"/>
          <w:sz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pageBreakBefore w:val="0"/>
              <w:kinsoku/>
              <w:wordWrap w:val="0"/>
              <w:overflowPunct/>
              <w:topLinePunct w:val="0"/>
              <w:bidi w:val="0"/>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产品名称</w:t>
            </w:r>
          </w:p>
        </w:tc>
        <w:tc>
          <w:tcPr>
            <w:tcW w:w="2552" w:type="dxa"/>
            <w:vAlign w:val="center"/>
          </w:tcPr>
          <w:p>
            <w:pPr>
              <w:pStyle w:val="49"/>
              <w:pageBreakBefore w:val="0"/>
              <w:kinsoku/>
              <w:wordWrap w:val="0"/>
              <w:overflowPunct/>
              <w:topLinePunct w:val="0"/>
              <w:bidi w:val="0"/>
              <w:spacing w:line="560" w:lineRule="exact"/>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340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c>
          <w:tcPr>
            <w:tcW w:w="255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pPr>
              <w:pStyle w:val="49"/>
              <w:pageBreakBefore w:val="0"/>
              <w:kinsoku/>
              <w:wordWrap w:val="0"/>
              <w:overflowPunct/>
              <w:topLinePunct w:val="0"/>
              <w:bidi w:val="0"/>
              <w:spacing w:line="560" w:lineRule="exact"/>
              <w:ind w:firstLine="200"/>
              <w:jc w:val="center"/>
              <w:rPr>
                <w:rFonts w:ascii="仿宋" w:hAnsi="仿宋" w:eastAsia="仿宋" w:cs="仿宋"/>
                <w:color w:val="000000"/>
                <w:kern w:val="2"/>
                <w:sz w:val="24"/>
                <w:szCs w:val="24"/>
              </w:rPr>
            </w:pPr>
          </w:p>
        </w:tc>
      </w:tr>
    </w:tbl>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20" w:name="_Toc30158"/>
      <w:bookmarkStart w:id="321" w:name="_Toc14993"/>
      <w:bookmarkStart w:id="322" w:name="_Toc30506"/>
      <w:bookmarkStart w:id="323" w:name="_Toc26916"/>
      <w:bookmarkStart w:id="324" w:name="_Toc3654"/>
      <w:r>
        <w:rPr>
          <w:rFonts w:hint="eastAsia" w:ascii="仿宋" w:hAnsi="仿宋" w:eastAsia="仿宋" w:cs="仿宋"/>
          <w:b/>
          <w:bCs/>
          <w:sz w:val="24"/>
        </w:rPr>
        <w:t>1.4 付款方式和发票开具方式</w:t>
      </w:r>
      <w:bookmarkEnd w:id="320"/>
      <w:bookmarkEnd w:id="321"/>
      <w:bookmarkEnd w:id="322"/>
      <w:bookmarkEnd w:id="323"/>
      <w:bookmarkEnd w:id="324"/>
    </w:p>
    <w:p>
      <w:pPr>
        <w:pStyle w:val="15"/>
        <w:pageBreakBefore w:val="0"/>
        <w:kinsoku/>
        <w:wordWrap w:val="0"/>
        <w:overflowPunct/>
        <w:topLinePunct w:val="0"/>
        <w:bidi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1.4.1付款方式：详见招标文件要求。</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1.4.2 发票开具方式：乙方提供发票</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25" w:name="_Toc4760"/>
      <w:bookmarkStart w:id="326" w:name="_Toc11108"/>
      <w:bookmarkStart w:id="327" w:name="_Toc31421"/>
      <w:bookmarkStart w:id="328" w:name="_Toc3625"/>
      <w:bookmarkStart w:id="329" w:name="_Toc8772"/>
      <w:r>
        <w:rPr>
          <w:rFonts w:hint="eastAsia" w:ascii="仿宋" w:hAnsi="仿宋" w:eastAsia="仿宋" w:cs="仿宋"/>
          <w:b/>
          <w:bCs/>
          <w:sz w:val="24"/>
        </w:rPr>
        <w:t>1.5 履行期限、地点和方式</w:t>
      </w:r>
      <w:bookmarkEnd w:id="325"/>
      <w:bookmarkEnd w:id="326"/>
      <w:bookmarkEnd w:id="327"/>
      <w:bookmarkEnd w:id="328"/>
      <w:bookmarkEnd w:id="329"/>
    </w:p>
    <w:p>
      <w:pPr>
        <w:pageBreakBefore w:val="0"/>
        <w:kinsoku/>
        <w:wordWrap w:val="0"/>
        <w:overflowPunct/>
        <w:topLinePunct w:val="0"/>
        <w:bidi w:val="0"/>
        <w:spacing w:line="56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按投标文件要求      </w:t>
      </w:r>
    </w:p>
    <w:p>
      <w:pPr>
        <w:pageBreakBefore w:val="0"/>
        <w:kinsoku/>
        <w:wordWrap w:val="0"/>
        <w:overflowPunct/>
        <w:topLinePunct w:val="0"/>
        <w:bidi w:val="0"/>
        <w:spacing w:line="560" w:lineRule="exact"/>
        <w:ind w:firstLine="480" w:firstLineChars="200"/>
        <w:rPr>
          <w:rFonts w:ascii="仿宋" w:hAnsi="仿宋" w:eastAsia="仿宋" w:cs="仿宋"/>
          <w:b/>
          <w:bCs/>
          <w:sz w:val="24"/>
        </w:rPr>
      </w:pPr>
      <w:r>
        <w:rPr>
          <w:rFonts w:hint="eastAsia" w:ascii="仿宋" w:hAnsi="仿宋" w:eastAsia="仿宋" w:cs="仿宋"/>
          <w:sz w:val="24"/>
        </w:rPr>
        <w:t xml:space="preserve">1.5.2 </w:t>
      </w:r>
      <w:r>
        <w:rPr>
          <w:rFonts w:hint="eastAsia" w:ascii="仿宋" w:hAnsi="仿宋" w:eastAsia="仿宋" w:cs="仿宋"/>
          <w:b/>
          <w:bCs/>
          <w:sz w:val="24"/>
        </w:rPr>
        <w:t>履行地点：采购人指定地点</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1.5.3 履行方式：现场验收。</w:t>
      </w:r>
    </w:p>
    <w:p>
      <w:pPr>
        <w:pageBreakBefore w:val="0"/>
        <w:kinsoku/>
        <w:wordWrap w:val="0"/>
        <w:overflowPunct/>
        <w:topLinePunct w:val="0"/>
        <w:bidi w:val="0"/>
        <w:spacing w:line="560" w:lineRule="exact"/>
        <w:ind w:firstLine="482" w:firstLineChars="200"/>
        <w:outlineLvl w:val="0"/>
        <w:rPr>
          <w:rFonts w:ascii="仿宋" w:hAnsi="仿宋" w:eastAsia="仿宋" w:cs="仿宋"/>
          <w:sz w:val="24"/>
          <w:u w:val="single"/>
        </w:rPr>
      </w:pPr>
      <w:bookmarkStart w:id="330" w:name="_Toc2375"/>
      <w:bookmarkStart w:id="331" w:name="_Toc3079"/>
      <w:bookmarkStart w:id="332" w:name="_Toc24662"/>
      <w:bookmarkStart w:id="333" w:name="_Toc8586"/>
      <w:bookmarkStart w:id="334" w:name="_Toc5698"/>
      <w:r>
        <w:rPr>
          <w:rFonts w:hint="eastAsia" w:ascii="仿宋" w:hAnsi="仿宋" w:eastAsia="仿宋" w:cs="仿宋"/>
          <w:b/>
          <w:bCs/>
          <w:sz w:val="24"/>
        </w:rPr>
        <w:t>1.6 违约责任</w:t>
      </w:r>
      <w:bookmarkEnd w:id="330"/>
      <w:bookmarkEnd w:id="331"/>
      <w:bookmarkEnd w:id="332"/>
      <w:bookmarkEnd w:id="333"/>
      <w:bookmarkEnd w:id="334"/>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35" w:name="_Toc30329"/>
      <w:bookmarkStart w:id="336" w:name="_Toc26807"/>
      <w:bookmarkStart w:id="337" w:name="_Toc32454"/>
      <w:bookmarkStart w:id="338" w:name="_Toc18683"/>
      <w:bookmarkStart w:id="339" w:name="_Toc9497"/>
      <w:r>
        <w:rPr>
          <w:rFonts w:hint="eastAsia" w:ascii="仿宋" w:hAnsi="仿宋" w:eastAsia="仿宋" w:cs="仿宋"/>
          <w:b/>
          <w:bCs/>
          <w:sz w:val="24"/>
        </w:rPr>
        <w:t>1.7 合同争议的解决</w:t>
      </w:r>
      <w:bookmarkEnd w:id="335"/>
      <w:bookmarkEnd w:id="336"/>
      <w:bookmarkEnd w:id="337"/>
      <w:bookmarkEnd w:id="338"/>
      <w:bookmarkEnd w:id="33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2 </w:t>
      </w:r>
      <w:r>
        <w:rPr>
          <w:rFonts w:hint="eastAsia" w:ascii="仿宋" w:hAnsi="仿宋" w:eastAsia="仿宋" w:cs="仿宋"/>
          <w:sz w:val="24"/>
        </w:rPr>
        <w:t>种方式解决：</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项目所在地</w:t>
      </w:r>
      <w:r>
        <w:rPr>
          <w:rFonts w:hint="eastAsia" w:ascii="仿宋" w:hAnsi="仿宋" w:eastAsia="仿宋" w:cs="仿宋"/>
          <w:sz w:val="24"/>
        </w:rPr>
        <w:t>人民法院起诉。</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40" w:name="_Toc23784"/>
      <w:bookmarkStart w:id="341" w:name="_Toc16417"/>
      <w:bookmarkStart w:id="342" w:name="_Toc15827"/>
      <w:bookmarkStart w:id="343" w:name="_Toc12273"/>
      <w:bookmarkStart w:id="344" w:name="_Toc26227"/>
      <w:r>
        <w:rPr>
          <w:rFonts w:hint="eastAsia" w:ascii="仿宋" w:hAnsi="仿宋" w:eastAsia="仿宋" w:cs="仿宋"/>
          <w:b/>
          <w:bCs/>
          <w:sz w:val="24"/>
        </w:rPr>
        <w:t>1.8 合同生效</w:t>
      </w:r>
      <w:bookmarkEnd w:id="340"/>
      <w:bookmarkEnd w:id="341"/>
      <w:bookmarkEnd w:id="342"/>
      <w:bookmarkEnd w:id="343"/>
      <w:bookmarkEnd w:id="344"/>
    </w:p>
    <w:p>
      <w:pPr>
        <w:pageBreakBefore w:val="0"/>
        <w:kinsoku/>
        <w:wordWrap w:val="0"/>
        <w:overflowPunct/>
        <w:topLinePunct w:val="0"/>
        <w:bidi w:val="0"/>
        <w:spacing w:line="560" w:lineRule="exact"/>
        <w:ind w:firstLine="480" w:firstLineChars="200"/>
        <w:rPr>
          <w:rFonts w:ascii="仿宋" w:hAnsi="仿宋" w:eastAsia="仿宋" w:cs="仿宋"/>
          <w:b/>
          <w:bCs/>
          <w:sz w:val="24"/>
        </w:rPr>
      </w:pPr>
      <w:r>
        <w:rPr>
          <w:rFonts w:hint="eastAsia" w:ascii="仿宋" w:hAnsi="仿宋" w:eastAsia="仿宋" w:cs="仿宋"/>
          <w:sz w:val="24"/>
        </w:rPr>
        <w:t>本合同自双方当事人盖章或者签字时生效。</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b/>
          <w:bCs/>
          <w:sz w:val="24"/>
          <w:lang w:val="zh-CN"/>
        </w:rPr>
        <w:t>甲方</w:t>
      </w: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乙方</w:t>
      </w:r>
      <w:r>
        <w:rPr>
          <w:rFonts w:hint="eastAsia" w:ascii="仿宋" w:hAnsi="仿宋" w:eastAsia="仿宋" w:cs="仿宋"/>
          <w:sz w:val="24"/>
          <w:lang w:val="zh-CN"/>
        </w:rPr>
        <w:t>：</w:t>
      </w:r>
    </w:p>
    <w:p>
      <w:pPr>
        <w:pageBreakBefore w:val="0"/>
        <w:kinsoku/>
        <w:wordWrap w:val="0"/>
        <w:overflowPunct/>
        <w:topLinePunct w:val="0"/>
        <w:autoSpaceDE w:val="0"/>
        <w:autoSpaceDN w:val="0"/>
        <w:bidi w:val="0"/>
        <w:adjustRightInd w:val="0"/>
        <w:spacing w:line="560" w:lineRule="exact"/>
        <w:ind w:left="5040" w:hanging="5040" w:hangingChars="2100"/>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rPr>
      </w:pPr>
      <w:r>
        <w:rPr>
          <w:rFonts w:hint="eastAsia" w:ascii="仿宋" w:hAnsi="仿宋" w:eastAsia="仿宋" w:cs="仿宋"/>
          <w:sz w:val="24"/>
          <w:lang w:val="zh-CN"/>
        </w:rPr>
        <w:t>电子邮箱：                               电子邮箱：</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pPr>
        <w:pageBreakBefore w:val="0"/>
        <w:kinsoku/>
        <w:wordWrap w:val="0"/>
        <w:overflowPunct/>
        <w:topLinePunct w:val="0"/>
        <w:autoSpaceDE w:val="0"/>
        <w:autoSpaceDN w:val="0"/>
        <w:bidi w:val="0"/>
        <w:adjustRightInd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pageBreakBefore w:val="0"/>
        <w:widowControl/>
        <w:kinsoku/>
        <w:wordWrap w:val="0"/>
        <w:overflowPunct/>
        <w:topLinePunct w:val="0"/>
        <w:bidi w:val="0"/>
        <w:spacing w:line="560" w:lineRule="exact"/>
        <w:jc w:val="left"/>
        <w:rPr>
          <w:rFonts w:ascii="仿宋" w:hAnsi="仿宋" w:eastAsia="仿宋" w:cs="仿宋"/>
          <w:b/>
          <w:bCs/>
          <w:sz w:val="24"/>
        </w:rPr>
      </w:pPr>
    </w:p>
    <w:p>
      <w:pPr>
        <w:pageBreakBefore w:val="0"/>
        <w:widowControl/>
        <w:kinsoku/>
        <w:wordWrap w:val="0"/>
        <w:overflowPunct/>
        <w:topLinePunct w:val="0"/>
        <w:bidi w:val="0"/>
        <w:spacing w:line="560" w:lineRule="exact"/>
        <w:jc w:val="left"/>
        <w:rPr>
          <w:rFonts w:ascii="仿宋" w:hAnsi="仿宋" w:eastAsia="仿宋" w:cs="仿宋"/>
          <w:b/>
          <w:bCs/>
          <w:kern w:val="0"/>
          <w:sz w:val="24"/>
        </w:rPr>
      </w:pPr>
    </w:p>
    <w:p>
      <w:pPr>
        <w:pStyle w:val="51"/>
        <w:pageBreakBefore w:val="0"/>
        <w:kinsoku/>
        <w:wordWrap w:val="0"/>
        <w:overflowPunct/>
        <w:topLinePunct w:val="0"/>
        <w:bidi w:val="0"/>
        <w:spacing w:line="560" w:lineRule="exact"/>
        <w:ind w:firstLine="200"/>
        <w:jc w:val="center"/>
        <w:rPr>
          <w:rFonts w:ascii="仿宋" w:hAnsi="仿宋" w:eastAsia="仿宋" w:cs="仿宋"/>
          <w:b/>
          <w:bCs/>
          <w:szCs w:val="24"/>
        </w:rPr>
      </w:pPr>
    </w:p>
    <w:p>
      <w:pPr>
        <w:pStyle w:val="51"/>
        <w:pageBreakBefore w:val="0"/>
        <w:kinsoku/>
        <w:wordWrap w:val="0"/>
        <w:overflowPunct/>
        <w:topLinePunct w:val="0"/>
        <w:bidi w:val="0"/>
        <w:spacing w:line="560" w:lineRule="exact"/>
        <w:ind w:firstLine="200"/>
        <w:jc w:val="center"/>
        <w:rPr>
          <w:rFonts w:ascii="仿宋" w:hAnsi="仿宋" w:eastAsia="仿宋" w:cs="仿宋"/>
          <w:b/>
          <w:bCs/>
          <w:szCs w:val="24"/>
        </w:rPr>
      </w:pPr>
    </w:p>
    <w:p>
      <w:pPr>
        <w:pStyle w:val="51"/>
        <w:pageBreakBefore w:val="0"/>
        <w:kinsoku/>
        <w:wordWrap w:val="0"/>
        <w:overflowPunct/>
        <w:topLinePunct w:val="0"/>
        <w:bidi w:val="0"/>
        <w:spacing w:line="560" w:lineRule="exact"/>
        <w:ind w:firstLine="200"/>
        <w:jc w:val="center"/>
        <w:rPr>
          <w:rFonts w:ascii="仿宋" w:hAnsi="仿宋" w:eastAsia="仿宋" w:cs="仿宋"/>
          <w:b/>
          <w:bCs/>
          <w:szCs w:val="24"/>
        </w:rPr>
      </w:pPr>
    </w:p>
    <w:p>
      <w:pPr>
        <w:pStyle w:val="51"/>
        <w:pageBreakBefore w:val="0"/>
        <w:kinsoku/>
        <w:wordWrap w:val="0"/>
        <w:overflowPunct/>
        <w:topLinePunct w:val="0"/>
        <w:bidi w:val="0"/>
        <w:spacing w:line="560" w:lineRule="exact"/>
        <w:ind w:firstLine="200"/>
        <w:jc w:val="center"/>
        <w:rPr>
          <w:rFonts w:ascii="仿宋" w:hAnsi="仿宋" w:eastAsia="仿宋" w:cs="仿宋"/>
          <w:b/>
          <w:bCs/>
          <w:szCs w:val="24"/>
        </w:rPr>
      </w:pPr>
      <w:r>
        <w:rPr>
          <w:rFonts w:hint="eastAsia" w:ascii="仿宋" w:hAnsi="仿宋" w:eastAsia="仿宋" w:cs="仿宋"/>
          <w:b/>
          <w:bCs/>
          <w:szCs w:val="24"/>
        </w:rPr>
        <w:t>第二部分 合同一般条款</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45" w:name="_Toc14021"/>
      <w:bookmarkStart w:id="346" w:name="_Toc25079"/>
      <w:bookmarkStart w:id="347" w:name="_Toc19680"/>
      <w:bookmarkStart w:id="348" w:name="_Toc5228"/>
      <w:bookmarkStart w:id="349" w:name="_Toc31297"/>
      <w:r>
        <w:rPr>
          <w:rFonts w:hint="eastAsia" w:ascii="仿宋" w:hAnsi="仿宋" w:eastAsia="仿宋" w:cs="仿宋"/>
          <w:b/>
          <w:bCs/>
          <w:sz w:val="24"/>
        </w:rPr>
        <w:t>2.1 定义</w:t>
      </w:r>
      <w:bookmarkEnd w:id="345"/>
      <w:bookmarkEnd w:id="346"/>
      <w:bookmarkEnd w:id="347"/>
      <w:bookmarkEnd w:id="348"/>
      <w:bookmarkEnd w:id="34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2.1.3 “服务”系指中标供应商根据合同约定应向采购人履行的除货物和工程以外的其他政府采购对象，包括采购人自身需要的服务和向社会公众提供的公共服务。</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2.1.4 “甲方”系指与中标供应商签署合同的采购人；采购人委托采购代理机构代表其与乙方签订合同的，采购人的授权委托书作为合同附件。</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2.1.6 “现场”系指合同约定提供服务的地点。</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50" w:name="_Toc23289"/>
      <w:bookmarkStart w:id="351" w:name="_Toc19539"/>
      <w:bookmarkStart w:id="352" w:name="_Toc3769"/>
      <w:bookmarkStart w:id="353" w:name="_Toc16752"/>
      <w:bookmarkStart w:id="354" w:name="_Toc31402"/>
      <w:r>
        <w:rPr>
          <w:rFonts w:hint="eastAsia" w:ascii="仿宋" w:hAnsi="仿宋" w:eastAsia="仿宋" w:cs="仿宋"/>
          <w:b/>
          <w:bCs/>
          <w:sz w:val="24"/>
        </w:rPr>
        <w:t>2.2 技术规范</w:t>
      </w:r>
      <w:bookmarkEnd w:id="350"/>
      <w:bookmarkEnd w:id="351"/>
      <w:bookmarkEnd w:id="352"/>
      <w:bookmarkEnd w:id="353"/>
      <w:bookmarkEnd w:id="354"/>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55" w:name="_Toc4133"/>
      <w:bookmarkStart w:id="356" w:name="_Toc13673"/>
      <w:bookmarkStart w:id="357" w:name="_Toc27945"/>
      <w:bookmarkStart w:id="358" w:name="_Toc12412"/>
      <w:bookmarkStart w:id="359" w:name="_Toc9161"/>
      <w:r>
        <w:rPr>
          <w:rFonts w:hint="eastAsia" w:ascii="仿宋" w:hAnsi="仿宋" w:eastAsia="仿宋" w:cs="仿宋"/>
          <w:b/>
          <w:bCs/>
          <w:sz w:val="24"/>
        </w:rPr>
        <w:t>2.3 知识产权</w:t>
      </w:r>
      <w:bookmarkEnd w:id="355"/>
      <w:bookmarkEnd w:id="356"/>
      <w:bookmarkEnd w:id="357"/>
      <w:bookmarkEnd w:id="358"/>
      <w:bookmarkEnd w:id="359"/>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kinsoku/>
        <w:wordWrap w:val="0"/>
        <w:overflowPunct/>
        <w:topLinePunct w:val="0"/>
        <w:bidi w:val="0"/>
        <w:spacing w:line="560" w:lineRule="exact"/>
        <w:ind w:firstLine="482" w:firstLineChars="200"/>
        <w:rPr>
          <w:rFonts w:ascii="仿宋" w:hAnsi="仿宋" w:eastAsia="仿宋" w:cs="仿宋"/>
          <w:b/>
          <w:bCs/>
          <w:sz w:val="24"/>
        </w:rPr>
      </w:pPr>
      <w:r>
        <w:rPr>
          <w:rFonts w:hint="eastAsia" w:ascii="仿宋" w:hAnsi="仿宋" w:eastAsia="仿宋" w:cs="仿宋"/>
          <w:b/>
          <w:bCs/>
          <w:sz w:val="24"/>
        </w:rPr>
        <w:t>2.4 履约检查和问题反馈</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60" w:name="_Toc30507"/>
      <w:bookmarkStart w:id="361" w:name="_Toc13467"/>
      <w:bookmarkStart w:id="362" w:name="_Toc16163"/>
      <w:bookmarkStart w:id="363" w:name="_Toc18990"/>
      <w:bookmarkStart w:id="364" w:name="_Toc13154"/>
      <w:r>
        <w:rPr>
          <w:rFonts w:hint="eastAsia" w:ascii="仿宋" w:hAnsi="仿宋" w:eastAsia="仿宋" w:cs="仿宋"/>
          <w:b/>
          <w:bCs/>
          <w:sz w:val="24"/>
        </w:rPr>
        <w:t>2.5 技术资料和保密义务</w:t>
      </w:r>
      <w:bookmarkEnd w:id="360"/>
      <w:bookmarkEnd w:id="361"/>
      <w:bookmarkEnd w:id="362"/>
      <w:bookmarkEnd w:id="363"/>
      <w:bookmarkEnd w:id="364"/>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2.5.1 乙方有权依据合同约定和项目需要，向甲方了解有关情况，调阅有关资料等，甲方应予积极配合；</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2.5.2 乙方有义务妥善保管和保护由甲方提供的前款信息和资料等；</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65" w:name="_Toc19069"/>
      <w:r>
        <w:rPr>
          <w:rFonts w:hint="eastAsia" w:ascii="仿宋" w:hAnsi="仿宋" w:eastAsia="仿宋" w:cs="仿宋"/>
          <w:b/>
          <w:bCs/>
          <w:sz w:val="24"/>
        </w:rPr>
        <w:t>2.6 质量保证</w:t>
      </w:r>
      <w:bookmarkEnd w:id="365"/>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2.6.1 乙方应建立和完善履行合同的内部质量保证体系，并提供相关内部规章制度给甲方，以便甲方进行监督检查；</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2.6.2 乙方应保证履行合同的人员数量和素质、软件和硬件设备的配置、场地、环境和设施等满足全面履行合同的要求，并应接受甲方的监督检查。</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66" w:name="_Toc22267"/>
      <w:r>
        <w:rPr>
          <w:rFonts w:hint="eastAsia" w:ascii="仿宋" w:hAnsi="仿宋" w:eastAsia="仿宋" w:cs="仿宋"/>
          <w:b/>
          <w:bCs/>
          <w:sz w:val="24"/>
        </w:rPr>
        <w:t>2.7 延迟履行</w:t>
      </w:r>
      <w:bookmarkEnd w:id="366"/>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67" w:name="_Toc10611"/>
      <w:r>
        <w:rPr>
          <w:rFonts w:hint="eastAsia" w:ascii="仿宋" w:hAnsi="仿宋" w:eastAsia="仿宋" w:cs="仿宋"/>
          <w:b/>
          <w:bCs/>
          <w:sz w:val="24"/>
        </w:rPr>
        <w:t>2.8 合同变更</w:t>
      </w:r>
      <w:bookmarkEnd w:id="367"/>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2.8.1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2.8.2 合同继续履行将损害国家利益和社会公共利益的，双方当事人应当以书面形式变更合同。有过错的一方应当承担赔偿责任，双方当事人都有过错的，各自承担相应的责任。</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68" w:name="_Toc10663"/>
      <w:bookmarkStart w:id="369" w:name="_Toc26689"/>
      <w:bookmarkStart w:id="370" w:name="_Toc42"/>
      <w:bookmarkStart w:id="371" w:name="_Toc21830"/>
      <w:bookmarkStart w:id="372" w:name="_Toc23368"/>
      <w:r>
        <w:rPr>
          <w:rFonts w:hint="eastAsia" w:ascii="仿宋" w:hAnsi="仿宋" w:eastAsia="仿宋" w:cs="仿宋"/>
          <w:b/>
          <w:bCs/>
          <w:sz w:val="24"/>
        </w:rPr>
        <w:t>2.9 合同转让和分包</w:t>
      </w:r>
      <w:bookmarkEnd w:id="368"/>
      <w:bookmarkEnd w:id="369"/>
      <w:bookmarkEnd w:id="370"/>
      <w:bookmarkEnd w:id="371"/>
      <w:bookmarkEnd w:id="372"/>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73" w:name="_Toc25571"/>
      <w:bookmarkStart w:id="374" w:name="_Toc4720"/>
      <w:bookmarkStart w:id="375" w:name="_Toc26633"/>
      <w:bookmarkStart w:id="376" w:name="_Toc32494"/>
      <w:bookmarkStart w:id="377" w:name="_Toc14371"/>
      <w:r>
        <w:rPr>
          <w:rFonts w:hint="eastAsia" w:ascii="仿宋" w:hAnsi="仿宋" w:eastAsia="仿宋" w:cs="仿宋"/>
          <w:b/>
          <w:bCs/>
          <w:sz w:val="24"/>
        </w:rPr>
        <w:t>2.10 不可抗力</w:t>
      </w:r>
      <w:bookmarkEnd w:id="373"/>
      <w:bookmarkEnd w:id="374"/>
      <w:bookmarkEnd w:id="375"/>
      <w:bookmarkEnd w:id="376"/>
      <w:bookmarkEnd w:id="377"/>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2.10.1如果任何一方遭遇法律规定的不可抗力，致使合同履行受阻时，履行合同的期限应予延长，延长的期限应相当于不可抗力所影响的时间；</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2.10.2 因不可抗力致使不能实现合同目的的，当事人可以解除合同；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2.10.3 因不可抗力致使合同有变更必要的，双方当事人应在</w:t>
      </w:r>
      <w:r>
        <w:rPr>
          <w:rFonts w:hint="eastAsia" w:ascii="仿宋" w:hAnsi="仿宋" w:eastAsia="仿宋" w:cs="仿宋"/>
          <w:b/>
          <w:bCs/>
          <w:i/>
          <w:iCs/>
          <w:sz w:val="24"/>
          <w:u w:val="single"/>
        </w:rPr>
        <w:t>5个工作日</w:t>
      </w:r>
      <w:r>
        <w:rPr>
          <w:rFonts w:hint="eastAsia" w:ascii="仿宋" w:hAnsi="仿宋" w:eastAsia="仿宋" w:cs="仿宋"/>
          <w:sz w:val="24"/>
        </w:rPr>
        <w:t>内以书面形式变更合同；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2.10.4受不可抗力影响的一方在不可抗力发生后，应在</w:t>
      </w:r>
      <w:r>
        <w:rPr>
          <w:rFonts w:hint="eastAsia" w:ascii="仿宋" w:hAnsi="仿宋" w:eastAsia="仿宋" w:cs="仿宋"/>
          <w:b/>
          <w:bCs/>
          <w:i/>
          <w:iCs/>
          <w:sz w:val="24"/>
          <w:u w:val="single"/>
        </w:rPr>
        <w:t>3个工作日</w:t>
      </w:r>
      <w:r>
        <w:rPr>
          <w:rFonts w:hint="eastAsia" w:ascii="仿宋" w:hAnsi="仿宋" w:eastAsia="仿宋" w:cs="仿宋"/>
          <w:sz w:val="24"/>
        </w:rPr>
        <w:t>内以书面形式通知对方当事人，并在</w:t>
      </w:r>
      <w:r>
        <w:rPr>
          <w:rFonts w:hint="eastAsia" w:ascii="仿宋" w:hAnsi="仿宋" w:eastAsia="仿宋" w:cs="仿宋"/>
          <w:b/>
          <w:bCs/>
          <w:i/>
          <w:iCs/>
          <w:sz w:val="24"/>
          <w:u w:val="single"/>
        </w:rPr>
        <w:t>5个工作日</w:t>
      </w:r>
      <w:r>
        <w:rPr>
          <w:rFonts w:hint="eastAsia" w:ascii="仿宋" w:hAnsi="仿宋" w:eastAsia="仿宋" w:cs="仿宋"/>
          <w:sz w:val="24"/>
        </w:rPr>
        <w:t>内，将有关部门出具的证明文件送达对方当事人。</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78" w:name="_Toc25783"/>
      <w:bookmarkStart w:id="379" w:name="_Toc3638"/>
      <w:bookmarkStart w:id="380" w:name="_Toc24465"/>
      <w:bookmarkStart w:id="381" w:name="_Toc14115"/>
      <w:bookmarkStart w:id="382" w:name="_Toc23854"/>
      <w:r>
        <w:rPr>
          <w:rFonts w:hint="eastAsia" w:ascii="仿宋" w:hAnsi="仿宋" w:eastAsia="仿宋" w:cs="仿宋"/>
          <w:b/>
          <w:bCs/>
          <w:sz w:val="24"/>
        </w:rPr>
        <w:t>2.11 税费</w:t>
      </w:r>
      <w:bookmarkEnd w:id="378"/>
      <w:bookmarkEnd w:id="379"/>
      <w:bookmarkEnd w:id="380"/>
      <w:bookmarkEnd w:id="381"/>
      <w:bookmarkEnd w:id="382"/>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83" w:name="_Toc26883"/>
      <w:bookmarkStart w:id="384" w:name="_Toc30105"/>
      <w:bookmarkStart w:id="385" w:name="_Toc14814"/>
      <w:bookmarkStart w:id="386" w:name="_Toc7315"/>
      <w:bookmarkStart w:id="387" w:name="_Toc25525"/>
      <w:r>
        <w:rPr>
          <w:rFonts w:hint="eastAsia" w:ascii="仿宋" w:hAnsi="仿宋" w:eastAsia="仿宋" w:cs="仿宋"/>
          <w:b/>
          <w:bCs/>
          <w:sz w:val="24"/>
        </w:rPr>
        <w:t>2.12 乙方破产</w:t>
      </w:r>
      <w:bookmarkEnd w:id="383"/>
      <w:bookmarkEnd w:id="384"/>
      <w:bookmarkEnd w:id="385"/>
      <w:bookmarkEnd w:id="386"/>
      <w:bookmarkEnd w:id="387"/>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88" w:name="_Toc1123"/>
      <w:bookmarkStart w:id="389" w:name="_Toc23323"/>
      <w:bookmarkStart w:id="390" w:name="_Toc2016"/>
      <w:r>
        <w:rPr>
          <w:rFonts w:hint="eastAsia" w:ascii="仿宋" w:hAnsi="仿宋" w:eastAsia="仿宋" w:cs="仿宋"/>
          <w:b/>
          <w:bCs/>
          <w:sz w:val="24"/>
        </w:rPr>
        <w:t>2.13 合同中止、终止</w:t>
      </w:r>
      <w:bookmarkEnd w:id="388"/>
      <w:bookmarkEnd w:id="389"/>
      <w:bookmarkEnd w:id="390"/>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2.13.1 双方当事人不得擅自中止或者终止合同；</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2.13.2合同继续履行将损害国家利益和社会公共利益的，双方当事人应当中止或者终止合同。有过错的一方应当承担赔偿责任，双方当事人都有过错的，各自承担相应的责任。</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91" w:name="_Toc14525"/>
      <w:bookmarkStart w:id="392" w:name="_Toc17363"/>
      <w:bookmarkStart w:id="393" w:name="_Toc1969"/>
      <w:r>
        <w:rPr>
          <w:rFonts w:hint="eastAsia" w:ascii="仿宋" w:hAnsi="仿宋" w:eastAsia="仿宋" w:cs="仿宋"/>
          <w:b/>
          <w:bCs/>
          <w:sz w:val="24"/>
        </w:rPr>
        <w:t>2.14 检验和验收</w:t>
      </w:r>
      <w:bookmarkEnd w:id="391"/>
      <w:bookmarkEnd w:id="392"/>
      <w:bookmarkEnd w:id="393"/>
    </w:p>
    <w:p>
      <w:pPr>
        <w:pageBreakBefore w:val="0"/>
        <w:tabs>
          <w:tab w:val="left" w:pos="360"/>
          <w:tab w:val="left" w:pos="540"/>
          <w:tab w:val="left" w:pos="1080"/>
        </w:tabs>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2.14.2 检验和验收标准、程序等具体内容以及前述验收书的效力详见磋商文件及投标文件要求。</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394" w:name="_Toc31892"/>
      <w:bookmarkStart w:id="395" w:name="_Toc25198"/>
      <w:bookmarkStart w:id="396" w:name="_Toc9808"/>
      <w:bookmarkStart w:id="397" w:name="_Toc2308"/>
      <w:bookmarkStart w:id="398" w:name="_Toc12666"/>
      <w:r>
        <w:rPr>
          <w:rFonts w:hint="eastAsia" w:ascii="仿宋" w:hAnsi="仿宋" w:eastAsia="仿宋" w:cs="仿宋"/>
          <w:b/>
          <w:bCs/>
          <w:sz w:val="24"/>
        </w:rPr>
        <w:t>2.15 通知和送达</w:t>
      </w:r>
      <w:bookmarkEnd w:id="394"/>
      <w:bookmarkEnd w:id="395"/>
      <w:bookmarkEnd w:id="396"/>
      <w:bookmarkEnd w:id="397"/>
      <w:bookmarkEnd w:id="398"/>
    </w:p>
    <w:p>
      <w:pPr>
        <w:pageBreakBefore w:val="0"/>
        <w:kinsoku/>
        <w:wordWrap w:val="0"/>
        <w:overflowPunct/>
        <w:topLinePunct w:val="0"/>
        <w:bidi w:val="0"/>
        <w:spacing w:line="560" w:lineRule="exact"/>
        <w:ind w:firstLine="480" w:firstLineChars="200"/>
        <w:rPr>
          <w:rFonts w:ascii="仿宋" w:hAnsi="仿宋" w:eastAsia="仿宋" w:cs="仿宋"/>
          <w:sz w:val="24"/>
        </w:rPr>
      </w:pPr>
      <w:bookmarkStart w:id="399" w:name="_Toc29220"/>
      <w:bookmarkStart w:id="400" w:name="_Toc7073"/>
      <w:r>
        <w:rPr>
          <w:rFonts w:hint="eastAsia" w:ascii="仿宋" w:hAnsi="仿宋" w:eastAsia="仿宋" w:cs="仿宋"/>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399"/>
      <w:bookmarkEnd w:id="400"/>
    </w:p>
    <w:p>
      <w:pPr>
        <w:pageBreakBefore w:val="0"/>
        <w:kinsoku/>
        <w:wordWrap w:val="0"/>
        <w:overflowPunct/>
        <w:topLinePunct w:val="0"/>
        <w:bidi w:val="0"/>
        <w:spacing w:line="560" w:lineRule="exact"/>
        <w:ind w:firstLine="480" w:firstLineChars="200"/>
        <w:rPr>
          <w:rFonts w:ascii="仿宋" w:hAnsi="仿宋" w:eastAsia="仿宋" w:cs="仿宋"/>
          <w:sz w:val="24"/>
        </w:rPr>
      </w:pPr>
      <w:bookmarkStart w:id="401" w:name="_Toc27674"/>
      <w:bookmarkStart w:id="402" w:name="_Toc18401"/>
      <w:r>
        <w:rPr>
          <w:rFonts w:hint="eastAsia" w:ascii="仿宋" w:hAnsi="仿宋" w:eastAsia="仿宋" w:cs="仿宋"/>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1"/>
      <w:bookmarkEnd w:id="402"/>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403" w:name="_Toc5063"/>
      <w:bookmarkStart w:id="404" w:name="_Toc28906"/>
      <w:bookmarkStart w:id="405" w:name="_Toc20808"/>
      <w:bookmarkStart w:id="406" w:name="_Toc27644"/>
      <w:bookmarkStart w:id="407" w:name="_Toc12254"/>
      <w:r>
        <w:rPr>
          <w:rFonts w:hint="eastAsia" w:ascii="仿宋" w:hAnsi="仿宋" w:eastAsia="仿宋" w:cs="仿宋"/>
          <w:b/>
          <w:bCs/>
          <w:sz w:val="24"/>
        </w:rPr>
        <w:t>2.16 合同使用的文字和适用的法律</w:t>
      </w:r>
      <w:bookmarkEnd w:id="403"/>
      <w:bookmarkEnd w:id="404"/>
      <w:bookmarkEnd w:id="405"/>
      <w:bookmarkEnd w:id="406"/>
      <w:bookmarkEnd w:id="407"/>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2.16.1 合同使用汉语书就、变更和解释；</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2.16.2 合同适用中华人民共和国法律。</w:t>
      </w:r>
    </w:p>
    <w:p>
      <w:pPr>
        <w:pageBreakBefore w:val="0"/>
        <w:kinsoku/>
        <w:wordWrap w:val="0"/>
        <w:overflowPunct/>
        <w:topLinePunct w:val="0"/>
        <w:bidi w:val="0"/>
        <w:spacing w:line="560" w:lineRule="exact"/>
        <w:ind w:firstLine="482" w:firstLineChars="200"/>
        <w:outlineLvl w:val="0"/>
        <w:rPr>
          <w:rFonts w:ascii="仿宋" w:hAnsi="仿宋" w:eastAsia="仿宋" w:cs="仿宋"/>
          <w:b/>
          <w:bCs/>
          <w:sz w:val="24"/>
        </w:rPr>
      </w:pPr>
      <w:bookmarkStart w:id="408" w:name="_Toc22266"/>
      <w:bookmarkStart w:id="409" w:name="_Toc27127"/>
      <w:bookmarkStart w:id="410" w:name="_Toc27403"/>
      <w:bookmarkStart w:id="411" w:name="_Toc30096"/>
      <w:bookmarkStart w:id="412" w:name="_Toc1492"/>
      <w:r>
        <w:rPr>
          <w:rFonts w:hint="eastAsia" w:ascii="仿宋" w:hAnsi="仿宋" w:eastAsia="仿宋" w:cs="仿宋"/>
          <w:b/>
          <w:bCs/>
          <w:sz w:val="24"/>
        </w:rPr>
        <w:t>2.17 履约保证金</w:t>
      </w:r>
      <w:bookmarkEnd w:id="408"/>
      <w:bookmarkEnd w:id="409"/>
      <w:bookmarkEnd w:id="410"/>
      <w:bookmarkEnd w:id="411"/>
      <w:bookmarkEnd w:id="412"/>
    </w:p>
    <w:p>
      <w:pPr>
        <w:pageBreakBefore w:val="0"/>
        <w:kinsoku/>
        <w:wordWrap w:val="0"/>
        <w:overflowPunct/>
        <w:topLinePunct w:val="0"/>
        <w:bidi w:val="0"/>
        <w:spacing w:line="560" w:lineRule="exact"/>
        <w:ind w:firstLine="480" w:firstLineChars="200"/>
        <w:rPr>
          <w:rFonts w:ascii="仿宋" w:hAnsi="仿宋" w:eastAsia="仿宋" w:cs="仿宋"/>
          <w:color w:val="0000FF"/>
          <w:sz w:val="24"/>
        </w:rPr>
      </w:pPr>
      <w:r>
        <w:rPr>
          <w:rFonts w:hint="eastAsia" w:ascii="仿宋" w:hAnsi="仿宋" w:eastAsia="仿宋" w:cs="仿宋"/>
          <w:sz w:val="24"/>
        </w:rPr>
        <w:t>2.17.1 采购文件要求乙方提交履约保证金的，乙方应按合同金额的</w:t>
      </w:r>
      <w:r>
        <w:rPr>
          <w:rFonts w:hint="eastAsia" w:ascii="仿宋" w:hAnsi="仿宋" w:eastAsia="仿宋" w:cs="仿宋"/>
          <w:sz w:val="24"/>
          <w:u w:val="single"/>
        </w:rPr>
        <w:t xml:space="preserve">       </w:t>
      </w:r>
      <w:r>
        <w:rPr>
          <w:rFonts w:hint="eastAsia" w:ascii="仿宋" w:hAnsi="仿宋" w:eastAsia="仿宋" w:cs="仿宋"/>
          <w:sz w:val="24"/>
        </w:rPr>
        <w:t>计算向下取整至万元，以支票、汇票或者转账等非现金形式，在签订合同前5个日历日内向采购人交纳履约保证金；</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2.17.2 履约保证金在项目安装调试完成试运行3个月验收合格后5个工作日内，将履约保证金退还乙方；</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val="0"/>
        <w:overflowPunct/>
        <w:topLinePunct w:val="0"/>
        <w:bidi w:val="0"/>
        <w:spacing w:line="560" w:lineRule="exact"/>
        <w:ind w:firstLine="482" w:firstLineChars="200"/>
        <w:rPr>
          <w:rFonts w:ascii="仿宋" w:hAnsi="仿宋" w:eastAsia="仿宋" w:cs="仿宋"/>
          <w:b/>
          <w:bCs/>
          <w:sz w:val="24"/>
        </w:rPr>
      </w:pPr>
      <w:r>
        <w:rPr>
          <w:rFonts w:hint="eastAsia" w:ascii="仿宋" w:hAnsi="仿宋" w:eastAsia="仿宋" w:cs="仿宋"/>
          <w:b/>
          <w:bCs/>
          <w:sz w:val="24"/>
        </w:rPr>
        <w:t>2.18 合同份数</w:t>
      </w:r>
    </w:p>
    <w:p>
      <w:pPr>
        <w:pageBreakBefore w:val="0"/>
        <w:kinsoku/>
        <w:wordWrap w:val="0"/>
        <w:overflowPunct/>
        <w:topLinePunct w:val="0"/>
        <w:bidi w:val="0"/>
        <w:spacing w:line="560" w:lineRule="exact"/>
        <w:ind w:firstLine="480" w:firstLineChars="200"/>
        <w:rPr>
          <w:rFonts w:ascii="仿宋" w:hAnsi="仿宋" w:eastAsia="仿宋" w:cs="仿宋"/>
          <w:sz w:val="24"/>
        </w:rPr>
      </w:pPr>
      <w:r>
        <w:rPr>
          <w:rFonts w:hint="eastAsia" w:ascii="仿宋" w:hAnsi="仿宋" w:eastAsia="仿宋" w:cs="仿宋"/>
          <w:sz w:val="24"/>
        </w:rPr>
        <w:t>合同一式四份，甲乙双方各持2份，每份均具有同等法律效力。</w:t>
      </w:r>
    </w:p>
    <w:p>
      <w:pPr>
        <w:pStyle w:val="11"/>
        <w:pageBreakBefore w:val="0"/>
        <w:kinsoku/>
        <w:wordWrap w:val="0"/>
        <w:overflowPunct/>
        <w:topLinePunct w:val="0"/>
        <w:bidi w:val="0"/>
        <w:rPr>
          <w:rFonts w:ascii="仿宋" w:hAnsi="仿宋" w:eastAsia="仿宋" w:cs="仿宋"/>
          <w:sz w:val="28"/>
          <w:szCs w:val="21"/>
          <w:highlight w:val="red"/>
        </w:rPr>
      </w:pPr>
    </w:p>
    <w:p>
      <w:pPr>
        <w:pStyle w:val="11"/>
        <w:pageBreakBefore w:val="0"/>
        <w:kinsoku/>
        <w:wordWrap w:val="0"/>
        <w:overflowPunct/>
        <w:topLinePunct w:val="0"/>
        <w:bidi w:val="0"/>
        <w:rPr>
          <w:rFonts w:ascii="仿宋" w:hAnsi="仿宋" w:eastAsia="仿宋" w:cs="仿宋"/>
          <w:kern w:val="44"/>
          <w:sz w:val="28"/>
          <w:szCs w:val="28"/>
        </w:rPr>
      </w:pPr>
      <w:r>
        <w:rPr>
          <w:rFonts w:hint="eastAsia" w:ascii="仿宋" w:hAnsi="仿宋" w:eastAsia="仿宋" w:cs="仿宋"/>
          <w:b/>
          <w:bCs/>
          <w:kern w:val="2"/>
          <w:sz w:val="32"/>
          <w:szCs w:val="32"/>
        </w:rPr>
        <w:t>（本合同仅供参考）</w:t>
      </w:r>
    </w:p>
    <w:p>
      <w:pPr>
        <w:pStyle w:val="2"/>
        <w:pageBreakBefore w:val="0"/>
        <w:kinsoku/>
        <w:wordWrap w:val="0"/>
        <w:overflowPunct/>
        <w:topLinePunct w:val="0"/>
        <w:bidi w:val="0"/>
        <w:ind w:firstLine="560"/>
        <w:rPr>
          <w:rFonts w:ascii="仿宋" w:hAnsi="仿宋" w:eastAsia="仿宋" w:cs="仿宋"/>
          <w:kern w:val="44"/>
          <w:sz w:val="28"/>
          <w:szCs w:val="28"/>
        </w:rPr>
      </w:pPr>
    </w:p>
    <w:p>
      <w:pPr>
        <w:pStyle w:val="5"/>
        <w:pageBreakBefore w:val="0"/>
        <w:kinsoku/>
        <w:wordWrap w:val="0"/>
        <w:overflowPunct/>
        <w:topLinePunct w:val="0"/>
        <w:bidi w:val="0"/>
        <w:ind w:firstLine="560"/>
        <w:rPr>
          <w:rFonts w:ascii="仿宋" w:hAnsi="仿宋" w:eastAsia="仿宋" w:cs="仿宋"/>
          <w:kern w:val="44"/>
          <w:sz w:val="28"/>
          <w:szCs w:val="28"/>
        </w:rPr>
      </w:pPr>
    </w:p>
    <w:p>
      <w:pPr>
        <w:pStyle w:val="2"/>
        <w:pageBreakBefore w:val="0"/>
        <w:kinsoku/>
        <w:wordWrap w:val="0"/>
        <w:overflowPunct/>
        <w:topLinePunct w:val="0"/>
        <w:bidi w:val="0"/>
        <w:ind w:firstLine="560"/>
        <w:rPr>
          <w:rFonts w:ascii="仿宋" w:hAnsi="仿宋" w:eastAsia="仿宋" w:cs="仿宋"/>
          <w:kern w:val="44"/>
          <w:sz w:val="28"/>
          <w:szCs w:val="28"/>
        </w:rPr>
      </w:pPr>
    </w:p>
    <w:p>
      <w:pPr>
        <w:pStyle w:val="5"/>
        <w:pageBreakBefore w:val="0"/>
        <w:kinsoku/>
        <w:wordWrap w:val="0"/>
        <w:overflowPunct/>
        <w:topLinePunct w:val="0"/>
        <w:bidi w:val="0"/>
        <w:ind w:firstLine="560"/>
        <w:rPr>
          <w:rFonts w:ascii="仿宋" w:hAnsi="仿宋" w:eastAsia="仿宋" w:cs="仿宋"/>
          <w:kern w:val="44"/>
          <w:sz w:val="28"/>
          <w:szCs w:val="28"/>
        </w:rPr>
      </w:pPr>
    </w:p>
    <w:p>
      <w:pPr>
        <w:pStyle w:val="2"/>
        <w:pageBreakBefore w:val="0"/>
        <w:kinsoku/>
        <w:wordWrap w:val="0"/>
        <w:overflowPunct/>
        <w:topLinePunct w:val="0"/>
        <w:bidi w:val="0"/>
        <w:ind w:firstLine="560"/>
        <w:rPr>
          <w:rFonts w:ascii="仿宋" w:hAnsi="仿宋" w:eastAsia="仿宋" w:cs="仿宋"/>
          <w:kern w:val="44"/>
          <w:sz w:val="28"/>
          <w:szCs w:val="28"/>
        </w:rPr>
      </w:pPr>
    </w:p>
    <w:p>
      <w:pPr>
        <w:pStyle w:val="5"/>
        <w:pageBreakBefore w:val="0"/>
        <w:kinsoku/>
        <w:wordWrap w:val="0"/>
        <w:overflowPunct/>
        <w:topLinePunct w:val="0"/>
        <w:bidi w:val="0"/>
        <w:ind w:firstLine="560"/>
        <w:rPr>
          <w:rFonts w:ascii="仿宋" w:hAnsi="仿宋" w:eastAsia="仿宋" w:cs="仿宋"/>
          <w:kern w:val="44"/>
          <w:sz w:val="28"/>
          <w:szCs w:val="28"/>
        </w:rPr>
      </w:pPr>
    </w:p>
    <w:p>
      <w:pPr>
        <w:pStyle w:val="8"/>
        <w:pageBreakBefore w:val="0"/>
        <w:kinsoku/>
        <w:wordWrap w:val="0"/>
        <w:overflowPunct/>
        <w:topLinePunct w:val="0"/>
        <w:bidi w:val="0"/>
        <w:spacing w:before="0" w:line="240" w:lineRule="atLeast"/>
        <w:jc w:val="both"/>
        <w:rPr>
          <w:rFonts w:hint="eastAsia" w:ascii="仿宋" w:hAnsi="仿宋" w:eastAsia="仿宋" w:cs="仿宋"/>
          <w:sz w:val="24"/>
        </w:rPr>
      </w:pPr>
    </w:p>
    <w:sectPr>
      <w:headerReference r:id="rId15" w:type="default"/>
      <w:footerReference r:id="rId1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20"/>
                            <w:rPr>
                              <w:rStyle w:val="39"/>
                            </w:rPr>
                          </w:pPr>
                          <w:r>
                            <w:fldChar w:fldCharType="begin"/>
                          </w:r>
                          <w:r>
                            <w:rPr>
                              <w:rStyle w:val="39"/>
                            </w:rPr>
                            <w:instrText xml:space="preserve">PAGE  </w:instrText>
                          </w:r>
                          <w:r>
                            <w:fldChar w:fldCharType="separate"/>
                          </w:r>
                          <w:r>
                            <w:rPr>
                              <w:rStyle w:val="39"/>
                            </w:rPr>
                            <w:t>3</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xAIkjRAAAAAgEAAA8A&#10;AAAAAAAAAQAgAAAAIgAAAGRycy9kb3ducmV2LnhtbFBLAQIUABQAAAAIAIdO4kB56ZiFrAEAADwD&#10;AAAOAAAAAAAAAAEAIAAAACABAABkcnMvZTJvRG9jLnhtbFBLBQYAAAAABgAGAFkBAAA+BQAAAAA=&#10;">
              <v:fill on="f" focussize="0,0"/>
              <v:stroke on="f"/>
              <v:imagedata o:title=""/>
              <o:lock v:ext="edit" aspectratio="f"/>
              <v:textbox inset="0mm,0mm,0mm,0mm" style="mso-fit-shape-to-text:t;">
                <w:txbxContent>
                  <w:p>
                    <w:pPr>
                      <w:pStyle w:val="20"/>
                      <w:rPr>
                        <w:rStyle w:val="39"/>
                      </w:rPr>
                    </w:pPr>
                    <w:r>
                      <w:fldChar w:fldCharType="begin"/>
                    </w:r>
                    <w:r>
                      <w:rPr>
                        <w:rStyle w:val="39"/>
                      </w:rPr>
                      <w:instrText xml:space="preserve">PAGE  </w:instrText>
                    </w:r>
                    <w:r>
                      <w:fldChar w:fldCharType="separate"/>
                    </w:r>
                    <w:r>
                      <w:rPr>
                        <w:rStyle w:val="3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0"/>
                            <w:rPr>
                              <w:rStyle w:val="39"/>
                            </w:rPr>
                          </w:pPr>
                          <w:r>
                            <w:fldChar w:fldCharType="begin"/>
                          </w:r>
                          <w:r>
                            <w:rPr>
                              <w:rStyle w:val="39"/>
                            </w:rPr>
                            <w:instrText xml:space="preserve">PAGE  </w:instrText>
                          </w:r>
                          <w:r>
                            <w:fldChar w:fldCharType="separate"/>
                          </w:r>
                          <w:r>
                            <w:rPr>
                              <w:rStyle w:val="39"/>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CbdcntrAEAAD0D&#10;AAAOAAAAAAAAAAEAIAAAACABAABkcnMvZTJvRG9jLnhtbFBLBQYAAAAABgAGAFkBAAA+BQAAAAA=&#10;">
              <v:fill on="f" focussize="0,0"/>
              <v:stroke on="f"/>
              <v:imagedata o:title=""/>
              <o:lock v:ext="edit" aspectratio="f"/>
              <v:textbox inset="0mm,0mm,0mm,0mm" style="mso-fit-shape-to-text:t;">
                <w:txbxContent>
                  <w:p>
                    <w:pPr>
                      <w:pStyle w:val="20"/>
                      <w:rPr>
                        <w:rStyle w:val="39"/>
                      </w:rPr>
                    </w:pPr>
                    <w:r>
                      <w:fldChar w:fldCharType="begin"/>
                    </w:r>
                    <w:r>
                      <w:rPr>
                        <w:rStyle w:val="39"/>
                      </w:rPr>
                      <w:instrText xml:space="preserve">PAGE  </w:instrText>
                    </w:r>
                    <w:r>
                      <w:fldChar w:fldCharType="separate"/>
                    </w:r>
                    <w:r>
                      <w:rPr>
                        <w:rStyle w:val="39"/>
                      </w:rP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PAGE  </w:instrText>
    </w:r>
    <w:r>
      <w:fldChar w:fldCharType="end"/>
    </w:r>
  </w:p>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9"/>
      </w:rPr>
    </w:pPr>
  </w:p>
  <w:p>
    <w:pPr>
      <w:pStyle w:val="2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0"/>
                            <w:rPr>
                              <w:rStyle w:val="39"/>
                            </w:rPr>
                          </w:pPr>
                          <w:r>
                            <w:fldChar w:fldCharType="begin"/>
                          </w:r>
                          <w:r>
                            <w:rPr>
                              <w:rStyle w:val="39"/>
                            </w:rPr>
                            <w:instrText xml:space="preserve">PAGE  </w:instrText>
                          </w:r>
                          <w:r>
                            <w:fldChar w:fldCharType="separate"/>
                          </w:r>
                          <w:r>
                            <w:rPr>
                              <w:rStyle w:val="39"/>
                            </w:rPr>
                            <w:t>30</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Cl9oXqrAEAAD0D&#10;AAAOAAAAAAAAAAEAIAAAACABAABkcnMvZTJvRG9jLnhtbFBLBQYAAAAABgAGAFkBAAA+BQAAAAA=&#10;">
              <v:fill on="f" focussize="0,0"/>
              <v:stroke on="f"/>
              <v:imagedata o:title=""/>
              <o:lock v:ext="edit" aspectratio="f"/>
              <v:textbox inset="0mm,0mm,0mm,0mm" style="mso-fit-shape-to-text:t;">
                <w:txbxContent>
                  <w:p>
                    <w:pPr>
                      <w:pStyle w:val="20"/>
                      <w:rPr>
                        <w:rStyle w:val="39"/>
                      </w:rPr>
                    </w:pPr>
                    <w:r>
                      <w:fldChar w:fldCharType="begin"/>
                    </w:r>
                    <w:r>
                      <w:rPr>
                        <w:rStyle w:val="39"/>
                      </w:rPr>
                      <w:instrText xml:space="preserve">PAGE  </w:instrText>
                    </w:r>
                    <w:r>
                      <w:fldChar w:fldCharType="separate"/>
                    </w:r>
                    <w:r>
                      <w:rPr>
                        <w:rStyle w:val="39"/>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PAGE  </w:instrText>
    </w:r>
    <w:r>
      <w:fldChar w:fldCharType="end"/>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6370" cy="139700"/>
              <wp:effectExtent l="0" t="0" r="0" b="0"/>
              <wp:wrapNone/>
              <wp:docPr id="13" name="Text Box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41</w:t>
                          </w:r>
                          <w:r>
                            <w:fldChar w:fldCharType="end"/>
                          </w:r>
                        </w:p>
                      </w:txbxContent>
                    </wps:txbx>
                    <wps:bodyPr lIns="0" tIns="0" rIns="0" bIns="0" upright="1"/>
                  </wps:wsp>
                </a:graphicData>
              </a:graphic>
            </wp:anchor>
          </w:drawing>
        </mc:Choice>
        <mc:Fallback>
          <w:pict>
            <v:shape id="Text Box 3" o:spid="_x0000_s1026" o:spt="202" type="#_x0000_t202" style="position:absolute;left:0pt;margin-top:0pt;height:11pt;width:13.1pt;mso-position-horizontal:center;mso-position-horizontal-relative:margin;z-index:251662336;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CfSswbSAAAAAwEAAA8AAAAAAAAAAQAgAAAAIgAAAGRycy9kb3ducmV2Lnht&#10;bFBLAQIUABQAAAAIAIdO4kCCM8p/jQEAACMDAAAOAAAAAAAAAAEAIAAAACEBAABkcnMvZTJvRG9j&#10;LnhtbFBLBQYAAAAABgAGAFkBAAAgBQAAAAA=&#10;">
              <v:fill on="f" focussize="0,0"/>
              <v:stroke on="f"/>
              <v:imagedata o:title=""/>
              <o:lock v:ext="edit" aspectratio="f"/>
              <v:textbox inset="0mm,0mm,0mm,0mm">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64</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hJq4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Re5PH6DGtKeAiWm49gPmjn5AZ5Y9qGjzFwUR&#10;jCPU7tRdOSQi8qP5bD6vMCQwNl4Qn70+DxHSnfSWZKOhEcdXusq3XyAdUseUXM35W21MGaFx/zgQ&#10;M3tY5n7gmK00rIajoJVvd6inx8k31OFqUmLuHTY2L8loxNFYjcYmRL3ukNq08IJwtUlIonDLFQ6w&#10;x8I4sqLuuF55J/6+l6zXn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xf+EmrgEAAEwD&#10;AAAOAAAAAAAAAAEAIAAAAB4BAABkcnMvZTJvRG9jLnhtbFBLBQYAAAAABgAGAFkBAAA+BQ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64</w:t>
                    </w:r>
                    <w:r>
                      <w:rPr>
                        <w:lang w:val="zh-CN"/>
                      </w:rPr>
                      <w:fldChar w:fldCharType="end"/>
                    </w:r>
                  </w:p>
                </w:txbxContent>
              </v:textbox>
            </v:shape>
          </w:pict>
        </mc:Fallback>
      </mc:AlternateContent>
    </w:r>
  </w:p>
  <w:p>
    <w:pPr>
      <w:pStyle w:val="2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73</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DDsFhurAEAAD0D&#10;AAAOAAAAAAAAAAEAIAAAACABAABkcnMvZTJvRG9jLnhtbFBLBQYAAAAABgAGAFkBAAA+BQ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A0AD2"/>
    <w:multiLevelType w:val="singleLevel"/>
    <w:tmpl w:val="874A0AD2"/>
    <w:lvl w:ilvl="0" w:tentative="0">
      <w:start w:val="5"/>
      <w:numFmt w:val="chineseCounting"/>
      <w:suff w:val="nothing"/>
      <w:lvlText w:val="%1、"/>
      <w:lvlJc w:val="left"/>
      <w:rPr>
        <w:rFonts w:hint="eastAsia"/>
      </w:rPr>
    </w:lvl>
  </w:abstractNum>
  <w:abstractNum w:abstractNumId="1">
    <w:nsid w:val="93B87A84"/>
    <w:multiLevelType w:val="singleLevel"/>
    <w:tmpl w:val="93B87A84"/>
    <w:lvl w:ilvl="0" w:tentative="0">
      <w:start w:val="2"/>
      <w:numFmt w:val="decimal"/>
      <w:suff w:val="nothing"/>
      <w:lvlText w:val="%1、"/>
      <w:lvlJc w:val="left"/>
      <w:pPr>
        <w:ind w:left="-688"/>
      </w:pPr>
    </w:lvl>
  </w:abstractNum>
  <w:abstractNum w:abstractNumId="2">
    <w:nsid w:val="A8283CEE"/>
    <w:multiLevelType w:val="singleLevel"/>
    <w:tmpl w:val="A8283CEE"/>
    <w:lvl w:ilvl="0" w:tentative="0">
      <w:start w:val="2"/>
      <w:numFmt w:val="chineseCounting"/>
      <w:suff w:val="nothing"/>
      <w:lvlText w:val="%1、"/>
      <w:lvlJc w:val="left"/>
      <w:rPr>
        <w:rFonts w:hint="eastAsia"/>
      </w:rPr>
    </w:lvl>
  </w:abstractNum>
  <w:abstractNum w:abstractNumId="3">
    <w:nsid w:val="E086BF3E"/>
    <w:multiLevelType w:val="singleLevel"/>
    <w:tmpl w:val="E086BF3E"/>
    <w:lvl w:ilvl="0" w:tentative="0">
      <w:start w:val="6"/>
      <w:numFmt w:val="decimal"/>
      <w:suff w:val="nothing"/>
      <w:lvlText w:val="%1、"/>
      <w:lvlJc w:val="left"/>
    </w:lvl>
  </w:abstractNum>
  <w:abstractNum w:abstractNumId="4">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393B00C"/>
    <w:multiLevelType w:val="singleLevel"/>
    <w:tmpl w:val="1393B00C"/>
    <w:lvl w:ilvl="0" w:tentative="0">
      <w:start w:val="3"/>
      <w:numFmt w:val="chineseCounting"/>
      <w:suff w:val="nothing"/>
      <w:lvlText w:val="（%1）"/>
      <w:lvlJc w:val="left"/>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6DB0957"/>
    <w:multiLevelType w:val="singleLevel"/>
    <w:tmpl w:val="26DB0957"/>
    <w:lvl w:ilvl="0" w:tentative="0">
      <w:start w:val="3"/>
      <w:numFmt w:val="chineseCounting"/>
      <w:suff w:val="space"/>
      <w:lvlText w:val="第%1部分"/>
      <w:lvlJc w:val="left"/>
      <w:rPr>
        <w:rFonts w:hint="eastAsia"/>
      </w:rPr>
    </w:lvl>
  </w:abstractNum>
  <w:abstractNum w:abstractNumId="9">
    <w:nsid w:val="53F81B44"/>
    <w:multiLevelType w:val="singleLevel"/>
    <w:tmpl w:val="53F81B44"/>
    <w:lvl w:ilvl="0" w:tentative="0">
      <w:start w:val="3"/>
      <w:numFmt w:val="chineseCounting"/>
      <w:suff w:val="nothing"/>
      <w:lvlText w:val="（%1）"/>
      <w:lvlJc w:val="left"/>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6B02DAB2"/>
    <w:multiLevelType w:val="singleLevel"/>
    <w:tmpl w:val="6B02DAB2"/>
    <w:lvl w:ilvl="0" w:tentative="0">
      <w:start w:val="3"/>
      <w:numFmt w:val="chineseCounting"/>
      <w:pStyle w:val="47"/>
      <w:suff w:val="nothing"/>
      <w:lvlText w:val="%1、"/>
      <w:lvlJc w:val="left"/>
      <w:rPr>
        <w:rFonts w:hint="eastAsia"/>
      </w:rPr>
    </w:lvl>
  </w:abstractNum>
  <w:num w:numId="1">
    <w:abstractNumId w:val="11"/>
  </w:num>
  <w:num w:numId="2">
    <w:abstractNumId w:val="4"/>
  </w:num>
  <w:num w:numId="3">
    <w:abstractNumId w:val="7"/>
  </w:num>
  <w:num w:numId="4">
    <w:abstractNumId w:val="10"/>
  </w:num>
  <w:num w:numId="5">
    <w:abstractNumId w:val="6"/>
  </w:num>
  <w:num w:numId="6">
    <w:abstractNumId w:val="1"/>
  </w:num>
  <w:num w:numId="7">
    <w:abstractNumId w:val="3"/>
  </w:num>
  <w:num w:numId="8">
    <w:abstractNumId w:val="8"/>
  </w:num>
  <w:num w:numId="9">
    <w:abstractNumId w:val="2"/>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17BC"/>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3394"/>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2F74"/>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4595"/>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062B"/>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27"/>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35D1"/>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0F7"/>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36CA"/>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698D"/>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7046B5"/>
    <w:rsid w:val="018F054B"/>
    <w:rsid w:val="01E5159B"/>
    <w:rsid w:val="024B26CE"/>
    <w:rsid w:val="02A01B43"/>
    <w:rsid w:val="02AB0B8E"/>
    <w:rsid w:val="03433819"/>
    <w:rsid w:val="03822C68"/>
    <w:rsid w:val="03CB50B5"/>
    <w:rsid w:val="0501310E"/>
    <w:rsid w:val="0552295A"/>
    <w:rsid w:val="05DF46DF"/>
    <w:rsid w:val="06225B6E"/>
    <w:rsid w:val="06667684"/>
    <w:rsid w:val="071E06FC"/>
    <w:rsid w:val="075D2876"/>
    <w:rsid w:val="07C1731B"/>
    <w:rsid w:val="0819038F"/>
    <w:rsid w:val="087D7CA5"/>
    <w:rsid w:val="09A37CB3"/>
    <w:rsid w:val="09BD6E8E"/>
    <w:rsid w:val="0A6D7B49"/>
    <w:rsid w:val="0A774A1C"/>
    <w:rsid w:val="0A9C1B06"/>
    <w:rsid w:val="0AA8018E"/>
    <w:rsid w:val="0AE61472"/>
    <w:rsid w:val="0B1873A5"/>
    <w:rsid w:val="0B450737"/>
    <w:rsid w:val="0BC03108"/>
    <w:rsid w:val="0C054382"/>
    <w:rsid w:val="0C9A104D"/>
    <w:rsid w:val="0CDC6CA4"/>
    <w:rsid w:val="0DB74BA1"/>
    <w:rsid w:val="0EB16EFF"/>
    <w:rsid w:val="0F0136F4"/>
    <w:rsid w:val="0F7A70CC"/>
    <w:rsid w:val="0FC50D8F"/>
    <w:rsid w:val="10451C7D"/>
    <w:rsid w:val="106275C8"/>
    <w:rsid w:val="10A3646A"/>
    <w:rsid w:val="115C42FD"/>
    <w:rsid w:val="11604C00"/>
    <w:rsid w:val="118848CF"/>
    <w:rsid w:val="13172843"/>
    <w:rsid w:val="132451DE"/>
    <w:rsid w:val="13564E99"/>
    <w:rsid w:val="139F0CB4"/>
    <w:rsid w:val="143D01C9"/>
    <w:rsid w:val="14675B7E"/>
    <w:rsid w:val="14E835C3"/>
    <w:rsid w:val="15EC5AC1"/>
    <w:rsid w:val="168A6CDE"/>
    <w:rsid w:val="168E2D78"/>
    <w:rsid w:val="16C04C56"/>
    <w:rsid w:val="16EB2471"/>
    <w:rsid w:val="170074D4"/>
    <w:rsid w:val="17F052AA"/>
    <w:rsid w:val="18003993"/>
    <w:rsid w:val="182D3D5F"/>
    <w:rsid w:val="18434A76"/>
    <w:rsid w:val="18A272E6"/>
    <w:rsid w:val="18BA600F"/>
    <w:rsid w:val="1956552E"/>
    <w:rsid w:val="19EC039D"/>
    <w:rsid w:val="1A3426E3"/>
    <w:rsid w:val="1AEC041D"/>
    <w:rsid w:val="1AEC419B"/>
    <w:rsid w:val="1AF6583C"/>
    <w:rsid w:val="1B6A5CEB"/>
    <w:rsid w:val="1BB21269"/>
    <w:rsid w:val="1C085136"/>
    <w:rsid w:val="1C321126"/>
    <w:rsid w:val="1CEF5A08"/>
    <w:rsid w:val="1CEF7777"/>
    <w:rsid w:val="1D007847"/>
    <w:rsid w:val="1D242FC2"/>
    <w:rsid w:val="1DC01C11"/>
    <w:rsid w:val="1E054C48"/>
    <w:rsid w:val="1E1B3173"/>
    <w:rsid w:val="1FCF77B6"/>
    <w:rsid w:val="20572949"/>
    <w:rsid w:val="20EC7072"/>
    <w:rsid w:val="2133411B"/>
    <w:rsid w:val="214B4697"/>
    <w:rsid w:val="223A00A8"/>
    <w:rsid w:val="22E46B13"/>
    <w:rsid w:val="23447637"/>
    <w:rsid w:val="23F5768F"/>
    <w:rsid w:val="246529A6"/>
    <w:rsid w:val="25997426"/>
    <w:rsid w:val="25BF62B8"/>
    <w:rsid w:val="25CF59CB"/>
    <w:rsid w:val="260C39F2"/>
    <w:rsid w:val="261A0491"/>
    <w:rsid w:val="26C66E06"/>
    <w:rsid w:val="26D259BC"/>
    <w:rsid w:val="270246D4"/>
    <w:rsid w:val="271257BE"/>
    <w:rsid w:val="27645745"/>
    <w:rsid w:val="27A17F89"/>
    <w:rsid w:val="28855A7D"/>
    <w:rsid w:val="28E40298"/>
    <w:rsid w:val="299C178C"/>
    <w:rsid w:val="29A21E55"/>
    <w:rsid w:val="2A0A2D83"/>
    <w:rsid w:val="2A413FD4"/>
    <w:rsid w:val="2A472991"/>
    <w:rsid w:val="2AAB0BA0"/>
    <w:rsid w:val="2AFB4D94"/>
    <w:rsid w:val="2B755F4B"/>
    <w:rsid w:val="2BA67271"/>
    <w:rsid w:val="2BCB434E"/>
    <w:rsid w:val="2BE0319D"/>
    <w:rsid w:val="2BE95450"/>
    <w:rsid w:val="2C6544D8"/>
    <w:rsid w:val="2CD52E61"/>
    <w:rsid w:val="2D632394"/>
    <w:rsid w:val="2D984F5C"/>
    <w:rsid w:val="2E467979"/>
    <w:rsid w:val="2E875031"/>
    <w:rsid w:val="2EB22755"/>
    <w:rsid w:val="2EB65D97"/>
    <w:rsid w:val="2F434FDE"/>
    <w:rsid w:val="2F570846"/>
    <w:rsid w:val="30561E3F"/>
    <w:rsid w:val="306150E4"/>
    <w:rsid w:val="30735F9F"/>
    <w:rsid w:val="3084344C"/>
    <w:rsid w:val="30A06F64"/>
    <w:rsid w:val="30CC197B"/>
    <w:rsid w:val="316C1A26"/>
    <w:rsid w:val="31B91D72"/>
    <w:rsid w:val="31E22C88"/>
    <w:rsid w:val="322C3A43"/>
    <w:rsid w:val="328205D3"/>
    <w:rsid w:val="32C9667D"/>
    <w:rsid w:val="33760457"/>
    <w:rsid w:val="33EB1895"/>
    <w:rsid w:val="33FE56EF"/>
    <w:rsid w:val="34130022"/>
    <w:rsid w:val="350D4388"/>
    <w:rsid w:val="353A46B7"/>
    <w:rsid w:val="356F73C9"/>
    <w:rsid w:val="35724BC3"/>
    <w:rsid w:val="35B6520A"/>
    <w:rsid w:val="36035BCB"/>
    <w:rsid w:val="363A5E33"/>
    <w:rsid w:val="36524D5F"/>
    <w:rsid w:val="36593EB8"/>
    <w:rsid w:val="365E0BEC"/>
    <w:rsid w:val="3680580C"/>
    <w:rsid w:val="369B0D16"/>
    <w:rsid w:val="3799633A"/>
    <w:rsid w:val="37C07E80"/>
    <w:rsid w:val="380D5EDD"/>
    <w:rsid w:val="38520B8E"/>
    <w:rsid w:val="39070852"/>
    <w:rsid w:val="3923454F"/>
    <w:rsid w:val="3929383F"/>
    <w:rsid w:val="399B1DB8"/>
    <w:rsid w:val="39A64CD9"/>
    <w:rsid w:val="3A12743D"/>
    <w:rsid w:val="3A683FA6"/>
    <w:rsid w:val="3B911B32"/>
    <w:rsid w:val="3BC978A7"/>
    <w:rsid w:val="3C183F80"/>
    <w:rsid w:val="3C18466D"/>
    <w:rsid w:val="3C792FD5"/>
    <w:rsid w:val="3CDB4807"/>
    <w:rsid w:val="3D2179C7"/>
    <w:rsid w:val="3D3E557C"/>
    <w:rsid w:val="3E727BBA"/>
    <w:rsid w:val="3F3A5152"/>
    <w:rsid w:val="3FC833AB"/>
    <w:rsid w:val="3FFC0940"/>
    <w:rsid w:val="40156849"/>
    <w:rsid w:val="40345B32"/>
    <w:rsid w:val="4049358C"/>
    <w:rsid w:val="40A904D7"/>
    <w:rsid w:val="40D85040"/>
    <w:rsid w:val="412214B2"/>
    <w:rsid w:val="4160274D"/>
    <w:rsid w:val="41FA3547"/>
    <w:rsid w:val="43B155C3"/>
    <w:rsid w:val="44086C32"/>
    <w:rsid w:val="44111E6B"/>
    <w:rsid w:val="44EF1B82"/>
    <w:rsid w:val="45E77C31"/>
    <w:rsid w:val="45FD1FD2"/>
    <w:rsid w:val="461B2714"/>
    <w:rsid w:val="465855D4"/>
    <w:rsid w:val="469B2720"/>
    <w:rsid w:val="473D2DF8"/>
    <w:rsid w:val="482445C1"/>
    <w:rsid w:val="485F4181"/>
    <w:rsid w:val="491B7D4D"/>
    <w:rsid w:val="49B15D52"/>
    <w:rsid w:val="49F15B6A"/>
    <w:rsid w:val="4A226C77"/>
    <w:rsid w:val="4AF01045"/>
    <w:rsid w:val="4B307AE9"/>
    <w:rsid w:val="4B717BA7"/>
    <w:rsid w:val="4B862CAD"/>
    <w:rsid w:val="4C3E0788"/>
    <w:rsid w:val="4CFA39CE"/>
    <w:rsid w:val="4D282CB4"/>
    <w:rsid w:val="4D3B1AB9"/>
    <w:rsid w:val="4DB355ED"/>
    <w:rsid w:val="4DC1760D"/>
    <w:rsid w:val="4E6B322B"/>
    <w:rsid w:val="4EC56C2F"/>
    <w:rsid w:val="4EEE449A"/>
    <w:rsid w:val="4F231585"/>
    <w:rsid w:val="4F7E6A86"/>
    <w:rsid w:val="502D02BC"/>
    <w:rsid w:val="509E1434"/>
    <w:rsid w:val="51423F3F"/>
    <w:rsid w:val="51467106"/>
    <w:rsid w:val="516914A3"/>
    <w:rsid w:val="5176537C"/>
    <w:rsid w:val="517944E3"/>
    <w:rsid w:val="51933661"/>
    <w:rsid w:val="52D32AFD"/>
    <w:rsid w:val="52E16C74"/>
    <w:rsid w:val="53240C30"/>
    <w:rsid w:val="535D0F42"/>
    <w:rsid w:val="550C22E0"/>
    <w:rsid w:val="55314071"/>
    <w:rsid w:val="5540602B"/>
    <w:rsid w:val="557E15C1"/>
    <w:rsid w:val="572A1B2D"/>
    <w:rsid w:val="578E58A0"/>
    <w:rsid w:val="57B53639"/>
    <w:rsid w:val="58881554"/>
    <w:rsid w:val="59E11BC5"/>
    <w:rsid w:val="5AF56077"/>
    <w:rsid w:val="5B001520"/>
    <w:rsid w:val="5B9E0C30"/>
    <w:rsid w:val="5C223BC9"/>
    <w:rsid w:val="5C7C6396"/>
    <w:rsid w:val="5C9A03FD"/>
    <w:rsid w:val="5CD7531D"/>
    <w:rsid w:val="5D6C3124"/>
    <w:rsid w:val="5D8D419C"/>
    <w:rsid w:val="5DC155E2"/>
    <w:rsid w:val="5DD51960"/>
    <w:rsid w:val="5DED6DA2"/>
    <w:rsid w:val="5EC42D73"/>
    <w:rsid w:val="5F197194"/>
    <w:rsid w:val="5F3D2878"/>
    <w:rsid w:val="5F55219B"/>
    <w:rsid w:val="5F944D2C"/>
    <w:rsid w:val="5FED68F6"/>
    <w:rsid w:val="5FF95CF0"/>
    <w:rsid w:val="60384F4A"/>
    <w:rsid w:val="60C648E5"/>
    <w:rsid w:val="60C66115"/>
    <w:rsid w:val="60CD4825"/>
    <w:rsid w:val="61800D2B"/>
    <w:rsid w:val="61BC2A15"/>
    <w:rsid w:val="61D86AC2"/>
    <w:rsid w:val="62337EF3"/>
    <w:rsid w:val="627E7A26"/>
    <w:rsid w:val="639F78D1"/>
    <w:rsid w:val="63B63F59"/>
    <w:rsid w:val="640921DB"/>
    <w:rsid w:val="6459759A"/>
    <w:rsid w:val="65117867"/>
    <w:rsid w:val="654639B4"/>
    <w:rsid w:val="66700908"/>
    <w:rsid w:val="668403F4"/>
    <w:rsid w:val="668D28D9"/>
    <w:rsid w:val="66A40EC3"/>
    <w:rsid w:val="67A535E2"/>
    <w:rsid w:val="67A80762"/>
    <w:rsid w:val="688C19B0"/>
    <w:rsid w:val="6917469A"/>
    <w:rsid w:val="69B33D58"/>
    <w:rsid w:val="69F50936"/>
    <w:rsid w:val="6A0368D7"/>
    <w:rsid w:val="6A472730"/>
    <w:rsid w:val="6AA628DF"/>
    <w:rsid w:val="6B94314E"/>
    <w:rsid w:val="6B974B12"/>
    <w:rsid w:val="6BAB7017"/>
    <w:rsid w:val="6BD4551A"/>
    <w:rsid w:val="6BDD4FB2"/>
    <w:rsid w:val="6BEF2BAB"/>
    <w:rsid w:val="6C283CF7"/>
    <w:rsid w:val="6CC0101E"/>
    <w:rsid w:val="6D8816C8"/>
    <w:rsid w:val="6E505373"/>
    <w:rsid w:val="6EA16987"/>
    <w:rsid w:val="6EA25DF9"/>
    <w:rsid w:val="6ECA67F0"/>
    <w:rsid w:val="6ED335B2"/>
    <w:rsid w:val="6F8D1FC2"/>
    <w:rsid w:val="6F8D5C1A"/>
    <w:rsid w:val="6FD27139"/>
    <w:rsid w:val="703B6854"/>
    <w:rsid w:val="704A44DC"/>
    <w:rsid w:val="709D3EAE"/>
    <w:rsid w:val="71326C39"/>
    <w:rsid w:val="716147BD"/>
    <w:rsid w:val="72611DE4"/>
    <w:rsid w:val="726E545D"/>
    <w:rsid w:val="728D0B65"/>
    <w:rsid w:val="72B73FF5"/>
    <w:rsid w:val="74950FB2"/>
    <w:rsid w:val="74A13C3B"/>
    <w:rsid w:val="74A165CC"/>
    <w:rsid w:val="74AC4B32"/>
    <w:rsid w:val="753C51A0"/>
    <w:rsid w:val="75776E8F"/>
    <w:rsid w:val="761728C2"/>
    <w:rsid w:val="76876881"/>
    <w:rsid w:val="77161E6E"/>
    <w:rsid w:val="775D10FB"/>
    <w:rsid w:val="779A7D8E"/>
    <w:rsid w:val="791D4BEA"/>
    <w:rsid w:val="7987697C"/>
    <w:rsid w:val="79D4710C"/>
    <w:rsid w:val="7A477181"/>
    <w:rsid w:val="7A9F47F8"/>
    <w:rsid w:val="7AC04C48"/>
    <w:rsid w:val="7AF55B84"/>
    <w:rsid w:val="7B602F54"/>
    <w:rsid w:val="7C1C6325"/>
    <w:rsid w:val="7C520C2F"/>
    <w:rsid w:val="7CC067C4"/>
    <w:rsid w:val="7CF71E06"/>
    <w:rsid w:val="7D195C7A"/>
    <w:rsid w:val="7D622872"/>
    <w:rsid w:val="7DD74FBC"/>
    <w:rsid w:val="7E462371"/>
    <w:rsid w:val="7E9F2F0A"/>
    <w:rsid w:val="7F083EE0"/>
    <w:rsid w:val="7F4B70A4"/>
    <w:rsid w:val="7F862913"/>
    <w:rsid w:val="7F99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5">
    <w:name w:val="Body Text First Indent"/>
    <w:basedOn w:val="6"/>
    <w:next w:val="2"/>
    <w:qFormat/>
    <w:uiPriority w:val="0"/>
    <w:pPr>
      <w:tabs>
        <w:tab w:val="left" w:pos="567"/>
      </w:tabs>
      <w:autoSpaceDE w:val="0"/>
      <w:autoSpaceDN w:val="0"/>
      <w:adjustRightInd w:val="0"/>
      <w:spacing w:line="360" w:lineRule="auto"/>
      <w:ind w:firstLine="420" w:firstLineChars="200"/>
    </w:pPr>
    <w:rPr>
      <w:rFonts w:ascii="Arial" w:hAnsi="Arial"/>
      <w:szCs w:val="21"/>
    </w:rPr>
  </w:style>
  <w:style w:type="paragraph" w:styleId="6">
    <w:name w:val="Body Text"/>
    <w:basedOn w:val="1"/>
    <w:next w:val="1"/>
    <w:link w:val="63"/>
    <w:qFormat/>
    <w:uiPriority w:val="0"/>
    <w:pPr>
      <w:tabs>
        <w:tab w:val="left" w:pos="567"/>
      </w:tabs>
      <w:spacing w:before="120" w:line="22" w:lineRule="atLeast"/>
    </w:pPr>
    <w:rPr>
      <w:rFonts w:ascii="宋体" w:hAnsi="宋体"/>
      <w:sz w:val="24"/>
    </w:rPr>
  </w:style>
  <w:style w:type="paragraph" w:styleId="10">
    <w:name w:val="toc 7"/>
    <w:basedOn w:val="1"/>
    <w:next w:val="1"/>
    <w:qFormat/>
    <w:uiPriority w:val="39"/>
    <w:pPr>
      <w:ind w:left="2520" w:leftChars="1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annotation text"/>
    <w:basedOn w:val="1"/>
    <w:link w:val="57"/>
    <w:qFormat/>
    <w:uiPriority w:val="99"/>
    <w:pPr>
      <w:jc w:val="left"/>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61"/>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66"/>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9"/>
    <w:qFormat/>
    <w:uiPriority w:val="0"/>
    <w:rPr>
      <w:sz w:val="18"/>
      <w:szCs w:val="18"/>
    </w:rPr>
  </w:style>
  <w:style w:type="paragraph" w:styleId="20">
    <w:name w:val="footer"/>
    <w:basedOn w:val="1"/>
    <w:link w:val="5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ind w:left="420" w:hanging="420"/>
    </w:pPr>
    <w:rPr>
      <w:sz w:val="24"/>
      <w:szCs w:val="20"/>
    </w:rPr>
  </w:style>
  <w:style w:type="paragraph" w:styleId="26">
    <w:name w:val="footnote text"/>
    <w:basedOn w:val="1"/>
    <w:qFormat/>
    <w:uiPriority w:val="0"/>
    <w:pPr>
      <w:adjustRightInd w:val="0"/>
      <w:spacing w:line="315" w:lineRule="atLeast"/>
      <w:textAlignment w:val="baseline"/>
    </w:pPr>
    <w:rPr>
      <w:rFonts w:ascii="宋体" w:hAnsi="宋体"/>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qFormat/>
    <w:uiPriority w:val="0"/>
    <w:pPr>
      <w:widowControl/>
      <w:jc w:val="left"/>
    </w:pPr>
    <w:rPr>
      <w:rFonts w:ascii="宋体" w:hAnsi="宋体" w:cs="宋体"/>
      <w:kern w:val="0"/>
      <w:sz w:val="24"/>
    </w:rPr>
  </w:style>
  <w:style w:type="paragraph" w:styleId="33">
    <w:name w:val="index 1"/>
    <w:basedOn w:val="1"/>
    <w:next w:val="1"/>
    <w:semiHidden/>
    <w:qFormat/>
    <w:uiPriority w:val="0"/>
    <w:rPr>
      <w:szCs w:val="20"/>
    </w:rPr>
  </w:style>
  <w:style w:type="paragraph" w:styleId="34">
    <w:name w:val="annotation subject"/>
    <w:basedOn w:val="12"/>
    <w:next w:val="12"/>
    <w:link w:val="60"/>
    <w:qFormat/>
    <w:uiPriority w:val="0"/>
    <w:rPr>
      <w:b/>
      <w:bCs/>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样式1"/>
    <w:basedOn w:val="1"/>
    <w:qFormat/>
    <w:uiPriority w:val="0"/>
    <w:pPr>
      <w:adjustRightInd w:val="0"/>
      <w:textAlignment w:val="baseline"/>
    </w:pPr>
    <w:rPr>
      <w:rFonts w:ascii="宋体" w:hAnsi="宋体"/>
      <w:kern w:val="0"/>
      <w:szCs w:val="21"/>
    </w:rPr>
  </w:style>
  <w:style w:type="paragraph" w:customStyle="1" w:styleId="43">
    <w:name w:val="列出段落1"/>
    <w:basedOn w:val="1"/>
    <w:qFormat/>
    <w:uiPriority w:val="99"/>
    <w:pPr>
      <w:ind w:firstLine="420" w:firstLineChars="200"/>
    </w:pPr>
  </w:style>
  <w:style w:type="paragraph" w:customStyle="1" w:styleId="44">
    <w:name w:val="正文1"/>
    <w:basedOn w:val="1"/>
    <w:qFormat/>
    <w:uiPriority w:val="0"/>
    <w:pPr>
      <w:ind w:firstLine="420" w:firstLineChars="200"/>
    </w:pPr>
    <w:rPr>
      <w:rFonts w:ascii="宋体" w:hAnsi="宋体"/>
    </w:rPr>
  </w:style>
  <w:style w:type="paragraph" w:styleId="45">
    <w:name w:val="List Paragraph"/>
    <w:basedOn w:val="1"/>
    <w:qFormat/>
    <w:uiPriority w:val="34"/>
    <w:pPr>
      <w:widowControl/>
      <w:ind w:firstLine="420" w:firstLineChars="200"/>
      <w:jc w:val="left"/>
    </w:pPr>
    <w:rPr>
      <w:kern w:val="0"/>
      <w:sz w:val="24"/>
    </w:rPr>
  </w:style>
  <w:style w:type="paragraph" w:customStyle="1" w:styleId="46">
    <w:name w:val="Char"/>
    <w:basedOn w:val="1"/>
    <w:qFormat/>
    <w:uiPriority w:val="0"/>
    <w:pPr>
      <w:tabs>
        <w:tab w:val="left" w:pos="360"/>
      </w:tabs>
    </w:pPr>
    <w:rPr>
      <w:sz w:val="24"/>
    </w:rPr>
  </w:style>
  <w:style w:type="paragraph" w:customStyle="1" w:styleId="47">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48">
    <w:name w:val="索引 11"/>
    <w:basedOn w:val="1"/>
    <w:next w:val="1"/>
    <w:qFormat/>
    <w:uiPriority w:val="0"/>
    <w:pPr>
      <w:spacing w:line="360" w:lineRule="auto"/>
    </w:pPr>
    <w:rPr>
      <w:rFonts w:ascii="仿宋_GB2312" w:eastAsia="仿宋_GB2312"/>
      <w:sz w:val="24"/>
      <w:szCs w:val="20"/>
    </w:rPr>
  </w:style>
  <w:style w:type="paragraph" w:customStyle="1" w:styleId="49">
    <w:name w:val="纯文本1"/>
    <w:basedOn w:val="1"/>
    <w:link w:val="55"/>
    <w:qFormat/>
    <w:uiPriority w:val="0"/>
    <w:rPr>
      <w:rFonts w:ascii="宋体" w:hAnsi="Courier New"/>
      <w:kern w:val="0"/>
      <w:sz w:val="20"/>
      <w:szCs w:val="20"/>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正文缩进1"/>
    <w:basedOn w:val="1"/>
    <w:link w:val="65"/>
    <w:qFormat/>
    <w:uiPriority w:val="0"/>
    <w:pPr>
      <w:autoSpaceDE w:val="0"/>
      <w:autoSpaceDN w:val="0"/>
      <w:adjustRightInd w:val="0"/>
      <w:ind w:firstLine="420"/>
      <w:jc w:val="left"/>
    </w:pPr>
    <w:rPr>
      <w:rFonts w:ascii="宋体"/>
      <w:kern w:val="0"/>
      <w:sz w:val="24"/>
      <w:szCs w:val="20"/>
    </w:rPr>
  </w:style>
  <w:style w:type="character" w:customStyle="1" w:styleId="52">
    <w:name w:val="页眉 Char1"/>
    <w:semiHidden/>
    <w:qFormat/>
    <w:uiPriority w:val="99"/>
    <w:rPr>
      <w:kern w:val="2"/>
      <w:sz w:val="18"/>
      <w:szCs w:val="18"/>
    </w:rPr>
  </w:style>
  <w:style w:type="character" w:customStyle="1" w:styleId="53">
    <w:name w:val="标题 2 Char"/>
    <w:qFormat/>
    <w:uiPriority w:val="0"/>
    <w:rPr>
      <w:rFonts w:ascii="Arial" w:hAnsi="Arial" w:eastAsia="黑体"/>
      <w:b/>
      <w:sz w:val="30"/>
    </w:rPr>
  </w:style>
  <w:style w:type="character" w:customStyle="1" w:styleId="54">
    <w:name w:val="页脚 字符"/>
    <w:link w:val="20"/>
    <w:qFormat/>
    <w:uiPriority w:val="99"/>
    <w:rPr>
      <w:rFonts w:ascii="宋体"/>
      <w:sz w:val="18"/>
    </w:rPr>
  </w:style>
  <w:style w:type="character" w:customStyle="1" w:styleId="55">
    <w:name w:val="纯文本 Char1"/>
    <w:link w:val="49"/>
    <w:qFormat/>
    <w:uiPriority w:val="0"/>
    <w:rPr>
      <w:rFonts w:ascii="宋体" w:hAnsi="Courier New"/>
    </w:rPr>
  </w:style>
  <w:style w:type="character" w:customStyle="1" w:styleId="56">
    <w:name w:val="NormalCharacter"/>
    <w:qFormat/>
    <w:uiPriority w:val="0"/>
  </w:style>
  <w:style w:type="character" w:customStyle="1" w:styleId="57">
    <w:name w:val="批注文字 字符"/>
    <w:link w:val="12"/>
    <w:qFormat/>
    <w:uiPriority w:val="99"/>
    <w:rPr>
      <w:kern w:val="2"/>
      <w:sz w:val="21"/>
      <w:szCs w:val="24"/>
    </w:rPr>
  </w:style>
  <w:style w:type="character" w:customStyle="1" w:styleId="58">
    <w:name w:val="批注主题 Char1"/>
    <w:semiHidden/>
    <w:qFormat/>
    <w:uiPriority w:val="99"/>
    <w:rPr>
      <w:b/>
      <w:bCs/>
      <w:kern w:val="2"/>
      <w:sz w:val="21"/>
      <w:szCs w:val="24"/>
    </w:rPr>
  </w:style>
  <w:style w:type="character" w:customStyle="1" w:styleId="59">
    <w:name w:val="批注框文本 字符"/>
    <w:link w:val="19"/>
    <w:qFormat/>
    <w:uiPriority w:val="0"/>
    <w:rPr>
      <w:kern w:val="2"/>
      <w:sz w:val="18"/>
      <w:szCs w:val="18"/>
    </w:rPr>
  </w:style>
  <w:style w:type="character" w:customStyle="1" w:styleId="60">
    <w:name w:val="批注主题 字符"/>
    <w:link w:val="34"/>
    <w:qFormat/>
    <w:uiPriority w:val="0"/>
    <w:rPr>
      <w:b/>
      <w:bCs/>
      <w:kern w:val="2"/>
      <w:sz w:val="21"/>
      <w:szCs w:val="24"/>
    </w:rPr>
  </w:style>
  <w:style w:type="character" w:customStyle="1" w:styleId="61">
    <w:name w:val="纯文本 字符"/>
    <w:link w:val="15"/>
    <w:qFormat/>
    <w:uiPriority w:val="0"/>
    <w:rPr>
      <w:rFonts w:ascii="宋体" w:hAnsi="Courier New"/>
      <w:kern w:val="2"/>
      <w:sz w:val="21"/>
    </w:rPr>
  </w:style>
  <w:style w:type="character" w:customStyle="1" w:styleId="62">
    <w:name w:val="标题 3 字符"/>
    <w:link w:val="9"/>
    <w:qFormat/>
    <w:uiPriority w:val="0"/>
    <w:rPr>
      <w:rFonts w:ascii="宋体"/>
      <w:b/>
      <w:sz w:val="24"/>
      <w:u w:val="single"/>
    </w:rPr>
  </w:style>
  <w:style w:type="character" w:customStyle="1" w:styleId="63">
    <w:name w:val="正文文本 字符"/>
    <w:link w:val="6"/>
    <w:qFormat/>
    <w:uiPriority w:val="0"/>
    <w:rPr>
      <w:rFonts w:ascii="宋体" w:hAnsi="宋体"/>
      <w:kern w:val="2"/>
      <w:sz w:val="24"/>
      <w:szCs w:val="24"/>
    </w:rPr>
  </w:style>
  <w:style w:type="character" w:customStyle="1" w:styleId="64">
    <w:name w:val="批注框文本 Char1"/>
    <w:semiHidden/>
    <w:qFormat/>
    <w:uiPriority w:val="99"/>
    <w:rPr>
      <w:kern w:val="2"/>
      <w:sz w:val="18"/>
      <w:szCs w:val="18"/>
    </w:rPr>
  </w:style>
  <w:style w:type="character" w:customStyle="1" w:styleId="65">
    <w:name w:val="正文缩进 Char1"/>
    <w:link w:val="51"/>
    <w:qFormat/>
    <w:uiPriority w:val="0"/>
    <w:rPr>
      <w:rFonts w:ascii="宋体"/>
      <w:sz w:val="24"/>
    </w:rPr>
  </w:style>
  <w:style w:type="character" w:customStyle="1" w:styleId="66">
    <w:name w:val="日期 字符"/>
    <w:link w:val="17"/>
    <w:qFormat/>
    <w:uiPriority w:val="0"/>
    <w:rPr>
      <w:rFonts w:ascii="仿宋_GB2312" w:hAnsi="宋体" w:eastAsia="仿宋_GB2312"/>
      <w:color w:val="000000"/>
      <w:kern w:val="2"/>
      <w:sz w:val="24"/>
      <w:szCs w:val="24"/>
    </w:rPr>
  </w:style>
  <w:style w:type="character" w:customStyle="1" w:styleId="67">
    <w:name w:val="页眉 字符"/>
    <w:link w:val="22"/>
    <w:qFormat/>
    <w:uiPriority w:val="0"/>
    <w:rPr>
      <w:kern w:val="2"/>
      <w:sz w:val="18"/>
      <w:szCs w:val="18"/>
    </w:rPr>
  </w:style>
  <w:style w:type="character" w:customStyle="1" w:styleId="68">
    <w:name w:val="标题 1 字符"/>
    <w:link w:val="7"/>
    <w:qFormat/>
    <w:uiPriority w:val="0"/>
    <w:rPr>
      <w:rFonts w:ascii="宋体"/>
      <w:b/>
      <w:kern w:val="44"/>
      <w:sz w:val="32"/>
    </w:rPr>
  </w:style>
  <w:style w:type="character" w:customStyle="1" w:styleId="69">
    <w:name w:val="批注文字 Char1"/>
    <w:semiHidden/>
    <w:qFormat/>
    <w:uiPriority w:val="99"/>
    <w:rPr>
      <w:kern w:val="2"/>
      <w:sz w:val="21"/>
      <w:szCs w:val="24"/>
    </w:rPr>
  </w:style>
  <w:style w:type="table" w:customStyle="1" w:styleId="70">
    <w:name w:val="Table Normal"/>
    <w:qFormat/>
    <w:uiPriority w:val="0"/>
    <w:tblPr>
      <w:tblCellMar>
        <w:top w:w="0" w:type="dxa"/>
        <w:left w:w="0" w:type="dxa"/>
        <w:bottom w:w="0" w:type="dxa"/>
        <w:right w:w="0" w:type="dxa"/>
      </w:tblCellMar>
    </w:tblPr>
  </w:style>
  <w:style w:type="character" w:customStyle="1" w:styleId="71">
    <w:name w:val="fontstyle01"/>
    <w:basedOn w:val="37"/>
    <w:qFormat/>
    <w:uiPriority w:val="0"/>
    <w:rPr>
      <w:rFonts w:hint="eastAsia" w:ascii="仿宋_GB2312" w:eastAsia="仿宋_GB2312"/>
      <w:color w:val="000000"/>
      <w:sz w:val="28"/>
      <w:szCs w:val="28"/>
    </w:rPr>
  </w:style>
  <w:style w:type="paragraph" w:customStyle="1" w:styleId="72">
    <w:name w:val="Table Paragraph"/>
    <w:basedOn w:val="1"/>
    <w:qFormat/>
    <w:uiPriority w:val="1"/>
    <w:rPr>
      <w:rFonts w:ascii="宋体" w:hAnsi="宋体" w:cs="宋体"/>
      <w:lang w:val="zh-CN" w:bidi="zh-CN"/>
    </w:rPr>
  </w:style>
  <w:style w:type="character" w:customStyle="1" w:styleId="73">
    <w:name w:val="标题 2 字符"/>
    <w:link w:val="8"/>
    <w:qFormat/>
    <w:uiPriority w:val="0"/>
    <w:rPr>
      <w:rFonts w:ascii="Arial" w:hAnsi="Arial" w:eastAsia="黑体" w:cs="Times New Roman"/>
      <w:b/>
      <w:bCs/>
      <w:sz w:val="32"/>
      <w:szCs w:val="32"/>
    </w:rPr>
  </w:style>
  <w:style w:type="paragraph" w:customStyle="1" w:styleId="7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6">
    <w:name w:val="标准样式"/>
    <w:qFormat/>
    <w:uiPriority w:val="0"/>
    <w:pPr>
      <w:widowControl w:val="0"/>
      <w:spacing w:line="600" w:lineRule="exact"/>
      <w:ind w:firstLine="200" w:firstLineChars="200"/>
      <w:jc w:val="both"/>
    </w:pPr>
    <w:rPr>
      <w:rFonts w:ascii="Times New Roman" w:hAnsi="Times New Roman" w:eastAsia="宋体" w:cs="Times New Roman"/>
      <w:sz w:val="28"/>
      <w:lang w:val="en-US" w:eastAsia="zh-CN" w:bidi="ar-SA"/>
    </w:rPr>
  </w:style>
  <w:style w:type="paragraph" w:customStyle="1" w:styleId="77">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
    <w:qFormat/>
    <w:uiPriority w:val="0"/>
    <w:rPr>
      <w:rFonts w:ascii="Calibri" w:hAnsi="Calibri"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7380</Words>
  <Characters>42068</Characters>
  <Lines>350</Lines>
  <Paragraphs>98</Paragraphs>
  <TotalTime>1</TotalTime>
  <ScaleCrop>false</ScaleCrop>
  <LinksUpToDate>false</LinksUpToDate>
  <CharactersWithSpaces>49350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test</cp:lastModifiedBy>
  <cp:lastPrinted>2021-11-29T04:41:00Z</cp:lastPrinted>
  <dcterms:modified xsi:type="dcterms:W3CDTF">2022-02-23T03:55:10Z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5EFB228C9E2A4080B272436066F5AA9F</vt:lpwstr>
  </property>
</Properties>
</file>