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right"/>
        <w:rPr>
          <w:rFonts w:hint="default" w:ascii="宋体" w:hAnsi="宋体" w:eastAsiaTheme="minorEastAsia"/>
          <w:lang w:val="en-US" w:eastAsia="zh-CN"/>
        </w:rPr>
      </w:pPr>
      <w:r>
        <w:rPr>
          <w:rFonts w:ascii="宋体" w:hAnsi="宋体"/>
        </w:rPr>
        <w:drawing>
          <wp:anchor distT="0" distB="0" distL="114300" distR="114300" simplePos="0" relativeHeight="251659264" behindDoc="0" locked="0" layoutInCell="1" allowOverlap="1">
            <wp:simplePos x="0" y="0"/>
            <wp:positionH relativeFrom="column">
              <wp:posOffset>194945</wp:posOffset>
            </wp:positionH>
            <wp:positionV relativeFrom="paragraph">
              <wp:posOffset>-73660</wp:posOffset>
            </wp:positionV>
            <wp:extent cx="756285" cy="790575"/>
            <wp:effectExtent l="19050" t="0" r="571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stretch>
                      <a:fillRect/>
                    </a:stretch>
                  </pic:blipFill>
                  <pic:spPr>
                    <a:xfrm>
                      <a:off x="0" y="0"/>
                      <a:ext cx="756285" cy="790575"/>
                    </a:xfrm>
                    <a:prstGeom prst="rect">
                      <a:avLst/>
                    </a:prstGeom>
                    <a:noFill/>
                    <a:ln>
                      <a:noFill/>
                    </a:ln>
                  </pic:spPr>
                </pic:pic>
              </a:graphicData>
            </a:graphic>
          </wp:anchor>
        </w:drawing>
      </w:r>
      <w:r>
        <w:rPr>
          <w:rFonts w:hint="eastAsia" w:ascii="宋体" w:hAnsi="宋体"/>
        </w:rPr>
        <w:t>项目编号：</w:t>
      </w:r>
      <w:r>
        <w:rPr>
          <w:rFonts w:hint="eastAsia" w:ascii="宋体" w:hAnsi="宋体"/>
          <w:lang w:val="en-US" w:eastAsia="zh-CN"/>
        </w:rPr>
        <w:t>RZSD2022-03-08</w:t>
      </w:r>
    </w:p>
    <w:p>
      <w:pPr>
        <w:adjustRightInd w:val="0"/>
        <w:snapToGrid w:val="0"/>
        <w:jc w:val="right"/>
        <w:rPr>
          <w:rFonts w:ascii="宋体" w:hAnsi="宋体"/>
        </w:rPr>
      </w:pPr>
      <w:r>
        <w:fldChar w:fldCharType="begin"/>
      </w:r>
      <w:r>
        <w:instrText xml:space="preserve"> HYPERLINK "https://www.zcygov.cn/bidding-entrust/" \l "/order/orderDetail/6731445556113269195/look" \t "_blank" </w:instrText>
      </w:r>
      <w:r>
        <w:fldChar w:fldCharType="separate"/>
      </w:r>
      <w:r>
        <w:fldChar w:fldCharType="end"/>
      </w:r>
    </w:p>
    <w:p>
      <w:pPr>
        <w:adjustRightInd w:val="0"/>
        <w:snapToGrid w:val="0"/>
        <w:jc w:val="right"/>
        <w:rPr>
          <w:rFonts w:ascii="宋体"/>
        </w:rPr>
      </w:pPr>
    </w:p>
    <w:p>
      <w:pPr>
        <w:adjustRightInd w:val="0"/>
        <w:snapToGrid w:val="0"/>
        <w:spacing w:line="480" w:lineRule="exact"/>
        <w:jc w:val="center"/>
        <w:rPr>
          <w:rFonts w:ascii="宋体" w:hAnsi="宋体"/>
          <w:bCs/>
          <w:sz w:val="48"/>
          <w:szCs w:val="48"/>
        </w:rPr>
      </w:pPr>
    </w:p>
    <w:p>
      <w:pPr>
        <w:adjustRightInd w:val="0"/>
        <w:snapToGrid w:val="0"/>
        <w:spacing w:line="480" w:lineRule="exact"/>
        <w:jc w:val="center"/>
        <w:rPr>
          <w:rFonts w:ascii="宋体"/>
          <w:b/>
          <w:bCs/>
        </w:rPr>
      </w:pPr>
      <w:r>
        <w:rPr>
          <w:rFonts w:hint="eastAsia" w:ascii="宋体" w:hAnsi="宋体"/>
          <w:bCs/>
          <w:sz w:val="48"/>
          <w:szCs w:val="48"/>
        </w:rPr>
        <w:t>竞争性磋商文件</w:t>
      </w:r>
    </w:p>
    <w:p>
      <w:pPr>
        <w:adjustRightInd w:val="0"/>
        <w:snapToGrid w:val="0"/>
        <w:spacing w:line="480" w:lineRule="exact"/>
        <w:jc w:val="center"/>
        <w:rPr>
          <w:rFonts w:ascii="宋体" w:hAnsi="宋体"/>
          <w:bCs/>
          <w:sz w:val="36"/>
          <w:szCs w:val="36"/>
        </w:rPr>
      </w:pPr>
      <w:r>
        <w:rPr>
          <w:rFonts w:hint="eastAsia" w:ascii="宋体" w:hAnsi="宋体"/>
          <w:bCs/>
          <w:sz w:val="36"/>
          <w:szCs w:val="36"/>
        </w:rPr>
        <w:t>（政府采购服务）</w:t>
      </w:r>
    </w:p>
    <w:p>
      <w:pPr>
        <w:adjustRightInd w:val="0"/>
        <w:snapToGrid w:val="0"/>
        <w:spacing w:line="480" w:lineRule="exact"/>
        <w:jc w:val="center"/>
        <w:rPr>
          <w:rFonts w:ascii="宋体"/>
          <w:bCs/>
          <w:sz w:val="32"/>
          <w:szCs w:val="32"/>
        </w:rPr>
      </w:pPr>
    </w:p>
    <w:p>
      <w:pPr>
        <w:rPr>
          <w:rFonts w:hint="eastAsia" w:ascii="宋体" w:hAnsi="宋体" w:eastAsiaTheme="minorEastAsia"/>
          <w:bCs/>
          <w:sz w:val="32"/>
          <w:szCs w:val="32"/>
          <w:lang w:eastAsia="zh-CN"/>
        </w:rPr>
      </w:pPr>
      <w:r>
        <w:rPr>
          <w:rFonts w:hint="eastAsia" w:ascii="宋体" w:hAnsi="宋体"/>
          <w:bCs/>
          <w:kern w:val="0"/>
          <w:sz w:val="32"/>
          <w:szCs w:val="32"/>
        </w:rPr>
        <w:t>项</w:t>
      </w:r>
      <w:r>
        <w:rPr>
          <w:rFonts w:hint="eastAsia" w:ascii="宋体" w:hAnsi="宋体"/>
          <w:bCs/>
          <w:sz w:val="32"/>
          <w:szCs w:val="32"/>
        </w:rPr>
        <w:t>目名称：</w:t>
      </w:r>
      <w:r>
        <w:rPr>
          <w:rFonts w:hint="eastAsia" w:ascii="宋体" w:hAnsi="宋体"/>
          <w:bCs/>
          <w:sz w:val="32"/>
          <w:szCs w:val="32"/>
          <w:lang w:eastAsia="zh-CN"/>
        </w:rPr>
        <w:t>乌鲁木齐市米东区人民法院2022年度车辆定点服务</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采购人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：乌鲁木齐市米东区人民法院</w:t>
      </w:r>
    </w:p>
    <w:p>
      <w:pPr>
        <w:adjustRightInd w:val="0"/>
        <w:snapToGrid w:val="0"/>
        <w:spacing w:line="480" w:lineRule="exact"/>
        <w:jc w:val="center"/>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：马天全</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联系人：徐鹏</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电话：0991-3359017</w:t>
      </w:r>
    </w:p>
    <w:p>
      <w:pPr>
        <w:adjustRightInd w:val="0"/>
        <w:snapToGrid w:val="0"/>
        <w:spacing w:line="480" w:lineRule="exact"/>
        <w:rPr>
          <w:rFonts w:ascii="宋体"/>
          <w:bCs/>
          <w:kern w:val="0"/>
          <w:sz w:val="32"/>
          <w:szCs w:val="32"/>
        </w:rPr>
      </w:pPr>
      <w:r>
        <w:rPr>
          <w:rFonts w:ascii="宋体" w:hAnsi="宋体"/>
          <w:bCs/>
          <w:kern w:val="0"/>
          <w:sz w:val="32"/>
          <w:szCs w:val="32"/>
        </w:rPr>
        <w:t>—————————————————————————————</w:t>
      </w:r>
    </w:p>
    <w:p>
      <w:pPr>
        <w:adjustRightInd w:val="0"/>
        <w:snapToGrid w:val="0"/>
        <w:spacing w:line="480" w:lineRule="exact"/>
        <w:rPr>
          <w:rFonts w:ascii="宋体"/>
          <w:bCs/>
          <w:sz w:val="32"/>
          <w:szCs w:val="32"/>
        </w:rPr>
      </w:pPr>
      <w:r>
        <w:rPr>
          <w:rFonts w:hint="eastAsia" w:ascii="宋体" w:hAnsi="宋体"/>
          <w:bCs/>
          <w:sz w:val="32"/>
          <w:szCs w:val="32"/>
        </w:rPr>
        <w:t>采购代理机构</w:t>
      </w:r>
      <w:r>
        <w:rPr>
          <w:rFonts w:ascii="宋体" w:hAnsi="宋体"/>
          <w:sz w:val="32"/>
          <w:szCs w:val="32"/>
        </w:rPr>
        <w:t>(</w:t>
      </w:r>
      <w:r>
        <w:rPr>
          <w:rFonts w:hint="eastAsia" w:ascii="宋体" w:hAnsi="宋体"/>
          <w:sz w:val="32"/>
          <w:szCs w:val="32"/>
        </w:rPr>
        <w:t>盖章</w:t>
      </w:r>
      <w:r>
        <w:rPr>
          <w:rFonts w:ascii="宋体" w:hAnsi="宋体"/>
          <w:sz w:val="32"/>
          <w:szCs w:val="32"/>
        </w:rPr>
        <w:t>)</w:t>
      </w:r>
      <w:r>
        <w:rPr>
          <w:rFonts w:hint="eastAsia" w:ascii="宋体" w:hAnsi="宋体"/>
          <w:bCs/>
          <w:sz w:val="32"/>
          <w:szCs w:val="32"/>
        </w:rPr>
        <w:t>：新疆锐智时代建设工程项目管理有限公司</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bCs/>
          <w:sz w:val="32"/>
          <w:szCs w:val="32"/>
        </w:rPr>
      </w:pPr>
      <w:r>
        <w:rPr>
          <w:rFonts w:hint="eastAsia" w:ascii="宋体" w:hAnsi="宋体"/>
          <w:bCs/>
          <w:sz w:val="32"/>
          <w:szCs w:val="32"/>
        </w:rPr>
        <w:t>法定代表人</w:t>
      </w:r>
      <w:r>
        <w:rPr>
          <w:rFonts w:ascii="宋体" w:hAnsi="宋体"/>
          <w:bCs/>
          <w:sz w:val="32"/>
          <w:szCs w:val="32"/>
        </w:rPr>
        <w:t>(</w:t>
      </w:r>
      <w:r>
        <w:rPr>
          <w:rFonts w:hint="eastAsia" w:ascii="宋体" w:hAnsi="宋体"/>
          <w:bCs/>
          <w:sz w:val="32"/>
          <w:szCs w:val="32"/>
        </w:rPr>
        <w:t>盖章</w:t>
      </w:r>
      <w:r>
        <w:rPr>
          <w:rFonts w:ascii="宋体" w:hAnsi="宋体"/>
          <w:bCs/>
          <w:sz w:val="32"/>
          <w:szCs w:val="32"/>
        </w:rPr>
        <w:t>)</w:t>
      </w:r>
      <w:r>
        <w:rPr>
          <w:rFonts w:hint="eastAsia" w:ascii="宋体" w:hAnsi="宋体"/>
          <w:bCs/>
          <w:sz w:val="32"/>
          <w:szCs w:val="32"/>
        </w:rPr>
        <w:t>：李娜</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联系人：王芳</w:t>
      </w:r>
    </w:p>
    <w:p>
      <w:pPr>
        <w:adjustRightInd w:val="0"/>
        <w:snapToGrid w:val="0"/>
        <w:spacing w:line="480" w:lineRule="exact"/>
        <w:rPr>
          <w:rFonts w:ascii="宋体" w:hAns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电话：17690920122</w:t>
      </w:r>
    </w:p>
    <w:p>
      <w:pPr>
        <w:adjustRightInd w:val="0"/>
        <w:snapToGrid w:val="0"/>
        <w:spacing w:line="480" w:lineRule="exact"/>
        <w:jc w:val="center"/>
        <w:rPr>
          <w:rFonts w:asci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详细地址：乌鲁木齐市水磨沟区立井街丽景名都10 号楼21 楼2115 室</w:t>
      </w:r>
    </w:p>
    <w:p>
      <w:pPr>
        <w:adjustRightInd w:val="0"/>
        <w:snapToGrid w:val="0"/>
        <w:spacing w:line="480" w:lineRule="exact"/>
        <w:rPr>
          <w:rFonts w:ascii="宋体"/>
          <w:bCs/>
          <w:sz w:val="32"/>
          <w:szCs w:val="32"/>
        </w:rPr>
      </w:pPr>
    </w:p>
    <w:p>
      <w:pPr>
        <w:adjustRightInd w:val="0"/>
        <w:snapToGrid w:val="0"/>
        <w:spacing w:line="480" w:lineRule="exact"/>
        <w:rPr>
          <w:rFonts w:ascii="宋体" w:hAnsi="宋体"/>
          <w:bCs/>
          <w:sz w:val="32"/>
          <w:szCs w:val="32"/>
        </w:rPr>
      </w:pPr>
      <w:r>
        <w:rPr>
          <w:rFonts w:hint="eastAsia" w:ascii="宋体" w:hAnsi="宋体"/>
          <w:bCs/>
          <w:sz w:val="32"/>
          <w:szCs w:val="32"/>
        </w:rPr>
        <w:t>日期：二〇二</w:t>
      </w:r>
      <w:r>
        <w:rPr>
          <w:rFonts w:hint="eastAsia" w:ascii="宋体" w:hAnsi="宋体"/>
          <w:bCs/>
          <w:sz w:val="32"/>
          <w:szCs w:val="32"/>
          <w:lang w:eastAsia="zh-CN"/>
        </w:rPr>
        <w:t>二</w:t>
      </w:r>
      <w:r>
        <w:rPr>
          <w:rFonts w:hint="eastAsia" w:ascii="宋体" w:hAnsi="宋体"/>
          <w:bCs/>
          <w:sz w:val="32"/>
          <w:szCs w:val="32"/>
        </w:rPr>
        <w:t>年</w:t>
      </w:r>
      <w:r>
        <w:rPr>
          <w:rFonts w:hint="eastAsia" w:ascii="宋体" w:hAnsi="宋体"/>
          <w:bCs/>
          <w:sz w:val="32"/>
          <w:szCs w:val="32"/>
          <w:lang w:eastAsia="zh-CN"/>
        </w:rPr>
        <w:t>三</w:t>
      </w:r>
      <w:r>
        <w:rPr>
          <w:rFonts w:hint="eastAsia" w:ascii="宋体" w:hAnsi="宋体"/>
          <w:bCs/>
          <w:sz w:val="32"/>
          <w:szCs w:val="32"/>
        </w:rPr>
        <w:t>月</w:t>
      </w:r>
    </w:p>
    <w:p>
      <w:pPr>
        <w:adjustRightInd w:val="0"/>
        <w:snapToGrid w:val="0"/>
        <w:spacing w:line="480" w:lineRule="exact"/>
        <w:rPr>
          <w:rFonts w:ascii="宋体" w:hAnsi="宋体"/>
          <w:bCs/>
          <w:sz w:val="32"/>
          <w:szCs w:val="32"/>
        </w:rPr>
      </w:pPr>
    </w:p>
    <w:p>
      <w:pPr>
        <w:adjustRightInd w:val="0"/>
        <w:snapToGrid w:val="0"/>
        <w:spacing w:line="480" w:lineRule="exact"/>
        <w:rPr>
          <w:rFonts w:ascii="宋体"/>
          <w:bCs/>
          <w:sz w:val="32"/>
          <w:szCs w:val="32"/>
        </w:rPr>
      </w:pPr>
    </w:p>
    <w:p>
      <w:pPr>
        <w:jc w:val="center"/>
        <w:rPr>
          <w:rFonts w:ascii="宋体" w:hAnsi="Calibri" w:eastAsia="宋体" w:cs="宋体"/>
          <w:bCs/>
          <w:szCs w:val="21"/>
        </w:rPr>
      </w:pPr>
      <w:r>
        <w:rPr>
          <w:rFonts w:hint="eastAsia" w:ascii="宋体" w:hAnsi="宋体" w:eastAsia="宋体" w:cs="宋体"/>
          <w:b/>
          <w:bCs/>
          <w:sz w:val="24"/>
          <w:szCs w:val="24"/>
        </w:rPr>
        <w:t>目录</w:t>
      </w:r>
    </w:p>
    <w:p>
      <w:pPr>
        <w:pStyle w:val="29"/>
        <w:tabs>
          <w:tab w:val="right" w:leader="dot" w:pos="9354"/>
        </w:tabs>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rPr>
          <w:rFonts w:ascii="宋体" w:hAnsi="宋体" w:cs="宋体"/>
          <w:bCs/>
        </w:rPr>
        <w:fldChar w:fldCharType="begin"/>
      </w:r>
      <w:r>
        <w:rPr>
          <w:rFonts w:ascii="宋体" w:hAnsi="宋体" w:cs="宋体"/>
          <w:bCs/>
        </w:rPr>
        <w:instrText xml:space="preserve"> HYPERLINK \l _Toc9628 </w:instrText>
      </w:r>
      <w:r>
        <w:rPr>
          <w:rFonts w:ascii="宋体" w:hAnsi="宋体" w:cs="宋体"/>
          <w:bCs/>
        </w:rPr>
        <w:fldChar w:fldCharType="separate"/>
      </w:r>
      <w:r>
        <w:rPr>
          <w:rFonts w:hint="eastAsia"/>
          <w:szCs w:val="36"/>
          <w:lang w:eastAsia="zh-CN"/>
        </w:rPr>
        <w:t>乌鲁木齐市米东区人民法院2022年度车辆定点服务竞争性磋商</w:t>
      </w:r>
      <w:r>
        <w:rPr>
          <w:rFonts w:hint="eastAsia"/>
          <w:szCs w:val="36"/>
        </w:rPr>
        <w:t>公告</w:t>
      </w:r>
      <w:r>
        <w:tab/>
      </w:r>
      <w:r>
        <w:fldChar w:fldCharType="begin"/>
      </w:r>
      <w:r>
        <w:instrText xml:space="preserve"> PAGEREF _Toc9628 \h </w:instrText>
      </w:r>
      <w:r>
        <w:fldChar w:fldCharType="separate"/>
      </w:r>
      <w:r>
        <w:t>3</w:t>
      </w:r>
      <w:r>
        <w:fldChar w:fldCharType="end"/>
      </w:r>
      <w:r>
        <w:rPr>
          <w:rFonts w:ascii="宋体" w:hAnsi="宋体" w:cs="宋体"/>
          <w:bCs/>
        </w:rPr>
        <w:fldChar w:fldCharType="end"/>
      </w:r>
    </w:p>
    <w:p>
      <w:pPr>
        <w:pStyle w:val="29"/>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_Toc9422 </w:instrText>
      </w:r>
      <w:r>
        <w:rPr>
          <w:rFonts w:ascii="宋体" w:hAnsi="宋体" w:eastAsia="宋体" w:cs="宋体"/>
          <w:bCs/>
        </w:rPr>
        <w:fldChar w:fldCharType="separate"/>
      </w:r>
      <w:r>
        <w:rPr>
          <w:rFonts w:hint="eastAsia" w:ascii="宋体" w:hAnsi="宋体" w:eastAsia="宋体" w:cs="宋体"/>
          <w:szCs w:val="24"/>
        </w:rPr>
        <w:t>供应商须知前附表</w:t>
      </w:r>
      <w:r>
        <w:tab/>
      </w:r>
      <w:r>
        <w:fldChar w:fldCharType="begin"/>
      </w:r>
      <w:r>
        <w:instrText xml:space="preserve"> PAGEREF _Toc9422 \h </w:instrText>
      </w:r>
      <w:r>
        <w:fldChar w:fldCharType="separate"/>
      </w:r>
      <w:r>
        <w:t>6</w:t>
      </w:r>
      <w:r>
        <w:fldChar w:fldCharType="end"/>
      </w:r>
      <w:r>
        <w:rPr>
          <w:rFonts w:ascii="宋体" w:hAnsi="宋体" w:eastAsia="宋体" w:cs="宋体"/>
          <w:bCs/>
        </w:rPr>
        <w:fldChar w:fldCharType="end"/>
      </w:r>
    </w:p>
    <w:p>
      <w:pPr>
        <w:pStyle w:val="29"/>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_Toc31879 </w:instrText>
      </w:r>
      <w:r>
        <w:rPr>
          <w:rFonts w:ascii="宋体" w:hAnsi="宋体" w:eastAsia="宋体" w:cs="宋体"/>
          <w:bCs/>
        </w:rPr>
        <w:fldChar w:fldCharType="separate"/>
      </w:r>
      <w:r>
        <w:rPr>
          <w:rFonts w:hint="eastAsia" w:ascii="宋体" w:hAnsi="宋体" w:eastAsia="宋体" w:cs="宋体"/>
          <w:szCs w:val="24"/>
        </w:rPr>
        <w:t>第一章 供应商须知</w:t>
      </w:r>
      <w:r>
        <w:tab/>
      </w:r>
      <w:r>
        <w:fldChar w:fldCharType="begin"/>
      </w:r>
      <w:r>
        <w:instrText xml:space="preserve"> PAGEREF _Toc31879 \h </w:instrText>
      </w:r>
      <w:r>
        <w:fldChar w:fldCharType="separate"/>
      </w:r>
      <w:r>
        <w:t>10</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_Toc27738 </w:instrText>
      </w:r>
      <w:r>
        <w:rPr>
          <w:rFonts w:ascii="宋体" w:hAnsi="宋体" w:eastAsia="宋体" w:cs="宋体"/>
          <w:bCs/>
        </w:rPr>
        <w:fldChar w:fldCharType="separate"/>
      </w:r>
      <w:r>
        <w:rPr>
          <w:rFonts w:ascii="宋体" w:hAnsi="宋体" w:eastAsia="宋体" w:cs="宋体"/>
          <w:szCs w:val="24"/>
        </w:rPr>
        <w:t>1</w:t>
      </w:r>
      <w:r>
        <w:rPr>
          <w:rFonts w:hint="eastAsia" w:ascii="宋体" w:hAnsi="宋体" w:eastAsia="宋体" w:cs="宋体"/>
          <w:szCs w:val="24"/>
        </w:rPr>
        <w:t>．总则</w:t>
      </w:r>
      <w:r>
        <w:tab/>
      </w:r>
      <w:r>
        <w:fldChar w:fldCharType="begin"/>
      </w:r>
      <w:r>
        <w:instrText xml:space="preserve"> PAGEREF _Toc27738 \h </w:instrText>
      </w:r>
      <w:r>
        <w:fldChar w:fldCharType="separate"/>
      </w:r>
      <w:r>
        <w:t>10</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_Toc4890 </w:instrText>
      </w:r>
      <w:r>
        <w:rPr>
          <w:rFonts w:ascii="宋体" w:hAnsi="宋体" w:eastAsia="宋体" w:cs="宋体"/>
          <w:bCs/>
        </w:rPr>
        <w:fldChar w:fldCharType="separate"/>
      </w:r>
      <w:r>
        <w:rPr>
          <w:rFonts w:ascii="宋体" w:hAnsi="宋体" w:eastAsia="宋体" w:cs="宋体"/>
          <w:szCs w:val="24"/>
        </w:rPr>
        <w:t>2</w:t>
      </w:r>
      <w:r>
        <w:rPr>
          <w:rFonts w:hint="eastAsia" w:ascii="宋体" w:hAnsi="宋体" w:eastAsia="宋体" w:cs="宋体"/>
          <w:szCs w:val="24"/>
        </w:rPr>
        <w:t>．竞争性磋商文件</w:t>
      </w:r>
      <w:r>
        <w:tab/>
      </w:r>
      <w:r>
        <w:fldChar w:fldCharType="begin"/>
      </w:r>
      <w:r>
        <w:instrText xml:space="preserve"> PAGEREF _Toc4890 \h </w:instrText>
      </w:r>
      <w:r>
        <w:fldChar w:fldCharType="separate"/>
      </w:r>
      <w:r>
        <w:t>12</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_Toc27297 </w:instrText>
      </w:r>
      <w:r>
        <w:rPr>
          <w:rFonts w:ascii="宋体" w:hAnsi="宋体" w:eastAsia="宋体" w:cs="宋体"/>
          <w:bCs/>
        </w:rPr>
        <w:fldChar w:fldCharType="separate"/>
      </w:r>
      <w:r>
        <w:rPr>
          <w:rFonts w:ascii="宋体" w:hAnsi="宋体" w:eastAsia="宋体" w:cs="宋体"/>
          <w:szCs w:val="24"/>
        </w:rPr>
        <w:t>3</w:t>
      </w:r>
      <w:r>
        <w:rPr>
          <w:rFonts w:hint="eastAsia" w:ascii="宋体" w:hAnsi="宋体" w:eastAsia="宋体" w:cs="宋体"/>
          <w:szCs w:val="24"/>
        </w:rPr>
        <w:t>．竞争性磋商响应文件</w:t>
      </w:r>
      <w:r>
        <w:tab/>
      </w:r>
      <w:r>
        <w:fldChar w:fldCharType="begin"/>
      </w:r>
      <w:r>
        <w:instrText xml:space="preserve"> PAGEREF _Toc27297 \h </w:instrText>
      </w:r>
      <w:r>
        <w:fldChar w:fldCharType="separate"/>
      </w:r>
      <w:r>
        <w:t>13</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_Toc13675 </w:instrText>
      </w:r>
      <w:r>
        <w:rPr>
          <w:rFonts w:ascii="宋体" w:hAnsi="宋体" w:eastAsia="宋体" w:cs="宋体"/>
          <w:bCs/>
        </w:rPr>
        <w:fldChar w:fldCharType="separate"/>
      </w:r>
      <w:r>
        <w:rPr>
          <w:rFonts w:ascii="宋体" w:hAnsi="宋体" w:eastAsia="宋体" w:cs="宋体"/>
          <w:szCs w:val="24"/>
        </w:rPr>
        <w:t>4</w:t>
      </w:r>
      <w:r>
        <w:rPr>
          <w:rFonts w:hint="eastAsia" w:ascii="宋体" w:hAnsi="宋体" w:eastAsia="宋体" w:cs="宋体"/>
          <w:szCs w:val="24"/>
        </w:rPr>
        <w:t>．投标</w:t>
      </w:r>
      <w:r>
        <w:tab/>
      </w:r>
      <w:r>
        <w:fldChar w:fldCharType="begin"/>
      </w:r>
      <w:r>
        <w:instrText xml:space="preserve"> PAGEREF _Toc13675 \h </w:instrText>
      </w:r>
      <w:r>
        <w:fldChar w:fldCharType="separate"/>
      </w:r>
      <w:r>
        <w:t>16</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_Toc732 </w:instrText>
      </w:r>
      <w:r>
        <w:rPr>
          <w:rFonts w:ascii="宋体" w:hAnsi="宋体" w:eastAsia="宋体" w:cs="宋体"/>
          <w:bCs/>
        </w:rPr>
        <w:fldChar w:fldCharType="separate"/>
      </w:r>
      <w:r>
        <w:rPr>
          <w:rFonts w:ascii="宋体" w:hAnsi="宋体" w:eastAsia="宋体" w:cs="宋体"/>
          <w:szCs w:val="24"/>
        </w:rPr>
        <w:t>5</w:t>
      </w:r>
      <w:r>
        <w:rPr>
          <w:rFonts w:hint="eastAsia" w:ascii="宋体" w:hAnsi="宋体" w:eastAsia="宋体" w:cs="宋体"/>
          <w:szCs w:val="24"/>
        </w:rPr>
        <w:t>．开标</w:t>
      </w:r>
      <w:r>
        <w:tab/>
      </w:r>
      <w:r>
        <w:fldChar w:fldCharType="begin"/>
      </w:r>
      <w:r>
        <w:instrText xml:space="preserve"> PAGEREF _Toc732 \h </w:instrText>
      </w:r>
      <w:r>
        <w:fldChar w:fldCharType="separate"/>
      </w:r>
      <w:r>
        <w:t>16</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_Toc27464 </w:instrText>
      </w:r>
      <w:r>
        <w:rPr>
          <w:rFonts w:ascii="宋体" w:hAnsi="宋体" w:eastAsia="宋体" w:cs="宋体"/>
          <w:bCs/>
        </w:rPr>
        <w:fldChar w:fldCharType="separate"/>
      </w:r>
      <w:r>
        <w:rPr>
          <w:rFonts w:ascii="宋体" w:hAnsi="宋体" w:eastAsia="宋体" w:cs="宋体"/>
          <w:szCs w:val="24"/>
        </w:rPr>
        <w:t>6</w:t>
      </w:r>
      <w:r>
        <w:rPr>
          <w:rFonts w:hint="eastAsia" w:ascii="宋体" w:hAnsi="宋体" w:eastAsia="宋体" w:cs="宋体"/>
          <w:szCs w:val="24"/>
        </w:rPr>
        <w:t>．评标</w:t>
      </w:r>
      <w:r>
        <w:tab/>
      </w:r>
      <w:r>
        <w:fldChar w:fldCharType="begin"/>
      </w:r>
      <w:r>
        <w:instrText xml:space="preserve"> PAGEREF _Toc27464 \h </w:instrText>
      </w:r>
      <w:r>
        <w:fldChar w:fldCharType="separate"/>
      </w:r>
      <w:r>
        <w:t>17</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_Toc28987 </w:instrText>
      </w:r>
      <w:r>
        <w:rPr>
          <w:rFonts w:ascii="宋体" w:hAnsi="宋体" w:eastAsia="宋体" w:cs="宋体"/>
          <w:bCs/>
        </w:rPr>
        <w:fldChar w:fldCharType="separate"/>
      </w:r>
      <w:r>
        <w:rPr>
          <w:rFonts w:ascii="宋体" w:hAnsi="宋体" w:eastAsia="宋体" w:cs="宋体"/>
          <w:szCs w:val="24"/>
        </w:rPr>
        <w:t>7</w:t>
      </w:r>
      <w:r>
        <w:rPr>
          <w:rFonts w:hint="eastAsia" w:ascii="宋体" w:hAnsi="宋体" w:eastAsia="宋体" w:cs="宋体"/>
          <w:szCs w:val="24"/>
        </w:rPr>
        <w:t>．定标及合同授予</w:t>
      </w:r>
      <w:r>
        <w:tab/>
      </w:r>
      <w:r>
        <w:fldChar w:fldCharType="begin"/>
      </w:r>
      <w:r>
        <w:instrText xml:space="preserve"> PAGEREF _Toc28987 \h </w:instrText>
      </w:r>
      <w:r>
        <w:fldChar w:fldCharType="separate"/>
      </w:r>
      <w:r>
        <w:t>18</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_Toc19821 </w:instrText>
      </w:r>
      <w:r>
        <w:rPr>
          <w:rFonts w:ascii="宋体" w:hAnsi="宋体" w:eastAsia="宋体" w:cs="宋体"/>
          <w:bCs/>
        </w:rPr>
        <w:fldChar w:fldCharType="separate"/>
      </w:r>
      <w:r>
        <w:rPr>
          <w:rFonts w:ascii="宋体" w:hAnsi="宋体" w:eastAsia="宋体" w:cs="宋体"/>
          <w:szCs w:val="24"/>
        </w:rPr>
        <w:t>8</w:t>
      </w:r>
      <w:r>
        <w:rPr>
          <w:rFonts w:hint="eastAsia" w:ascii="宋体" w:hAnsi="宋体" w:eastAsia="宋体" w:cs="宋体"/>
          <w:szCs w:val="24"/>
        </w:rPr>
        <w:t>．纪律和监督</w:t>
      </w:r>
      <w:r>
        <w:tab/>
      </w:r>
      <w:r>
        <w:fldChar w:fldCharType="begin"/>
      </w:r>
      <w:r>
        <w:instrText xml:space="preserve"> PAGEREF _Toc19821 \h </w:instrText>
      </w:r>
      <w:r>
        <w:fldChar w:fldCharType="separate"/>
      </w:r>
      <w:r>
        <w:t>19</w:t>
      </w:r>
      <w:r>
        <w:fldChar w:fldCharType="end"/>
      </w:r>
      <w:r>
        <w:rPr>
          <w:rFonts w:ascii="宋体" w:hAnsi="宋体" w:eastAsia="宋体" w:cs="宋体"/>
          <w:bCs/>
        </w:rPr>
        <w:fldChar w:fldCharType="end"/>
      </w:r>
    </w:p>
    <w:p>
      <w:pPr>
        <w:pStyle w:val="29"/>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_Toc11174 </w:instrText>
      </w:r>
      <w:r>
        <w:rPr>
          <w:rFonts w:ascii="宋体" w:hAnsi="宋体" w:eastAsia="宋体" w:cs="宋体"/>
          <w:bCs/>
        </w:rPr>
        <w:fldChar w:fldCharType="separate"/>
      </w:r>
      <w:r>
        <w:rPr>
          <w:rFonts w:hint="eastAsia" w:ascii="宋体" w:hAnsi="宋体" w:eastAsia="宋体" w:cs="宋体"/>
          <w:szCs w:val="24"/>
        </w:rPr>
        <w:t>第二章 评标办法</w:t>
      </w:r>
      <w:r>
        <w:tab/>
      </w:r>
      <w:r>
        <w:fldChar w:fldCharType="begin"/>
      </w:r>
      <w:r>
        <w:instrText xml:space="preserve"> PAGEREF _Toc11174 \h </w:instrText>
      </w:r>
      <w:r>
        <w:fldChar w:fldCharType="separate"/>
      </w:r>
      <w:r>
        <w:t>21</w:t>
      </w:r>
      <w:r>
        <w:fldChar w:fldCharType="end"/>
      </w:r>
      <w:r>
        <w:rPr>
          <w:rFonts w:ascii="宋体" w:hAnsi="宋体" w:eastAsia="宋体" w:cs="宋体"/>
          <w:bCs/>
        </w:rPr>
        <w:fldChar w:fldCharType="end"/>
      </w:r>
    </w:p>
    <w:p>
      <w:pPr>
        <w:pStyle w:val="21"/>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_Toc16826 </w:instrText>
      </w:r>
      <w:r>
        <w:rPr>
          <w:rFonts w:ascii="宋体" w:hAnsi="宋体" w:eastAsia="宋体" w:cs="宋体"/>
          <w:bCs/>
        </w:rPr>
        <w:fldChar w:fldCharType="separate"/>
      </w:r>
      <w:r>
        <w:rPr>
          <w:rFonts w:hint="eastAsia" w:ascii="宋体" w:hAnsi="宋体" w:eastAsia="宋体" w:cs="宋体"/>
          <w:szCs w:val="24"/>
        </w:rPr>
        <w:t>评标办法前附表</w:t>
      </w:r>
      <w:r>
        <w:tab/>
      </w:r>
      <w:r>
        <w:fldChar w:fldCharType="begin"/>
      </w:r>
      <w:r>
        <w:instrText xml:space="preserve"> PAGEREF _Toc16826 \h </w:instrText>
      </w:r>
      <w:r>
        <w:fldChar w:fldCharType="separate"/>
      </w:r>
      <w:r>
        <w:t>21</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_Toc4533 </w:instrText>
      </w:r>
      <w:r>
        <w:rPr>
          <w:rFonts w:ascii="宋体" w:hAnsi="宋体" w:eastAsia="宋体" w:cs="宋体"/>
          <w:bCs/>
        </w:rPr>
        <w:fldChar w:fldCharType="separate"/>
      </w:r>
      <w:r>
        <w:rPr>
          <w:rFonts w:hint="eastAsia" w:ascii="宋体" w:hAnsi="宋体" w:eastAsia="宋体" w:cs="Times New Roman"/>
          <w:bCs/>
          <w:szCs w:val="24"/>
        </w:rPr>
        <w:t>《详细评审标准》</w:t>
      </w:r>
      <w:r>
        <w:tab/>
      </w:r>
      <w:r>
        <w:fldChar w:fldCharType="begin"/>
      </w:r>
      <w:r>
        <w:instrText xml:space="preserve"> PAGEREF _Toc4533 \h </w:instrText>
      </w:r>
      <w:r>
        <w:fldChar w:fldCharType="separate"/>
      </w:r>
      <w:r>
        <w:t>23</w:t>
      </w:r>
      <w:r>
        <w:fldChar w:fldCharType="end"/>
      </w:r>
      <w:r>
        <w:rPr>
          <w:rFonts w:ascii="宋体" w:hAnsi="宋体" w:eastAsia="宋体" w:cs="宋体"/>
          <w:bCs/>
        </w:rPr>
        <w:fldChar w:fldCharType="end"/>
      </w:r>
    </w:p>
    <w:p>
      <w:pPr>
        <w:pStyle w:val="21"/>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_Toc15829 </w:instrText>
      </w:r>
      <w:r>
        <w:rPr>
          <w:rFonts w:ascii="宋体" w:hAnsi="宋体" w:eastAsia="宋体" w:cs="宋体"/>
          <w:bCs/>
        </w:rPr>
        <w:fldChar w:fldCharType="separate"/>
      </w:r>
      <w:r>
        <w:rPr>
          <w:rFonts w:ascii="宋体" w:hAnsi="宋体" w:eastAsia="宋体" w:cs="宋体"/>
          <w:szCs w:val="24"/>
        </w:rPr>
        <w:t xml:space="preserve">1. </w:t>
      </w:r>
      <w:r>
        <w:rPr>
          <w:rFonts w:hint="eastAsia" w:ascii="宋体" w:hAnsi="宋体" w:eastAsia="宋体" w:cs="宋体"/>
          <w:szCs w:val="24"/>
        </w:rPr>
        <w:t>评标方法</w:t>
      </w:r>
      <w:r>
        <w:tab/>
      </w:r>
      <w:r>
        <w:fldChar w:fldCharType="begin"/>
      </w:r>
      <w:r>
        <w:instrText xml:space="preserve"> PAGEREF _Toc15829 \h </w:instrText>
      </w:r>
      <w:r>
        <w:fldChar w:fldCharType="separate"/>
      </w:r>
      <w:r>
        <w:t>24</w:t>
      </w:r>
      <w:r>
        <w:fldChar w:fldCharType="end"/>
      </w:r>
      <w:r>
        <w:rPr>
          <w:rFonts w:ascii="宋体" w:hAnsi="宋体" w:eastAsia="宋体" w:cs="宋体"/>
          <w:bCs/>
        </w:rPr>
        <w:fldChar w:fldCharType="end"/>
      </w:r>
    </w:p>
    <w:p>
      <w:pPr>
        <w:pStyle w:val="21"/>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_Toc11568 </w:instrText>
      </w:r>
      <w:r>
        <w:rPr>
          <w:rFonts w:ascii="宋体" w:hAnsi="宋体" w:eastAsia="宋体" w:cs="宋体"/>
          <w:bCs/>
        </w:rPr>
        <w:fldChar w:fldCharType="separate"/>
      </w:r>
      <w:r>
        <w:rPr>
          <w:rFonts w:ascii="宋体" w:hAnsi="宋体" w:eastAsia="宋体" w:cs="宋体"/>
          <w:szCs w:val="24"/>
        </w:rPr>
        <w:t xml:space="preserve">2. </w:t>
      </w:r>
      <w:r>
        <w:rPr>
          <w:rFonts w:hint="eastAsia" w:ascii="宋体" w:hAnsi="宋体" w:eastAsia="宋体" w:cs="宋体"/>
          <w:szCs w:val="24"/>
        </w:rPr>
        <w:t>评审标准</w:t>
      </w:r>
      <w:r>
        <w:tab/>
      </w:r>
      <w:r>
        <w:fldChar w:fldCharType="begin"/>
      </w:r>
      <w:r>
        <w:instrText xml:space="preserve"> PAGEREF _Toc11568 \h </w:instrText>
      </w:r>
      <w:r>
        <w:fldChar w:fldCharType="separate"/>
      </w:r>
      <w:r>
        <w:t>24</w:t>
      </w:r>
      <w:r>
        <w:fldChar w:fldCharType="end"/>
      </w:r>
      <w:r>
        <w:rPr>
          <w:rFonts w:ascii="宋体" w:hAnsi="宋体" w:eastAsia="宋体" w:cs="宋体"/>
          <w:bCs/>
        </w:rPr>
        <w:fldChar w:fldCharType="end"/>
      </w:r>
    </w:p>
    <w:p>
      <w:pPr>
        <w:pStyle w:val="21"/>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_Toc27673 </w:instrText>
      </w:r>
      <w:r>
        <w:rPr>
          <w:rFonts w:ascii="宋体" w:hAnsi="宋体" w:eastAsia="宋体" w:cs="宋体"/>
          <w:bCs/>
        </w:rPr>
        <w:fldChar w:fldCharType="separate"/>
      </w:r>
      <w:r>
        <w:rPr>
          <w:rFonts w:ascii="宋体" w:hAnsi="宋体" w:eastAsia="宋体" w:cs="宋体"/>
          <w:szCs w:val="24"/>
        </w:rPr>
        <w:t xml:space="preserve">3. </w:t>
      </w:r>
      <w:r>
        <w:rPr>
          <w:rFonts w:hint="eastAsia" w:ascii="宋体" w:hAnsi="宋体" w:eastAsia="宋体" w:cs="宋体"/>
          <w:szCs w:val="24"/>
        </w:rPr>
        <w:t>评标程序</w:t>
      </w:r>
      <w:r>
        <w:tab/>
      </w:r>
      <w:r>
        <w:fldChar w:fldCharType="begin"/>
      </w:r>
      <w:r>
        <w:instrText xml:space="preserve"> PAGEREF _Toc27673 \h </w:instrText>
      </w:r>
      <w:r>
        <w:fldChar w:fldCharType="separate"/>
      </w:r>
      <w:r>
        <w:t>24</w:t>
      </w:r>
      <w:r>
        <w:fldChar w:fldCharType="end"/>
      </w:r>
      <w:r>
        <w:rPr>
          <w:rFonts w:ascii="宋体" w:hAnsi="宋体" w:eastAsia="宋体" w:cs="宋体"/>
          <w:bCs/>
        </w:rPr>
        <w:fldChar w:fldCharType="end"/>
      </w:r>
    </w:p>
    <w:p>
      <w:pPr>
        <w:pStyle w:val="29"/>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_Toc4061 </w:instrText>
      </w:r>
      <w:r>
        <w:rPr>
          <w:rFonts w:ascii="宋体" w:hAnsi="宋体" w:eastAsia="宋体" w:cs="宋体"/>
          <w:bCs/>
        </w:rPr>
        <w:fldChar w:fldCharType="separate"/>
      </w:r>
      <w:r>
        <w:rPr>
          <w:rFonts w:hint="eastAsia" w:ascii="宋体" w:hAnsi="宋体" w:eastAsia="宋体" w:cs="宋体"/>
          <w:szCs w:val="24"/>
        </w:rPr>
        <w:t>第三章 合同条款及格式</w:t>
      </w:r>
      <w:r>
        <w:tab/>
      </w:r>
      <w:r>
        <w:fldChar w:fldCharType="begin"/>
      </w:r>
      <w:r>
        <w:instrText xml:space="preserve"> PAGEREF _Toc4061 \h </w:instrText>
      </w:r>
      <w:r>
        <w:fldChar w:fldCharType="separate"/>
      </w:r>
      <w:r>
        <w:t>29</w:t>
      </w:r>
      <w:r>
        <w:fldChar w:fldCharType="end"/>
      </w:r>
      <w:r>
        <w:rPr>
          <w:rFonts w:ascii="宋体" w:hAnsi="宋体" w:eastAsia="宋体" w:cs="宋体"/>
          <w:bCs/>
        </w:rPr>
        <w:fldChar w:fldCharType="end"/>
      </w:r>
    </w:p>
    <w:p>
      <w:pPr>
        <w:pStyle w:val="29"/>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_Toc11461 </w:instrText>
      </w:r>
      <w:r>
        <w:rPr>
          <w:rFonts w:ascii="宋体" w:hAnsi="宋体" w:eastAsia="宋体" w:cs="宋体"/>
          <w:bCs/>
        </w:rPr>
        <w:fldChar w:fldCharType="separate"/>
      </w:r>
      <w:r>
        <w:rPr>
          <w:rFonts w:hint="eastAsia" w:ascii="宋体" w:hAnsi="宋体" w:eastAsia="宋体" w:cs="宋体"/>
          <w:szCs w:val="24"/>
        </w:rPr>
        <w:t>（仅供参考，以采购人实际签订为准）</w:t>
      </w:r>
      <w:r>
        <w:tab/>
      </w:r>
      <w:r>
        <w:fldChar w:fldCharType="begin"/>
      </w:r>
      <w:r>
        <w:instrText xml:space="preserve"> PAGEREF _Toc11461 \h </w:instrText>
      </w:r>
      <w:r>
        <w:fldChar w:fldCharType="separate"/>
      </w:r>
      <w:r>
        <w:t>29</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_Toc98 </w:instrText>
      </w:r>
      <w:r>
        <w:rPr>
          <w:rFonts w:ascii="宋体" w:hAnsi="宋体" w:eastAsia="宋体" w:cs="宋体"/>
          <w:bCs/>
        </w:rPr>
        <w:fldChar w:fldCharType="separate"/>
      </w:r>
      <w:r>
        <w:rPr>
          <w:rFonts w:hint="eastAsia" w:ascii="宋体" w:hAnsi="宋体" w:eastAsia="宋体" w:cs="宋体"/>
          <w:szCs w:val="24"/>
          <w:lang w:eastAsia="zh-CN"/>
        </w:rPr>
        <w:t>第四章</w:t>
      </w:r>
      <w:r>
        <w:rPr>
          <w:rFonts w:hint="eastAsia" w:ascii="宋体" w:hAnsi="宋体" w:eastAsia="宋体" w:cs="宋体"/>
          <w:szCs w:val="24"/>
          <w:lang w:val="en-US" w:eastAsia="zh-CN"/>
        </w:rPr>
        <w:t xml:space="preserve"> </w:t>
      </w:r>
      <w:r>
        <w:rPr>
          <w:rFonts w:hint="eastAsia" w:ascii="宋体" w:hAnsi="宋体" w:eastAsia="宋体" w:cs="宋体"/>
          <w:szCs w:val="24"/>
          <w:lang w:eastAsia="zh-CN"/>
        </w:rPr>
        <w:t>维修清单</w:t>
      </w:r>
      <w:r>
        <w:tab/>
      </w:r>
      <w:r>
        <w:fldChar w:fldCharType="begin"/>
      </w:r>
      <w:r>
        <w:instrText xml:space="preserve"> PAGEREF _Toc98 \h </w:instrText>
      </w:r>
      <w:r>
        <w:fldChar w:fldCharType="separate"/>
      </w:r>
      <w:r>
        <w:t>1</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_Toc32190 </w:instrText>
      </w:r>
      <w:r>
        <w:rPr>
          <w:rFonts w:ascii="宋体" w:hAnsi="宋体" w:eastAsia="宋体" w:cs="宋体"/>
          <w:bCs/>
        </w:rPr>
        <w:fldChar w:fldCharType="separate"/>
      </w:r>
      <w:r>
        <w:rPr>
          <w:rFonts w:hint="eastAsia" w:ascii="宋体" w:hAnsi="宋体" w:eastAsia="宋体" w:cs="宋体"/>
          <w:szCs w:val="24"/>
        </w:rPr>
        <w:t>目录</w:t>
      </w:r>
      <w:r>
        <w:tab/>
      </w:r>
      <w:r>
        <w:fldChar w:fldCharType="begin"/>
      </w:r>
      <w:r>
        <w:instrText xml:space="preserve"> PAGEREF _Toc32190 \h </w:instrText>
      </w:r>
      <w:r>
        <w:fldChar w:fldCharType="separate"/>
      </w:r>
      <w:r>
        <w:t>10</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_Toc30591 </w:instrText>
      </w:r>
      <w:r>
        <w:rPr>
          <w:rFonts w:ascii="宋体" w:hAnsi="宋体" w:eastAsia="宋体" w:cs="宋体"/>
          <w:bCs/>
        </w:rPr>
        <w:fldChar w:fldCharType="separate"/>
      </w:r>
      <w:r>
        <w:rPr>
          <w:rFonts w:hint="eastAsia" w:ascii="宋体" w:hAnsi="宋体" w:eastAsia="宋体" w:cs="宋体"/>
          <w:szCs w:val="24"/>
        </w:rPr>
        <w:t>一、投标函</w:t>
      </w:r>
      <w:r>
        <w:tab/>
      </w:r>
      <w:r>
        <w:fldChar w:fldCharType="begin"/>
      </w:r>
      <w:r>
        <w:instrText xml:space="preserve"> PAGEREF _Toc30591 \h </w:instrText>
      </w:r>
      <w:r>
        <w:fldChar w:fldCharType="separate"/>
      </w:r>
      <w:r>
        <w:t>11</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_Toc25966 </w:instrText>
      </w:r>
      <w:r>
        <w:rPr>
          <w:rFonts w:ascii="宋体" w:hAnsi="宋体" w:eastAsia="宋体" w:cs="宋体"/>
          <w:bCs/>
        </w:rPr>
        <w:fldChar w:fldCharType="separate"/>
      </w:r>
      <w:r>
        <w:rPr>
          <w:rFonts w:hint="eastAsia" w:ascii="宋体" w:hAnsi="宋体" w:cs="宋体"/>
          <w:kern w:val="0"/>
          <w:szCs w:val="24"/>
        </w:rPr>
        <w:t>二、开标一览表</w:t>
      </w:r>
      <w:r>
        <w:tab/>
      </w:r>
      <w:r>
        <w:fldChar w:fldCharType="begin"/>
      </w:r>
      <w:r>
        <w:instrText xml:space="preserve"> PAGEREF _Toc25966 \h </w:instrText>
      </w:r>
      <w:r>
        <w:fldChar w:fldCharType="separate"/>
      </w:r>
      <w:r>
        <w:t>12</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_Toc14330 </w:instrText>
      </w:r>
      <w:r>
        <w:rPr>
          <w:rFonts w:ascii="宋体" w:hAnsi="宋体" w:eastAsia="宋体" w:cs="宋体"/>
          <w:bCs/>
        </w:rPr>
        <w:fldChar w:fldCharType="separate"/>
      </w:r>
      <w:r>
        <w:rPr>
          <w:rFonts w:hint="eastAsia" w:ascii="宋体" w:hAnsi="宋体" w:cs="宋体"/>
          <w:bCs/>
          <w:kern w:val="0"/>
          <w:szCs w:val="24"/>
        </w:rPr>
        <w:t>附表</w:t>
      </w:r>
      <w:r>
        <w:rPr>
          <w:rFonts w:hint="eastAsia" w:ascii="宋体" w:hAnsi="宋体" w:cs="宋体"/>
          <w:bCs/>
          <w:kern w:val="0"/>
          <w:szCs w:val="24"/>
          <w:lang w:val="en-US" w:eastAsia="zh-CN"/>
        </w:rPr>
        <w:t>2</w:t>
      </w:r>
      <w:r>
        <w:rPr>
          <w:rFonts w:ascii="宋体" w:hAnsi="宋体" w:cs="宋体"/>
          <w:bCs/>
          <w:kern w:val="0"/>
          <w:szCs w:val="24"/>
        </w:rPr>
        <w:t xml:space="preserve">-1 </w:t>
      </w:r>
      <w:r>
        <w:rPr>
          <w:rFonts w:hint="eastAsia" w:ascii="宋体" w:hAnsi="宋体" w:cs="宋体"/>
          <w:bCs/>
          <w:kern w:val="0"/>
          <w:szCs w:val="24"/>
        </w:rPr>
        <w:t>报价明细表</w:t>
      </w:r>
      <w:r>
        <w:tab/>
      </w:r>
      <w:r>
        <w:fldChar w:fldCharType="begin"/>
      </w:r>
      <w:r>
        <w:instrText xml:space="preserve"> PAGEREF _Toc14330 \h </w:instrText>
      </w:r>
      <w:r>
        <w:fldChar w:fldCharType="separate"/>
      </w:r>
      <w:r>
        <w:t>13</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_Toc8575 </w:instrText>
      </w:r>
      <w:r>
        <w:rPr>
          <w:rFonts w:ascii="宋体" w:hAnsi="宋体" w:eastAsia="宋体" w:cs="宋体"/>
          <w:bCs/>
        </w:rPr>
        <w:fldChar w:fldCharType="separate"/>
      </w:r>
      <w:r>
        <w:rPr>
          <w:rFonts w:hint="eastAsia" w:ascii="宋体" w:hAnsi="宋体" w:cs="宋体"/>
          <w:bCs/>
          <w:kern w:val="0"/>
          <w:szCs w:val="24"/>
        </w:rPr>
        <w:t>附表</w:t>
      </w:r>
      <w:r>
        <w:rPr>
          <w:rFonts w:hint="eastAsia" w:ascii="宋体" w:hAnsi="宋体" w:cs="宋体"/>
          <w:bCs/>
          <w:kern w:val="0"/>
          <w:szCs w:val="24"/>
          <w:lang w:val="en-US" w:eastAsia="zh-CN"/>
        </w:rPr>
        <w:t>2</w:t>
      </w:r>
      <w:r>
        <w:rPr>
          <w:rFonts w:ascii="宋体" w:hAnsi="宋体" w:cs="宋体"/>
          <w:bCs/>
          <w:kern w:val="0"/>
          <w:szCs w:val="24"/>
        </w:rPr>
        <w:t>-</w:t>
      </w:r>
      <w:r>
        <w:rPr>
          <w:rFonts w:hint="eastAsia" w:ascii="宋体" w:hAnsi="宋体" w:cs="宋体"/>
          <w:bCs/>
          <w:kern w:val="0"/>
          <w:szCs w:val="24"/>
          <w:lang w:val="en-US" w:eastAsia="zh-CN"/>
        </w:rPr>
        <w:t>2</w:t>
      </w:r>
      <w:r>
        <w:rPr>
          <w:rFonts w:hint="eastAsia" w:ascii="宋体" w:hAnsi="宋体" w:cs="宋体"/>
          <w:bCs/>
          <w:kern w:val="0"/>
          <w:szCs w:val="24"/>
        </w:rPr>
        <w:t>备品、备件清单</w:t>
      </w:r>
      <w:r>
        <w:tab/>
      </w:r>
      <w:r>
        <w:fldChar w:fldCharType="begin"/>
      </w:r>
      <w:r>
        <w:instrText xml:space="preserve"> PAGEREF _Toc8575 \h </w:instrText>
      </w:r>
      <w:r>
        <w:fldChar w:fldCharType="separate"/>
      </w:r>
      <w:r>
        <w:t>22</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_Toc24292 </w:instrText>
      </w:r>
      <w:r>
        <w:rPr>
          <w:rFonts w:ascii="宋体" w:hAnsi="宋体" w:eastAsia="宋体" w:cs="宋体"/>
          <w:bCs/>
        </w:rPr>
        <w:fldChar w:fldCharType="separate"/>
      </w:r>
      <w:r>
        <w:rPr>
          <w:rFonts w:hint="eastAsia" w:ascii="宋体" w:hAnsi="宋体" w:eastAsia="宋体" w:cs="宋体"/>
          <w:szCs w:val="24"/>
        </w:rPr>
        <w:t>三、技术条款偏离表</w:t>
      </w:r>
      <w:r>
        <w:tab/>
      </w:r>
      <w:r>
        <w:fldChar w:fldCharType="begin"/>
      </w:r>
      <w:r>
        <w:instrText xml:space="preserve"> PAGEREF _Toc24292 \h </w:instrText>
      </w:r>
      <w:r>
        <w:fldChar w:fldCharType="separate"/>
      </w:r>
      <w:r>
        <w:t>41</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_Toc8323 </w:instrText>
      </w:r>
      <w:r>
        <w:rPr>
          <w:rFonts w:ascii="宋体" w:hAnsi="宋体" w:eastAsia="宋体" w:cs="宋体"/>
          <w:bCs/>
        </w:rPr>
        <w:fldChar w:fldCharType="separate"/>
      </w:r>
      <w:r>
        <w:rPr>
          <w:rFonts w:hint="eastAsia" w:ascii="宋体" w:hAnsi="Calibri" w:eastAsia="宋体" w:cs="Arial"/>
          <w:bCs/>
          <w:kern w:val="36"/>
          <w:szCs w:val="24"/>
        </w:rPr>
        <w:t>四</w:t>
      </w:r>
      <w:r>
        <w:rPr>
          <w:rFonts w:hint="eastAsia" w:ascii="宋体" w:hAnsi="宋体" w:eastAsia="宋体" w:cs="宋体"/>
          <w:szCs w:val="24"/>
        </w:rPr>
        <w:t>、商务条款偏离表</w:t>
      </w:r>
      <w:r>
        <w:tab/>
      </w:r>
      <w:r>
        <w:fldChar w:fldCharType="begin"/>
      </w:r>
      <w:r>
        <w:instrText xml:space="preserve"> PAGEREF _Toc8323 \h </w:instrText>
      </w:r>
      <w:r>
        <w:fldChar w:fldCharType="separate"/>
      </w:r>
      <w:r>
        <w:t>42</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_Toc30509 </w:instrText>
      </w:r>
      <w:r>
        <w:rPr>
          <w:rFonts w:ascii="宋体" w:hAnsi="宋体" w:eastAsia="宋体" w:cs="宋体"/>
          <w:bCs/>
        </w:rPr>
        <w:fldChar w:fldCharType="separate"/>
      </w:r>
      <w:r>
        <w:rPr>
          <w:rFonts w:hint="eastAsia" w:ascii="宋体" w:hAnsi="Calibri" w:eastAsia="宋体" w:cs="Arial"/>
          <w:bCs/>
          <w:kern w:val="36"/>
          <w:szCs w:val="24"/>
        </w:rPr>
        <w:t>五</w:t>
      </w:r>
      <w:r>
        <w:rPr>
          <w:rFonts w:hint="eastAsia" w:ascii="宋体" w:hAnsi="宋体" w:eastAsia="宋体" w:cs="宋体"/>
          <w:szCs w:val="24"/>
        </w:rPr>
        <w:t>、法定代表人身份证明书</w:t>
      </w:r>
      <w:r>
        <w:tab/>
      </w:r>
      <w:r>
        <w:fldChar w:fldCharType="begin"/>
      </w:r>
      <w:r>
        <w:instrText xml:space="preserve"> PAGEREF _Toc30509 \h </w:instrText>
      </w:r>
      <w:r>
        <w:fldChar w:fldCharType="separate"/>
      </w:r>
      <w:r>
        <w:t>43</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_Toc17865 </w:instrText>
      </w:r>
      <w:r>
        <w:rPr>
          <w:rFonts w:ascii="宋体" w:hAnsi="宋体" w:eastAsia="宋体" w:cs="宋体"/>
          <w:bCs/>
        </w:rPr>
        <w:fldChar w:fldCharType="separate"/>
      </w:r>
      <w:r>
        <w:rPr>
          <w:rFonts w:hint="eastAsia" w:ascii="宋体" w:hAnsi="Calibri" w:eastAsia="宋体" w:cs="Arial"/>
          <w:bCs/>
          <w:kern w:val="0"/>
          <w:szCs w:val="24"/>
        </w:rPr>
        <w:t>六</w:t>
      </w:r>
      <w:r>
        <w:rPr>
          <w:rFonts w:hint="eastAsia" w:ascii="宋体" w:hAnsi="宋体" w:eastAsia="宋体" w:cs="宋体"/>
          <w:szCs w:val="24"/>
        </w:rPr>
        <w:t>、法定代表人授权委托书</w:t>
      </w:r>
      <w:r>
        <w:tab/>
      </w:r>
      <w:r>
        <w:fldChar w:fldCharType="begin"/>
      </w:r>
      <w:r>
        <w:instrText xml:space="preserve"> PAGEREF _Toc17865 \h </w:instrText>
      </w:r>
      <w:r>
        <w:fldChar w:fldCharType="separate"/>
      </w:r>
      <w:r>
        <w:t>44</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_Toc12953 </w:instrText>
      </w:r>
      <w:r>
        <w:rPr>
          <w:rFonts w:ascii="宋体" w:hAnsi="宋体" w:eastAsia="宋体" w:cs="宋体"/>
          <w:bCs/>
        </w:rPr>
        <w:fldChar w:fldCharType="separate"/>
      </w:r>
      <w:r>
        <w:rPr>
          <w:rFonts w:hint="eastAsia" w:ascii="宋体" w:hAnsi="宋体" w:eastAsia="宋体" w:cs="宋体"/>
          <w:szCs w:val="24"/>
        </w:rPr>
        <w:t>七、</w:t>
      </w:r>
      <w:r>
        <w:rPr>
          <w:rFonts w:hint="eastAsia" w:ascii="宋体" w:hAnsi="宋体" w:cs="宋体"/>
          <w:kern w:val="0"/>
          <w:szCs w:val="24"/>
        </w:rPr>
        <w:t>投标供应商资格证明文件</w:t>
      </w:r>
      <w:r>
        <w:tab/>
      </w:r>
      <w:r>
        <w:fldChar w:fldCharType="begin"/>
      </w:r>
      <w:r>
        <w:instrText xml:space="preserve"> PAGEREF _Toc12953 \h </w:instrText>
      </w:r>
      <w:r>
        <w:fldChar w:fldCharType="separate"/>
      </w:r>
      <w:r>
        <w:t>45</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_Toc12526 </w:instrText>
      </w:r>
      <w:r>
        <w:rPr>
          <w:rFonts w:ascii="宋体" w:hAnsi="宋体" w:eastAsia="宋体" w:cs="宋体"/>
          <w:bCs/>
        </w:rPr>
        <w:fldChar w:fldCharType="separate"/>
      </w:r>
      <w:r>
        <w:rPr>
          <w:rFonts w:hint="eastAsia" w:ascii="宋体" w:hAnsi="宋体" w:eastAsia="宋体" w:cs="宋体"/>
          <w:szCs w:val="24"/>
        </w:rPr>
        <w:t>八、</w:t>
      </w:r>
      <w:r>
        <w:rPr>
          <w:rFonts w:hint="eastAsia" w:ascii="宋体" w:hAnsi="宋体" w:eastAsia="宋体" w:cs="宋体"/>
          <w:szCs w:val="24"/>
          <w:lang w:eastAsia="zh-CN"/>
        </w:rPr>
        <w:t>供应商</w:t>
      </w:r>
      <w:r>
        <w:rPr>
          <w:rFonts w:hint="eastAsia" w:ascii="宋体" w:hAnsi="宋体" w:eastAsia="宋体" w:cs="宋体"/>
          <w:szCs w:val="24"/>
        </w:rPr>
        <w:t>近年类似项目情况表</w:t>
      </w:r>
      <w:r>
        <w:tab/>
      </w:r>
      <w:r>
        <w:fldChar w:fldCharType="begin"/>
      </w:r>
      <w:r>
        <w:instrText xml:space="preserve"> PAGEREF _Toc12526 \h </w:instrText>
      </w:r>
      <w:r>
        <w:fldChar w:fldCharType="separate"/>
      </w:r>
      <w:r>
        <w:t>51</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_Toc15249 </w:instrText>
      </w:r>
      <w:r>
        <w:rPr>
          <w:rFonts w:ascii="宋体" w:hAnsi="宋体" w:eastAsia="宋体" w:cs="宋体"/>
          <w:bCs/>
        </w:rPr>
        <w:fldChar w:fldCharType="separate"/>
      </w:r>
      <w:r>
        <w:rPr>
          <w:rFonts w:hint="eastAsia" w:ascii="宋体" w:hAnsi="宋体" w:eastAsia="宋体" w:cs="宋体"/>
          <w:szCs w:val="24"/>
        </w:rPr>
        <w:t>九、</w:t>
      </w:r>
      <w:r>
        <w:rPr>
          <w:rFonts w:hint="eastAsia" w:ascii="宋体" w:hAnsi="宋体" w:eastAsia="宋体" w:cs="宋体"/>
          <w:szCs w:val="24"/>
          <w:lang w:eastAsia="zh-CN"/>
        </w:rPr>
        <w:t>维修硬件设施</w:t>
      </w:r>
      <w:r>
        <w:tab/>
      </w:r>
      <w:r>
        <w:fldChar w:fldCharType="begin"/>
      </w:r>
      <w:r>
        <w:instrText xml:space="preserve"> PAGEREF _Toc15249 \h </w:instrText>
      </w:r>
      <w:r>
        <w:fldChar w:fldCharType="separate"/>
      </w:r>
      <w:r>
        <w:t>52</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_Toc20208 </w:instrText>
      </w:r>
      <w:r>
        <w:rPr>
          <w:rFonts w:ascii="宋体" w:hAnsi="宋体" w:eastAsia="宋体" w:cs="宋体"/>
          <w:bCs/>
        </w:rPr>
        <w:fldChar w:fldCharType="separate"/>
      </w:r>
      <w:r>
        <w:rPr>
          <w:rFonts w:hint="eastAsia" w:ascii="宋体" w:hAnsi="宋体" w:eastAsia="宋体" w:cs="宋体"/>
          <w:szCs w:val="24"/>
          <w:lang w:eastAsia="zh-CN"/>
        </w:rPr>
        <w:t>十、</w:t>
      </w:r>
      <w:r>
        <w:rPr>
          <w:rFonts w:hint="eastAsia" w:ascii="宋体" w:hAnsi="宋体" w:eastAsia="宋体" w:cs="宋体"/>
          <w:szCs w:val="24"/>
        </w:rPr>
        <w:t>拟投入本项目专业技术人员</w:t>
      </w:r>
      <w:r>
        <w:tab/>
      </w:r>
      <w:r>
        <w:fldChar w:fldCharType="begin"/>
      </w:r>
      <w:r>
        <w:instrText xml:space="preserve"> PAGEREF _Toc20208 \h </w:instrText>
      </w:r>
      <w:r>
        <w:fldChar w:fldCharType="separate"/>
      </w:r>
      <w:r>
        <w:t>55</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_Toc28273 </w:instrText>
      </w:r>
      <w:r>
        <w:rPr>
          <w:rFonts w:ascii="宋体" w:hAnsi="宋体" w:eastAsia="宋体" w:cs="宋体"/>
          <w:bCs/>
        </w:rPr>
        <w:fldChar w:fldCharType="separate"/>
      </w:r>
      <w:r>
        <w:rPr>
          <w:rFonts w:hint="eastAsia" w:ascii="宋体" w:hAnsi="宋体" w:cs="宋体"/>
          <w:szCs w:val="24"/>
        </w:rPr>
        <w:t>十一、</w:t>
      </w:r>
      <w:r>
        <w:rPr>
          <w:rFonts w:hint="eastAsia" w:ascii="宋体" w:hAnsi="宋体" w:cs="宋体"/>
          <w:szCs w:val="24"/>
          <w:lang w:val="zh-CN"/>
        </w:rPr>
        <w:t>维修服务方案</w:t>
      </w:r>
      <w:r>
        <w:tab/>
      </w:r>
      <w:r>
        <w:fldChar w:fldCharType="begin"/>
      </w:r>
      <w:r>
        <w:instrText xml:space="preserve"> PAGEREF _Toc28273 \h </w:instrText>
      </w:r>
      <w:r>
        <w:fldChar w:fldCharType="separate"/>
      </w:r>
      <w:r>
        <w:t>56</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_Toc26819 </w:instrText>
      </w:r>
      <w:r>
        <w:rPr>
          <w:rFonts w:ascii="宋体" w:hAnsi="宋体" w:eastAsia="宋体" w:cs="宋体"/>
          <w:bCs/>
        </w:rPr>
        <w:fldChar w:fldCharType="separate"/>
      </w:r>
      <w:r>
        <w:rPr>
          <w:rFonts w:hint="eastAsia" w:ascii="宋体" w:hAnsi="宋体" w:eastAsia="宋体" w:cs="宋体"/>
          <w:szCs w:val="24"/>
        </w:rPr>
        <w:t>十二、售后服务承诺书</w:t>
      </w:r>
      <w:r>
        <w:tab/>
      </w:r>
      <w:r>
        <w:fldChar w:fldCharType="begin"/>
      </w:r>
      <w:r>
        <w:instrText xml:space="preserve"> PAGEREF _Toc26819 \h </w:instrText>
      </w:r>
      <w:r>
        <w:fldChar w:fldCharType="separate"/>
      </w:r>
      <w:r>
        <w:t>57</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_Toc32314 </w:instrText>
      </w:r>
      <w:r>
        <w:rPr>
          <w:rFonts w:ascii="宋体" w:hAnsi="宋体" w:eastAsia="宋体" w:cs="宋体"/>
          <w:bCs/>
        </w:rPr>
        <w:fldChar w:fldCharType="separate"/>
      </w:r>
      <w:r>
        <w:rPr>
          <w:rFonts w:hint="eastAsia" w:ascii="宋体" w:hAnsi="宋体" w:eastAsia="宋体" w:cs="宋体"/>
          <w:szCs w:val="24"/>
          <w:lang w:eastAsia="zh-CN"/>
        </w:rPr>
        <w:t>十三、</w:t>
      </w:r>
      <w:r>
        <w:rPr>
          <w:rFonts w:hint="eastAsia" w:ascii="宋体" w:hAnsi="宋体" w:eastAsia="宋体" w:cs="宋体"/>
          <w:szCs w:val="24"/>
        </w:rPr>
        <w:t>反商业贿赂书</w:t>
      </w:r>
      <w:r>
        <w:tab/>
      </w:r>
      <w:r>
        <w:fldChar w:fldCharType="begin"/>
      </w:r>
      <w:r>
        <w:instrText xml:space="preserve"> PAGEREF _Toc32314 \h </w:instrText>
      </w:r>
      <w:r>
        <w:fldChar w:fldCharType="separate"/>
      </w:r>
      <w:r>
        <w:t>58</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_Toc17346 </w:instrText>
      </w:r>
      <w:r>
        <w:rPr>
          <w:rFonts w:ascii="宋体" w:hAnsi="宋体" w:eastAsia="宋体" w:cs="宋体"/>
          <w:bCs/>
        </w:rPr>
        <w:fldChar w:fldCharType="separate"/>
      </w:r>
      <w:r>
        <w:rPr>
          <w:rFonts w:hint="eastAsia" w:ascii="宋体" w:hAnsi="宋体" w:cs="宋体"/>
          <w:szCs w:val="24"/>
          <w:lang w:eastAsia="zh-CN"/>
        </w:rPr>
        <w:t>十四、</w:t>
      </w:r>
      <w:r>
        <w:rPr>
          <w:rFonts w:hint="eastAsia" w:ascii="宋体" w:hAnsi="宋体" w:cs="宋体"/>
          <w:szCs w:val="24"/>
        </w:rPr>
        <w:t>投标保证金证明材料</w:t>
      </w:r>
      <w:r>
        <w:tab/>
      </w:r>
      <w:r>
        <w:fldChar w:fldCharType="begin"/>
      </w:r>
      <w:r>
        <w:instrText xml:space="preserve"> PAGEREF _Toc17346 \h </w:instrText>
      </w:r>
      <w:r>
        <w:fldChar w:fldCharType="separate"/>
      </w:r>
      <w:r>
        <w:t>59</w:t>
      </w:r>
      <w:r>
        <w:fldChar w:fldCharType="end"/>
      </w:r>
      <w:r>
        <w:rPr>
          <w:rFonts w:ascii="宋体" w:hAnsi="宋体" w:eastAsia="宋体" w:cs="宋体"/>
          <w:bCs/>
        </w:rPr>
        <w:fldChar w:fldCharType="end"/>
      </w:r>
    </w:p>
    <w:p>
      <w:pPr>
        <w:pStyle w:val="35"/>
        <w:tabs>
          <w:tab w:val="right" w:leader="dot" w:pos="9354"/>
        </w:tabs>
      </w:pPr>
      <w:r>
        <w:rPr>
          <w:rFonts w:ascii="宋体" w:hAnsi="宋体" w:eastAsia="宋体" w:cs="宋体"/>
          <w:bCs/>
        </w:rPr>
        <w:fldChar w:fldCharType="begin"/>
      </w:r>
      <w:r>
        <w:rPr>
          <w:rFonts w:ascii="宋体" w:hAnsi="宋体" w:eastAsia="宋体" w:cs="宋体"/>
          <w:bCs/>
        </w:rPr>
        <w:instrText xml:space="preserve"> HYPERLINK \l _Toc26573 </w:instrText>
      </w:r>
      <w:r>
        <w:rPr>
          <w:rFonts w:ascii="宋体" w:hAnsi="宋体" w:eastAsia="宋体" w:cs="宋体"/>
          <w:bCs/>
        </w:rPr>
        <w:fldChar w:fldCharType="separate"/>
      </w:r>
      <w:r>
        <w:rPr>
          <w:rFonts w:hint="eastAsia" w:ascii="宋体" w:hAnsi="宋体" w:cs="宋体"/>
          <w:szCs w:val="24"/>
        </w:rPr>
        <w:t>十</w:t>
      </w:r>
      <w:r>
        <w:rPr>
          <w:rFonts w:hint="eastAsia" w:ascii="宋体" w:hAnsi="宋体" w:cs="宋体"/>
          <w:szCs w:val="24"/>
          <w:lang w:eastAsia="zh-CN"/>
        </w:rPr>
        <w:t>五</w:t>
      </w:r>
      <w:r>
        <w:rPr>
          <w:rFonts w:hint="eastAsia" w:ascii="宋体" w:hAnsi="宋体" w:cs="宋体"/>
          <w:szCs w:val="24"/>
        </w:rPr>
        <w:t>、其他需要提交的资料</w:t>
      </w:r>
      <w:r>
        <w:tab/>
      </w:r>
      <w:r>
        <w:fldChar w:fldCharType="begin"/>
      </w:r>
      <w:r>
        <w:instrText xml:space="preserve"> PAGEREF _Toc26573 \h </w:instrText>
      </w:r>
      <w:r>
        <w:fldChar w:fldCharType="separate"/>
      </w:r>
      <w:r>
        <w:t>60</w:t>
      </w:r>
      <w:r>
        <w:fldChar w:fldCharType="end"/>
      </w:r>
      <w:r>
        <w:rPr>
          <w:rFonts w:ascii="宋体" w:hAnsi="宋体" w:eastAsia="宋体" w:cs="宋体"/>
          <w:bCs/>
        </w:rPr>
        <w:fldChar w:fldCharType="end"/>
      </w:r>
    </w:p>
    <w:p>
      <w:pPr>
        <w:rPr>
          <w:rFonts w:ascii="宋体" w:hAnsi="Calibri" w:eastAsia="宋体" w:cs="宋体"/>
          <w:b/>
          <w:bCs/>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ascii="宋体" w:hAnsi="宋体" w:eastAsia="宋体" w:cs="宋体"/>
          <w:bCs/>
        </w:rPr>
        <w:fldChar w:fldCharType="end"/>
      </w:r>
    </w:p>
    <w:p>
      <w:pPr>
        <w:pStyle w:val="3"/>
        <w:keepNext w:val="0"/>
        <w:spacing w:line="450" w:lineRule="atLeast"/>
        <w:rPr>
          <w:sz w:val="36"/>
          <w:szCs w:val="36"/>
        </w:rPr>
      </w:pPr>
      <w:bookmarkStart w:id="0" w:name="_Toc9628"/>
      <w:r>
        <w:rPr>
          <w:rFonts w:hint="eastAsia"/>
          <w:sz w:val="36"/>
          <w:szCs w:val="36"/>
          <w:lang w:eastAsia="zh-CN"/>
        </w:rPr>
        <w:t>乌鲁木齐市米东区人民法院2022年度车辆定点服务竞争性磋商</w:t>
      </w:r>
      <w:r>
        <w:rPr>
          <w:rFonts w:hint="eastAsia"/>
          <w:sz w:val="36"/>
          <w:szCs w:val="36"/>
        </w:rPr>
        <w:t>公告</w:t>
      </w:r>
      <w:bookmarkEnd w:id="0"/>
    </w:p>
    <w:p>
      <w:pPr>
        <w:pStyle w:val="40"/>
        <w:spacing w:before="75" w:beforeAutospacing="0" w:after="75" w:afterAutospacing="0"/>
      </w:pPr>
      <w:r>
        <w:rPr>
          <w:rFonts w:ascii="仿宋" w:hAnsi="仿宋" w:eastAsia="仿宋" w:cs="仿宋"/>
          <w:sz w:val="27"/>
          <w:szCs w:val="27"/>
        </w:rPr>
        <w:t>项目概况</w:t>
      </w:r>
    </w:p>
    <w:p>
      <w:pPr>
        <w:pStyle w:val="40"/>
        <w:spacing w:before="75" w:beforeAutospacing="0" w:after="75" w:afterAutospacing="0"/>
      </w:pPr>
      <w:r>
        <w:rPr>
          <w:rFonts w:hint="eastAsia" w:ascii="仿宋" w:hAnsi="仿宋" w:eastAsia="仿宋" w:cs="仿宋"/>
          <w:sz w:val="27"/>
          <w:szCs w:val="27"/>
          <w:lang w:eastAsia="zh-CN"/>
        </w:rPr>
        <w:t>乌鲁木齐市米东区人民法院2022年度车辆定点服务</w:t>
      </w:r>
      <w:r>
        <w:rPr>
          <w:rFonts w:hint="eastAsia" w:ascii="仿宋" w:hAnsi="仿宋" w:eastAsia="仿宋" w:cs="仿宋"/>
          <w:sz w:val="27"/>
          <w:szCs w:val="27"/>
        </w:rPr>
        <w:t>招标项目的潜在供应商应在新疆锐智时代建设工程项目管理有限公司（乌鲁木齐市水磨沟区立井街198号丽景名都商住10号楼2115室） 获取磋商文件，并于202</w:t>
      </w:r>
      <w:r>
        <w:rPr>
          <w:rFonts w:hint="eastAsia" w:ascii="仿宋" w:hAnsi="仿宋" w:eastAsia="仿宋" w:cs="仿宋"/>
          <w:sz w:val="27"/>
          <w:szCs w:val="27"/>
          <w:lang w:val="en-US" w:eastAsia="zh-CN"/>
        </w:rPr>
        <w:t>2</w:t>
      </w:r>
      <w:r>
        <w:rPr>
          <w:rFonts w:hint="eastAsia" w:ascii="仿宋" w:hAnsi="仿宋" w:eastAsia="仿宋" w:cs="仿宋"/>
          <w:sz w:val="27"/>
          <w:szCs w:val="27"/>
        </w:rPr>
        <w:t>年</w:t>
      </w:r>
      <w:r>
        <w:rPr>
          <w:rFonts w:hint="eastAsia" w:ascii="仿宋" w:hAnsi="仿宋" w:eastAsia="仿宋" w:cs="仿宋"/>
          <w:sz w:val="27"/>
          <w:szCs w:val="27"/>
          <w:lang w:val="en-US" w:eastAsia="zh-CN"/>
        </w:rPr>
        <w:t>03</w:t>
      </w:r>
      <w:r>
        <w:rPr>
          <w:rFonts w:hint="eastAsia" w:ascii="仿宋" w:hAnsi="仿宋" w:eastAsia="仿宋" w:cs="仿宋"/>
          <w:sz w:val="27"/>
          <w:szCs w:val="27"/>
        </w:rPr>
        <w:t xml:space="preserve">月 </w:t>
      </w:r>
      <w:r>
        <w:rPr>
          <w:rFonts w:hint="eastAsia" w:ascii="仿宋" w:hAnsi="仿宋" w:eastAsia="仿宋" w:cs="仿宋"/>
          <w:sz w:val="27"/>
          <w:szCs w:val="27"/>
          <w:lang w:val="en-US" w:eastAsia="zh-CN"/>
        </w:rPr>
        <w:t>21</w:t>
      </w:r>
      <w:r>
        <w:rPr>
          <w:rFonts w:hint="eastAsia" w:ascii="仿宋" w:hAnsi="仿宋" w:eastAsia="仿宋" w:cs="仿宋"/>
          <w:sz w:val="27"/>
          <w:szCs w:val="27"/>
        </w:rPr>
        <w:t>日 1</w:t>
      </w:r>
      <w:r>
        <w:rPr>
          <w:rFonts w:hint="eastAsia" w:ascii="仿宋" w:hAnsi="仿宋" w:eastAsia="仿宋" w:cs="仿宋"/>
          <w:sz w:val="27"/>
          <w:szCs w:val="27"/>
          <w:lang w:val="en-US" w:eastAsia="zh-CN"/>
        </w:rPr>
        <w:t>6</w:t>
      </w:r>
      <w:r>
        <w:rPr>
          <w:rFonts w:hint="eastAsia" w:ascii="仿宋" w:hAnsi="仿宋" w:eastAsia="仿宋" w:cs="仿宋"/>
          <w:sz w:val="27"/>
          <w:szCs w:val="27"/>
        </w:rPr>
        <w:t>:00（北京时间）前递交投标文件。</w:t>
      </w:r>
    </w:p>
    <w:p>
      <w:pPr>
        <w:pStyle w:val="40"/>
        <w:spacing w:before="255" w:beforeAutospacing="0" w:after="255" w:afterAutospacing="0" w:line="300" w:lineRule="atLeast"/>
        <w:jc w:val="both"/>
        <w:rPr>
          <w:rFonts w:ascii="黑体" w:eastAsia="黑体" w:cs="黑体"/>
          <w:sz w:val="27"/>
          <w:szCs w:val="27"/>
        </w:rPr>
      </w:pPr>
      <w:r>
        <w:rPr>
          <w:rStyle w:val="48"/>
          <w:rFonts w:ascii="黑体" w:eastAsia="黑体" w:cs="黑体"/>
          <w:sz w:val="27"/>
          <w:szCs w:val="27"/>
        </w:rPr>
        <w:t>一、项目基本情况</w:t>
      </w:r>
    </w:p>
    <w:p>
      <w:pPr>
        <w:pStyle w:val="40"/>
        <w:spacing w:before="75" w:beforeAutospacing="0" w:after="75" w:afterAutospacing="0" w:line="300" w:lineRule="atLeast"/>
        <w:ind w:firstLine="420"/>
        <w:rPr>
          <w:rFonts w:hint="eastAsia" w:eastAsia="仿宋"/>
          <w:lang w:eastAsia="zh-CN"/>
        </w:rPr>
      </w:pPr>
      <w:r>
        <w:rPr>
          <w:rFonts w:hint="eastAsia" w:ascii="仿宋" w:hAnsi="仿宋" w:eastAsia="仿宋" w:cs="仿宋"/>
          <w:sz w:val="27"/>
          <w:szCs w:val="27"/>
        </w:rPr>
        <w:t>项目编号：</w:t>
      </w:r>
      <w:r>
        <w:rPr>
          <w:rFonts w:hint="eastAsia" w:ascii="仿宋" w:hAnsi="仿宋" w:eastAsia="仿宋" w:cs="仿宋"/>
          <w:sz w:val="27"/>
          <w:szCs w:val="27"/>
          <w:lang w:eastAsia="zh-CN"/>
        </w:rPr>
        <w:t>RZSD2022-03-08</w:t>
      </w:r>
    </w:p>
    <w:p>
      <w:pPr>
        <w:pStyle w:val="40"/>
        <w:spacing w:before="75" w:beforeAutospacing="0" w:after="75" w:afterAutospacing="0" w:line="300" w:lineRule="atLeast"/>
        <w:ind w:firstLine="420"/>
        <w:rPr>
          <w:rFonts w:hint="eastAsia" w:eastAsia="仿宋"/>
          <w:lang w:eastAsia="zh-CN"/>
        </w:rPr>
      </w:pPr>
      <w:r>
        <w:rPr>
          <w:rFonts w:hint="eastAsia" w:ascii="仿宋" w:hAnsi="仿宋" w:eastAsia="仿宋" w:cs="仿宋"/>
          <w:sz w:val="27"/>
          <w:szCs w:val="27"/>
        </w:rPr>
        <w:t>项目名称：</w:t>
      </w:r>
      <w:r>
        <w:rPr>
          <w:rFonts w:hint="eastAsia" w:ascii="仿宋" w:hAnsi="仿宋" w:eastAsia="仿宋" w:cs="仿宋"/>
          <w:sz w:val="27"/>
          <w:szCs w:val="27"/>
          <w:lang w:eastAsia="zh-CN"/>
        </w:rPr>
        <w:t>乌鲁木齐市米东区人民法院2022年度车辆定点服务</w:t>
      </w:r>
    </w:p>
    <w:p>
      <w:pPr>
        <w:pStyle w:val="40"/>
        <w:spacing w:before="75" w:beforeAutospacing="0" w:after="75" w:afterAutospacing="0" w:line="300" w:lineRule="atLeast"/>
        <w:ind w:firstLine="420"/>
      </w:pPr>
      <w:r>
        <w:rPr>
          <w:rFonts w:hint="eastAsia" w:ascii="仿宋" w:hAnsi="仿宋" w:eastAsia="仿宋" w:cs="仿宋"/>
          <w:sz w:val="27"/>
          <w:szCs w:val="27"/>
        </w:rPr>
        <w:t>采购方式：竞争性磋商</w:t>
      </w:r>
    </w:p>
    <w:p>
      <w:pPr>
        <w:pStyle w:val="40"/>
        <w:spacing w:before="75" w:beforeAutospacing="0" w:after="75" w:afterAutospacing="0" w:line="300" w:lineRule="atLeast"/>
        <w:ind w:firstLine="420"/>
        <w:rPr>
          <w:rFonts w:hint="default" w:eastAsia="仿宋"/>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285000</w:t>
      </w:r>
    </w:p>
    <w:p>
      <w:pPr>
        <w:pStyle w:val="40"/>
        <w:spacing w:before="75" w:beforeAutospacing="0" w:after="75" w:afterAutospacing="0" w:line="300" w:lineRule="atLeast"/>
        <w:ind w:firstLine="420"/>
        <w:rPr>
          <w:rFonts w:eastAsia="仿宋"/>
        </w:rPr>
      </w:pPr>
      <w:r>
        <w:rPr>
          <w:rFonts w:hint="eastAsia" w:ascii="仿宋" w:hAnsi="仿宋" w:eastAsia="仿宋" w:cs="仿宋"/>
          <w:sz w:val="27"/>
          <w:szCs w:val="27"/>
        </w:rPr>
        <w:t>最高限价（元）：</w:t>
      </w:r>
      <w:r>
        <w:rPr>
          <w:rFonts w:hint="eastAsia" w:ascii="仿宋" w:hAnsi="仿宋" w:eastAsia="仿宋" w:cs="仿宋"/>
          <w:sz w:val="27"/>
          <w:szCs w:val="27"/>
          <w:lang w:val="en-US" w:eastAsia="zh-CN"/>
        </w:rPr>
        <w:t>285000</w:t>
      </w:r>
    </w:p>
    <w:p>
      <w:pPr>
        <w:pStyle w:val="40"/>
        <w:spacing w:before="75" w:beforeAutospacing="0" w:after="75" w:afterAutospacing="0" w:line="300" w:lineRule="atLeast"/>
        <w:ind w:firstLine="420"/>
        <w:rPr>
          <w:rFonts w:ascii="仿宋" w:hAnsi="仿宋" w:eastAsia="仿宋" w:cs="仿宋"/>
          <w:sz w:val="27"/>
          <w:szCs w:val="27"/>
        </w:rPr>
      </w:pPr>
      <w:r>
        <w:rPr>
          <w:rFonts w:hint="eastAsia" w:ascii="仿宋" w:hAnsi="仿宋" w:eastAsia="仿宋" w:cs="仿宋"/>
          <w:sz w:val="27"/>
          <w:szCs w:val="27"/>
        </w:rPr>
        <w:t>采购需求：</w:t>
      </w:r>
    </w:p>
    <w:p>
      <w:pPr>
        <w:pStyle w:val="40"/>
        <w:spacing w:before="75" w:beforeAutospacing="0" w:after="75" w:afterAutospacing="0"/>
      </w:pPr>
    </w:p>
    <w:p>
      <w:pPr>
        <w:pStyle w:val="40"/>
        <w:spacing w:before="75" w:beforeAutospacing="0" w:after="75" w:afterAutospacing="0" w:line="300" w:lineRule="atLeast"/>
        <w:ind w:firstLine="420"/>
        <w:rPr>
          <w:rFonts w:hint="eastAsia" w:ascii="仿宋" w:hAnsi="仿宋" w:eastAsia="仿宋" w:cs="仿宋"/>
          <w:sz w:val="27"/>
          <w:szCs w:val="27"/>
          <w:lang w:val="en-US" w:eastAsia="zh-CN"/>
        </w:rPr>
      </w:pPr>
      <w:r>
        <w:rPr>
          <w:rFonts w:hint="eastAsia" w:ascii="仿宋" w:hAnsi="仿宋" w:eastAsia="仿宋" w:cs="仿宋"/>
          <w:sz w:val="27"/>
          <w:szCs w:val="27"/>
        </w:rPr>
        <w:t>合同履约期限：</w:t>
      </w:r>
      <w:r>
        <w:rPr>
          <w:rFonts w:hint="eastAsia" w:ascii="仿宋" w:hAnsi="仿宋" w:eastAsia="仿宋" w:cs="仿宋"/>
          <w:sz w:val="27"/>
          <w:szCs w:val="27"/>
          <w:lang w:val="en-US" w:eastAsia="zh-CN"/>
        </w:rPr>
        <w:t>1年</w:t>
      </w:r>
    </w:p>
    <w:p>
      <w:pPr>
        <w:pStyle w:val="40"/>
        <w:spacing w:before="75" w:beforeAutospacing="0" w:after="75" w:afterAutospacing="0" w:line="300" w:lineRule="atLeast"/>
        <w:ind w:firstLine="420"/>
      </w:pPr>
      <w:r>
        <w:rPr>
          <w:rFonts w:hint="eastAsia" w:ascii="仿宋" w:hAnsi="仿宋" w:eastAsia="仿宋" w:cs="仿宋"/>
          <w:sz w:val="27"/>
          <w:szCs w:val="27"/>
        </w:rPr>
        <w:t>本项目不接受联合体投标。</w:t>
      </w:r>
    </w:p>
    <w:p>
      <w:pPr>
        <w:pStyle w:val="40"/>
        <w:spacing w:before="75" w:beforeAutospacing="0" w:after="75" w:afterAutospacing="0" w:line="300" w:lineRule="atLeast"/>
      </w:pPr>
    </w:p>
    <w:p>
      <w:pPr>
        <w:pStyle w:val="40"/>
        <w:spacing w:before="75" w:beforeAutospacing="0" w:after="75" w:afterAutospacing="0" w:line="300" w:lineRule="atLeast"/>
      </w:pPr>
      <w:r>
        <w:rPr>
          <w:rStyle w:val="48"/>
          <w:rFonts w:ascii="黑体" w:eastAsia="黑体" w:cs="黑体"/>
          <w:sz w:val="27"/>
          <w:szCs w:val="27"/>
        </w:rPr>
        <w:t>二、申请人的资格要求：</w:t>
      </w:r>
    </w:p>
    <w:p>
      <w:pPr>
        <w:pStyle w:val="40"/>
        <w:spacing w:before="75" w:beforeAutospacing="0" w:after="75" w:afterAutospacing="0" w:line="300" w:lineRule="atLeast"/>
        <w:ind w:firstLine="420"/>
      </w:pPr>
      <w:r>
        <w:rPr>
          <w:rFonts w:hint="eastAsia" w:ascii="仿宋" w:hAnsi="仿宋" w:eastAsia="仿宋" w:cs="仿宋"/>
          <w:sz w:val="27"/>
          <w:szCs w:val="27"/>
        </w:rPr>
        <w:t>1.满足《中华人民共和国政府采购法》第二十二条规定；</w:t>
      </w:r>
    </w:p>
    <w:p>
      <w:pPr>
        <w:pStyle w:val="40"/>
        <w:spacing w:before="75" w:beforeAutospacing="0" w:after="75" w:afterAutospacing="0" w:line="300" w:lineRule="atLeast"/>
        <w:ind w:firstLine="420"/>
      </w:pPr>
      <w:r>
        <w:rPr>
          <w:rFonts w:hint="eastAsia" w:ascii="仿宋" w:hAnsi="仿宋" w:eastAsia="仿宋" w:cs="仿宋"/>
          <w:sz w:val="27"/>
          <w:szCs w:val="27"/>
        </w:rPr>
        <w:t>2.落实政府采购政策需满足的资格要求：①</w:t>
      </w:r>
      <w:r>
        <w:rPr>
          <w:rFonts w:hint="eastAsia" w:ascii="仿宋" w:hAnsi="仿宋" w:eastAsia="仿宋" w:cs="仿宋"/>
          <w:sz w:val="27"/>
          <w:szCs w:val="27"/>
          <w:lang w:eastAsia="zh-CN"/>
        </w:rPr>
        <w:t>《政府采购促进中小企业发展暂行办法》（财库〔2020〕46号）</w:t>
      </w:r>
      <w:r>
        <w:rPr>
          <w:rFonts w:hint="eastAsia" w:ascii="仿宋" w:hAnsi="仿宋" w:eastAsia="仿宋" w:cs="仿宋"/>
          <w:sz w:val="27"/>
          <w:szCs w:val="27"/>
        </w:rPr>
        <w:t>； ②《财政部、司法部关于政府采购支持监狱企业发展有关问题的通知》（财库〔2014〕68号）； ③《财政部、民政部、中国残疾人联合会关于促进残疾人就业政府采购政策的通知》财库〔2017〕141号。</w:t>
      </w:r>
    </w:p>
    <w:p>
      <w:pPr>
        <w:pStyle w:val="40"/>
        <w:spacing w:before="75" w:beforeAutospacing="0" w:after="75" w:afterAutospacing="0" w:line="300" w:lineRule="atLeast"/>
        <w:ind w:firstLine="420"/>
      </w:pPr>
      <w:r>
        <w:rPr>
          <w:rFonts w:hint="eastAsia" w:ascii="仿宋" w:hAnsi="仿宋" w:eastAsia="仿宋" w:cs="仿宋"/>
          <w:sz w:val="27"/>
          <w:szCs w:val="27"/>
        </w:rPr>
        <w:t>3.本项目的特定资格要求：</w:t>
      </w:r>
    </w:p>
    <w:p>
      <w:pPr>
        <w:pStyle w:val="40"/>
        <w:spacing w:before="75" w:beforeAutospacing="0" w:after="75" w:afterAutospacing="0" w:line="300" w:lineRule="atLeast"/>
        <w:ind w:firstLine="420"/>
        <w:rPr>
          <w:rFonts w:ascii="仿宋" w:hAnsi="仿宋" w:eastAsia="仿宋" w:cs="仿宋"/>
          <w:sz w:val="27"/>
          <w:szCs w:val="27"/>
        </w:rPr>
      </w:pPr>
      <w:r>
        <w:rPr>
          <w:rFonts w:hint="eastAsia" w:ascii="仿宋" w:hAnsi="仿宋" w:eastAsia="仿宋" w:cs="仿宋"/>
          <w:sz w:val="27"/>
          <w:szCs w:val="27"/>
        </w:rPr>
        <w:t>1）、 供应商须符合《中华人民共和国政府采购法》第二十二条款的规定，具有</w:t>
      </w:r>
      <w:r>
        <w:rPr>
          <w:rFonts w:hint="eastAsia" w:ascii="仿宋" w:hAnsi="仿宋" w:eastAsia="仿宋" w:cs="仿宋"/>
          <w:sz w:val="27"/>
          <w:szCs w:val="27"/>
          <w:lang w:eastAsia="zh-CN"/>
        </w:rPr>
        <w:t>有效的“三证合一”或“一照一码”的营业执照</w:t>
      </w:r>
      <w:r>
        <w:rPr>
          <w:rFonts w:hint="eastAsia" w:ascii="仿宋" w:hAnsi="仿宋" w:eastAsia="仿宋" w:cs="仿宋"/>
          <w:sz w:val="27"/>
          <w:szCs w:val="27"/>
        </w:rPr>
        <w:t xml:space="preserve">；具有独立订立合同的权利，能独立承担民事责任的能力； </w:t>
      </w:r>
    </w:p>
    <w:p>
      <w:pPr>
        <w:pStyle w:val="40"/>
        <w:spacing w:before="75" w:beforeAutospacing="0" w:after="75" w:afterAutospacing="0" w:line="300" w:lineRule="atLeast"/>
        <w:ind w:firstLine="420"/>
        <w:rPr>
          <w:rFonts w:ascii="仿宋" w:hAnsi="仿宋" w:eastAsia="仿宋" w:cs="仿宋"/>
          <w:sz w:val="27"/>
          <w:szCs w:val="27"/>
        </w:rPr>
      </w:pPr>
      <w:r>
        <w:rPr>
          <w:rFonts w:hint="eastAsia" w:ascii="仿宋" w:hAnsi="仿宋" w:eastAsia="仿宋" w:cs="仿宋"/>
          <w:sz w:val="27"/>
          <w:szCs w:val="27"/>
        </w:rPr>
        <w:t>2）、</w:t>
      </w:r>
      <w:r>
        <w:rPr>
          <w:rFonts w:hint="eastAsia" w:ascii="仿宋" w:hAnsi="仿宋" w:eastAsia="仿宋" w:cs="仿宋"/>
          <w:sz w:val="27"/>
          <w:szCs w:val="27"/>
          <w:lang w:val="zh-CN"/>
        </w:rPr>
        <w:t>供应商须具备有效的道路运输经营许可证{经营范围包含二类汽车维修}或机动车维修业户经营备案表{经营范围包含二类汽车维修}；</w:t>
      </w:r>
    </w:p>
    <w:p>
      <w:pPr>
        <w:pStyle w:val="40"/>
        <w:spacing w:before="75" w:beforeAutospacing="0" w:after="75" w:afterAutospacing="0" w:line="300" w:lineRule="atLeast"/>
        <w:ind w:firstLine="420"/>
        <w:rPr>
          <w:rFonts w:ascii="仿宋" w:hAnsi="仿宋" w:eastAsia="仿宋" w:cs="仿宋"/>
          <w:sz w:val="27"/>
          <w:szCs w:val="27"/>
        </w:rPr>
      </w:pPr>
      <w:r>
        <w:rPr>
          <w:rFonts w:hint="eastAsia" w:ascii="仿宋" w:hAnsi="仿宋" w:eastAsia="仿宋" w:cs="仿宋"/>
          <w:sz w:val="27"/>
          <w:szCs w:val="27"/>
        </w:rPr>
        <w:t>3）、供应商须是在“信用中国”（www.creditchina.gov.cn）和中国政府采购网（www.ccgp.gov.cn）网站上未被列入失信被执行人、重大税收违法案件当事人名单以及政府采购严重违法失信行为记录名单；查询时间（须自竞争性磋商公告发布之日起至首次提交响应文件截止时间内）</w:t>
      </w:r>
    </w:p>
    <w:p>
      <w:pPr>
        <w:pStyle w:val="40"/>
        <w:spacing w:before="75" w:beforeAutospacing="0" w:after="75" w:afterAutospacing="0" w:line="300" w:lineRule="atLeast"/>
        <w:ind w:firstLine="420"/>
      </w:pPr>
      <w:r>
        <w:rPr>
          <w:rFonts w:hint="eastAsia" w:ascii="仿宋" w:hAnsi="仿宋" w:eastAsia="仿宋" w:cs="仿宋"/>
          <w:sz w:val="27"/>
          <w:szCs w:val="27"/>
        </w:rPr>
        <w:t>4）、其他说明：①与采购人存在利害关系可能影响招标公正性的法人、其他组织或者个人，不得参加投标。②单位负责人为同一人或者存在控股、管理关系的不同供应商，不得参加同一合同项下的政府采购活动。违反前两款规定的，相关投标均无效。</w:t>
      </w:r>
    </w:p>
    <w:p>
      <w:pPr>
        <w:pStyle w:val="40"/>
        <w:spacing w:before="255" w:beforeAutospacing="0" w:after="255" w:afterAutospacing="0" w:line="300" w:lineRule="atLeast"/>
        <w:jc w:val="both"/>
        <w:rPr>
          <w:rFonts w:ascii="黑体" w:eastAsia="黑体" w:cs="黑体"/>
          <w:sz w:val="27"/>
          <w:szCs w:val="27"/>
        </w:rPr>
      </w:pPr>
      <w:r>
        <w:rPr>
          <w:rStyle w:val="48"/>
          <w:rFonts w:ascii="黑体" w:eastAsia="黑体" w:cs="黑体"/>
          <w:sz w:val="27"/>
          <w:szCs w:val="27"/>
        </w:rPr>
        <w:t>三、获取</w:t>
      </w:r>
      <w:r>
        <w:rPr>
          <w:rStyle w:val="48"/>
          <w:rFonts w:hint="eastAsia" w:ascii="黑体" w:eastAsia="黑体" w:cs="黑体"/>
          <w:sz w:val="27"/>
          <w:szCs w:val="27"/>
        </w:rPr>
        <w:t>磋商文件</w:t>
      </w:r>
    </w:p>
    <w:p>
      <w:pPr>
        <w:pStyle w:val="40"/>
        <w:spacing w:before="75" w:beforeAutospacing="0" w:after="75" w:afterAutospacing="0" w:line="300" w:lineRule="atLeast"/>
        <w:ind w:firstLine="420"/>
      </w:pPr>
      <w:r>
        <w:rPr>
          <w:rFonts w:hint="eastAsia" w:ascii="仿宋" w:hAnsi="仿宋" w:eastAsia="仿宋" w:cs="仿宋"/>
          <w:sz w:val="27"/>
          <w:szCs w:val="27"/>
        </w:rPr>
        <w:t>时间：202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3</w:t>
      </w:r>
      <w:r>
        <w:rPr>
          <w:rFonts w:hint="eastAsia" w:ascii="仿宋" w:hAnsi="仿宋" w:eastAsia="仿宋" w:cs="仿宋"/>
          <w:sz w:val="27"/>
          <w:szCs w:val="27"/>
        </w:rPr>
        <w:t>月</w:t>
      </w:r>
      <w:r>
        <w:rPr>
          <w:rFonts w:hint="eastAsia" w:ascii="仿宋" w:hAnsi="仿宋" w:eastAsia="仿宋" w:cs="仿宋"/>
          <w:sz w:val="27"/>
          <w:szCs w:val="27"/>
          <w:lang w:val="en-US" w:eastAsia="zh-CN"/>
        </w:rPr>
        <w:t>09</w:t>
      </w:r>
      <w:r>
        <w:rPr>
          <w:rFonts w:hint="eastAsia" w:ascii="仿宋" w:hAnsi="仿宋" w:eastAsia="仿宋" w:cs="仿宋"/>
          <w:sz w:val="27"/>
          <w:szCs w:val="27"/>
        </w:rPr>
        <w:t>日至202</w:t>
      </w:r>
      <w:r>
        <w:rPr>
          <w:rFonts w:hint="eastAsia" w:ascii="仿宋" w:hAnsi="仿宋" w:eastAsia="仿宋" w:cs="仿宋"/>
          <w:sz w:val="27"/>
          <w:szCs w:val="27"/>
          <w:lang w:val="en-US" w:eastAsia="zh-CN"/>
        </w:rPr>
        <w:t>2</w:t>
      </w:r>
      <w:r>
        <w:rPr>
          <w:rFonts w:hint="eastAsia" w:ascii="仿宋" w:hAnsi="仿宋" w:eastAsia="仿宋" w:cs="仿宋"/>
          <w:sz w:val="27"/>
          <w:szCs w:val="27"/>
        </w:rPr>
        <w:t>年0</w:t>
      </w:r>
      <w:r>
        <w:rPr>
          <w:rFonts w:hint="eastAsia" w:ascii="仿宋" w:hAnsi="仿宋" w:eastAsia="仿宋" w:cs="仿宋"/>
          <w:sz w:val="27"/>
          <w:szCs w:val="27"/>
          <w:lang w:val="en-US" w:eastAsia="zh-CN"/>
        </w:rPr>
        <w:t>3</w:t>
      </w:r>
      <w:r>
        <w:rPr>
          <w:rFonts w:hint="eastAsia" w:ascii="仿宋" w:hAnsi="仿宋" w:eastAsia="仿宋" w:cs="仿宋"/>
          <w:sz w:val="27"/>
          <w:szCs w:val="27"/>
        </w:rPr>
        <w:t>月</w:t>
      </w:r>
      <w:r>
        <w:rPr>
          <w:rFonts w:hint="eastAsia" w:ascii="仿宋" w:hAnsi="仿宋" w:eastAsia="仿宋" w:cs="仿宋"/>
          <w:sz w:val="27"/>
          <w:szCs w:val="27"/>
          <w:lang w:val="en-US" w:eastAsia="zh-CN"/>
        </w:rPr>
        <w:t>15</w:t>
      </w:r>
      <w:r>
        <w:rPr>
          <w:rFonts w:hint="eastAsia" w:ascii="仿宋" w:hAnsi="仿宋" w:eastAsia="仿宋" w:cs="仿宋"/>
          <w:sz w:val="27"/>
          <w:szCs w:val="27"/>
        </w:rPr>
        <w:t>日，每天上午10:30至13:30，下午15:</w:t>
      </w:r>
      <w:r>
        <w:rPr>
          <w:rFonts w:hint="eastAsia" w:ascii="仿宋" w:hAnsi="仿宋" w:eastAsia="仿宋" w:cs="仿宋"/>
          <w:sz w:val="27"/>
          <w:szCs w:val="27"/>
          <w:lang w:val="en-US" w:eastAsia="zh-CN"/>
        </w:rPr>
        <w:t>0</w:t>
      </w:r>
      <w:r>
        <w:rPr>
          <w:rFonts w:hint="eastAsia" w:ascii="仿宋" w:hAnsi="仿宋" w:eastAsia="仿宋" w:cs="仿宋"/>
          <w:sz w:val="27"/>
          <w:szCs w:val="27"/>
        </w:rPr>
        <w:t>0至18:</w:t>
      </w:r>
      <w:r>
        <w:rPr>
          <w:rFonts w:hint="eastAsia" w:ascii="仿宋" w:hAnsi="仿宋" w:eastAsia="仿宋" w:cs="仿宋"/>
          <w:sz w:val="27"/>
          <w:szCs w:val="27"/>
          <w:lang w:val="en-US" w:eastAsia="zh-CN"/>
        </w:rPr>
        <w:t>0</w:t>
      </w:r>
      <w:r>
        <w:rPr>
          <w:rFonts w:hint="eastAsia" w:ascii="仿宋" w:hAnsi="仿宋" w:eastAsia="仿宋" w:cs="仿宋"/>
          <w:sz w:val="27"/>
          <w:szCs w:val="27"/>
        </w:rPr>
        <w:t>0（北京时间，法定节假日除外）</w:t>
      </w:r>
    </w:p>
    <w:p>
      <w:pPr>
        <w:pStyle w:val="40"/>
        <w:spacing w:before="75" w:beforeAutospacing="0" w:after="75" w:afterAutospacing="0" w:line="300" w:lineRule="atLeast"/>
        <w:ind w:firstLine="420"/>
      </w:pPr>
      <w:r>
        <w:rPr>
          <w:rFonts w:hint="eastAsia" w:ascii="仿宋" w:hAnsi="仿宋" w:eastAsia="仿宋" w:cs="仿宋"/>
          <w:sz w:val="27"/>
          <w:szCs w:val="27"/>
        </w:rPr>
        <w:t>地点：新疆锐智时代建设工程项目管理有限公司（乌鲁木齐市水磨沟区立井街198号丽景名都商住10号楼2115室） </w:t>
      </w:r>
    </w:p>
    <w:p>
      <w:pPr>
        <w:pStyle w:val="40"/>
        <w:spacing w:before="75" w:beforeAutospacing="0" w:after="75" w:afterAutospacing="0" w:line="300" w:lineRule="atLeast"/>
        <w:ind w:firstLine="420"/>
        <w:rPr>
          <w:rFonts w:hint="eastAsia" w:ascii="仿宋" w:hAnsi="仿宋" w:eastAsia="仿宋" w:cs="仿宋"/>
          <w:sz w:val="27"/>
          <w:szCs w:val="27"/>
          <w:lang w:val="en-US" w:eastAsia="zh-CN"/>
        </w:rPr>
      </w:pPr>
      <w:r>
        <w:rPr>
          <w:rFonts w:hint="eastAsia" w:ascii="仿宋" w:hAnsi="仿宋" w:eastAsia="仿宋" w:cs="仿宋"/>
          <w:sz w:val="27"/>
          <w:szCs w:val="27"/>
        </w:rPr>
        <w:t>方式：</w:t>
      </w:r>
      <w:r>
        <w:rPr>
          <w:rFonts w:hint="eastAsia" w:ascii="仿宋" w:hAnsi="仿宋" w:eastAsia="仿宋" w:cs="仿宋"/>
          <w:sz w:val="27"/>
          <w:szCs w:val="27"/>
          <w:lang w:eastAsia="zh-CN"/>
        </w:rPr>
        <w:t>线下获取</w:t>
      </w:r>
    </w:p>
    <w:p>
      <w:pPr>
        <w:pStyle w:val="40"/>
        <w:spacing w:before="75" w:beforeAutospacing="0" w:after="75" w:afterAutospacing="0" w:line="300" w:lineRule="atLeast"/>
        <w:ind w:firstLine="420"/>
      </w:pPr>
      <w:r>
        <w:rPr>
          <w:rFonts w:hint="eastAsia" w:ascii="仿宋" w:hAnsi="仿宋" w:eastAsia="仿宋" w:cs="仿宋"/>
          <w:sz w:val="27"/>
          <w:szCs w:val="27"/>
        </w:rPr>
        <w:t>售价（元）：200元/份</w:t>
      </w:r>
    </w:p>
    <w:p>
      <w:pPr>
        <w:pStyle w:val="40"/>
        <w:spacing w:before="255" w:beforeAutospacing="0" w:after="255" w:afterAutospacing="0" w:line="300" w:lineRule="atLeast"/>
        <w:jc w:val="both"/>
        <w:rPr>
          <w:rFonts w:ascii="黑体" w:eastAsia="黑体" w:cs="黑体"/>
          <w:color w:val="auto"/>
          <w:sz w:val="27"/>
          <w:szCs w:val="27"/>
        </w:rPr>
      </w:pPr>
      <w:r>
        <w:rPr>
          <w:rStyle w:val="48"/>
          <w:rFonts w:ascii="黑体" w:eastAsia="黑体" w:cs="黑体"/>
          <w:sz w:val="27"/>
          <w:szCs w:val="27"/>
        </w:rPr>
        <w:t>四、提交投标文件截止</w:t>
      </w:r>
      <w:r>
        <w:rPr>
          <w:rStyle w:val="48"/>
          <w:rFonts w:ascii="黑体" w:eastAsia="黑体" w:cs="黑体"/>
          <w:color w:val="auto"/>
          <w:sz w:val="27"/>
          <w:szCs w:val="27"/>
        </w:rPr>
        <w:t>时间、开标时间和地点</w:t>
      </w:r>
    </w:p>
    <w:p>
      <w:pPr>
        <w:pStyle w:val="40"/>
        <w:spacing w:before="75" w:beforeAutospacing="0" w:after="75" w:afterAutospacing="0" w:line="300" w:lineRule="atLeast"/>
        <w:ind w:firstLine="420"/>
        <w:rPr>
          <w:color w:val="auto"/>
        </w:rPr>
      </w:pPr>
      <w:r>
        <w:rPr>
          <w:rFonts w:hint="eastAsia" w:ascii="仿宋" w:hAnsi="仿宋" w:eastAsia="仿宋" w:cs="仿宋"/>
          <w:color w:val="auto"/>
          <w:sz w:val="27"/>
          <w:szCs w:val="27"/>
        </w:rPr>
        <w:t>提交投标文件截止时间：202</w:t>
      </w:r>
      <w:r>
        <w:rPr>
          <w:rFonts w:hint="eastAsia" w:ascii="仿宋" w:hAnsi="仿宋" w:eastAsia="仿宋" w:cs="仿宋"/>
          <w:color w:val="auto"/>
          <w:sz w:val="27"/>
          <w:szCs w:val="27"/>
          <w:lang w:val="en-US" w:eastAsia="zh-CN"/>
        </w:rPr>
        <w:t>2</w:t>
      </w:r>
      <w:r>
        <w:rPr>
          <w:rFonts w:hint="eastAsia" w:ascii="仿宋" w:hAnsi="仿宋" w:eastAsia="仿宋" w:cs="仿宋"/>
          <w:color w:val="auto"/>
          <w:sz w:val="27"/>
          <w:szCs w:val="27"/>
        </w:rPr>
        <w:t>年</w:t>
      </w:r>
      <w:r>
        <w:rPr>
          <w:rFonts w:hint="eastAsia" w:ascii="仿宋" w:hAnsi="仿宋" w:eastAsia="仿宋" w:cs="仿宋"/>
          <w:color w:val="auto"/>
          <w:sz w:val="27"/>
          <w:szCs w:val="27"/>
          <w:lang w:val="en-US" w:eastAsia="zh-CN"/>
        </w:rPr>
        <w:t>03</w:t>
      </w:r>
      <w:r>
        <w:rPr>
          <w:rFonts w:hint="eastAsia" w:ascii="仿宋" w:hAnsi="仿宋" w:eastAsia="仿宋" w:cs="仿宋"/>
          <w:color w:val="auto"/>
          <w:sz w:val="27"/>
          <w:szCs w:val="27"/>
        </w:rPr>
        <w:t>月</w:t>
      </w:r>
      <w:r>
        <w:rPr>
          <w:rFonts w:hint="eastAsia" w:ascii="仿宋" w:hAnsi="仿宋" w:eastAsia="仿宋" w:cs="仿宋"/>
          <w:color w:val="auto"/>
          <w:sz w:val="27"/>
          <w:szCs w:val="27"/>
          <w:lang w:val="en-US" w:eastAsia="zh-CN"/>
        </w:rPr>
        <w:t>21</w:t>
      </w:r>
      <w:r>
        <w:rPr>
          <w:rFonts w:hint="eastAsia" w:ascii="仿宋" w:hAnsi="仿宋" w:eastAsia="仿宋" w:cs="仿宋"/>
          <w:color w:val="auto"/>
          <w:sz w:val="27"/>
          <w:szCs w:val="27"/>
        </w:rPr>
        <w:t xml:space="preserve">日 </w:t>
      </w:r>
      <w:r>
        <w:rPr>
          <w:rFonts w:hint="eastAsia" w:ascii="仿宋" w:hAnsi="仿宋" w:eastAsia="仿宋" w:cs="仿宋"/>
          <w:color w:val="auto"/>
          <w:sz w:val="27"/>
          <w:szCs w:val="27"/>
          <w:lang w:val="en-US" w:eastAsia="zh-CN"/>
        </w:rPr>
        <w:t>16</w:t>
      </w:r>
      <w:r>
        <w:rPr>
          <w:rFonts w:hint="eastAsia" w:ascii="仿宋" w:hAnsi="仿宋" w:eastAsia="仿宋" w:cs="仿宋"/>
          <w:color w:val="auto"/>
          <w:sz w:val="27"/>
          <w:szCs w:val="27"/>
        </w:rPr>
        <w:t>:00（北京时间）</w:t>
      </w:r>
    </w:p>
    <w:p>
      <w:pPr>
        <w:pStyle w:val="40"/>
        <w:spacing w:before="75" w:beforeAutospacing="0" w:after="75" w:afterAutospacing="0" w:line="300" w:lineRule="atLeast"/>
        <w:ind w:firstLine="420"/>
        <w:rPr>
          <w:color w:val="auto"/>
        </w:rPr>
      </w:pPr>
      <w:r>
        <w:rPr>
          <w:rFonts w:hint="eastAsia" w:ascii="仿宋" w:hAnsi="仿宋" w:eastAsia="仿宋" w:cs="仿宋"/>
          <w:color w:val="auto"/>
          <w:sz w:val="27"/>
          <w:szCs w:val="27"/>
        </w:rPr>
        <w:t>投标地点：乌鲁木齐市水磨沟区立井街198号丽景名都商住10号楼2110室 </w:t>
      </w:r>
    </w:p>
    <w:p>
      <w:pPr>
        <w:pStyle w:val="40"/>
        <w:spacing w:before="75" w:beforeAutospacing="0" w:after="75" w:afterAutospacing="0" w:line="300" w:lineRule="atLeast"/>
        <w:ind w:firstLine="420"/>
      </w:pPr>
      <w:r>
        <w:rPr>
          <w:rFonts w:hint="eastAsia" w:ascii="仿宋" w:hAnsi="仿宋" w:eastAsia="仿宋" w:cs="仿宋"/>
          <w:color w:val="auto"/>
          <w:sz w:val="27"/>
          <w:szCs w:val="27"/>
        </w:rPr>
        <w:t>开标时间：202</w:t>
      </w:r>
      <w:r>
        <w:rPr>
          <w:rFonts w:hint="eastAsia" w:ascii="仿宋" w:hAnsi="仿宋" w:eastAsia="仿宋" w:cs="仿宋"/>
          <w:color w:val="auto"/>
          <w:sz w:val="27"/>
          <w:szCs w:val="27"/>
          <w:lang w:val="en-US" w:eastAsia="zh-CN"/>
        </w:rPr>
        <w:t>2</w:t>
      </w:r>
      <w:r>
        <w:rPr>
          <w:rFonts w:hint="eastAsia" w:ascii="仿宋" w:hAnsi="仿宋" w:eastAsia="仿宋" w:cs="仿宋"/>
          <w:color w:val="auto"/>
          <w:sz w:val="27"/>
          <w:szCs w:val="27"/>
        </w:rPr>
        <w:t>年</w:t>
      </w:r>
      <w:r>
        <w:rPr>
          <w:rFonts w:hint="eastAsia" w:ascii="仿宋" w:hAnsi="仿宋" w:eastAsia="仿宋" w:cs="仿宋"/>
          <w:color w:val="auto"/>
          <w:sz w:val="27"/>
          <w:szCs w:val="27"/>
          <w:lang w:val="en-US" w:eastAsia="zh-CN"/>
        </w:rPr>
        <w:t>03</w:t>
      </w:r>
      <w:r>
        <w:rPr>
          <w:rFonts w:hint="eastAsia" w:ascii="仿宋" w:hAnsi="仿宋" w:eastAsia="仿宋" w:cs="仿宋"/>
          <w:color w:val="auto"/>
          <w:sz w:val="27"/>
          <w:szCs w:val="27"/>
        </w:rPr>
        <w:t>月</w:t>
      </w:r>
      <w:r>
        <w:rPr>
          <w:rFonts w:hint="eastAsia" w:ascii="仿宋" w:hAnsi="仿宋" w:eastAsia="仿宋" w:cs="仿宋"/>
          <w:color w:val="auto"/>
          <w:sz w:val="27"/>
          <w:szCs w:val="27"/>
          <w:lang w:val="en-US" w:eastAsia="zh-CN"/>
        </w:rPr>
        <w:t>21</w:t>
      </w:r>
      <w:r>
        <w:rPr>
          <w:rFonts w:hint="eastAsia" w:ascii="仿宋" w:hAnsi="仿宋" w:eastAsia="仿宋" w:cs="仿宋"/>
          <w:color w:val="auto"/>
          <w:sz w:val="27"/>
          <w:szCs w:val="27"/>
        </w:rPr>
        <w:t xml:space="preserve">日 </w:t>
      </w:r>
      <w:r>
        <w:rPr>
          <w:rFonts w:hint="eastAsia" w:ascii="仿宋" w:hAnsi="仿宋" w:eastAsia="仿宋" w:cs="仿宋"/>
          <w:color w:val="auto"/>
          <w:sz w:val="27"/>
          <w:szCs w:val="27"/>
          <w:lang w:val="en-US" w:eastAsia="zh-CN"/>
        </w:rPr>
        <w:t>16</w:t>
      </w:r>
      <w:r>
        <w:rPr>
          <w:rFonts w:hint="eastAsia" w:ascii="仿宋" w:hAnsi="仿宋" w:eastAsia="仿宋" w:cs="仿宋"/>
          <w:color w:val="auto"/>
          <w:sz w:val="27"/>
          <w:szCs w:val="27"/>
        </w:rPr>
        <w:t>:00</w:t>
      </w:r>
      <w:r>
        <w:rPr>
          <w:rFonts w:hint="eastAsia" w:ascii="仿宋" w:hAnsi="仿宋" w:eastAsia="仿宋" w:cs="仿宋"/>
          <w:sz w:val="27"/>
          <w:szCs w:val="27"/>
        </w:rPr>
        <w:t>（北京时间）</w:t>
      </w:r>
    </w:p>
    <w:p>
      <w:pPr>
        <w:pStyle w:val="40"/>
        <w:spacing w:before="75" w:beforeAutospacing="0" w:after="75" w:afterAutospacing="0" w:line="300" w:lineRule="atLeast"/>
        <w:ind w:firstLine="420"/>
      </w:pPr>
      <w:r>
        <w:rPr>
          <w:rFonts w:hint="eastAsia" w:ascii="仿宋" w:hAnsi="仿宋" w:eastAsia="仿宋" w:cs="仿宋"/>
          <w:sz w:val="27"/>
          <w:szCs w:val="27"/>
        </w:rPr>
        <w:t>开标地点：乌鲁木齐市水磨沟区立井街198号丽景名都商住10号楼2110室</w:t>
      </w:r>
    </w:p>
    <w:p>
      <w:pPr>
        <w:pStyle w:val="40"/>
        <w:spacing w:before="255" w:beforeAutospacing="0" w:after="255" w:afterAutospacing="0" w:line="300" w:lineRule="atLeast"/>
        <w:jc w:val="both"/>
        <w:rPr>
          <w:rFonts w:ascii="黑体" w:eastAsia="黑体" w:cs="黑体"/>
          <w:sz w:val="31"/>
          <w:szCs w:val="31"/>
        </w:rPr>
      </w:pPr>
      <w:r>
        <w:rPr>
          <w:rStyle w:val="48"/>
          <w:rFonts w:ascii="黑体" w:eastAsia="黑体" w:cs="黑体"/>
          <w:sz w:val="27"/>
          <w:szCs w:val="27"/>
        </w:rPr>
        <w:t>五、公告期限</w:t>
      </w:r>
    </w:p>
    <w:p>
      <w:pPr>
        <w:pStyle w:val="40"/>
        <w:spacing w:before="75" w:beforeAutospacing="0" w:after="75" w:afterAutospacing="0"/>
        <w:ind w:firstLine="420"/>
      </w:pPr>
      <w:r>
        <w:rPr>
          <w:rFonts w:hint="eastAsia" w:ascii="仿宋" w:hAnsi="仿宋" w:eastAsia="仿宋" w:cs="仿宋"/>
          <w:sz w:val="27"/>
          <w:szCs w:val="27"/>
        </w:rPr>
        <w:t>自本公告发布之日起5个工作日。</w:t>
      </w:r>
    </w:p>
    <w:p>
      <w:pPr>
        <w:pStyle w:val="40"/>
        <w:numPr>
          <w:ilvl w:val="0"/>
          <w:numId w:val="1"/>
        </w:numPr>
        <w:spacing w:before="255" w:beforeAutospacing="0" w:after="255" w:afterAutospacing="0" w:line="300" w:lineRule="atLeast"/>
        <w:jc w:val="both"/>
        <w:rPr>
          <w:rStyle w:val="48"/>
          <w:rFonts w:ascii="黑体" w:eastAsia="黑体" w:cs="黑体"/>
          <w:sz w:val="27"/>
          <w:szCs w:val="27"/>
        </w:rPr>
      </w:pPr>
      <w:r>
        <w:rPr>
          <w:rStyle w:val="48"/>
          <w:rFonts w:ascii="黑体" w:eastAsia="黑体" w:cs="黑体"/>
          <w:sz w:val="27"/>
          <w:szCs w:val="27"/>
        </w:rPr>
        <w:t>其他补充事宜</w:t>
      </w:r>
    </w:p>
    <w:p>
      <w:pPr>
        <w:pStyle w:val="40"/>
        <w:spacing w:before="75" w:beforeAutospacing="0" w:after="75" w:afterAutospacing="0"/>
        <w:ind w:firstLine="480"/>
        <w:rPr>
          <w:rFonts w:hint="eastAsia" w:ascii="仿宋" w:hAnsi="仿宋" w:eastAsia="仿宋" w:cs="仿宋"/>
          <w:sz w:val="27"/>
          <w:szCs w:val="27"/>
        </w:rPr>
      </w:pPr>
      <w:r>
        <w:rPr>
          <w:rFonts w:hint="eastAsia" w:ascii="仿宋" w:hAnsi="仿宋" w:eastAsia="仿宋" w:cs="仿宋"/>
          <w:sz w:val="27"/>
          <w:szCs w:val="27"/>
        </w:rPr>
        <w:t xml:space="preserve">1、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40"/>
        <w:spacing w:before="75" w:beforeAutospacing="0" w:after="75" w:afterAutospacing="0"/>
        <w:ind w:firstLine="480"/>
        <w:rPr>
          <w:rFonts w:hint="eastAsia" w:ascii="仿宋" w:hAnsi="仿宋" w:eastAsia="仿宋" w:cs="仿宋"/>
          <w:sz w:val="27"/>
          <w:szCs w:val="27"/>
        </w:rPr>
      </w:pPr>
      <w:r>
        <w:rPr>
          <w:rFonts w:hint="eastAsia" w:ascii="仿宋" w:hAnsi="仿宋" w:eastAsia="仿宋" w:cs="仿宋"/>
          <w:sz w:val="27"/>
          <w:szCs w:val="27"/>
        </w:rPr>
        <w:t>2、申请人须携带</w:t>
      </w:r>
      <w:r>
        <w:rPr>
          <w:rFonts w:hint="eastAsia" w:ascii="仿宋" w:hAnsi="仿宋" w:eastAsia="仿宋" w:cs="仿宋"/>
          <w:sz w:val="27"/>
          <w:szCs w:val="27"/>
          <w:lang w:eastAsia="zh-CN"/>
        </w:rPr>
        <w:t>有效的“三证合一”或“一照一码”的营业执照副本</w:t>
      </w:r>
      <w:r>
        <w:rPr>
          <w:rFonts w:hint="eastAsia" w:ascii="仿宋" w:hAnsi="仿宋" w:eastAsia="仿宋" w:cs="仿宋"/>
          <w:sz w:val="27"/>
          <w:szCs w:val="27"/>
        </w:rPr>
        <w:t>、法定代表人授权委托书（加盖公章、法人章）、被委托人身份证</w:t>
      </w:r>
      <w:r>
        <w:rPr>
          <w:rFonts w:hint="eastAsia" w:ascii="仿宋" w:hAnsi="仿宋" w:eastAsia="仿宋" w:cs="仿宋"/>
          <w:sz w:val="27"/>
          <w:szCs w:val="27"/>
          <w:lang w:eastAsia="zh-CN"/>
        </w:rPr>
        <w:t>、资质</w:t>
      </w:r>
      <w:r>
        <w:rPr>
          <w:rFonts w:ascii="仿宋" w:hAnsi="仿宋" w:eastAsia="仿宋" w:cs="仿宋"/>
          <w:i w:val="0"/>
          <w:iCs w:val="0"/>
          <w:caps w:val="0"/>
          <w:color w:val="000000"/>
          <w:spacing w:val="0"/>
          <w:sz w:val="27"/>
          <w:szCs w:val="27"/>
        </w:rPr>
        <w:t>证书</w:t>
      </w:r>
      <w:r>
        <w:rPr>
          <w:rFonts w:hint="eastAsia" w:ascii="仿宋" w:hAnsi="仿宋" w:eastAsia="仿宋" w:cs="仿宋"/>
          <w:i w:val="0"/>
          <w:iCs w:val="0"/>
          <w:caps w:val="0"/>
          <w:color w:val="000000"/>
          <w:spacing w:val="0"/>
          <w:sz w:val="27"/>
          <w:szCs w:val="27"/>
          <w:lang w:eastAsia="zh-CN"/>
        </w:rPr>
        <w:t>或备案登记表</w:t>
      </w:r>
      <w:r>
        <w:rPr>
          <w:rFonts w:hint="eastAsia" w:ascii="仿宋" w:hAnsi="仿宋" w:eastAsia="仿宋" w:cs="仿宋"/>
          <w:sz w:val="27"/>
          <w:szCs w:val="27"/>
        </w:rPr>
        <w:t xml:space="preserve">以上所有资料加盖公章复印件一份到新疆锐智时代建设工程项目管理有限公司获取招标文件。（如投标人营业执照复印件无二维码或者因为复印件模糊不清造成二维码无法查询企业信息的，则必须提供原件查验或重新提供清晰准确的复印件，申请人对招标公告索要求提供的所有文件的真实性负责。以上资料提交不全者，一律谢绝获取招标文件。） </w:t>
      </w:r>
    </w:p>
    <w:p>
      <w:pPr>
        <w:pStyle w:val="40"/>
        <w:spacing w:before="255" w:beforeAutospacing="0" w:after="255" w:afterAutospacing="0" w:line="480" w:lineRule="atLeast"/>
        <w:jc w:val="both"/>
        <w:rPr>
          <w:rFonts w:hint="eastAsia" w:ascii="仿宋" w:hAnsi="仿宋" w:eastAsia="仿宋" w:cs="仿宋"/>
          <w:sz w:val="27"/>
          <w:szCs w:val="27"/>
        </w:rPr>
      </w:pPr>
      <w:r>
        <w:rPr>
          <w:rFonts w:hint="eastAsia" w:ascii="仿宋" w:hAnsi="仿宋" w:eastAsia="仿宋" w:cs="仿宋"/>
          <w:sz w:val="27"/>
          <w:szCs w:val="27"/>
        </w:rPr>
        <w:t>3、供应商对其信用记录进行自行甄别，通过“信用中国”网站(www.creditchina.gov.cn)、中国政府采购网(www.ccgp.gov.cn)等渠道查询相关主体信用记录，对列入失信被执行人、重大税收违法案件当事人名单、政府采购严重违法失信行为记录名单及其他不符合《中华人民共和国政府采购法》第二十二条规定条件的供应商，拒绝其参与本次政府采购活动。</w:t>
      </w:r>
    </w:p>
    <w:p>
      <w:pPr>
        <w:pStyle w:val="40"/>
        <w:spacing w:before="255" w:beforeAutospacing="0" w:after="255" w:afterAutospacing="0" w:line="480" w:lineRule="atLeast"/>
        <w:jc w:val="both"/>
        <w:rPr>
          <w:rFonts w:ascii="黑体" w:eastAsia="黑体" w:cs="黑体"/>
          <w:sz w:val="31"/>
          <w:szCs w:val="31"/>
        </w:rPr>
      </w:pPr>
      <w:r>
        <w:rPr>
          <w:rStyle w:val="48"/>
          <w:rFonts w:ascii="黑体" w:eastAsia="黑体" w:cs="黑体"/>
          <w:sz w:val="27"/>
          <w:szCs w:val="27"/>
        </w:rPr>
        <w:t>七、对本次采购提出询问，请按以下方式联系</w:t>
      </w:r>
    </w:p>
    <w:p>
      <w:pPr>
        <w:pStyle w:val="40"/>
        <w:spacing w:before="75" w:beforeAutospacing="0" w:after="75" w:afterAutospacing="0"/>
        <w:ind w:firstLine="480"/>
      </w:pPr>
      <w:r>
        <w:rPr>
          <w:rFonts w:hint="eastAsia" w:ascii="仿宋" w:hAnsi="仿宋" w:eastAsia="仿宋" w:cs="仿宋"/>
          <w:sz w:val="27"/>
          <w:szCs w:val="27"/>
        </w:rPr>
        <w:t>1.采购人信息</w:t>
      </w:r>
    </w:p>
    <w:p>
      <w:pPr>
        <w:pStyle w:val="40"/>
        <w:spacing w:before="75" w:beforeAutospacing="0" w:after="75" w:afterAutospacing="0"/>
        <w:ind w:firstLine="480"/>
        <w:rPr>
          <w:rFonts w:eastAsia="仿宋"/>
        </w:rPr>
      </w:pPr>
      <w:r>
        <w:rPr>
          <w:rFonts w:hint="eastAsia" w:ascii="仿宋" w:hAnsi="仿宋" w:eastAsia="仿宋" w:cs="仿宋"/>
          <w:sz w:val="27"/>
          <w:szCs w:val="27"/>
        </w:rPr>
        <w:t>名 称：乌鲁木齐市米东区人民法院</w:t>
      </w:r>
    </w:p>
    <w:p>
      <w:pPr>
        <w:pStyle w:val="40"/>
        <w:spacing w:before="75" w:beforeAutospacing="0" w:after="75" w:afterAutospacing="0"/>
        <w:ind w:firstLine="480"/>
      </w:pPr>
      <w:r>
        <w:rPr>
          <w:rFonts w:hint="eastAsia" w:ascii="仿宋" w:hAnsi="仿宋" w:eastAsia="仿宋" w:cs="仿宋"/>
          <w:sz w:val="27"/>
          <w:szCs w:val="27"/>
        </w:rPr>
        <w:t>地 址：乌鲁木齐市米东区</w:t>
      </w:r>
    </w:p>
    <w:p>
      <w:pPr>
        <w:pStyle w:val="40"/>
        <w:spacing w:before="75" w:beforeAutospacing="0" w:after="75" w:afterAutospacing="0"/>
        <w:ind w:firstLine="480"/>
      </w:pPr>
      <w:r>
        <w:rPr>
          <w:rFonts w:hint="eastAsia" w:ascii="仿宋" w:hAnsi="仿宋" w:eastAsia="仿宋" w:cs="仿宋"/>
          <w:sz w:val="27"/>
          <w:szCs w:val="27"/>
        </w:rPr>
        <w:t>联系方式：0991-3359017</w:t>
      </w:r>
    </w:p>
    <w:p>
      <w:pPr>
        <w:pStyle w:val="40"/>
        <w:spacing w:before="75" w:beforeAutospacing="0" w:after="75" w:afterAutospacing="0"/>
        <w:ind w:firstLine="480"/>
      </w:pPr>
      <w:r>
        <w:rPr>
          <w:rFonts w:hint="eastAsia" w:ascii="仿宋" w:hAnsi="仿宋" w:eastAsia="仿宋" w:cs="仿宋"/>
          <w:sz w:val="27"/>
          <w:szCs w:val="27"/>
        </w:rPr>
        <w:t>2.采购代理机构信息</w:t>
      </w:r>
    </w:p>
    <w:p>
      <w:pPr>
        <w:pStyle w:val="40"/>
        <w:spacing w:before="75" w:beforeAutospacing="0" w:after="75" w:afterAutospacing="0"/>
        <w:ind w:firstLine="480"/>
      </w:pPr>
      <w:r>
        <w:rPr>
          <w:rFonts w:hint="eastAsia" w:ascii="仿宋" w:hAnsi="仿宋" w:eastAsia="仿宋" w:cs="仿宋"/>
          <w:sz w:val="27"/>
          <w:szCs w:val="27"/>
        </w:rPr>
        <w:t>名 称：新疆锐智时代建设工程项目管理有限公司</w:t>
      </w:r>
    </w:p>
    <w:p>
      <w:pPr>
        <w:pStyle w:val="40"/>
        <w:spacing w:before="75" w:beforeAutospacing="0" w:after="75" w:afterAutospacing="0"/>
        <w:ind w:firstLine="480"/>
      </w:pPr>
      <w:r>
        <w:rPr>
          <w:rFonts w:hint="eastAsia" w:ascii="仿宋" w:hAnsi="仿宋" w:eastAsia="仿宋" w:cs="仿宋"/>
          <w:sz w:val="27"/>
          <w:szCs w:val="27"/>
        </w:rPr>
        <w:t>地 址：乌鲁木齐市水磨沟区立井街丽景名都10号楼21楼2115室</w:t>
      </w:r>
    </w:p>
    <w:p>
      <w:pPr>
        <w:pStyle w:val="40"/>
        <w:spacing w:before="75" w:beforeAutospacing="0" w:after="75" w:afterAutospacing="0"/>
        <w:ind w:firstLine="480"/>
      </w:pPr>
      <w:r>
        <w:rPr>
          <w:rFonts w:hint="eastAsia" w:ascii="仿宋" w:hAnsi="仿宋" w:eastAsia="仿宋" w:cs="仿宋"/>
          <w:sz w:val="27"/>
          <w:szCs w:val="27"/>
        </w:rPr>
        <w:t>联系方式：0991-5056995</w:t>
      </w:r>
    </w:p>
    <w:p>
      <w:pPr>
        <w:pStyle w:val="40"/>
        <w:spacing w:before="75" w:beforeAutospacing="0" w:after="75" w:afterAutospacing="0"/>
        <w:ind w:firstLine="480"/>
      </w:pPr>
      <w:r>
        <w:rPr>
          <w:rFonts w:hint="eastAsia" w:ascii="仿宋" w:hAnsi="仿宋" w:eastAsia="仿宋" w:cs="仿宋"/>
          <w:sz w:val="27"/>
          <w:szCs w:val="27"/>
        </w:rPr>
        <w:t>3.项目联系方式</w:t>
      </w:r>
    </w:p>
    <w:p>
      <w:pPr>
        <w:pStyle w:val="40"/>
        <w:spacing w:before="75" w:beforeAutospacing="0" w:after="75" w:afterAutospacing="0"/>
        <w:ind w:firstLine="480"/>
      </w:pPr>
      <w:r>
        <w:rPr>
          <w:rFonts w:hint="eastAsia" w:ascii="仿宋" w:hAnsi="仿宋" w:eastAsia="仿宋" w:cs="仿宋"/>
          <w:sz w:val="27"/>
          <w:szCs w:val="27"/>
        </w:rPr>
        <w:t>项目联系人：王芳</w:t>
      </w:r>
    </w:p>
    <w:p>
      <w:pPr>
        <w:pStyle w:val="40"/>
        <w:spacing w:before="75" w:beforeAutospacing="0" w:after="75" w:afterAutospacing="0"/>
        <w:ind w:firstLine="480"/>
      </w:pPr>
      <w:r>
        <w:rPr>
          <w:rFonts w:hint="eastAsia" w:ascii="仿宋" w:hAnsi="仿宋" w:eastAsia="仿宋" w:cs="仿宋"/>
          <w:sz w:val="27"/>
          <w:szCs w:val="27"/>
        </w:rPr>
        <w:t>电 话：17690920122</w:t>
      </w:r>
    </w:p>
    <w:p>
      <w:pPr>
        <w:pStyle w:val="40"/>
        <w:spacing w:before="75" w:beforeAutospacing="0" w:after="75" w:afterAutospacing="0"/>
        <w:ind w:firstLine="480"/>
      </w:pPr>
      <w:r>
        <w:rPr>
          <w:rFonts w:hint="eastAsia" w:ascii="仿宋" w:hAnsi="仿宋" w:eastAsia="仿宋" w:cs="仿宋"/>
          <w:sz w:val="27"/>
          <w:szCs w:val="27"/>
        </w:rPr>
        <w:t>4.财政监督电话：0991-6880278</w:t>
      </w:r>
    </w:p>
    <w:p>
      <w:pPr>
        <w:rPr>
          <w:rFonts w:ascii="宋体" w:hAnsi="宋体" w:eastAsia="宋体" w:cs="宋体"/>
          <w:b/>
          <w:sz w:val="24"/>
          <w:szCs w:val="24"/>
        </w:rPr>
      </w:pPr>
      <w:r>
        <w:rPr>
          <w:rFonts w:hint="eastAsia" w:ascii="宋体" w:hAnsi="宋体" w:eastAsia="宋体" w:cs="宋体"/>
          <w:b/>
          <w:sz w:val="24"/>
          <w:szCs w:val="24"/>
        </w:rPr>
        <w:br w:type="page"/>
      </w:r>
    </w:p>
    <w:p>
      <w:pPr>
        <w:spacing w:line="440" w:lineRule="exact"/>
        <w:jc w:val="center"/>
        <w:outlineLvl w:val="0"/>
        <w:rPr>
          <w:rFonts w:ascii="宋体" w:hAnsi="宋体" w:eastAsia="宋体" w:cs="宋体"/>
          <w:b/>
          <w:sz w:val="24"/>
          <w:szCs w:val="24"/>
        </w:rPr>
      </w:pPr>
      <w:bookmarkStart w:id="1" w:name="_Toc9422"/>
      <w:r>
        <w:rPr>
          <w:rFonts w:hint="eastAsia" w:ascii="宋体" w:hAnsi="宋体" w:eastAsia="宋体" w:cs="宋体"/>
          <w:b/>
          <w:sz w:val="24"/>
          <w:szCs w:val="24"/>
        </w:rPr>
        <w:t>供应商须知前附表</w:t>
      </w:r>
      <w:bookmarkEnd w:id="1"/>
    </w:p>
    <w:tbl>
      <w:tblPr>
        <w:tblStyle w:val="4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578"/>
        <w:gridCol w:w="1329"/>
        <w:gridCol w:w="68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78" w:type="dxa"/>
            <w:vAlign w:val="center"/>
          </w:tcPr>
          <w:p>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项号</w:t>
            </w:r>
          </w:p>
        </w:tc>
        <w:tc>
          <w:tcPr>
            <w:tcW w:w="8201" w:type="dxa"/>
            <w:gridSpan w:val="2"/>
            <w:vAlign w:val="center"/>
          </w:tcPr>
          <w:p>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restart"/>
            <w:vAlign w:val="center"/>
          </w:tcPr>
          <w:p>
            <w:pPr>
              <w:jc w:val="center"/>
              <w:rPr>
                <w:rFonts w:eastAsia="宋体" w:cs="Times New Roman" w:asciiTheme="minorEastAsia" w:hAnsiTheme="minorEastAsia"/>
                <w:kern w:val="0"/>
                <w:sz w:val="24"/>
                <w:szCs w:val="24"/>
              </w:rPr>
            </w:pPr>
            <w:r>
              <w:rPr>
                <w:rFonts w:eastAsia="宋体" w:cs="Times New Roman" w:asciiTheme="minorEastAsia" w:hAnsiTheme="minorEastAsia"/>
                <w:kern w:val="0"/>
                <w:sz w:val="24"/>
                <w:szCs w:val="24"/>
              </w:rPr>
              <w:t>1</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项目名称</w:t>
            </w:r>
          </w:p>
        </w:tc>
        <w:tc>
          <w:tcPr>
            <w:tcW w:w="6872" w:type="dxa"/>
            <w:vAlign w:val="center"/>
          </w:tcPr>
          <w:p>
            <w:pPr>
              <w:keepNext/>
              <w:widowControl/>
              <w:jc w:val="left"/>
              <w:rPr>
                <w:rFonts w:hint="eastAsia" w:eastAsia="宋体" w:cs="Arial" w:asciiTheme="minorEastAsia" w:hAnsiTheme="minorEastAsia"/>
                <w:kern w:val="0"/>
                <w:sz w:val="24"/>
                <w:szCs w:val="24"/>
                <w:lang w:eastAsia="zh-CN"/>
              </w:rPr>
            </w:pPr>
            <w:r>
              <w:rPr>
                <w:rFonts w:hint="eastAsia" w:eastAsia="宋体" w:cs="Arial" w:asciiTheme="minorEastAsia" w:hAnsiTheme="minorEastAsia"/>
                <w:kern w:val="0"/>
                <w:sz w:val="24"/>
                <w:szCs w:val="24"/>
                <w:lang w:eastAsia="zh-CN"/>
              </w:rPr>
              <w:t>乌鲁木齐市米东区人民法院2022年度车辆定点服务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项目编号</w:t>
            </w:r>
          </w:p>
        </w:tc>
        <w:tc>
          <w:tcPr>
            <w:tcW w:w="6872" w:type="dxa"/>
            <w:vAlign w:val="center"/>
          </w:tcPr>
          <w:p>
            <w:pPr>
              <w:keepNext/>
              <w:widowControl/>
              <w:jc w:val="left"/>
              <w:rPr>
                <w:rFonts w:hint="eastAsia" w:eastAsia="宋体" w:cs="Arial" w:asciiTheme="minorEastAsia" w:hAnsiTheme="minorEastAsia"/>
                <w:kern w:val="0"/>
                <w:sz w:val="24"/>
                <w:szCs w:val="24"/>
                <w:lang w:eastAsia="zh-CN"/>
              </w:rPr>
            </w:pPr>
            <w:r>
              <w:rPr>
                <w:rFonts w:hint="eastAsia" w:eastAsia="宋体" w:cs="Arial" w:asciiTheme="minorEastAsia" w:hAnsiTheme="minorEastAsia"/>
                <w:kern w:val="0"/>
                <w:sz w:val="24"/>
                <w:szCs w:val="24"/>
                <w:lang w:eastAsia="zh-CN"/>
              </w:rPr>
              <w:t>RZSD2022-03-08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采购人</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乌鲁木齐市米东区人民法院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采购</w:t>
            </w:r>
          </w:p>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代理机构</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新疆锐智时代建设工程项目管理有限公司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项目地点</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乌鲁木齐市米东区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资金来源</w:t>
            </w:r>
          </w:p>
        </w:tc>
        <w:tc>
          <w:tcPr>
            <w:tcW w:w="6872" w:type="dxa"/>
            <w:vAlign w:val="center"/>
          </w:tcPr>
          <w:p>
            <w:pPr>
              <w:keepNext/>
              <w:widowControl/>
              <w:jc w:val="left"/>
              <w:rPr>
                <w:rFonts w:hint="eastAsia" w:eastAsia="宋体" w:cs="Arial" w:asciiTheme="minorEastAsia" w:hAnsiTheme="minorEastAsia"/>
                <w:kern w:val="0"/>
                <w:sz w:val="24"/>
                <w:szCs w:val="24"/>
                <w:lang w:eastAsia="zh-CN"/>
              </w:rPr>
            </w:pPr>
            <w:r>
              <w:rPr>
                <w:rFonts w:hint="eastAsia" w:eastAsia="宋体" w:cs="Arial" w:asciiTheme="minorEastAsia" w:hAnsiTheme="minorEastAsia"/>
                <w:kern w:val="0"/>
                <w:sz w:val="24"/>
                <w:szCs w:val="24"/>
                <w:lang w:eastAsia="zh-CN"/>
              </w:rPr>
              <w:t>财政资金</w:t>
            </w:r>
            <w:bookmarkStart w:id="102" w:name="_GoBack"/>
            <w:bookmarkEnd w:id="10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采购</w:t>
            </w:r>
          </w:p>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预算金额</w:t>
            </w:r>
          </w:p>
        </w:tc>
        <w:tc>
          <w:tcPr>
            <w:tcW w:w="6872" w:type="dxa"/>
            <w:vAlign w:val="center"/>
          </w:tcPr>
          <w:p>
            <w:pPr>
              <w:keepNext/>
              <w:widowControl/>
              <w:jc w:val="left"/>
              <w:rPr>
                <w:rFonts w:eastAsia="宋体" w:cs="Times New Roman" w:asciiTheme="minorEastAsia" w:hAnsiTheme="minorEastAsia"/>
                <w:kern w:val="0"/>
                <w:sz w:val="24"/>
                <w:szCs w:val="24"/>
              </w:rPr>
            </w:pPr>
            <w:r>
              <w:rPr>
                <w:rFonts w:hint="eastAsia" w:eastAsia="宋体" w:cs="Arial" w:asciiTheme="minorEastAsia" w:hAnsiTheme="minorEastAsia"/>
                <w:kern w:val="0"/>
                <w:sz w:val="24"/>
                <w:szCs w:val="24"/>
                <w:lang w:val="en-US" w:eastAsia="zh-CN"/>
              </w:rPr>
              <w:t>28.50</w:t>
            </w:r>
            <w:r>
              <w:rPr>
                <w:rFonts w:hint="eastAsia" w:eastAsia="宋体" w:cs="Arial" w:asciiTheme="minorEastAsia" w:hAnsiTheme="minorEastAsia"/>
                <w:kern w:val="0"/>
                <w:sz w:val="24"/>
                <w:szCs w:val="24"/>
              </w:rPr>
              <w:t>万元，供应商投标报价不得超相应预算金额，否则，按废标处理。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项目概况</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lang w:eastAsia="zh-CN"/>
              </w:rPr>
              <w:t>乌鲁木齐市米东区人民法院2022年度车辆定点服务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hint="eastAsia" w:eastAsia="宋体" w:cs="Arial" w:asciiTheme="minorEastAsia" w:hAnsiTheme="minorEastAsia"/>
                <w:kern w:val="0"/>
                <w:sz w:val="24"/>
                <w:szCs w:val="24"/>
                <w:lang w:eastAsia="zh-CN"/>
              </w:rPr>
            </w:pPr>
            <w:r>
              <w:rPr>
                <w:rFonts w:hint="eastAsia" w:eastAsia="宋体" w:cs="Arial" w:asciiTheme="minorEastAsia" w:hAnsiTheme="minorEastAsia"/>
                <w:kern w:val="0"/>
                <w:sz w:val="24"/>
                <w:szCs w:val="24"/>
                <w:lang w:eastAsia="zh-CN"/>
              </w:rPr>
              <w:t>服务周期</w:t>
            </w:r>
          </w:p>
        </w:tc>
        <w:tc>
          <w:tcPr>
            <w:tcW w:w="6872" w:type="dxa"/>
            <w:vAlign w:val="center"/>
          </w:tcPr>
          <w:p>
            <w:pPr>
              <w:keepNext/>
              <w:widowControl/>
              <w:jc w:val="left"/>
              <w:rPr>
                <w:rFonts w:hint="default" w:eastAsia="宋体" w:cs="Arial" w:asciiTheme="minorEastAsia" w:hAnsiTheme="minorEastAsia"/>
                <w:kern w:val="0"/>
                <w:sz w:val="24"/>
                <w:szCs w:val="24"/>
                <w:lang w:val="en-US" w:eastAsia="zh-CN"/>
              </w:rPr>
            </w:pPr>
            <w:r>
              <w:rPr>
                <w:rFonts w:hint="eastAsia" w:eastAsia="宋体" w:cs="Arial" w:asciiTheme="minorEastAsia" w:hAnsiTheme="minorEastAsia"/>
                <w:kern w:val="0"/>
                <w:sz w:val="24"/>
                <w:szCs w:val="24"/>
                <w:lang w:val="en-US" w:eastAsia="zh-CN"/>
              </w:rPr>
              <w:t>1年（年底考核，考核通过后续签下一年合同）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2</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招标范围</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lang w:eastAsia="zh-CN"/>
              </w:rPr>
              <w:t>乌鲁木齐市米东区人民法院2022年度车辆定点服务范围内所有工作内容，具体详见磋商文件第四章“维修清单”。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restart"/>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3</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采购方式</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资格审查</w:t>
            </w:r>
          </w:p>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方式</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restart"/>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4</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评标办法</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Merge w:val="continue"/>
            <w:vAlign w:val="center"/>
          </w:tcPr>
          <w:p>
            <w:pPr>
              <w:jc w:val="center"/>
              <w:rPr>
                <w:rFonts w:eastAsia="宋体" w:cs="Times New Roman" w:asciiTheme="minorEastAsia" w:hAnsiTheme="minorEastAsia"/>
                <w:kern w:val="0"/>
                <w:sz w:val="24"/>
                <w:szCs w:val="24"/>
              </w:rPr>
            </w:pP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定标方法</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磋商小组推荐三名成交候选人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5</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供应商资格条件和能力</w:t>
            </w:r>
          </w:p>
        </w:tc>
        <w:tc>
          <w:tcPr>
            <w:tcW w:w="6872" w:type="dxa"/>
            <w:vAlign w:val="center"/>
          </w:tcPr>
          <w:p>
            <w:pPr>
              <w:numPr>
                <w:ilvl w:val="0"/>
                <w:numId w:val="2"/>
              </w:num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满足《中华人民共和国政府采购法》第二十二条规定；</w:t>
            </w:r>
          </w:p>
          <w:p>
            <w:pPr>
              <w:numPr>
                <w:ilvl w:val="0"/>
                <w:numId w:val="0"/>
              </w:num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（1）具有独立承担民事责任的能力；</w:t>
            </w:r>
          </w:p>
          <w:p>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（2）具有健全的财务会计制度；</w:t>
            </w:r>
          </w:p>
          <w:p>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（3）具有履行合同所必需的设备和专业技术能力；</w:t>
            </w:r>
          </w:p>
          <w:p>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（4）有依法缴纳税收和社会保障资金的良好记录；</w:t>
            </w:r>
          </w:p>
          <w:p>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（5）参加政府采购活动前三年内，在经营活动中没有重大违法记录；</w:t>
            </w:r>
          </w:p>
          <w:p>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（6）法律、行政法规规定的其他条件。</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2.落实政府采购政策需满足的资格要求：</w:t>
            </w:r>
            <w:r>
              <w:rPr>
                <w:rFonts w:hint="eastAsia" w:ascii="Times New Roman" w:hAnsi="Times New Roman" w:eastAsia="宋体" w:cs="Times New Roman"/>
                <w:sz w:val="24"/>
                <w:szCs w:val="24"/>
              </w:rPr>
              <w:t>标项一:①</w:t>
            </w:r>
            <w:r>
              <w:rPr>
                <w:rFonts w:hint="eastAsia" w:ascii="Times New Roman" w:hAnsi="Times New Roman" w:eastAsia="宋体" w:cs="Times New Roman"/>
                <w:sz w:val="24"/>
                <w:szCs w:val="24"/>
                <w:lang w:eastAsia="zh-CN"/>
              </w:rPr>
              <w:t>《政府采购促进中小企业发展暂行办法》（财库〔2020〕46号）</w:t>
            </w:r>
            <w:r>
              <w:rPr>
                <w:rFonts w:hint="eastAsia" w:ascii="Times New Roman" w:hAnsi="Times New Roman" w:eastAsia="宋体" w:cs="Times New Roman"/>
                <w:sz w:val="24"/>
                <w:szCs w:val="24"/>
              </w:rPr>
              <w:t>； ②《财政部、司法部关于政府采购支持监狱企业发展有关问题的通知》（财库〔2014〕68号）； ③《财政部、民政部、中国残疾人联合会关于促进残疾人就业政府采购政策的通知》财库〔2017〕141号。</w:t>
            </w:r>
          </w:p>
          <w:p>
            <w:pPr>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3.本项目的特定资格要求：</w:t>
            </w:r>
          </w:p>
          <w:p>
            <w:pPr>
              <w:spacing w:line="360" w:lineRule="auto"/>
              <w:rPr>
                <w:rFonts w:eastAsia="宋体" w:cs="Times New Roman" w:asciiTheme="minorEastAsia" w:hAnsiTheme="minorEastAsia"/>
                <w:sz w:val="24"/>
                <w:szCs w:val="24"/>
              </w:rPr>
            </w:pPr>
            <w:r>
              <w:rPr>
                <w:rFonts w:eastAsia="宋体" w:cs="Times New Roman" w:asciiTheme="minorEastAsia" w:hAnsiTheme="minorEastAsia"/>
                <w:sz w:val="24"/>
                <w:szCs w:val="24"/>
              </w:rPr>
              <w:t>1</w:t>
            </w:r>
            <w:r>
              <w:rPr>
                <w:rFonts w:hint="eastAsia" w:eastAsia="宋体" w:cs="Times New Roman" w:asciiTheme="minorEastAsia" w:hAnsiTheme="minorEastAsia"/>
                <w:sz w:val="24"/>
                <w:szCs w:val="24"/>
              </w:rPr>
              <w:t>）</w:t>
            </w:r>
            <w:r>
              <w:rPr>
                <w:rFonts w:eastAsia="宋体" w:cs="Times New Roman" w:asciiTheme="minorEastAsia" w:hAnsiTheme="minorEastAsia"/>
                <w:sz w:val="24"/>
                <w:szCs w:val="24"/>
              </w:rPr>
              <w:t xml:space="preserve">、 </w:t>
            </w:r>
            <w:r>
              <w:rPr>
                <w:rFonts w:hint="eastAsia" w:eastAsia="宋体" w:cs="Times New Roman" w:asciiTheme="minorEastAsia" w:hAnsiTheme="minorEastAsia"/>
                <w:sz w:val="24"/>
                <w:szCs w:val="24"/>
              </w:rPr>
              <w:t>供应商须</w:t>
            </w:r>
            <w:r>
              <w:rPr>
                <w:rFonts w:eastAsia="宋体" w:cs="Times New Roman" w:asciiTheme="minorEastAsia" w:hAnsiTheme="minorEastAsia"/>
                <w:sz w:val="24"/>
                <w:szCs w:val="24"/>
              </w:rPr>
              <w:t>符合《中华人民共和国政府采购法》第二十二条款的规定，具有</w:t>
            </w:r>
            <w:r>
              <w:rPr>
                <w:rFonts w:hint="eastAsia" w:eastAsia="宋体" w:cs="Times New Roman" w:asciiTheme="minorEastAsia" w:hAnsiTheme="minorEastAsia"/>
                <w:sz w:val="24"/>
                <w:szCs w:val="24"/>
                <w:lang w:eastAsia="zh-CN"/>
              </w:rPr>
              <w:t>有效的“三证合一”或“一照一码”的营业执照</w:t>
            </w:r>
            <w:r>
              <w:rPr>
                <w:rFonts w:eastAsia="宋体" w:cs="Times New Roman" w:asciiTheme="minorEastAsia" w:hAnsiTheme="minorEastAsia"/>
                <w:sz w:val="24"/>
                <w:szCs w:val="24"/>
              </w:rPr>
              <w:t xml:space="preserve">；具有独立订立合同的权利，能独立承担民事责任的能力； </w:t>
            </w:r>
          </w:p>
          <w:p>
            <w:pPr>
              <w:spacing w:line="360" w:lineRule="auto"/>
              <w:rPr>
                <w:rFonts w:hint="eastAsia" w:eastAsia="宋体" w:cs="Times New Roman" w:asciiTheme="minorEastAsia" w:hAnsiTheme="minorEastAsia"/>
                <w:sz w:val="24"/>
                <w:szCs w:val="24"/>
                <w:lang w:val="zh-CN"/>
              </w:rPr>
            </w:pPr>
            <w:r>
              <w:rPr>
                <w:rFonts w:hint="eastAsia" w:eastAsia="宋体" w:cs="Times New Roman" w:asciiTheme="minorEastAsia" w:hAnsiTheme="minorEastAsia"/>
                <w:sz w:val="24"/>
                <w:szCs w:val="24"/>
              </w:rPr>
              <w:t>2）</w:t>
            </w:r>
            <w:r>
              <w:rPr>
                <w:rFonts w:hint="eastAsia" w:eastAsia="宋体" w:cs="Times New Roman" w:asciiTheme="minorEastAsia" w:hAnsiTheme="minorEastAsia"/>
                <w:sz w:val="24"/>
                <w:szCs w:val="24"/>
                <w:lang w:val="zh-CN"/>
              </w:rPr>
              <w:t>、供应商须具备有效的道路运输经营许可证{经营范围包含二类汽车维修}或机动车维修业户经营备案表{经营范围包含二类汽车维修}；</w:t>
            </w:r>
          </w:p>
          <w:p>
            <w:pPr>
              <w:spacing w:line="360" w:lineRule="auto"/>
              <w:rPr>
                <w:rFonts w:eastAsia="宋体" w:cs="Times New Roman" w:asciiTheme="minorEastAsia" w:hAnsiTheme="minorEastAsia"/>
                <w:sz w:val="24"/>
                <w:szCs w:val="24"/>
              </w:rPr>
            </w:pPr>
            <w:r>
              <w:rPr>
                <w:rFonts w:hint="eastAsia" w:eastAsia="宋体" w:cs="Times New Roman" w:asciiTheme="minorEastAsia" w:hAnsiTheme="minorEastAsia"/>
                <w:sz w:val="24"/>
                <w:szCs w:val="24"/>
              </w:rPr>
              <w:t>3）</w:t>
            </w:r>
            <w:r>
              <w:rPr>
                <w:rFonts w:hint="eastAsia" w:eastAsia="宋体" w:cs="Times New Roman" w:asciiTheme="minorEastAsia" w:hAnsiTheme="minorEastAsia"/>
                <w:sz w:val="24"/>
                <w:szCs w:val="24"/>
                <w:lang w:val="zh-CN"/>
              </w:rPr>
              <w:t>、</w:t>
            </w:r>
            <w:r>
              <w:rPr>
                <w:rFonts w:hint="eastAsia" w:eastAsia="宋体" w:cs="Times New Roman" w:asciiTheme="minorEastAsia" w:hAnsiTheme="minorEastAsia"/>
                <w:sz w:val="24"/>
                <w:szCs w:val="24"/>
              </w:rPr>
              <w:t>供应商须是在“信用中国”（</w:t>
            </w:r>
            <w:r>
              <w:rPr>
                <w:rFonts w:eastAsia="宋体" w:cs="Times New Roman" w:asciiTheme="minorEastAsia" w:hAnsiTheme="minorEastAsia"/>
                <w:sz w:val="24"/>
                <w:szCs w:val="24"/>
              </w:rPr>
              <w:t>www.creditchina.gov.cn</w:t>
            </w:r>
            <w:r>
              <w:rPr>
                <w:rFonts w:hint="eastAsia" w:eastAsia="宋体" w:cs="Times New Roman" w:asciiTheme="minorEastAsia" w:hAnsiTheme="minorEastAsia"/>
                <w:sz w:val="24"/>
                <w:szCs w:val="24"/>
              </w:rPr>
              <w:t>）和中国政府采购网（</w:t>
            </w:r>
            <w:r>
              <w:rPr>
                <w:rFonts w:eastAsia="宋体" w:cs="Times New Roman" w:asciiTheme="minorEastAsia" w:hAnsiTheme="minorEastAsia"/>
                <w:sz w:val="24"/>
                <w:szCs w:val="24"/>
              </w:rPr>
              <w:t>www.ccgp.gov.cn</w:t>
            </w:r>
            <w:r>
              <w:rPr>
                <w:rFonts w:hint="eastAsia" w:eastAsia="宋体" w:cs="Times New Roman" w:asciiTheme="minorEastAsia" w:hAnsiTheme="minorEastAsia"/>
                <w:sz w:val="24"/>
                <w:szCs w:val="24"/>
              </w:rPr>
              <w:t>）网站上未被列入失信被执行人、重大税收违法案件当事人名单以及政府采购严重违法失信行为记录名单；查询时间（须自竞争性磋商公告发布之日起至首次提交响应文件截止时间内）</w:t>
            </w:r>
          </w:p>
          <w:p>
            <w:pPr>
              <w:spacing w:line="360" w:lineRule="auto"/>
              <w:rPr>
                <w:rFonts w:eastAsia="宋体" w:cs="Times New Roman" w:asciiTheme="minorEastAsia" w:hAnsiTheme="minorEastAsia"/>
                <w:sz w:val="24"/>
                <w:szCs w:val="24"/>
              </w:rPr>
            </w:pPr>
            <w:r>
              <w:rPr>
                <w:rFonts w:hint="eastAsia" w:eastAsia="宋体" w:cs="Times New Roman" w:asciiTheme="minorEastAsia" w:hAnsiTheme="minorEastAsia"/>
                <w:sz w:val="24"/>
                <w:szCs w:val="24"/>
              </w:rPr>
              <w:t>4）</w:t>
            </w:r>
            <w:r>
              <w:rPr>
                <w:rFonts w:eastAsia="宋体" w:cs="Times New Roman" w:asciiTheme="minorEastAsia" w:hAnsiTheme="minorEastAsia"/>
                <w:sz w:val="24"/>
                <w:szCs w:val="24"/>
              </w:rPr>
              <w:t>、本采购项目</w:t>
            </w:r>
            <w:r>
              <w:rPr>
                <w:rFonts w:hint="eastAsia" w:eastAsia="宋体" w:cs="Times New Roman" w:asciiTheme="minorEastAsia" w:hAnsiTheme="minorEastAsia"/>
                <w:sz w:val="24"/>
                <w:szCs w:val="24"/>
                <w:u w:val="single"/>
              </w:rPr>
              <w:t>不允许</w:t>
            </w:r>
            <w:r>
              <w:rPr>
                <w:rFonts w:eastAsia="宋体" w:cs="Times New Roman" w:asciiTheme="minorEastAsia" w:hAnsiTheme="minorEastAsia"/>
                <w:sz w:val="24"/>
                <w:szCs w:val="24"/>
              </w:rPr>
              <w:t>联合体投标。</w:t>
            </w:r>
          </w:p>
          <w:p>
            <w:pPr>
              <w:spacing w:line="360" w:lineRule="auto"/>
              <w:rPr>
                <w:rFonts w:eastAsia="宋体" w:cs="Arial" w:asciiTheme="minorEastAsia" w:hAnsiTheme="minorEastAsia"/>
                <w:kern w:val="0"/>
                <w:sz w:val="24"/>
                <w:szCs w:val="24"/>
              </w:rPr>
            </w:pPr>
            <w:r>
              <w:rPr>
                <w:rFonts w:hint="eastAsia" w:eastAsia="宋体" w:cs="Times New Roman" w:asciiTheme="minorEastAsia" w:hAnsiTheme="minorEastAsia"/>
                <w:sz w:val="24"/>
                <w:szCs w:val="24"/>
              </w:rPr>
              <w:t>5）</w:t>
            </w:r>
            <w:r>
              <w:rPr>
                <w:rFonts w:eastAsia="宋体" w:cs="Times New Roman" w:asciiTheme="minorEastAsia" w:hAnsiTheme="minorEastAsia"/>
                <w:sz w:val="24"/>
                <w:szCs w:val="24"/>
              </w:rPr>
              <w:t>、其他说明：①与采购人存在利害关系可能影响招标公正性的法人、其他组织或者个人，不得参加投标。②</w:t>
            </w:r>
            <w:r>
              <w:rPr>
                <w:rFonts w:hint="eastAsia" w:eastAsia="宋体" w:cs="Times New Roman" w:asciiTheme="minorEastAsia" w:hAnsiTheme="minorEastAsia"/>
                <w:sz w:val="24"/>
                <w:szCs w:val="24"/>
              </w:rPr>
              <w:t>单位负责人为同一人或者存在控股、管理关系的不同供应商，不得参加同一合同项下的政府采购活动。</w:t>
            </w:r>
            <w:r>
              <w:rPr>
                <w:rFonts w:eastAsia="宋体" w:cs="Times New Roman" w:asciiTheme="minorEastAsia" w:hAnsiTheme="minorEastAsia"/>
                <w:sz w:val="24"/>
                <w:szCs w:val="24"/>
              </w:rPr>
              <w:t>违反前两款规定的，相关投标均无效。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6</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ascii="宋体" w:hAnsi="宋体" w:eastAsia="宋体" w:cs="Arial"/>
                <w:kern w:val="0"/>
                <w:sz w:val="24"/>
                <w:szCs w:val="24"/>
              </w:rPr>
              <w:t>竞争性磋商文件</w:t>
            </w:r>
            <w:r>
              <w:rPr>
                <w:rFonts w:hint="eastAsia" w:eastAsia="宋体" w:cs="Arial" w:asciiTheme="minorEastAsia" w:hAnsiTheme="minorEastAsia"/>
                <w:kern w:val="0"/>
                <w:sz w:val="24"/>
                <w:szCs w:val="24"/>
              </w:rPr>
              <w:t>费</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200元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7</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磋商保证金</w:t>
            </w:r>
          </w:p>
        </w:tc>
        <w:tc>
          <w:tcPr>
            <w:tcW w:w="6872" w:type="dxa"/>
            <w:vAlign w:val="center"/>
          </w:tcPr>
          <w:p>
            <w:pPr>
              <w:pStyle w:val="22"/>
              <w:jc w:val="left"/>
              <w:rPr>
                <w:rFonts w:hint="default" w:hAnsi="宋体" w:eastAsia="宋体" w:cs="Times New Roman"/>
                <w:sz w:val="24"/>
                <w:szCs w:val="24"/>
                <w:lang w:val="en-US" w:eastAsia="zh-CN"/>
              </w:rPr>
            </w:pPr>
            <w:r>
              <w:rPr>
                <w:rFonts w:hint="eastAsia" w:hAnsi="宋体" w:cs="Times New Roman"/>
                <w:sz w:val="24"/>
                <w:szCs w:val="24"/>
              </w:rPr>
              <w:t>要求提供。数额不得超过采购项目预算金额的2%，本项目的投标磋商保证金金额：</w:t>
            </w:r>
            <w:r>
              <w:rPr>
                <w:rFonts w:hint="eastAsia" w:hAnsi="宋体" w:cs="Times New Roman"/>
                <w:sz w:val="24"/>
                <w:szCs w:val="24"/>
                <w:lang w:val="en-US" w:eastAsia="zh-CN"/>
              </w:rPr>
              <w:t>5500元</w:t>
            </w:r>
          </w:p>
          <w:p>
            <w:pPr>
              <w:pStyle w:val="22"/>
              <w:jc w:val="left"/>
              <w:rPr>
                <w:rFonts w:hint="eastAsia" w:hAnsi="宋体" w:cs="Times New Roman"/>
                <w:sz w:val="24"/>
                <w:szCs w:val="24"/>
              </w:rPr>
            </w:pPr>
            <w:r>
              <w:rPr>
                <w:rFonts w:hint="eastAsia" w:hAnsi="宋体" w:cs="Times New Roman"/>
                <w:sz w:val="24"/>
                <w:szCs w:val="24"/>
              </w:rPr>
              <w:t>账户名：新疆锐智时代建设工程项目管理有限公司</w:t>
            </w:r>
          </w:p>
          <w:p>
            <w:pPr>
              <w:pStyle w:val="22"/>
              <w:jc w:val="left"/>
              <w:rPr>
                <w:rFonts w:hint="eastAsia" w:hAnsi="宋体" w:cs="Times New Roman"/>
                <w:sz w:val="24"/>
                <w:szCs w:val="24"/>
              </w:rPr>
            </w:pPr>
            <w:r>
              <w:rPr>
                <w:rFonts w:hint="eastAsia" w:hAnsi="宋体" w:cs="Times New Roman"/>
                <w:sz w:val="24"/>
                <w:szCs w:val="24"/>
              </w:rPr>
              <w:t>开户行：乌鲁木齐银行龙盛街支行</w:t>
            </w:r>
          </w:p>
          <w:p>
            <w:pPr>
              <w:pStyle w:val="22"/>
              <w:jc w:val="left"/>
              <w:rPr>
                <w:rFonts w:hint="eastAsia" w:hAnsi="宋体" w:cs="Times New Roman"/>
                <w:sz w:val="24"/>
                <w:szCs w:val="24"/>
              </w:rPr>
            </w:pPr>
            <w:r>
              <w:rPr>
                <w:rFonts w:hint="eastAsia" w:hAnsi="宋体" w:cs="Times New Roman"/>
                <w:sz w:val="24"/>
                <w:szCs w:val="24"/>
              </w:rPr>
              <w:t>账    号：0000020070110083439491</w:t>
            </w:r>
          </w:p>
          <w:p>
            <w:pPr>
              <w:pStyle w:val="22"/>
              <w:jc w:val="left"/>
              <w:rPr>
                <w:rFonts w:hint="eastAsia" w:hAnsi="宋体" w:cs="Times New Roman"/>
                <w:sz w:val="24"/>
                <w:szCs w:val="24"/>
              </w:rPr>
            </w:pPr>
            <w:r>
              <w:rPr>
                <w:rFonts w:hint="eastAsia" w:hAnsi="宋体" w:cs="Times New Roman"/>
                <w:sz w:val="24"/>
                <w:szCs w:val="24"/>
              </w:rPr>
              <w:t>行    号：204628149</w:t>
            </w:r>
          </w:p>
          <w:p>
            <w:pPr>
              <w:pStyle w:val="22"/>
              <w:jc w:val="left"/>
              <w:rPr>
                <w:rFonts w:hAnsi="宋体" w:cs="Times New Roman"/>
                <w:sz w:val="24"/>
                <w:szCs w:val="24"/>
              </w:rPr>
            </w:pPr>
            <w:r>
              <w:rPr>
                <w:rFonts w:hint="eastAsia" w:hAnsi="宋体" w:cs="Times New Roman"/>
                <w:sz w:val="24"/>
                <w:szCs w:val="24"/>
              </w:rPr>
              <w:t>磋商保证金缴纳形式：转账、电汇等非现金形式。</w:t>
            </w:r>
          </w:p>
          <w:p>
            <w:pPr>
              <w:keepNext/>
              <w:widowControl/>
              <w:jc w:val="left"/>
              <w:rPr>
                <w:rFonts w:eastAsia="宋体" w:cs="Arial" w:asciiTheme="minorEastAsia" w:hAnsiTheme="minorEastAsia"/>
                <w:kern w:val="0"/>
                <w:sz w:val="24"/>
                <w:szCs w:val="24"/>
              </w:rPr>
            </w:pPr>
            <w:r>
              <w:rPr>
                <w:rFonts w:hint="eastAsia" w:ascii="Times New Roman" w:hAnsi="宋体" w:eastAsia="宋体" w:cs="Times New Roman"/>
                <w:sz w:val="24"/>
                <w:szCs w:val="24"/>
              </w:rPr>
              <w:t xml:space="preserve">    </w:t>
            </w:r>
            <w:r>
              <w:rPr>
                <w:rFonts w:hint="eastAsia" w:ascii="Times New Roman" w:hAnsi="宋体" w:eastAsia="宋体" w:cs="Times New Roman"/>
                <w:b/>
                <w:sz w:val="24"/>
                <w:szCs w:val="24"/>
              </w:rPr>
              <w:t>各投标单位缴纳磋商保证金时需在附加信息及用途栏内注明磋商保证金、项目简称；</w:t>
            </w:r>
            <w:r>
              <w:rPr>
                <w:rFonts w:ascii="Times New Roman" w:hAnsi="宋体" w:eastAsia="宋体" w:cs="Times New Roman"/>
                <w:b/>
                <w:sz w:val="24"/>
                <w:szCs w:val="24"/>
              </w:rPr>
              <w:t>磋商保证金于投标截止时间前确认到账，若供应商未按照上述规定缴纳磋商保证金,</w:t>
            </w:r>
            <w:r>
              <w:rPr>
                <w:rFonts w:hint="eastAsia" w:ascii="Times New Roman" w:hAnsi="宋体" w:eastAsia="宋体" w:cs="Times New Roman"/>
                <w:b/>
                <w:sz w:val="24"/>
                <w:szCs w:val="24"/>
              </w:rPr>
              <w:t>响应</w:t>
            </w:r>
            <w:r>
              <w:rPr>
                <w:rFonts w:ascii="Times New Roman" w:hAnsi="宋体" w:eastAsia="宋体" w:cs="Times New Roman"/>
                <w:b/>
                <w:sz w:val="24"/>
                <w:szCs w:val="24"/>
              </w:rPr>
              <w:t>文件将被拒绝评审。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8</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现场踏勘</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9</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招标答疑</w:t>
            </w:r>
          </w:p>
        </w:tc>
        <w:tc>
          <w:tcPr>
            <w:tcW w:w="6872" w:type="dxa"/>
            <w:vAlign w:val="center"/>
          </w:tcPr>
          <w:p>
            <w:pPr>
              <w:ind w:firstLine="360" w:firstLineChars="150"/>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对竞争性磋商文件提出质疑的，应当在获取竞争性磋商文件或者竞争性磋商文件公告期限届满之日起3个工作日内一次性提出。</w:t>
            </w:r>
          </w:p>
          <w:p>
            <w:pPr>
              <w:ind w:firstLine="360" w:firstLineChars="150"/>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澄清修改内容可能影响竞争性磋商响应文件编制的，应当在投标截止时间至少5日前，以书面形式通知所有获取竞争性磋商文件的潜在供应商。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10</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竞争性磋商响应文件</w:t>
            </w:r>
          </w:p>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份数</w:t>
            </w:r>
          </w:p>
        </w:tc>
        <w:tc>
          <w:tcPr>
            <w:tcW w:w="6872" w:type="dxa"/>
            <w:vAlign w:val="center"/>
          </w:tcPr>
          <w:p>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正本</w:t>
            </w:r>
            <w:r>
              <w:rPr>
                <w:rFonts w:eastAsia="宋体" w:cs="Times New Roman" w:asciiTheme="minorEastAsia" w:hAnsiTheme="minorEastAsia"/>
                <w:kern w:val="0"/>
                <w:sz w:val="24"/>
                <w:szCs w:val="24"/>
              </w:rPr>
              <w:t>1</w:t>
            </w:r>
            <w:r>
              <w:rPr>
                <w:rFonts w:hint="eastAsia" w:eastAsia="宋体" w:cs="Times New Roman" w:asciiTheme="minorEastAsia" w:hAnsiTheme="minorEastAsia"/>
                <w:kern w:val="0"/>
                <w:sz w:val="24"/>
                <w:szCs w:val="24"/>
              </w:rPr>
              <w:t>份；副本</w:t>
            </w:r>
            <w:r>
              <w:rPr>
                <w:rFonts w:eastAsia="宋体" w:cs="Times New Roman" w:asciiTheme="minorEastAsia" w:hAnsiTheme="minorEastAsia"/>
                <w:kern w:val="0"/>
                <w:sz w:val="24"/>
                <w:szCs w:val="24"/>
              </w:rPr>
              <w:t>2</w:t>
            </w:r>
            <w:r>
              <w:rPr>
                <w:rFonts w:hint="eastAsia" w:eastAsia="宋体" w:cs="Times New Roman" w:asciiTheme="minorEastAsia" w:hAnsiTheme="minorEastAsia"/>
                <w:kern w:val="0"/>
                <w:sz w:val="24"/>
                <w:szCs w:val="24"/>
              </w:rPr>
              <w:t>份；电子版响应文件格式：竞争性磋商响应文件正本盖章扫描生成的PDF格式（含响应文件封皮），U盘存储。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11</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竞争性磋商响应文件密封</w:t>
            </w:r>
          </w:p>
        </w:tc>
        <w:tc>
          <w:tcPr>
            <w:tcW w:w="6872" w:type="dxa"/>
            <w:vAlign w:val="center"/>
          </w:tcPr>
          <w:p>
            <w:pPr>
              <w:autoSpaceDE w:val="0"/>
              <w:autoSpaceDN w:val="0"/>
              <w:adjustRightInd w:val="0"/>
              <w:jc w:val="left"/>
              <w:rPr>
                <w:rFonts w:ascii="宋体" w:hAnsi="Times New Roman" w:eastAsia="宋体" w:cs="宋体"/>
                <w:color w:val="auto"/>
                <w:kern w:val="0"/>
                <w:sz w:val="24"/>
                <w:szCs w:val="24"/>
              </w:rPr>
            </w:pPr>
            <w:r>
              <w:rPr>
                <w:rFonts w:ascii="宋体" w:hAnsi="宋体" w:eastAsia="宋体" w:cs="宋体"/>
                <w:color w:val="auto"/>
                <w:kern w:val="0"/>
                <w:sz w:val="24"/>
                <w:szCs w:val="24"/>
              </w:rPr>
              <w:t>1.</w:t>
            </w:r>
            <w:r>
              <w:rPr>
                <w:rFonts w:hint="eastAsia" w:ascii="宋体" w:hAnsi="宋体" w:eastAsia="宋体" w:cs="宋体"/>
                <w:color w:val="auto"/>
                <w:kern w:val="0"/>
                <w:sz w:val="24"/>
                <w:szCs w:val="24"/>
              </w:rPr>
              <w:t>供应商须按竞争性磋商文件的规定制作响应文件，正、副本、U盘可以密封在同一文件袋中。密封袋封口处加盖</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lang w:eastAsia="zh-CN"/>
              </w:rPr>
              <w:t>及法定代表人章</w:t>
            </w:r>
            <w:r>
              <w:rPr>
                <w:rFonts w:hint="eastAsia" w:ascii="宋体" w:hAnsi="宋体" w:eastAsia="宋体" w:cs="宋体"/>
                <w:color w:val="auto"/>
                <w:kern w:val="0"/>
                <w:sz w:val="24"/>
                <w:szCs w:val="24"/>
              </w:rPr>
              <w:t xml:space="preserve">，并注明  </w:t>
            </w:r>
            <w:r>
              <w:rPr>
                <w:rFonts w:hint="eastAsia" w:eastAsia="宋体" w:cs="宋体" w:asciiTheme="minorEastAsia" w:hAnsiTheme="minorEastAsia"/>
                <w:color w:val="auto"/>
                <w:kern w:val="0"/>
                <w:sz w:val="24"/>
                <w:szCs w:val="24"/>
                <w:u w:val="single"/>
              </w:rPr>
              <w:t>202</w:t>
            </w:r>
            <w:r>
              <w:rPr>
                <w:rFonts w:hint="eastAsia" w:eastAsia="宋体" w:cs="宋体" w:asciiTheme="minorEastAsia" w:hAnsiTheme="minorEastAsia"/>
                <w:color w:val="auto"/>
                <w:kern w:val="0"/>
                <w:sz w:val="24"/>
                <w:szCs w:val="24"/>
                <w:u w:val="single"/>
                <w:lang w:val="en-US" w:eastAsia="zh-CN"/>
              </w:rPr>
              <w:t>2</w:t>
            </w:r>
            <w:r>
              <w:rPr>
                <w:rFonts w:hint="eastAsia" w:eastAsia="宋体" w:cs="宋体" w:asciiTheme="minorEastAsia" w:hAnsiTheme="minorEastAsia"/>
                <w:color w:val="auto"/>
                <w:kern w:val="0"/>
                <w:sz w:val="24"/>
                <w:szCs w:val="24"/>
                <w:u w:val="single"/>
              </w:rPr>
              <w:t>年</w:t>
            </w:r>
            <w:r>
              <w:rPr>
                <w:rFonts w:hint="eastAsia" w:eastAsia="宋体" w:cs="宋体" w:asciiTheme="minorEastAsia" w:hAnsiTheme="minorEastAsia"/>
                <w:color w:val="auto"/>
                <w:kern w:val="0"/>
                <w:sz w:val="24"/>
                <w:szCs w:val="24"/>
                <w:u w:val="single"/>
                <w:lang w:val="en-US" w:eastAsia="zh-CN"/>
              </w:rPr>
              <w:t>03</w:t>
            </w:r>
            <w:r>
              <w:rPr>
                <w:rFonts w:hint="eastAsia" w:eastAsia="宋体" w:cs="宋体" w:asciiTheme="minorEastAsia" w:hAnsiTheme="minorEastAsia"/>
                <w:color w:val="auto"/>
                <w:kern w:val="0"/>
                <w:sz w:val="24"/>
                <w:szCs w:val="24"/>
                <w:u w:val="single"/>
              </w:rPr>
              <w:t>月</w:t>
            </w:r>
            <w:r>
              <w:rPr>
                <w:rFonts w:hint="eastAsia" w:eastAsia="宋体" w:cs="宋体" w:asciiTheme="minorEastAsia" w:hAnsiTheme="minorEastAsia"/>
                <w:color w:val="auto"/>
                <w:kern w:val="0"/>
                <w:sz w:val="24"/>
                <w:szCs w:val="24"/>
                <w:u w:val="single"/>
                <w:lang w:val="en-US" w:eastAsia="zh-CN"/>
              </w:rPr>
              <w:t>21</w:t>
            </w:r>
            <w:r>
              <w:rPr>
                <w:rFonts w:hint="eastAsia" w:eastAsia="宋体" w:cs="宋体" w:asciiTheme="minorEastAsia" w:hAnsiTheme="minorEastAsia"/>
                <w:color w:val="auto"/>
                <w:kern w:val="0"/>
                <w:sz w:val="24"/>
                <w:szCs w:val="24"/>
                <w:u w:val="single"/>
              </w:rPr>
              <w:t xml:space="preserve">日 </w:t>
            </w:r>
            <w:r>
              <w:rPr>
                <w:rFonts w:hint="eastAsia" w:eastAsia="宋体" w:cs="宋体" w:asciiTheme="minorEastAsia" w:hAnsiTheme="minorEastAsia"/>
                <w:color w:val="auto"/>
                <w:kern w:val="0"/>
                <w:sz w:val="24"/>
                <w:szCs w:val="24"/>
                <w:u w:val="single"/>
                <w:lang w:val="en-US" w:eastAsia="zh-CN"/>
              </w:rPr>
              <w:t>16</w:t>
            </w:r>
            <w:r>
              <w:rPr>
                <w:rFonts w:hint="eastAsia" w:eastAsia="宋体" w:cs="宋体" w:asciiTheme="minorEastAsia" w:hAnsiTheme="minorEastAsia"/>
                <w:color w:val="auto"/>
                <w:kern w:val="0"/>
                <w:sz w:val="24"/>
                <w:szCs w:val="24"/>
                <w:u w:val="single"/>
              </w:rPr>
              <w:t>:00</w:t>
            </w:r>
            <w:r>
              <w:rPr>
                <w:rFonts w:hint="eastAsia" w:ascii="宋体" w:hAnsi="宋体" w:eastAsia="宋体" w:cs="宋体"/>
                <w:color w:val="auto"/>
                <w:kern w:val="0"/>
                <w:sz w:val="24"/>
                <w:szCs w:val="24"/>
              </w:rPr>
              <w:t>（即开标时间）前不得开封。</w:t>
            </w:r>
          </w:p>
          <w:p>
            <w:pPr>
              <w:autoSpaceDE w:val="0"/>
              <w:autoSpaceDN w:val="0"/>
              <w:adjustRightInd w:val="0"/>
              <w:jc w:val="left"/>
              <w:rPr>
                <w:rFonts w:ascii="宋体" w:hAnsi="Times New Roman" w:eastAsia="宋体" w:cs="宋体"/>
                <w:color w:val="auto"/>
                <w:kern w:val="0"/>
                <w:sz w:val="24"/>
                <w:szCs w:val="24"/>
              </w:rPr>
            </w:pPr>
            <w:r>
              <w:rPr>
                <w:rFonts w:ascii="宋体" w:hAnsi="宋体" w:eastAsia="宋体" w:cs="宋体"/>
                <w:color w:val="auto"/>
                <w:kern w:val="0"/>
                <w:sz w:val="24"/>
                <w:szCs w:val="24"/>
              </w:rPr>
              <w:t xml:space="preserve">2. </w:t>
            </w:r>
            <w:r>
              <w:rPr>
                <w:rFonts w:hint="eastAsia" w:ascii="宋体" w:hAnsi="宋体" w:eastAsia="宋体" w:cs="宋体"/>
                <w:color w:val="auto"/>
                <w:kern w:val="0"/>
                <w:sz w:val="24"/>
                <w:szCs w:val="24"/>
              </w:rPr>
              <w:t>供应商须制作“开标一览表”，并单独密封提交，并在信封上标明“开标一览表”的字样。</w:t>
            </w:r>
          </w:p>
          <w:p>
            <w:pPr>
              <w:autoSpaceDE w:val="0"/>
              <w:autoSpaceDN w:val="0"/>
              <w:adjustRightInd w:val="0"/>
              <w:jc w:val="left"/>
              <w:rPr>
                <w:rFonts w:ascii="宋体" w:hAnsi="Times New Roman" w:eastAsia="宋体" w:cs="宋体"/>
                <w:color w:val="auto"/>
                <w:kern w:val="0"/>
                <w:sz w:val="24"/>
                <w:szCs w:val="24"/>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响应文件封袋和《开标一览表》封袋上可写明：</w:t>
            </w:r>
          </w:p>
          <w:p>
            <w:pPr>
              <w:autoSpaceDE w:val="0"/>
              <w:autoSpaceDN w:val="0"/>
              <w:adjustRightInd w:val="0"/>
              <w:jc w:val="left"/>
              <w:rPr>
                <w:rFonts w:ascii="宋体" w:hAnsi="Times New Roman" w:eastAsia="宋体" w:cs="宋体"/>
                <w:color w:val="auto"/>
                <w:kern w:val="0"/>
                <w:sz w:val="24"/>
                <w:szCs w:val="24"/>
                <w:u w:val="single"/>
              </w:rPr>
            </w:pPr>
            <w:r>
              <w:rPr>
                <w:rFonts w:hint="eastAsia" w:ascii="宋体" w:hAnsi="宋体" w:eastAsia="宋体" w:cs="宋体"/>
                <w:color w:val="auto"/>
                <w:kern w:val="0"/>
                <w:sz w:val="24"/>
                <w:szCs w:val="24"/>
              </w:rPr>
              <w:t>项目名称：</w:t>
            </w:r>
            <w:r>
              <w:rPr>
                <w:rFonts w:ascii="宋体" w:hAnsi="宋体" w:eastAsia="宋体" w:cs="宋体"/>
                <w:color w:val="auto"/>
                <w:kern w:val="0"/>
                <w:sz w:val="24"/>
                <w:szCs w:val="24"/>
                <w:u w:val="single"/>
              </w:rPr>
              <w:t xml:space="preserve">                   </w:t>
            </w:r>
          </w:p>
          <w:p>
            <w:pPr>
              <w:autoSpaceDE w:val="0"/>
              <w:autoSpaceDN w:val="0"/>
              <w:adjustRightInd w:val="0"/>
              <w:jc w:val="left"/>
              <w:rPr>
                <w:rFonts w:ascii="宋体" w:hAnsi="Times New Roman" w:eastAsia="宋体" w:cs="宋体"/>
                <w:color w:val="auto"/>
                <w:kern w:val="0"/>
                <w:sz w:val="24"/>
                <w:szCs w:val="24"/>
                <w:u w:val="single"/>
              </w:rPr>
            </w:pPr>
            <w:r>
              <w:rPr>
                <w:rFonts w:hint="eastAsia" w:ascii="宋体" w:hAnsi="宋体" w:eastAsia="宋体" w:cs="宋体"/>
                <w:color w:val="auto"/>
                <w:kern w:val="0"/>
                <w:sz w:val="24"/>
                <w:szCs w:val="24"/>
              </w:rPr>
              <w:t>项目编号：</w:t>
            </w:r>
            <w:r>
              <w:rPr>
                <w:rFonts w:ascii="宋体" w:hAnsi="宋体" w:eastAsia="宋体" w:cs="宋体"/>
                <w:color w:val="auto"/>
                <w:kern w:val="0"/>
                <w:sz w:val="24"/>
                <w:szCs w:val="24"/>
                <w:u w:val="single"/>
              </w:rPr>
              <w:t xml:space="preserve">                   </w:t>
            </w:r>
          </w:p>
          <w:p>
            <w:pPr>
              <w:autoSpaceDE w:val="0"/>
              <w:autoSpaceDN w:val="0"/>
              <w:adjustRightInd w:val="0"/>
              <w:jc w:val="left"/>
              <w:rPr>
                <w:rFonts w:ascii="宋体" w:hAnsi="Times New Roman" w:eastAsia="宋体" w:cs="宋体"/>
                <w:color w:val="auto"/>
                <w:kern w:val="0"/>
                <w:sz w:val="24"/>
                <w:szCs w:val="24"/>
                <w:u w:val="single"/>
              </w:rPr>
            </w:pPr>
            <w:r>
              <w:rPr>
                <w:rFonts w:hint="eastAsia" w:ascii="宋体" w:hAnsi="宋体" w:eastAsia="宋体" w:cs="宋体"/>
                <w:color w:val="auto"/>
                <w:kern w:val="0"/>
                <w:sz w:val="24"/>
                <w:szCs w:val="24"/>
                <w:lang w:eastAsia="zh-CN"/>
              </w:rPr>
              <w:t>采购人</w:t>
            </w:r>
            <w:r>
              <w:rPr>
                <w:rFonts w:hint="eastAsia" w:ascii="宋体" w:hAnsi="宋体" w:eastAsia="宋体" w:cs="宋体"/>
                <w:color w:val="auto"/>
                <w:kern w:val="0"/>
                <w:sz w:val="24"/>
                <w:szCs w:val="24"/>
              </w:rPr>
              <w:t>：</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ascii="宋体" w:hAnsi="宋体" w:eastAsia="宋体" w:cs="宋体"/>
                <w:color w:val="auto"/>
                <w:kern w:val="0"/>
                <w:sz w:val="24"/>
                <w:szCs w:val="24"/>
                <w:u w:val="single"/>
              </w:rPr>
              <w:t xml:space="preserve">     </w:t>
            </w:r>
          </w:p>
          <w:p>
            <w:pPr>
              <w:autoSpaceDE w:val="0"/>
              <w:autoSpaceDN w:val="0"/>
              <w:adjustRightInd w:val="0"/>
              <w:jc w:val="left"/>
              <w:rPr>
                <w:rFonts w:ascii="宋体" w:hAnsi="Times New Roman"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名称：</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（公章）</w:t>
            </w:r>
          </w:p>
          <w:p>
            <w:pPr>
              <w:autoSpaceDE w:val="0"/>
              <w:autoSpaceDN w:val="0"/>
              <w:adjustRightInd w:val="0"/>
              <w:jc w:val="left"/>
              <w:rPr>
                <w:rFonts w:ascii="宋体" w:hAnsi="Times New Roman"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地址：</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ascii="宋体" w:hAnsi="宋体" w:eastAsia="宋体" w:cs="宋体"/>
                <w:color w:val="auto"/>
                <w:kern w:val="0"/>
                <w:sz w:val="24"/>
                <w:szCs w:val="24"/>
                <w:u w:val="single"/>
              </w:rPr>
              <w:t xml:space="preserve">    </w:t>
            </w:r>
          </w:p>
          <w:p>
            <w:pPr>
              <w:autoSpaceDE w:val="0"/>
              <w:autoSpaceDN w:val="0"/>
              <w:adjustRightInd w:val="0"/>
              <w:jc w:val="left"/>
              <w:rPr>
                <w:rFonts w:ascii="宋体" w:hAnsi="Times New Roman" w:eastAsia="宋体" w:cs="宋体"/>
                <w:color w:val="auto"/>
                <w:kern w:val="0"/>
                <w:sz w:val="24"/>
                <w:szCs w:val="24"/>
              </w:rPr>
            </w:pPr>
            <w:r>
              <w:rPr>
                <w:rFonts w:hint="eastAsia" w:ascii="宋体" w:hAnsi="宋体" w:eastAsia="宋体" w:cs="宋体"/>
                <w:color w:val="auto"/>
                <w:kern w:val="0"/>
                <w:sz w:val="24"/>
                <w:szCs w:val="24"/>
              </w:rPr>
              <w:t>联系人：</w:t>
            </w:r>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联系电话：</w:t>
            </w:r>
            <w:r>
              <w:rPr>
                <w:rFonts w:ascii="宋体" w:hAnsi="宋体" w:eastAsia="宋体" w:cs="宋体"/>
                <w:color w:val="auto"/>
                <w:kern w:val="0"/>
                <w:sz w:val="24"/>
                <w:szCs w:val="24"/>
                <w:u w:val="single"/>
              </w:rPr>
              <w:t xml:space="preserve">                   </w:t>
            </w:r>
          </w:p>
          <w:p>
            <w:pPr>
              <w:autoSpaceDE w:val="0"/>
              <w:autoSpaceDN w:val="0"/>
              <w:adjustRightInd w:val="0"/>
              <w:ind w:firstLine="240" w:firstLineChars="100"/>
              <w:jc w:val="left"/>
              <w:rPr>
                <w:rFonts w:ascii="宋体" w:hAnsi="宋体" w:eastAsia="宋体" w:cs="宋体"/>
                <w:color w:val="auto"/>
                <w:kern w:val="0"/>
                <w:sz w:val="24"/>
                <w:szCs w:val="24"/>
              </w:rPr>
            </w:pPr>
            <w:r>
              <w:rPr>
                <w:rFonts w:hint="eastAsia" w:eastAsia="宋体" w:cs="宋体" w:asciiTheme="minorEastAsia" w:hAnsiTheme="minorEastAsia"/>
                <w:color w:val="auto"/>
                <w:kern w:val="0"/>
                <w:sz w:val="24"/>
                <w:szCs w:val="24"/>
                <w:u w:val="single"/>
              </w:rPr>
              <w:t>202</w:t>
            </w:r>
            <w:r>
              <w:rPr>
                <w:rFonts w:hint="eastAsia" w:eastAsia="宋体" w:cs="宋体" w:asciiTheme="minorEastAsia" w:hAnsiTheme="minorEastAsia"/>
                <w:color w:val="auto"/>
                <w:kern w:val="0"/>
                <w:sz w:val="24"/>
                <w:szCs w:val="24"/>
                <w:u w:val="single"/>
                <w:lang w:val="en-US" w:eastAsia="zh-CN"/>
              </w:rPr>
              <w:t>2</w:t>
            </w:r>
            <w:r>
              <w:rPr>
                <w:rFonts w:hint="eastAsia" w:eastAsia="宋体" w:cs="宋体" w:asciiTheme="minorEastAsia" w:hAnsiTheme="minorEastAsia"/>
                <w:color w:val="auto"/>
                <w:kern w:val="0"/>
                <w:sz w:val="24"/>
                <w:szCs w:val="24"/>
                <w:u w:val="single"/>
              </w:rPr>
              <w:t>年</w:t>
            </w:r>
            <w:r>
              <w:rPr>
                <w:rFonts w:hint="eastAsia" w:eastAsia="宋体" w:cs="宋体" w:asciiTheme="minorEastAsia" w:hAnsiTheme="minorEastAsia"/>
                <w:color w:val="auto"/>
                <w:kern w:val="0"/>
                <w:sz w:val="24"/>
                <w:szCs w:val="24"/>
                <w:u w:val="single"/>
                <w:lang w:val="en-US" w:eastAsia="zh-CN"/>
              </w:rPr>
              <w:t>03</w:t>
            </w:r>
            <w:r>
              <w:rPr>
                <w:rFonts w:hint="eastAsia" w:eastAsia="宋体" w:cs="宋体" w:asciiTheme="minorEastAsia" w:hAnsiTheme="minorEastAsia"/>
                <w:color w:val="auto"/>
                <w:kern w:val="0"/>
                <w:sz w:val="24"/>
                <w:szCs w:val="24"/>
                <w:u w:val="single"/>
              </w:rPr>
              <w:t>月</w:t>
            </w:r>
            <w:r>
              <w:rPr>
                <w:rFonts w:hint="eastAsia" w:eastAsia="宋体" w:cs="宋体" w:asciiTheme="minorEastAsia" w:hAnsiTheme="minorEastAsia"/>
                <w:color w:val="auto"/>
                <w:kern w:val="0"/>
                <w:sz w:val="24"/>
                <w:szCs w:val="24"/>
                <w:u w:val="single"/>
                <w:lang w:val="en-US" w:eastAsia="zh-CN"/>
              </w:rPr>
              <w:t>21</w:t>
            </w:r>
            <w:r>
              <w:rPr>
                <w:rFonts w:hint="eastAsia" w:eastAsia="宋体" w:cs="宋体" w:asciiTheme="minorEastAsia" w:hAnsiTheme="minorEastAsia"/>
                <w:color w:val="auto"/>
                <w:kern w:val="0"/>
                <w:sz w:val="24"/>
                <w:szCs w:val="24"/>
                <w:u w:val="single"/>
              </w:rPr>
              <w:t xml:space="preserve">日 </w:t>
            </w:r>
            <w:r>
              <w:rPr>
                <w:rFonts w:hint="eastAsia" w:eastAsia="宋体" w:cs="宋体" w:asciiTheme="minorEastAsia" w:hAnsiTheme="minorEastAsia"/>
                <w:color w:val="auto"/>
                <w:kern w:val="0"/>
                <w:sz w:val="24"/>
                <w:szCs w:val="24"/>
                <w:u w:val="single"/>
                <w:lang w:val="en-US" w:eastAsia="zh-CN"/>
              </w:rPr>
              <w:t>16</w:t>
            </w:r>
            <w:r>
              <w:rPr>
                <w:rFonts w:hint="eastAsia" w:eastAsia="宋体" w:cs="宋体" w:asciiTheme="minorEastAsia" w:hAnsiTheme="minorEastAsia"/>
                <w:color w:val="auto"/>
                <w:kern w:val="0"/>
                <w:sz w:val="24"/>
                <w:szCs w:val="24"/>
                <w:u w:val="single"/>
              </w:rPr>
              <w:t>:00</w:t>
            </w:r>
            <w:r>
              <w:rPr>
                <w:rFonts w:hint="eastAsia" w:ascii="宋体" w:hAnsi="宋体" w:eastAsia="宋体" w:cs="宋体"/>
                <w:color w:val="auto"/>
                <w:kern w:val="0"/>
                <w:sz w:val="24"/>
                <w:szCs w:val="24"/>
              </w:rPr>
              <w:t>（即开标时间）前不得开封。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12</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竞争性磋商响应文件递交</w:t>
            </w:r>
          </w:p>
        </w:tc>
        <w:tc>
          <w:tcPr>
            <w:tcW w:w="6872" w:type="dxa"/>
            <w:vAlign w:val="center"/>
          </w:tcPr>
          <w:p>
            <w:pPr>
              <w:rPr>
                <w:rFonts w:eastAsia="宋体" w:cs="宋体" w:asciiTheme="minorEastAsia" w:hAnsiTheme="minorEastAsia"/>
                <w:color w:val="auto"/>
                <w:kern w:val="0"/>
                <w:sz w:val="24"/>
                <w:szCs w:val="24"/>
              </w:rPr>
            </w:pPr>
            <w:r>
              <w:rPr>
                <w:rFonts w:hint="eastAsia" w:eastAsia="宋体" w:cs="宋体" w:asciiTheme="minorEastAsia" w:hAnsiTheme="minorEastAsia"/>
                <w:color w:val="auto"/>
                <w:kern w:val="0"/>
                <w:sz w:val="24"/>
                <w:szCs w:val="24"/>
              </w:rPr>
              <w:t>截止时间：</w:t>
            </w:r>
            <w:r>
              <w:rPr>
                <w:rFonts w:hint="eastAsia" w:eastAsia="宋体" w:cs="宋体" w:asciiTheme="minorEastAsia" w:hAnsiTheme="minorEastAsia"/>
                <w:color w:val="auto"/>
                <w:kern w:val="0"/>
                <w:sz w:val="24"/>
                <w:szCs w:val="24"/>
                <w:u w:val="single"/>
              </w:rPr>
              <w:t>202</w:t>
            </w:r>
            <w:r>
              <w:rPr>
                <w:rFonts w:hint="eastAsia" w:eastAsia="宋体" w:cs="宋体" w:asciiTheme="minorEastAsia" w:hAnsiTheme="minorEastAsia"/>
                <w:color w:val="auto"/>
                <w:kern w:val="0"/>
                <w:sz w:val="24"/>
                <w:szCs w:val="24"/>
                <w:u w:val="single"/>
                <w:lang w:val="en-US" w:eastAsia="zh-CN"/>
              </w:rPr>
              <w:t>2</w:t>
            </w:r>
            <w:r>
              <w:rPr>
                <w:rFonts w:hint="eastAsia" w:eastAsia="宋体" w:cs="宋体" w:asciiTheme="minorEastAsia" w:hAnsiTheme="minorEastAsia"/>
                <w:color w:val="auto"/>
                <w:kern w:val="0"/>
                <w:sz w:val="24"/>
                <w:szCs w:val="24"/>
                <w:u w:val="single"/>
              </w:rPr>
              <w:t>年</w:t>
            </w:r>
            <w:r>
              <w:rPr>
                <w:rFonts w:hint="eastAsia" w:eastAsia="宋体" w:cs="宋体" w:asciiTheme="minorEastAsia" w:hAnsiTheme="minorEastAsia"/>
                <w:color w:val="auto"/>
                <w:kern w:val="0"/>
                <w:sz w:val="24"/>
                <w:szCs w:val="24"/>
                <w:u w:val="single"/>
                <w:lang w:val="en-US" w:eastAsia="zh-CN"/>
              </w:rPr>
              <w:t>03</w:t>
            </w:r>
            <w:r>
              <w:rPr>
                <w:rFonts w:hint="eastAsia" w:eastAsia="宋体" w:cs="宋体" w:asciiTheme="minorEastAsia" w:hAnsiTheme="minorEastAsia"/>
                <w:color w:val="auto"/>
                <w:kern w:val="0"/>
                <w:sz w:val="24"/>
                <w:szCs w:val="24"/>
                <w:u w:val="single"/>
              </w:rPr>
              <w:t>月</w:t>
            </w:r>
            <w:r>
              <w:rPr>
                <w:rFonts w:hint="eastAsia" w:eastAsia="宋体" w:cs="宋体" w:asciiTheme="minorEastAsia" w:hAnsiTheme="minorEastAsia"/>
                <w:color w:val="auto"/>
                <w:kern w:val="0"/>
                <w:sz w:val="24"/>
                <w:szCs w:val="24"/>
                <w:u w:val="single"/>
                <w:lang w:val="en-US" w:eastAsia="zh-CN"/>
              </w:rPr>
              <w:t>21</w:t>
            </w:r>
            <w:r>
              <w:rPr>
                <w:rFonts w:hint="eastAsia" w:eastAsia="宋体" w:cs="宋体" w:asciiTheme="minorEastAsia" w:hAnsiTheme="minorEastAsia"/>
                <w:color w:val="auto"/>
                <w:kern w:val="0"/>
                <w:sz w:val="24"/>
                <w:szCs w:val="24"/>
                <w:u w:val="single"/>
              </w:rPr>
              <w:t xml:space="preserve">日 </w:t>
            </w:r>
            <w:r>
              <w:rPr>
                <w:rFonts w:hint="eastAsia" w:eastAsia="宋体" w:cs="宋体" w:asciiTheme="minorEastAsia" w:hAnsiTheme="minorEastAsia"/>
                <w:color w:val="auto"/>
                <w:kern w:val="0"/>
                <w:sz w:val="24"/>
                <w:szCs w:val="24"/>
                <w:u w:val="single"/>
                <w:lang w:val="en-US" w:eastAsia="zh-CN"/>
              </w:rPr>
              <w:t>16</w:t>
            </w:r>
            <w:r>
              <w:rPr>
                <w:rFonts w:hint="eastAsia" w:eastAsia="宋体" w:cs="宋体" w:asciiTheme="minorEastAsia" w:hAnsiTheme="minorEastAsia"/>
                <w:color w:val="auto"/>
                <w:kern w:val="0"/>
                <w:sz w:val="24"/>
                <w:szCs w:val="24"/>
                <w:u w:val="single"/>
              </w:rPr>
              <w:t>:00</w:t>
            </w:r>
            <w:r>
              <w:rPr>
                <w:rFonts w:hint="eastAsia" w:eastAsia="宋体" w:cs="宋体" w:asciiTheme="minorEastAsia" w:hAnsiTheme="minorEastAsia"/>
                <w:color w:val="auto"/>
                <w:kern w:val="0"/>
                <w:sz w:val="24"/>
                <w:szCs w:val="24"/>
              </w:rPr>
              <w:t>（北京时间）</w:t>
            </w:r>
          </w:p>
          <w:p>
            <w:pPr>
              <w:keepNext/>
              <w:widowControl/>
              <w:jc w:val="left"/>
              <w:rPr>
                <w:rFonts w:eastAsia="宋体" w:cs="Arial" w:asciiTheme="minorEastAsia" w:hAnsiTheme="minorEastAsia"/>
                <w:color w:val="auto"/>
                <w:kern w:val="0"/>
                <w:sz w:val="24"/>
                <w:szCs w:val="24"/>
              </w:rPr>
            </w:pPr>
            <w:r>
              <w:rPr>
                <w:rFonts w:hint="eastAsia" w:eastAsia="宋体" w:cs="宋体" w:asciiTheme="minorEastAsia" w:hAnsiTheme="minorEastAsia"/>
                <w:color w:val="auto"/>
                <w:kern w:val="0"/>
                <w:sz w:val="24"/>
                <w:szCs w:val="24"/>
              </w:rPr>
              <w:t>递交地点：乌鲁木齐市水磨沟区立井街丽景名都10 号楼21 楼2110 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13</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开标</w:t>
            </w:r>
          </w:p>
        </w:tc>
        <w:tc>
          <w:tcPr>
            <w:tcW w:w="6872" w:type="dxa"/>
            <w:vAlign w:val="center"/>
          </w:tcPr>
          <w:p>
            <w:pPr>
              <w:rPr>
                <w:rFonts w:eastAsia="宋体" w:cs="宋体" w:asciiTheme="minorEastAsia" w:hAnsiTheme="minorEastAsia"/>
                <w:color w:val="auto"/>
                <w:kern w:val="0"/>
                <w:sz w:val="24"/>
                <w:szCs w:val="24"/>
              </w:rPr>
            </w:pPr>
            <w:r>
              <w:rPr>
                <w:rFonts w:hint="eastAsia" w:eastAsia="宋体" w:cs="宋体" w:asciiTheme="minorEastAsia" w:hAnsiTheme="minorEastAsia"/>
                <w:color w:val="auto"/>
                <w:kern w:val="0"/>
                <w:sz w:val="24"/>
                <w:szCs w:val="24"/>
              </w:rPr>
              <w:t>时间：</w:t>
            </w:r>
            <w:r>
              <w:rPr>
                <w:rFonts w:hint="eastAsia" w:eastAsia="宋体" w:cs="宋体" w:asciiTheme="minorEastAsia" w:hAnsiTheme="minorEastAsia"/>
                <w:color w:val="auto"/>
                <w:kern w:val="0"/>
                <w:sz w:val="24"/>
                <w:szCs w:val="24"/>
                <w:u w:val="single"/>
              </w:rPr>
              <w:t>202</w:t>
            </w:r>
            <w:r>
              <w:rPr>
                <w:rFonts w:hint="eastAsia" w:eastAsia="宋体" w:cs="宋体" w:asciiTheme="minorEastAsia" w:hAnsiTheme="minorEastAsia"/>
                <w:color w:val="auto"/>
                <w:kern w:val="0"/>
                <w:sz w:val="24"/>
                <w:szCs w:val="24"/>
                <w:u w:val="single"/>
                <w:lang w:val="en-US" w:eastAsia="zh-CN"/>
              </w:rPr>
              <w:t>2</w:t>
            </w:r>
            <w:r>
              <w:rPr>
                <w:rFonts w:hint="eastAsia" w:eastAsia="宋体" w:cs="宋体" w:asciiTheme="minorEastAsia" w:hAnsiTheme="minorEastAsia"/>
                <w:color w:val="auto"/>
                <w:kern w:val="0"/>
                <w:sz w:val="24"/>
                <w:szCs w:val="24"/>
                <w:u w:val="single"/>
              </w:rPr>
              <w:t>年</w:t>
            </w:r>
            <w:r>
              <w:rPr>
                <w:rFonts w:hint="eastAsia" w:eastAsia="宋体" w:cs="宋体" w:asciiTheme="minorEastAsia" w:hAnsiTheme="minorEastAsia"/>
                <w:color w:val="auto"/>
                <w:kern w:val="0"/>
                <w:sz w:val="24"/>
                <w:szCs w:val="24"/>
                <w:u w:val="single"/>
                <w:lang w:val="en-US" w:eastAsia="zh-CN"/>
              </w:rPr>
              <w:t>03</w:t>
            </w:r>
            <w:r>
              <w:rPr>
                <w:rFonts w:hint="eastAsia" w:eastAsia="宋体" w:cs="宋体" w:asciiTheme="minorEastAsia" w:hAnsiTheme="minorEastAsia"/>
                <w:color w:val="auto"/>
                <w:kern w:val="0"/>
                <w:sz w:val="24"/>
                <w:szCs w:val="24"/>
                <w:u w:val="single"/>
              </w:rPr>
              <w:t>月</w:t>
            </w:r>
            <w:r>
              <w:rPr>
                <w:rFonts w:hint="eastAsia" w:eastAsia="宋体" w:cs="宋体" w:asciiTheme="minorEastAsia" w:hAnsiTheme="minorEastAsia"/>
                <w:color w:val="auto"/>
                <w:kern w:val="0"/>
                <w:sz w:val="24"/>
                <w:szCs w:val="24"/>
                <w:u w:val="single"/>
                <w:lang w:val="en-US" w:eastAsia="zh-CN"/>
              </w:rPr>
              <w:t>21</w:t>
            </w:r>
            <w:r>
              <w:rPr>
                <w:rFonts w:hint="eastAsia" w:eastAsia="宋体" w:cs="宋体" w:asciiTheme="minorEastAsia" w:hAnsiTheme="minorEastAsia"/>
                <w:color w:val="auto"/>
                <w:kern w:val="0"/>
                <w:sz w:val="24"/>
                <w:szCs w:val="24"/>
                <w:u w:val="single"/>
              </w:rPr>
              <w:t xml:space="preserve">日 </w:t>
            </w:r>
            <w:r>
              <w:rPr>
                <w:rFonts w:hint="eastAsia" w:eastAsia="宋体" w:cs="宋体" w:asciiTheme="minorEastAsia" w:hAnsiTheme="minorEastAsia"/>
                <w:color w:val="auto"/>
                <w:kern w:val="0"/>
                <w:sz w:val="24"/>
                <w:szCs w:val="24"/>
                <w:u w:val="single"/>
                <w:lang w:val="en-US" w:eastAsia="zh-CN"/>
              </w:rPr>
              <w:t>16</w:t>
            </w:r>
            <w:r>
              <w:rPr>
                <w:rFonts w:hint="eastAsia" w:eastAsia="宋体" w:cs="宋体" w:asciiTheme="minorEastAsia" w:hAnsiTheme="minorEastAsia"/>
                <w:color w:val="auto"/>
                <w:kern w:val="0"/>
                <w:sz w:val="24"/>
                <w:szCs w:val="24"/>
                <w:u w:val="single"/>
              </w:rPr>
              <w:t>:00</w:t>
            </w:r>
            <w:r>
              <w:rPr>
                <w:rFonts w:hint="eastAsia" w:eastAsia="宋体" w:cs="宋体" w:asciiTheme="minorEastAsia" w:hAnsiTheme="minorEastAsia"/>
                <w:color w:val="auto"/>
                <w:kern w:val="0"/>
                <w:sz w:val="24"/>
                <w:szCs w:val="24"/>
              </w:rPr>
              <w:t>（北京时间）</w:t>
            </w:r>
          </w:p>
          <w:p>
            <w:pPr>
              <w:keepNext/>
              <w:widowControl/>
              <w:jc w:val="left"/>
              <w:rPr>
                <w:rFonts w:eastAsia="宋体" w:cs="Arial" w:asciiTheme="minorEastAsia" w:hAnsiTheme="minorEastAsia"/>
                <w:color w:val="auto"/>
                <w:kern w:val="0"/>
                <w:sz w:val="24"/>
                <w:szCs w:val="24"/>
              </w:rPr>
            </w:pPr>
            <w:r>
              <w:rPr>
                <w:rFonts w:hint="eastAsia" w:eastAsia="宋体" w:cs="宋体" w:asciiTheme="minorEastAsia" w:hAnsiTheme="minorEastAsia"/>
                <w:color w:val="auto"/>
                <w:kern w:val="0"/>
                <w:sz w:val="24"/>
                <w:szCs w:val="24"/>
              </w:rPr>
              <w:t>地点：乌鲁木齐市水磨沟区立井街丽景名都10 号楼21 楼2110 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14</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投标有效期</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自投标截止之日</w:t>
            </w:r>
            <w:r>
              <w:rPr>
                <w:rFonts w:eastAsia="宋体" w:cs="Arial" w:asciiTheme="minorEastAsia" w:hAnsiTheme="minorEastAsia"/>
                <w:kern w:val="0"/>
                <w:sz w:val="24"/>
                <w:szCs w:val="24"/>
              </w:rPr>
              <w:t>30</w:t>
            </w:r>
            <w:r>
              <w:rPr>
                <w:rFonts w:hint="eastAsia" w:eastAsia="宋体" w:cs="Arial" w:asciiTheme="minorEastAsia" w:hAnsiTheme="minorEastAsia"/>
                <w:kern w:val="0"/>
                <w:sz w:val="24"/>
                <w:szCs w:val="24"/>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15</w:t>
            </w:r>
          </w:p>
        </w:tc>
        <w:tc>
          <w:tcPr>
            <w:tcW w:w="1329" w:type="dxa"/>
            <w:vAlign w:val="center"/>
          </w:tcPr>
          <w:p>
            <w:pPr>
              <w:jc w:val="center"/>
              <w:rPr>
                <w:rFonts w:eastAsia="宋体" w:cs="宋体" w:asciiTheme="minorEastAsia" w:hAnsiTheme="minorEastAsia"/>
                <w:kern w:val="0"/>
                <w:sz w:val="24"/>
                <w:szCs w:val="24"/>
              </w:rPr>
            </w:pPr>
            <w:r>
              <w:rPr>
                <w:rFonts w:hint="eastAsia" w:eastAsia="宋体" w:cs="宋体" w:asciiTheme="minorEastAsia" w:hAnsiTheme="minorEastAsia"/>
                <w:kern w:val="0"/>
                <w:sz w:val="24"/>
                <w:szCs w:val="24"/>
              </w:rPr>
              <w:t>竞争性磋商公告发布媒体</w:t>
            </w:r>
          </w:p>
        </w:tc>
        <w:tc>
          <w:tcPr>
            <w:tcW w:w="6872" w:type="dxa"/>
            <w:vAlign w:val="center"/>
          </w:tcPr>
          <w:p>
            <w:pPr>
              <w:rPr>
                <w:rFonts w:eastAsia="宋体" w:cs="宋体" w:asciiTheme="minorEastAsia" w:hAnsiTheme="minorEastAsia"/>
                <w:kern w:val="0"/>
                <w:sz w:val="24"/>
                <w:szCs w:val="24"/>
                <w:u w:val="single"/>
              </w:rPr>
            </w:pPr>
            <w:r>
              <w:rPr>
                <w:rFonts w:hint="eastAsia" w:eastAsia="宋体" w:cs="Arial" w:asciiTheme="minorEastAsia" w:hAnsiTheme="minorEastAsia"/>
                <w:kern w:val="0"/>
                <w:sz w:val="24"/>
                <w:szCs w:val="24"/>
              </w:rPr>
              <w:t>新疆政府采购网（</w:t>
            </w:r>
            <w:r>
              <w:rPr>
                <w:rFonts w:eastAsia="宋体" w:cs="Arial" w:asciiTheme="minorEastAsia" w:hAnsiTheme="minorEastAsia"/>
                <w:kern w:val="0"/>
                <w:sz w:val="24"/>
                <w:szCs w:val="24"/>
              </w:rPr>
              <w:t>http://www.ccgp-xinjiang.gov.cn/</w:t>
            </w:r>
            <w:r>
              <w:rPr>
                <w:rFonts w:hint="eastAsia" w:eastAsia="宋体" w:cs="Arial" w:asciiTheme="minorEastAsia" w:hAnsiTheme="min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16</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履约保证金</w:t>
            </w:r>
          </w:p>
        </w:tc>
        <w:tc>
          <w:tcPr>
            <w:tcW w:w="6872" w:type="dxa"/>
            <w:vAlign w:val="center"/>
          </w:tcPr>
          <w:p>
            <w:pPr>
              <w:keepNext/>
              <w:widowControl/>
              <w:ind w:firstLine="120" w:firstLineChars="50"/>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78" w:type="dxa"/>
            <w:vAlign w:val="center"/>
          </w:tcPr>
          <w:p>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17</w:t>
            </w:r>
          </w:p>
        </w:tc>
        <w:tc>
          <w:tcPr>
            <w:tcW w:w="1329" w:type="dxa"/>
            <w:vAlign w:val="center"/>
          </w:tcPr>
          <w:p>
            <w:pPr>
              <w:keepNext/>
              <w:widowControl/>
              <w:jc w:val="center"/>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代理服务费</w:t>
            </w:r>
          </w:p>
        </w:tc>
        <w:tc>
          <w:tcPr>
            <w:tcW w:w="6872" w:type="dxa"/>
            <w:vAlign w:val="center"/>
          </w:tcPr>
          <w:p>
            <w:pPr>
              <w:keepNext/>
              <w:widowControl/>
              <w:jc w:val="left"/>
              <w:rPr>
                <w:rFonts w:eastAsia="宋体" w:cs="Arial" w:asciiTheme="minorEastAsia" w:hAnsiTheme="minorEastAsia"/>
                <w:kern w:val="0"/>
                <w:sz w:val="24"/>
                <w:szCs w:val="24"/>
              </w:rPr>
            </w:pPr>
            <w:r>
              <w:rPr>
                <w:rFonts w:hint="eastAsia" w:eastAsia="宋体" w:cs="Arial" w:asciiTheme="minorEastAsia" w:hAnsiTheme="minorEastAsia"/>
                <w:kern w:val="0"/>
                <w:sz w:val="24"/>
                <w:szCs w:val="24"/>
              </w:rPr>
              <w:t>采购人委托了专业的招标代理机构实施本次招标工作。招标代理服务费的计算执行“《国家发展改革委关于进一步放开建设项目专业服务价格的通知》</w:t>
            </w:r>
            <w:r>
              <w:rPr>
                <w:rFonts w:eastAsia="宋体" w:cs="Arial" w:asciiTheme="minorEastAsia" w:hAnsiTheme="minorEastAsia"/>
                <w:kern w:val="0"/>
                <w:sz w:val="24"/>
                <w:szCs w:val="24"/>
              </w:rPr>
              <w:t xml:space="preserve">[2015] 299 </w:t>
            </w:r>
            <w:r>
              <w:rPr>
                <w:rFonts w:hint="eastAsia" w:eastAsia="宋体" w:cs="Arial" w:asciiTheme="minorEastAsia" w:hAnsiTheme="minorEastAsia"/>
                <w:kern w:val="0"/>
                <w:sz w:val="24"/>
                <w:szCs w:val="24"/>
              </w:rPr>
              <w:t>号文件”的规定，本次招标代理服务费由成交</w:t>
            </w:r>
            <w:r>
              <w:rPr>
                <w:rFonts w:hint="eastAsia" w:eastAsia="宋体" w:cs="Arial" w:asciiTheme="minorEastAsia" w:hAnsiTheme="minorEastAsia"/>
                <w:kern w:val="0"/>
                <w:sz w:val="24"/>
                <w:szCs w:val="24"/>
                <w:lang w:eastAsia="zh-CN"/>
              </w:rPr>
              <w:t>供应商</w:t>
            </w:r>
            <w:r>
              <w:rPr>
                <w:rFonts w:hint="eastAsia" w:eastAsia="宋体" w:cs="Arial" w:asciiTheme="minorEastAsia" w:hAnsiTheme="minorEastAsia"/>
                <w:kern w:val="0"/>
                <w:sz w:val="24"/>
                <w:szCs w:val="24"/>
              </w:rPr>
              <w:t>支付。</w:t>
            </w:r>
          </w:p>
        </w:tc>
      </w:tr>
    </w:tbl>
    <w:p>
      <w:pPr>
        <w:rPr>
          <w:rFonts w:ascii="宋体" w:hAnsi="Calibri" w:eastAsia="宋体" w:cs="Times New Roman"/>
          <w:kern w:val="0"/>
          <w:sz w:val="24"/>
          <w:szCs w:val="24"/>
        </w:rPr>
      </w:pPr>
    </w:p>
    <w:p>
      <w:pPr>
        <w:spacing w:line="360" w:lineRule="auto"/>
        <w:jc w:val="center"/>
        <w:outlineLvl w:val="0"/>
        <w:rPr>
          <w:rFonts w:ascii="宋体" w:hAnsi="宋体" w:eastAsia="宋体" w:cs="宋体"/>
          <w:b/>
          <w:sz w:val="24"/>
          <w:szCs w:val="24"/>
        </w:rPr>
      </w:pPr>
      <w:bookmarkStart w:id="2" w:name="_BookMark_3"/>
      <w:bookmarkEnd w:id="2"/>
      <w:r>
        <w:rPr>
          <w:rFonts w:ascii="宋体" w:hAnsi="Calibri" w:eastAsia="宋体" w:cs="Arial"/>
          <w:kern w:val="0"/>
          <w:sz w:val="24"/>
          <w:szCs w:val="24"/>
        </w:rPr>
        <w:br w:type="page"/>
      </w:r>
      <w:bookmarkStart w:id="3" w:name="_Toc31879"/>
      <w:r>
        <w:rPr>
          <w:rFonts w:hint="eastAsia" w:ascii="宋体" w:hAnsi="宋体" w:eastAsia="宋体" w:cs="宋体"/>
          <w:b/>
          <w:sz w:val="24"/>
          <w:szCs w:val="24"/>
        </w:rPr>
        <w:t>第一章 供应商须知</w:t>
      </w:r>
      <w:bookmarkEnd w:id="3"/>
      <w:bookmarkStart w:id="4" w:name="_BookMark_2"/>
      <w:bookmarkEnd w:id="4"/>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5" w:name="_Toc27738"/>
      <w:r>
        <w:rPr>
          <w:rFonts w:ascii="宋体" w:hAnsi="宋体" w:eastAsia="宋体" w:cs="宋体"/>
          <w:b/>
          <w:sz w:val="24"/>
          <w:szCs w:val="24"/>
        </w:rPr>
        <w:t>1</w:t>
      </w:r>
      <w:r>
        <w:rPr>
          <w:rFonts w:hint="eastAsia" w:ascii="宋体" w:hAnsi="宋体" w:eastAsia="宋体" w:cs="宋体"/>
          <w:b/>
          <w:sz w:val="24"/>
          <w:szCs w:val="24"/>
        </w:rPr>
        <w:t>．总则</w:t>
      </w:r>
      <w:bookmarkEnd w:id="5"/>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1.1 </w:t>
      </w:r>
      <w:r>
        <w:rPr>
          <w:rFonts w:hint="eastAsia" w:ascii="宋体" w:hAnsi="宋体" w:eastAsia="宋体" w:cs="Arial"/>
          <w:kern w:val="0"/>
          <w:sz w:val="24"/>
          <w:szCs w:val="24"/>
        </w:rPr>
        <w:t>招标项目概况</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1.1.1</w:t>
      </w:r>
      <w:r>
        <w:rPr>
          <w:rFonts w:hint="eastAsia" w:ascii="宋体" w:hAnsi="宋体" w:eastAsia="宋体" w:cs="Arial"/>
          <w:kern w:val="0"/>
          <w:sz w:val="24"/>
          <w:szCs w:val="24"/>
        </w:rPr>
        <w:t>项目名称：见供应商须知前附表。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1.1.2</w:t>
      </w:r>
      <w:r>
        <w:rPr>
          <w:rFonts w:hint="eastAsia" w:ascii="宋体" w:hAnsi="宋体" w:eastAsia="宋体" w:cs="Arial"/>
          <w:kern w:val="0"/>
          <w:sz w:val="24"/>
          <w:szCs w:val="24"/>
        </w:rPr>
        <w:t>项目编号：见供应商须知前附表。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1.1.3</w:t>
      </w:r>
      <w:r>
        <w:rPr>
          <w:rFonts w:hint="eastAsia" w:ascii="宋体" w:hAnsi="宋体" w:eastAsia="宋体" w:cs="Arial"/>
          <w:kern w:val="0"/>
          <w:sz w:val="24"/>
          <w:szCs w:val="24"/>
        </w:rPr>
        <w:t>采购人：见供应商须知前附表。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1.1.4</w:t>
      </w:r>
      <w:r>
        <w:rPr>
          <w:rFonts w:hint="eastAsia" w:ascii="宋体" w:hAnsi="宋体" w:eastAsia="宋体" w:cs="Arial"/>
          <w:kern w:val="0"/>
          <w:sz w:val="24"/>
          <w:szCs w:val="24"/>
        </w:rPr>
        <w:t>采购代理机构：见供应商须知前附表。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1.1.5</w:t>
      </w:r>
      <w:r>
        <w:rPr>
          <w:rFonts w:hint="eastAsia" w:ascii="宋体" w:hAnsi="宋体" w:eastAsia="宋体" w:cs="Arial"/>
          <w:kern w:val="0"/>
          <w:sz w:val="24"/>
          <w:szCs w:val="24"/>
        </w:rPr>
        <w:t>项目地点：见供应商须知前附表。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1.1.6</w:t>
      </w:r>
      <w:r>
        <w:rPr>
          <w:rFonts w:hint="eastAsia" w:ascii="宋体" w:hAnsi="宋体" w:eastAsia="宋体" w:cs="Arial"/>
          <w:kern w:val="0"/>
          <w:sz w:val="24"/>
          <w:szCs w:val="24"/>
        </w:rPr>
        <w:t>资金来源：见供应商须知前附表。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1.1.7</w:t>
      </w:r>
      <w:r>
        <w:rPr>
          <w:rFonts w:hint="eastAsia" w:ascii="宋体" w:hAnsi="宋体" w:eastAsia="宋体" w:cs="Arial"/>
          <w:kern w:val="0"/>
          <w:sz w:val="24"/>
          <w:szCs w:val="24"/>
        </w:rPr>
        <w:t>采购预算金额：见供应商须知前附表。</w:t>
      </w:r>
    </w:p>
    <w:p>
      <w:pPr>
        <w:widowControl/>
        <w:shd w:val="clear" w:color="auto" w:fill="FFFFFF"/>
        <w:snapToGrid w:val="0"/>
        <w:spacing w:line="360" w:lineRule="auto"/>
        <w:ind w:firstLine="480" w:firstLineChars="200"/>
        <w:rPr>
          <w:rFonts w:hint="eastAsia" w:ascii="宋体" w:hAnsi="宋体" w:eastAsia="宋体" w:cs="Arial"/>
          <w:kern w:val="0"/>
          <w:sz w:val="24"/>
          <w:szCs w:val="24"/>
        </w:rPr>
      </w:pPr>
      <w:r>
        <w:rPr>
          <w:rFonts w:hint="eastAsia" w:ascii="宋体" w:hAnsi="宋体" w:eastAsia="宋体" w:cs="Arial"/>
          <w:kern w:val="0"/>
          <w:sz w:val="24"/>
          <w:szCs w:val="24"/>
        </w:rPr>
        <w:t>1.1.</w:t>
      </w:r>
      <w:r>
        <w:rPr>
          <w:rFonts w:hint="eastAsia" w:ascii="宋体" w:hAnsi="宋体" w:eastAsia="宋体" w:cs="Arial"/>
          <w:kern w:val="0"/>
          <w:sz w:val="24"/>
          <w:szCs w:val="24"/>
          <w:lang w:val="en-US" w:eastAsia="zh-CN"/>
        </w:rPr>
        <w:t>8</w:t>
      </w:r>
      <w:r>
        <w:rPr>
          <w:rFonts w:hint="eastAsia" w:ascii="宋体" w:hAnsi="宋体" w:eastAsia="宋体" w:cs="Arial"/>
          <w:kern w:val="0"/>
          <w:sz w:val="24"/>
          <w:szCs w:val="24"/>
        </w:rPr>
        <w:t>项目概况：见供应商须知前附表。</w:t>
      </w:r>
    </w:p>
    <w:p>
      <w:pPr>
        <w:pStyle w:val="2"/>
        <w:keepNext w:val="0"/>
        <w:keepLines w:val="0"/>
        <w:pageBreakBefore w:val="0"/>
        <w:kinsoku/>
        <w:wordWrap/>
        <w:overflowPunct/>
        <w:topLinePunct w:val="0"/>
        <w:autoSpaceDE/>
        <w:autoSpaceDN/>
        <w:bidi w:val="0"/>
        <w:adjustRightInd/>
        <w:snapToGrid w:val="0"/>
        <w:spacing w:line="360" w:lineRule="auto"/>
        <w:ind w:firstLine="480" w:firstLineChars="200"/>
        <w:textAlignment w:val="auto"/>
      </w:pPr>
      <w:r>
        <w:rPr>
          <w:rFonts w:hint="eastAsia" w:cs="Arial" w:asciiTheme="minorEastAsia" w:hAnsiTheme="minorEastAsia"/>
          <w:kern w:val="0"/>
          <w:sz w:val="24"/>
          <w:szCs w:val="24"/>
          <w:lang w:val="en-US" w:eastAsia="zh-CN"/>
        </w:rPr>
        <w:t>1.1.9</w:t>
      </w:r>
      <w:r>
        <w:rPr>
          <w:rFonts w:hint="eastAsia" w:eastAsia="宋体" w:cs="Arial" w:asciiTheme="minorEastAsia" w:hAnsiTheme="minorEastAsia"/>
          <w:kern w:val="0"/>
          <w:sz w:val="24"/>
          <w:szCs w:val="24"/>
          <w:lang w:eastAsia="zh-CN"/>
        </w:rPr>
        <w:t>服务周期</w:t>
      </w:r>
      <w:r>
        <w:rPr>
          <w:rFonts w:hint="eastAsia" w:cs="Arial" w:asciiTheme="minorEastAsia" w:hAnsiTheme="minorEastAsia"/>
          <w:kern w:val="0"/>
          <w:sz w:val="24"/>
          <w:szCs w:val="24"/>
          <w:lang w:eastAsia="zh-CN"/>
        </w:rPr>
        <w:t>：见供应商须知前附表。</w:t>
      </w:r>
    </w:p>
    <w:p>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textAlignment w:val="auto"/>
        <w:rPr>
          <w:rFonts w:ascii="宋体" w:hAnsi="宋体" w:eastAsia="宋体" w:cs="Arial"/>
          <w:kern w:val="0"/>
          <w:sz w:val="24"/>
          <w:szCs w:val="24"/>
        </w:rPr>
      </w:pPr>
      <w:r>
        <w:rPr>
          <w:rFonts w:ascii="宋体" w:hAnsi="宋体" w:eastAsia="宋体" w:cs="Arial"/>
          <w:kern w:val="0"/>
          <w:sz w:val="24"/>
          <w:szCs w:val="24"/>
        </w:rPr>
        <w:t>1.2</w:t>
      </w:r>
      <w:r>
        <w:rPr>
          <w:rFonts w:hint="eastAsia" w:ascii="宋体" w:hAnsi="宋体" w:eastAsia="宋体" w:cs="Arial"/>
          <w:kern w:val="0"/>
          <w:sz w:val="24"/>
          <w:szCs w:val="24"/>
        </w:rPr>
        <w:t xml:space="preserve"> 招标范围：见供应商须知前附表。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1.3 </w:t>
      </w:r>
      <w:r>
        <w:rPr>
          <w:rFonts w:hint="eastAsia" w:ascii="宋体" w:hAnsi="宋体" w:eastAsia="宋体" w:cs="Arial"/>
          <w:kern w:val="0"/>
          <w:sz w:val="24"/>
          <w:szCs w:val="24"/>
        </w:rPr>
        <w:t>招标方式和资格审查方式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1.3.1 </w:t>
      </w:r>
      <w:r>
        <w:rPr>
          <w:rFonts w:hint="eastAsia" w:ascii="宋体" w:hAnsi="宋体" w:eastAsia="宋体" w:cs="Arial"/>
          <w:kern w:val="0"/>
          <w:sz w:val="24"/>
          <w:szCs w:val="24"/>
        </w:rPr>
        <w:t>招标方式：见供应商须知前附表。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1.3.2 </w:t>
      </w:r>
      <w:r>
        <w:rPr>
          <w:rFonts w:hint="eastAsia" w:ascii="宋体" w:hAnsi="宋体" w:eastAsia="宋体" w:cs="Arial"/>
          <w:kern w:val="0"/>
          <w:sz w:val="24"/>
          <w:szCs w:val="24"/>
        </w:rPr>
        <w:t>资格审查方式：见供应商须知前附表。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 </w:t>
      </w:r>
      <w:r>
        <w:rPr>
          <w:rFonts w:hint="eastAsia" w:ascii="宋体" w:hAnsi="宋体" w:eastAsia="宋体" w:cs="Arial"/>
          <w:kern w:val="0"/>
          <w:sz w:val="24"/>
          <w:szCs w:val="24"/>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1.4.1 </w:t>
      </w:r>
      <w:r>
        <w:rPr>
          <w:rFonts w:hint="eastAsia" w:ascii="宋体" w:hAnsi="宋体" w:eastAsia="宋体" w:cs="Arial"/>
          <w:kern w:val="0"/>
          <w:sz w:val="24"/>
          <w:szCs w:val="24"/>
        </w:rPr>
        <w:t>评标办法：见供应商须知前附表。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1.4.2</w:t>
      </w:r>
      <w:r>
        <w:rPr>
          <w:rFonts w:hint="eastAsia" w:ascii="宋体" w:hAnsi="宋体" w:eastAsia="宋体" w:cs="Arial"/>
          <w:kern w:val="0"/>
          <w:sz w:val="24"/>
          <w:szCs w:val="24"/>
        </w:rPr>
        <w:t xml:space="preserve"> 定标方法：见供应商须知前附表。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 </w:t>
      </w:r>
      <w:r>
        <w:rPr>
          <w:rFonts w:hint="eastAsia" w:ascii="宋体" w:hAnsi="宋体" w:eastAsia="宋体" w:cs="Arial"/>
          <w:kern w:val="0"/>
          <w:sz w:val="24"/>
          <w:szCs w:val="24"/>
        </w:rPr>
        <w:t>供应商资格条件和能力要求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1.5.1 </w:t>
      </w:r>
      <w:r>
        <w:rPr>
          <w:rFonts w:hint="eastAsia" w:ascii="宋体" w:hAnsi="宋体" w:eastAsia="宋体" w:cs="Arial"/>
          <w:kern w:val="0"/>
          <w:sz w:val="24"/>
          <w:szCs w:val="24"/>
        </w:rPr>
        <w:t>供应商应具备承担本招标项目的资格条件和能力，具体要求见供应商须知前附表。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1.5.2 </w:t>
      </w:r>
      <w:r>
        <w:rPr>
          <w:rFonts w:hint="eastAsia" w:ascii="宋体" w:hAnsi="宋体" w:eastAsia="宋体" w:cs="Arial"/>
          <w:kern w:val="0"/>
          <w:sz w:val="24"/>
          <w:szCs w:val="24"/>
        </w:rPr>
        <w:t>供应商须知前附表规定接受联合体投标的，除应符合本章第</w:t>
      </w:r>
      <w:r>
        <w:rPr>
          <w:rFonts w:ascii="宋体" w:hAnsi="宋体" w:eastAsia="宋体" w:cs="Arial"/>
          <w:kern w:val="0"/>
          <w:sz w:val="24"/>
          <w:szCs w:val="24"/>
        </w:rPr>
        <w:t>1.</w:t>
      </w:r>
      <w:r>
        <w:rPr>
          <w:rFonts w:hint="eastAsia" w:ascii="宋体" w:hAnsi="宋体" w:eastAsia="宋体" w:cs="Arial"/>
          <w:kern w:val="0"/>
          <w:sz w:val="24"/>
          <w:szCs w:val="24"/>
        </w:rPr>
        <w:t>5</w:t>
      </w:r>
      <w:r>
        <w:rPr>
          <w:rFonts w:ascii="宋体" w:hAnsi="宋体" w:eastAsia="宋体" w:cs="Arial"/>
          <w:kern w:val="0"/>
          <w:sz w:val="24"/>
          <w:szCs w:val="24"/>
        </w:rPr>
        <w:t>.1</w:t>
      </w:r>
      <w:r>
        <w:rPr>
          <w:rFonts w:hint="eastAsia" w:ascii="宋体" w:hAnsi="宋体" w:eastAsia="宋体" w:cs="Arial"/>
          <w:kern w:val="0"/>
          <w:sz w:val="24"/>
          <w:szCs w:val="24"/>
        </w:rPr>
        <w:t>款和供应商须知前附表的要求外，还应遵守以下规定：（</w:t>
      </w:r>
      <w:r>
        <w:rPr>
          <w:rFonts w:ascii="宋体" w:hAnsi="宋体" w:eastAsia="宋体" w:cs="Arial"/>
          <w:kern w:val="0"/>
          <w:sz w:val="24"/>
          <w:szCs w:val="24"/>
        </w:rPr>
        <w:t>1</w:t>
      </w:r>
      <w:r>
        <w:rPr>
          <w:rFonts w:hint="eastAsia" w:ascii="宋体" w:hAnsi="宋体" w:eastAsia="宋体" w:cs="Arial"/>
          <w:kern w:val="0"/>
          <w:sz w:val="24"/>
          <w:szCs w:val="24"/>
        </w:rPr>
        <w:t>）联合体各方应按竞争性磋商文件提供的格式签订联合体协议书，明确联合体牵头人和各方权利义务；（</w:t>
      </w:r>
      <w:r>
        <w:rPr>
          <w:rFonts w:ascii="宋体" w:hAnsi="宋体" w:eastAsia="宋体" w:cs="Arial"/>
          <w:kern w:val="0"/>
          <w:sz w:val="24"/>
          <w:szCs w:val="24"/>
        </w:rPr>
        <w:t>2</w:t>
      </w:r>
      <w:r>
        <w:rPr>
          <w:rFonts w:hint="eastAsia" w:ascii="宋体" w:hAnsi="宋体" w:eastAsia="宋体" w:cs="Arial"/>
          <w:kern w:val="0"/>
          <w:sz w:val="24"/>
          <w:szCs w:val="24"/>
        </w:rPr>
        <w:t>）联合体各方不得再以自己名义单独或参加其他联合体在本招标项目中投标。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1.5.3 </w:t>
      </w:r>
      <w:r>
        <w:rPr>
          <w:rFonts w:hint="eastAsia" w:ascii="宋体" w:hAnsi="宋体" w:eastAsia="宋体" w:cs="Arial"/>
          <w:kern w:val="0"/>
          <w:sz w:val="24"/>
          <w:szCs w:val="24"/>
        </w:rPr>
        <w:t>供应商不得存在下列情形之一，否则相关投标均应被否决：</w:t>
      </w:r>
    </w:p>
    <w:p>
      <w:pPr>
        <w:autoSpaceDE w:val="0"/>
        <w:autoSpaceDN w:val="0"/>
        <w:spacing w:line="360" w:lineRule="auto"/>
        <w:ind w:firstLine="480" w:firstLineChars="200"/>
        <w:jc w:val="left"/>
        <w:rPr>
          <w:sz w:val="24"/>
          <w:szCs w:val="24"/>
        </w:rPr>
      </w:pPr>
      <w:bookmarkStart w:id="6" w:name="_BookMark_5"/>
      <w:bookmarkEnd w:id="6"/>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w:t>
      </w:r>
      <w:r>
        <w:rPr>
          <w:sz w:val="24"/>
          <w:szCs w:val="24"/>
        </w:rPr>
        <w:t>与采购人存在利害关系可能影响招标公正性的法人、其他组织或者个人，不得参加投标。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）单位负责人为同一人或者存在控股、管理关系的不同供应商，不得参加同一合同项下的政府采购活动。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6费用承担</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1.6.1竞争性磋商文件费：见供应商须知前附表。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1.6.2供应商应承担其编制竞争性磋商响应文件与递交竞争性磋商响应文件所涉及的一切费用，无论投标结果如何，采购人及采购代理机构对上述费用不作任何补偿。采购代理费由成交人支付。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7磋商保证金：见供应商须知前附表。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1.8踏勘现场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.1 </w:t>
      </w:r>
      <w:r>
        <w:rPr>
          <w:rFonts w:hint="eastAsia" w:ascii="宋体" w:hAnsi="宋体" w:eastAsia="宋体" w:cs="Arial"/>
          <w:kern w:val="0"/>
          <w:sz w:val="24"/>
          <w:szCs w:val="24"/>
        </w:rPr>
        <w:t>供应商须知前附表规定组织踏勘现场的，采购人或采购代理机构按供应商须知前附表规定的时间、地点组织供应商踏勘项目现场。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.2 </w:t>
      </w:r>
      <w:r>
        <w:rPr>
          <w:rFonts w:hint="eastAsia" w:ascii="宋体" w:hAnsi="宋体" w:eastAsia="宋体" w:cs="Arial"/>
          <w:kern w:val="0"/>
          <w:sz w:val="24"/>
          <w:szCs w:val="24"/>
        </w:rPr>
        <w:t>供应商踏勘现场发生的费用自理。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.3 </w:t>
      </w:r>
      <w:r>
        <w:rPr>
          <w:rFonts w:hint="eastAsia" w:ascii="宋体" w:hAnsi="宋体" w:eastAsia="宋体" w:cs="Arial"/>
          <w:kern w:val="0"/>
          <w:sz w:val="24"/>
          <w:szCs w:val="24"/>
        </w:rPr>
        <w:t>除采购人或采购代理机构的原因外，供应商自行负责在踏勘现场中所发生的人员伤亡和财产损失。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8</w:t>
      </w:r>
      <w:r>
        <w:rPr>
          <w:rFonts w:ascii="宋体" w:hAnsi="宋体" w:eastAsia="宋体" w:cs="Arial"/>
          <w:kern w:val="0"/>
          <w:sz w:val="24"/>
          <w:szCs w:val="24"/>
        </w:rPr>
        <w:t xml:space="preserve">.4 </w:t>
      </w:r>
      <w:r>
        <w:rPr>
          <w:rFonts w:hint="eastAsia" w:ascii="宋体" w:hAnsi="宋体" w:eastAsia="宋体" w:cs="Arial"/>
          <w:kern w:val="0"/>
          <w:sz w:val="24"/>
          <w:szCs w:val="24"/>
        </w:rPr>
        <w:t>采购人或采购代理机构在踏勘现场中介绍的项目有关情况，供供应商在编制竞争性磋商响应文件时参考，采购人或采购代理机构不对供应商据此作出的判断和决策负责。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9招标答疑会和招标澄清答疑要求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.1 </w:t>
      </w:r>
      <w:r>
        <w:rPr>
          <w:rFonts w:hint="eastAsia" w:ascii="宋体" w:hAnsi="宋体" w:eastAsia="宋体" w:cs="Arial"/>
          <w:kern w:val="0"/>
          <w:sz w:val="24"/>
          <w:szCs w:val="24"/>
        </w:rPr>
        <w:t>供应商须知前附表规定召开招标答疑会的，采购人或采购代理机构按照供应商须知前附表规定的时间和地点召开招标答疑会，澄清供应商提出的问题。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.2 </w:t>
      </w:r>
      <w:r>
        <w:rPr>
          <w:rFonts w:hint="eastAsia" w:ascii="宋体" w:hAnsi="宋体" w:eastAsia="宋体" w:cs="Arial"/>
          <w:kern w:val="0"/>
          <w:sz w:val="24"/>
          <w:szCs w:val="24"/>
        </w:rPr>
        <w:t>供应商若有疑问，应按供应商须知前附表规定的时间、方式向采购人或采购代理机构提出，要求采购人对竞争性磋商文件予以澄清。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9</w:t>
      </w:r>
      <w:r>
        <w:rPr>
          <w:rFonts w:ascii="宋体" w:hAnsi="宋体" w:eastAsia="宋体" w:cs="Arial"/>
          <w:kern w:val="0"/>
          <w:sz w:val="24"/>
          <w:szCs w:val="24"/>
        </w:rPr>
        <w:t xml:space="preserve">.3 </w:t>
      </w:r>
      <w:r>
        <w:rPr>
          <w:rFonts w:hint="eastAsia" w:ascii="宋体" w:hAnsi="宋体" w:eastAsia="宋体" w:cs="Arial"/>
          <w:kern w:val="0"/>
          <w:sz w:val="24"/>
          <w:szCs w:val="24"/>
        </w:rPr>
        <w:t>采购人或采购代理机构将按照供应商须知前附表规定的时间方式对供应商的疑问作出统一的解答。</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1.10竞争性磋商响应文件份数：见供应商须知前附表。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1.11竞争性磋商响应文件递交：见供应商须知前附表。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1.12开标：见供应商须知前附表。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1.13投标有效期：见供应商须知前附表。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1.14竞争性磋商公告发布媒体：见供应商须知前附表。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1.15履约保证金：见供应商须知前附表。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1.16保密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参与招标投标活动的各方应当对竞争性磋商文件和竞争性磋商响应文件中的商业和技术等秘密保密，否则应当承担相应的法律责任。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17语言文字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18计量单位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1.</w:t>
      </w:r>
      <w:r>
        <w:rPr>
          <w:rFonts w:hint="eastAsia" w:ascii="宋体" w:hAnsi="宋体" w:eastAsia="宋体" w:cs="Arial"/>
          <w:kern w:val="0"/>
          <w:sz w:val="24"/>
          <w:szCs w:val="24"/>
        </w:rPr>
        <w:t>19偏离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竞争性磋商响应文件与竞争性磋商文件某些要求产生偏离的，偏离应当符合竞争性磋商文件规定的偏离范围和幅度。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7" w:name="_Toc4890"/>
      <w:r>
        <w:rPr>
          <w:rFonts w:ascii="宋体" w:hAnsi="宋体" w:eastAsia="宋体" w:cs="宋体"/>
          <w:b/>
          <w:sz w:val="24"/>
          <w:szCs w:val="24"/>
        </w:rPr>
        <w:t>2</w:t>
      </w:r>
      <w:r>
        <w:rPr>
          <w:rFonts w:hint="eastAsia" w:ascii="宋体" w:hAnsi="宋体" w:eastAsia="宋体" w:cs="宋体"/>
          <w:b/>
          <w:sz w:val="24"/>
          <w:szCs w:val="24"/>
        </w:rPr>
        <w:t>．竞争性磋商文件</w:t>
      </w:r>
      <w:bookmarkEnd w:id="7"/>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2.1 </w:t>
      </w:r>
      <w:r>
        <w:rPr>
          <w:rFonts w:hint="eastAsia" w:ascii="宋体" w:hAnsi="宋体" w:eastAsia="宋体" w:cs="Arial"/>
          <w:kern w:val="0"/>
          <w:sz w:val="24"/>
          <w:szCs w:val="24"/>
        </w:rPr>
        <w:t>竞争性磋商文件的组成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（1）竞争性磋商公告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（2）供应商须知；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（3）评标办法；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（4）合同条款及格式；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（5）造价咨询服务内容；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（6）竞争性磋商响应文件格式；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根据本章第</w:t>
      </w:r>
      <w:r>
        <w:rPr>
          <w:rFonts w:ascii="宋体" w:hAnsi="宋体" w:eastAsia="宋体" w:cs="Arial"/>
          <w:kern w:val="0"/>
          <w:sz w:val="24"/>
          <w:szCs w:val="24"/>
        </w:rPr>
        <w:t>2.4</w:t>
      </w:r>
      <w:r>
        <w:rPr>
          <w:rFonts w:hint="eastAsia" w:ascii="宋体" w:hAnsi="宋体" w:eastAsia="宋体" w:cs="Arial"/>
          <w:kern w:val="0"/>
          <w:sz w:val="24"/>
          <w:szCs w:val="24"/>
        </w:rPr>
        <w:t>款和第</w:t>
      </w:r>
      <w:r>
        <w:rPr>
          <w:rFonts w:ascii="宋体" w:hAnsi="宋体" w:eastAsia="宋体" w:cs="Arial"/>
          <w:kern w:val="0"/>
          <w:sz w:val="24"/>
          <w:szCs w:val="24"/>
        </w:rPr>
        <w:t>2.5</w:t>
      </w:r>
      <w:r>
        <w:rPr>
          <w:rFonts w:hint="eastAsia" w:ascii="宋体" w:hAnsi="宋体" w:eastAsia="宋体" w:cs="Arial"/>
          <w:kern w:val="0"/>
          <w:sz w:val="24"/>
          <w:szCs w:val="24"/>
        </w:rPr>
        <w:t>款对竞争性磋商文件所作的澄清、修改，构成竞争性磋商文件的组成部分。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2竞争性磋商文件的获取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凡有意参加并符合供应商须知前附表“供应商资格条件和能力”的供应商，均可在采购代理机构获取竞争性磋商文件。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3竞争性磋商文件的澄清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.1 </w:t>
      </w:r>
      <w:r>
        <w:rPr>
          <w:rFonts w:hint="eastAsia" w:ascii="宋体" w:hAnsi="宋体" w:eastAsia="宋体" w:cs="Arial"/>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竞争性磋商文件的澄清将按照供应商须知前附表规定的时间、方式发布，但不指明澄清问题的来源。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4竞争性磋商文件的修改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竞争性磋商文件的修改将按照供应商须知前附表规定的时间、方式发布，但不指明澄清问题的来源。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在供应商须知前附表规定的截止时间前，无论出于何种原因，采购代理机构和采购人可主动地或在解答潜在供应商提出的澄清问题时对竞争性磋商文件进行修改。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.3 </w:t>
      </w:r>
      <w:r>
        <w:rPr>
          <w:rFonts w:hint="eastAsia" w:ascii="宋体" w:hAnsi="宋体" w:eastAsia="宋体" w:cs="Arial"/>
          <w:kern w:val="0"/>
          <w:sz w:val="24"/>
          <w:szCs w:val="24"/>
        </w:rPr>
        <w:t>竞争性磋商文件的修改部分是竞争性磋商文件的组成部分对供应商具有约束力。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.4 </w:t>
      </w:r>
      <w:r>
        <w:rPr>
          <w:rFonts w:hint="eastAsia" w:ascii="宋体" w:hAnsi="宋体" w:eastAsia="宋体" w:cs="Arial"/>
          <w:kern w:val="0"/>
          <w:sz w:val="24"/>
          <w:szCs w:val="24"/>
        </w:rPr>
        <w:t>为使供应商准备投标时有充分时间对竞争性磋商文件的修改部分进行研究，采购人可适当推迟投标截止期。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.5 </w:t>
      </w:r>
      <w:r>
        <w:rPr>
          <w:rFonts w:hint="eastAsia" w:ascii="宋体" w:hAnsi="宋体" w:eastAsia="宋体" w:cs="Arial"/>
          <w:kern w:val="0"/>
          <w:sz w:val="24"/>
          <w:szCs w:val="24"/>
        </w:rPr>
        <w:t>当采购人发放的竞争性磋商文件及竞争性磋商文件的答疑文件、修改文件、补充文件前后不一致，发生矛盾情况时，以最后发出的为准。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4</w:t>
      </w:r>
      <w:r>
        <w:rPr>
          <w:rFonts w:ascii="宋体" w:hAnsi="宋体" w:eastAsia="宋体" w:cs="Arial"/>
          <w:kern w:val="0"/>
          <w:sz w:val="24"/>
          <w:szCs w:val="24"/>
        </w:rPr>
        <w:t xml:space="preserve">.6 </w:t>
      </w:r>
      <w:r>
        <w:rPr>
          <w:rFonts w:hint="eastAsia" w:ascii="宋体" w:hAnsi="宋体" w:eastAsia="宋体" w:cs="Arial"/>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人将必须接受由采购人依据合同有关条款而做出的书面澄清。</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8" w:name="_BookMark_6"/>
      <w:bookmarkEnd w:id="8"/>
      <w:bookmarkStart w:id="9" w:name="_Toc27297"/>
      <w:r>
        <w:rPr>
          <w:rFonts w:ascii="宋体" w:hAnsi="宋体" w:eastAsia="宋体" w:cs="宋体"/>
          <w:b/>
          <w:sz w:val="24"/>
          <w:szCs w:val="24"/>
        </w:rPr>
        <w:t>3</w:t>
      </w:r>
      <w:r>
        <w:rPr>
          <w:rFonts w:hint="eastAsia" w:ascii="宋体" w:hAnsi="宋体" w:eastAsia="宋体" w:cs="宋体"/>
          <w:b/>
          <w:sz w:val="24"/>
          <w:szCs w:val="24"/>
        </w:rPr>
        <w:t>．竞争性磋商响应文件</w:t>
      </w:r>
      <w:bookmarkEnd w:id="9"/>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 </w:t>
      </w:r>
      <w:r>
        <w:rPr>
          <w:rFonts w:hint="eastAsia" w:ascii="宋体" w:hAnsi="宋体" w:eastAsia="宋体" w:cs="Arial"/>
          <w:kern w:val="0"/>
          <w:sz w:val="24"/>
          <w:szCs w:val="24"/>
        </w:rPr>
        <w:t>竞争性磋商响应文件的组成</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14:textFill>
            <w14:solidFill>
              <w14:schemeClr w14:val="tx1"/>
            </w14:solidFill>
          </w14:textFill>
        </w:rPr>
      </w:pPr>
      <w:r>
        <w:rPr>
          <w:rFonts w:ascii="宋体" w:hAnsi="宋体" w:eastAsia="宋体" w:cs="Arial"/>
          <w:color w:val="000000" w:themeColor="text1"/>
          <w:kern w:val="0"/>
          <w:sz w:val="24"/>
          <w:szCs w:val="24"/>
          <w14:textFill>
            <w14:solidFill>
              <w14:schemeClr w14:val="tx1"/>
            </w14:solidFill>
          </w14:textFill>
        </w:rPr>
        <w:t>3.1.1</w:t>
      </w:r>
      <w:r>
        <w:rPr>
          <w:rFonts w:hint="eastAsia" w:ascii="宋体" w:hAnsi="宋体" w:eastAsia="宋体" w:cs="Arial"/>
          <w:color w:val="000000" w:themeColor="text1"/>
          <w:kern w:val="0"/>
          <w:sz w:val="24"/>
          <w:szCs w:val="24"/>
          <w14:textFill>
            <w14:solidFill>
              <w14:schemeClr w14:val="tx1"/>
            </w14:solidFill>
          </w14:textFill>
        </w:rPr>
        <w:t>竞争性磋商响应文件应包括下列内容：</w:t>
      </w:r>
    </w:p>
    <w:p>
      <w:pPr>
        <w:spacing w:line="360" w:lineRule="auto"/>
        <w:ind w:firstLine="480" w:firstLineChars="200"/>
        <w:rPr>
          <w:rFonts w:ascii="宋体" w:hAnsi="宋体"/>
          <w:sz w:val="24"/>
          <w:szCs w:val="24"/>
        </w:rPr>
      </w:pPr>
      <w:r>
        <w:rPr>
          <w:rFonts w:hint="eastAsia" w:ascii="宋体" w:hAnsi="宋体"/>
          <w:sz w:val="24"/>
          <w:szCs w:val="24"/>
        </w:rPr>
        <w:t>（1）、投标函</w:t>
      </w:r>
    </w:p>
    <w:p>
      <w:pPr>
        <w:spacing w:line="360" w:lineRule="auto"/>
        <w:rPr>
          <w:rFonts w:ascii="宋体" w:hAnsi="宋体"/>
          <w:sz w:val="24"/>
          <w:szCs w:val="24"/>
        </w:rPr>
      </w:pPr>
      <w:r>
        <w:rPr>
          <w:rFonts w:hint="eastAsia" w:ascii="宋体" w:hAnsi="宋体"/>
          <w:sz w:val="24"/>
          <w:szCs w:val="24"/>
        </w:rPr>
        <w:t xml:space="preserve">    （2）、开标一览表</w:t>
      </w:r>
    </w:p>
    <w:p>
      <w:pPr>
        <w:spacing w:line="360" w:lineRule="auto"/>
        <w:rPr>
          <w:rFonts w:ascii="宋体" w:hAnsi="宋体"/>
          <w:sz w:val="24"/>
          <w:szCs w:val="24"/>
        </w:rPr>
      </w:pPr>
      <w:r>
        <w:rPr>
          <w:rFonts w:hint="eastAsia" w:ascii="宋体" w:hAnsi="宋体"/>
          <w:sz w:val="24"/>
          <w:szCs w:val="24"/>
        </w:rPr>
        <w:t xml:space="preserve">    （3）、技术条款偏离表</w:t>
      </w:r>
    </w:p>
    <w:p>
      <w:pPr>
        <w:spacing w:line="360" w:lineRule="auto"/>
        <w:rPr>
          <w:rFonts w:ascii="宋体" w:hAnsi="宋体"/>
          <w:sz w:val="24"/>
          <w:szCs w:val="24"/>
        </w:rPr>
      </w:pPr>
      <w:r>
        <w:rPr>
          <w:rFonts w:hint="eastAsia" w:ascii="宋体" w:hAnsi="宋体"/>
          <w:sz w:val="24"/>
          <w:szCs w:val="24"/>
        </w:rPr>
        <w:t xml:space="preserve">    （4）、商务条款偏离表</w:t>
      </w:r>
    </w:p>
    <w:p>
      <w:pPr>
        <w:spacing w:line="360" w:lineRule="auto"/>
        <w:rPr>
          <w:rFonts w:ascii="宋体" w:hAnsi="宋体"/>
          <w:sz w:val="24"/>
          <w:szCs w:val="24"/>
        </w:rPr>
      </w:pPr>
      <w:r>
        <w:rPr>
          <w:rFonts w:hint="eastAsia" w:ascii="宋体" w:hAnsi="宋体"/>
          <w:sz w:val="24"/>
          <w:szCs w:val="24"/>
        </w:rPr>
        <w:t xml:space="preserve">    （5）、法定代表人身份证明书</w:t>
      </w:r>
    </w:p>
    <w:p>
      <w:pPr>
        <w:spacing w:line="360" w:lineRule="auto"/>
        <w:rPr>
          <w:rFonts w:ascii="宋体" w:hAnsi="宋体"/>
          <w:sz w:val="24"/>
          <w:szCs w:val="24"/>
        </w:rPr>
      </w:pPr>
      <w:r>
        <w:rPr>
          <w:rFonts w:hint="eastAsia" w:ascii="宋体" w:hAnsi="宋体"/>
          <w:sz w:val="24"/>
          <w:szCs w:val="24"/>
        </w:rPr>
        <w:t xml:space="preserve">    （6）、法定代表人授权委托书</w:t>
      </w:r>
    </w:p>
    <w:p>
      <w:pPr>
        <w:spacing w:line="360" w:lineRule="auto"/>
        <w:ind w:firstLine="480"/>
        <w:rPr>
          <w:rFonts w:ascii="宋体" w:hAnsi="宋体"/>
          <w:sz w:val="24"/>
          <w:szCs w:val="24"/>
        </w:rPr>
      </w:pPr>
      <w:r>
        <w:rPr>
          <w:rFonts w:hint="eastAsia" w:ascii="宋体" w:hAnsi="宋体"/>
          <w:sz w:val="24"/>
          <w:szCs w:val="24"/>
        </w:rPr>
        <w:t>（7）、投标供应商资格证明文件</w:t>
      </w:r>
    </w:p>
    <w:p>
      <w:pPr>
        <w:spacing w:line="360" w:lineRule="auto"/>
        <w:ind w:firstLine="480"/>
        <w:rPr>
          <w:rFonts w:ascii="宋体" w:hAnsi="宋体"/>
          <w:sz w:val="24"/>
          <w:szCs w:val="24"/>
        </w:rPr>
      </w:pPr>
      <w:r>
        <w:rPr>
          <w:rFonts w:hint="eastAsia" w:ascii="宋体" w:hAnsi="宋体"/>
          <w:sz w:val="24"/>
          <w:szCs w:val="24"/>
        </w:rPr>
        <w:t>（8）、</w:t>
      </w:r>
      <w:r>
        <w:rPr>
          <w:rFonts w:hint="eastAsia" w:ascii="宋体" w:hAnsi="宋体"/>
          <w:sz w:val="24"/>
          <w:szCs w:val="24"/>
          <w:lang w:eastAsia="zh-CN"/>
        </w:rPr>
        <w:t>供应商</w:t>
      </w:r>
      <w:r>
        <w:rPr>
          <w:rFonts w:hint="eastAsia" w:ascii="宋体" w:hAnsi="宋体"/>
          <w:sz w:val="24"/>
          <w:szCs w:val="24"/>
        </w:rPr>
        <w:t>近年类似项目情况表</w:t>
      </w:r>
    </w:p>
    <w:p>
      <w:pPr>
        <w:spacing w:line="360" w:lineRule="auto"/>
        <w:ind w:firstLine="480"/>
        <w:rPr>
          <w:rFonts w:ascii="宋体" w:hAnsi="宋体"/>
          <w:sz w:val="24"/>
          <w:szCs w:val="24"/>
        </w:rPr>
      </w:pPr>
      <w:r>
        <w:rPr>
          <w:rFonts w:hint="eastAsia" w:ascii="宋体" w:hAnsi="宋体"/>
          <w:sz w:val="24"/>
          <w:szCs w:val="24"/>
        </w:rPr>
        <w:t>（9）、</w:t>
      </w:r>
      <w:r>
        <w:rPr>
          <w:rFonts w:hint="eastAsia" w:ascii="宋体" w:hAnsi="宋体"/>
          <w:sz w:val="24"/>
          <w:szCs w:val="24"/>
          <w:lang w:eastAsia="zh-CN"/>
        </w:rPr>
        <w:t>维修硬件设施</w:t>
      </w:r>
    </w:p>
    <w:p>
      <w:pPr>
        <w:spacing w:line="360" w:lineRule="auto"/>
        <w:ind w:firstLine="480"/>
        <w:rPr>
          <w:rFonts w:hint="eastAsia" w:ascii="宋体" w:hAnsi="宋体"/>
          <w:sz w:val="24"/>
          <w:szCs w:val="24"/>
        </w:rPr>
      </w:pPr>
      <w:r>
        <w:rPr>
          <w:rFonts w:hint="eastAsia" w:ascii="宋体" w:hAnsi="宋体"/>
          <w:sz w:val="24"/>
          <w:szCs w:val="24"/>
        </w:rPr>
        <w:t>（10）、拟投入本项目专业技术人员</w:t>
      </w:r>
    </w:p>
    <w:p>
      <w:pPr>
        <w:spacing w:line="360" w:lineRule="auto"/>
        <w:ind w:firstLine="480"/>
        <w:rPr>
          <w:rFonts w:hint="eastAsia" w:ascii="宋体" w:hAnsi="宋体" w:cs="Arial" w:eastAsiaTheme="minorEastAsia"/>
          <w:kern w:val="0"/>
          <w:sz w:val="24"/>
          <w:szCs w:val="24"/>
          <w:lang w:eastAsia="zh-CN"/>
        </w:rPr>
      </w:pPr>
      <w:r>
        <w:rPr>
          <w:rFonts w:hint="eastAsia" w:ascii="宋体" w:hAnsi="宋体"/>
          <w:sz w:val="24"/>
          <w:szCs w:val="24"/>
        </w:rPr>
        <w:t>（11）、</w:t>
      </w:r>
      <w:r>
        <w:rPr>
          <w:rFonts w:hint="eastAsia" w:ascii="宋体" w:hAnsi="宋体"/>
          <w:sz w:val="24"/>
          <w:szCs w:val="24"/>
          <w:lang w:eastAsia="zh-CN"/>
        </w:rPr>
        <w:t>维修服务方案</w:t>
      </w:r>
    </w:p>
    <w:p>
      <w:pPr>
        <w:spacing w:line="360" w:lineRule="auto"/>
        <w:ind w:firstLine="480"/>
        <w:rPr>
          <w:rFonts w:hint="eastAsia" w:ascii="宋体" w:hAnsi="宋体" w:eastAsiaTheme="minorEastAsia"/>
          <w:sz w:val="24"/>
          <w:szCs w:val="24"/>
          <w:lang w:eastAsia="zh-CN"/>
        </w:rPr>
      </w:pPr>
      <w:r>
        <w:rPr>
          <w:rFonts w:hint="eastAsia" w:ascii="宋体" w:hAnsi="宋体"/>
          <w:sz w:val="24"/>
          <w:szCs w:val="24"/>
        </w:rPr>
        <w:t>（12）、</w:t>
      </w:r>
      <w:r>
        <w:rPr>
          <w:rFonts w:hint="eastAsia" w:ascii="宋体" w:hAnsi="宋体"/>
          <w:sz w:val="24"/>
          <w:szCs w:val="24"/>
          <w:lang w:eastAsia="zh-CN"/>
        </w:rPr>
        <w:t>售后服务承诺书</w:t>
      </w:r>
    </w:p>
    <w:p>
      <w:pPr>
        <w:spacing w:line="360" w:lineRule="auto"/>
        <w:ind w:firstLine="480"/>
        <w:rPr>
          <w:rFonts w:hint="eastAsia" w:ascii="宋体" w:hAnsi="宋体" w:cs="Arial"/>
          <w:kern w:val="0"/>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w:t>
      </w:r>
      <w:r>
        <w:rPr>
          <w:rFonts w:hint="eastAsia" w:ascii="宋体" w:hAnsi="宋体" w:cs="Arial"/>
          <w:kern w:val="0"/>
          <w:sz w:val="24"/>
          <w:szCs w:val="24"/>
        </w:rPr>
        <w:t>反商业贿赂书</w:t>
      </w:r>
    </w:p>
    <w:p>
      <w:pPr>
        <w:spacing w:line="360" w:lineRule="auto"/>
        <w:ind w:firstLine="480"/>
        <w:rPr>
          <w:rFonts w:ascii="宋体" w:hAnsi="宋体"/>
          <w:sz w:val="24"/>
          <w:szCs w:val="24"/>
        </w:rPr>
      </w:pPr>
      <w:r>
        <w:rPr>
          <w:rFonts w:hint="eastAsia" w:ascii="宋体" w:hAnsi="宋体" w:cs="Arial"/>
          <w:kern w:val="0"/>
          <w:sz w:val="24"/>
          <w:szCs w:val="24"/>
        </w:rPr>
        <w:t>（1</w:t>
      </w:r>
      <w:r>
        <w:rPr>
          <w:rFonts w:hint="eastAsia" w:ascii="宋体" w:hAnsi="宋体" w:cs="Arial"/>
          <w:kern w:val="0"/>
          <w:sz w:val="24"/>
          <w:szCs w:val="24"/>
          <w:lang w:val="en-US" w:eastAsia="zh-CN"/>
        </w:rPr>
        <w:t>4</w:t>
      </w:r>
      <w:r>
        <w:rPr>
          <w:rFonts w:hint="eastAsia" w:ascii="宋体" w:hAnsi="宋体" w:cs="Arial"/>
          <w:kern w:val="0"/>
          <w:sz w:val="24"/>
          <w:szCs w:val="24"/>
        </w:rPr>
        <w:t>）、投标保证金证明材料</w:t>
      </w:r>
    </w:p>
    <w:p>
      <w:pPr>
        <w:ind w:firstLine="480" w:firstLineChars="200"/>
        <w:rPr>
          <w:rFonts w:ascii="Calibri" w:hAnsi="Calibri"/>
          <w:szCs w:val="21"/>
        </w:rPr>
      </w:pPr>
      <w:r>
        <w:rPr>
          <w:rFonts w:hint="eastAsia" w:ascii="宋体" w:hAnsi="宋体"/>
          <w:sz w:val="24"/>
          <w:szCs w:val="24"/>
          <w:shd w:val="clear" w:color="auto" w:fill="FFFFFF"/>
        </w:rPr>
        <w:t>（1</w:t>
      </w:r>
      <w:r>
        <w:rPr>
          <w:rFonts w:hint="eastAsia" w:ascii="宋体" w:hAnsi="宋体"/>
          <w:sz w:val="24"/>
          <w:szCs w:val="24"/>
          <w:shd w:val="clear" w:color="auto" w:fill="FFFFFF"/>
          <w:lang w:val="en-US" w:eastAsia="zh-CN"/>
        </w:rPr>
        <w:t>5</w:t>
      </w:r>
      <w:r>
        <w:rPr>
          <w:rFonts w:hint="eastAsia" w:ascii="宋体" w:hAnsi="宋体"/>
          <w:sz w:val="24"/>
          <w:szCs w:val="24"/>
          <w:shd w:val="clear" w:color="auto" w:fill="FFFFFF"/>
        </w:rPr>
        <w:t>）、其他需要提交的资料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3.1.2 </w:t>
      </w:r>
      <w:r>
        <w:rPr>
          <w:rFonts w:hint="eastAsia" w:ascii="宋体" w:hAnsi="宋体" w:eastAsia="宋体" w:cs="Arial"/>
          <w:kern w:val="0"/>
          <w:sz w:val="24"/>
          <w:szCs w:val="24"/>
        </w:rPr>
        <w:t>供应商须知前附表规定不接受联合体投标的，或供应商没有组成联合体的，竞争性磋商响应文件不包括本章第</w:t>
      </w:r>
      <w:r>
        <w:rPr>
          <w:rFonts w:ascii="宋体" w:hAnsi="宋体" w:eastAsia="宋体" w:cs="Arial"/>
          <w:kern w:val="0"/>
          <w:sz w:val="24"/>
          <w:szCs w:val="24"/>
        </w:rPr>
        <w:t>3.1.1</w:t>
      </w: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）款所指的联合体协议书。</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投标价格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3.2.1 </w:t>
      </w:r>
      <w:r>
        <w:rPr>
          <w:rFonts w:hint="eastAsia" w:ascii="宋体" w:hAnsi="宋体" w:eastAsia="宋体" w:cs="Arial"/>
          <w:kern w:val="0"/>
          <w:sz w:val="24"/>
          <w:szCs w:val="24"/>
        </w:rPr>
        <w:t>供应商应当按第四章“造价咨询服务内容”的规定进行报价。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供应商的投标价格不能超出本项目采购预算金额。</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3.2.3供应商只允许有一个报价，采购人不接受有任何选择的报价。</w:t>
      </w:r>
    </w:p>
    <w:p>
      <w:pPr>
        <w:widowControl/>
        <w:shd w:val="clear" w:color="auto" w:fill="FFFFFF"/>
        <w:snapToGrid w:val="0"/>
        <w:spacing w:line="360" w:lineRule="auto"/>
        <w:ind w:firstLine="482" w:firstLineChars="200"/>
        <w:rPr>
          <w:rFonts w:ascii="宋体" w:hAnsi="宋体" w:eastAsia="宋体" w:cs="Arial"/>
          <w:b/>
          <w:kern w:val="0"/>
          <w:sz w:val="24"/>
          <w:szCs w:val="24"/>
        </w:rPr>
      </w:pPr>
      <w:r>
        <w:rPr>
          <w:rFonts w:hint="eastAsia" w:ascii="宋体" w:hAnsi="宋体" w:eastAsia="宋体" w:cs="Arial"/>
          <w:b/>
          <w:kern w:val="0"/>
          <w:sz w:val="24"/>
          <w:szCs w:val="24"/>
        </w:rPr>
        <w:t>3.2.4本项目采购方式为竞争性磋商，本次磋商报价为非一次性报价，磋商小组将根据现场评审情况确定报价具体次数。</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w:t>
      </w:r>
      <w:r>
        <w:rPr>
          <w:rFonts w:hint="eastAsia" w:ascii="宋体" w:hAnsi="宋体" w:eastAsia="宋体" w:cs="Arial"/>
          <w:kern w:val="0"/>
          <w:sz w:val="24"/>
          <w:szCs w:val="24"/>
        </w:rPr>
        <w:t>5供应商在投标截止时间前修改投标函中的投标总价的，此修改须符合本章第</w:t>
      </w:r>
      <w:r>
        <w:rPr>
          <w:rFonts w:ascii="宋体" w:hAnsi="宋体" w:eastAsia="宋体" w:cs="Arial"/>
          <w:kern w:val="0"/>
          <w:sz w:val="24"/>
          <w:szCs w:val="24"/>
        </w:rPr>
        <w:t>4.3</w:t>
      </w:r>
      <w:r>
        <w:rPr>
          <w:rFonts w:hint="eastAsia" w:ascii="宋体" w:hAnsi="宋体" w:eastAsia="宋体" w:cs="Arial"/>
          <w:kern w:val="0"/>
          <w:sz w:val="24"/>
          <w:szCs w:val="24"/>
        </w:rPr>
        <w:t>款的有关要求。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w:t>
      </w:r>
      <w:r>
        <w:rPr>
          <w:rFonts w:hint="eastAsia" w:ascii="宋体" w:hAnsi="宋体" w:eastAsia="宋体" w:cs="Arial"/>
          <w:kern w:val="0"/>
          <w:sz w:val="24"/>
          <w:szCs w:val="24"/>
        </w:rPr>
        <w:t>供应商提供的服务一律用人民币报价。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 </w:t>
      </w:r>
      <w:r>
        <w:rPr>
          <w:rFonts w:hint="eastAsia" w:ascii="宋体" w:hAnsi="宋体" w:eastAsia="宋体" w:cs="Arial"/>
          <w:kern w:val="0"/>
          <w:sz w:val="24"/>
          <w:szCs w:val="24"/>
        </w:rPr>
        <w:t>投标有效期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3.3.1 </w:t>
      </w:r>
      <w:r>
        <w:rPr>
          <w:rFonts w:hint="eastAsia" w:ascii="宋体" w:hAnsi="宋体" w:eastAsia="宋体" w:cs="Arial"/>
          <w:kern w:val="0"/>
          <w:sz w:val="24"/>
          <w:szCs w:val="24"/>
        </w:rPr>
        <w:t>在供应商须知前附表规定的投标有效期内，供应商不得要求撤销或修改其竞争性磋商响应文件。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3.3.2 </w:t>
      </w:r>
      <w:r>
        <w:rPr>
          <w:rFonts w:hint="eastAsia" w:ascii="宋体" w:hAnsi="宋体" w:eastAsia="宋体" w:cs="Arial"/>
          <w:kern w:val="0"/>
          <w:sz w:val="24"/>
          <w:szCs w:val="24"/>
        </w:rPr>
        <w:t>出现特殊情况需要延长投标有效期的，采购人将通知所有供应商延长投标有效期。供应商同意延长的，应当相应延长其磋商保证金的有效期，但不得要求或被允许修改或撤销其竞争性磋商响应文件；供应商拒绝延长的，其投标失效，但供应商有权收回其磋商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3.3.3 </w:t>
      </w:r>
      <w:r>
        <w:rPr>
          <w:rFonts w:hint="eastAsia" w:ascii="宋体" w:hAnsi="宋体" w:eastAsia="宋体" w:cs="Arial"/>
          <w:kern w:val="0"/>
          <w:sz w:val="24"/>
          <w:szCs w:val="24"/>
        </w:rPr>
        <w:t>磋商保证金的有效期与投标有效期一致。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3.4 </w:t>
      </w:r>
      <w:r>
        <w:rPr>
          <w:rFonts w:hint="eastAsia" w:ascii="宋体" w:hAnsi="宋体" w:eastAsia="宋体" w:cs="Arial"/>
          <w:kern w:val="0"/>
          <w:sz w:val="24"/>
          <w:szCs w:val="24"/>
        </w:rPr>
        <w:t>磋商保证金</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3.4.1 </w:t>
      </w:r>
      <w:r>
        <w:rPr>
          <w:rFonts w:hint="eastAsia" w:ascii="宋体" w:hAnsi="宋体" w:eastAsia="宋体" w:cs="Arial"/>
          <w:kern w:val="0"/>
          <w:sz w:val="24"/>
          <w:szCs w:val="24"/>
        </w:rPr>
        <w:t>供应商应于投标截止时间前按供应商须知前附表规定数额提交磋商保证金。未提交磋商保证金的，将被视为非响应性投标而予以拒绝。</w:t>
      </w:r>
    </w:p>
    <w:p>
      <w:pPr>
        <w:shd w:val="clear" w:color="auto" w:fill="FFFFFF"/>
        <w:snapToGrid w:val="0"/>
        <w:spacing w:line="360" w:lineRule="auto"/>
        <w:ind w:firstLine="360" w:firstLineChars="150"/>
        <w:rPr>
          <w:rFonts w:ascii="宋体" w:hAnsi="Calibri" w:eastAsia="宋体" w:cs="Arial"/>
          <w:kern w:val="0"/>
          <w:sz w:val="24"/>
          <w:szCs w:val="24"/>
        </w:rPr>
      </w:pPr>
      <w:r>
        <w:rPr>
          <w:rFonts w:hint="eastAsia" w:ascii="宋体" w:hAnsi="宋体" w:eastAsia="宋体" w:cs="Arial"/>
          <w:kern w:val="0"/>
          <w:sz w:val="24"/>
          <w:szCs w:val="24"/>
        </w:rPr>
        <w:t xml:space="preserve"> </w:t>
      </w:r>
      <w:r>
        <w:rPr>
          <w:rFonts w:ascii="宋体" w:hAnsi="宋体" w:eastAsia="宋体" w:cs="Arial"/>
          <w:kern w:val="0"/>
          <w:sz w:val="24"/>
          <w:szCs w:val="24"/>
        </w:rPr>
        <w:t>3.4.2</w:t>
      </w:r>
      <w:r>
        <w:rPr>
          <w:rFonts w:hint="eastAsia" w:ascii="宋体" w:hAnsi="宋体" w:eastAsia="宋体" w:cs="Arial"/>
          <w:kern w:val="0"/>
          <w:sz w:val="24"/>
          <w:szCs w:val="24"/>
        </w:rPr>
        <w:t>磋商保证金是为了保护采购人免遭因供应商的行为而蒙受损失。采购人在因供应商的行为受到损害时可根据相关法律规定没收供应商的磋商保证金。</w:t>
      </w:r>
    </w:p>
    <w:p>
      <w:pPr>
        <w:autoSpaceDE w:val="0"/>
        <w:autoSpaceDN w:val="0"/>
        <w:adjustRightIn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 xml:space="preserve">    </w:t>
      </w:r>
      <w:r>
        <w:rPr>
          <w:rFonts w:ascii="宋体" w:hAnsi="宋体" w:eastAsia="宋体" w:cs="Arial"/>
          <w:kern w:val="0"/>
          <w:sz w:val="24"/>
          <w:szCs w:val="24"/>
        </w:rPr>
        <w:t>3.4.</w:t>
      </w:r>
      <w:r>
        <w:rPr>
          <w:rFonts w:hint="eastAsia" w:ascii="宋体" w:hAnsi="宋体" w:eastAsia="宋体" w:cs="Arial"/>
          <w:kern w:val="0"/>
          <w:sz w:val="24"/>
          <w:szCs w:val="24"/>
        </w:rPr>
        <w:t>3 供应商在投标截止时间前撤回已提交的响应文件的，采购人或者采购代理机构应当自收到供应商书面撤回通知之日起</w:t>
      </w:r>
      <w:r>
        <w:rPr>
          <w:rFonts w:ascii="宋体" w:hAnsi="宋体" w:eastAsia="宋体" w:cs="Arial"/>
          <w:kern w:val="0"/>
          <w:sz w:val="24"/>
          <w:szCs w:val="24"/>
        </w:rPr>
        <w:t>5</w:t>
      </w:r>
      <w:r>
        <w:rPr>
          <w:rFonts w:hint="eastAsia" w:ascii="宋体" w:hAnsi="宋体" w:eastAsia="宋体" w:cs="Arial"/>
          <w:kern w:val="0"/>
          <w:sz w:val="24"/>
          <w:szCs w:val="24"/>
        </w:rPr>
        <w:t>个工作日内，退还已收取的磋商保证金，但因供应商自身原因导致无法及时退还的除外。采购人或者采购代理机构应当自成交通知书发出之日起</w:t>
      </w:r>
      <w:r>
        <w:rPr>
          <w:rFonts w:ascii="宋体" w:hAnsi="宋体" w:eastAsia="宋体" w:cs="Arial"/>
          <w:kern w:val="0"/>
          <w:sz w:val="24"/>
          <w:szCs w:val="24"/>
        </w:rPr>
        <w:t>5</w:t>
      </w:r>
      <w:r>
        <w:rPr>
          <w:rFonts w:hint="eastAsia" w:ascii="宋体" w:hAnsi="宋体" w:eastAsia="宋体" w:cs="Arial"/>
          <w:kern w:val="0"/>
          <w:sz w:val="24"/>
          <w:szCs w:val="24"/>
        </w:rPr>
        <w:t>个工作日内退还未成交人的磋商保证金，自采购合同签订之日起</w:t>
      </w:r>
      <w:r>
        <w:rPr>
          <w:rFonts w:ascii="宋体" w:hAnsi="宋体" w:eastAsia="宋体" w:cs="Arial"/>
          <w:kern w:val="0"/>
          <w:sz w:val="24"/>
          <w:szCs w:val="24"/>
        </w:rPr>
        <w:t>5</w:t>
      </w:r>
      <w:r>
        <w:rPr>
          <w:rFonts w:hint="eastAsia" w:ascii="宋体" w:hAnsi="宋体" w:eastAsia="宋体" w:cs="Arial"/>
          <w:kern w:val="0"/>
          <w:sz w:val="24"/>
          <w:szCs w:val="24"/>
        </w:rPr>
        <w:t>个工作日内退还成交人的磋商保证金。</w:t>
      </w:r>
    </w:p>
    <w:p>
      <w:pPr>
        <w:autoSpaceDE w:val="0"/>
        <w:autoSpaceDN w:val="0"/>
        <w:adjustRightInd w:val="0"/>
        <w:spacing w:line="360" w:lineRule="auto"/>
        <w:jc w:val="left"/>
        <w:rPr>
          <w:rFonts w:ascii="宋体" w:hAnsi="宋体" w:eastAsia="宋体" w:cs="Arial"/>
          <w:b/>
          <w:kern w:val="0"/>
          <w:sz w:val="24"/>
          <w:szCs w:val="24"/>
        </w:rPr>
      </w:pPr>
      <w:r>
        <w:rPr>
          <w:rFonts w:hint="eastAsia" w:ascii="宋体" w:hAnsi="宋体" w:eastAsia="宋体" w:cs="Arial"/>
          <w:b/>
          <w:kern w:val="0"/>
          <w:sz w:val="24"/>
          <w:szCs w:val="24"/>
        </w:rPr>
        <w:t xml:space="preserve">    特别提示：退还磋商保证金的供应商办理退款业务时需提供以下资料（资料由代理机构存档备查）</w:t>
      </w:r>
      <w:r>
        <w:rPr>
          <w:rFonts w:ascii="宋体" w:hAnsi="宋体" w:eastAsia="宋体" w:cs="Arial"/>
          <w:b/>
          <w:kern w:val="0"/>
          <w:sz w:val="24"/>
          <w:szCs w:val="24"/>
        </w:rPr>
        <w:t>:</w:t>
      </w:r>
    </w:p>
    <w:p>
      <w:pPr>
        <w:widowControl/>
        <w:shd w:val="clear" w:color="auto" w:fill="FFFFFF"/>
        <w:snapToGrid w:val="0"/>
        <w:spacing w:line="360" w:lineRule="auto"/>
        <w:ind w:firstLine="482" w:firstLineChars="200"/>
        <w:rPr>
          <w:rFonts w:ascii="宋体" w:hAnsi="宋体" w:eastAsia="宋体" w:cs="Arial"/>
          <w:b/>
          <w:kern w:val="0"/>
          <w:sz w:val="24"/>
          <w:szCs w:val="24"/>
        </w:rPr>
      </w:pPr>
      <w:r>
        <w:rPr>
          <w:rFonts w:hint="eastAsia" w:ascii="宋体" w:hAnsi="宋体" w:eastAsia="宋体" w:cs="Arial"/>
          <w:b/>
          <w:kern w:val="0"/>
          <w:sz w:val="24"/>
          <w:szCs w:val="24"/>
        </w:rPr>
        <w:t>①磋商保证金电汇、网银等非现金形式缴纳凭证（凭证备注栏清晰注明用途及本次招标项目名称）或采购代理机构开具的投标保证金收据。</w:t>
      </w:r>
    </w:p>
    <w:p>
      <w:pPr>
        <w:widowControl/>
        <w:shd w:val="clear" w:color="auto" w:fill="FFFFFF"/>
        <w:snapToGrid w:val="0"/>
        <w:spacing w:line="360" w:lineRule="auto"/>
        <w:ind w:firstLine="482" w:firstLineChars="200"/>
        <w:rPr>
          <w:rFonts w:ascii="宋体" w:hAnsi="宋体" w:eastAsia="宋体" w:cs="Arial"/>
          <w:b/>
          <w:kern w:val="0"/>
          <w:sz w:val="24"/>
          <w:szCs w:val="24"/>
        </w:rPr>
      </w:pPr>
      <w:r>
        <w:rPr>
          <w:rFonts w:hint="eastAsia" w:ascii="宋体" w:hAnsi="宋体" w:eastAsia="宋体" w:cs="Arial"/>
          <w:b/>
          <w:kern w:val="0"/>
          <w:sz w:val="24"/>
          <w:szCs w:val="24"/>
        </w:rPr>
        <w:t>②投标人退投标保证金的返开收据（须写明项目名称及加盖投标人财务专用章）及账户信息（加盖投标人公章）。</w:t>
      </w:r>
    </w:p>
    <w:p>
      <w:pPr>
        <w:widowControl/>
        <w:shd w:val="clear" w:color="auto" w:fill="FFFFFF"/>
        <w:snapToGrid w:val="0"/>
        <w:spacing w:line="360" w:lineRule="auto"/>
        <w:ind w:firstLine="482" w:firstLineChars="200"/>
        <w:rPr>
          <w:rFonts w:ascii="宋体" w:hAnsi="宋体" w:eastAsia="宋体" w:cs="Arial"/>
          <w:b/>
          <w:kern w:val="0"/>
          <w:sz w:val="24"/>
          <w:szCs w:val="24"/>
        </w:rPr>
      </w:pPr>
      <w:r>
        <w:rPr>
          <w:rFonts w:hint="eastAsia" w:ascii="宋体" w:hAnsi="宋体" w:eastAsia="宋体" w:cs="Arial"/>
          <w:b/>
          <w:kern w:val="0"/>
          <w:sz w:val="24"/>
          <w:szCs w:val="24"/>
        </w:rPr>
        <w:t>③退还中标方磋商保证金时，中标方须提供与采购人签订的合同原件一份（原件核查无误后退还）及电子版合同盖章扫描生成的PDF格式。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4磋商保证金有效期与投标有效期一致。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3.4.</w:t>
      </w:r>
      <w:r>
        <w:rPr>
          <w:rFonts w:hint="eastAsia" w:ascii="宋体" w:hAnsi="宋体" w:eastAsia="宋体" w:cs="Arial"/>
          <w:kern w:val="0"/>
          <w:sz w:val="24"/>
          <w:szCs w:val="24"/>
        </w:rPr>
        <w:t>5有下列情形之一的，磋商保证金不予退还：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）供应商在规定的投标有效期内撤销或修改其竞争性磋商响应文件的；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）成交人在收到成交通知书后，无正当理由拒签合同协议书或在签订合同时提出附加条件或者更改合同实质性内容的；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）未按竞争性磋商文件规定提交履约保证金的。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 </w:t>
      </w:r>
      <w:r>
        <w:rPr>
          <w:rFonts w:hint="eastAsia" w:ascii="宋体" w:hAnsi="宋体" w:eastAsia="宋体" w:cs="Arial"/>
          <w:kern w:val="0"/>
          <w:sz w:val="24"/>
          <w:szCs w:val="24"/>
        </w:rPr>
        <w:t>竞争性磋商响应文件的编制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3.5.1</w:t>
      </w:r>
      <w:r>
        <w:rPr>
          <w:rFonts w:hint="eastAsia" w:ascii="宋体" w:hAnsi="宋体" w:eastAsia="宋体" w:cs="Arial"/>
          <w:kern w:val="0"/>
          <w:sz w:val="24"/>
          <w:szCs w:val="24"/>
        </w:rPr>
        <w:t>竞争性磋商响应文件应按第五章“竞争性磋商响应文件格式”进行编写，如有必要，可以增加附页，作为竞争性磋商响应文件的组成部分。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3.5.2</w:t>
      </w:r>
      <w:r>
        <w:rPr>
          <w:rFonts w:hint="eastAsia" w:ascii="宋体" w:hAnsi="宋体" w:eastAsia="宋体" w:cs="Arial"/>
          <w:kern w:val="0"/>
          <w:sz w:val="24"/>
          <w:szCs w:val="24"/>
        </w:rPr>
        <w:t>竞争性磋商响应文件应当对竞争性磋商文件有关招标范围、服务要求等实质性内容做出响应。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3.5.3 </w:t>
      </w:r>
      <w:r>
        <w:rPr>
          <w:rFonts w:hint="eastAsia" w:ascii="宋体" w:hAnsi="宋体" w:eastAsia="宋体" w:cs="Arial"/>
          <w:kern w:val="0"/>
          <w:sz w:val="24"/>
          <w:szCs w:val="24"/>
        </w:rPr>
        <w:t>竞争性磋商响应文件要求盖章处均应加盖。</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3.5.4 </w:t>
      </w:r>
      <w:r>
        <w:rPr>
          <w:rFonts w:hint="eastAsia" w:ascii="宋体" w:hAnsi="宋体" w:eastAsia="宋体" w:cs="Arial"/>
          <w:kern w:val="0"/>
          <w:sz w:val="24"/>
          <w:szCs w:val="24"/>
        </w:rPr>
        <w:t>竞争性磋商响应文件采用</w:t>
      </w:r>
      <w:r>
        <w:rPr>
          <w:rFonts w:ascii="宋体" w:hAnsi="宋体" w:eastAsia="宋体" w:cs="Arial"/>
          <w:kern w:val="0"/>
          <w:sz w:val="24"/>
          <w:szCs w:val="24"/>
        </w:rPr>
        <w:t>A4</w:t>
      </w:r>
      <w:r>
        <w:rPr>
          <w:rFonts w:hint="eastAsia" w:ascii="宋体" w:hAnsi="宋体" w:eastAsia="宋体" w:cs="Arial"/>
          <w:kern w:val="0"/>
          <w:sz w:val="24"/>
          <w:szCs w:val="24"/>
        </w:rPr>
        <w:t>打印纸。</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3.5.5 </w:t>
      </w:r>
      <w:r>
        <w:rPr>
          <w:rFonts w:hint="eastAsia" w:ascii="宋体" w:hAnsi="宋体" w:eastAsia="宋体" w:cs="Arial"/>
          <w:kern w:val="0"/>
          <w:sz w:val="24"/>
          <w:szCs w:val="24"/>
        </w:rPr>
        <w:t>竞争性磋商响应文件可以用蓝黑墨水笔或炭素笔书写</w:t>
      </w:r>
      <w:r>
        <w:rPr>
          <w:rFonts w:ascii="宋体" w:hAnsi="Calibri" w:eastAsia="宋体" w:cs="Arial"/>
          <w:kern w:val="0"/>
          <w:sz w:val="24"/>
          <w:szCs w:val="24"/>
        </w:rPr>
        <w:t>,</w:t>
      </w:r>
      <w:r>
        <w:rPr>
          <w:rFonts w:hint="eastAsia" w:ascii="宋体" w:hAnsi="宋体" w:eastAsia="宋体" w:cs="Arial"/>
          <w:kern w:val="0"/>
          <w:sz w:val="24"/>
          <w:szCs w:val="24"/>
        </w:rPr>
        <w:t>但建议最好采用打印书写方式书写。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3.5.6 </w:t>
      </w:r>
      <w:r>
        <w:rPr>
          <w:rFonts w:hint="eastAsia" w:ascii="宋体" w:hAnsi="宋体" w:eastAsia="宋体" w:cs="Arial"/>
          <w:kern w:val="0"/>
          <w:sz w:val="24"/>
          <w:szCs w:val="24"/>
        </w:rPr>
        <w:t>供应商应按供应商须知前附表规定，编制竞争性磋商响应文件“正本”和“副本”份数。封面必须注明“正本”或“副本”字样。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3.5.7 </w:t>
      </w:r>
      <w:r>
        <w:rPr>
          <w:rFonts w:hint="eastAsia" w:ascii="宋体" w:hAnsi="宋体" w:eastAsia="宋体" w:cs="Arial"/>
          <w:kern w:val="0"/>
          <w:sz w:val="24"/>
          <w:szCs w:val="24"/>
        </w:rPr>
        <w:t>竞争性磋商响应文件正本和副本如有不一致之处，以正本为准。</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10" w:name="_BookMark_7"/>
      <w:bookmarkEnd w:id="10"/>
      <w:bookmarkStart w:id="11" w:name="_Toc13675"/>
      <w:r>
        <w:rPr>
          <w:rFonts w:ascii="宋体" w:hAnsi="宋体" w:eastAsia="宋体" w:cs="宋体"/>
          <w:b/>
          <w:sz w:val="24"/>
          <w:szCs w:val="24"/>
        </w:rPr>
        <w:t>4</w:t>
      </w:r>
      <w:r>
        <w:rPr>
          <w:rFonts w:hint="eastAsia" w:ascii="宋体" w:hAnsi="宋体" w:eastAsia="宋体" w:cs="宋体"/>
          <w:b/>
          <w:sz w:val="24"/>
          <w:szCs w:val="24"/>
        </w:rPr>
        <w:t>．投标</w:t>
      </w:r>
      <w:bookmarkEnd w:id="11"/>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4.1 </w:t>
      </w:r>
      <w:r>
        <w:rPr>
          <w:rFonts w:hint="eastAsia" w:ascii="宋体" w:hAnsi="宋体" w:eastAsia="宋体" w:cs="Arial"/>
          <w:kern w:val="0"/>
          <w:sz w:val="24"/>
          <w:szCs w:val="24"/>
        </w:rPr>
        <w:t>竞争性磋商响应文件的密封和标识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4.1.1</w:t>
      </w:r>
      <w:r>
        <w:rPr>
          <w:rFonts w:hint="eastAsia" w:ascii="宋体" w:hAnsi="宋体" w:eastAsia="宋体" w:cs="Arial"/>
          <w:kern w:val="0"/>
          <w:sz w:val="24"/>
          <w:szCs w:val="24"/>
        </w:rPr>
        <w:t>、供应商必须将竞争性磋商响应文件按供应商须知前附表第11项规定密封，否则整个竞争性磋商响应文件将被视为不响应竞争性磋商文件，而予以拒绝。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4.1.2</w:t>
      </w:r>
      <w:r>
        <w:rPr>
          <w:rFonts w:hint="eastAsia" w:ascii="宋体" w:hAnsi="宋体" w:eastAsia="宋体" w:cs="Arial"/>
          <w:kern w:val="0"/>
          <w:sz w:val="24"/>
          <w:szCs w:val="24"/>
        </w:rPr>
        <w:t>、竞争性磋商响应文件封袋必须在开启处密封，并加盖供应商章以及法定代表人章。否则整个竞争性磋商响应文件将被视为不响应竞争性磋商文件，而予以拒绝。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4.2 </w:t>
      </w:r>
      <w:r>
        <w:rPr>
          <w:rFonts w:hint="eastAsia" w:ascii="宋体" w:hAnsi="宋体" w:eastAsia="宋体" w:cs="Arial"/>
          <w:kern w:val="0"/>
          <w:sz w:val="24"/>
          <w:szCs w:val="24"/>
        </w:rPr>
        <w:t>竞争性磋商响应文件的递交</w:t>
      </w:r>
    </w:p>
    <w:p>
      <w:pPr>
        <w:widowControl/>
        <w:shd w:val="clear" w:color="auto" w:fill="FFFFFF"/>
        <w:snapToGrid w:val="0"/>
        <w:spacing w:line="360" w:lineRule="auto"/>
        <w:ind w:firstLine="480" w:firstLineChars="200"/>
        <w:rPr>
          <w:rFonts w:ascii="宋体" w:hAnsi="Calibri" w:eastAsia="宋体" w:cs="Arial"/>
          <w:kern w:val="0"/>
          <w:sz w:val="24"/>
          <w:szCs w:val="24"/>
        </w:rPr>
      </w:pPr>
      <w:bookmarkStart w:id="12" w:name="_Hlk57105549"/>
      <w:bookmarkStart w:id="13" w:name="_Hlk23651228"/>
      <w:bookmarkStart w:id="14" w:name="_Hlk23746209"/>
      <w:bookmarkStart w:id="15" w:name="_Hlk57105547"/>
      <w:bookmarkStart w:id="16" w:name="_Hlk23651230"/>
      <w:bookmarkStart w:id="17" w:name="_Hlk18820304"/>
      <w:bookmarkStart w:id="18" w:name="_Hlk22461105"/>
      <w:bookmarkStart w:id="19" w:name="_Hlk22461104"/>
      <w:bookmarkStart w:id="20" w:name="_Hlk23651229"/>
      <w:bookmarkStart w:id="21" w:name="_Hlk22461103"/>
      <w:bookmarkStart w:id="22" w:name="_Hlk18820305"/>
      <w:bookmarkStart w:id="23" w:name="_Hlk18820306"/>
      <w:bookmarkStart w:id="24" w:name="_Hlk23746208"/>
      <w:bookmarkStart w:id="25" w:name="_Hlk57105548"/>
      <w:bookmarkStart w:id="26" w:name="_Hlk23746210"/>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宋体" w:hAnsi="宋体" w:eastAsia="宋体" w:cs="Arial"/>
          <w:kern w:val="0"/>
          <w:sz w:val="24"/>
          <w:szCs w:val="24"/>
        </w:rPr>
        <w:t>、供应商必须按供应商须知前附表规定，将竞争性磋商响应文件在截止时间前送至递交地点。违反的将视为整个竞争性磋商响应文件不响应竞争性磋商文件</w:t>
      </w:r>
      <w:r>
        <w:rPr>
          <w:rFonts w:ascii="宋体" w:hAnsi="Calibri" w:eastAsia="宋体" w:cs="Arial"/>
          <w:kern w:val="0"/>
          <w:sz w:val="24"/>
          <w:szCs w:val="24"/>
        </w:rPr>
        <w:t>,</w:t>
      </w:r>
      <w:r>
        <w:rPr>
          <w:rFonts w:hint="eastAsia" w:ascii="宋体" w:hAnsi="宋体" w:eastAsia="宋体" w:cs="Arial"/>
          <w:kern w:val="0"/>
          <w:sz w:val="24"/>
          <w:szCs w:val="24"/>
        </w:rPr>
        <w:t>而予以拒绝。</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w:t>
      </w:r>
      <w:r>
        <w:rPr>
          <w:rFonts w:ascii="宋体" w:hAnsi="Calibri" w:eastAsia="宋体" w:cs="Arial"/>
          <w:kern w:val="0"/>
          <w:sz w:val="24"/>
          <w:szCs w:val="24"/>
        </w:rPr>
        <w:t>.</w:t>
      </w:r>
      <w:r>
        <w:rPr>
          <w:rFonts w:ascii="宋体" w:hAnsi="宋体" w:eastAsia="宋体" w:cs="Arial"/>
          <w:kern w:val="0"/>
          <w:sz w:val="24"/>
          <w:szCs w:val="24"/>
        </w:rPr>
        <w:t>2.2</w:t>
      </w:r>
      <w:r>
        <w:rPr>
          <w:rFonts w:hint="eastAsia" w:ascii="宋体" w:hAnsi="宋体" w:eastAsia="宋体" w:cs="Arial"/>
          <w:kern w:val="0"/>
          <w:sz w:val="24"/>
          <w:szCs w:val="24"/>
        </w:rPr>
        <w:t>、采购人事先约定延长投标截止时间的，采购人与供应商以前的投标截止期方面的全部权利、责任和义务，将适用延长至新的投标截止期。</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4.2.</w:t>
      </w:r>
      <w:r>
        <w:rPr>
          <w:rFonts w:hint="eastAsia" w:ascii="宋体" w:hAnsi="宋体" w:eastAsia="宋体" w:cs="Arial"/>
          <w:kern w:val="0"/>
          <w:sz w:val="24"/>
          <w:szCs w:val="24"/>
        </w:rPr>
        <w:t>3供应商或其竞争性磋商响应文件存在下列情形之一的，采购人对其竞争性磋商响应文件不予受理：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）逾期送达的竞争性磋商响应文件；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）未按本章第</w:t>
      </w:r>
      <w:r>
        <w:rPr>
          <w:rFonts w:ascii="宋体" w:hAnsi="宋体" w:eastAsia="宋体" w:cs="Arial"/>
          <w:kern w:val="0"/>
          <w:sz w:val="24"/>
          <w:szCs w:val="24"/>
        </w:rPr>
        <w:t>4.1</w:t>
      </w:r>
      <w:r>
        <w:rPr>
          <w:rFonts w:hint="eastAsia" w:ascii="宋体" w:hAnsi="宋体" w:eastAsia="宋体" w:cs="Arial"/>
          <w:kern w:val="0"/>
          <w:sz w:val="24"/>
          <w:szCs w:val="24"/>
        </w:rPr>
        <w:t>款要求密封的竞争性磋商响应文件。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 </w:t>
      </w:r>
      <w:r>
        <w:rPr>
          <w:rFonts w:hint="eastAsia" w:ascii="宋体" w:hAnsi="宋体" w:eastAsia="宋体" w:cs="Arial"/>
          <w:kern w:val="0"/>
          <w:sz w:val="24"/>
          <w:szCs w:val="24"/>
        </w:rPr>
        <w:t>竞争性磋商响应文件的修改与撤回</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4.3.1 </w:t>
      </w:r>
      <w:r>
        <w:rPr>
          <w:rFonts w:hint="eastAsia" w:ascii="宋体" w:hAnsi="宋体" w:eastAsia="宋体" w:cs="Arial"/>
          <w:kern w:val="0"/>
          <w:sz w:val="24"/>
          <w:szCs w:val="24"/>
        </w:rPr>
        <w:t>供应商递交竞争性磋商响应文件后，在规定投标截止时间前，可以书面形式向采购人递交修改或撤回其竞争性磋商响应文件的通知。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4.3.2 </w:t>
      </w:r>
      <w:r>
        <w:rPr>
          <w:rFonts w:hint="eastAsia" w:ascii="宋体" w:hAnsi="宋体" w:eastAsia="宋体" w:cs="Arial"/>
          <w:kern w:val="0"/>
          <w:sz w:val="24"/>
          <w:szCs w:val="24"/>
        </w:rPr>
        <w:t>修改的内容为竞争性磋商响应文件的组成部分。修改的竞争性磋商响应文件应按照本竞争性磋商文件的规定进行编制、密封、标记和递交，并标明“修改”字样。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4.4</w:t>
      </w:r>
      <w:r>
        <w:rPr>
          <w:rFonts w:hint="eastAsia" w:ascii="宋体" w:hAnsi="宋体" w:eastAsia="宋体" w:cs="Arial"/>
          <w:kern w:val="0"/>
          <w:sz w:val="24"/>
          <w:szCs w:val="24"/>
        </w:rPr>
        <w:t>竞争性磋商响应文件格式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4.4.1 </w:t>
      </w:r>
      <w:r>
        <w:rPr>
          <w:rFonts w:hint="eastAsia" w:ascii="宋体" w:hAnsi="宋体" w:eastAsia="宋体" w:cs="Arial"/>
          <w:kern w:val="0"/>
          <w:sz w:val="24"/>
          <w:szCs w:val="24"/>
        </w:rPr>
        <w:t>竞争性磋商响应文件格式见第五章。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4.4.2 </w:t>
      </w:r>
      <w:r>
        <w:rPr>
          <w:rFonts w:hint="eastAsia" w:ascii="宋体" w:hAnsi="宋体" w:eastAsia="宋体" w:cs="Arial"/>
          <w:kern w:val="0"/>
          <w:sz w:val="24"/>
          <w:szCs w:val="24"/>
        </w:rPr>
        <w:t>供应商应使用本竞争性磋商文件后面提供的竞争性磋商响应文件格式填写，如不够用时，供应商可按同样格式自行编制和填补，如果本竞争性磋商文件未提供格式的，供应商可自行编制。</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7" w:name="_BookMark_8"/>
      <w:bookmarkEnd w:id="27"/>
      <w:bookmarkStart w:id="28" w:name="_Toc732"/>
      <w:r>
        <w:rPr>
          <w:rFonts w:ascii="宋体" w:hAnsi="宋体" w:eastAsia="宋体" w:cs="宋体"/>
          <w:b/>
          <w:sz w:val="24"/>
          <w:szCs w:val="24"/>
        </w:rPr>
        <w:t>5</w:t>
      </w:r>
      <w:r>
        <w:rPr>
          <w:rFonts w:hint="eastAsia" w:ascii="宋体" w:hAnsi="宋体" w:eastAsia="宋体" w:cs="宋体"/>
          <w:b/>
          <w:sz w:val="24"/>
          <w:szCs w:val="24"/>
        </w:rPr>
        <w:t>．开标</w:t>
      </w:r>
      <w:bookmarkEnd w:id="28"/>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5.1 </w:t>
      </w:r>
      <w:r>
        <w:rPr>
          <w:rFonts w:hint="eastAsia" w:ascii="宋体" w:hAnsi="宋体" w:eastAsia="宋体" w:cs="Arial"/>
          <w:kern w:val="0"/>
          <w:sz w:val="24"/>
          <w:szCs w:val="24"/>
        </w:rPr>
        <w:t>开标时间和地点</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采购人在供应商须知前附表规定的时间、地点公开开标，并邀请所有供应商的法定代表人或其授权委托人参加。</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5.2 </w:t>
      </w:r>
      <w:r>
        <w:rPr>
          <w:rFonts w:hint="eastAsia" w:ascii="宋体" w:hAnsi="宋体" w:eastAsia="宋体" w:cs="Arial"/>
          <w:kern w:val="0"/>
          <w:sz w:val="24"/>
          <w:szCs w:val="24"/>
        </w:rPr>
        <w:t>开标注意事项</w:t>
      </w:r>
    </w:p>
    <w:p>
      <w:pPr>
        <w:widowControl/>
        <w:shd w:val="clear" w:color="auto" w:fill="FFFFFF"/>
        <w:snapToGrid w:val="0"/>
        <w:spacing w:line="360" w:lineRule="auto"/>
        <w:ind w:firstLine="482" w:firstLineChars="200"/>
        <w:rPr>
          <w:rFonts w:ascii="宋体" w:hAnsi="Calibri" w:eastAsia="宋体" w:cs="Arial"/>
          <w:b/>
          <w:kern w:val="0"/>
          <w:sz w:val="24"/>
          <w:szCs w:val="24"/>
        </w:rPr>
      </w:pPr>
      <w:r>
        <w:rPr>
          <w:rFonts w:ascii="宋体" w:hAnsi="宋体" w:eastAsia="宋体" w:cs="Arial"/>
          <w:b/>
          <w:kern w:val="0"/>
          <w:sz w:val="24"/>
          <w:szCs w:val="24"/>
        </w:rPr>
        <w:t>5.2.1</w:t>
      </w:r>
      <w:r>
        <w:rPr>
          <w:rFonts w:hint="eastAsia" w:ascii="宋体" w:hAnsi="宋体" w:eastAsia="宋体" w:cs="Arial"/>
          <w:b/>
          <w:kern w:val="0"/>
          <w:sz w:val="24"/>
          <w:szCs w:val="24"/>
        </w:rPr>
        <w:t>（1）供应商法人授权委托人应按时参加开标会并携带法定代表人授权委托书原件（加盖公章及法定代表人章）、被授权人身份证原件、加盖公章的被授权人身份证复印件；（法定代表人到场参与投标的，须提供法定代表人身份证明原件、法定代表人身份证原件、加盖公章的法定代表人身份证复印件）；（2）营业执照（或事业单位法人证书）</w:t>
      </w:r>
      <w:r>
        <w:rPr>
          <w:rFonts w:hint="eastAsia" w:ascii="宋体" w:hAnsi="宋体" w:eastAsia="宋体" w:cs="Arial"/>
          <w:b/>
          <w:kern w:val="0"/>
          <w:sz w:val="24"/>
          <w:szCs w:val="24"/>
          <w:lang w:eastAsia="zh-CN"/>
        </w:rPr>
        <w:t>资质证书复印件</w:t>
      </w:r>
      <w:r>
        <w:rPr>
          <w:rFonts w:hint="eastAsia" w:ascii="宋体" w:hAnsi="宋体" w:eastAsia="宋体" w:cs="Arial"/>
          <w:b/>
          <w:kern w:val="0"/>
          <w:sz w:val="24"/>
          <w:szCs w:val="24"/>
        </w:rPr>
        <w:t>（3）“信用中国”（</w:t>
      </w:r>
      <w:r>
        <w:rPr>
          <w:rFonts w:ascii="宋体" w:hAnsi="宋体" w:eastAsia="宋体" w:cs="Arial"/>
          <w:b/>
          <w:kern w:val="0"/>
          <w:sz w:val="24"/>
          <w:szCs w:val="24"/>
        </w:rPr>
        <w:t>www.creditchina.gov.cn</w:t>
      </w:r>
      <w:r>
        <w:rPr>
          <w:rFonts w:hint="eastAsia" w:ascii="宋体" w:hAnsi="宋体" w:eastAsia="宋体" w:cs="Arial"/>
          <w:b/>
          <w:kern w:val="0"/>
          <w:sz w:val="24"/>
          <w:szCs w:val="24"/>
        </w:rPr>
        <w:t>）和中国政府采购网（</w:t>
      </w:r>
      <w:r>
        <w:rPr>
          <w:rFonts w:ascii="宋体" w:hAnsi="宋体" w:eastAsia="宋体" w:cs="Arial"/>
          <w:b/>
          <w:kern w:val="0"/>
          <w:sz w:val="24"/>
          <w:szCs w:val="24"/>
        </w:rPr>
        <w:t>www.ccgp.gov.cn</w:t>
      </w:r>
      <w:r>
        <w:rPr>
          <w:rFonts w:hint="eastAsia" w:ascii="宋体" w:hAnsi="宋体" w:eastAsia="宋体" w:cs="Arial"/>
          <w:b/>
          <w:kern w:val="0"/>
          <w:sz w:val="24"/>
          <w:szCs w:val="24"/>
        </w:rPr>
        <w:t>）网站上未被列入失信被执行人、重大税收违法案件当事人名单以及政府采购严重违法失信行为记录名单网页截图加盖公章；查询时间（须自竞争性谈判公告发布之日起至首次提交响应文件截止时间内）。以上（2）-（3）条为资格审查必备条件，提供不全视为资格审查不通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5.3 </w:t>
      </w:r>
      <w:r>
        <w:rPr>
          <w:rFonts w:hint="eastAsia" w:ascii="宋体" w:hAnsi="宋体" w:eastAsia="宋体" w:cs="Arial"/>
          <w:kern w:val="0"/>
          <w:sz w:val="24"/>
          <w:szCs w:val="24"/>
        </w:rPr>
        <w:t>开标程序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按下列程序进行开标：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）宣布开标纪律；</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）开标会主持人介绍参加会议的人员；</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）公布在投标截止时间前递交竞争性磋商响应文件的供应商名称，并点名确认供应商是否派人到场</w:t>
      </w:r>
      <w:r>
        <w:rPr>
          <w:rFonts w:ascii="宋体" w:hAnsi="宋体" w:eastAsia="宋体" w:cs="Arial"/>
          <w:kern w:val="0"/>
          <w:sz w:val="24"/>
          <w:szCs w:val="24"/>
        </w:rPr>
        <w:t>参加开标</w:t>
      </w:r>
      <w:r>
        <w:rPr>
          <w:rFonts w:hint="eastAsia" w:ascii="宋体" w:hAnsi="宋体" w:eastAsia="宋体" w:cs="Arial"/>
          <w:kern w:val="0"/>
          <w:sz w:val="24"/>
          <w:szCs w:val="24"/>
        </w:rPr>
        <w:t>，由采购人或监督人查验供应商按5.2.1条提供的资料；如果供应商未派人到场</w:t>
      </w:r>
      <w:r>
        <w:rPr>
          <w:rFonts w:ascii="宋体" w:hAnsi="宋体" w:eastAsia="宋体" w:cs="Arial"/>
          <w:kern w:val="0"/>
          <w:sz w:val="24"/>
          <w:szCs w:val="24"/>
        </w:rPr>
        <w:t>参加开标，</w:t>
      </w:r>
      <w:r>
        <w:rPr>
          <w:rFonts w:hint="eastAsia" w:ascii="宋体" w:hAnsi="宋体" w:eastAsia="宋体" w:cs="Arial"/>
          <w:kern w:val="0"/>
          <w:sz w:val="24"/>
          <w:szCs w:val="24"/>
        </w:rPr>
        <w:t>则</w:t>
      </w:r>
      <w:r>
        <w:rPr>
          <w:rFonts w:ascii="宋体" w:hAnsi="宋体" w:eastAsia="宋体" w:cs="Arial"/>
          <w:kern w:val="0"/>
          <w:sz w:val="24"/>
          <w:szCs w:val="24"/>
        </w:rPr>
        <w:t>视同认可开标结果</w:t>
      </w:r>
      <w:r>
        <w:rPr>
          <w:rFonts w:hint="eastAsia" w:ascii="宋体" w:hAnsi="宋体" w:eastAsia="宋体" w:cs="Arial"/>
          <w:kern w:val="0"/>
          <w:sz w:val="24"/>
          <w:szCs w:val="24"/>
        </w:rPr>
        <w:t>；</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）由供应商代表检查竞争性磋商响应文件的密封情况；</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）公布供应商名称，并作记录；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）相关人员在开标记录表上签字；</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）开标结束。</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29" w:name="_BookMark_9"/>
      <w:bookmarkEnd w:id="29"/>
      <w:bookmarkStart w:id="30" w:name="_Toc27464"/>
      <w:r>
        <w:rPr>
          <w:rFonts w:ascii="宋体" w:hAnsi="宋体" w:eastAsia="宋体" w:cs="宋体"/>
          <w:b/>
          <w:sz w:val="24"/>
          <w:szCs w:val="24"/>
        </w:rPr>
        <w:t>6</w:t>
      </w:r>
      <w:r>
        <w:rPr>
          <w:rFonts w:hint="eastAsia" w:ascii="宋体" w:hAnsi="宋体" w:eastAsia="宋体" w:cs="宋体"/>
          <w:b/>
          <w:sz w:val="24"/>
          <w:szCs w:val="24"/>
        </w:rPr>
        <w:t>．评标</w:t>
      </w:r>
      <w:bookmarkEnd w:id="30"/>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 </w:t>
      </w:r>
      <w:r>
        <w:rPr>
          <w:rFonts w:hint="eastAsia" w:ascii="宋体" w:hAnsi="宋体" w:eastAsia="宋体" w:cs="Arial"/>
          <w:kern w:val="0"/>
          <w:sz w:val="24"/>
          <w:szCs w:val="24"/>
        </w:rPr>
        <w:t>磋商小组</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6.1.1 </w:t>
      </w:r>
      <w:r>
        <w:rPr>
          <w:rFonts w:hint="eastAsia" w:ascii="宋体" w:hAnsi="宋体" w:eastAsia="宋体" w:cs="Arial"/>
          <w:kern w:val="0"/>
          <w:sz w:val="24"/>
          <w:szCs w:val="24"/>
        </w:rPr>
        <w:t>评标由采购人按照《政府采购评审专家管理办法》财库〔2016〕198号，依法组建的磋商小组负责。磋商小组负责评标工作，并向采购人提交书面评标报告。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6.1.2 </w:t>
      </w:r>
      <w:r>
        <w:rPr>
          <w:rFonts w:hint="eastAsia" w:ascii="宋体" w:hAnsi="宋体" w:eastAsia="宋体" w:cs="Arial"/>
          <w:kern w:val="0"/>
          <w:sz w:val="24"/>
          <w:szCs w:val="24"/>
        </w:rPr>
        <w:t>磋商小组成员有下列情形之一的，应当回避：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w:t>
      </w:r>
      <w:r>
        <w:rPr>
          <w:rFonts w:hint="eastAsia" w:ascii="宋体" w:hAnsi="Calibri" w:eastAsia="宋体" w:cs="Arial"/>
          <w:kern w:val="0"/>
          <w:sz w:val="24"/>
          <w:szCs w:val="24"/>
        </w:rPr>
        <w:t>参加采购活动前三年内,与供应商存在劳动关系,或者担任过供应商的董事、监事,或者是供应商的控股股东或实际控制人。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w:t>
      </w:r>
      <w:r>
        <w:rPr>
          <w:rFonts w:hint="eastAsia" w:ascii="宋体" w:hAnsi="Calibri" w:eastAsia="宋体" w:cs="Arial"/>
          <w:kern w:val="0"/>
          <w:sz w:val="24"/>
          <w:szCs w:val="24"/>
        </w:rPr>
        <w:t>与供应商的法定代表人或者负责人有夫妻、直系血亲、三代以内旁系血亲或者近姻亲关系。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w:t>
      </w:r>
      <w:r>
        <w:rPr>
          <w:rFonts w:hint="eastAsia" w:ascii="宋体" w:hAnsi="Calibri" w:eastAsia="宋体" w:cs="Arial"/>
          <w:kern w:val="0"/>
          <w:sz w:val="24"/>
          <w:szCs w:val="24"/>
        </w:rPr>
        <w:t>与供应商有其他可能影响政府采购活动公平、公正进行的关系。</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6.2 </w:t>
      </w:r>
      <w:r>
        <w:rPr>
          <w:rFonts w:hint="eastAsia" w:ascii="宋体" w:hAnsi="宋体" w:eastAsia="宋体" w:cs="Arial"/>
          <w:kern w:val="0"/>
          <w:sz w:val="24"/>
          <w:szCs w:val="24"/>
        </w:rPr>
        <w:t>评标原则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6.3 </w:t>
      </w:r>
      <w:r>
        <w:rPr>
          <w:rFonts w:hint="eastAsia" w:ascii="宋体" w:hAnsi="宋体" w:eastAsia="宋体" w:cs="Arial"/>
          <w:kern w:val="0"/>
          <w:sz w:val="24"/>
          <w:szCs w:val="24"/>
        </w:rPr>
        <w:t>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磋商小组按照竞争性磋商文件中规定的方法、评审因素、标准和程序对竞争性磋商响应文件进行评审。</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1" w:name="_BookMark_10"/>
      <w:bookmarkEnd w:id="31"/>
      <w:bookmarkStart w:id="32" w:name="_Toc28987"/>
      <w:r>
        <w:rPr>
          <w:rFonts w:ascii="宋体" w:hAnsi="宋体" w:eastAsia="宋体" w:cs="宋体"/>
          <w:b/>
          <w:sz w:val="24"/>
          <w:szCs w:val="24"/>
        </w:rPr>
        <w:t>7</w:t>
      </w:r>
      <w:r>
        <w:rPr>
          <w:rFonts w:hint="eastAsia" w:ascii="宋体" w:hAnsi="宋体" w:eastAsia="宋体" w:cs="宋体"/>
          <w:b/>
          <w:sz w:val="24"/>
          <w:szCs w:val="24"/>
        </w:rPr>
        <w:t>．定标及合同授予</w:t>
      </w:r>
      <w:bookmarkEnd w:id="32"/>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 </w:t>
      </w:r>
      <w:r>
        <w:rPr>
          <w:rFonts w:hint="eastAsia" w:ascii="宋体" w:hAnsi="宋体" w:eastAsia="宋体" w:cs="Arial"/>
          <w:kern w:val="0"/>
          <w:sz w:val="24"/>
          <w:szCs w:val="24"/>
        </w:rPr>
        <w:t>定标方法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7.1.1 </w:t>
      </w:r>
      <w:r>
        <w:rPr>
          <w:rFonts w:hint="eastAsia" w:ascii="宋体" w:hAnsi="宋体" w:eastAsia="宋体" w:cs="Arial"/>
          <w:kern w:val="0"/>
          <w:sz w:val="24"/>
          <w:szCs w:val="24"/>
        </w:rPr>
        <w:t>评标活动遵循公平、公正、科学和择优的原则。磋商小组按照竞争性磋商文件中规定的方法、评审因素、标准和程序对竞争性磋商响应文件进行评审，并按供应商须知前附表的规定向采购人推荐成交候选人。采购人依据磋商小组推荐的成交候选人确定成交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7.1.</w:t>
      </w:r>
      <w:r>
        <w:rPr>
          <w:rFonts w:hint="eastAsia" w:ascii="宋体" w:hAnsi="宋体" w:eastAsia="宋体" w:cs="Arial"/>
          <w:kern w:val="0"/>
          <w:sz w:val="24"/>
          <w:szCs w:val="24"/>
        </w:rPr>
        <w:t>2 采购人从成交候选人中确定出成交人的原则：采购人应当确定综合得分排名第一的成交候选人为成交人。排名第一的成交候选人放弃中标、因不可抗力不能履行合同，不按照竞争性磋商文件要求提交履约保证金、或者被查实存在影响中标结果的违法行为等情形，不符合中标条件的，采购人可以按照磋商小组提出的成交候选人名单排名依次确定其他成交候选人为成交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7.2 </w:t>
      </w:r>
      <w:r>
        <w:rPr>
          <w:rFonts w:hint="eastAsia" w:ascii="宋体" w:hAnsi="宋体" w:eastAsia="宋体" w:cs="Arial"/>
          <w:kern w:val="0"/>
          <w:sz w:val="24"/>
          <w:szCs w:val="24"/>
        </w:rPr>
        <w:t>成交候选人公示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在成交通知书发出前，成交候选人的情况将在竞争性磋商公告发布的媒体上公示，公示期不得少于1个工作日。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7.3 </w:t>
      </w:r>
      <w:r>
        <w:rPr>
          <w:rFonts w:hint="eastAsia" w:ascii="宋体" w:hAnsi="宋体" w:eastAsia="宋体" w:cs="Arial"/>
          <w:kern w:val="0"/>
          <w:sz w:val="24"/>
          <w:szCs w:val="24"/>
        </w:rPr>
        <w:t>成交通知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公示期满后，采购人以书面形式向成交人发出成交通知书，并及时通知其它供应商成交结果。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 </w:t>
      </w:r>
      <w:r>
        <w:rPr>
          <w:rFonts w:hint="eastAsia" w:ascii="宋体" w:hAnsi="宋体" w:eastAsia="宋体" w:cs="Arial"/>
          <w:kern w:val="0"/>
          <w:sz w:val="24"/>
          <w:szCs w:val="24"/>
        </w:rPr>
        <w:t>履约保证金</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7.4.1 </w:t>
      </w:r>
      <w:r>
        <w:rPr>
          <w:rFonts w:hint="eastAsia" w:ascii="宋体" w:hAnsi="宋体" w:eastAsia="宋体" w:cs="Arial"/>
          <w:kern w:val="0"/>
          <w:sz w:val="24"/>
          <w:szCs w:val="24"/>
        </w:rPr>
        <w:t>在签订合同前，成交人应按供应商须知前附表规定的金额、形式向采购人提交履约保证金。联合体中标的，其履约保证金由牵头人提交，并应符合供应商须知前附表的规定。</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7.4.2 </w:t>
      </w:r>
      <w:r>
        <w:rPr>
          <w:rFonts w:hint="eastAsia" w:ascii="宋体" w:hAnsi="宋体" w:eastAsia="宋体" w:cs="Arial"/>
          <w:kern w:val="0"/>
          <w:sz w:val="24"/>
          <w:szCs w:val="24"/>
        </w:rPr>
        <w:t>成交人不能按本章第</w:t>
      </w:r>
      <w:r>
        <w:rPr>
          <w:rFonts w:ascii="宋体" w:hAnsi="宋体" w:eastAsia="宋体" w:cs="Arial"/>
          <w:kern w:val="0"/>
          <w:sz w:val="24"/>
          <w:szCs w:val="24"/>
        </w:rPr>
        <w:t>7.4.1</w:t>
      </w:r>
      <w:r>
        <w:rPr>
          <w:rFonts w:hint="eastAsia" w:ascii="宋体" w:hAnsi="宋体" w:eastAsia="宋体" w:cs="Arial"/>
          <w:kern w:val="0"/>
          <w:sz w:val="24"/>
          <w:szCs w:val="24"/>
        </w:rPr>
        <w:t>款要求提交履约保证金的，视为放弃中标，其磋商保证金不予退还；给采购人造成的损失超过磋商保证金数额的，成交人还应当对超过部分予以赔偿。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7.5 </w:t>
      </w:r>
      <w:r>
        <w:rPr>
          <w:rFonts w:hint="eastAsia" w:ascii="宋体" w:hAnsi="宋体" w:eastAsia="宋体" w:cs="Arial"/>
          <w:kern w:val="0"/>
          <w:sz w:val="24"/>
          <w:szCs w:val="24"/>
        </w:rPr>
        <w:t>签订合同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7.5.1</w:t>
      </w:r>
      <w:r>
        <w:rPr>
          <w:rFonts w:hint="eastAsia" w:ascii="宋体" w:hAnsi="Calibri" w:eastAsia="宋体" w:cs="Arial"/>
          <w:kern w:val="0"/>
          <w:sz w:val="24"/>
          <w:szCs w:val="24"/>
        </w:rPr>
        <w:t>采购人应当自成交通知书发出之日起30日内，按照竞争性磋商文件和成交人竞争性磋商响应文件的规定，与成交人签订书面合同。所签订的合同不得对竞争性磋商文件确定的事项和成交人竞争性磋商响应文件作实质性修改。采购人不得向成交人提出任何不合理的要求作为签订合同的条件。</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7.5.2发出成交通知书后，采购人无正当理由拒签合同的，给成交人造成损失的，还应当赔偿成交人损失。</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Calibri" w:eastAsia="宋体" w:cs="Arial"/>
          <w:kern w:val="0"/>
          <w:sz w:val="24"/>
          <w:szCs w:val="24"/>
        </w:rPr>
        <w:t>7.5.</w:t>
      </w:r>
      <w:r>
        <w:rPr>
          <w:rFonts w:hint="eastAsia" w:ascii="宋体" w:hAnsi="Calibri" w:eastAsia="宋体" w:cs="Arial"/>
          <w:kern w:val="0"/>
          <w:sz w:val="24"/>
          <w:szCs w:val="24"/>
        </w:rPr>
        <w:t>3 发出成交通知书后，成交人无正当理由拒签合同的，采购人取消其中标资格，其磋商保证金不予退还；给采购人造成的损失超过磋商保证金数额的，成交人还应当对超过部分予以赔偿。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sz w:val="24"/>
          <w:szCs w:val="24"/>
        </w:rPr>
      </w:pPr>
      <w:bookmarkStart w:id="33" w:name="_BookMark_11"/>
      <w:bookmarkEnd w:id="33"/>
      <w:bookmarkStart w:id="34" w:name="_Toc19821"/>
      <w:r>
        <w:rPr>
          <w:rFonts w:ascii="宋体" w:hAnsi="宋体" w:eastAsia="宋体" w:cs="宋体"/>
          <w:b/>
          <w:sz w:val="24"/>
          <w:szCs w:val="24"/>
        </w:rPr>
        <w:t>8</w:t>
      </w:r>
      <w:r>
        <w:rPr>
          <w:rFonts w:hint="eastAsia" w:ascii="宋体" w:hAnsi="宋体" w:eastAsia="宋体" w:cs="宋体"/>
          <w:b/>
          <w:sz w:val="24"/>
          <w:szCs w:val="24"/>
        </w:rPr>
        <w:t>．纪律和监督</w:t>
      </w:r>
      <w:bookmarkEnd w:id="34"/>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8.1 </w:t>
      </w:r>
      <w:r>
        <w:rPr>
          <w:rFonts w:hint="eastAsia" w:ascii="宋体" w:hAnsi="宋体" w:eastAsia="宋体" w:cs="Arial"/>
          <w:kern w:val="0"/>
          <w:sz w:val="24"/>
          <w:szCs w:val="24"/>
        </w:rPr>
        <w:t>对采购人的纪律要求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采购人不得泄漏招标投标活动中应当保密的情况和资料，不得与供应商串通损害国家利益、社会公共利益或者他人合法权益。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8.2 </w:t>
      </w:r>
      <w:r>
        <w:rPr>
          <w:rFonts w:hint="eastAsia" w:ascii="宋体" w:hAnsi="宋体" w:eastAsia="宋体" w:cs="Arial"/>
          <w:kern w:val="0"/>
          <w:sz w:val="24"/>
          <w:szCs w:val="24"/>
        </w:rPr>
        <w:t>对供应商的纪律要求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供应商不得相互串通投标或者与采购人串通投标，不得向采购人或者磋商小组成员行贿谋取中标，不得以他人名义投标或者以其他方式弄虚作假骗取中标；供应商不得以任何方式干扰、影响评标工作。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8.3 </w:t>
      </w:r>
      <w:r>
        <w:rPr>
          <w:rFonts w:hint="eastAsia" w:ascii="宋体" w:hAnsi="宋体" w:eastAsia="宋体" w:cs="Arial"/>
          <w:kern w:val="0"/>
          <w:sz w:val="24"/>
          <w:szCs w:val="24"/>
        </w:rPr>
        <w:t>对磋商小组成员的纪律要求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成员不得收受他人的财物或者其他好处，不得向他人透漏对竞争性磋商响应文件的评审和比较、成交候选人的推荐情况以及评标有关的其他情况。在评标活动中，磋商小组成员不得擅离职守，影响评标程序正常进行，不得使用评标办法没有规定的评审因素和标准进行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8.4 </w:t>
      </w:r>
      <w:r>
        <w:rPr>
          <w:rFonts w:hint="eastAsia" w:ascii="宋体" w:hAnsi="宋体" w:eastAsia="宋体" w:cs="Arial"/>
          <w:kern w:val="0"/>
          <w:sz w:val="24"/>
          <w:szCs w:val="24"/>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与评标活动有关的工作人员不得收受他人的财物或者其他好处，不得向他人透漏对竞争性磋商响应文件的评审和比较、成交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8.5 </w:t>
      </w:r>
      <w:r>
        <w:rPr>
          <w:rFonts w:hint="eastAsia" w:ascii="宋体" w:hAnsi="宋体" w:eastAsia="宋体" w:cs="Arial"/>
          <w:kern w:val="0"/>
          <w:sz w:val="24"/>
          <w:szCs w:val="24"/>
        </w:rPr>
        <w:t>监督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本项目的招标投标活动及其相关当事人应当接受有管辖权的监督部门依法实施的监督。</w:t>
      </w:r>
      <w:bookmarkStart w:id="35" w:name="_BookMark_12"/>
      <w:bookmarkEnd w:id="35"/>
    </w:p>
    <w:p>
      <w:pPr>
        <w:spacing w:line="360" w:lineRule="auto"/>
        <w:jc w:val="center"/>
        <w:outlineLvl w:val="0"/>
        <w:rPr>
          <w:rFonts w:ascii="宋体" w:hAnsi="宋体" w:eastAsia="宋体" w:cs="宋体"/>
          <w:b/>
          <w:sz w:val="24"/>
          <w:szCs w:val="24"/>
        </w:rPr>
      </w:pPr>
      <w:r>
        <w:rPr>
          <w:rFonts w:ascii="宋体" w:hAnsi="Calibri" w:eastAsia="宋体" w:cs="Arial"/>
          <w:bCs/>
          <w:kern w:val="0"/>
          <w:sz w:val="24"/>
          <w:szCs w:val="24"/>
        </w:rPr>
        <w:br w:type="page"/>
      </w:r>
      <w:bookmarkStart w:id="36" w:name="_Toc11174"/>
      <w:r>
        <w:rPr>
          <w:rFonts w:hint="eastAsia" w:ascii="宋体" w:hAnsi="宋体" w:eastAsia="宋体" w:cs="宋体"/>
          <w:b/>
          <w:sz w:val="24"/>
          <w:szCs w:val="24"/>
        </w:rPr>
        <w:t>第二章 评标办法</w:t>
      </w:r>
      <w:bookmarkEnd w:id="36"/>
    </w:p>
    <w:p>
      <w:pPr>
        <w:tabs>
          <w:tab w:val="center" w:pos="4832"/>
          <w:tab w:val="left" w:pos="7140"/>
        </w:tabs>
        <w:spacing w:line="360" w:lineRule="auto"/>
        <w:jc w:val="center"/>
        <w:outlineLvl w:val="2"/>
        <w:rPr>
          <w:rFonts w:ascii="宋体" w:hAnsi="宋体" w:eastAsia="宋体" w:cs="宋体"/>
          <w:b/>
          <w:sz w:val="24"/>
          <w:szCs w:val="24"/>
        </w:rPr>
      </w:pPr>
      <w:bookmarkStart w:id="37" w:name="_BookMark_1"/>
      <w:bookmarkEnd w:id="37"/>
      <w:bookmarkStart w:id="38" w:name="_Toc16826"/>
      <w:r>
        <w:rPr>
          <w:rFonts w:hint="eastAsia" w:ascii="宋体" w:hAnsi="宋体" w:eastAsia="宋体" w:cs="宋体"/>
          <w:b/>
          <w:sz w:val="24"/>
          <w:szCs w:val="24"/>
        </w:rPr>
        <w:t>评标办法前附表</w:t>
      </w:r>
      <w:bookmarkEnd w:id="38"/>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2"/>
        <w:gridCol w:w="2634"/>
        <w:gridCol w:w="5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10" w:type="dxa"/>
            <w:tcMar>
              <w:top w:w="0" w:type="dxa"/>
              <w:left w:w="28" w:type="dxa"/>
              <w:bottom w:w="0" w:type="dxa"/>
              <w:right w:w="28" w:type="dxa"/>
            </w:tcMar>
            <w:vAlign w:val="center"/>
          </w:tcPr>
          <w:p>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序号</w:t>
            </w:r>
          </w:p>
        </w:tc>
        <w:tc>
          <w:tcPr>
            <w:tcW w:w="2772" w:type="dxa"/>
            <w:tcMar>
              <w:top w:w="0" w:type="dxa"/>
              <w:left w:w="28" w:type="dxa"/>
              <w:bottom w:w="0" w:type="dxa"/>
              <w:right w:w="28" w:type="dxa"/>
            </w:tcMar>
            <w:vAlign w:val="center"/>
          </w:tcPr>
          <w:p>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条款内容</w:t>
            </w:r>
          </w:p>
        </w:tc>
        <w:tc>
          <w:tcPr>
            <w:tcW w:w="5744" w:type="dxa"/>
            <w:tcMar>
              <w:top w:w="0" w:type="dxa"/>
              <w:left w:w="28" w:type="dxa"/>
              <w:bottom w:w="0" w:type="dxa"/>
              <w:right w:w="28" w:type="dxa"/>
            </w:tcMar>
            <w:vAlign w:val="center"/>
          </w:tcPr>
          <w:p>
            <w:pPr>
              <w:spacing w:line="360" w:lineRule="auto"/>
              <w:jc w:val="center"/>
              <w:rPr>
                <w:rFonts w:ascii="宋体" w:hAnsi="Calibri" w:eastAsia="宋体" w:cs="Times New Roman"/>
                <w:sz w:val="24"/>
                <w:szCs w:val="24"/>
              </w:rPr>
            </w:pPr>
            <w:r>
              <w:rPr>
                <w:rFonts w:hint="eastAsia" w:ascii="宋体" w:hAnsi="宋体" w:eastAsia="宋体" w:cs="Times New Roman"/>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610" w:type="dxa"/>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r>
              <w:rPr>
                <w:rFonts w:ascii="宋体" w:hAnsi="宋体" w:eastAsia="宋体" w:cs="Times New Roman"/>
                <w:sz w:val="24"/>
                <w:szCs w:val="24"/>
              </w:rPr>
              <w:t>1</w:t>
            </w:r>
          </w:p>
        </w:tc>
        <w:tc>
          <w:tcPr>
            <w:tcW w:w="2772"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分值构成及权重</w:t>
            </w:r>
          </w:p>
          <w:p>
            <w:pPr>
              <w:spacing w:line="360" w:lineRule="auto"/>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总分</w:t>
            </w:r>
            <w:r>
              <w:rPr>
                <w:rFonts w:ascii="宋体" w:hAnsi="宋体" w:eastAsia="宋体" w:cs="Times New Roman"/>
                <w:sz w:val="24"/>
                <w:szCs w:val="24"/>
              </w:rPr>
              <w:t>100</w:t>
            </w:r>
            <w:r>
              <w:rPr>
                <w:rFonts w:hint="eastAsia" w:ascii="宋体" w:hAnsi="宋体" w:eastAsia="宋体" w:cs="Times New Roman"/>
                <w:sz w:val="24"/>
                <w:szCs w:val="24"/>
              </w:rPr>
              <w:t>分</w:t>
            </w:r>
            <w:r>
              <w:rPr>
                <w:rFonts w:ascii="宋体" w:hAnsi="宋体" w:eastAsia="宋体" w:cs="Times New Roman"/>
                <w:sz w:val="24"/>
                <w:szCs w:val="24"/>
              </w:rPr>
              <w:t>)</w:t>
            </w:r>
          </w:p>
        </w:tc>
        <w:tc>
          <w:tcPr>
            <w:tcW w:w="5744" w:type="dxa"/>
            <w:tcMar>
              <w:top w:w="0" w:type="dxa"/>
              <w:left w:w="28" w:type="dxa"/>
              <w:bottom w:w="0" w:type="dxa"/>
              <w:right w:w="28" w:type="dxa"/>
            </w:tcMar>
            <w:vAlign w:val="center"/>
          </w:tcPr>
          <w:p>
            <w:pPr>
              <w:spacing w:line="360"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详细评审部分权重</w:t>
            </w:r>
            <w:r>
              <w:rPr>
                <w:rFonts w:ascii="宋体" w:hAnsi="宋体" w:eastAsia="宋体" w:cs="Times New Roman"/>
                <w:sz w:val="24"/>
                <w:szCs w:val="24"/>
              </w:rPr>
              <w:t>Q1=</w:t>
            </w:r>
            <w:r>
              <w:rPr>
                <w:rFonts w:hint="eastAsia" w:ascii="宋体" w:hAnsi="宋体" w:eastAsia="宋体" w:cs="Times New Roman"/>
                <w:sz w:val="24"/>
                <w:szCs w:val="24"/>
              </w:rPr>
              <w:t>9</w:t>
            </w:r>
            <w:r>
              <w:rPr>
                <w:rFonts w:ascii="宋体" w:hAnsi="宋体" w:eastAsia="宋体" w:cs="Times New Roman"/>
                <w:sz w:val="24"/>
                <w:szCs w:val="24"/>
              </w:rPr>
              <w:t>0%</w:t>
            </w:r>
          </w:p>
          <w:p>
            <w:pPr>
              <w:spacing w:line="360" w:lineRule="auto"/>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投标报价权重</w:t>
            </w:r>
            <w:r>
              <w:rPr>
                <w:rFonts w:ascii="宋体" w:hAnsi="宋体" w:eastAsia="宋体" w:cs="Times New Roman"/>
                <w:sz w:val="24"/>
                <w:szCs w:val="24"/>
              </w:rPr>
              <w:t>Q2=</w:t>
            </w:r>
            <w:r>
              <w:rPr>
                <w:rFonts w:hint="eastAsia" w:ascii="宋体" w:hAnsi="宋体" w:eastAsia="宋体" w:cs="Times New Roman"/>
                <w:sz w:val="24"/>
                <w:szCs w:val="24"/>
              </w:rPr>
              <w:t>1</w:t>
            </w:r>
            <w:r>
              <w:rPr>
                <w:rFonts w:ascii="宋体" w:hAnsi="宋体" w:eastAsia="宋体"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610" w:type="dxa"/>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2</w:t>
            </w:r>
          </w:p>
        </w:tc>
        <w:tc>
          <w:tcPr>
            <w:tcW w:w="2772"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资格审查</w:t>
            </w:r>
          </w:p>
        </w:tc>
        <w:tc>
          <w:tcPr>
            <w:tcW w:w="5744"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详见《资格审查标准》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10" w:type="dxa"/>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3</w:t>
            </w:r>
          </w:p>
        </w:tc>
        <w:tc>
          <w:tcPr>
            <w:tcW w:w="2772"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完备性及符合性审查</w:t>
            </w:r>
          </w:p>
        </w:tc>
        <w:tc>
          <w:tcPr>
            <w:tcW w:w="5744"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详见《完备性及符合性审查标准》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10" w:type="dxa"/>
            <w:vMerge w:val="restart"/>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4</w:t>
            </w:r>
          </w:p>
        </w:tc>
        <w:tc>
          <w:tcPr>
            <w:tcW w:w="2772" w:type="dxa"/>
            <w:vMerge w:val="restart"/>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报价评审</w:t>
            </w:r>
          </w:p>
        </w:tc>
        <w:tc>
          <w:tcPr>
            <w:tcW w:w="5744" w:type="dxa"/>
            <w:tcMar>
              <w:top w:w="0" w:type="dxa"/>
              <w:left w:w="28" w:type="dxa"/>
              <w:bottom w:w="0" w:type="dxa"/>
              <w:right w:w="28" w:type="dxa"/>
            </w:tcMar>
            <w:vAlign w:val="center"/>
          </w:tcPr>
          <w:p>
            <w:pPr>
              <w:spacing w:line="360" w:lineRule="auto"/>
              <w:rPr>
                <w:rFonts w:ascii="宋体" w:hAnsi="Calibri" w:eastAsia="宋体" w:cs="Times New Roman"/>
                <w:sz w:val="24"/>
                <w:szCs w:val="24"/>
              </w:rPr>
            </w:pPr>
            <w:r>
              <w:rPr>
                <w:rFonts w:hint="eastAsia" w:ascii="宋体" w:hAnsi="宋体" w:eastAsia="宋体" w:cs="Times New Roman"/>
                <w:sz w:val="24"/>
                <w:szCs w:val="24"/>
              </w:rPr>
              <w:t>详见《详细评审标准》及</w:t>
            </w:r>
            <w:r>
              <w:rPr>
                <w:rFonts w:hint="eastAsia" w:ascii="宋体" w:hAnsi="Calibri" w:eastAsia="宋体" w:cs="Arial"/>
                <w:kern w:val="0"/>
                <w:sz w:val="24"/>
                <w:szCs w:val="24"/>
              </w:rPr>
              <w:t>本节第3.7款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7" w:hRule="atLeast"/>
          <w:jc w:val="center"/>
        </w:trPr>
        <w:tc>
          <w:tcPr>
            <w:tcW w:w="610" w:type="dxa"/>
            <w:vMerge w:val="continue"/>
            <w:tcMar>
              <w:top w:w="0" w:type="dxa"/>
              <w:left w:w="28" w:type="dxa"/>
              <w:bottom w:w="0" w:type="dxa"/>
              <w:right w:w="28" w:type="dxa"/>
            </w:tcMar>
            <w:vAlign w:val="center"/>
          </w:tcPr>
          <w:p>
            <w:pPr>
              <w:spacing w:line="360" w:lineRule="auto"/>
              <w:jc w:val="center"/>
              <w:rPr>
                <w:rFonts w:ascii="宋体" w:hAnsi="宋体" w:eastAsia="宋体" w:cs="Times New Roman"/>
                <w:sz w:val="24"/>
                <w:szCs w:val="24"/>
              </w:rPr>
            </w:pPr>
          </w:p>
        </w:tc>
        <w:tc>
          <w:tcPr>
            <w:tcW w:w="2772" w:type="dxa"/>
            <w:vMerge w:val="continue"/>
            <w:tcMar>
              <w:top w:w="0" w:type="dxa"/>
              <w:left w:w="28" w:type="dxa"/>
              <w:bottom w:w="0" w:type="dxa"/>
              <w:right w:w="28" w:type="dxa"/>
            </w:tcMar>
            <w:vAlign w:val="center"/>
          </w:tcPr>
          <w:p>
            <w:pPr>
              <w:spacing w:line="360" w:lineRule="auto"/>
              <w:rPr>
                <w:rFonts w:ascii="宋体" w:hAnsi="Calibri" w:eastAsia="宋体" w:cs="Times New Roman"/>
                <w:sz w:val="24"/>
                <w:szCs w:val="24"/>
              </w:rPr>
            </w:pPr>
          </w:p>
        </w:tc>
        <w:tc>
          <w:tcPr>
            <w:tcW w:w="5744" w:type="dxa"/>
            <w:tcMar>
              <w:top w:w="0" w:type="dxa"/>
              <w:left w:w="28" w:type="dxa"/>
              <w:bottom w:w="0" w:type="dxa"/>
              <w:right w:w="28" w:type="dxa"/>
            </w:tcMar>
          </w:tcPr>
          <w:p>
            <w:pPr>
              <w:spacing w:line="360" w:lineRule="auto"/>
              <w:rPr>
                <w:rFonts w:ascii="宋体" w:hAnsi="宋体" w:eastAsia="宋体" w:cs="Times New Roman"/>
                <w:sz w:val="24"/>
                <w:szCs w:val="24"/>
              </w:rPr>
            </w:pPr>
            <w:r>
              <w:rPr>
                <w:rFonts w:hint="eastAsia" w:ascii="宋体" w:hAnsi="宋体" w:eastAsia="宋体" w:cs="Times New Roman"/>
                <w:sz w:val="24"/>
                <w:szCs w:val="24"/>
              </w:rPr>
              <w:t>投标报价得分计算方法：</w:t>
            </w:r>
          </w:p>
          <w:p>
            <w:pPr>
              <w:spacing w:line="360" w:lineRule="auto"/>
              <w:rPr>
                <w:rFonts w:ascii="宋体" w:hAnsi="宋体" w:eastAsia="宋体" w:cs="Times New Roman"/>
                <w:bCs/>
                <w:sz w:val="24"/>
                <w:szCs w:val="24"/>
              </w:rPr>
            </w:pPr>
            <w:r>
              <w:rPr>
                <w:rFonts w:hint="eastAsia" w:ascii="宋体" w:hAnsi="宋体" w:eastAsia="宋体" w:cs="Times New Roman"/>
                <w:sz w:val="24"/>
                <w:szCs w:val="24"/>
              </w:rPr>
              <w:t>1</w:t>
            </w:r>
            <w:r>
              <w:rPr>
                <w:rFonts w:hint="eastAsia" w:ascii="宋体" w:hAnsi="宋体" w:eastAsia="宋体" w:cs="Times New Roman"/>
                <w:bCs/>
                <w:sz w:val="24"/>
                <w:szCs w:val="24"/>
              </w:rPr>
              <w:t>.投标报价的确定</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投标报价是指经评审的且不超过采购预算金额的投标价格</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2.评标基准价的确定</w:t>
            </w:r>
          </w:p>
          <w:p>
            <w:pPr>
              <w:spacing w:line="360" w:lineRule="auto"/>
              <w:rPr>
                <w:rFonts w:ascii="宋体" w:hAnsi="宋体" w:eastAsia="宋体" w:cs="Times New Roman"/>
                <w:bCs/>
                <w:sz w:val="24"/>
                <w:szCs w:val="24"/>
              </w:rPr>
            </w:pPr>
            <w:r>
              <w:rPr>
                <w:rFonts w:ascii="宋体" w:hAnsi="宋体" w:eastAsia="宋体" w:cs="Times New Roman"/>
                <w:bCs/>
                <w:sz w:val="24"/>
                <w:szCs w:val="24"/>
              </w:rPr>
              <w:t>满足竞争性磋商文件要求且</w:t>
            </w:r>
            <w:r>
              <w:rPr>
                <w:rFonts w:hint="eastAsia" w:ascii="宋体" w:hAnsi="宋体" w:eastAsia="宋体" w:cs="Times New Roman"/>
                <w:bCs/>
                <w:sz w:val="24"/>
                <w:szCs w:val="24"/>
              </w:rPr>
              <w:t>投标报价</w:t>
            </w:r>
            <w:r>
              <w:rPr>
                <w:rFonts w:ascii="宋体" w:hAnsi="宋体" w:eastAsia="宋体" w:cs="Times New Roman"/>
                <w:bCs/>
                <w:sz w:val="24"/>
                <w:szCs w:val="24"/>
              </w:rPr>
              <w:t>最低的为评标基准价</w:t>
            </w:r>
          </w:p>
          <w:p>
            <w:pPr>
              <w:spacing w:line="360" w:lineRule="auto"/>
              <w:rPr>
                <w:rFonts w:ascii="宋体" w:hAnsi="宋体" w:eastAsia="宋体" w:cs="Times New Roman"/>
                <w:bCs/>
                <w:sz w:val="24"/>
                <w:szCs w:val="24"/>
              </w:rPr>
            </w:pPr>
            <w:r>
              <w:rPr>
                <w:rFonts w:hint="eastAsia" w:ascii="宋体" w:hAnsi="宋体" w:eastAsia="宋体" w:cs="Times New Roman"/>
                <w:bCs/>
                <w:sz w:val="24"/>
                <w:szCs w:val="24"/>
              </w:rPr>
              <w:t>3.</w:t>
            </w:r>
            <w:r>
              <w:rPr>
                <w:rFonts w:ascii="宋体" w:hAnsi="宋体" w:eastAsia="宋体" w:cs="Times New Roman"/>
                <w:bCs/>
                <w:sz w:val="24"/>
                <w:szCs w:val="24"/>
              </w:rPr>
              <w:t>投标报价得分=(评标基准价／投标报价)×100×</w:t>
            </w:r>
            <w:r>
              <w:rPr>
                <w:rFonts w:hint="eastAsia" w:ascii="宋体" w:hAnsi="宋体" w:eastAsia="宋体" w:cs="Times New Roman"/>
                <w:bCs/>
                <w:sz w:val="24"/>
                <w:szCs w:val="24"/>
              </w:rPr>
              <w:t>Q2</w:t>
            </w:r>
          </w:p>
          <w:p>
            <w:pPr>
              <w:spacing w:line="360" w:lineRule="auto"/>
              <w:rPr>
                <w:rFonts w:ascii="宋体" w:hAnsi="宋体" w:eastAsia="宋体" w:cs="Times New Roman"/>
                <w:sz w:val="24"/>
                <w:szCs w:val="24"/>
              </w:rPr>
            </w:pPr>
            <w:r>
              <w:rPr>
                <w:rFonts w:hint="eastAsia" w:ascii="宋体" w:hAnsi="宋体" w:eastAsia="宋体" w:cs="Times New Roman"/>
                <w:bCs/>
                <w:sz w:val="24"/>
                <w:szCs w:val="24"/>
              </w:rPr>
              <w:t>4.</w:t>
            </w:r>
            <w:r>
              <w:rPr>
                <w:rFonts w:hint="eastAsia" w:ascii="宋体" w:hAnsi="宋体" w:eastAsia="宋体" w:cs="Times New Roman"/>
                <w:sz w:val="24"/>
                <w:szCs w:val="24"/>
              </w:rPr>
              <w:t>评分分值计算保留小数点后两位，小数点后三位“四舍五入”。</w:t>
            </w:r>
          </w:p>
          <w:p>
            <w:pPr>
              <w:spacing w:line="360" w:lineRule="auto"/>
              <w:rPr>
                <w:rFonts w:ascii="宋体" w:hAnsi="宋体" w:eastAsia="宋体" w:cs="Arial"/>
                <w:kern w:val="0"/>
                <w:sz w:val="24"/>
                <w:szCs w:val="24"/>
              </w:rPr>
            </w:pPr>
            <w:r>
              <w:rPr>
                <w:rFonts w:hint="eastAsia" w:ascii="宋体" w:hAnsi="宋体" w:eastAsia="宋体" w:cs="Times New Roman"/>
                <w:bCs/>
                <w:sz w:val="24"/>
                <w:szCs w:val="24"/>
              </w:rPr>
              <w:t>5.因落实政府采购政策对中小微企业、残疾人福利性单位、监狱企业产品的价格给予6%价格扣除；以扣除后的价格参与评审，不重复享受价格扣除政策。</w:t>
            </w:r>
          </w:p>
        </w:tc>
      </w:tr>
    </w:tbl>
    <w:p>
      <w:pPr>
        <w:widowControl/>
        <w:shd w:val="clear" w:color="auto" w:fill="FFFFFF"/>
        <w:snapToGrid w:val="0"/>
        <w:spacing w:line="360" w:lineRule="auto"/>
        <w:jc w:val="center"/>
        <w:rPr>
          <w:rFonts w:ascii="宋体" w:hAnsi="宋体" w:eastAsia="宋体" w:cs="Arial"/>
          <w:b/>
          <w:kern w:val="0"/>
          <w:sz w:val="24"/>
          <w:szCs w:val="24"/>
        </w:rPr>
      </w:pPr>
      <w:bookmarkStart w:id="39" w:name="_Toc501719166"/>
      <w:r>
        <w:rPr>
          <w:rFonts w:hint="eastAsia" w:ascii="宋体" w:hAnsi="宋体" w:eastAsia="宋体" w:cs="Arial"/>
          <w:b/>
          <w:kern w:val="0"/>
          <w:sz w:val="24"/>
          <w:szCs w:val="24"/>
        </w:rPr>
        <w:t>《资格审查标准》</w:t>
      </w:r>
      <w:bookmarkEnd w:id="39"/>
    </w:p>
    <w:tbl>
      <w:tblPr>
        <w:tblStyle w:val="4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4"/>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624" w:type="dxa"/>
            <w:vAlign w:val="center"/>
          </w:tcPr>
          <w:p>
            <w:pPr>
              <w:widowControl/>
              <w:shd w:val="clear" w:color="auto" w:fill="FFFFFF"/>
              <w:snapToGrid w:val="0"/>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8456" w:type="dxa"/>
            <w:vAlign w:val="center"/>
          </w:tcPr>
          <w:p>
            <w:pPr>
              <w:widowControl/>
              <w:shd w:val="clear" w:color="auto" w:fill="FFFFFF"/>
              <w:snapToGrid w:val="0"/>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4" w:hRule="atLeast"/>
          <w:jc w:val="center"/>
        </w:trPr>
        <w:tc>
          <w:tcPr>
            <w:tcW w:w="624" w:type="dxa"/>
            <w:vAlign w:val="center"/>
          </w:tcPr>
          <w:p>
            <w:pPr>
              <w:widowControl/>
              <w:shd w:val="clear" w:color="auto" w:fill="FFFFFF"/>
              <w:snapToGrid w:val="0"/>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1</w:t>
            </w:r>
          </w:p>
        </w:tc>
        <w:tc>
          <w:tcPr>
            <w:tcW w:w="8456" w:type="dxa"/>
            <w:vAlign w:val="center"/>
          </w:tcPr>
          <w:p>
            <w:pPr>
              <w:widowControl/>
              <w:shd w:val="clear" w:color="auto" w:fill="FFFFFF"/>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供应商必须符合《中华人民共和国政府采购法》第二十二条规定的条件；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624" w:type="dxa"/>
            <w:vAlign w:val="center"/>
          </w:tcPr>
          <w:p>
            <w:pPr>
              <w:widowControl/>
              <w:shd w:val="clear" w:color="auto" w:fill="FFFFFF"/>
              <w:snapToGrid w:val="0"/>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2</w:t>
            </w:r>
          </w:p>
        </w:tc>
        <w:tc>
          <w:tcPr>
            <w:tcW w:w="8456" w:type="dxa"/>
            <w:vAlign w:val="center"/>
          </w:tcPr>
          <w:p>
            <w:pPr>
              <w:widowControl/>
              <w:shd w:val="clear" w:color="auto" w:fill="FFFFFF"/>
              <w:snapToGrid w:val="0"/>
              <w:spacing w:line="360" w:lineRule="auto"/>
              <w:jc w:val="left"/>
              <w:rPr>
                <w:rFonts w:ascii="宋体" w:hAnsi="宋体" w:eastAsia="宋体" w:cs="Arial"/>
                <w:kern w:val="0"/>
                <w:sz w:val="24"/>
                <w:szCs w:val="24"/>
              </w:rPr>
            </w:pPr>
            <w:r>
              <w:rPr>
                <w:rFonts w:hint="eastAsia" w:ascii="宋体" w:hAnsi="宋体" w:eastAsia="宋体" w:cs="Arial"/>
                <w:kern w:val="0"/>
                <w:sz w:val="24"/>
                <w:szCs w:val="24"/>
              </w:rPr>
              <w:t>供应商必须提供中华人民共和国境内注册具有有效的营业执照（或事业单位法人证书）。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624" w:type="dxa"/>
            <w:vAlign w:val="center"/>
          </w:tcPr>
          <w:p>
            <w:pPr>
              <w:widowControl/>
              <w:shd w:val="clear" w:color="auto" w:fill="FFFFFF"/>
              <w:snapToGrid w:val="0"/>
              <w:spacing w:line="360" w:lineRule="auto"/>
              <w:jc w:val="center"/>
              <w:rPr>
                <w:rFonts w:hint="eastAsia"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3</w:t>
            </w:r>
          </w:p>
        </w:tc>
        <w:tc>
          <w:tcPr>
            <w:tcW w:w="8456" w:type="dxa"/>
            <w:vAlign w:val="center"/>
          </w:tcPr>
          <w:p>
            <w:pPr>
              <w:widowControl/>
              <w:shd w:val="clear" w:color="auto" w:fill="FFFFFF"/>
              <w:snapToGrid w:val="0"/>
              <w:spacing w:line="360" w:lineRule="auto"/>
              <w:jc w:val="left"/>
              <w:rPr>
                <w:rFonts w:hint="eastAsia" w:ascii="宋体" w:hAnsi="宋体" w:eastAsia="宋体" w:cs="Arial"/>
                <w:kern w:val="0"/>
                <w:sz w:val="24"/>
                <w:szCs w:val="24"/>
              </w:rPr>
            </w:pPr>
            <w:r>
              <w:rPr>
                <w:rFonts w:hint="eastAsia" w:ascii="宋体" w:hAnsi="宋体" w:eastAsia="宋体" w:cs="Arial"/>
                <w:kern w:val="0"/>
                <w:sz w:val="24"/>
                <w:szCs w:val="24"/>
                <w:lang w:eastAsia="zh-CN"/>
              </w:rPr>
              <w:t>供应商</w:t>
            </w:r>
            <w:r>
              <w:rPr>
                <w:rFonts w:hint="eastAsia" w:ascii="宋体" w:hAnsi="宋体" w:eastAsia="宋体" w:cs="Arial"/>
                <w:kern w:val="0"/>
                <w:sz w:val="24"/>
                <w:szCs w:val="24"/>
              </w:rPr>
              <w:t>须具备《道路运输经营许可证》汽车维修三类及以上资质；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624" w:type="dxa"/>
            <w:tcMar>
              <w:top w:w="0" w:type="dxa"/>
              <w:left w:w="28" w:type="dxa"/>
              <w:bottom w:w="0" w:type="dxa"/>
              <w:right w:w="28" w:type="dxa"/>
            </w:tcMar>
            <w:vAlign w:val="center"/>
          </w:tcPr>
          <w:p>
            <w:pPr>
              <w:widowControl/>
              <w:shd w:val="clear" w:color="auto" w:fill="FFFFFF"/>
              <w:snapToGrid w:val="0"/>
              <w:spacing w:line="360" w:lineRule="auto"/>
              <w:jc w:val="center"/>
              <w:rPr>
                <w:rFonts w:hint="default" w:ascii="宋体" w:hAnsi="宋体" w:eastAsia="宋体" w:cs="Arial"/>
                <w:kern w:val="0"/>
                <w:sz w:val="24"/>
                <w:szCs w:val="24"/>
                <w:lang w:val="en-US" w:eastAsia="zh-CN"/>
              </w:rPr>
            </w:pPr>
            <w:r>
              <w:rPr>
                <w:rFonts w:hint="eastAsia" w:ascii="宋体" w:hAnsi="宋体" w:eastAsia="宋体" w:cs="Arial"/>
                <w:kern w:val="0"/>
                <w:sz w:val="24"/>
                <w:szCs w:val="24"/>
                <w:lang w:val="en-US" w:eastAsia="zh-CN"/>
              </w:rPr>
              <w:t>4</w:t>
            </w:r>
          </w:p>
        </w:tc>
        <w:tc>
          <w:tcPr>
            <w:tcW w:w="8456" w:type="dxa"/>
            <w:tcMar>
              <w:top w:w="0" w:type="dxa"/>
              <w:left w:w="28" w:type="dxa"/>
              <w:bottom w:w="0" w:type="dxa"/>
              <w:right w:w="28" w:type="dxa"/>
            </w:tcMar>
            <w:vAlign w:val="center"/>
          </w:tcPr>
          <w:p>
            <w:pPr>
              <w:spacing w:line="360" w:lineRule="auto"/>
              <w:rPr>
                <w:rFonts w:eastAsia="宋体" w:cs="Times New Roman" w:asciiTheme="minorEastAsia" w:hAnsiTheme="minorEastAsia"/>
                <w:sz w:val="24"/>
                <w:szCs w:val="24"/>
              </w:rPr>
            </w:pPr>
            <w:r>
              <w:rPr>
                <w:rFonts w:hint="eastAsia" w:eastAsia="宋体" w:cs="Times New Roman" w:asciiTheme="minorEastAsia" w:hAnsiTheme="minorEastAsia"/>
                <w:sz w:val="24"/>
                <w:szCs w:val="24"/>
              </w:rPr>
              <w:t>供应商须是在“信用中国”（</w:t>
            </w:r>
            <w:r>
              <w:rPr>
                <w:rFonts w:eastAsia="宋体" w:cs="Times New Roman" w:asciiTheme="minorEastAsia" w:hAnsiTheme="minorEastAsia"/>
                <w:sz w:val="24"/>
                <w:szCs w:val="24"/>
              </w:rPr>
              <w:t>www.creditchina.gov.cn</w:t>
            </w:r>
            <w:r>
              <w:rPr>
                <w:rFonts w:hint="eastAsia" w:eastAsia="宋体" w:cs="Times New Roman" w:asciiTheme="minorEastAsia" w:hAnsiTheme="minorEastAsia"/>
                <w:sz w:val="24"/>
                <w:szCs w:val="24"/>
              </w:rPr>
              <w:t>）和中国政府采购网（</w:t>
            </w:r>
            <w:r>
              <w:rPr>
                <w:rFonts w:eastAsia="宋体" w:cs="Times New Roman" w:asciiTheme="minorEastAsia" w:hAnsiTheme="minorEastAsia"/>
                <w:sz w:val="24"/>
                <w:szCs w:val="24"/>
              </w:rPr>
              <w:t>www.ccgp.gov.cn</w:t>
            </w:r>
            <w:r>
              <w:rPr>
                <w:rFonts w:hint="eastAsia" w:eastAsia="宋体" w:cs="Times New Roman" w:asciiTheme="minorEastAsia" w:hAnsiTheme="minorEastAsia"/>
                <w:sz w:val="24"/>
                <w:szCs w:val="24"/>
              </w:rPr>
              <w:t>）网站上未被列入失信被执行人、重大税收违法案件当事人名单以及政府采购严重违法失信行为记录名单；查询时间（须自竞争性磋商公告发布之日起至首次提交响应文件截止时间内）。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9080" w:type="dxa"/>
            <w:gridSpan w:val="2"/>
            <w:tcMar>
              <w:top w:w="0" w:type="dxa"/>
              <w:left w:w="28" w:type="dxa"/>
              <w:bottom w:w="0" w:type="dxa"/>
              <w:right w:w="28" w:type="dxa"/>
            </w:tcMar>
            <w:vAlign w:val="center"/>
          </w:tcPr>
          <w:p>
            <w:pPr>
              <w:widowControl/>
              <w:shd w:val="clear" w:color="auto" w:fill="FFFFFF"/>
              <w:snapToGrid w:val="0"/>
              <w:spacing w:line="360" w:lineRule="auto"/>
              <w:rPr>
                <w:rFonts w:ascii="宋体" w:hAnsi="宋体" w:eastAsia="宋体" w:cs="Arial"/>
                <w:kern w:val="0"/>
                <w:sz w:val="24"/>
                <w:szCs w:val="24"/>
              </w:rPr>
            </w:pPr>
            <w:r>
              <w:rPr>
                <w:rFonts w:hint="eastAsia" w:ascii="宋体" w:hAnsi="宋体" w:eastAsia="宋体" w:cs="Arial"/>
                <w:kern w:val="0"/>
                <w:sz w:val="24"/>
                <w:szCs w:val="24"/>
              </w:rPr>
              <w:t>备注：如果资格评审中有一项不满足审查标准的，采购人将认定该供应商不通过资格审查，竞争性磋商响应文件将被拒绝评审。并且不允许供应商通过修改或撤销其不符合要求的差异或保留，使之成为具有响应性的投标。</w:t>
            </w:r>
          </w:p>
        </w:tc>
      </w:tr>
    </w:tbl>
    <w:p>
      <w:pPr>
        <w:widowControl/>
        <w:shd w:val="clear" w:color="auto" w:fill="FFFFFF"/>
        <w:snapToGrid w:val="0"/>
        <w:spacing w:line="360" w:lineRule="auto"/>
        <w:jc w:val="center"/>
        <w:rPr>
          <w:rFonts w:ascii="宋体" w:hAnsi="宋体" w:eastAsia="宋体" w:cs="Arial"/>
          <w:b/>
          <w:kern w:val="0"/>
          <w:sz w:val="24"/>
          <w:szCs w:val="24"/>
        </w:rPr>
      </w:pPr>
      <w:bookmarkStart w:id="40" w:name="_Toc501719167"/>
      <w:bookmarkStart w:id="41" w:name="_Toc41495786"/>
      <w:r>
        <w:rPr>
          <w:rFonts w:hint="eastAsia" w:ascii="宋体" w:hAnsi="宋体" w:eastAsia="宋体" w:cs="Arial"/>
          <w:b/>
          <w:kern w:val="0"/>
          <w:sz w:val="24"/>
          <w:szCs w:val="24"/>
        </w:rPr>
        <w:t>《完备性及符合性审查标准》</w:t>
      </w:r>
      <w:bookmarkEnd w:id="40"/>
    </w:p>
    <w:tbl>
      <w:tblPr>
        <w:tblStyle w:val="4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restart"/>
            <w:vAlign w:val="center"/>
          </w:tcPr>
          <w:p>
            <w:pPr>
              <w:autoSpaceDE w:val="0"/>
              <w:autoSpaceDN w:val="0"/>
              <w:adjustRightInd w:val="0"/>
              <w:jc w:val="center"/>
              <w:rPr>
                <w:rFonts w:ascii="宋体" w:cs="宋体"/>
                <w:kern w:val="0"/>
                <w:sz w:val="24"/>
                <w:szCs w:val="24"/>
              </w:rPr>
            </w:pPr>
            <w:r>
              <w:rPr>
                <w:rFonts w:hint="eastAsia" w:ascii="宋体" w:hAnsi="宋体" w:cs="宋体"/>
                <w:kern w:val="0"/>
                <w:sz w:val="24"/>
                <w:szCs w:val="24"/>
              </w:rPr>
              <w:t>序号</w:t>
            </w:r>
          </w:p>
        </w:tc>
        <w:tc>
          <w:tcPr>
            <w:tcW w:w="8406" w:type="dxa"/>
            <w:vMerge w:val="restart"/>
            <w:vAlign w:val="center"/>
          </w:tcPr>
          <w:p>
            <w:pPr>
              <w:autoSpaceDE w:val="0"/>
              <w:autoSpaceDN w:val="0"/>
              <w:adjustRightInd w:val="0"/>
              <w:jc w:val="center"/>
              <w:rPr>
                <w:rFonts w:ascii="宋体" w:cs="宋体"/>
                <w:kern w:val="0"/>
                <w:sz w:val="24"/>
                <w:szCs w:val="24"/>
              </w:rPr>
            </w:pPr>
            <w:r>
              <w:rPr>
                <w:rFonts w:hint="eastAsia" w:ascii="宋体" w:hAnsi="宋体" w:cs="宋体"/>
                <w:kern w:val="0"/>
                <w:sz w:val="24"/>
                <w:szCs w:val="24"/>
              </w:rPr>
              <w:t>响应文件符合性审查内容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continue"/>
            <w:vAlign w:val="center"/>
          </w:tcPr>
          <w:p>
            <w:pPr>
              <w:autoSpaceDE w:val="0"/>
              <w:autoSpaceDN w:val="0"/>
              <w:adjustRightInd w:val="0"/>
              <w:jc w:val="center"/>
              <w:rPr>
                <w:rFonts w:ascii="宋体" w:cs="宋体"/>
                <w:kern w:val="0"/>
                <w:sz w:val="24"/>
                <w:szCs w:val="24"/>
              </w:rPr>
            </w:pPr>
          </w:p>
        </w:tc>
        <w:tc>
          <w:tcPr>
            <w:tcW w:w="8406" w:type="dxa"/>
            <w:vMerge w:val="continue"/>
          </w:tcPr>
          <w:p>
            <w:pPr>
              <w:autoSpaceDE w:val="0"/>
              <w:autoSpaceDN w:val="0"/>
              <w:adjustRightInd w:val="0"/>
              <w:jc w:val="center"/>
              <w:rPr>
                <w:rFonts w:asci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1</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凡竞争性磋商文件中要求盖章处，是否按要求加盖单位公章、法定代表人章的。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2</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响应文件组成齐全完整，内容均按规定填写；响应文件的关键内容无字迹模糊、无法辨认的。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3</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响应文件提交的份数及装订，是否满足竞争性磋商文件的要求。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4</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响应文件是否实质上响应了竞争性磋商文件的要求。实质上响应的投标应该是与竞争性磋商文件要求的全部条款、条件等相符，没有重大偏离或保留的投标。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5</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一份响应文件应只有一个投标报价，在竞争性磋商文件没有规定的情况下，未提交选择性的报价。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6</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供应商的投标报价未超出相应采购预算金额。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7</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响应文件载明的服务周期超出竞争性磋商文件规定的期限。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8</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供应商未提出不同的验收、计量、支付办法。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rPr>
            </w:pPr>
            <w:r>
              <w:rPr>
                <w:rFonts w:ascii="宋体" w:hAnsi="宋体" w:cs="宋体"/>
                <w:kern w:val="0"/>
                <w:sz w:val="24"/>
                <w:szCs w:val="24"/>
              </w:rPr>
              <w:t>9</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提供了信用记录查询资料，且信用记录满足本文件供应商须知前附表的规定；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hint="eastAsia" w:ascii="宋体" w:hAnsi="宋体" w:cs="宋体" w:eastAsiaTheme="minorEastAsia"/>
                <w:kern w:val="0"/>
                <w:sz w:val="24"/>
                <w:szCs w:val="24"/>
                <w:lang w:val="en-US" w:eastAsia="zh-CN"/>
              </w:rPr>
            </w:pPr>
            <w:r>
              <w:rPr>
                <w:rFonts w:ascii="宋体" w:hAnsi="宋体" w:cs="宋体"/>
                <w:kern w:val="0"/>
                <w:sz w:val="24"/>
                <w:szCs w:val="24"/>
              </w:rPr>
              <w:t>1</w:t>
            </w:r>
            <w:r>
              <w:rPr>
                <w:rFonts w:hint="eastAsia" w:ascii="宋体" w:hAnsi="宋体" w:cs="宋体"/>
                <w:kern w:val="0"/>
                <w:sz w:val="24"/>
                <w:szCs w:val="24"/>
                <w:lang w:val="en-US" w:eastAsia="zh-CN"/>
              </w:rPr>
              <w:t>0</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响应文件未附有采购人不能接受的附加条件的。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rPr>
              <w:t>1</w:t>
            </w:r>
            <w:r>
              <w:rPr>
                <w:rFonts w:hint="eastAsia" w:ascii="宋体" w:hAnsi="宋体" w:cs="宋体"/>
                <w:kern w:val="0"/>
                <w:sz w:val="24"/>
                <w:szCs w:val="24"/>
                <w:lang w:val="en-US" w:eastAsia="zh-CN"/>
              </w:rPr>
              <w:t>1</w:t>
            </w:r>
          </w:p>
        </w:tc>
        <w:tc>
          <w:tcPr>
            <w:tcW w:w="8406" w:type="dxa"/>
          </w:tcPr>
          <w:p>
            <w:pPr>
              <w:autoSpaceDE w:val="0"/>
              <w:autoSpaceDN w:val="0"/>
              <w:adjustRightInd w:val="0"/>
              <w:jc w:val="left"/>
              <w:rPr>
                <w:rFonts w:ascii="宋体" w:cs="宋体"/>
                <w:kern w:val="0"/>
                <w:sz w:val="24"/>
                <w:szCs w:val="24"/>
              </w:rPr>
            </w:pPr>
            <w:r>
              <w:rPr>
                <w:rFonts w:hint="eastAsia" w:ascii="宋体" w:hAnsi="宋体" w:cs="宋体"/>
                <w:kern w:val="0"/>
                <w:sz w:val="24"/>
                <w:szCs w:val="24"/>
              </w:rPr>
              <w:t>法律、法规和竞争性磋商文件规定的其他无效情形。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vAlign w:val="center"/>
          </w:tcPr>
          <w:p>
            <w:pPr>
              <w:autoSpaceDE w:val="0"/>
              <w:autoSpaceDN w:val="0"/>
              <w:adjustRightInd w:val="0"/>
              <w:jc w:val="left"/>
              <w:rPr>
                <w:rFonts w:ascii="宋体" w:hAnsi="宋体" w:cs="宋体"/>
                <w:kern w:val="0"/>
                <w:sz w:val="24"/>
                <w:szCs w:val="24"/>
              </w:rPr>
            </w:pPr>
            <w:r>
              <w:rPr>
                <w:rFonts w:hint="eastAsia" w:ascii="宋体" w:hAnsi="宋体" w:cs="Arial"/>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pPr>
        <w:autoSpaceDE w:val="0"/>
        <w:autoSpaceDN w:val="0"/>
        <w:adjustRightInd w:val="0"/>
        <w:jc w:val="left"/>
        <w:rPr>
          <w:rFonts w:ascii="宋体" w:cs="宋体"/>
          <w:kern w:val="0"/>
          <w:sz w:val="24"/>
          <w:szCs w:val="24"/>
        </w:rPr>
      </w:pPr>
      <w:r>
        <w:rPr>
          <w:rFonts w:hint="eastAsia" w:ascii="宋体" w:hAnsi="宋体" w:cs="宋体"/>
          <w:kern w:val="0"/>
          <w:sz w:val="24"/>
          <w:szCs w:val="24"/>
        </w:rPr>
        <w:t>说明：</w:t>
      </w:r>
    </w:p>
    <w:p>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）上述各项中用“√”表示通过，“×”表示不通过；</w:t>
      </w:r>
    </w:p>
    <w:p>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）上述各项中如有一项为“×”，则结论为“×”，表示该响应文件中存在重大偏差，不能通过初步评审；评委对某一分项评审认为不合格时，必须要写明原因。</w:t>
      </w:r>
    </w:p>
    <w:p>
      <w:pPr>
        <w:autoSpaceDE w:val="0"/>
        <w:autoSpaceDN w:val="0"/>
        <w:adjustRightInd w:val="0"/>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）响应文件最终合格与否，以所有评委的评审意见中少数服从多数为原则定论。</w:t>
      </w:r>
    </w:p>
    <w:p>
      <w:pPr>
        <w:jc w:val="left"/>
        <w:rPr>
          <w:rFonts w:ascii="宋体" w:hAnsi="宋体" w:eastAsia="宋体" w:cs="Arial"/>
          <w:b/>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）供应商请认真阅读和理解上述内容，避免响应文件中有违背上述审查标准之一的情况发生而造成投标被否决。</w:t>
      </w:r>
    </w:p>
    <w:bookmarkEnd w:id="41"/>
    <w:p>
      <w:pPr>
        <w:tabs>
          <w:tab w:val="center" w:pos="4832"/>
          <w:tab w:val="left" w:pos="7140"/>
        </w:tabs>
        <w:spacing w:line="360" w:lineRule="auto"/>
        <w:jc w:val="center"/>
        <w:rPr>
          <w:rFonts w:ascii="宋体" w:hAnsi="宋体" w:eastAsia="宋体" w:cs="Times New Roman"/>
          <w:b/>
          <w:bCs/>
          <w:sz w:val="24"/>
          <w:szCs w:val="24"/>
        </w:rPr>
      </w:pPr>
    </w:p>
    <w:p>
      <w:pPr>
        <w:tabs>
          <w:tab w:val="center" w:pos="4832"/>
          <w:tab w:val="left" w:pos="7140"/>
        </w:tabs>
        <w:spacing w:line="360" w:lineRule="auto"/>
        <w:jc w:val="center"/>
        <w:rPr>
          <w:rFonts w:ascii="宋体" w:hAnsi="宋体" w:eastAsia="宋体" w:cs="Times New Roman"/>
          <w:b/>
          <w:bCs/>
          <w:sz w:val="24"/>
          <w:szCs w:val="24"/>
        </w:rPr>
      </w:pPr>
    </w:p>
    <w:p>
      <w:pPr>
        <w:tabs>
          <w:tab w:val="center" w:pos="4832"/>
          <w:tab w:val="left" w:pos="7140"/>
        </w:tabs>
        <w:spacing w:line="360" w:lineRule="auto"/>
        <w:jc w:val="center"/>
        <w:rPr>
          <w:rFonts w:ascii="宋体" w:hAnsi="宋体" w:eastAsia="宋体" w:cs="Times New Roman"/>
          <w:b/>
          <w:bCs/>
          <w:sz w:val="24"/>
          <w:szCs w:val="24"/>
        </w:rPr>
      </w:pPr>
    </w:p>
    <w:p>
      <w:pPr>
        <w:rPr>
          <w:rFonts w:hint="eastAsia" w:ascii="宋体" w:hAnsi="宋体" w:eastAsia="宋体" w:cs="Times New Roman"/>
          <w:b/>
          <w:bCs/>
          <w:sz w:val="24"/>
          <w:szCs w:val="24"/>
        </w:rPr>
      </w:pPr>
      <w:r>
        <w:rPr>
          <w:rFonts w:hint="eastAsia" w:ascii="宋体" w:hAnsi="宋体" w:eastAsia="宋体" w:cs="Times New Roman"/>
          <w:b/>
          <w:bCs/>
          <w:sz w:val="24"/>
          <w:szCs w:val="24"/>
        </w:rPr>
        <w:br w:type="page"/>
      </w:r>
    </w:p>
    <w:p>
      <w:pPr>
        <w:tabs>
          <w:tab w:val="center" w:pos="4832"/>
          <w:tab w:val="left" w:pos="7140"/>
        </w:tabs>
        <w:spacing w:line="360" w:lineRule="auto"/>
        <w:jc w:val="center"/>
        <w:outlineLvl w:val="1"/>
        <w:rPr>
          <w:rFonts w:hint="eastAsia" w:ascii="宋体" w:hAnsi="宋体" w:eastAsia="宋体" w:cs="Times New Roman"/>
          <w:b/>
          <w:bCs/>
          <w:sz w:val="24"/>
          <w:szCs w:val="24"/>
        </w:rPr>
      </w:pPr>
      <w:bookmarkStart w:id="42" w:name="_Toc4533"/>
      <w:r>
        <w:rPr>
          <w:rFonts w:hint="eastAsia" w:ascii="宋体" w:hAnsi="宋体" w:eastAsia="宋体" w:cs="Times New Roman"/>
          <w:b/>
          <w:bCs/>
          <w:sz w:val="24"/>
          <w:szCs w:val="24"/>
        </w:rPr>
        <w:t>《详细评审标准》</w:t>
      </w:r>
      <w:bookmarkEnd w:id="42"/>
    </w:p>
    <w:tbl>
      <w:tblPr>
        <w:tblStyle w:val="45"/>
        <w:tblW w:w="5085" w:type="pct"/>
        <w:jc w:val="center"/>
        <w:tblLayout w:type="fixed"/>
        <w:tblCellMar>
          <w:top w:w="0" w:type="dxa"/>
          <w:left w:w="0" w:type="dxa"/>
          <w:bottom w:w="0" w:type="dxa"/>
          <w:right w:w="0" w:type="dxa"/>
        </w:tblCellMar>
      </w:tblPr>
      <w:tblGrid>
        <w:gridCol w:w="594"/>
        <w:gridCol w:w="1321"/>
        <w:gridCol w:w="919"/>
        <w:gridCol w:w="5999"/>
      </w:tblGrid>
      <w:tr>
        <w:tblPrEx>
          <w:tblCellMar>
            <w:top w:w="0" w:type="dxa"/>
            <w:left w:w="0" w:type="dxa"/>
            <w:bottom w:w="0" w:type="dxa"/>
            <w:right w:w="0" w:type="dxa"/>
          </w:tblCellMar>
        </w:tblPrEx>
        <w:trPr>
          <w:trHeight w:val="80" w:hRule="atLeast"/>
          <w:jc w:val="center"/>
        </w:trPr>
        <w:tc>
          <w:tcPr>
            <w:tcW w:w="337" w:type="pct"/>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eastAsia="宋体" w:cs="Arial"/>
                <w:kern w:val="0"/>
                <w:sz w:val="24"/>
                <w:szCs w:val="24"/>
              </w:rPr>
            </w:pPr>
            <w:r>
              <w:rPr>
                <w:rFonts w:hint="eastAsia" w:ascii="宋体" w:hAnsi="宋体" w:eastAsia="宋体" w:cs="Arial"/>
                <w:kern w:val="0"/>
                <w:sz w:val="24"/>
                <w:szCs w:val="24"/>
              </w:rPr>
              <w:t>序号</w:t>
            </w:r>
          </w:p>
        </w:tc>
        <w:tc>
          <w:tcPr>
            <w:tcW w:w="747" w:type="pct"/>
            <w:tcBorders>
              <w:top w:val="single" w:color="auto" w:sz="8" w:space="0"/>
              <w:left w:val="nil"/>
              <w:bottom w:val="single" w:color="auto" w:sz="8" w:space="0"/>
              <w:right w:val="single" w:color="auto" w:sz="8" w:space="0"/>
            </w:tcBorders>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评审项目</w:t>
            </w:r>
          </w:p>
        </w:tc>
        <w:tc>
          <w:tcPr>
            <w:tcW w:w="520" w:type="pct"/>
            <w:tcBorders>
              <w:top w:val="single" w:color="auto" w:sz="8" w:space="0"/>
              <w:left w:val="nil"/>
              <w:bottom w:val="single" w:color="auto" w:sz="8" w:space="0"/>
              <w:right w:val="single" w:color="auto" w:sz="8" w:space="0"/>
            </w:tcBorders>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标准分</w:t>
            </w:r>
          </w:p>
        </w:tc>
        <w:tc>
          <w:tcPr>
            <w:tcW w:w="3394" w:type="pct"/>
            <w:tcBorders>
              <w:top w:val="single" w:color="auto" w:sz="8" w:space="0"/>
              <w:left w:val="nil"/>
              <w:bottom w:val="single" w:color="auto" w:sz="8" w:space="0"/>
              <w:right w:val="single" w:color="auto" w:sz="8" w:space="0"/>
            </w:tcBorders>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评审标准</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1</w:t>
            </w:r>
          </w:p>
        </w:tc>
        <w:tc>
          <w:tcPr>
            <w:tcW w:w="747"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ascii="宋体" w:hAnsi="宋体" w:eastAsia="宋体" w:cs="Arial"/>
                <w:kern w:val="0"/>
                <w:sz w:val="24"/>
                <w:szCs w:val="24"/>
              </w:rPr>
            </w:pPr>
            <w:r>
              <w:rPr>
                <w:rFonts w:hint="eastAsia" w:ascii="宋体" w:hAnsi="宋体" w:eastAsia="宋体" w:cs="Arial"/>
                <w:kern w:val="0"/>
                <w:sz w:val="24"/>
                <w:szCs w:val="24"/>
              </w:rPr>
              <w:t>类似业绩</w:t>
            </w:r>
          </w:p>
        </w:tc>
        <w:tc>
          <w:tcPr>
            <w:tcW w:w="520"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cs="Arial" w:asciiTheme="minorEastAsia" w:hAnsiTheme="minorEastAsia"/>
                <w:kern w:val="0"/>
                <w:sz w:val="24"/>
                <w:szCs w:val="24"/>
              </w:rPr>
            </w:pPr>
            <w:r>
              <w:rPr>
                <w:rFonts w:hint="eastAsia" w:cs="Arial" w:asciiTheme="minorEastAsia" w:hAnsiTheme="minorEastAsia"/>
                <w:kern w:val="0"/>
                <w:sz w:val="24"/>
                <w:szCs w:val="24"/>
              </w:rPr>
              <w:t>10</w:t>
            </w:r>
          </w:p>
        </w:tc>
        <w:tc>
          <w:tcPr>
            <w:tcW w:w="3394"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宋体"/>
                <w:kern w:val="0"/>
                <w:sz w:val="24"/>
                <w:szCs w:val="24"/>
                <w:lang w:bidi="ar"/>
              </w:rPr>
              <w:t>供应商近三年（2019年1月1日-至今）的维修业绩，须提供合同或中标通知书，一项计2分，最多计5项。</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2</w:t>
            </w:r>
          </w:p>
        </w:tc>
        <w:tc>
          <w:tcPr>
            <w:tcW w:w="747"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宋体"/>
                <w:sz w:val="24"/>
                <w:szCs w:val="24"/>
                <w:lang w:val="zh-CN"/>
              </w:rPr>
              <w:t>维修硬件设施</w:t>
            </w:r>
          </w:p>
        </w:tc>
        <w:tc>
          <w:tcPr>
            <w:tcW w:w="520"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cs="Arial" w:asciiTheme="minorEastAsia" w:hAnsiTheme="minorEastAsia"/>
                <w:kern w:val="0"/>
                <w:sz w:val="24"/>
                <w:szCs w:val="24"/>
              </w:rPr>
            </w:pPr>
            <w:r>
              <w:rPr>
                <w:rFonts w:hint="eastAsia" w:cs="Arial" w:asciiTheme="minorEastAsia" w:hAnsiTheme="minorEastAsia"/>
                <w:kern w:val="0"/>
                <w:sz w:val="24"/>
                <w:szCs w:val="24"/>
              </w:rPr>
              <w:t>20</w:t>
            </w:r>
          </w:p>
        </w:tc>
        <w:tc>
          <w:tcPr>
            <w:tcW w:w="3394"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lef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zh-CN"/>
              </w:rPr>
              <w:t>维修作业区域及场地布局的合理性和优劣情况（提供图片、数据、文字等相关材料）维修作业；</w:t>
            </w:r>
            <w:r>
              <w:rPr>
                <w:rFonts w:hint="eastAsia" w:ascii="宋体" w:hAnsi="宋体" w:eastAsia="宋体" w:cs="Arial"/>
                <w:kern w:val="0"/>
                <w:sz w:val="24"/>
                <w:szCs w:val="24"/>
              </w:rPr>
              <w:t>合理[3-5]；良好得[2-3）；一般得[0-2）。</w:t>
            </w:r>
          </w:p>
          <w:p>
            <w:pPr>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区域面积大小（须提供经营场地产权证明复印件或租赁合同复印件且合同租赁期限在有效期内）进行评审进行综合评分；</w:t>
            </w:r>
            <w:r>
              <w:rPr>
                <w:rFonts w:hint="eastAsia" w:ascii="宋体" w:hAnsi="宋体" w:eastAsia="宋体" w:cs="宋体"/>
                <w:sz w:val="24"/>
                <w:szCs w:val="24"/>
              </w:rPr>
              <w:t>2000㎡以上得</w:t>
            </w:r>
            <w:r>
              <w:rPr>
                <w:rFonts w:hint="eastAsia" w:ascii="宋体" w:hAnsi="宋体" w:eastAsia="宋体" w:cs="宋体"/>
                <w:sz w:val="24"/>
                <w:szCs w:val="24"/>
                <w:lang w:val="en-US" w:eastAsia="zh-CN"/>
              </w:rPr>
              <w:t>5</w:t>
            </w:r>
            <w:r>
              <w:rPr>
                <w:rFonts w:hint="eastAsia" w:ascii="宋体" w:hAnsi="宋体" w:eastAsia="宋体" w:cs="宋体"/>
                <w:sz w:val="24"/>
                <w:szCs w:val="24"/>
              </w:rPr>
              <w:t>分；2000㎡~1000㎡得</w:t>
            </w:r>
            <w:r>
              <w:rPr>
                <w:rFonts w:hint="eastAsia" w:ascii="宋体" w:hAnsi="宋体" w:eastAsia="宋体" w:cs="Arial"/>
                <w:kern w:val="0"/>
                <w:sz w:val="24"/>
                <w:szCs w:val="24"/>
              </w:rPr>
              <w:t>[2-</w:t>
            </w:r>
            <w:r>
              <w:rPr>
                <w:rFonts w:hint="eastAsia" w:ascii="宋体" w:hAnsi="宋体" w:eastAsia="宋体" w:cs="Arial"/>
                <w:kern w:val="0"/>
                <w:sz w:val="24"/>
                <w:szCs w:val="24"/>
                <w:lang w:val="en-US" w:eastAsia="zh-CN"/>
              </w:rPr>
              <w:t>4</w:t>
            </w:r>
            <w:r>
              <w:rPr>
                <w:rFonts w:hint="eastAsia" w:ascii="宋体" w:hAnsi="宋体" w:eastAsia="宋体" w:cs="Arial"/>
                <w:kern w:val="0"/>
                <w:sz w:val="24"/>
                <w:szCs w:val="24"/>
              </w:rPr>
              <w:t>）</w:t>
            </w:r>
            <w:r>
              <w:rPr>
                <w:rFonts w:hint="eastAsia" w:ascii="宋体" w:hAnsi="宋体" w:eastAsia="宋体" w:cs="宋体"/>
                <w:sz w:val="24"/>
                <w:szCs w:val="24"/>
              </w:rPr>
              <w:t>分；1000㎡以下得</w:t>
            </w:r>
            <w:r>
              <w:rPr>
                <w:rFonts w:hint="eastAsia" w:ascii="宋体" w:hAnsi="宋体" w:eastAsia="宋体" w:cs="Arial"/>
                <w:kern w:val="0"/>
                <w:sz w:val="24"/>
                <w:szCs w:val="24"/>
              </w:rPr>
              <w:t>[0-2）</w:t>
            </w:r>
            <w:r>
              <w:rPr>
                <w:rFonts w:hint="eastAsia" w:ascii="宋体" w:hAnsi="宋体" w:eastAsia="宋体" w:cs="宋体"/>
                <w:sz w:val="24"/>
                <w:szCs w:val="24"/>
              </w:rPr>
              <w:t>分。</w:t>
            </w:r>
          </w:p>
          <w:p>
            <w:pPr>
              <w:rPr>
                <w:rFonts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维修设备齐全</w:t>
            </w:r>
            <w:r>
              <w:rPr>
                <w:rFonts w:hint="eastAsia" w:ascii="宋体" w:hAnsi="宋体" w:eastAsia="宋体" w:cs="Arial"/>
                <w:kern w:val="0"/>
                <w:sz w:val="24"/>
                <w:szCs w:val="24"/>
              </w:rPr>
              <w:t>得[3-5]；较齐全得[2-3）；不齐全[0-2）</w:t>
            </w:r>
            <w:r>
              <w:rPr>
                <w:rFonts w:hint="eastAsia" w:ascii="宋体" w:hAnsi="宋体" w:eastAsia="宋体" w:cs="宋体"/>
                <w:sz w:val="24"/>
                <w:szCs w:val="24"/>
                <w:lang w:val="zh-CN"/>
              </w:rPr>
              <w:t>；；</w:t>
            </w:r>
          </w:p>
          <w:p>
            <w:pPr>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zh-CN"/>
              </w:rPr>
              <w:t>故障检测设备和故障检测设备齐全</w:t>
            </w:r>
            <w:r>
              <w:rPr>
                <w:rFonts w:hint="eastAsia" w:ascii="宋体" w:hAnsi="宋体" w:eastAsia="宋体" w:cs="Arial"/>
                <w:kern w:val="0"/>
                <w:sz w:val="24"/>
                <w:szCs w:val="24"/>
              </w:rPr>
              <w:t>得[3-5]；较齐全得[2-3）；不齐全[0-2）</w:t>
            </w:r>
            <w:r>
              <w:rPr>
                <w:rFonts w:hint="eastAsia" w:ascii="宋体" w:hAnsi="宋体" w:eastAsia="宋体" w:cs="宋体"/>
                <w:sz w:val="24"/>
                <w:szCs w:val="24"/>
                <w:lang w:val="zh-CN"/>
              </w:rPr>
              <w:t>；</w:t>
            </w:r>
            <w:r>
              <w:rPr>
                <w:rFonts w:ascii="宋体" w:hAnsi="宋体" w:eastAsia="宋体" w:cs="宋体"/>
                <w:sz w:val="24"/>
                <w:szCs w:val="24"/>
              </w:rPr>
              <w:t xml:space="preserve"> </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3</w:t>
            </w:r>
          </w:p>
        </w:tc>
        <w:tc>
          <w:tcPr>
            <w:tcW w:w="747"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宋体"/>
                <w:sz w:val="24"/>
                <w:szCs w:val="24"/>
                <w:lang w:val="zh-CN"/>
              </w:rPr>
            </w:pPr>
            <w:r>
              <w:rPr>
                <w:rFonts w:hint="eastAsia" w:ascii="宋体" w:hAnsi="宋体" w:eastAsia="宋体" w:cs="宋体"/>
                <w:sz w:val="24"/>
                <w:szCs w:val="24"/>
                <w:lang w:val="zh-CN"/>
              </w:rPr>
              <w:t>维修服务</w:t>
            </w:r>
          </w:p>
          <w:p>
            <w:pPr>
              <w:spacing w:line="360" w:lineRule="auto"/>
              <w:ind w:left="-105" w:leftChars="-50" w:right="-105" w:rightChars="-50"/>
              <w:jc w:val="center"/>
              <w:rPr>
                <w:rFonts w:ascii="宋体" w:hAnsi="宋体" w:eastAsia="宋体" w:cs="Arial"/>
                <w:kern w:val="0"/>
                <w:sz w:val="24"/>
                <w:szCs w:val="24"/>
              </w:rPr>
            </w:pPr>
            <w:r>
              <w:rPr>
                <w:rFonts w:hint="eastAsia" w:ascii="宋体" w:hAnsi="宋体" w:eastAsia="宋体" w:cs="宋体"/>
                <w:sz w:val="24"/>
                <w:szCs w:val="24"/>
                <w:lang w:val="zh-CN"/>
              </w:rPr>
              <w:t>方案</w:t>
            </w:r>
          </w:p>
        </w:tc>
        <w:tc>
          <w:tcPr>
            <w:tcW w:w="520"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cs="Arial" w:asciiTheme="minorEastAsia" w:hAnsiTheme="minorEastAsia"/>
                <w:kern w:val="0"/>
                <w:sz w:val="24"/>
                <w:szCs w:val="24"/>
              </w:rPr>
            </w:pPr>
            <w:r>
              <w:rPr>
                <w:rFonts w:hint="eastAsia" w:cs="Arial" w:asciiTheme="minorEastAsia" w:hAnsiTheme="minorEastAsia"/>
                <w:kern w:val="0"/>
                <w:sz w:val="24"/>
                <w:szCs w:val="24"/>
              </w:rPr>
              <w:t>35</w:t>
            </w:r>
          </w:p>
        </w:tc>
        <w:tc>
          <w:tcPr>
            <w:tcW w:w="3394"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维修服务方案合理，设备及技术能兼顾到所需全部车型的维修，重点难点车辆有相应的特殊维修方案得[20-35]分。</w:t>
            </w:r>
          </w:p>
          <w:p>
            <w:pPr>
              <w:rPr>
                <w:rFonts w:ascii="宋体" w:hAnsi="宋体" w:eastAsia="宋体" w:cs="Arial"/>
                <w:kern w:val="0"/>
                <w:sz w:val="24"/>
                <w:szCs w:val="24"/>
              </w:rPr>
            </w:pPr>
            <w:r>
              <w:rPr>
                <w:rFonts w:hint="eastAsia" w:ascii="宋体" w:hAnsi="宋体" w:eastAsia="宋体" w:cs="Arial"/>
                <w:kern w:val="0"/>
                <w:sz w:val="24"/>
                <w:szCs w:val="24"/>
              </w:rPr>
              <w:t>维修服务方案较为合理，设备及技术能兼顾到所需大部分车型的维修，重点难点车辆有部分的特殊维修方案的得[10-20）分。</w:t>
            </w:r>
          </w:p>
          <w:p>
            <w:pPr>
              <w:rPr>
                <w:rFonts w:ascii="宋体" w:hAnsi="宋体" w:eastAsia="宋体" w:cs="Arial"/>
                <w:kern w:val="0"/>
                <w:sz w:val="24"/>
                <w:szCs w:val="24"/>
              </w:rPr>
            </w:pPr>
            <w:r>
              <w:rPr>
                <w:rFonts w:hint="eastAsia" w:ascii="宋体" w:hAnsi="宋体" w:eastAsia="宋体" w:cs="Arial"/>
                <w:kern w:val="0"/>
                <w:sz w:val="24"/>
                <w:szCs w:val="24"/>
              </w:rPr>
              <w:t>维修服务方案较为可行的得[1-10）分。</w:t>
            </w:r>
          </w:p>
          <w:p>
            <w:pPr>
              <w:rPr>
                <w:rFonts w:ascii="宋体" w:hAnsi="宋体" w:eastAsia="宋体" w:cs="Arial"/>
                <w:kern w:val="0"/>
                <w:sz w:val="24"/>
                <w:szCs w:val="24"/>
              </w:rPr>
            </w:pPr>
            <w:r>
              <w:rPr>
                <w:rFonts w:hint="eastAsia" w:ascii="宋体" w:hAnsi="宋体" w:eastAsia="宋体" w:cs="Arial"/>
                <w:kern w:val="0"/>
                <w:sz w:val="24"/>
                <w:szCs w:val="24"/>
              </w:rPr>
              <w:t>没有相应方案的不得分。</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4</w:t>
            </w:r>
          </w:p>
        </w:tc>
        <w:tc>
          <w:tcPr>
            <w:tcW w:w="747"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left="-105" w:leftChars="-50" w:right="-105" w:rightChars="-50"/>
              <w:jc w:val="center"/>
              <w:rPr>
                <w:rFonts w:ascii="宋体" w:hAnsi="宋体" w:eastAsia="宋体" w:cs="Arial"/>
                <w:kern w:val="0"/>
                <w:sz w:val="24"/>
                <w:szCs w:val="24"/>
              </w:rPr>
            </w:pPr>
            <w:r>
              <w:rPr>
                <w:rFonts w:hint="eastAsia" w:ascii="宋体" w:hAnsi="宋体" w:eastAsia="宋体" w:cs="Arial"/>
                <w:kern w:val="0"/>
                <w:sz w:val="24"/>
                <w:szCs w:val="24"/>
              </w:rPr>
              <w:t>人员配备</w:t>
            </w:r>
          </w:p>
        </w:tc>
        <w:tc>
          <w:tcPr>
            <w:tcW w:w="520"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cs="Arial" w:asciiTheme="minorEastAsia" w:hAnsiTheme="minorEastAsia"/>
                <w:kern w:val="0"/>
                <w:sz w:val="24"/>
                <w:szCs w:val="24"/>
              </w:rPr>
            </w:pPr>
            <w:r>
              <w:rPr>
                <w:rFonts w:hint="eastAsia" w:cs="Arial" w:asciiTheme="minorEastAsia" w:hAnsiTheme="minorEastAsia"/>
                <w:kern w:val="0"/>
                <w:sz w:val="24"/>
                <w:szCs w:val="24"/>
              </w:rPr>
              <w:t>10</w:t>
            </w:r>
          </w:p>
        </w:tc>
        <w:tc>
          <w:tcPr>
            <w:tcW w:w="3394"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lang w:val="zh-CN"/>
              </w:rPr>
              <w:t>每配备一名专业技术人员得1分，最高的10分（提供身份证复印件、用工合同复印件、技术等级证书复印件提供不全不得分。注：专业技术人员不包括管理人员、财务人员）</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5</w:t>
            </w:r>
          </w:p>
        </w:tc>
        <w:tc>
          <w:tcPr>
            <w:tcW w:w="747"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售后服务及服务</w:t>
            </w:r>
            <w:r>
              <w:rPr>
                <w:rFonts w:hint="eastAsia" w:ascii="宋体" w:hAnsi="宋体" w:eastAsia="宋体" w:cs="宋体"/>
                <w:sz w:val="24"/>
                <w:szCs w:val="24"/>
                <w:lang w:val="zh-CN"/>
              </w:rPr>
              <w:t>承诺</w:t>
            </w:r>
          </w:p>
        </w:tc>
        <w:tc>
          <w:tcPr>
            <w:tcW w:w="520"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cs="Arial" w:asciiTheme="minorEastAsia" w:hAnsiTheme="minorEastAsia"/>
                <w:kern w:val="0"/>
                <w:sz w:val="24"/>
                <w:szCs w:val="24"/>
              </w:rPr>
            </w:pPr>
            <w:r>
              <w:rPr>
                <w:rFonts w:hint="eastAsia" w:cs="Arial" w:asciiTheme="minorEastAsia" w:hAnsiTheme="minorEastAsia"/>
                <w:kern w:val="0"/>
                <w:sz w:val="24"/>
                <w:szCs w:val="24"/>
              </w:rPr>
              <w:t>10</w:t>
            </w:r>
          </w:p>
        </w:tc>
        <w:tc>
          <w:tcPr>
            <w:tcW w:w="3394"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宋体"/>
                <w:sz w:val="24"/>
                <w:szCs w:val="24"/>
                <w:lang w:val="zh-CN"/>
              </w:rPr>
            </w:pPr>
            <w:r>
              <w:rPr>
                <w:rFonts w:hint="eastAsia" w:ascii="宋体" w:hAnsi="宋体" w:eastAsia="宋体" w:cs="Arial"/>
                <w:kern w:val="0"/>
                <w:sz w:val="24"/>
                <w:szCs w:val="24"/>
              </w:rPr>
              <w:t>有优质的售后服务措施和</w:t>
            </w:r>
            <w:r>
              <w:rPr>
                <w:rFonts w:hint="eastAsia" w:ascii="宋体" w:hAnsi="宋体" w:eastAsia="宋体" w:cs="宋体"/>
                <w:sz w:val="24"/>
                <w:szCs w:val="24"/>
                <w:lang w:val="zh-CN"/>
              </w:rPr>
              <w:t>服务承诺</w:t>
            </w:r>
            <w:r>
              <w:rPr>
                <w:rFonts w:hint="eastAsia" w:ascii="宋体" w:hAnsi="宋体" w:eastAsia="宋体" w:cs="Arial"/>
                <w:kern w:val="0"/>
                <w:sz w:val="24"/>
                <w:szCs w:val="24"/>
              </w:rPr>
              <w:t>，售后服务详细可行（</w:t>
            </w:r>
            <w:r>
              <w:rPr>
                <w:rFonts w:ascii="宋体" w:hAnsi="宋体" w:eastAsia="宋体" w:cs="Arial"/>
                <w:kern w:val="0"/>
                <w:sz w:val="24"/>
                <w:szCs w:val="24"/>
              </w:rPr>
              <w:t>5-10]</w:t>
            </w:r>
            <w:r>
              <w:rPr>
                <w:rFonts w:hint="eastAsia" w:ascii="宋体" w:hAnsi="宋体" w:eastAsia="宋体" w:cs="Arial"/>
                <w:kern w:val="0"/>
                <w:sz w:val="24"/>
                <w:szCs w:val="24"/>
              </w:rPr>
              <w:t>；有售后服务措施和服务承诺，售后服务一般（</w:t>
            </w:r>
            <w:r>
              <w:rPr>
                <w:rFonts w:ascii="宋体" w:hAnsi="宋体" w:eastAsia="宋体" w:cs="Arial"/>
                <w:kern w:val="0"/>
                <w:sz w:val="24"/>
                <w:szCs w:val="24"/>
              </w:rPr>
              <w:t>2-5]</w:t>
            </w:r>
            <w:r>
              <w:rPr>
                <w:rFonts w:hint="eastAsia" w:ascii="宋体" w:hAnsi="宋体" w:eastAsia="宋体" w:cs="Arial"/>
                <w:kern w:val="0"/>
                <w:sz w:val="24"/>
                <w:szCs w:val="24"/>
              </w:rPr>
              <w:t>；没有完整的售后服务措施和服务承诺，售后服务较差</w:t>
            </w:r>
            <w:r>
              <w:rPr>
                <w:rFonts w:ascii="宋体" w:hAnsi="宋体" w:eastAsia="宋体" w:cs="Arial"/>
                <w:kern w:val="0"/>
                <w:sz w:val="24"/>
                <w:szCs w:val="24"/>
              </w:rPr>
              <w:t>[0-2]</w:t>
            </w:r>
            <w:r>
              <w:rPr>
                <w:rFonts w:hint="eastAsia" w:ascii="宋体" w:hAnsi="宋体" w:eastAsia="宋体" w:cs="Arial"/>
                <w:kern w:val="0"/>
                <w:sz w:val="24"/>
                <w:szCs w:val="24"/>
              </w:rPr>
              <w:t>。</w:t>
            </w:r>
          </w:p>
        </w:tc>
      </w:tr>
      <w:tr>
        <w:tblPrEx>
          <w:tblCellMar>
            <w:top w:w="0" w:type="dxa"/>
            <w:left w:w="0" w:type="dxa"/>
            <w:bottom w:w="0" w:type="dxa"/>
            <w:right w:w="0" w:type="dxa"/>
          </w:tblCellMar>
        </w:tblPrEx>
        <w:trPr>
          <w:trHeight w:val="79" w:hRule="atLeast"/>
          <w:jc w:val="center"/>
        </w:trPr>
        <w:tc>
          <w:tcPr>
            <w:tcW w:w="337"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6</w:t>
            </w:r>
          </w:p>
        </w:tc>
        <w:tc>
          <w:tcPr>
            <w:tcW w:w="747"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ind w:left="-105" w:leftChars="-50" w:right="-105" w:rightChars="-50"/>
              <w:jc w:val="center"/>
              <w:rPr>
                <w:rFonts w:ascii="宋体" w:hAnsi="宋体" w:eastAsia="宋体" w:cs="Arial"/>
                <w:kern w:val="0"/>
                <w:sz w:val="24"/>
                <w:szCs w:val="24"/>
              </w:rPr>
            </w:pPr>
            <w:r>
              <w:rPr>
                <w:rFonts w:hint="eastAsia" w:ascii="宋体" w:hAnsi="宋体" w:eastAsia="宋体" w:cs="Arial"/>
                <w:kern w:val="0"/>
                <w:sz w:val="24"/>
                <w:szCs w:val="24"/>
              </w:rPr>
              <w:t>标函质量</w:t>
            </w:r>
          </w:p>
        </w:tc>
        <w:tc>
          <w:tcPr>
            <w:tcW w:w="520" w:type="pct"/>
            <w:tcBorders>
              <w:top w:val="nil"/>
              <w:left w:val="nil"/>
              <w:bottom w:val="single" w:color="auto" w:sz="8" w:space="0"/>
              <w:right w:val="single" w:color="auto" w:sz="8" w:space="0"/>
            </w:tcBorders>
            <w:tcMar>
              <w:top w:w="0" w:type="dxa"/>
              <w:left w:w="108" w:type="dxa"/>
              <w:bottom w:w="0" w:type="dxa"/>
              <w:right w:w="108" w:type="dxa"/>
            </w:tcMar>
            <w:vAlign w:val="center"/>
          </w:tcPr>
          <w:p>
            <w:pPr>
              <w:spacing w:line="360" w:lineRule="auto"/>
              <w:jc w:val="center"/>
              <w:rPr>
                <w:rFonts w:cs="Arial" w:asciiTheme="minorEastAsia" w:hAnsiTheme="minorEastAsia"/>
                <w:kern w:val="0"/>
                <w:sz w:val="24"/>
                <w:szCs w:val="24"/>
              </w:rPr>
            </w:pPr>
            <w:r>
              <w:rPr>
                <w:rFonts w:hint="eastAsia" w:cs="Arial" w:asciiTheme="minorEastAsia" w:hAnsiTheme="minorEastAsia"/>
                <w:kern w:val="0"/>
                <w:sz w:val="24"/>
                <w:szCs w:val="24"/>
              </w:rPr>
              <w:t>5</w:t>
            </w:r>
          </w:p>
        </w:tc>
        <w:tc>
          <w:tcPr>
            <w:tcW w:w="3394"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宋体" w:eastAsia="宋体" w:cs="Arial"/>
                <w:kern w:val="0"/>
                <w:sz w:val="24"/>
                <w:szCs w:val="24"/>
              </w:rPr>
            </w:pPr>
            <w:r>
              <w:rPr>
                <w:rFonts w:hint="eastAsia" w:ascii="宋体" w:hAnsi="宋体" w:eastAsia="宋体" w:cs="Arial"/>
                <w:kern w:val="0"/>
                <w:sz w:val="24"/>
                <w:szCs w:val="24"/>
              </w:rPr>
              <w:t>标函编制内容完整、齐全、叙述严谨。标书无涂改、错页、漏页现象[2-5]；标函编制内容不完整、叙述简单。标书有涂改、错页、漏页现象[0-2）</w:t>
            </w:r>
          </w:p>
        </w:tc>
      </w:tr>
      <w:tr>
        <w:tblPrEx>
          <w:tblCellMar>
            <w:top w:w="0" w:type="dxa"/>
            <w:left w:w="0" w:type="dxa"/>
            <w:bottom w:w="0" w:type="dxa"/>
            <w:right w:w="0" w:type="dxa"/>
          </w:tblCellMar>
        </w:tblPrEx>
        <w:trPr>
          <w:trHeight w:val="112" w:hRule="atLeast"/>
          <w:jc w:val="center"/>
        </w:trPr>
        <w:tc>
          <w:tcPr>
            <w:tcW w:w="1085" w:type="pct"/>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合计</w:t>
            </w:r>
          </w:p>
        </w:tc>
        <w:tc>
          <w:tcPr>
            <w:tcW w:w="520" w:type="pct"/>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eastAsia="宋体" w:cs="Arial"/>
                <w:kern w:val="0"/>
                <w:sz w:val="24"/>
                <w:szCs w:val="24"/>
              </w:rPr>
            </w:pPr>
            <w:r>
              <w:rPr>
                <w:rFonts w:hint="eastAsia" w:ascii="宋体" w:hAnsi="宋体" w:eastAsia="宋体" w:cs="Arial"/>
                <w:kern w:val="0"/>
                <w:sz w:val="24"/>
                <w:szCs w:val="24"/>
              </w:rPr>
              <w:t>90</w:t>
            </w:r>
          </w:p>
        </w:tc>
        <w:tc>
          <w:tcPr>
            <w:tcW w:w="3394"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cs="Arial"/>
                <w:kern w:val="0"/>
                <w:sz w:val="24"/>
                <w:szCs w:val="24"/>
              </w:rPr>
            </w:pPr>
          </w:p>
        </w:tc>
      </w:tr>
    </w:tbl>
    <w:p>
      <w:pPr>
        <w:tabs>
          <w:tab w:val="center" w:pos="4832"/>
          <w:tab w:val="left" w:pos="7140"/>
        </w:tabs>
        <w:spacing w:line="360" w:lineRule="auto"/>
        <w:jc w:val="center"/>
        <w:outlineLvl w:val="9"/>
        <w:rPr>
          <w:rFonts w:hint="eastAsia" w:ascii="宋体" w:hAnsi="宋体" w:eastAsia="宋体" w:cs="Times New Roman"/>
          <w:b/>
          <w:bCs/>
          <w:sz w:val="24"/>
          <w:szCs w:val="24"/>
        </w:rPr>
      </w:pPr>
    </w:p>
    <w:p>
      <w:pPr>
        <w:rPr>
          <w:rFonts w:ascii="宋体" w:hAnsi="宋体" w:eastAsia="宋体" w:cs="宋体"/>
          <w:b/>
          <w:sz w:val="24"/>
          <w:szCs w:val="24"/>
        </w:rPr>
      </w:pPr>
      <w:r>
        <w:rPr>
          <w:rFonts w:ascii="宋体" w:hAnsi="宋体" w:eastAsia="宋体" w:cs="宋体"/>
          <w:b/>
          <w:sz w:val="24"/>
          <w:szCs w:val="24"/>
        </w:rPr>
        <w:br w:type="page"/>
      </w:r>
    </w:p>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3" w:name="_Toc15829"/>
      <w:r>
        <w:rPr>
          <w:rFonts w:ascii="宋体" w:hAnsi="宋体" w:eastAsia="宋体" w:cs="宋体"/>
          <w:b/>
          <w:sz w:val="24"/>
          <w:szCs w:val="24"/>
        </w:rPr>
        <w:t xml:space="preserve">1. </w:t>
      </w:r>
      <w:r>
        <w:rPr>
          <w:rFonts w:hint="eastAsia" w:ascii="宋体" w:hAnsi="宋体" w:eastAsia="宋体" w:cs="宋体"/>
          <w:b/>
          <w:sz w:val="24"/>
          <w:szCs w:val="24"/>
        </w:rPr>
        <w:t>评标方法</w:t>
      </w:r>
      <w:bookmarkEnd w:id="43"/>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本次评标采用竞争性磋商。磋商小组对满足竞争性磋商文件实质性要求的竞争性磋商响应文件，按照本节规定的评审标准进行评审。评标中各评委若发生意见分歧，以少数服从多数原则确定。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rPr>
      </w:pPr>
      <w:bookmarkStart w:id="44" w:name="_Toc11568"/>
      <w:r>
        <w:rPr>
          <w:rFonts w:ascii="宋体" w:hAnsi="宋体" w:eastAsia="宋体" w:cs="宋体"/>
          <w:b/>
          <w:sz w:val="24"/>
          <w:szCs w:val="24"/>
        </w:rPr>
        <w:t xml:space="preserve">2. </w:t>
      </w:r>
      <w:r>
        <w:rPr>
          <w:rFonts w:hint="eastAsia" w:ascii="宋体" w:hAnsi="宋体" w:eastAsia="宋体" w:cs="宋体"/>
          <w:b/>
          <w:sz w:val="24"/>
          <w:szCs w:val="24"/>
        </w:rPr>
        <w:t>评审标准</w:t>
      </w:r>
      <w:bookmarkEnd w:id="44"/>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1资格审查：评审因素和评审标准见《资格审查标准》。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Calibri" w:eastAsia="宋体" w:cs="Arial"/>
          <w:kern w:val="0"/>
          <w:sz w:val="24"/>
          <w:szCs w:val="24"/>
        </w:rPr>
        <w:t>2.3.1详细评审：评审因素和评审标准见《详细评审标准》及本节第3.6款。</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2.</w:t>
      </w:r>
      <w:r>
        <w:rPr>
          <w:rFonts w:hint="eastAsia" w:ascii="宋体" w:hAnsi="宋体" w:eastAsia="宋体" w:cs="Arial"/>
          <w:kern w:val="0"/>
          <w:sz w:val="24"/>
          <w:szCs w:val="24"/>
        </w:rPr>
        <w:t>3</w:t>
      </w:r>
      <w:r>
        <w:rPr>
          <w:rFonts w:ascii="宋体" w:hAnsi="宋体" w:eastAsia="宋体" w:cs="Arial"/>
          <w:kern w:val="0"/>
          <w:sz w:val="24"/>
          <w:szCs w:val="24"/>
        </w:rPr>
        <w:t xml:space="preserve">.2 </w:t>
      </w:r>
      <w:r>
        <w:rPr>
          <w:rFonts w:hint="eastAsia" w:ascii="宋体" w:hAnsi="宋体" w:eastAsia="宋体" w:cs="Arial"/>
          <w:kern w:val="0"/>
          <w:sz w:val="24"/>
          <w:szCs w:val="24"/>
        </w:rPr>
        <w:t>投标报价评分标准：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）分值构成及权重：见评标办法前附表。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）评标基准价计算：见评标办法前附表。</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（3）投标报价得分的计算：见评标办法前附表。</w:t>
      </w:r>
    </w:p>
    <w:p>
      <w:pPr>
        <w:tabs>
          <w:tab w:val="center" w:pos="4832"/>
          <w:tab w:val="left" w:pos="7140"/>
        </w:tabs>
        <w:spacing w:line="360" w:lineRule="auto"/>
        <w:ind w:firstLine="472" w:firstLineChars="196"/>
        <w:jc w:val="left"/>
        <w:outlineLvl w:val="2"/>
        <w:rPr>
          <w:rFonts w:ascii="宋体" w:hAnsi="Calibri" w:eastAsia="宋体" w:cs="宋体"/>
          <w:b/>
          <w:sz w:val="24"/>
          <w:szCs w:val="24"/>
        </w:rPr>
      </w:pPr>
      <w:bookmarkStart w:id="45" w:name="_Toc27673"/>
      <w:r>
        <w:rPr>
          <w:rFonts w:ascii="宋体" w:hAnsi="宋体" w:eastAsia="宋体" w:cs="宋体"/>
          <w:b/>
          <w:sz w:val="24"/>
          <w:szCs w:val="24"/>
        </w:rPr>
        <w:t xml:space="preserve">3. </w:t>
      </w:r>
      <w:r>
        <w:rPr>
          <w:rFonts w:hint="eastAsia" w:ascii="宋体" w:hAnsi="宋体" w:eastAsia="宋体" w:cs="宋体"/>
          <w:b/>
          <w:sz w:val="24"/>
          <w:szCs w:val="24"/>
        </w:rPr>
        <w:t>评标程序</w:t>
      </w:r>
      <w:bookmarkEnd w:id="45"/>
    </w:p>
    <w:p>
      <w:pPr>
        <w:pStyle w:val="68"/>
        <w:widowControl/>
        <w:numPr>
          <w:ilvl w:val="1"/>
          <w:numId w:val="3"/>
        </w:numPr>
        <w:shd w:val="clear" w:color="auto" w:fill="FFFFFF"/>
        <w:snapToGrid w:val="0"/>
        <w:spacing w:line="360" w:lineRule="auto"/>
        <w:ind w:firstLineChars="0"/>
        <w:rPr>
          <w:rFonts w:ascii="宋体" w:cs="Arial"/>
          <w:kern w:val="0"/>
          <w:sz w:val="24"/>
          <w:szCs w:val="24"/>
        </w:rPr>
      </w:pPr>
      <w:r>
        <w:rPr>
          <w:rFonts w:hint="eastAsia" w:ascii="宋体" w:hAnsi="宋体" w:cs="Arial"/>
          <w:kern w:val="0"/>
          <w:sz w:val="24"/>
          <w:szCs w:val="24"/>
        </w:rPr>
        <w:t>基本程序</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评标活动将按以下步骤进行：</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（1）</w:t>
      </w:r>
      <w:r>
        <w:rPr>
          <w:rFonts w:hint="eastAsia" w:ascii="宋体" w:hAnsi="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（2）资格审查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（3）完备性及符合性审查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hint="eastAsia" w:ascii="宋体" w:hAnsi="宋体" w:eastAsia="宋体" w:cs="Arial"/>
          <w:kern w:val="0"/>
          <w:sz w:val="24"/>
          <w:szCs w:val="24"/>
        </w:rPr>
        <w:t>（4）详细评审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（5）磋商报价</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（6）澄清、说明或补正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（7）推荐成交候选人及提交评标报告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 xml:space="preserve">3.2 </w:t>
      </w:r>
      <w:r>
        <w:rPr>
          <w:rFonts w:hint="eastAsia" w:ascii="宋体" w:hAnsi="宋体" w:eastAsia="宋体" w:cs="Arial"/>
          <w:kern w:val="0"/>
          <w:sz w:val="24"/>
          <w:szCs w:val="24"/>
        </w:rPr>
        <w:t>评标准备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3.2.1</w:t>
      </w:r>
      <w:r>
        <w:rPr>
          <w:rFonts w:hint="eastAsia" w:ascii="宋体" w:hAnsi="宋体" w:eastAsia="宋体" w:cs="Arial"/>
          <w:kern w:val="0"/>
          <w:sz w:val="24"/>
          <w:szCs w:val="24"/>
        </w:rPr>
        <w:t>磋商小组成员签到</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 </w:t>
      </w:r>
      <w:r>
        <w:rPr>
          <w:rFonts w:hint="eastAsia" w:ascii="宋体" w:hAnsi="宋体" w:eastAsia="宋体" w:cs="Arial"/>
          <w:kern w:val="0"/>
          <w:sz w:val="24"/>
          <w:szCs w:val="24"/>
        </w:rPr>
        <w:t>磋商小组的分工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3.2.2.1</w:t>
      </w:r>
      <w:r>
        <w:rPr>
          <w:rFonts w:hint="eastAsia" w:ascii="宋体" w:hAnsi="宋体" w:eastAsia="宋体" w:cs="Arial"/>
          <w:kern w:val="0"/>
          <w:sz w:val="24"/>
          <w:szCs w:val="24"/>
        </w:rPr>
        <w:t>磋商小组首先推选一名磋商小组组长（非采购人代表担任）。磋商小组组长负责评标活动的组织领导工作。磋商小组组长与磋商小组其他成员具有同等的评标权力。</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3.2.2.2 </w:t>
      </w:r>
      <w:r>
        <w:rPr>
          <w:rFonts w:hint="eastAsia" w:ascii="宋体" w:hAnsi="宋体" w:eastAsia="宋体" w:cs="Arial"/>
          <w:kern w:val="0"/>
          <w:sz w:val="24"/>
          <w:szCs w:val="24"/>
        </w:rPr>
        <w:t>磋商小组组长除履行自己作为磋商小组成员独立评标的职责外，主要负责以下工作：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）组织磋商小组成员学习竞争性磋商文件；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）汇总各磋商小组成员认为需要供应商澄清、说明或者补正的问题；</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）组织磋商小组对供应商质询并对供应商的答复进行评审；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）对出现较大争议的事项进行书面记录；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6</w:t>
      </w:r>
      <w:r>
        <w:rPr>
          <w:rFonts w:hint="eastAsia" w:ascii="宋体" w:hAnsi="宋体" w:eastAsia="宋体" w:cs="Arial"/>
          <w:kern w:val="0"/>
          <w:sz w:val="24"/>
          <w:szCs w:val="24"/>
        </w:rPr>
        <w:t>）组织对评标结论进行复核确认；</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7</w:t>
      </w:r>
      <w:r>
        <w:rPr>
          <w:rFonts w:hint="eastAsia" w:ascii="宋体" w:hAnsi="宋体" w:eastAsia="宋体" w:cs="Arial"/>
          <w:kern w:val="0"/>
          <w:sz w:val="24"/>
          <w:szCs w:val="24"/>
        </w:rPr>
        <w:t>）组织编写评标报告。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 </w:t>
      </w:r>
      <w:r>
        <w:rPr>
          <w:rFonts w:hint="eastAsia" w:ascii="宋体" w:hAnsi="宋体" w:eastAsia="宋体" w:cs="Arial"/>
          <w:kern w:val="0"/>
          <w:sz w:val="24"/>
          <w:szCs w:val="24"/>
        </w:rPr>
        <w:t>熟悉文件资料</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3.2.3.1 </w:t>
      </w:r>
      <w:r>
        <w:rPr>
          <w:rFonts w:hint="eastAsia" w:ascii="宋体" w:hAnsi="宋体" w:eastAsia="宋体" w:cs="Arial"/>
          <w:kern w:val="0"/>
          <w:sz w:val="24"/>
          <w:szCs w:val="24"/>
        </w:rPr>
        <w:t>磋商小组组长应当组织磋商小组成员认真研究竞争性磋商文件，了解和熟悉招标目的、招标范围、主要合同条件、服务标准和要求，掌握评标标准和方法，熟悉本章及附件中包括的评标表格的使用，如果本章及附件所附的表格不能满足评标所需时，磋商小组应当补充编制评标所需的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 xml:space="preserve">3.2.3.2 </w:t>
      </w:r>
      <w:r>
        <w:rPr>
          <w:rFonts w:hint="eastAsia" w:ascii="宋体" w:hAnsi="宋体" w:eastAsia="宋体" w:cs="Arial"/>
          <w:kern w:val="0"/>
          <w:sz w:val="24"/>
          <w:szCs w:val="24"/>
        </w:rPr>
        <w:t>采购人或采购代理机构应当向磋商小组提供评标所需的信息和数据，包括：</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）竞争性磋商文件及其澄清修改等竞争性磋商文件补充；</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）未在开标会上当场拒绝的各竞争性磋商响应文件；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3</w:t>
      </w:r>
      <w:r>
        <w:rPr>
          <w:rFonts w:hint="eastAsia" w:ascii="宋体" w:hAnsi="宋体" w:eastAsia="宋体" w:cs="Arial"/>
          <w:kern w:val="0"/>
          <w:sz w:val="24"/>
          <w:szCs w:val="24"/>
        </w:rPr>
        <w:t>）开标会记录；</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4</w:t>
      </w:r>
      <w:r>
        <w:rPr>
          <w:rFonts w:hint="eastAsia" w:ascii="宋体" w:hAnsi="宋体" w:eastAsia="宋体" w:cs="Arial"/>
          <w:kern w:val="0"/>
          <w:sz w:val="24"/>
          <w:szCs w:val="24"/>
        </w:rPr>
        <w:t>）评标表格；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5</w:t>
      </w:r>
      <w:r>
        <w:rPr>
          <w:rFonts w:hint="eastAsia" w:ascii="宋体" w:hAnsi="宋体" w:eastAsia="宋体" w:cs="Arial"/>
          <w:kern w:val="0"/>
          <w:sz w:val="24"/>
          <w:szCs w:val="24"/>
        </w:rPr>
        <w:t>）其他信息和数据。</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3.3</w:t>
      </w:r>
      <w:r>
        <w:rPr>
          <w:rFonts w:hint="eastAsia" w:ascii="宋体" w:hAnsi="宋体" w:eastAsia="宋体" w:cs="Arial"/>
          <w:kern w:val="0"/>
          <w:sz w:val="24"/>
          <w:szCs w:val="24"/>
        </w:rPr>
        <w:t>资格审查（适用于资格后审）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采购人会依据本章规定的评审因素和审查标准，对供应商的资格审查资料进行资格审查。资格审查有一项未通过审查标准，采购人将认定整个竞争性磋商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3.4完备性及符合性审查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.1 </w:t>
      </w:r>
      <w:r>
        <w:rPr>
          <w:rFonts w:hint="eastAsia" w:ascii="宋体" w:hAnsi="宋体" w:eastAsia="宋体" w:cs="Arial"/>
          <w:kern w:val="0"/>
          <w:sz w:val="24"/>
          <w:szCs w:val="24"/>
        </w:rPr>
        <w:t>磋商小组依据本章规定的评审因素和评审标准，对供应商的竞争性磋商响应文件进行完备性及符合性审查。完备性及符合性审查有一项未通过评审标准，磋商小组将认定整个竞争性磋商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 xml:space="preserve">.2 </w:t>
      </w:r>
      <w:r>
        <w:rPr>
          <w:rFonts w:hint="eastAsia" w:ascii="宋体" w:hAnsi="宋体" w:eastAsia="宋体" w:cs="Arial"/>
          <w:kern w:val="0"/>
          <w:sz w:val="24"/>
          <w:szCs w:val="24"/>
        </w:rPr>
        <w:t>完备性及符合性审查条款是指对本招标项目产生了重大影响的重大偏差，而且纠正此类偏差将会对响应本次招标的其他供应商的竞争地位产生不公正的影响。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4</w:t>
      </w:r>
      <w:r>
        <w:rPr>
          <w:rFonts w:ascii="宋体" w:hAnsi="宋体" w:eastAsia="宋体" w:cs="Arial"/>
          <w:kern w:val="0"/>
          <w:sz w:val="24"/>
          <w:szCs w:val="24"/>
        </w:rPr>
        <w:t>.3</w:t>
      </w:r>
      <w:r>
        <w:rPr>
          <w:rFonts w:hint="eastAsia" w:ascii="宋体" w:hAnsi="宋体" w:eastAsia="宋体" w:cs="Arial"/>
          <w:kern w:val="0"/>
          <w:sz w:val="24"/>
          <w:szCs w:val="24"/>
        </w:rPr>
        <w:t>细微偏差是指竞争性磋商响应文件在实质上响应竞争性磋商文件要求，但在个别地方存在疏漏或者提供了不完整的技术信息和数据等情况，并且补正这些遗漏和不完整不会对其他供应商造成不公平的结果。细微偏差不影响竞争性磋商响应文件的有效性，磋商小组可要求存在细微偏差的供应商予以补正。</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6详细评审</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.1.</w:t>
      </w:r>
      <w:r>
        <w:rPr>
          <w:rFonts w:hint="eastAsia" w:ascii="宋体" w:hAnsi="宋体" w:eastAsia="宋体" w:cs="Arial"/>
          <w:kern w:val="0"/>
          <w:sz w:val="24"/>
          <w:szCs w:val="24"/>
        </w:rPr>
        <w:t>只有通过了资格审查、完备性及符合性审查且</w:t>
      </w:r>
      <w:r>
        <w:rPr>
          <w:rFonts w:hint="eastAsia" w:ascii="宋体" w:hAnsi="Calibri" w:eastAsia="宋体" w:cs="Arial"/>
          <w:kern w:val="0"/>
          <w:sz w:val="24"/>
          <w:szCs w:val="24"/>
        </w:rPr>
        <w:t>投标方不少于3个</w:t>
      </w:r>
      <w:r>
        <w:rPr>
          <w:rFonts w:hint="eastAsia" w:ascii="宋体" w:hAnsi="宋体" w:eastAsia="宋体" w:cs="Arial"/>
          <w:kern w:val="0"/>
          <w:sz w:val="24"/>
          <w:szCs w:val="24"/>
        </w:rPr>
        <w:t>方可进入详细评审。</w:t>
      </w:r>
      <w:r>
        <w:rPr>
          <w:rFonts w:hint="eastAsia" w:ascii="宋体" w:hAnsi="Calibri" w:eastAsia="宋体" w:cs="Arial"/>
          <w:kern w:val="0"/>
          <w:sz w:val="24"/>
          <w:szCs w:val="24"/>
        </w:rPr>
        <w:t>磋商小组所有成员将对响应文件进行详细评审，并根据谈判文件规定的程序、评定成交的标准等事项与实质性响应磋商文件的单一供应商分别进行磋商。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.2 </w:t>
      </w:r>
      <w:r>
        <w:rPr>
          <w:rFonts w:hint="eastAsia" w:ascii="宋体" w:hAnsi="宋体" w:eastAsia="宋体" w:cs="Arial"/>
          <w:kern w:val="0"/>
          <w:sz w:val="24"/>
          <w:szCs w:val="24"/>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1在不改变供应商竞争性磋商响应文件实质性内容的前提下，磋商小组应当对竞争性磋商响应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.2澄清、说明和补正内容不得改变竞争性磋商响应文件的实质性内容（算术性错误修正的除外）。供应商的书面澄清、说明和补正属于竞争性磋商响应文件的组成部分。</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3磋商小组针对需要供应商对所提交竞争性磋商响应文件中不明确的内容进行书面澄清、说明或补正。澄清通知不得向供应商提出带有暗示性或诱导性问题，或向其明确竞争性磋商响应文件中的遗漏和错误。供应商接到磋商小组发出的书面澄清通知后，应按磋商小组的要求提供书面澄清资料，并在规定的时间递交到指定地点。磋商小组不接受供应商主动提出的澄清、说明或补正。</w:t>
      </w:r>
    </w:p>
    <w:p>
      <w:pPr>
        <w:spacing w:line="360" w:lineRule="auto"/>
        <w:rPr>
          <w:rFonts w:ascii="宋体" w:hAnsi="宋体" w:eastAsia="宋体" w:cs="Arial"/>
          <w:kern w:val="0"/>
          <w:sz w:val="24"/>
          <w:szCs w:val="24"/>
        </w:rPr>
      </w:pPr>
      <w:r>
        <w:rPr>
          <w:rFonts w:hint="eastAsia" w:ascii="宋体" w:hAnsi="宋体" w:eastAsia="宋体" w:cs="Arial"/>
          <w:kern w:val="0"/>
          <w:sz w:val="24"/>
          <w:szCs w:val="24"/>
        </w:rPr>
        <w:t xml:space="preserve">     </w:t>
      </w: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.2</w:t>
      </w:r>
      <w:r>
        <w:rPr>
          <w:rFonts w:hint="eastAsia" w:ascii="宋体" w:hAnsi="宋体" w:eastAsia="宋体" w:cs="Arial"/>
          <w:kern w:val="0"/>
          <w:sz w:val="24"/>
          <w:szCs w:val="24"/>
        </w:rPr>
        <w:t>.4磋商小组对供应商提交的澄清、说明或补正有疑问的，可以要求供应商进一步澄清、说明或补正，直至满足磋商小组的要求。磋商结束后，磋商小组应当要求所有继续参加磋商的供应商在规定时间内提交最后报价，提交最后报价的供应商不少于3家。</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.3</w:t>
      </w:r>
      <w:r>
        <w:rPr>
          <w:rFonts w:hint="eastAsia" w:ascii="宋体" w:hAnsi="宋体" w:eastAsia="宋体" w:cs="Arial"/>
          <w:kern w:val="0"/>
          <w:sz w:val="24"/>
          <w:szCs w:val="24"/>
        </w:rPr>
        <w:t>评委评分：评委按照《详细评审标准》评分，供应商详细评审得分等于全部评委评分的算术平均值。</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.4 </w:t>
      </w:r>
      <w:r>
        <w:rPr>
          <w:rFonts w:hint="eastAsia" w:ascii="宋体" w:hAnsi="宋体" w:eastAsia="宋体" w:cs="Arial"/>
          <w:kern w:val="0"/>
          <w:sz w:val="24"/>
          <w:szCs w:val="24"/>
        </w:rPr>
        <w:t>算术错误修正：投标价格有算术错误的，磋商小组按以下原则对投标价格进行修正，修正的价格经供应商书面确认后具有约束力。供应商不接受修正价格的，其投标将被否决。</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a. </w:t>
      </w:r>
      <w:r>
        <w:rPr>
          <w:rFonts w:hint="eastAsia" w:ascii="宋体" w:hAnsi="宋体" w:cs="宋体"/>
          <w:kern w:val="0"/>
          <w:sz w:val="24"/>
          <w:szCs w:val="24"/>
        </w:rPr>
        <w:t>响应文件中开标一览表（报价表）内容与响应文件中相应内容不一致的，以开标一览表（报价表）为准；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b. </w:t>
      </w:r>
      <w:r>
        <w:rPr>
          <w:rFonts w:hint="eastAsia" w:ascii="宋体" w:hAnsi="宋体" w:cs="宋体"/>
          <w:kern w:val="0"/>
          <w:sz w:val="24"/>
          <w:szCs w:val="24"/>
        </w:rPr>
        <w:t>大写金额和小写金额不一致的，以大写金额为准；</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c. </w:t>
      </w:r>
      <w:r>
        <w:rPr>
          <w:rFonts w:hint="eastAsia" w:ascii="宋体" w:hAnsi="宋体" w:cs="宋体"/>
          <w:kern w:val="0"/>
          <w:sz w:val="24"/>
          <w:szCs w:val="24"/>
        </w:rPr>
        <w:t>单价金额小数点或者百分比有明显错位的，以开标一览表的总价为准，并修改单价；</w:t>
      </w:r>
    </w:p>
    <w:p>
      <w:pPr>
        <w:autoSpaceDE w:val="0"/>
        <w:autoSpaceDN w:val="0"/>
        <w:spacing w:line="360" w:lineRule="auto"/>
        <w:ind w:firstLine="480" w:firstLineChars="200"/>
        <w:jc w:val="left"/>
        <w:rPr>
          <w:rFonts w:ascii="宋体" w:cs="宋体"/>
          <w:kern w:val="0"/>
          <w:sz w:val="24"/>
          <w:szCs w:val="24"/>
        </w:rPr>
      </w:pPr>
      <w:r>
        <w:rPr>
          <w:rFonts w:ascii="宋体" w:hAnsi="宋体" w:cs="宋体"/>
          <w:kern w:val="0"/>
          <w:sz w:val="24"/>
          <w:szCs w:val="24"/>
        </w:rPr>
        <w:t xml:space="preserve">d. </w:t>
      </w:r>
      <w:r>
        <w:rPr>
          <w:rFonts w:hint="eastAsia" w:ascii="宋体" w:hAnsi="宋体" w:cs="宋体"/>
          <w:kern w:val="0"/>
          <w:sz w:val="24"/>
          <w:szCs w:val="24"/>
        </w:rPr>
        <w:t>总价金额与按单价汇总金额不一致的，以单价金额计算结果为准。</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cs="宋体"/>
          <w:kern w:val="0"/>
          <w:sz w:val="24"/>
          <w:szCs w:val="24"/>
        </w:rPr>
        <w:t>e. 同时出现两种以上不一致的，按照前款规定的顺序修正。修正后的最终投标报价若超过最高投标限价（如有），评审小组应当否决其投标。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.5 </w:t>
      </w:r>
      <w:r>
        <w:rPr>
          <w:rFonts w:hint="eastAsia" w:ascii="宋体" w:hAnsi="宋体" w:eastAsia="宋体" w:cs="Arial"/>
          <w:kern w:val="0"/>
          <w:sz w:val="24"/>
          <w:szCs w:val="24"/>
        </w:rPr>
        <w:t>磋商小组发现供应商的报价明显低于其他供应商投标价格，使得其投标价格可能低于其成本的，应当要求该供应商作出书面说明并提供相应的证明材料。供应商不能合理说明或者不能提供相应证明材料的，由磋商小组认定该供应商以低于成本报价竞标，否决其投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.6 </w:t>
      </w:r>
      <w:r>
        <w:rPr>
          <w:rFonts w:hint="eastAsia" w:ascii="宋体" w:hAnsi="宋体" w:eastAsia="宋体" w:cs="Arial"/>
          <w:kern w:val="0"/>
          <w:sz w:val="24"/>
          <w:szCs w:val="24"/>
        </w:rPr>
        <w:t>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.7</w:t>
      </w:r>
      <w:r>
        <w:rPr>
          <w:rFonts w:hint="eastAsia" w:ascii="宋体" w:hAnsi="宋体" w:eastAsia="宋体" w:cs="Arial"/>
          <w:kern w:val="0"/>
          <w:sz w:val="24"/>
          <w:szCs w:val="24"/>
        </w:rPr>
        <w:t>供应商综合得分即为：最终报价得分+详细评审得分，评分分值计算保留小数点后两位，小数点后第三位“四舍五入”。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6</w:t>
      </w:r>
      <w:r>
        <w:rPr>
          <w:rFonts w:ascii="宋体" w:hAnsi="宋体" w:eastAsia="宋体" w:cs="Arial"/>
          <w:kern w:val="0"/>
          <w:sz w:val="24"/>
          <w:szCs w:val="24"/>
        </w:rPr>
        <w:t xml:space="preserve">.8 </w:t>
      </w:r>
      <w:r>
        <w:rPr>
          <w:rFonts w:hint="eastAsia" w:ascii="宋体" w:hAnsi="宋体" w:eastAsia="宋体" w:cs="Arial"/>
          <w:kern w:val="0"/>
          <w:sz w:val="24"/>
          <w:szCs w:val="24"/>
        </w:rPr>
        <w:t>详细评审工作全部结束后，供应商成交候选人排序按照以下原则进行。</w:t>
      </w:r>
    </w:p>
    <w:p>
      <w:pPr>
        <w:widowControl/>
        <w:shd w:val="clear" w:color="auto" w:fill="FFFFFF"/>
        <w:snapToGrid w:val="0"/>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评审小组应当根据</w:t>
      </w:r>
      <w:r>
        <w:rPr>
          <w:rFonts w:hint="eastAsia" w:ascii="宋体" w:hAnsi="宋体" w:eastAsia="宋体" w:cs="Arial"/>
          <w:b/>
          <w:kern w:val="0"/>
          <w:sz w:val="24"/>
          <w:szCs w:val="24"/>
        </w:rPr>
        <w:t>综合</w:t>
      </w:r>
      <w:r>
        <w:rPr>
          <w:rFonts w:hint="eastAsia" w:ascii="宋体" w:hAnsi="宋体" w:cs="宋体"/>
          <w:b/>
          <w:kern w:val="0"/>
          <w:sz w:val="24"/>
          <w:szCs w:val="24"/>
        </w:rPr>
        <w:t>得分情况，按照供应商</w:t>
      </w:r>
      <w:r>
        <w:rPr>
          <w:rFonts w:hint="eastAsia" w:ascii="宋体" w:hAnsi="宋体" w:eastAsia="宋体" w:cs="Arial"/>
          <w:b/>
          <w:kern w:val="0"/>
          <w:sz w:val="24"/>
          <w:szCs w:val="24"/>
        </w:rPr>
        <w:t>综合</w:t>
      </w:r>
      <w:r>
        <w:rPr>
          <w:rFonts w:hint="eastAsia" w:ascii="宋体" w:hAnsi="宋体" w:cs="宋体"/>
          <w:b/>
          <w:kern w:val="0"/>
          <w:sz w:val="24"/>
          <w:szCs w:val="24"/>
        </w:rPr>
        <w:t>得分由高到低的顺序排列，依次推荐</w:t>
      </w:r>
      <w:r>
        <w:rPr>
          <w:rFonts w:ascii="宋体" w:hAnsi="宋体" w:cs="宋体"/>
          <w:b/>
          <w:kern w:val="0"/>
          <w:sz w:val="24"/>
          <w:szCs w:val="24"/>
        </w:rPr>
        <w:t xml:space="preserve">3 </w:t>
      </w:r>
      <w:r>
        <w:rPr>
          <w:rFonts w:hint="eastAsia" w:ascii="宋体" w:hAnsi="宋体" w:cs="宋体"/>
          <w:b/>
          <w:kern w:val="0"/>
          <w:sz w:val="24"/>
          <w:szCs w:val="24"/>
        </w:rPr>
        <w:t>名成交候选人，并编写评审报告。供应商</w:t>
      </w:r>
      <w:r>
        <w:rPr>
          <w:rFonts w:hint="eastAsia" w:ascii="宋体" w:hAnsi="宋体" w:eastAsia="宋体" w:cs="Arial"/>
          <w:b/>
          <w:kern w:val="0"/>
          <w:sz w:val="24"/>
          <w:szCs w:val="24"/>
        </w:rPr>
        <w:t>综合</w:t>
      </w:r>
      <w:r>
        <w:rPr>
          <w:rFonts w:hint="eastAsia" w:ascii="宋体" w:hAnsi="宋体" w:cs="宋体"/>
          <w:b/>
          <w:kern w:val="0"/>
          <w:sz w:val="24"/>
          <w:szCs w:val="24"/>
        </w:rPr>
        <w:t>得分相同的，按照最终报价由低到高的顺序排列。供应商</w:t>
      </w:r>
      <w:r>
        <w:rPr>
          <w:rFonts w:hint="eastAsia" w:ascii="宋体" w:hAnsi="宋体" w:eastAsia="宋体" w:cs="Arial"/>
          <w:b/>
          <w:kern w:val="0"/>
          <w:sz w:val="24"/>
          <w:szCs w:val="24"/>
        </w:rPr>
        <w:t>综合</w:t>
      </w:r>
      <w:r>
        <w:rPr>
          <w:rFonts w:hint="eastAsia" w:ascii="宋体" w:hAnsi="宋体" w:cs="宋体"/>
          <w:b/>
          <w:kern w:val="0"/>
          <w:sz w:val="24"/>
          <w:szCs w:val="24"/>
        </w:rPr>
        <w:t>得分相同且最终报价也相同的并列，评审小组将按照随机抽取推荐。</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7推荐成交候选人及提交评标报告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.1</w:t>
      </w:r>
      <w:r>
        <w:rPr>
          <w:rFonts w:hint="eastAsia" w:ascii="宋体" w:hAnsi="宋体" w:eastAsia="宋体" w:cs="Arial"/>
          <w:kern w:val="0"/>
          <w:sz w:val="24"/>
          <w:szCs w:val="24"/>
        </w:rPr>
        <w:t>磋商小组推荐成交候选人，综合得分排序第一的供应商将被确定为第一成交候选人，以此类推确定出规定数量的的成交候选人。</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.2</w:t>
      </w:r>
      <w:r>
        <w:rPr>
          <w:rFonts w:hint="eastAsia" w:ascii="宋体" w:hAnsi="宋体" w:eastAsia="宋体" w:cs="Arial"/>
          <w:kern w:val="0"/>
          <w:sz w:val="24"/>
          <w:szCs w:val="24"/>
        </w:rPr>
        <w:t>当通过了资格审查、完备性及符合性审查后，投标方少于3个时，采购人应当依法重新招标。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7</w:t>
      </w:r>
      <w:r>
        <w:rPr>
          <w:rFonts w:ascii="宋体" w:hAnsi="宋体" w:eastAsia="宋体" w:cs="Arial"/>
          <w:kern w:val="0"/>
          <w:sz w:val="24"/>
          <w:szCs w:val="24"/>
        </w:rPr>
        <w:t xml:space="preserve">.3 </w:t>
      </w:r>
      <w:r>
        <w:rPr>
          <w:rFonts w:hint="eastAsia" w:ascii="宋体" w:hAnsi="宋体" w:eastAsia="宋体" w:cs="Arial"/>
          <w:kern w:val="0"/>
          <w:sz w:val="24"/>
          <w:szCs w:val="24"/>
        </w:rPr>
        <w:t>磋商小组完成评标后，应当向采购人提交书面评标报告。</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9特殊情况的处置程序</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9</w:t>
      </w:r>
      <w:r>
        <w:rPr>
          <w:rFonts w:ascii="宋体" w:hAnsi="宋体" w:eastAsia="宋体" w:cs="Arial"/>
          <w:kern w:val="0"/>
          <w:sz w:val="24"/>
          <w:szCs w:val="24"/>
        </w:rPr>
        <w:t xml:space="preserve">.1 </w:t>
      </w:r>
      <w:r>
        <w:rPr>
          <w:rFonts w:hint="eastAsia" w:ascii="宋体" w:hAnsi="宋体" w:eastAsia="宋体" w:cs="Arial"/>
          <w:kern w:val="0"/>
          <w:sz w:val="24"/>
          <w:szCs w:val="24"/>
        </w:rPr>
        <w:t>关于评标活动暂停</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磋商小组应当执行连续评标的原则，按评标办法中规定的程序、内容、方法、标准完成全部评标工作。只有发生不可抗力导致评标工作无法继续时，评标活动方可暂停。发生评标暂停情况时，应当封存全部竞争性磋商响应文件和评标记录，待不可抗力的影响结束且具备继续评标的条件时，由原磋商小组继续评标。</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9</w:t>
      </w:r>
      <w:r>
        <w:rPr>
          <w:rFonts w:ascii="宋体" w:hAnsi="宋体" w:eastAsia="宋体" w:cs="Arial"/>
          <w:kern w:val="0"/>
          <w:sz w:val="24"/>
          <w:szCs w:val="24"/>
        </w:rPr>
        <w:t>.2</w:t>
      </w:r>
      <w:r>
        <w:rPr>
          <w:rFonts w:hint="eastAsia" w:ascii="宋体" w:hAnsi="宋体" w:eastAsia="宋体" w:cs="Arial"/>
          <w:kern w:val="0"/>
          <w:sz w:val="24"/>
          <w:szCs w:val="24"/>
        </w:rPr>
        <w:t>关于评标中途更换评委</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9</w:t>
      </w:r>
      <w:r>
        <w:rPr>
          <w:rFonts w:ascii="宋体" w:hAnsi="宋体" w:eastAsia="宋体" w:cs="Arial"/>
          <w:kern w:val="0"/>
          <w:sz w:val="24"/>
          <w:szCs w:val="24"/>
        </w:rPr>
        <w:t xml:space="preserve">.2.1 </w:t>
      </w:r>
      <w:r>
        <w:rPr>
          <w:rFonts w:hint="eastAsia" w:ascii="宋体" w:hAnsi="宋体" w:eastAsia="宋体" w:cs="Arial"/>
          <w:kern w:val="0"/>
          <w:sz w:val="24"/>
          <w:szCs w:val="24"/>
        </w:rPr>
        <w:t>除非发生下列情况之一，磋商小组成员不得在评标中途更换：</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1</w:t>
      </w:r>
      <w:r>
        <w:rPr>
          <w:rFonts w:hint="eastAsia" w:ascii="宋体" w:hAnsi="宋体" w:eastAsia="宋体" w:cs="Arial"/>
          <w:kern w:val="0"/>
          <w:sz w:val="24"/>
          <w:szCs w:val="24"/>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hint="eastAsia" w:ascii="宋体" w:hAnsi="宋体" w:eastAsia="宋体" w:cs="Arial"/>
          <w:kern w:val="0"/>
          <w:sz w:val="24"/>
          <w:szCs w:val="24"/>
        </w:rPr>
        <w:t>（</w:t>
      </w:r>
      <w:r>
        <w:rPr>
          <w:rFonts w:ascii="宋体" w:hAnsi="宋体" w:eastAsia="宋体" w:cs="Arial"/>
          <w:kern w:val="0"/>
          <w:sz w:val="24"/>
          <w:szCs w:val="24"/>
        </w:rPr>
        <w:t>2</w:t>
      </w:r>
      <w:r>
        <w:rPr>
          <w:rFonts w:hint="eastAsia" w:ascii="宋体" w:hAnsi="宋体" w:eastAsia="宋体" w:cs="Arial"/>
          <w:kern w:val="0"/>
          <w:sz w:val="24"/>
          <w:szCs w:val="24"/>
        </w:rPr>
        <w:t>）根据法律法规规定，某个或某几个磋商小组成员需要回避。</w:t>
      </w:r>
    </w:p>
    <w:p>
      <w:pPr>
        <w:widowControl/>
        <w:shd w:val="clear" w:color="auto" w:fill="FFFFFF"/>
        <w:snapToGrid w:val="0"/>
        <w:spacing w:line="360" w:lineRule="auto"/>
        <w:ind w:firstLine="480" w:firstLineChars="200"/>
        <w:rPr>
          <w:rFonts w:ascii="宋体" w:hAnsi="Calibri"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9</w:t>
      </w:r>
      <w:r>
        <w:rPr>
          <w:rFonts w:ascii="宋体" w:hAnsi="宋体" w:eastAsia="宋体" w:cs="Arial"/>
          <w:kern w:val="0"/>
          <w:sz w:val="24"/>
          <w:szCs w:val="24"/>
        </w:rPr>
        <w:t xml:space="preserve">.2.2 </w:t>
      </w:r>
      <w:r>
        <w:rPr>
          <w:rFonts w:hint="eastAsia" w:ascii="宋体" w:hAnsi="宋体" w:eastAsia="宋体" w:cs="Arial"/>
          <w:kern w:val="0"/>
          <w:sz w:val="24"/>
          <w:szCs w:val="24"/>
        </w:rPr>
        <w:t>退出评标的磋商小组成员，其已完成的评标行为无效，由更换的评委进行评标。</w:t>
      </w:r>
    </w:p>
    <w:p>
      <w:pPr>
        <w:widowControl/>
        <w:shd w:val="clear" w:color="auto" w:fill="FFFFFF"/>
        <w:snapToGrid w:val="0"/>
        <w:spacing w:line="360" w:lineRule="auto"/>
        <w:ind w:firstLine="480" w:firstLineChars="200"/>
        <w:rPr>
          <w:rFonts w:ascii="宋体" w:hAnsi="宋体" w:eastAsia="宋体" w:cs="Arial"/>
          <w:kern w:val="0"/>
          <w:sz w:val="24"/>
          <w:szCs w:val="24"/>
        </w:rPr>
      </w:pPr>
      <w:r>
        <w:rPr>
          <w:rFonts w:ascii="宋体" w:hAnsi="宋体" w:eastAsia="宋体" w:cs="Arial"/>
          <w:kern w:val="0"/>
          <w:sz w:val="24"/>
          <w:szCs w:val="24"/>
        </w:rPr>
        <w:t>3.</w:t>
      </w:r>
      <w:r>
        <w:rPr>
          <w:rFonts w:hint="eastAsia" w:ascii="宋体" w:hAnsi="宋体" w:eastAsia="宋体" w:cs="Arial"/>
          <w:kern w:val="0"/>
          <w:sz w:val="24"/>
          <w:szCs w:val="24"/>
        </w:rPr>
        <w:t>9</w:t>
      </w:r>
      <w:r>
        <w:rPr>
          <w:rFonts w:ascii="宋体" w:hAnsi="宋体" w:eastAsia="宋体" w:cs="Arial"/>
          <w:kern w:val="0"/>
          <w:sz w:val="24"/>
          <w:szCs w:val="24"/>
        </w:rPr>
        <w:t xml:space="preserve">.3 </w:t>
      </w:r>
      <w:r>
        <w:rPr>
          <w:rFonts w:hint="eastAsia" w:ascii="宋体" w:hAnsi="宋体" w:eastAsia="宋体" w:cs="Arial"/>
          <w:kern w:val="0"/>
          <w:sz w:val="24"/>
          <w:szCs w:val="24"/>
        </w:rPr>
        <w:t>在评标环节中，需磋商小组就某项定性的评审结论做出表决的，由磋商小组全体成员按照少数服从多数的原则确定。</w:t>
      </w:r>
      <w:r>
        <w:rPr>
          <w:rFonts w:ascii="宋体" w:hAnsi="宋体" w:eastAsia="宋体" w:cs="Arial"/>
          <w:kern w:val="0"/>
          <w:sz w:val="24"/>
          <w:szCs w:val="24"/>
        </w:rPr>
        <w:br w:type="page"/>
      </w:r>
    </w:p>
    <w:p>
      <w:pPr>
        <w:spacing w:line="360" w:lineRule="auto"/>
        <w:jc w:val="center"/>
        <w:outlineLvl w:val="0"/>
        <w:rPr>
          <w:rFonts w:ascii="宋体" w:hAnsi="宋体" w:eastAsia="宋体" w:cs="宋体"/>
          <w:b/>
          <w:sz w:val="24"/>
          <w:szCs w:val="24"/>
        </w:rPr>
      </w:pPr>
      <w:bookmarkStart w:id="46" w:name="_Toc485312286"/>
      <w:bookmarkStart w:id="47" w:name="_Toc4061"/>
      <w:r>
        <w:rPr>
          <w:rFonts w:hint="eastAsia" w:ascii="宋体" w:hAnsi="宋体" w:eastAsia="宋体" w:cs="宋体"/>
          <w:b/>
          <w:sz w:val="24"/>
          <w:szCs w:val="24"/>
        </w:rPr>
        <w:t>第三章 合同</w:t>
      </w:r>
      <w:bookmarkEnd w:id="46"/>
      <w:r>
        <w:rPr>
          <w:rFonts w:hint="eastAsia" w:ascii="宋体" w:hAnsi="宋体" w:eastAsia="宋体" w:cs="宋体"/>
          <w:b/>
          <w:sz w:val="24"/>
          <w:szCs w:val="24"/>
        </w:rPr>
        <w:t>条款及格式</w:t>
      </w:r>
      <w:bookmarkEnd w:id="47"/>
    </w:p>
    <w:p>
      <w:pPr>
        <w:spacing w:line="360" w:lineRule="auto"/>
        <w:jc w:val="center"/>
        <w:outlineLvl w:val="0"/>
        <w:rPr>
          <w:rFonts w:hint="eastAsia" w:ascii="宋体" w:hAnsi="宋体" w:eastAsia="宋体" w:cs="宋体"/>
          <w:b/>
          <w:sz w:val="24"/>
          <w:szCs w:val="24"/>
        </w:rPr>
      </w:pPr>
      <w:bookmarkStart w:id="48" w:name="_Toc11461"/>
      <w:r>
        <w:rPr>
          <w:rFonts w:hint="eastAsia" w:ascii="宋体" w:hAnsi="宋体" w:eastAsia="宋体" w:cs="宋体"/>
          <w:b/>
          <w:sz w:val="24"/>
          <w:szCs w:val="24"/>
        </w:rPr>
        <w:t>（仅供参考，以采购人实际签订为准）</w:t>
      </w:r>
      <w:bookmarkEnd w:id="48"/>
    </w:p>
    <w:p>
      <w:pPr>
        <w:pStyle w:val="2"/>
        <w:rPr>
          <w:rFonts w:hint="eastAsia" w:ascii="宋体" w:hAnsi="宋体" w:eastAsia="宋体" w:cs="宋体"/>
          <w:b/>
          <w:sz w:val="24"/>
          <w:szCs w:val="24"/>
        </w:rPr>
      </w:pPr>
    </w:p>
    <w:p>
      <w:pPr>
        <w:pStyle w:val="22"/>
        <w:adjustRightInd w:val="0"/>
        <w:snapToGrid w:val="0"/>
        <w:spacing w:line="360" w:lineRule="auto"/>
        <w:ind w:firstLine="480" w:firstLineChars="200"/>
        <w:rPr>
          <w:rFonts w:hAnsi="宋体"/>
          <w:sz w:val="24"/>
          <w:szCs w:val="24"/>
        </w:rPr>
      </w:pPr>
      <w:r>
        <w:rPr>
          <w:rFonts w:hAnsi="宋体"/>
          <w:sz w:val="24"/>
          <w:szCs w:val="24"/>
          <w:u w:val="single"/>
        </w:rPr>
        <w:t xml:space="preserve">   </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（下称甲方）和</w:t>
      </w:r>
      <w:r>
        <w:rPr>
          <w:rFonts w:hAnsi="宋体"/>
          <w:sz w:val="24"/>
          <w:szCs w:val="24"/>
          <w:u w:val="single"/>
        </w:rPr>
        <w:t xml:space="preserve">   </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（下称乙方）就所需的</w:t>
      </w:r>
    </w:p>
    <w:p>
      <w:pPr>
        <w:pStyle w:val="22"/>
        <w:adjustRightInd w:val="0"/>
        <w:snapToGrid w:val="0"/>
        <w:spacing w:line="360" w:lineRule="auto"/>
        <w:ind w:firstLine="480" w:firstLineChars="200"/>
        <w:rPr>
          <w:rFonts w:hAnsi="宋体"/>
          <w:sz w:val="24"/>
          <w:szCs w:val="24"/>
        </w:rPr>
      </w:pPr>
      <w:r>
        <w:rPr>
          <w:rFonts w:hAnsi="宋体"/>
          <w:sz w:val="24"/>
          <w:szCs w:val="24"/>
          <w:u w:val="single"/>
        </w:rPr>
        <w:t xml:space="preserve">   </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事宜，经双方友好协商，一致同意依照《中华人民共和国民法典》签订本合同。</w:t>
      </w:r>
    </w:p>
    <w:p>
      <w:pPr>
        <w:pStyle w:val="22"/>
        <w:adjustRightInd w:val="0"/>
        <w:snapToGrid w:val="0"/>
        <w:spacing w:line="360" w:lineRule="auto"/>
        <w:ind w:firstLine="480" w:firstLineChars="200"/>
        <w:rPr>
          <w:rFonts w:hAnsi="宋体"/>
          <w:sz w:val="24"/>
          <w:szCs w:val="24"/>
        </w:rPr>
      </w:pPr>
      <w:r>
        <w:rPr>
          <w:rFonts w:hAnsi="宋体"/>
          <w:sz w:val="24"/>
          <w:szCs w:val="24"/>
        </w:rPr>
        <w:t xml:space="preserve">甲 方： </w:t>
      </w:r>
    </w:p>
    <w:p>
      <w:pPr>
        <w:pStyle w:val="22"/>
        <w:adjustRightInd w:val="0"/>
        <w:snapToGrid w:val="0"/>
        <w:spacing w:line="360" w:lineRule="auto"/>
        <w:ind w:firstLine="480" w:firstLineChars="200"/>
        <w:rPr>
          <w:rFonts w:hAnsi="宋体"/>
          <w:sz w:val="24"/>
          <w:szCs w:val="24"/>
        </w:rPr>
      </w:pPr>
      <w:r>
        <w:rPr>
          <w:rFonts w:hAnsi="宋体"/>
          <w:sz w:val="24"/>
          <w:szCs w:val="24"/>
        </w:rPr>
        <w:t>地 址：</w:t>
      </w:r>
    </w:p>
    <w:p>
      <w:pPr>
        <w:pStyle w:val="22"/>
        <w:adjustRightInd w:val="0"/>
        <w:snapToGrid w:val="0"/>
        <w:spacing w:line="360" w:lineRule="auto"/>
        <w:ind w:firstLine="480" w:firstLineChars="200"/>
        <w:rPr>
          <w:rFonts w:hAnsi="宋体"/>
          <w:sz w:val="24"/>
          <w:szCs w:val="24"/>
        </w:rPr>
      </w:pPr>
      <w:r>
        <w:rPr>
          <w:rFonts w:hAnsi="宋体"/>
          <w:sz w:val="24"/>
          <w:szCs w:val="24"/>
        </w:rPr>
        <w:t xml:space="preserve">联系人： </w:t>
      </w:r>
      <w:r>
        <w:rPr>
          <w:rFonts w:hint="eastAsia" w:hAnsi="宋体"/>
          <w:sz w:val="24"/>
          <w:szCs w:val="24"/>
        </w:rPr>
        <w:t xml:space="preserve">     </w:t>
      </w:r>
      <w:r>
        <w:rPr>
          <w:rFonts w:hAnsi="宋体"/>
          <w:sz w:val="24"/>
          <w:szCs w:val="24"/>
        </w:rPr>
        <w:t>联系电话：</w:t>
      </w:r>
    </w:p>
    <w:p>
      <w:pPr>
        <w:pStyle w:val="22"/>
        <w:adjustRightInd w:val="0"/>
        <w:snapToGrid w:val="0"/>
        <w:spacing w:line="360" w:lineRule="auto"/>
        <w:ind w:firstLine="480" w:firstLineChars="200"/>
        <w:rPr>
          <w:rFonts w:hAnsi="宋体"/>
          <w:sz w:val="24"/>
          <w:szCs w:val="24"/>
        </w:rPr>
      </w:pPr>
      <w:r>
        <w:rPr>
          <w:rFonts w:hAnsi="宋体"/>
          <w:sz w:val="24"/>
          <w:szCs w:val="24"/>
        </w:rPr>
        <w:t xml:space="preserve">乙 方： </w:t>
      </w:r>
    </w:p>
    <w:p>
      <w:pPr>
        <w:pStyle w:val="22"/>
        <w:adjustRightInd w:val="0"/>
        <w:snapToGrid w:val="0"/>
        <w:spacing w:line="360" w:lineRule="auto"/>
        <w:ind w:firstLine="480" w:firstLineChars="200"/>
        <w:rPr>
          <w:rFonts w:hAnsi="宋体"/>
          <w:sz w:val="24"/>
          <w:szCs w:val="24"/>
        </w:rPr>
      </w:pPr>
      <w:r>
        <w:rPr>
          <w:rFonts w:hAnsi="宋体"/>
          <w:sz w:val="24"/>
          <w:szCs w:val="24"/>
        </w:rPr>
        <w:t>地 址：</w:t>
      </w:r>
    </w:p>
    <w:p>
      <w:pPr>
        <w:pStyle w:val="22"/>
        <w:adjustRightInd w:val="0"/>
        <w:snapToGrid w:val="0"/>
        <w:spacing w:line="360" w:lineRule="auto"/>
        <w:ind w:firstLine="480" w:firstLineChars="200"/>
        <w:rPr>
          <w:rFonts w:hAnsi="宋体"/>
          <w:sz w:val="24"/>
          <w:szCs w:val="24"/>
        </w:rPr>
      </w:pPr>
      <w:r>
        <w:rPr>
          <w:rFonts w:hAnsi="宋体"/>
          <w:sz w:val="24"/>
          <w:szCs w:val="24"/>
        </w:rPr>
        <w:t xml:space="preserve">联系人： </w:t>
      </w:r>
      <w:r>
        <w:rPr>
          <w:rFonts w:hint="eastAsia" w:hAnsi="宋体"/>
          <w:sz w:val="24"/>
          <w:szCs w:val="24"/>
        </w:rPr>
        <w:t xml:space="preserve">     </w:t>
      </w:r>
      <w:r>
        <w:rPr>
          <w:rFonts w:hAnsi="宋体"/>
          <w:sz w:val="24"/>
          <w:szCs w:val="24"/>
        </w:rPr>
        <w:t>联系电话：</w:t>
      </w:r>
    </w:p>
    <w:p>
      <w:pPr>
        <w:pStyle w:val="22"/>
        <w:adjustRightInd w:val="0"/>
        <w:snapToGrid w:val="0"/>
        <w:spacing w:line="360" w:lineRule="auto"/>
        <w:ind w:firstLine="480" w:firstLineChars="200"/>
        <w:rPr>
          <w:rFonts w:hAnsi="宋体"/>
          <w:sz w:val="24"/>
          <w:szCs w:val="24"/>
        </w:rPr>
      </w:pPr>
      <w:r>
        <w:rPr>
          <w:rFonts w:hAnsi="宋体"/>
          <w:sz w:val="24"/>
          <w:szCs w:val="24"/>
        </w:rPr>
        <w:t>甲、乙双方经友好协商，达成甲方车辆定点到乙方维修、保养的合同如下：</w:t>
      </w:r>
    </w:p>
    <w:p>
      <w:pPr>
        <w:pStyle w:val="22"/>
        <w:adjustRightInd w:val="0"/>
        <w:snapToGrid w:val="0"/>
        <w:spacing w:line="360" w:lineRule="auto"/>
        <w:ind w:firstLine="480" w:firstLineChars="200"/>
        <w:rPr>
          <w:rFonts w:hAnsi="宋体"/>
          <w:sz w:val="24"/>
          <w:szCs w:val="24"/>
        </w:rPr>
      </w:pPr>
      <w:r>
        <w:rPr>
          <w:rFonts w:hAnsi="宋体"/>
          <w:sz w:val="24"/>
          <w:szCs w:val="24"/>
        </w:rPr>
        <w:t>一、 维修服务对象：</w:t>
      </w:r>
    </w:p>
    <w:p>
      <w:pPr>
        <w:pStyle w:val="22"/>
        <w:adjustRightInd w:val="0"/>
        <w:snapToGrid w:val="0"/>
        <w:spacing w:line="360" w:lineRule="auto"/>
        <w:ind w:firstLine="480" w:firstLineChars="200"/>
        <w:rPr>
          <w:rFonts w:hAnsi="宋体"/>
          <w:sz w:val="24"/>
          <w:szCs w:val="24"/>
        </w:rPr>
      </w:pPr>
      <w:r>
        <w:rPr>
          <w:rFonts w:hAnsi="宋体"/>
          <w:sz w:val="24"/>
          <w:szCs w:val="24"/>
        </w:rPr>
        <w:t>1. 甲方列出其属下车辆清单（见附表），并交与乙方，甲方所有的车辆统一由乙方提供维修、保养服务；甲方更新车辆信息必须及时通知乙方。</w:t>
      </w:r>
    </w:p>
    <w:p>
      <w:pPr>
        <w:pStyle w:val="22"/>
        <w:adjustRightInd w:val="0"/>
        <w:snapToGrid w:val="0"/>
        <w:spacing w:line="360" w:lineRule="auto"/>
        <w:ind w:firstLine="480" w:firstLineChars="200"/>
        <w:rPr>
          <w:rFonts w:hAnsi="宋体"/>
          <w:sz w:val="24"/>
          <w:szCs w:val="24"/>
        </w:rPr>
      </w:pPr>
      <w:r>
        <w:rPr>
          <w:rFonts w:hAnsi="宋体"/>
          <w:sz w:val="24"/>
          <w:szCs w:val="24"/>
        </w:rPr>
        <w:t>二、 车辆维修服务项目：</w:t>
      </w:r>
    </w:p>
    <w:p>
      <w:pPr>
        <w:pStyle w:val="22"/>
        <w:adjustRightInd w:val="0"/>
        <w:snapToGrid w:val="0"/>
        <w:spacing w:line="360" w:lineRule="auto"/>
        <w:ind w:firstLine="480" w:firstLineChars="200"/>
        <w:rPr>
          <w:rFonts w:hAnsi="宋体"/>
          <w:sz w:val="24"/>
          <w:szCs w:val="24"/>
        </w:rPr>
      </w:pPr>
      <w:r>
        <w:rPr>
          <w:rFonts w:hAnsi="宋体"/>
          <w:sz w:val="24"/>
          <w:szCs w:val="24"/>
        </w:rPr>
        <w:t>1</w:t>
      </w:r>
      <w:r>
        <w:rPr>
          <w:rFonts w:hint="eastAsia" w:hAnsi="宋体"/>
          <w:sz w:val="24"/>
          <w:szCs w:val="24"/>
        </w:rPr>
        <w:t>大修</w:t>
      </w:r>
      <w:r>
        <w:rPr>
          <w:rFonts w:hAnsi="宋体"/>
          <w:sz w:val="24"/>
          <w:szCs w:val="24"/>
        </w:rPr>
        <w:t>、</w:t>
      </w:r>
      <w:r>
        <w:rPr>
          <w:rFonts w:hint="eastAsia" w:hAnsi="宋体"/>
          <w:sz w:val="24"/>
          <w:szCs w:val="24"/>
        </w:rPr>
        <w:t>小修</w:t>
      </w:r>
      <w:r>
        <w:rPr>
          <w:rFonts w:hAnsi="宋体"/>
          <w:sz w:val="24"/>
          <w:szCs w:val="24"/>
        </w:rPr>
        <w:t>、车辆维修和保养；事故车修复、保险理赔；汽车美容、装潢等。</w:t>
      </w:r>
    </w:p>
    <w:p>
      <w:pPr>
        <w:pStyle w:val="22"/>
        <w:adjustRightInd w:val="0"/>
        <w:snapToGrid w:val="0"/>
        <w:spacing w:line="360" w:lineRule="auto"/>
        <w:ind w:firstLine="480" w:firstLineChars="200"/>
        <w:rPr>
          <w:rFonts w:hAnsi="宋体"/>
          <w:sz w:val="24"/>
          <w:szCs w:val="24"/>
        </w:rPr>
      </w:pPr>
      <w:r>
        <w:rPr>
          <w:rFonts w:hAnsi="宋体"/>
          <w:sz w:val="24"/>
          <w:szCs w:val="24"/>
        </w:rPr>
        <w:t>三、 维修程序：</w:t>
      </w:r>
    </w:p>
    <w:p>
      <w:pPr>
        <w:pStyle w:val="22"/>
        <w:adjustRightInd w:val="0"/>
        <w:snapToGrid w:val="0"/>
        <w:spacing w:line="360" w:lineRule="auto"/>
        <w:ind w:firstLine="480" w:firstLineChars="200"/>
        <w:rPr>
          <w:rFonts w:hAnsi="宋体"/>
          <w:sz w:val="24"/>
          <w:szCs w:val="24"/>
        </w:rPr>
      </w:pPr>
      <w:r>
        <w:rPr>
          <w:rFonts w:hAnsi="宋体"/>
          <w:sz w:val="24"/>
          <w:szCs w:val="24"/>
        </w:rPr>
        <w:t>1. 甲方必须填写的“送修单”一式三份。“送修单”上应注明送修车辆型号、车牌号码、维修项目、送修日期，并由甲方指定相关负责人签字确认。</w:t>
      </w:r>
    </w:p>
    <w:p>
      <w:pPr>
        <w:pStyle w:val="22"/>
        <w:adjustRightInd w:val="0"/>
        <w:snapToGrid w:val="0"/>
        <w:spacing w:line="360" w:lineRule="auto"/>
        <w:ind w:firstLine="480" w:firstLineChars="200"/>
        <w:rPr>
          <w:rFonts w:hAnsi="宋体"/>
          <w:sz w:val="24"/>
          <w:szCs w:val="24"/>
        </w:rPr>
      </w:pPr>
      <w:r>
        <w:rPr>
          <w:rFonts w:hAnsi="宋体"/>
          <w:sz w:val="24"/>
          <w:szCs w:val="24"/>
        </w:rPr>
        <w:t>2. 乙方收到甲方送修车辆后出具接收车辆凭证；甲方应将送修车辆内的贵重物品带走，否则因此而造成损失的，乙方不承担赔偿责任。</w:t>
      </w:r>
    </w:p>
    <w:p>
      <w:pPr>
        <w:pStyle w:val="22"/>
        <w:adjustRightInd w:val="0"/>
        <w:snapToGrid w:val="0"/>
        <w:spacing w:line="360" w:lineRule="auto"/>
        <w:ind w:firstLine="480" w:firstLineChars="200"/>
        <w:rPr>
          <w:rFonts w:hAnsi="宋体"/>
          <w:sz w:val="24"/>
          <w:szCs w:val="24"/>
        </w:rPr>
      </w:pPr>
      <w:r>
        <w:rPr>
          <w:rFonts w:hAnsi="宋体"/>
          <w:sz w:val="24"/>
          <w:szCs w:val="24"/>
        </w:rPr>
        <w:t>3. 甲方在车辆进厂维修前对修理项目先行报价，并填制在乙方汽车修理估算表上，经乙方确认后再展开工作。在维修过程中如需追加维修项目，甲方应及时通知乙方，配合乙方控制好维修费用。</w:t>
      </w:r>
    </w:p>
    <w:p>
      <w:pPr>
        <w:pStyle w:val="22"/>
        <w:adjustRightInd w:val="0"/>
        <w:snapToGrid w:val="0"/>
        <w:spacing w:line="360" w:lineRule="auto"/>
        <w:ind w:firstLine="480" w:firstLineChars="200"/>
        <w:rPr>
          <w:rFonts w:hAnsi="宋体"/>
          <w:sz w:val="24"/>
          <w:szCs w:val="24"/>
        </w:rPr>
      </w:pPr>
      <w:r>
        <w:rPr>
          <w:rFonts w:hAnsi="宋体"/>
          <w:sz w:val="24"/>
          <w:szCs w:val="24"/>
        </w:rPr>
        <w:t>4. 乙方应及时对送修车辆进行细致检查，并根据该车情况列出维修项目、需更换的零件、维修时间、维修费用。填写报价单连同“送修单”送到或传真到甲方审核确认并加盖部门印章后方可进行维修；</w:t>
      </w:r>
    </w:p>
    <w:p>
      <w:pPr>
        <w:pStyle w:val="22"/>
        <w:adjustRightInd w:val="0"/>
        <w:snapToGrid w:val="0"/>
        <w:spacing w:line="360" w:lineRule="auto"/>
        <w:ind w:firstLine="480" w:firstLineChars="200"/>
        <w:rPr>
          <w:rFonts w:hAnsi="宋体"/>
          <w:sz w:val="24"/>
          <w:szCs w:val="24"/>
        </w:rPr>
      </w:pPr>
      <w:r>
        <w:rPr>
          <w:rFonts w:hAnsi="宋体"/>
          <w:sz w:val="24"/>
          <w:szCs w:val="24"/>
        </w:rPr>
        <w:t>5. 在维修过程中，乙方如发现其他故障需增加维修项目、费用或延长维修时间的，应及时填写报价单并通知甲方。甲方在接到报价单后个工作日内应予以答复，逾期则视为同意。</w:t>
      </w:r>
    </w:p>
    <w:p>
      <w:pPr>
        <w:pStyle w:val="22"/>
        <w:adjustRightInd w:val="0"/>
        <w:snapToGrid w:val="0"/>
        <w:spacing w:line="360" w:lineRule="auto"/>
        <w:ind w:firstLine="480" w:firstLineChars="200"/>
        <w:rPr>
          <w:rFonts w:hAnsi="宋体"/>
          <w:color w:val="auto"/>
          <w:sz w:val="24"/>
          <w:szCs w:val="24"/>
        </w:rPr>
      </w:pPr>
      <w:r>
        <w:rPr>
          <w:rFonts w:hAnsi="宋体"/>
          <w:color w:val="auto"/>
          <w:sz w:val="24"/>
          <w:szCs w:val="24"/>
        </w:rPr>
        <w:t>四、 维修费用：</w:t>
      </w:r>
    </w:p>
    <w:p>
      <w:pPr>
        <w:pStyle w:val="22"/>
        <w:adjustRightInd w:val="0"/>
        <w:snapToGrid w:val="0"/>
        <w:spacing w:line="360" w:lineRule="auto"/>
        <w:ind w:firstLine="480" w:firstLineChars="200"/>
        <w:rPr>
          <w:rFonts w:hAnsi="宋体"/>
          <w:color w:val="auto"/>
          <w:sz w:val="24"/>
          <w:szCs w:val="24"/>
        </w:rPr>
      </w:pPr>
      <w:r>
        <w:rPr>
          <w:rFonts w:hAnsi="宋体"/>
          <w:color w:val="auto"/>
          <w:sz w:val="24"/>
          <w:szCs w:val="24"/>
        </w:rPr>
        <w:t>1. 工时费：</w:t>
      </w:r>
    </w:p>
    <w:p>
      <w:pPr>
        <w:pStyle w:val="22"/>
        <w:adjustRightInd w:val="0"/>
        <w:snapToGrid w:val="0"/>
        <w:spacing w:line="360" w:lineRule="auto"/>
        <w:ind w:firstLine="480" w:firstLineChars="200"/>
        <w:rPr>
          <w:rFonts w:hAnsi="宋体"/>
          <w:color w:val="auto"/>
          <w:sz w:val="24"/>
          <w:szCs w:val="24"/>
        </w:rPr>
      </w:pPr>
      <w:r>
        <w:rPr>
          <w:rFonts w:hAnsi="宋体"/>
          <w:color w:val="auto"/>
          <w:sz w:val="24"/>
          <w:szCs w:val="24"/>
        </w:rPr>
        <w:t>2. 配件费：</w:t>
      </w:r>
    </w:p>
    <w:p>
      <w:pPr>
        <w:pStyle w:val="22"/>
        <w:adjustRightInd w:val="0"/>
        <w:snapToGrid w:val="0"/>
        <w:spacing w:line="360" w:lineRule="auto"/>
        <w:ind w:firstLine="480" w:firstLineChars="200"/>
        <w:rPr>
          <w:rFonts w:hAnsi="宋体"/>
          <w:sz w:val="24"/>
          <w:szCs w:val="24"/>
        </w:rPr>
      </w:pPr>
      <w:r>
        <w:rPr>
          <w:rFonts w:hAnsi="宋体"/>
          <w:sz w:val="24"/>
          <w:szCs w:val="24"/>
        </w:rPr>
        <w:t>五、 质量保证：</w:t>
      </w:r>
    </w:p>
    <w:p>
      <w:pPr>
        <w:pStyle w:val="22"/>
        <w:adjustRightInd w:val="0"/>
        <w:snapToGrid w:val="0"/>
        <w:spacing w:line="360" w:lineRule="auto"/>
        <w:ind w:firstLine="480" w:firstLineChars="200"/>
        <w:rPr>
          <w:rFonts w:hAnsi="宋体"/>
          <w:sz w:val="24"/>
          <w:szCs w:val="24"/>
        </w:rPr>
      </w:pPr>
      <w:r>
        <w:rPr>
          <w:rFonts w:hAnsi="宋体"/>
          <w:sz w:val="24"/>
          <w:szCs w:val="24"/>
        </w:rPr>
        <w:t>1. 乙方必须保证车辆维修的质量。乙方必须进行质量检验（检验标准以厂家核发标准为准），检验合格后的方可交付甲方。</w:t>
      </w:r>
    </w:p>
    <w:p>
      <w:pPr>
        <w:pStyle w:val="22"/>
        <w:adjustRightInd w:val="0"/>
        <w:snapToGrid w:val="0"/>
        <w:spacing w:line="360" w:lineRule="auto"/>
        <w:ind w:firstLine="480" w:firstLineChars="200"/>
        <w:rPr>
          <w:rFonts w:hAnsi="宋体"/>
          <w:sz w:val="24"/>
          <w:szCs w:val="24"/>
        </w:rPr>
      </w:pPr>
      <w:r>
        <w:rPr>
          <w:rFonts w:hAnsi="宋体"/>
          <w:sz w:val="24"/>
          <w:szCs w:val="24"/>
        </w:rPr>
        <w:t>2. 甲方维修出厂车辆的质量保证里程为：</w:t>
      </w:r>
    </w:p>
    <w:p>
      <w:pPr>
        <w:pStyle w:val="22"/>
        <w:adjustRightInd w:val="0"/>
        <w:snapToGrid w:val="0"/>
        <w:spacing w:line="360" w:lineRule="auto"/>
        <w:ind w:firstLine="480" w:firstLineChars="200"/>
        <w:rPr>
          <w:rFonts w:hAnsi="宋体"/>
          <w:sz w:val="24"/>
          <w:szCs w:val="24"/>
        </w:rPr>
      </w:pPr>
      <w:r>
        <w:rPr>
          <w:rFonts w:hint="eastAsia" w:hAnsi="宋体"/>
          <w:sz w:val="24"/>
          <w:szCs w:val="24"/>
          <w:lang w:val="en-US" w:eastAsia="zh-CN"/>
        </w:rPr>
        <w:t>1</w:t>
      </w:r>
      <w:r>
        <w:rPr>
          <w:rFonts w:hint="eastAsia" w:hAnsi="宋体"/>
          <w:sz w:val="24"/>
          <w:szCs w:val="24"/>
          <w:lang w:eastAsia="zh-CN"/>
        </w:rPr>
        <w:t>）</w:t>
      </w:r>
      <w:r>
        <w:rPr>
          <w:rFonts w:hint="eastAsia" w:hAnsi="宋体"/>
          <w:sz w:val="24"/>
          <w:szCs w:val="24"/>
        </w:rPr>
        <w:t>所有维修</w:t>
      </w:r>
      <w:r>
        <w:rPr>
          <w:rFonts w:hAnsi="宋体"/>
          <w:sz w:val="24"/>
          <w:szCs w:val="24"/>
        </w:rPr>
        <w:t>项目质保一年不限里程数。（不含易损件如：灯泡，刹车片，离合器片等）。</w:t>
      </w:r>
    </w:p>
    <w:p>
      <w:pPr>
        <w:pStyle w:val="22"/>
        <w:adjustRightInd w:val="0"/>
        <w:snapToGrid w:val="0"/>
        <w:spacing w:line="360" w:lineRule="auto"/>
        <w:ind w:firstLine="480" w:firstLineChars="200"/>
        <w:rPr>
          <w:rFonts w:hAnsi="宋体"/>
          <w:sz w:val="24"/>
          <w:szCs w:val="24"/>
        </w:rPr>
      </w:pPr>
      <w:r>
        <w:rPr>
          <w:rFonts w:hint="eastAsia" w:hAnsi="宋体"/>
          <w:sz w:val="24"/>
          <w:szCs w:val="24"/>
          <w:lang w:val="en-US" w:eastAsia="zh-CN"/>
        </w:rPr>
        <w:t>2</w:t>
      </w:r>
      <w:r>
        <w:rPr>
          <w:rFonts w:hint="eastAsia" w:hAnsi="宋体"/>
          <w:sz w:val="24"/>
          <w:szCs w:val="24"/>
          <w:lang w:eastAsia="zh-CN"/>
        </w:rPr>
        <w:t>）</w:t>
      </w:r>
      <w:r>
        <w:rPr>
          <w:rFonts w:hAnsi="宋体"/>
          <w:sz w:val="24"/>
          <w:szCs w:val="24"/>
        </w:rPr>
        <w:t xml:space="preserve"> 电器类零件及其他配件厂商不予保修的零配件不属保修范围</w:t>
      </w:r>
    </w:p>
    <w:p>
      <w:pPr>
        <w:pStyle w:val="22"/>
        <w:adjustRightInd w:val="0"/>
        <w:snapToGrid w:val="0"/>
        <w:spacing w:line="360" w:lineRule="auto"/>
        <w:ind w:firstLine="480" w:firstLineChars="200"/>
        <w:rPr>
          <w:rFonts w:hAnsi="宋体"/>
          <w:sz w:val="24"/>
          <w:szCs w:val="24"/>
        </w:rPr>
      </w:pPr>
      <w:r>
        <w:rPr>
          <w:rFonts w:hint="eastAsia" w:hAnsi="宋体"/>
          <w:sz w:val="24"/>
          <w:szCs w:val="24"/>
          <w:lang w:val="en-US" w:eastAsia="zh-CN"/>
        </w:rPr>
        <w:t>3</w:t>
      </w:r>
      <w:r>
        <w:rPr>
          <w:rFonts w:hAnsi="宋体"/>
          <w:sz w:val="24"/>
          <w:szCs w:val="24"/>
        </w:rPr>
        <w:t>. 甲方送修的车辆经乙方维修保养后，如因甲方驾驶人员违反操作规程驾驶不当或其他不可抗力等原因，及甲方自行拆解车辆所造成的损失，乙方不承担任何责任。</w:t>
      </w:r>
    </w:p>
    <w:p>
      <w:pPr>
        <w:pStyle w:val="22"/>
        <w:adjustRightInd w:val="0"/>
        <w:snapToGrid w:val="0"/>
        <w:spacing w:line="360" w:lineRule="auto"/>
        <w:ind w:firstLine="480" w:firstLineChars="200"/>
        <w:rPr>
          <w:rFonts w:hAnsi="宋体"/>
          <w:sz w:val="24"/>
          <w:szCs w:val="24"/>
        </w:rPr>
      </w:pPr>
      <w:r>
        <w:rPr>
          <w:rFonts w:hAnsi="宋体"/>
          <w:sz w:val="24"/>
          <w:szCs w:val="24"/>
        </w:rPr>
        <w:t>六、 增值服务</w:t>
      </w:r>
    </w:p>
    <w:p>
      <w:pPr>
        <w:pStyle w:val="22"/>
        <w:adjustRightInd w:val="0"/>
        <w:snapToGrid w:val="0"/>
        <w:spacing w:line="360" w:lineRule="auto"/>
        <w:ind w:firstLine="480" w:firstLineChars="200"/>
        <w:rPr>
          <w:rFonts w:hAnsi="宋体"/>
          <w:sz w:val="24"/>
          <w:szCs w:val="24"/>
        </w:rPr>
      </w:pPr>
      <w:r>
        <w:rPr>
          <w:rFonts w:hAnsi="宋体"/>
          <w:sz w:val="24"/>
          <w:szCs w:val="24"/>
        </w:rPr>
        <w:t>1. 乙方为甲方所有定点维修车辆常年提供免费洗车、清洁、吸尘服务</w:t>
      </w:r>
    </w:p>
    <w:p>
      <w:pPr>
        <w:pStyle w:val="22"/>
        <w:adjustRightInd w:val="0"/>
        <w:snapToGrid w:val="0"/>
        <w:spacing w:line="360" w:lineRule="auto"/>
        <w:ind w:firstLine="480" w:firstLineChars="200"/>
        <w:rPr>
          <w:rFonts w:hint="eastAsia" w:hAnsi="宋体"/>
          <w:sz w:val="24"/>
          <w:szCs w:val="24"/>
        </w:rPr>
      </w:pPr>
      <w:r>
        <w:rPr>
          <w:rFonts w:hAnsi="宋体"/>
          <w:sz w:val="24"/>
          <w:szCs w:val="24"/>
        </w:rPr>
        <w:t>2. 24小时紧急救援服务，免费范围：</w:t>
      </w:r>
      <w:r>
        <w:rPr>
          <w:rFonts w:hint="eastAsia" w:hAnsi="宋体"/>
          <w:sz w:val="24"/>
          <w:szCs w:val="24"/>
        </w:rPr>
        <w:t>市区150公里</w:t>
      </w:r>
      <w:r>
        <w:rPr>
          <w:rFonts w:hAnsi="宋体"/>
          <w:sz w:val="24"/>
          <w:szCs w:val="24"/>
        </w:rPr>
        <w:t>内免费救援</w:t>
      </w:r>
      <w:r>
        <w:rPr>
          <w:rFonts w:hint="eastAsia" w:hAnsi="宋体"/>
          <w:sz w:val="24"/>
          <w:szCs w:val="24"/>
        </w:rPr>
        <w:t>。</w:t>
      </w:r>
    </w:p>
    <w:p>
      <w:pPr>
        <w:pStyle w:val="22"/>
        <w:adjustRightInd w:val="0"/>
        <w:snapToGrid w:val="0"/>
        <w:spacing w:line="360" w:lineRule="auto"/>
        <w:ind w:firstLine="480" w:firstLineChars="200"/>
        <w:rPr>
          <w:rFonts w:hAnsi="宋体"/>
          <w:sz w:val="24"/>
          <w:szCs w:val="24"/>
        </w:rPr>
      </w:pPr>
      <w:r>
        <w:rPr>
          <w:rFonts w:hAnsi="宋体"/>
          <w:sz w:val="24"/>
          <w:szCs w:val="24"/>
        </w:rPr>
        <w:t>3. 其他： 乙方指定专人对接甲方送修的车辆，对车辆检查、维修项目、维修环节、结算单据进行核实；与甲方指定相关负责人沟通协商具体事宜，并进行结算确认；</w:t>
      </w:r>
    </w:p>
    <w:p>
      <w:pPr>
        <w:pStyle w:val="22"/>
        <w:adjustRightInd w:val="0"/>
        <w:snapToGrid w:val="0"/>
        <w:spacing w:line="360" w:lineRule="auto"/>
        <w:ind w:firstLine="480" w:firstLineChars="200"/>
        <w:rPr>
          <w:rFonts w:hAnsi="宋体"/>
          <w:sz w:val="24"/>
          <w:szCs w:val="24"/>
        </w:rPr>
      </w:pPr>
      <w:r>
        <w:rPr>
          <w:rFonts w:hAnsi="宋体"/>
          <w:sz w:val="24"/>
          <w:szCs w:val="24"/>
        </w:rPr>
        <w:t>七、 送修车辆移交及结算办法：</w:t>
      </w:r>
    </w:p>
    <w:p>
      <w:pPr>
        <w:pStyle w:val="22"/>
        <w:adjustRightInd w:val="0"/>
        <w:snapToGrid w:val="0"/>
        <w:spacing w:line="360" w:lineRule="auto"/>
        <w:ind w:firstLine="480" w:firstLineChars="200"/>
        <w:rPr>
          <w:rFonts w:hAnsi="宋体"/>
          <w:sz w:val="24"/>
          <w:szCs w:val="24"/>
        </w:rPr>
      </w:pPr>
      <w:r>
        <w:rPr>
          <w:rFonts w:hAnsi="宋体"/>
          <w:sz w:val="24"/>
          <w:szCs w:val="24"/>
        </w:rPr>
        <w:t>1. 乙方维修好车辆时应及时通知甲方；</w:t>
      </w:r>
    </w:p>
    <w:p>
      <w:pPr>
        <w:pStyle w:val="22"/>
        <w:adjustRightInd w:val="0"/>
        <w:snapToGrid w:val="0"/>
        <w:spacing w:line="360" w:lineRule="auto"/>
        <w:ind w:firstLine="480" w:firstLineChars="200"/>
        <w:rPr>
          <w:rFonts w:hAnsi="宋体"/>
          <w:sz w:val="24"/>
          <w:szCs w:val="24"/>
        </w:rPr>
      </w:pPr>
      <w:r>
        <w:rPr>
          <w:rFonts w:hAnsi="宋体"/>
          <w:sz w:val="24"/>
          <w:szCs w:val="24"/>
        </w:rPr>
        <w:t>2. 甲方应仔细检查已维修好的车辆，如发现问题应立即向乙方提出，如无异议的，应及时办妥车辆的移交手续；</w:t>
      </w:r>
    </w:p>
    <w:p>
      <w:pPr>
        <w:pStyle w:val="22"/>
        <w:adjustRightInd w:val="0"/>
        <w:snapToGrid w:val="0"/>
        <w:spacing w:line="360" w:lineRule="auto"/>
        <w:ind w:firstLine="480" w:firstLineChars="200"/>
        <w:rPr>
          <w:rFonts w:hAnsi="宋体"/>
          <w:sz w:val="24"/>
          <w:szCs w:val="24"/>
        </w:rPr>
      </w:pPr>
      <w:r>
        <w:rPr>
          <w:rFonts w:hAnsi="宋体"/>
          <w:sz w:val="24"/>
          <w:szCs w:val="24"/>
        </w:rPr>
        <w:t>3. 甲方应指定人员对乙方的维修结算单签名确认，并提供相关人员的亲笔签名便于甲方财务人员核对；</w:t>
      </w:r>
    </w:p>
    <w:p>
      <w:pPr>
        <w:pStyle w:val="22"/>
        <w:adjustRightInd w:val="0"/>
        <w:snapToGrid w:val="0"/>
        <w:spacing w:line="360" w:lineRule="auto"/>
        <w:ind w:firstLine="480" w:firstLineChars="200"/>
        <w:rPr>
          <w:rFonts w:hAnsi="宋体"/>
          <w:sz w:val="24"/>
          <w:szCs w:val="24"/>
        </w:rPr>
      </w:pPr>
      <w:r>
        <w:rPr>
          <w:rFonts w:hAnsi="宋体"/>
          <w:sz w:val="24"/>
          <w:szCs w:val="24"/>
        </w:rPr>
        <w:t>4. 乙方每次维修后，以送修单、报价单、结算单作为结算的依据；</w:t>
      </w:r>
    </w:p>
    <w:p>
      <w:pPr>
        <w:pStyle w:val="22"/>
        <w:adjustRightInd w:val="0"/>
        <w:snapToGrid w:val="0"/>
        <w:spacing w:line="360" w:lineRule="auto"/>
        <w:ind w:firstLine="480" w:firstLineChars="200"/>
        <w:rPr>
          <w:rFonts w:hAnsi="宋体"/>
          <w:sz w:val="24"/>
          <w:szCs w:val="24"/>
        </w:rPr>
      </w:pPr>
      <w:r>
        <w:rPr>
          <w:rFonts w:hAnsi="宋体"/>
          <w:sz w:val="24"/>
          <w:szCs w:val="24"/>
        </w:rPr>
        <w:t>5. 原则上结算形式为：月结，次月的日为结算日。</w:t>
      </w:r>
    </w:p>
    <w:p>
      <w:pPr>
        <w:pStyle w:val="22"/>
        <w:adjustRightInd w:val="0"/>
        <w:snapToGrid w:val="0"/>
        <w:spacing w:line="360" w:lineRule="auto"/>
        <w:ind w:firstLine="480" w:firstLineChars="200"/>
        <w:rPr>
          <w:rFonts w:hAnsi="宋体"/>
          <w:sz w:val="24"/>
          <w:szCs w:val="24"/>
        </w:rPr>
      </w:pPr>
      <w:r>
        <w:rPr>
          <w:rFonts w:hAnsi="宋体"/>
          <w:sz w:val="24"/>
          <w:szCs w:val="24"/>
        </w:rPr>
        <w:t>6. 乙方每月15日前为甲方提供送修车辆维修项目的发票。</w:t>
      </w:r>
    </w:p>
    <w:p>
      <w:pPr>
        <w:pStyle w:val="22"/>
        <w:adjustRightInd w:val="0"/>
        <w:snapToGrid w:val="0"/>
        <w:spacing w:line="360" w:lineRule="auto"/>
        <w:ind w:firstLine="480" w:firstLineChars="200"/>
        <w:rPr>
          <w:rFonts w:hAnsi="宋体"/>
          <w:sz w:val="24"/>
          <w:szCs w:val="24"/>
        </w:rPr>
      </w:pPr>
      <w:r>
        <w:rPr>
          <w:rFonts w:hAnsi="宋体"/>
          <w:sz w:val="24"/>
          <w:szCs w:val="24"/>
        </w:rPr>
        <w:t>7. 付款方式：</w:t>
      </w:r>
    </w:p>
    <w:p>
      <w:pPr>
        <w:pStyle w:val="22"/>
        <w:adjustRightInd w:val="0"/>
        <w:snapToGrid w:val="0"/>
        <w:spacing w:line="360" w:lineRule="auto"/>
        <w:ind w:firstLine="480" w:firstLineChars="200"/>
        <w:rPr>
          <w:rFonts w:hAnsi="宋体"/>
          <w:sz w:val="24"/>
          <w:szCs w:val="24"/>
        </w:rPr>
      </w:pPr>
      <w:r>
        <w:rPr>
          <w:rFonts w:hAnsi="宋体"/>
          <w:sz w:val="24"/>
          <w:szCs w:val="24"/>
        </w:rPr>
        <w:t>户 名：</w:t>
      </w:r>
    </w:p>
    <w:p>
      <w:pPr>
        <w:pStyle w:val="22"/>
        <w:adjustRightInd w:val="0"/>
        <w:snapToGrid w:val="0"/>
        <w:spacing w:line="360" w:lineRule="auto"/>
        <w:ind w:firstLine="480" w:firstLineChars="200"/>
        <w:rPr>
          <w:rFonts w:hAnsi="宋体"/>
          <w:sz w:val="24"/>
          <w:szCs w:val="24"/>
        </w:rPr>
      </w:pPr>
      <w:r>
        <w:rPr>
          <w:rFonts w:hAnsi="宋体"/>
          <w:sz w:val="24"/>
          <w:szCs w:val="24"/>
        </w:rPr>
        <w:t>开户行：</w:t>
      </w:r>
    </w:p>
    <w:p>
      <w:pPr>
        <w:pStyle w:val="22"/>
        <w:adjustRightInd w:val="0"/>
        <w:snapToGrid w:val="0"/>
        <w:spacing w:line="360" w:lineRule="auto"/>
        <w:ind w:firstLine="480" w:firstLineChars="200"/>
        <w:rPr>
          <w:rFonts w:hAnsi="宋体"/>
          <w:sz w:val="24"/>
          <w:szCs w:val="24"/>
        </w:rPr>
      </w:pPr>
      <w:r>
        <w:rPr>
          <w:rFonts w:hAnsi="宋体"/>
          <w:sz w:val="24"/>
          <w:szCs w:val="24"/>
        </w:rPr>
        <w:t>账 号：</w:t>
      </w:r>
    </w:p>
    <w:p>
      <w:pPr>
        <w:pStyle w:val="22"/>
        <w:adjustRightInd w:val="0"/>
        <w:snapToGrid w:val="0"/>
        <w:spacing w:line="360" w:lineRule="auto"/>
        <w:ind w:firstLine="480" w:firstLineChars="200"/>
        <w:rPr>
          <w:rFonts w:hAnsi="宋体"/>
          <w:sz w:val="24"/>
          <w:szCs w:val="24"/>
        </w:rPr>
      </w:pPr>
      <w:r>
        <w:rPr>
          <w:rFonts w:hAnsi="宋体"/>
          <w:sz w:val="24"/>
          <w:szCs w:val="24"/>
        </w:rPr>
        <w:t>税 号：</w:t>
      </w:r>
    </w:p>
    <w:p>
      <w:pPr>
        <w:pStyle w:val="22"/>
        <w:adjustRightInd w:val="0"/>
        <w:snapToGrid w:val="0"/>
        <w:spacing w:line="360" w:lineRule="auto"/>
        <w:ind w:firstLine="480" w:firstLineChars="200"/>
        <w:rPr>
          <w:rFonts w:hAnsi="宋体"/>
          <w:sz w:val="24"/>
          <w:szCs w:val="24"/>
        </w:rPr>
      </w:pPr>
      <w:r>
        <w:rPr>
          <w:rFonts w:hAnsi="宋体"/>
          <w:sz w:val="24"/>
          <w:szCs w:val="24"/>
        </w:rPr>
        <w:t>甲方权利与义务</w:t>
      </w:r>
    </w:p>
    <w:p>
      <w:pPr>
        <w:pStyle w:val="22"/>
        <w:adjustRightInd w:val="0"/>
        <w:snapToGrid w:val="0"/>
        <w:spacing w:line="360" w:lineRule="auto"/>
        <w:ind w:firstLine="480" w:firstLineChars="200"/>
        <w:rPr>
          <w:rFonts w:hAnsi="宋体"/>
          <w:sz w:val="24"/>
          <w:szCs w:val="24"/>
        </w:rPr>
      </w:pPr>
      <w:r>
        <w:rPr>
          <w:rFonts w:hAnsi="宋体"/>
          <w:sz w:val="24"/>
          <w:szCs w:val="24"/>
        </w:rPr>
        <w:t>8. 甲方的权利</w:t>
      </w:r>
    </w:p>
    <w:p>
      <w:pPr>
        <w:pStyle w:val="22"/>
        <w:adjustRightInd w:val="0"/>
        <w:snapToGrid w:val="0"/>
        <w:spacing w:line="360" w:lineRule="auto"/>
        <w:ind w:firstLine="480" w:firstLineChars="200"/>
        <w:rPr>
          <w:rFonts w:hAnsi="宋体"/>
          <w:sz w:val="24"/>
          <w:szCs w:val="24"/>
        </w:rPr>
      </w:pPr>
      <w:r>
        <w:rPr>
          <w:rFonts w:hAnsi="宋体"/>
          <w:sz w:val="24"/>
          <w:szCs w:val="24"/>
        </w:rPr>
        <w:t>1) 有权获得优先服务；</w:t>
      </w:r>
    </w:p>
    <w:p>
      <w:pPr>
        <w:pStyle w:val="22"/>
        <w:adjustRightInd w:val="0"/>
        <w:snapToGrid w:val="0"/>
        <w:spacing w:line="360" w:lineRule="auto"/>
        <w:ind w:firstLine="480" w:firstLineChars="200"/>
        <w:rPr>
          <w:rFonts w:hAnsi="宋体"/>
          <w:sz w:val="24"/>
          <w:szCs w:val="24"/>
        </w:rPr>
      </w:pPr>
      <w:r>
        <w:rPr>
          <w:rFonts w:hAnsi="宋体"/>
          <w:sz w:val="24"/>
          <w:szCs w:val="24"/>
        </w:rPr>
        <w:t>2) 对经乙方已维修出厂的车辆，发现质量不合格或与“送修单”项目不符，有权要求乙方返工，直至符合要求为止；</w:t>
      </w:r>
    </w:p>
    <w:p>
      <w:pPr>
        <w:pStyle w:val="22"/>
        <w:adjustRightInd w:val="0"/>
        <w:snapToGrid w:val="0"/>
        <w:spacing w:line="360" w:lineRule="auto"/>
        <w:ind w:firstLine="480" w:firstLineChars="200"/>
        <w:rPr>
          <w:rFonts w:hAnsi="宋体"/>
          <w:sz w:val="24"/>
          <w:szCs w:val="24"/>
        </w:rPr>
      </w:pPr>
      <w:r>
        <w:rPr>
          <w:rFonts w:hAnsi="宋体"/>
          <w:sz w:val="24"/>
          <w:szCs w:val="24"/>
        </w:rPr>
        <w:t>3) 有权审核乙方关于甲方车辆的维修单据和资料；</w:t>
      </w:r>
    </w:p>
    <w:p>
      <w:pPr>
        <w:pStyle w:val="22"/>
        <w:adjustRightInd w:val="0"/>
        <w:snapToGrid w:val="0"/>
        <w:spacing w:line="360" w:lineRule="auto"/>
        <w:ind w:firstLine="480" w:firstLineChars="200"/>
        <w:rPr>
          <w:rFonts w:hAnsi="宋体"/>
          <w:sz w:val="24"/>
          <w:szCs w:val="24"/>
        </w:rPr>
      </w:pPr>
      <w:r>
        <w:rPr>
          <w:rFonts w:hAnsi="宋体"/>
          <w:sz w:val="24"/>
          <w:szCs w:val="24"/>
        </w:rPr>
        <w:t>4) 有权核定和更改《送修车辆表》；</w:t>
      </w:r>
    </w:p>
    <w:p>
      <w:pPr>
        <w:pStyle w:val="22"/>
        <w:adjustRightInd w:val="0"/>
        <w:snapToGrid w:val="0"/>
        <w:spacing w:line="360" w:lineRule="auto"/>
        <w:ind w:firstLine="480" w:firstLineChars="200"/>
        <w:rPr>
          <w:rFonts w:hAnsi="宋体"/>
          <w:sz w:val="24"/>
          <w:szCs w:val="24"/>
        </w:rPr>
      </w:pPr>
      <w:r>
        <w:rPr>
          <w:rFonts w:hAnsi="宋体"/>
          <w:sz w:val="24"/>
          <w:szCs w:val="24"/>
        </w:rPr>
        <w:t>5) 有权对投诉进行调查。</w:t>
      </w:r>
    </w:p>
    <w:p>
      <w:pPr>
        <w:pStyle w:val="22"/>
        <w:adjustRightInd w:val="0"/>
        <w:snapToGrid w:val="0"/>
        <w:spacing w:line="360" w:lineRule="auto"/>
        <w:ind w:firstLine="480" w:firstLineChars="200"/>
        <w:rPr>
          <w:rFonts w:hAnsi="宋体"/>
          <w:sz w:val="24"/>
          <w:szCs w:val="24"/>
        </w:rPr>
      </w:pPr>
      <w:r>
        <w:rPr>
          <w:rFonts w:hAnsi="宋体"/>
          <w:sz w:val="24"/>
          <w:szCs w:val="24"/>
        </w:rPr>
        <w:t>9. 甲方的义务</w:t>
      </w:r>
    </w:p>
    <w:p>
      <w:pPr>
        <w:pStyle w:val="22"/>
        <w:adjustRightInd w:val="0"/>
        <w:snapToGrid w:val="0"/>
        <w:spacing w:line="360" w:lineRule="auto"/>
        <w:ind w:firstLine="480" w:firstLineChars="200"/>
        <w:rPr>
          <w:rFonts w:hAnsi="宋体"/>
          <w:sz w:val="24"/>
          <w:szCs w:val="24"/>
        </w:rPr>
      </w:pPr>
      <w:r>
        <w:rPr>
          <w:rFonts w:hAnsi="宋体"/>
          <w:sz w:val="24"/>
          <w:szCs w:val="24"/>
        </w:rPr>
        <w:t>1) 送修车辆必须为《送修车辆表》内的车辆，年度中间发生送修车辆变更的，应及时通知乙方，并在送修时按合同规定填写“送修单”；</w:t>
      </w:r>
    </w:p>
    <w:p>
      <w:pPr>
        <w:pStyle w:val="22"/>
        <w:adjustRightInd w:val="0"/>
        <w:snapToGrid w:val="0"/>
        <w:spacing w:line="360" w:lineRule="auto"/>
        <w:ind w:firstLine="480" w:firstLineChars="200"/>
        <w:rPr>
          <w:rFonts w:hAnsi="宋体"/>
          <w:sz w:val="24"/>
          <w:szCs w:val="24"/>
        </w:rPr>
      </w:pPr>
      <w:r>
        <w:rPr>
          <w:rFonts w:hAnsi="宋体"/>
          <w:sz w:val="24"/>
          <w:szCs w:val="24"/>
        </w:rPr>
        <w:t>2) 必须按时接收已维修好的车辆；</w:t>
      </w:r>
    </w:p>
    <w:p>
      <w:pPr>
        <w:pStyle w:val="22"/>
        <w:adjustRightInd w:val="0"/>
        <w:snapToGrid w:val="0"/>
        <w:spacing w:line="360" w:lineRule="auto"/>
        <w:ind w:firstLine="480" w:firstLineChars="200"/>
        <w:rPr>
          <w:rFonts w:hAnsi="宋体"/>
          <w:sz w:val="24"/>
          <w:szCs w:val="24"/>
        </w:rPr>
      </w:pPr>
      <w:r>
        <w:rPr>
          <w:rFonts w:hAnsi="宋体"/>
          <w:sz w:val="24"/>
          <w:szCs w:val="24"/>
        </w:rPr>
        <w:t>3) 必须按时支付车辆维修费用；</w:t>
      </w:r>
    </w:p>
    <w:p>
      <w:pPr>
        <w:pStyle w:val="22"/>
        <w:adjustRightInd w:val="0"/>
        <w:snapToGrid w:val="0"/>
        <w:spacing w:line="360" w:lineRule="auto"/>
        <w:ind w:firstLine="480" w:firstLineChars="200"/>
        <w:rPr>
          <w:rFonts w:hAnsi="宋体"/>
          <w:sz w:val="24"/>
          <w:szCs w:val="24"/>
        </w:rPr>
      </w:pPr>
      <w:r>
        <w:rPr>
          <w:rFonts w:hAnsi="宋体"/>
          <w:sz w:val="24"/>
          <w:szCs w:val="24"/>
        </w:rPr>
        <w:t>4) 有责任维护双方的名誉，不得对外泄露或使用乙方的商业机密。</w:t>
      </w:r>
    </w:p>
    <w:p>
      <w:pPr>
        <w:pStyle w:val="22"/>
        <w:adjustRightInd w:val="0"/>
        <w:snapToGrid w:val="0"/>
        <w:spacing w:line="360" w:lineRule="auto"/>
        <w:ind w:firstLine="480" w:firstLineChars="200"/>
        <w:rPr>
          <w:rFonts w:hAnsi="宋体"/>
          <w:sz w:val="24"/>
          <w:szCs w:val="24"/>
        </w:rPr>
      </w:pPr>
      <w:r>
        <w:rPr>
          <w:rFonts w:hAnsi="宋体"/>
          <w:sz w:val="24"/>
          <w:szCs w:val="24"/>
        </w:rPr>
        <w:t>八、 乙方权利与义务</w:t>
      </w:r>
    </w:p>
    <w:p>
      <w:pPr>
        <w:pStyle w:val="22"/>
        <w:adjustRightInd w:val="0"/>
        <w:snapToGrid w:val="0"/>
        <w:spacing w:line="360" w:lineRule="auto"/>
        <w:ind w:firstLine="480" w:firstLineChars="200"/>
        <w:rPr>
          <w:rFonts w:hAnsi="宋体"/>
          <w:sz w:val="24"/>
          <w:szCs w:val="24"/>
        </w:rPr>
      </w:pPr>
      <w:r>
        <w:rPr>
          <w:rFonts w:hAnsi="宋体"/>
          <w:sz w:val="24"/>
          <w:szCs w:val="24"/>
        </w:rPr>
        <w:t>1. 乙方的权利</w:t>
      </w:r>
    </w:p>
    <w:p>
      <w:pPr>
        <w:pStyle w:val="22"/>
        <w:adjustRightInd w:val="0"/>
        <w:snapToGrid w:val="0"/>
        <w:spacing w:line="360" w:lineRule="auto"/>
        <w:ind w:firstLine="480" w:firstLineChars="200"/>
        <w:rPr>
          <w:rFonts w:hAnsi="宋体"/>
          <w:sz w:val="24"/>
          <w:szCs w:val="24"/>
        </w:rPr>
      </w:pPr>
      <w:r>
        <w:rPr>
          <w:rFonts w:hAnsi="宋体"/>
          <w:sz w:val="24"/>
          <w:szCs w:val="24"/>
        </w:rPr>
        <w:t>1) 有权要求送修车辆出示“送修单”；</w:t>
      </w:r>
    </w:p>
    <w:p>
      <w:pPr>
        <w:pStyle w:val="22"/>
        <w:adjustRightInd w:val="0"/>
        <w:snapToGrid w:val="0"/>
        <w:spacing w:line="360" w:lineRule="auto"/>
        <w:ind w:firstLine="480" w:firstLineChars="200"/>
        <w:rPr>
          <w:rFonts w:hAnsi="宋体"/>
          <w:sz w:val="24"/>
          <w:szCs w:val="24"/>
        </w:rPr>
      </w:pPr>
      <w:r>
        <w:rPr>
          <w:rFonts w:hAnsi="宋体"/>
          <w:sz w:val="24"/>
          <w:szCs w:val="24"/>
        </w:rPr>
        <w:t>2) 有权要求甲方按时结算车辆维修费用；</w:t>
      </w:r>
    </w:p>
    <w:p>
      <w:pPr>
        <w:pStyle w:val="22"/>
        <w:adjustRightInd w:val="0"/>
        <w:snapToGrid w:val="0"/>
        <w:spacing w:line="360" w:lineRule="auto"/>
        <w:ind w:firstLine="480" w:firstLineChars="200"/>
        <w:rPr>
          <w:rFonts w:hAnsi="宋体"/>
          <w:sz w:val="24"/>
          <w:szCs w:val="24"/>
        </w:rPr>
      </w:pPr>
      <w:r>
        <w:rPr>
          <w:rFonts w:hAnsi="宋体"/>
          <w:sz w:val="24"/>
          <w:szCs w:val="24"/>
        </w:rPr>
        <w:t>3) 有权拒绝甲方提出的除维修项目及承诺服务以外的其他不合理要求；</w:t>
      </w:r>
    </w:p>
    <w:p>
      <w:pPr>
        <w:pStyle w:val="22"/>
        <w:adjustRightInd w:val="0"/>
        <w:snapToGrid w:val="0"/>
        <w:spacing w:line="360" w:lineRule="auto"/>
        <w:ind w:firstLine="480" w:firstLineChars="200"/>
        <w:rPr>
          <w:rFonts w:hAnsi="宋体"/>
          <w:sz w:val="24"/>
          <w:szCs w:val="24"/>
        </w:rPr>
      </w:pPr>
      <w:r>
        <w:rPr>
          <w:rFonts w:hAnsi="宋体"/>
          <w:sz w:val="24"/>
          <w:szCs w:val="24"/>
        </w:rPr>
        <w:t>2. 乙方的义务</w:t>
      </w:r>
    </w:p>
    <w:p>
      <w:pPr>
        <w:pStyle w:val="22"/>
        <w:adjustRightInd w:val="0"/>
        <w:snapToGrid w:val="0"/>
        <w:spacing w:line="360" w:lineRule="auto"/>
        <w:ind w:firstLine="480" w:firstLineChars="200"/>
        <w:rPr>
          <w:rFonts w:hAnsi="宋体"/>
          <w:sz w:val="24"/>
          <w:szCs w:val="24"/>
        </w:rPr>
      </w:pPr>
      <w:r>
        <w:rPr>
          <w:rFonts w:hAnsi="宋体"/>
          <w:sz w:val="24"/>
          <w:szCs w:val="24"/>
        </w:rPr>
        <w:t>1) 优先为甲方送修的车辆提供维修服务；</w:t>
      </w:r>
    </w:p>
    <w:p>
      <w:pPr>
        <w:pStyle w:val="22"/>
        <w:adjustRightInd w:val="0"/>
        <w:snapToGrid w:val="0"/>
        <w:spacing w:line="360" w:lineRule="auto"/>
        <w:ind w:firstLine="480" w:firstLineChars="200"/>
        <w:rPr>
          <w:rFonts w:hAnsi="宋体"/>
          <w:sz w:val="24"/>
          <w:szCs w:val="24"/>
        </w:rPr>
      </w:pPr>
      <w:r>
        <w:rPr>
          <w:rFonts w:hAnsi="宋体"/>
          <w:sz w:val="24"/>
          <w:szCs w:val="24"/>
        </w:rPr>
        <w:t>2) 按约定的时间完成维修工作；</w:t>
      </w:r>
    </w:p>
    <w:p>
      <w:pPr>
        <w:pStyle w:val="22"/>
        <w:adjustRightInd w:val="0"/>
        <w:snapToGrid w:val="0"/>
        <w:spacing w:line="360" w:lineRule="auto"/>
        <w:ind w:firstLine="480" w:firstLineChars="200"/>
        <w:rPr>
          <w:rFonts w:hAnsi="宋体"/>
          <w:sz w:val="24"/>
          <w:szCs w:val="24"/>
        </w:rPr>
      </w:pPr>
      <w:r>
        <w:rPr>
          <w:rFonts w:hAnsi="宋体"/>
          <w:sz w:val="24"/>
          <w:szCs w:val="24"/>
        </w:rPr>
        <w:t>3) 保证送修期间车辆的安全保管；</w:t>
      </w:r>
    </w:p>
    <w:p>
      <w:pPr>
        <w:pStyle w:val="22"/>
        <w:adjustRightInd w:val="0"/>
        <w:snapToGrid w:val="0"/>
        <w:spacing w:line="360" w:lineRule="auto"/>
        <w:ind w:firstLine="480" w:firstLineChars="200"/>
        <w:rPr>
          <w:rFonts w:hAnsi="宋体"/>
          <w:sz w:val="24"/>
          <w:szCs w:val="24"/>
        </w:rPr>
      </w:pPr>
      <w:r>
        <w:rPr>
          <w:rFonts w:hAnsi="宋体"/>
          <w:sz w:val="24"/>
          <w:szCs w:val="24"/>
        </w:rPr>
        <w:t>4) 按本合同的规定，保证维修质量；</w:t>
      </w:r>
    </w:p>
    <w:p>
      <w:pPr>
        <w:pStyle w:val="22"/>
        <w:adjustRightInd w:val="0"/>
        <w:snapToGrid w:val="0"/>
        <w:spacing w:line="360" w:lineRule="auto"/>
        <w:ind w:firstLine="480" w:firstLineChars="200"/>
        <w:rPr>
          <w:rFonts w:hAnsi="宋体"/>
          <w:sz w:val="24"/>
          <w:szCs w:val="24"/>
        </w:rPr>
      </w:pPr>
      <w:r>
        <w:rPr>
          <w:rFonts w:hAnsi="宋体"/>
          <w:sz w:val="24"/>
          <w:szCs w:val="24"/>
        </w:rPr>
        <w:t>5) 保证所用配件是符合国家质量标准的全新原厂配件，不得以次充好或随意更换汽车配件；</w:t>
      </w:r>
    </w:p>
    <w:p>
      <w:pPr>
        <w:pStyle w:val="22"/>
        <w:adjustRightInd w:val="0"/>
        <w:snapToGrid w:val="0"/>
        <w:spacing w:line="360" w:lineRule="auto"/>
        <w:ind w:firstLine="480" w:firstLineChars="200"/>
        <w:rPr>
          <w:rFonts w:hAnsi="宋体"/>
          <w:sz w:val="24"/>
          <w:szCs w:val="24"/>
        </w:rPr>
      </w:pPr>
      <w:r>
        <w:rPr>
          <w:rFonts w:hAnsi="宋体"/>
          <w:sz w:val="24"/>
          <w:szCs w:val="24"/>
        </w:rPr>
        <w:t>6) 有责任维护双方的名誉，不得对外泄露或使用甲方的商业机密。</w:t>
      </w:r>
    </w:p>
    <w:p>
      <w:pPr>
        <w:pStyle w:val="22"/>
        <w:adjustRightInd w:val="0"/>
        <w:snapToGrid w:val="0"/>
        <w:spacing w:line="360" w:lineRule="auto"/>
        <w:ind w:firstLine="480" w:firstLineChars="200"/>
        <w:rPr>
          <w:rFonts w:hAnsi="宋体"/>
          <w:sz w:val="24"/>
          <w:szCs w:val="24"/>
        </w:rPr>
      </w:pPr>
      <w:r>
        <w:rPr>
          <w:rFonts w:hAnsi="宋体"/>
          <w:sz w:val="24"/>
          <w:szCs w:val="24"/>
        </w:rPr>
        <w:t>九、 违约责任</w:t>
      </w:r>
    </w:p>
    <w:p>
      <w:pPr>
        <w:pStyle w:val="22"/>
        <w:adjustRightInd w:val="0"/>
        <w:snapToGrid w:val="0"/>
        <w:spacing w:line="360" w:lineRule="auto"/>
        <w:ind w:firstLine="480" w:firstLineChars="200"/>
        <w:rPr>
          <w:rFonts w:hAnsi="宋体"/>
          <w:sz w:val="24"/>
          <w:szCs w:val="24"/>
        </w:rPr>
      </w:pPr>
      <w:r>
        <w:rPr>
          <w:rFonts w:hAnsi="宋体"/>
          <w:sz w:val="24"/>
          <w:szCs w:val="24"/>
        </w:rPr>
        <w:t>1. 甲方应依本合同约定及时向乙方支付维修费用</w:t>
      </w:r>
      <w:r>
        <w:rPr>
          <w:rFonts w:hint="eastAsia" w:hAnsi="宋体"/>
          <w:sz w:val="24"/>
          <w:szCs w:val="24"/>
        </w:rPr>
        <w:t>；</w:t>
      </w:r>
    </w:p>
    <w:p>
      <w:pPr>
        <w:pStyle w:val="22"/>
        <w:adjustRightInd w:val="0"/>
        <w:snapToGrid w:val="0"/>
        <w:spacing w:line="360" w:lineRule="auto"/>
        <w:ind w:firstLine="480" w:firstLineChars="200"/>
        <w:rPr>
          <w:rFonts w:hAnsi="宋体"/>
          <w:sz w:val="24"/>
          <w:szCs w:val="24"/>
        </w:rPr>
      </w:pPr>
      <w:r>
        <w:rPr>
          <w:rFonts w:hAnsi="宋体"/>
          <w:sz w:val="24"/>
          <w:szCs w:val="24"/>
        </w:rPr>
        <w:t xml:space="preserve">2. 乙方维修车辆完工后应及时通知甲方接收，或按双方的约定接收车辆； </w:t>
      </w:r>
    </w:p>
    <w:p>
      <w:pPr>
        <w:pStyle w:val="22"/>
        <w:adjustRightInd w:val="0"/>
        <w:snapToGrid w:val="0"/>
        <w:spacing w:line="360" w:lineRule="auto"/>
        <w:ind w:firstLine="480" w:firstLineChars="200"/>
        <w:rPr>
          <w:rFonts w:hAnsi="宋体"/>
          <w:sz w:val="24"/>
          <w:szCs w:val="24"/>
        </w:rPr>
      </w:pPr>
      <w:r>
        <w:rPr>
          <w:rFonts w:hAnsi="宋体"/>
          <w:sz w:val="24"/>
          <w:szCs w:val="24"/>
        </w:rPr>
        <w:t>十、 合同的期限</w:t>
      </w:r>
    </w:p>
    <w:p>
      <w:pPr>
        <w:pStyle w:val="22"/>
        <w:adjustRightInd w:val="0"/>
        <w:snapToGrid w:val="0"/>
        <w:spacing w:line="360" w:lineRule="auto"/>
        <w:ind w:firstLine="480" w:firstLineChars="200"/>
        <w:rPr>
          <w:rFonts w:hAnsi="宋体"/>
          <w:sz w:val="24"/>
          <w:szCs w:val="24"/>
        </w:rPr>
      </w:pPr>
      <w:r>
        <w:rPr>
          <w:rFonts w:hAnsi="宋体"/>
          <w:sz w:val="24"/>
          <w:szCs w:val="24"/>
        </w:rPr>
        <w:t>本合同有效期自</w:t>
      </w:r>
      <w:r>
        <w:rPr>
          <w:rFonts w:hint="eastAsia" w:hAnsi="宋体"/>
          <w:sz w:val="24"/>
          <w:szCs w:val="24"/>
        </w:rPr>
        <w:t>合同签订之日起生效</w:t>
      </w:r>
    </w:p>
    <w:p>
      <w:pPr>
        <w:pStyle w:val="22"/>
        <w:adjustRightInd w:val="0"/>
        <w:snapToGrid w:val="0"/>
        <w:spacing w:line="360" w:lineRule="auto"/>
        <w:ind w:firstLine="480" w:firstLineChars="200"/>
        <w:rPr>
          <w:rFonts w:hAnsi="宋体"/>
          <w:sz w:val="24"/>
          <w:szCs w:val="24"/>
        </w:rPr>
      </w:pPr>
      <w:r>
        <w:rPr>
          <w:rFonts w:hAnsi="宋体"/>
          <w:sz w:val="24"/>
          <w:szCs w:val="24"/>
        </w:rPr>
        <w:t>十一、 争议的解决方式</w:t>
      </w:r>
    </w:p>
    <w:p>
      <w:pPr>
        <w:pStyle w:val="22"/>
        <w:adjustRightInd w:val="0"/>
        <w:snapToGrid w:val="0"/>
        <w:spacing w:line="360" w:lineRule="auto"/>
        <w:ind w:firstLine="480" w:firstLineChars="200"/>
        <w:rPr>
          <w:rFonts w:hAnsi="宋体"/>
          <w:sz w:val="24"/>
          <w:szCs w:val="24"/>
        </w:rPr>
      </w:pPr>
      <w:r>
        <w:rPr>
          <w:rFonts w:hAnsi="宋体"/>
          <w:sz w:val="24"/>
          <w:szCs w:val="24"/>
        </w:rPr>
        <w:t>如双方在履行合同时发生纠纷，应协商解决；协商不成，任何一方可向合同签署地当地人民法院提起诉讼。</w:t>
      </w:r>
    </w:p>
    <w:p>
      <w:pPr>
        <w:pStyle w:val="22"/>
        <w:adjustRightInd w:val="0"/>
        <w:snapToGrid w:val="0"/>
        <w:spacing w:line="360" w:lineRule="auto"/>
        <w:ind w:firstLine="480" w:firstLineChars="200"/>
        <w:rPr>
          <w:rFonts w:hAnsi="宋体"/>
          <w:sz w:val="24"/>
          <w:szCs w:val="24"/>
        </w:rPr>
      </w:pPr>
      <w:r>
        <w:rPr>
          <w:rFonts w:hAnsi="宋体"/>
          <w:sz w:val="24"/>
          <w:szCs w:val="24"/>
        </w:rPr>
        <w:t>十二、 合同的变更与补充</w:t>
      </w:r>
    </w:p>
    <w:p>
      <w:pPr>
        <w:pStyle w:val="22"/>
        <w:adjustRightInd w:val="0"/>
        <w:snapToGrid w:val="0"/>
        <w:spacing w:line="360" w:lineRule="auto"/>
        <w:ind w:firstLine="480" w:firstLineChars="200"/>
        <w:rPr>
          <w:rFonts w:hAnsi="宋体"/>
          <w:sz w:val="24"/>
          <w:szCs w:val="24"/>
        </w:rPr>
      </w:pPr>
      <w:r>
        <w:rPr>
          <w:rFonts w:hAnsi="宋体"/>
          <w:sz w:val="24"/>
          <w:szCs w:val="24"/>
        </w:rPr>
        <w:t>1. 合同履行期间，经甲乙双方协商，可对本合同条款进行修改或补充；</w:t>
      </w:r>
    </w:p>
    <w:p>
      <w:pPr>
        <w:pStyle w:val="22"/>
        <w:adjustRightInd w:val="0"/>
        <w:snapToGrid w:val="0"/>
        <w:spacing w:line="360" w:lineRule="auto"/>
        <w:ind w:firstLine="480" w:firstLineChars="200"/>
        <w:rPr>
          <w:rFonts w:hAnsi="宋体"/>
          <w:sz w:val="24"/>
          <w:szCs w:val="24"/>
        </w:rPr>
      </w:pPr>
      <w:r>
        <w:rPr>
          <w:rFonts w:hAnsi="宋体"/>
          <w:sz w:val="24"/>
          <w:szCs w:val="24"/>
        </w:rPr>
        <w:t>十三、 本合同经双方签字、盖章后生效。</w:t>
      </w:r>
    </w:p>
    <w:p>
      <w:pPr>
        <w:pStyle w:val="22"/>
        <w:adjustRightInd w:val="0"/>
        <w:snapToGrid w:val="0"/>
        <w:spacing w:line="360" w:lineRule="auto"/>
        <w:ind w:firstLine="480" w:firstLineChars="200"/>
        <w:rPr>
          <w:rFonts w:hAnsi="宋体"/>
          <w:sz w:val="24"/>
          <w:szCs w:val="24"/>
        </w:rPr>
      </w:pPr>
      <w:r>
        <w:rPr>
          <w:rFonts w:hAnsi="宋体"/>
          <w:sz w:val="24"/>
          <w:szCs w:val="24"/>
        </w:rPr>
        <w:t>十四、 本合同一式两份，甲方一份、乙方一份，具有同等法律效力。</w:t>
      </w:r>
    </w:p>
    <w:p>
      <w:pPr>
        <w:pStyle w:val="22"/>
        <w:adjustRightInd w:val="0"/>
        <w:snapToGrid w:val="0"/>
        <w:spacing w:line="360" w:lineRule="auto"/>
        <w:ind w:firstLine="480" w:firstLineChars="200"/>
        <w:rPr>
          <w:rFonts w:hAnsi="宋体"/>
          <w:sz w:val="24"/>
          <w:szCs w:val="24"/>
        </w:rPr>
      </w:pPr>
    </w:p>
    <w:p>
      <w:pPr>
        <w:pStyle w:val="22"/>
        <w:adjustRightInd w:val="0"/>
        <w:snapToGrid w:val="0"/>
        <w:spacing w:line="360" w:lineRule="auto"/>
        <w:ind w:firstLine="480" w:firstLineChars="200"/>
        <w:rPr>
          <w:rFonts w:hAnsi="宋体"/>
          <w:sz w:val="24"/>
          <w:szCs w:val="24"/>
        </w:rPr>
      </w:pPr>
    </w:p>
    <w:p>
      <w:pPr>
        <w:pStyle w:val="22"/>
        <w:adjustRightInd w:val="0"/>
        <w:snapToGrid w:val="0"/>
        <w:spacing w:line="360" w:lineRule="auto"/>
        <w:ind w:firstLine="480" w:firstLineChars="200"/>
        <w:rPr>
          <w:rFonts w:hAnsi="宋体"/>
          <w:sz w:val="24"/>
          <w:szCs w:val="24"/>
        </w:rPr>
      </w:pPr>
      <w:r>
        <w:rPr>
          <w:rFonts w:hAnsi="宋体"/>
          <w:sz w:val="24"/>
          <w:szCs w:val="24"/>
        </w:rPr>
        <w:t>甲方名称（盖章）：</w:t>
      </w:r>
      <w:r>
        <w:rPr>
          <w:rFonts w:hint="eastAsia" w:hAnsi="宋体"/>
          <w:sz w:val="24"/>
          <w:szCs w:val="24"/>
        </w:rPr>
        <w:t xml:space="preserve">              </w:t>
      </w:r>
      <w:r>
        <w:rPr>
          <w:rFonts w:hAnsi="宋体"/>
          <w:sz w:val="24"/>
          <w:szCs w:val="24"/>
        </w:rPr>
        <w:t xml:space="preserve"> 乙方名称（盖章）：</w:t>
      </w:r>
    </w:p>
    <w:p>
      <w:pPr>
        <w:pStyle w:val="22"/>
        <w:adjustRightInd w:val="0"/>
        <w:snapToGrid w:val="0"/>
        <w:spacing w:line="360" w:lineRule="auto"/>
        <w:ind w:firstLine="480" w:firstLineChars="200"/>
        <w:rPr>
          <w:rFonts w:hAnsi="宋体"/>
          <w:sz w:val="24"/>
          <w:szCs w:val="24"/>
        </w:rPr>
      </w:pPr>
      <w:r>
        <w:rPr>
          <w:rFonts w:hAnsi="宋体"/>
          <w:sz w:val="24"/>
          <w:szCs w:val="24"/>
        </w:rPr>
        <w:t>签字代表 ：</w:t>
      </w:r>
      <w:r>
        <w:rPr>
          <w:rFonts w:hint="eastAsia" w:hAnsi="宋体"/>
          <w:sz w:val="24"/>
          <w:szCs w:val="24"/>
        </w:rPr>
        <w:t xml:space="preserve">                    </w:t>
      </w:r>
      <w:r>
        <w:rPr>
          <w:rFonts w:hAnsi="宋体"/>
          <w:sz w:val="24"/>
          <w:szCs w:val="24"/>
        </w:rPr>
        <w:t xml:space="preserve"> </w:t>
      </w:r>
      <w:r>
        <w:rPr>
          <w:rFonts w:hint="eastAsia" w:hAnsi="宋体"/>
          <w:sz w:val="24"/>
          <w:szCs w:val="24"/>
          <w:lang w:val="en-US" w:eastAsia="zh-CN"/>
        </w:rPr>
        <w:t xml:space="preserve"> </w:t>
      </w:r>
      <w:r>
        <w:rPr>
          <w:rFonts w:hAnsi="宋体"/>
          <w:sz w:val="24"/>
          <w:szCs w:val="24"/>
        </w:rPr>
        <w:t>签字代表 ：</w:t>
      </w:r>
    </w:p>
    <w:p>
      <w:pPr>
        <w:pStyle w:val="2"/>
        <w:ind w:firstLine="480" w:firstLineChars="200"/>
        <w:rPr>
          <w:rFonts w:hint="eastAsia" w:ascii="宋体" w:hAnsi="宋体" w:eastAsia="宋体" w:cs="宋体"/>
          <w:b/>
          <w:sz w:val="24"/>
          <w:szCs w:val="24"/>
          <w:lang w:eastAsia="zh-CN"/>
        </w:rPr>
        <w:sectPr>
          <w:pgSz w:w="11906" w:h="16838"/>
          <w:pgMar w:top="1440" w:right="1438" w:bottom="1440" w:left="1803" w:header="851" w:footer="992" w:gutter="0"/>
          <w:cols w:space="720" w:num="1"/>
          <w:docGrid w:linePitch="312" w:charSpace="0"/>
        </w:sectPr>
      </w:pPr>
      <w:r>
        <w:rPr>
          <w:rFonts w:hAnsi="宋体"/>
          <w:sz w:val="24"/>
          <w:szCs w:val="24"/>
        </w:rPr>
        <w:t xml:space="preserve">日 期 ： </w:t>
      </w:r>
      <w:r>
        <w:rPr>
          <w:rFonts w:hint="eastAsia" w:hAnsi="宋体"/>
          <w:sz w:val="24"/>
          <w:szCs w:val="24"/>
        </w:rPr>
        <w:t xml:space="preserve">                       </w:t>
      </w:r>
      <w:r>
        <w:rPr>
          <w:rFonts w:hint="eastAsia" w:hAnsi="宋体"/>
          <w:sz w:val="24"/>
          <w:szCs w:val="24"/>
          <w:lang w:val="en-US" w:eastAsia="zh-CN"/>
        </w:rPr>
        <w:t xml:space="preserve"> </w:t>
      </w:r>
      <w:r>
        <w:rPr>
          <w:rFonts w:hAnsi="宋体"/>
          <w:sz w:val="24"/>
          <w:szCs w:val="24"/>
        </w:rPr>
        <w:t xml:space="preserve">日 期 </w:t>
      </w:r>
      <w:r>
        <w:rPr>
          <w:rFonts w:hint="eastAsia" w:hAnsi="宋体"/>
          <w:sz w:val="24"/>
          <w:szCs w:val="24"/>
          <w:lang w:eastAsia="zh-CN"/>
        </w:rPr>
        <w:t>：</w:t>
      </w:r>
    </w:p>
    <w:p>
      <w:pPr>
        <w:jc w:val="center"/>
        <w:outlineLvl w:val="1"/>
        <w:rPr>
          <w:rFonts w:hint="eastAsia" w:ascii="宋体" w:hAnsi="宋体" w:eastAsia="宋体" w:cs="宋体"/>
          <w:b/>
          <w:sz w:val="24"/>
          <w:szCs w:val="24"/>
          <w:lang w:eastAsia="zh-CN"/>
        </w:rPr>
      </w:pPr>
      <w:bookmarkStart w:id="49" w:name="_Toc138638719"/>
      <w:bookmarkEnd w:id="49"/>
      <w:bookmarkStart w:id="50" w:name="_Toc138638910"/>
      <w:bookmarkEnd w:id="50"/>
      <w:bookmarkStart w:id="51" w:name="_Toc138638510"/>
      <w:bookmarkEnd w:id="51"/>
      <w:bookmarkStart w:id="52" w:name="_Toc138639090"/>
      <w:bookmarkEnd w:id="52"/>
      <w:bookmarkStart w:id="53" w:name="_Toc138638773"/>
      <w:bookmarkEnd w:id="53"/>
      <w:bookmarkStart w:id="54" w:name="_Toc138638535"/>
      <w:bookmarkEnd w:id="54"/>
      <w:bookmarkStart w:id="55" w:name="_Toc138638702"/>
      <w:bookmarkEnd w:id="55"/>
      <w:bookmarkStart w:id="56" w:name="_Toc138638718"/>
      <w:bookmarkEnd w:id="56"/>
      <w:bookmarkStart w:id="57" w:name="_Toc138638883"/>
      <w:bookmarkEnd w:id="57"/>
      <w:bookmarkStart w:id="58" w:name="_Toc138639074"/>
      <w:bookmarkEnd w:id="58"/>
      <w:bookmarkStart w:id="59" w:name="_合同文件的组成及解释顺序"/>
      <w:bookmarkEnd w:id="59"/>
      <w:bookmarkStart w:id="60" w:name="_Toc138638534"/>
      <w:bookmarkEnd w:id="60"/>
      <w:bookmarkStart w:id="61" w:name="_Toc138639091"/>
      <w:bookmarkEnd w:id="61"/>
      <w:bookmarkStart w:id="62" w:name="_Toc138638906"/>
      <w:bookmarkEnd w:id="62"/>
      <w:bookmarkStart w:id="63" w:name="_Toc138638509"/>
      <w:bookmarkEnd w:id="63"/>
      <w:bookmarkStart w:id="64" w:name="_Toc138638884"/>
      <w:bookmarkEnd w:id="64"/>
      <w:bookmarkStart w:id="65" w:name="_Toc138638538"/>
      <w:bookmarkEnd w:id="65"/>
      <w:bookmarkStart w:id="66" w:name="_Toc138639145"/>
      <w:bookmarkEnd w:id="66"/>
      <w:bookmarkStart w:id="67" w:name="_Toc138638907"/>
      <w:bookmarkEnd w:id="67"/>
      <w:bookmarkStart w:id="68" w:name="_Toc98"/>
      <w:r>
        <w:rPr>
          <w:rFonts w:hint="eastAsia" w:ascii="宋体" w:hAnsi="宋体" w:eastAsia="宋体" w:cs="宋体"/>
          <w:b/>
          <w:sz w:val="24"/>
          <w:szCs w:val="24"/>
          <w:lang w:eastAsia="zh-CN"/>
        </w:rPr>
        <w:t>第四章</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eastAsia="zh-CN"/>
        </w:rPr>
        <w:t>维修清单</w:t>
      </w:r>
      <w:bookmarkEnd w:id="68"/>
    </w:p>
    <w:p>
      <w:pPr>
        <w:pStyle w:val="2"/>
        <w:numPr>
          <w:ilvl w:val="0"/>
          <w:numId w:val="0"/>
        </w:numPr>
        <w:rPr>
          <w:rFonts w:hint="eastAsia"/>
          <w:b/>
          <w:bCs/>
          <w:sz w:val="24"/>
          <w:szCs w:val="24"/>
          <w:lang w:eastAsia="zh-CN"/>
        </w:rPr>
      </w:pPr>
      <w:r>
        <w:rPr>
          <w:rFonts w:hint="eastAsia"/>
          <w:b/>
          <w:bCs/>
          <w:sz w:val="24"/>
          <w:szCs w:val="24"/>
          <w:lang w:eastAsia="zh-CN"/>
        </w:rPr>
        <w:t>一、维修工时</w:t>
      </w:r>
    </w:p>
    <w:tbl>
      <w:tblPr>
        <w:tblStyle w:val="45"/>
        <w:tblW w:w="464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3261"/>
        <w:gridCol w:w="1050"/>
        <w:gridCol w:w="3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序号</w:t>
            </w:r>
          </w:p>
        </w:tc>
        <w:tc>
          <w:tcPr>
            <w:tcW w:w="1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维修工时名称</w:t>
            </w:r>
          </w:p>
        </w:tc>
        <w:tc>
          <w:tcPr>
            <w:tcW w:w="60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序号</w:t>
            </w:r>
          </w:p>
        </w:tc>
        <w:tc>
          <w:tcPr>
            <w:tcW w:w="208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维修工时名称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更换正时惰轮</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75</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更换电瓶底座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更换后减上盖</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76</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更换火花塞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更换减震器防尘套</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77</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更换机盖扣手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更换后减震器（根）</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78</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更换车门外拉手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更换后平衡杆</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79</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更换油底壳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更换后元宝梁螺丝</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80</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更换机盖拉线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更换后平衡杆胶套</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81</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更换后备箱锁扣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更换后平衡杆胶套卡子</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82</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更换车门内扣手拉线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更换后平衡杆球头</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83</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更换发动机下护板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更换手刹片</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84</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更换分动箱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更换后弹簧</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85</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更换后杠骨架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更换方向机</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86</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更换前杠骨架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更换方向机管柱</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87</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更换后护板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更换横拉杆外球头</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88</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更换前护杠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更换灯泡含拆装大灯</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89</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更换后护杠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更换助力泵</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90</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更换后雨刷电机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更换助力油杯</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91</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更换曲轴前油封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18</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更换助力泵支架</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92</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清洗喷油嘴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19</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更换助力油管</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93</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清洗节气门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更换后羊角</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94</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更换正时皮带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21</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更换横拉杆内球头</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95</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更换正时张紧轮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更换前刹车片</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96</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更换水箱导流板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23</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更换后刹车片</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97</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更换电子扇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更换前减震器</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98</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更换喷油嘴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更换后刹车分泵</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99</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检修电路单次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26</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更换前刹车盘</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100</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更换发电机电脑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更换后刹车盘</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101</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更换暖风电阻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28</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更换刹车总泵</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102</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更换换挡球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29</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更换刹车油壶</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103</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更换气门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30</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更换ABS总泵</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104</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更换方向机防尘套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31</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更换后刹车软管</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105</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更换方向机外球头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32</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更换叶子板边灯</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106</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更换气门室罩盖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33</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更换刹车真空泵</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107</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更换气管室罩盖油封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34</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更换刹车真空管</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108</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更换半轴油封一个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35</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更换传动轴十字节</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109</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更换变速箱拉杆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36</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更换手刹柄</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110</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更换变速器油自动挡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37</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更换手刹拉线</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111</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更换排气管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38</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更换元宝梁胶套</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112</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更换升降机开关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39</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更换水箱框架</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113</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更换暖风小水箱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更换后尾板</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114</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更换空调面板不含拆装仪表台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41</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更换前叶子板不含喷漆</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115</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拆装变速箱手动挡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42</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更换前减上座</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116</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更换机油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43</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更换全车线束</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117</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拆装仪表台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44</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更换前杠倒流板</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118</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更换座椅一个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45</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更换冷凝器（不含加冷媒）</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119</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更换副车架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46</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更换水箱框架</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120</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更换前轮轴承一个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47</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更换水箱</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121</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更换防冻液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48</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更换三角饰板</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122</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更换刹车油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49</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更换刹车管不含换刹车油</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123</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更换变速箱油手动挡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更换前分挡风玻璃</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124</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更换发电机皮带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更换摄像头</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125</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更换发电机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52</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更换喷水嘴</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126</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更换油泵总成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53</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更换氧传感器</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127</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更换三角臂一个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54</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更换前杠（不含喷漆）</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128</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更换平衡杆胶套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55</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更换空调低压管</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129</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更换轮胎含动平衡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56</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更换前大灯</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130</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更换起动机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57</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更换前雾灯</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131</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更换喷水壶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58</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更换日行灯</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132</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更换喷水电机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59</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前更车门玻璃</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133</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更换后悬挂一个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60</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更换车窗升降机</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134</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更换空调高压管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61</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更换后弯灯</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135</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更换前叶子板内衬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62</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更换集风套</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136</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更换后叶子板内衬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63</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更换节温器</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137</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更换轮毂含动平衡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64</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更换差速器</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138</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更换离合器总成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65</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更换内扣手</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139</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更换皮带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66</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更换节气门</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140</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更换门边压条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67</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四轮定位</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141</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更换方向机直拉杆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68</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更换座垫</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142</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更换方向机横拉杆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69</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更换车速传感器</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143</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更换后桥总成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70</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更换油箱盖开关</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144</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更换半轴总成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71</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大修发动机四缸</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145</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更换倒车镜不含喷漆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大修发动机六缸</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146</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更换内视镜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3</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更换点火线圈一付</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147</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更换空调压缩机皮带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4</w:t>
            </w:r>
          </w:p>
        </w:tc>
        <w:tc>
          <w:tcPr>
            <w:tcW w:w="1890"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更换涡轮增压分配阀</w:t>
            </w:r>
          </w:p>
        </w:tc>
        <w:tc>
          <w:tcPr>
            <w:tcW w:w="6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148</w:t>
            </w:r>
          </w:p>
        </w:tc>
        <w:tc>
          <w:tcPr>
            <w:tcW w:w="20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更换方向机内球头</w:t>
            </w:r>
          </w:p>
        </w:tc>
      </w:tr>
    </w:tbl>
    <w:p>
      <w:pPr>
        <w:rPr>
          <w:rFonts w:hint="eastAsia" w:cs="宋体"/>
          <w:sz w:val="28"/>
          <w:szCs w:val="28"/>
          <w:lang w:eastAsia="zh-CN"/>
        </w:rPr>
      </w:pPr>
      <w:r>
        <w:rPr>
          <w:rFonts w:hint="eastAsia" w:cs="宋体"/>
          <w:sz w:val="28"/>
          <w:szCs w:val="28"/>
          <w:lang w:eastAsia="zh-CN"/>
        </w:rPr>
        <w:br w:type="page"/>
      </w:r>
    </w:p>
    <w:p>
      <w:pPr>
        <w:autoSpaceDE w:val="0"/>
        <w:autoSpaceDN w:val="0"/>
        <w:adjustRightInd w:val="0"/>
        <w:spacing w:line="360" w:lineRule="auto"/>
        <w:jc w:val="left"/>
        <w:rPr>
          <w:rFonts w:ascii="宋体" w:cs="宋体"/>
          <w:kern w:val="0"/>
          <w:sz w:val="24"/>
          <w:szCs w:val="24"/>
        </w:rPr>
      </w:pPr>
      <w:r>
        <w:rPr>
          <w:rFonts w:hint="eastAsia" w:cs="宋体"/>
          <w:b/>
          <w:bCs/>
          <w:sz w:val="24"/>
          <w:szCs w:val="24"/>
          <w:lang w:eastAsia="zh-CN"/>
        </w:rPr>
        <w:t>二、维修清单</w:t>
      </w:r>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2167"/>
        <w:gridCol w:w="927"/>
        <w:gridCol w:w="1300"/>
        <w:gridCol w:w="3102"/>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000" w:type="pct"/>
            <w:gridSpan w:val="6"/>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现代配件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499"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配件名称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67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46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玻璃水</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分动箱主轴</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差速器总成</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点火线圈</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6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bl>
    <w:p/>
    <w:tbl>
      <w:tblPr>
        <w:tblStyle w:val="45"/>
        <w:tblpPr w:leftFromText="180" w:rightFromText="180" w:vertAnchor="text" w:horzAnchor="page" w:tblpX="1489" w:tblpY="13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0"/>
        <w:gridCol w:w="2459"/>
        <w:gridCol w:w="921"/>
        <w:gridCol w:w="968"/>
        <w:gridCol w:w="3076"/>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别克配件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分动箱主轴</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6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50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65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50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变速箱油自动挡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bl>
    <w:p/>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1"/>
        <w:gridCol w:w="3077"/>
        <w:gridCol w:w="921"/>
        <w:gridCol w:w="969"/>
        <w:gridCol w:w="2461"/>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丰田配件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玻璃水</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分动箱轴</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差速器总成</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车速传感器</w:t>
            </w:r>
          </w:p>
        </w:tc>
        <w:tc>
          <w:tcPr>
            <w:tcW w:w="50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5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52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32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50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c>
          <w:tcPr>
            <w:tcW w:w="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r>
    </w:tbl>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1"/>
        <w:gridCol w:w="3077"/>
        <w:gridCol w:w="921"/>
        <w:gridCol w:w="966"/>
        <w:gridCol w:w="2461"/>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雪佛兰配件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分动箱轴</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差速器总成</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bl>
    <w:tbl>
      <w:tblPr>
        <w:tblStyle w:val="45"/>
        <w:tblpPr w:leftFromText="180" w:rightFromText="180" w:vertAnchor="text" w:horzAnchor="page" w:tblpX="1409" w:tblpY="22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3038"/>
        <w:gridCol w:w="916"/>
        <w:gridCol w:w="979"/>
        <w:gridCol w:w="2446"/>
        <w:gridCol w:w="9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5000" w:type="pct"/>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克莱斯勒配件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分动箱轴总成</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3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5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3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49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31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玻璃水</w:t>
            </w:r>
          </w:p>
        </w:tc>
        <w:tc>
          <w:tcPr>
            <w:tcW w:w="53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副</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
    <w:tbl>
      <w:tblPr>
        <w:tblStyle w:val="45"/>
        <w:tblpPr w:leftFromText="180" w:rightFromText="180" w:vertAnchor="text" w:horzAnchor="page" w:tblpX="1377" w:tblpY="27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3"/>
        <w:gridCol w:w="2392"/>
        <w:gridCol w:w="979"/>
        <w:gridCol w:w="992"/>
        <w:gridCol w:w="2862"/>
        <w:gridCol w:w="1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000" w:type="pct"/>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28"/>
                <w:szCs w:val="28"/>
                <w:u w:val="none"/>
                <w:lang w:val="en-US" w:eastAsia="zh-CN" w:bidi="ar"/>
              </w:rPr>
            </w:pPr>
            <w:r>
              <w:rPr>
                <w:rFonts w:ascii="宋体" w:hAnsi="宋体" w:eastAsia="宋体" w:cs="宋体"/>
                <w:b/>
                <w:bCs/>
                <w:i w:val="0"/>
                <w:iCs w:val="0"/>
                <w:color w:val="000000"/>
                <w:kern w:val="0"/>
                <w:sz w:val="28"/>
                <w:szCs w:val="28"/>
                <w:u w:val="none"/>
                <w:lang w:val="en-US" w:eastAsia="zh-CN" w:bidi="ar"/>
              </w:rPr>
              <w:t>江铃配件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序号</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配件名称</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序号</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配件名称</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正时惰轮</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18</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火花塞</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后减震器</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19</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防冻液</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后平衡杆</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20</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刹车油</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发动机下护板</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21</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变速箱油手挡</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分动箱主轴</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22</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电瓶</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手刹片</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23</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三元催化</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灯泡</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24</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玻璃水</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后羊角</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25</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前杠</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横拉杆内球头</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26</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前大灯</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前刹车片</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27</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前雾灯</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后刹车片</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28</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日行灯</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前刹车盘</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29</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轮毂</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后刹车盘</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30</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离合器总成</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后雨刷片</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1</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节气门</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变速箱总成</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2</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冷媒</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手刹拉线</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3</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倒车镜</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w:t>
            </w:r>
          </w:p>
        </w:tc>
        <w:tc>
          <w:tcPr>
            <w:tcW w:w="1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机油</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5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4</w:t>
            </w:r>
          </w:p>
        </w:tc>
        <w:tc>
          <w:tcPr>
            <w:tcW w:w="15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涡轮增压分配阀</w:t>
            </w:r>
          </w:p>
        </w:tc>
        <w:tc>
          <w:tcPr>
            <w:tcW w:w="5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bl>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2986"/>
        <w:gridCol w:w="903"/>
        <w:gridCol w:w="897"/>
        <w:gridCol w:w="2691"/>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000" w:type="pct"/>
            <w:gridSpan w:val="6"/>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广汽传祺配件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后护杠</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后雨刷电机</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电瓶（启停专用）</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方向拉杆（外）</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暖风水箱</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变速箱油封号大修包</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1"/>
        <w:gridCol w:w="2152"/>
        <w:gridCol w:w="921"/>
        <w:gridCol w:w="1736"/>
        <w:gridCol w:w="2461"/>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福特翼虎配件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分动箱轴</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后护杠</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暖风水箱</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变速箱主齿轮</w:t>
            </w:r>
          </w:p>
        </w:tc>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9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32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58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r>
    </w:tbl>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1"/>
        <w:gridCol w:w="2152"/>
        <w:gridCol w:w="921"/>
        <w:gridCol w:w="1736"/>
        <w:gridCol w:w="2461"/>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000" w:type="pct"/>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GL8配件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分动箱一轴</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3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5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93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32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58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后尾板</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三元催化第一节</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后护杠</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玻璃水</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差速器总成</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升</w:t>
            </w:r>
          </w:p>
        </w:tc>
        <w:tc>
          <w:tcPr>
            <w:tcW w:w="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r>
    </w:tbl>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1"/>
        <w:gridCol w:w="2151"/>
        <w:gridCol w:w="921"/>
        <w:gridCol w:w="1746"/>
        <w:gridCol w:w="2459"/>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5000" w:type="pct"/>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雪铁龙配件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后刹车分泵</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分动箱主轴</w:t>
            </w:r>
          </w:p>
        </w:tc>
        <w:tc>
          <w:tcPr>
            <w:tcW w:w="49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3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前刹车盘</w:t>
            </w:r>
          </w:p>
        </w:tc>
        <w:tc>
          <w:tcPr>
            <w:tcW w:w="5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49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94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32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后刹车盘</w:t>
            </w:r>
          </w:p>
        </w:tc>
        <w:tc>
          <w:tcPr>
            <w:tcW w:w="58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刹车总泵</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ABS总泵</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离合器总成</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后尾板</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倒车镜</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冷凝器</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暖风水箱</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油泵总成</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5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SA"/>
              </w:rPr>
              <w:t>个</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2192"/>
        <w:gridCol w:w="1857"/>
        <w:gridCol w:w="185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86" w:type="dxa"/>
            <w:gridSpan w:val="5"/>
            <w:tcBorders>
              <w:top w:val="nil"/>
              <w:left w:val="nil"/>
              <w:bottom w:val="single" w:color="auto" w:sz="4" w:space="0"/>
              <w:right w:val="nil"/>
            </w:tcBorders>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8"/>
                <w:szCs w:val="28"/>
                <w:vertAlign w:val="baseline"/>
                <w:lang w:val="en-US" w:eastAsia="zh-CN"/>
              </w:rPr>
              <w:t>车辆清单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tcBorders>
              <w:top w:val="single" w:color="auto" w:sz="4" w:space="0"/>
            </w:tcBorders>
            <w:vAlign w:val="center"/>
          </w:tcPr>
          <w:p>
            <w:pPr>
              <w:jc w:val="center"/>
              <w:rPr>
                <w:rFonts w:hint="eastAsia" w:ascii="宋体" w:hAnsi="宋体" w:eastAsia="宋体" w:cs="宋体"/>
                <w:b/>
                <w:kern w:val="2"/>
                <w:sz w:val="24"/>
                <w:szCs w:val="24"/>
                <w:vertAlign w:val="baseline"/>
                <w:lang w:val="en-US" w:eastAsia="zh-CN" w:bidi="ar-SA"/>
              </w:rPr>
            </w:pPr>
            <w:r>
              <w:rPr>
                <w:rFonts w:hint="eastAsia" w:ascii="宋体" w:hAnsi="宋体" w:eastAsia="宋体" w:cs="宋体"/>
                <w:b/>
                <w:sz w:val="24"/>
                <w:szCs w:val="24"/>
                <w:vertAlign w:val="baseline"/>
                <w:lang w:eastAsia="zh-CN"/>
              </w:rPr>
              <w:t>序号</w:t>
            </w:r>
          </w:p>
        </w:tc>
        <w:tc>
          <w:tcPr>
            <w:tcW w:w="2192" w:type="dxa"/>
            <w:tcBorders>
              <w:top w:val="single" w:color="auto" w:sz="4" w:space="0"/>
            </w:tcBorders>
            <w:vAlign w:val="center"/>
          </w:tcPr>
          <w:p>
            <w:pPr>
              <w:jc w:val="center"/>
              <w:rPr>
                <w:rFonts w:hint="eastAsia" w:ascii="宋体" w:hAnsi="宋体" w:eastAsia="宋体" w:cs="宋体"/>
                <w:b/>
                <w:kern w:val="2"/>
                <w:sz w:val="24"/>
                <w:szCs w:val="24"/>
                <w:vertAlign w:val="baseline"/>
                <w:lang w:val="en-US" w:eastAsia="zh-CN" w:bidi="ar-SA"/>
              </w:rPr>
            </w:pPr>
            <w:r>
              <w:rPr>
                <w:rFonts w:hint="eastAsia" w:ascii="宋体" w:hAnsi="宋体" w:eastAsia="宋体" w:cs="宋体"/>
                <w:b/>
                <w:sz w:val="24"/>
                <w:szCs w:val="24"/>
                <w:vertAlign w:val="baseline"/>
                <w:lang w:eastAsia="zh-CN"/>
              </w:rPr>
              <w:t>品牌型号</w:t>
            </w:r>
          </w:p>
        </w:tc>
        <w:tc>
          <w:tcPr>
            <w:tcW w:w="1857" w:type="dxa"/>
            <w:tcBorders>
              <w:top w:val="single" w:color="auto" w:sz="4" w:space="0"/>
            </w:tcBorders>
            <w:vAlign w:val="center"/>
          </w:tcPr>
          <w:p>
            <w:pPr>
              <w:jc w:val="center"/>
              <w:rPr>
                <w:rFonts w:hint="eastAsia" w:ascii="宋体" w:hAnsi="宋体" w:eastAsia="宋体" w:cs="宋体"/>
                <w:b/>
                <w:kern w:val="2"/>
                <w:sz w:val="24"/>
                <w:szCs w:val="24"/>
                <w:vertAlign w:val="baseline"/>
                <w:lang w:val="en-US" w:eastAsia="zh-CN" w:bidi="ar-SA"/>
              </w:rPr>
            </w:pPr>
            <w:r>
              <w:rPr>
                <w:rFonts w:hint="eastAsia" w:ascii="宋体" w:hAnsi="宋体" w:eastAsia="宋体" w:cs="宋体"/>
                <w:b/>
                <w:sz w:val="24"/>
                <w:szCs w:val="24"/>
                <w:vertAlign w:val="baseline"/>
                <w:lang w:eastAsia="zh-CN"/>
              </w:rPr>
              <w:t>排气量（</w:t>
            </w:r>
            <w:r>
              <w:rPr>
                <w:rFonts w:hint="eastAsia" w:ascii="宋体" w:hAnsi="宋体" w:eastAsia="宋体" w:cs="宋体"/>
                <w:b/>
                <w:sz w:val="24"/>
                <w:szCs w:val="24"/>
                <w:vertAlign w:val="baseline"/>
                <w:lang w:val="en-US" w:eastAsia="zh-CN"/>
              </w:rPr>
              <w:t>L</w:t>
            </w:r>
            <w:r>
              <w:rPr>
                <w:rFonts w:hint="eastAsia" w:ascii="宋体" w:hAnsi="宋体" w:eastAsia="宋体" w:cs="宋体"/>
                <w:b/>
                <w:sz w:val="24"/>
                <w:szCs w:val="24"/>
                <w:vertAlign w:val="baseline"/>
                <w:lang w:eastAsia="zh-CN"/>
              </w:rPr>
              <w:t>）</w:t>
            </w:r>
          </w:p>
        </w:tc>
        <w:tc>
          <w:tcPr>
            <w:tcW w:w="1857" w:type="dxa"/>
            <w:tcBorders>
              <w:top w:val="single" w:color="auto" w:sz="4" w:space="0"/>
            </w:tcBorders>
            <w:vAlign w:val="center"/>
          </w:tcPr>
          <w:p>
            <w:pPr>
              <w:jc w:val="center"/>
              <w:rPr>
                <w:rFonts w:hint="eastAsia" w:ascii="宋体" w:hAnsi="宋体" w:eastAsia="宋体" w:cs="宋体"/>
                <w:b/>
                <w:kern w:val="2"/>
                <w:sz w:val="24"/>
                <w:szCs w:val="24"/>
                <w:vertAlign w:val="baseline"/>
                <w:lang w:val="en-US" w:eastAsia="zh-CN" w:bidi="ar-SA"/>
              </w:rPr>
            </w:pPr>
            <w:r>
              <w:rPr>
                <w:rFonts w:hint="eastAsia" w:ascii="宋体" w:hAnsi="宋体" w:eastAsia="宋体" w:cs="宋体"/>
                <w:b/>
                <w:sz w:val="24"/>
                <w:szCs w:val="24"/>
                <w:vertAlign w:val="baseline"/>
                <w:lang w:eastAsia="zh-CN"/>
              </w:rPr>
              <w:t>车辆类型</w:t>
            </w:r>
          </w:p>
        </w:tc>
        <w:tc>
          <w:tcPr>
            <w:tcW w:w="1858" w:type="dxa"/>
            <w:tcBorders>
              <w:top w:val="single" w:color="auto" w:sz="4" w:space="0"/>
            </w:tcBorders>
            <w:vAlign w:val="center"/>
          </w:tcPr>
          <w:p>
            <w:pPr>
              <w:jc w:val="center"/>
              <w:rPr>
                <w:rFonts w:hint="eastAsia" w:ascii="宋体" w:hAnsi="宋体" w:eastAsia="宋体" w:cs="宋体"/>
                <w:b/>
                <w:kern w:val="2"/>
                <w:sz w:val="24"/>
                <w:szCs w:val="24"/>
                <w:vertAlign w:val="baseline"/>
                <w:lang w:val="en-US" w:eastAsia="zh-CN" w:bidi="ar-SA"/>
              </w:rPr>
            </w:pPr>
            <w:r>
              <w:rPr>
                <w:rFonts w:hint="eastAsia" w:ascii="宋体" w:hAnsi="宋体" w:eastAsia="宋体" w:cs="宋体"/>
                <w:b/>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1</w:t>
            </w:r>
          </w:p>
        </w:tc>
        <w:tc>
          <w:tcPr>
            <w:tcW w:w="2192"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现代</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2.0L</w:t>
            </w:r>
          </w:p>
        </w:tc>
        <w:tc>
          <w:tcPr>
            <w:tcW w:w="1857"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轿车</w:t>
            </w:r>
          </w:p>
        </w:tc>
        <w:tc>
          <w:tcPr>
            <w:tcW w:w="1858"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大捷龙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2</w:t>
            </w:r>
          </w:p>
        </w:tc>
        <w:tc>
          <w:tcPr>
            <w:tcW w:w="2192"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别克</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2.5L</w:t>
            </w:r>
          </w:p>
        </w:tc>
        <w:tc>
          <w:tcPr>
            <w:tcW w:w="1857" w:type="dxa"/>
            <w:vAlign w:val="center"/>
          </w:tcPr>
          <w:p>
            <w:pPr>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轿车</w:t>
            </w:r>
          </w:p>
        </w:tc>
        <w:tc>
          <w:tcPr>
            <w:tcW w:w="1858"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3</w:t>
            </w:r>
          </w:p>
        </w:tc>
        <w:tc>
          <w:tcPr>
            <w:tcW w:w="2192"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克莱斯勒</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3.3L</w:t>
            </w:r>
          </w:p>
        </w:tc>
        <w:tc>
          <w:tcPr>
            <w:tcW w:w="1857" w:type="dxa"/>
            <w:vAlign w:val="center"/>
          </w:tcPr>
          <w:p>
            <w:pPr>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轿车</w:t>
            </w:r>
          </w:p>
        </w:tc>
        <w:tc>
          <w:tcPr>
            <w:tcW w:w="1858" w:type="dxa"/>
            <w:vAlign w:val="center"/>
          </w:tcPr>
          <w:p>
            <w:pPr>
              <w:jc w:val="center"/>
              <w:rPr>
                <w:rFonts w:hint="eastAsia" w:ascii="宋体" w:hAnsi="宋体" w:eastAsia="宋体" w:cs="宋体"/>
                <w:b/>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4</w:t>
            </w:r>
          </w:p>
        </w:tc>
        <w:tc>
          <w:tcPr>
            <w:tcW w:w="2192"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丰田</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3.5L</w:t>
            </w:r>
          </w:p>
        </w:tc>
        <w:tc>
          <w:tcPr>
            <w:tcW w:w="1857" w:type="dxa"/>
            <w:vAlign w:val="center"/>
          </w:tcPr>
          <w:p>
            <w:pPr>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轿车</w:t>
            </w:r>
          </w:p>
        </w:tc>
        <w:tc>
          <w:tcPr>
            <w:tcW w:w="1858"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汉兰达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5</w:t>
            </w:r>
          </w:p>
        </w:tc>
        <w:tc>
          <w:tcPr>
            <w:tcW w:w="2192"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雪佛兰</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1.8L</w:t>
            </w:r>
          </w:p>
        </w:tc>
        <w:tc>
          <w:tcPr>
            <w:tcW w:w="1857" w:type="dxa"/>
            <w:vAlign w:val="center"/>
          </w:tcPr>
          <w:p>
            <w:pPr>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轿车</w:t>
            </w:r>
          </w:p>
        </w:tc>
        <w:tc>
          <w:tcPr>
            <w:tcW w:w="1858"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景程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6</w:t>
            </w:r>
          </w:p>
        </w:tc>
        <w:tc>
          <w:tcPr>
            <w:tcW w:w="2192"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福特</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2.0T/1.6L</w:t>
            </w:r>
          </w:p>
        </w:tc>
        <w:tc>
          <w:tcPr>
            <w:tcW w:w="1857" w:type="dxa"/>
            <w:vAlign w:val="center"/>
          </w:tcPr>
          <w:p>
            <w:pPr>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轿车</w:t>
            </w:r>
          </w:p>
        </w:tc>
        <w:tc>
          <w:tcPr>
            <w:tcW w:w="1858"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翼虎/福克斯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eastAsia"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7</w:t>
            </w:r>
          </w:p>
        </w:tc>
        <w:tc>
          <w:tcPr>
            <w:tcW w:w="2192"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江铃</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2.4T</w:t>
            </w:r>
          </w:p>
        </w:tc>
        <w:tc>
          <w:tcPr>
            <w:tcW w:w="1857" w:type="dxa"/>
            <w:vAlign w:val="center"/>
          </w:tcPr>
          <w:p>
            <w:pPr>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中型客车</w:t>
            </w:r>
          </w:p>
        </w:tc>
        <w:tc>
          <w:tcPr>
            <w:tcW w:w="1858"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11座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8</w:t>
            </w:r>
          </w:p>
        </w:tc>
        <w:tc>
          <w:tcPr>
            <w:tcW w:w="2192"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广汽传祺</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1.5T</w:t>
            </w:r>
          </w:p>
        </w:tc>
        <w:tc>
          <w:tcPr>
            <w:tcW w:w="1857" w:type="dxa"/>
            <w:vAlign w:val="center"/>
          </w:tcPr>
          <w:p>
            <w:pPr>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轿车</w:t>
            </w:r>
          </w:p>
        </w:tc>
        <w:tc>
          <w:tcPr>
            <w:tcW w:w="1858"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GS6/GM6/GA6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9</w:t>
            </w:r>
          </w:p>
        </w:tc>
        <w:tc>
          <w:tcPr>
            <w:tcW w:w="2192"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别克</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2.4L</w:t>
            </w:r>
          </w:p>
        </w:tc>
        <w:tc>
          <w:tcPr>
            <w:tcW w:w="1857" w:type="dxa"/>
            <w:vAlign w:val="center"/>
          </w:tcPr>
          <w:p>
            <w:pPr>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轿车</w:t>
            </w:r>
          </w:p>
        </w:tc>
        <w:tc>
          <w:tcPr>
            <w:tcW w:w="1858"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GL8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22"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10</w:t>
            </w:r>
          </w:p>
        </w:tc>
        <w:tc>
          <w:tcPr>
            <w:tcW w:w="2192"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雪铁龙</w:t>
            </w:r>
          </w:p>
        </w:tc>
        <w:tc>
          <w:tcPr>
            <w:tcW w:w="1857" w:type="dxa"/>
            <w:vAlign w:val="center"/>
          </w:tcPr>
          <w:p>
            <w:pPr>
              <w:jc w:val="center"/>
              <w:rPr>
                <w:rFonts w:hint="default" w:ascii="宋体" w:hAnsi="宋体" w:eastAsia="宋体" w:cs="宋体"/>
                <w:b/>
                <w:sz w:val="24"/>
                <w:szCs w:val="24"/>
                <w:vertAlign w:val="baseline"/>
                <w:lang w:val="en-US" w:eastAsia="zh-CN"/>
              </w:rPr>
            </w:pPr>
            <w:r>
              <w:rPr>
                <w:rFonts w:hint="eastAsia" w:ascii="宋体" w:hAnsi="宋体" w:eastAsia="宋体" w:cs="宋体"/>
                <w:b/>
                <w:sz w:val="24"/>
                <w:szCs w:val="24"/>
                <w:vertAlign w:val="baseline"/>
                <w:lang w:val="en-US" w:eastAsia="zh-CN"/>
              </w:rPr>
              <w:t>1.6L</w:t>
            </w:r>
          </w:p>
        </w:tc>
        <w:tc>
          <w:tcPr>
            <w:tcW w:w="1857" w:type="dxa"/>
            <w:vAlign w:val="center"/>
          </w:tcPr>
          <w:p>
            <w:pPr>
              <w:jc w:val="center"/>
              <w:rPr>
                <w:rFonts w:hint="eastAsia" w:ascii="宋体" w:hAnsi="宋体" w:eastAsia="宋体" w:cs="宋体"/>
                <w:b/>
                <w:sz w:val="24"/>
                <w:szCs w:val="24"/>
                <w:vertAlign w:val="baseline"/>
              </w:rPr>
            </w:pPr>
            <w:r>
              <w:rPr>
                <w:rFonts w:hint="eastAsia" w:ascii="宋体" w:hAnsi="宋体" w:eastAsia="宋体" w:cs="宋体"/>
                <w:b/>
                <w:sz w:val="24"/>
                <w:szCs w:val="24"/>
                <w:vertAlign w:val="baseline"/>
                <w:lang w:eastAsia="zh-CN"/>
              </w:rPr>
              <w:t>轿车</w:t>
            </w:r>
          </w:p>
        </w:tc>
        <w:tc>
          <w:tcPr>
            <w:tcW w:w="1858" w:type="dxa"/>
            <w:vAlign w:val="center"/>
          </w:tcPr>
          <w:p>
            <w:pPr>
              <w:jc w:val="center"/>
              <w:rPr>
                <w:rFonts w:hint="eastAsia" w:ascii="宋体" w:hAnsi="宋体" w:eastAsia="宋体" w:cs="宋体"/>
                <w:b/>
                <w:sz w:val="24"/>
                <w:szCs w:val="24"/>
                <w:vertAlign w:val="baseline"/>
                <w:lang w:eastAsia="zh-CN"/>
              </w:rPr>
            </w:pPr>
            <w:r>
              <w:rPr>
                <w:rFonts w:hint="eastAsia" w:ascii="宋体" w:hAnsi="宋体" w:eastAsia="宋体" w:cs="宋体"/>
                <w:b/>
                <w:sz w:val="24"/>
                <w:szCs w:val="24"/>
                <w:vertAlign w:val="baseline"/>
                <w:lang w:eastAsia="zh-CN"/>
              </w:rPr>
              <w:t>世嘉</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p>
      <w:pPr>
        <w:jc w:val="center"/>
        <w:rPr>
          <w:rFonts w:ascii="宋体" w:hAnsi="宋体" w:eastAsia="宋体" w:cs="宋体"/>
          <w:b/>
          <w:sz w:val="24"/>
          <w:szCs w:val="24"/>
        </w:rPr>
      </w:pPr>
      <w:r>
        <w:rPr>
          <w:rFonts w:hint="eastAsia" w:ascii="宋体" w:hAnsi="宋体" w:eastAsia="宋体" w:cs="宋体"/>
          <w:b/>
          <w:sz w:val="24"/>
          <w:szCs w:val="24"/>
        </w:rPr>
        <w:t>第五章 竞争性磋商响应文件格式</w:t>
      </w:r>
    </w:p>
    <w:p>
      <w:pPr>
        <w:rPr>
          <w:rFonts w:ascii="宋体" w:hAnsi="Calibri" w:eastAsia="宋体" w:cs="宋体"/>
          <w:b/>
          <w:sz w:val="24"/>
          <w:szCs w:val="24"/>
        </w:rPr>
      </w:pPr>
    </w:p>
    <w:p>
      <w:pPr>
        <w:rPr>
          <w:rFonts w:ascii="宋体" w:hAnsi="Calibri" w:eastAsia="宋体" w:cs="宋体"/>
          <w:b/>
          <w:sz w:val="24"/>
          <w:szCs w:val="24"/>
        </w:rPr>
      </w:pPr>
    </w:p>
    <w:p>
      <w:pPr>
        <w:rPr>
          <w:rFonts w:ascii="宋体" w:hAnsi="Calibri" w:eastAsia="宋体" w:cs="宋体"/>
          <w:sz w:val="24"/>
          <w:szCs w:val="24"/>
          <w:u w:val="single"/>
        </w:rPr>
      </w:pPr>
      <w:r>
        <w:rPr>
          <w:rFonts w:hint="eastAsia" w:ascii="宋体" w:hAnsi="宋体" w:eastAsia="宋体" w:cs="宋体"/>
          <w:sz w:val="24"/>
          <w:szCs w:val="24"/>
          <w:u w:val="single"/>
        </w:rPr>
        <w:t>竞争性磋商响应文件封面示例</w:t>
      </w:r>
    </w:p>
    <w:p>
      <w:pPr>
        <w:spacing w:line="720" w:lineRule="auto"/>
        <w:ind w:right="315"/>
        <w:jc w:val="right"/>
        <w:rPr>
          <w:rFonts w:ascii="宋体" w:hAnsi="Calibri" w:eastAsia="宋体" w:cs="宋体"/>
          <w:b/>
          <w:sz w:val="24"/>
          <w:szCs w:val="24"/>
          <w:bdr w:val="single" w:color="auto" w:sz="4" w:space="0"/>
        </w:rPr>
      </w:pPr>
      <w:r>
        <w:rPr>
          <w:rFonts w:hint="eastAsia" w:ascii="宋体" w:hAnsi="宋体" w:eastAsia="宋体" w:cs="宋体"/>
          <w:b/>
          <w:sz w:val="24"/>
          <w:szCs w:val="24"/>
          <w:bdr w:val="single" w:color="auto" w:sz="4" w:space="0"/>
        </w:rPr>
        <w:t>正本</w:t>
      </w:r>
    </w:p>
    <w:p>
      <w:pPr>
        <w:autoSpaceDE w:val="0"/>
        <w:autoSpaceDN w:val="0"/>
        <w:adjustRightInd w:val="0"/>
        <w:spacing w:line="360" w:lineRule="auto"/>
        <w:jc w:val="center"/>
        <w:rPr>
          <w:rFonts w:cs="宋体" w:asciiTheme="minorEastAsia" w:hAnsiTheme="minorEastAsia"/>
          <w:kern w:val="0"/>
          <w:sz w:val="32"/>
          <w:szCs w:val="32"/>
          <w:u w:val="single"/>
        </w:rPr>
      </w:pPr>
      <w:r>
        <w:rPr>
          <w:rFonts w:hint="eastAsia" w:cs="宋体" w:asciiTheme="minorEastAsia" w:hAnsiTheme="minorEastAsia"/>
          <w:kern w:val="0"/>
          <w:sz w:val="32"/>
          <w:szCs w:val="32"/>
          <w:u w:val="single"/>
        </w:rPr>
        <w:t>项目名称：</w:t>
      </w:r>
    </w:p>
    <w:p>
      <w:pPr>
        <w:autoSpaceDE w:val="0"/>
        <w:autoSpaceDN w:val="0"/>
        <w:adjustRightInd w:val="0"/>
        <w:spacing w:line="360" w:lineRule="auto"/>
        <w:jc w:val="center"/>
        <w:rPr>
          <w:rFonts w:cs="宋体" w:asciiTheme="minorEastAsia" w:hAnsiTheme="minorEastAsia"/>
          <w:kern w:val="0"/>
          <w:sz w:val="24"/>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cs="宋体" w:asciiTheme="minorEastAsia" w:hAnsiTheme="minorEastAsia"/>
          <w:kern w:val="0"/>
          <w:sz w:val="32"/>
          <w:szCs w:val="32"/>
        </w:rPr>
      </w:pPr>
      <w:r>
        <w:rPr>
          <w:rFonts w:hint="eastAsia" w:cs="宋体" w:asciiTheme="minorEastAsia" w:hAnsiTheme="minorEastAsia"/>
          <w:kern w:val="0"/>
          <w:sz w:val="32"/>
          <w:szCs w:val="32"/>
        </w:rPr>
        <w:t>竞争性磋商响应文件</w:t>
      </w:r>
    </w:p>
    <w:p>
      <w:pPr>
        <w:autoSpaceDE w:val="0"/>
        <w:autoSpaceDN w:val="0"/>
        <w:adjustRightInd w:val="0"/>
        <w:spacing w:line="360" w:lineRule="auto"/>
        <w:jc w:val="center"/>
        <w:rPr>
          <w:rFonts w:cs="宋体" w:asciiTheme="minorEastAsia" w:hAnsiTheme="minorEastAsia"/>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center"/>
        <w:rPr>
          <w:rFonts w:ascii="宋体" w:cs="宋体"/>
          <w:kern w:val="0"/>
          <w:sz w:val="32"/>
          <w:szCs w:val="32"/>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项目编号：</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采购人：</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供应商：</w:t>
      </w:r>
      <w:r>
        <w:rPr>
          <w:rFonts w:ascii="宋体" w:hAnsi="宋体" w:cs="宋体"/>
          <w:kern w:val="0"/>
          <w:sz w:val="24"/>
          <w:szCs w:val="24"/>
          <w:u w:val="single"/>
        </w:rPr>
        <w:t xml:space="preserve"> </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单位地址：</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联系人及联系电话：</w:t>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tabs>
          <w:tab w:val="center" w:pos="4832"/>
          <w:tab w:val="left" w:pos="7140"/>
        </w:tabs>
        <w:jc w:val="center"/>
        <w:outlineLvl w:val="1"/>
        <w:rPr>
          <w:rFonts w:ascii="宋体" w:hAnsi="宋体" w:eastAsia="宋体" w:cs="宋体"/>
          <w:b/>
          <w:sz w:val="24"/>
          <w:szCs w:val="24"/>
        </w:rPr>
      </w:pPr>
      <w:r>
        <w:rPr>
          <w:rFonts w:ascii="宋体" w:hAnsi="Calibri" w:eastAsia="宋体" w:cs="宋体"/>
          <w:b/>
          <w:sz w:val="24"/>
          <w:szCs w:val="24"/>
        </w:rPr>
        <w:br w:type="page"/>
      </w:r>
      <w:bookmarkStart w:id="69" w:name="_Toc32190"/>
      <w:r>
        <w:rPr>
          <w:rFonts w:hint="eastAsia" w:ascii="宋体" w:hAnsi="宋体" w:eastAsia="宋体" w:cs="宋体"/>
          <w:b/>
          <w:sz w:val="24"/>
          <w:szCs w:val="24"/>
        </w:rPr>
        <w:t>目录</w:t>
      </w:r>
      <w:bookmarkEnd w:id="69"/>
    </w:p>
    <w:p>
      <w:pPr>
        <w:spacing w:line="360" w:lineRule="auto"/>
        <w:ind w:firstLine="480" w:firstLineChars="200"/>
        <w:rPr>
          <w:rFonts w:ascii="宋体" w:hAnsi="宋体"/>
          <w:sz w:val="24"/>
          <w:szCs w:val="24"/>
        </w:rPr>
      </w:pPr>
      <w:r>
        <w:rPr>
          <w:rFonts w:hint="eastAsia" w:ascii="宋体" w:hAnsi="宋体"/>
          <w:sz w:val="24"/>
          <w:szCs w:val="24"/>
        </w:rPr>
        <w:t>（1）、投标函</w:t>
      </w:r>
    </w:p>
    <w:p>
      <w:pPr>
        <w:spacing w:line="360" w:lineRule="auto"/>
        <w:rPr>
          <w:rFonts w:ascii="宋体" w:hAnsi="宋体"/>
          <w:sz w:val="24"/>
          <w:szCs w:val="24"/>
        </w:rPr>
      </w:pPr>
      <w:r>
        <w:rPr>
          <w:rFonts w:hint="eastAsia" w:ascii="宋体" w:hAnsi="宋体"/>
          <w:sz w:val="24"/>
          <w:szCs w:val="24"/>
        </w:rPr>
        <w:t xml:space="preserve">    （2）、开标一览表</w:t>
      </w:r>
    </w:p>
    <w:p>
      <w:pPr>
        <w:spacing w:line="360" w:lineRule="auto"/>
        <w:rPr>
          <w:rFonts w:ascii="宋体" w:hAnsi="宋体"/>
          <w:sz w:val="24"/>
          <w:szCs w:val="24"/>
        </w:rPr>
      </w:pPr>
      <w:r>
        <w:rPr>
          <w:rFonts w:hint="eastAsia" w:ascii="宋体" w:hAnsi="宋体"/>
          <w:sz w:val="24"/>
          <w:szCs w:val="24"/>
        </w:rPr>
        <w:t xml:space="preserve">    （3）、技术条款偏离表</w:t>
      </w:r>
    </w:p>
    <w:p>
      <w:pPr>
        <w:spacing w:line="360" w:lineRule="auto"/>
        <w:rPr>
          <w:rFonts w:ascii="宋体" w:hAnsi="宋体"/>
          <w:sz w:val="24"/>
          <w:szCs w:val="24"/>
        </w:rPr>
      </w:pPr>
      <w:r>
        <w:rPr>
          <w:rFonts w:hint="eastAsia" w:ascii="宋体" w:hAnsi="宋体"/>
          <w:sz w:val="24"/>
          <w:szCs w:val="24"/>
        </w:rPr>
        <w:t xml:space="preserve">    （4）、商务条款偏离表</w:t>
      </w:r>
    </w:p>
    <w:p>
      <w:pPr>
        <w:spacing w:line="360" w:lineRule="auto"/>
        <w:rPr>
          <w:rFonts w:ascii="宋体" w:hAnsi="宋体"/>
          <w:sz w:val="24"/>
          <w:szCs w:val="24"/>
        </w:rPr>
      </w:pPr>
      <w:r>
        <w:rPr>
          <w:rFonts w:hint="eastAsia" w:ascii="宋体" w:hAnsi="宋体"/>
          <w:sz w:val="24"/>
          <w:szCs w:val="24"/>
        </w:rPr>
        <w:t xml:space="preserve">    （5）、法定代表人身份证明书</w:t>
      </w:r>
    </w:p>
    <w:p>
      <w:pPr>
        <w:spacing w:line="360" w:lineRule="auto"/>
        <w:rPr>
          <w:rFonts w:ascii="宋体" w:hAnsi="宋体"/>
          <w:sz w:val="24"/>
          <w:szCs w:val="24"/>
        </w:rPr>
      </w:pPr>
      <w:r>
        <w:rPr>
          <w:rFonts w:hint="eastAsia" w:ascii="宋体" w:hAnsi="宋体"/>
          <w:sz w:val="24"/>
          <w:szCs w:val="24"/>
        </w:rPr>
        <w:t xml:space="preserve">    （6）、法定代表人授权委托书</w:t>
      </w:r>
    </w:p>
    <w:p>
      <w:pPr>
        <w:spacing w:line="360" w:lineRule="auto"/>
        <w:ind w:firstLine="480"/>
        <w:rPr>
          <w:rFonts w:ascii="宋体" w:hAnsi="宋体"/>
          <w:sz w:val="24"/>
          <w:szCs w:val="24"/>
        </w:rPr>
      </w:pPr>
      <w:r>
        <w:rPr>
          <w:rFonts w:hint="eastAsia" w:ascii="宋体" w:hAnsi="宋体"/>
          <w:sz w:val="24"/>
          <w:szCs w:val="24"/>
        </w:rPr>
        <w:t>（7）、投标供应商资格证明文件</w:t>
      </w:r>
    </w:p>
    <w:p>
      <w:pPr>
        <w:spacing w:line="360" w:lineRule="auto"/>
        <w:ind w:firstLine="480"/>
        <w:rPr>
          <w:rFonts w:ascii="宋体" w:hAnsi="宋体"/>
          <w:sz w:val="24"/>
          <w:szCs w:val="24"/>
        </w:rPr>
      </w:pPr>
      <w:r>
        <w:rPr>
          <w:rFonts w:hint="eastAsia" w:ascii="宋体" w:hAnsi="宋体"/>
          <w:sz w:val="24"/>
          <w:szCs w:val="24"/>
        </w:rPr>
        <w:t>（8）、</w:t>
      </w:r>
      <w:r>
        <w:rPr>
          <w:rFonts w:hint="eastAsia" w:ascii="宋体" w:hAnsi="宋体"/>
          <w:sz w:val="24"/>
          <w:szCs w:val="24"/>
          <w:lang w:eastAsia="zh-CN"/>
        </w:rPr>
        <w:t>供应商</w:t>
      </w:r>
      <w:r>
        <w:rPr>
          <w:rFonts w:hint="eastAsia" w:ascii="宋体" w:hAnsi="宋体"/>
          <w:sz w:val="24"/>
          <w:szCs w:val="24"/>
        </w:rPr>
        <w:t>近年类似项目情况表</w:t>
      </w:r>
    </w:p>
    <w:p>
      <w:pPr>
        <w:spacing w:line="360" w:lineRule="auto"/>
        <w:ind w:firstLine="480"/>
        <w:rPr>
          <w:rFonts w:ascii="宋体" w:hAnsi="宋体"/>
          <w:sz w:val="24"/>
          <w:szCs w:val="24"/>
        </w:rPr>
      </w:pPr>
      <w:r>
        <w:rPr>
          <w:rFonts w:hint="eastAsia" w:ascii="宋体" w:hAnsi="宋体"/>
          <w:sz w:val="24"/>
          <w:szCs w:val="24"/>
        </w:rPr>
        <w:t>（9）、</w:t>
      </w:r>
      <w:r>
        <w:rPr>
          <w:rFonts w:hint="eastAsia" w:ascii="宋体" w:hAnsi="宋体"/>
          <w:sz w:val="24"/>
          <w:szCs w:val="24"/>
          <w:lang w:eastAsia="zh-CN"/>
        </w:rPr>
        <w:t>维修硬件设施</w:t>
      </w:r>
    </w:p>
    <w:p>
      <w:pPr>
        <w:spacing w:line="360" w:lineRule="auto"/>
        <w:ind w:firstLine="480"/>
        <w:rPr>
          <w:rFonts w:hint="eastAsia" w:ascii="宋体" w:hAnsi="宋体"/>
          <w:sz w:val="24"/>
          <w:szCs w:val="24"/>
        </w:rPr>
      </w:pPr>
      <w:r>
        <w:rPr>
          <w:rFonts w:hint="eastAsia" w:ascii="宋体" w:hAnsi="宋体"/>
          <w:sz w:val="24"/>
          <w:szCs w:val="24"/>
        </w:rPr>
        <w:t>（10）、拟投入本项目专业技术人员</w:t>
      </w:r>
    </w:p>
    <w:p>
      <w:pPr>
        <w:spacing w:line="360" w:lineRule="auto"/>
        <w:ind w:firstLine="480"/>
        <w:rPr>
          <w:rFonts w:hint="eastAsia" w:ascii="宋体" w:hAnsi="宋体" w:cs="Arial" w:eastAsiaTheme="minorEastAsia"/>
          <w:kern w:val="0"/>
          <w:sz w:val="24"/>
          <w:szCs w:val="24"/>
          <w:lang w:eastAsia="zh-CN"/>
        </w:rPr>
      </w:pPr>
      <w:r>
        <w:rPr>
          <w:rFonts w:hint="eastAsia" w:ascii="宋体" w:hAnsi="宋体"/>
          <w:sz w:val="24"/>
          <w:szCs w:val="24"/>
        </w:rPr>
        <w:t>（11）、</w:t>
      </w:r>
      <w:r>
        <w:rPr>
          <w:rFonts w:hint="eastAsia" w:ascii="宋体" w:hAnsi="宋体"/>
          <w:sz w:val="24"/>
          <w:szCs w:val="24"/>
          <w:lang w:eastAsia="zh-CN"/>
        </w:rPr>
        <w:t>维修服务方案</w:t>
      </w:r>
    </w:p>
    <w:p>
      <w:pPr>
        <w:spacing w:line="360" w:lineRule="auto"/>
        <w:ind w:firstLine="480"/>
        <w:rPr>
          <w:rFonts w:hint="eastAsia" w:ascii="宋体" w:hAnsi="宋体" w:eastAsiaTheme="minorEastAsia"/>
          <w:sz w:val="24"/>
          <w:szCs w:val="24"/>
          <w:lang w:eastAsia="zh-CN"/>
        </w:rPr>
      </w:pPr>
      <w:r>
        <w:rPr>
          <w:rFonts w:hint="eastAsia" w:ascii="宋体" w:hAnsi="宋体"/>
          <w:sz w:val="24"/>
          <w:szCs w:val="24"/>
        </w:rPr>
        <w:t>（12）、</w:t>
      </w:r>
      <w:r>
        <w:rPr>
          <w:rFonts w:hint="eastAsia" w:ascii="宋体" w:hAnsi="宋体"/>
          <w:sz w:val="24"/>
          <w:szCs w:val="24"/>
          <w:lang w:eastAsia="zh-CN"/>
        </w:rPr>
        <w:t>售后服务承诺书</w:t>
      </w:r>
    </w:p>
    <w:p>
      <w:pPr>
        <w:spacing w:line="360" w:lineRule="auto"/>
        <w:ind w:firstLine="480"/>
        <w:rPr>
          <w:rFonts w:hint="eastAsia" w:ascii="宋体" w:hAnsi="宋体" w:cs="Arial"/>
          <w:kern w:val="0"/>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w:t>
      </w:r>
      <w:r>
        <w:rPr>
          <w:rFonts w:hint="eastAsia" w:ascii="宋体" w:hAnsi="宋体" w:cs="Arial"/>
          <w:kern w:val="0"/>
          <w:sz w:val="24"/>
          <w:szCs w:val="24"/>
        </w:rPr>
        <w:t>反商业贿赂书</w:t>
      </w:r>
    </w:p>
    <w:p>
      <w:pPr>
        <w:spacing w:line="360" w:lineRule="auto"/>
        <w:ind w:firstLine="480"/>
        <w:rPr>
          <w:rFonts w:ascii="宋体" w:hAnsi="宋体"/>
          <w:sz w:val="24"/>
          <w:szCs w:val="24"/>
        </w:rPr>
      </w:pPr>
      <w:r>
        <w:rPr>
          <w:rFonts w:hint="eastAsia" w:ascii="宋体" w:hAnsi="宋体" w:cs="Arial"/>
          <w:kern w:val="0"/>
          <w:sz w:val="24"/>
          <w:szCs w:val="24"/>
        </w:rPr>
        <w:t>（1</w:t>
      </w:r>
      <w:r>
        <w:rPr>
          <w:rFonts w:hint="eastAsia" w:ascii="宋体" w:hAnsi="宋体" w:cs="Arial"/>
          <w:kern w:val="0"/>
          <w:sz w:val="24"/>
          <w:szCs w:val="24"/>
          <w:lang w:val="en-US" w:eastAsia="zh-CN"/>
        </w:rPr>
        <w:t>4</w:t>
      </w:r>
      <w:r>
        <w:rPr>
          <w:rFonts w:hint="eastAsia" w:ascii="宋体" w:hAnsi="宋体" w:cs="Arial"/>
          <w:kern w:val="0"/>
          <w:sz w:val="24"/>
          <w:szCs w:val="24"/>
        </w:rPr>
        <w:t>）、投标保证金证明材料</w:t>
      </w:r>
    </w:p>
    <w:p>
      <w:pPr>
        <w:ind w:firstLine="480" w:firstLineChars="200"/>
        <w:rPr>
          <w:rFonts w:ascii="Calibri" w:hAnsi="Calibri"/>
          <w:szCs w:val="21"/>
        </w:rPr>
      </w:pPr>
      <w:r>
        <w:rPr>
          <w:rFonts w:hint="eastAsia" w:ascii="宋体" w:hAnsi="宋体"/>
          <w:sz w:val="24"/>
          <w:szCs w:val="24"/>
          <w:shd w:val="clear" w:color="auto" w:fill="FFFFFF"/>
        </w:rPr>
        <w:t>（1</w:t>
      </w:r>
      <w:r>
        <w:rPr>
          <w:rFonts w:hint="eastAsia" w:ascii="宋体" w:hAnsi="宋体"/>
          <w:sz w:val="24"/>
          <w:szCs w:val="24"/>
          <w:shd w:val="clear" w:color="auto" w:fill="FFFFFF"/>
          <w:lang w:val="en-US" w:eastAsia="zh-CN"/>
        </w:rPr>
        <w:t>5</w:t>
      </w:r>
      <w:r>
        <w:rPr>
          <w:rFonts w:hint="eastAsia" w:ascii="宋体" w:hAnsi="宋体"/>
          <w:sz w:val="24"/>
          <w:szCs w:val="24"/>
          <w:shd w:val="clear" w:color="auto" w:fill="FFFFFF"/>
        </w:rPr>
        <w:t>）、其他需要提交的资料</w:t>
      </w:r>
    </w:p>
    <w:p>
      <w:pPr>
        <w:shd w:val="clear" w:color="auto" w:fill="FFFFFF"/>
        <w:snapToGrid w:val="0"/>
        <w:spacing w:line="360" w:lineRule="auto"/>
        <w:rPr>
          <w:rFonts w:hint="eastAsia" w:ascii="宋体" w:hAnsi="宋体"/>
          <w:sz w:val="24"/>
          <w:szCs w:val="24"/>
        </w:rPr>
      </w:pPr>
    </w:p>
    <w:p>
      <w:pPr>
        <w:shd w:val="clear" w:color="auto" w:fill="FFFFFF"/>
        <w:snapToGrid w:val="0"/>
        <w:spacing w:line="360" w:lineRule="auto"/>
        <w:rPr>
          <w:rFonts w:ascii="宋体"/>
          <w:sz w:val="24"/>
          <w:szCs w:val="24"/>
        </w:rPr>
      </w:pPr>
      <w:r>
        <w:rPr>
          <w:rFonts w:hint="eastAsia" w:ascii="宋体" w:hAnsi="宋体"/>
          <w:sz w:val="24"/>
          <w:szCs w:val="24"/>
        </w:rPr>
        <w:t>注：为了便于查找，请按上述顺序编制投标文件内容。</w:t>
      </w:r>
    </w:p>
    <w:p>
      <w:pPr>
        <w:tabs>
          <w:tab w:val="center" w:pos="4832"/>
          <w:tab w:val="left" w:pos="7140"/>
        </w:tabs>
        <w:spacing w:line="360" w:lineRule="auto"/>
        <w:jc w:val="center"/>
        <w:outlineLvl w:val="1"/>
        <w:rPr>
          <w:rFonts w:ascii="宋体" w:hAnsi="宋体" w:eastAsia="宋体" w:cs="宋体"/>
          <w:b/>
          <w:sz w:val="24"/>
          <w:szCs w:val="24"/>
        </w:rPr>
      </w:pPr>
      <w:r>
        <w:rPr>
          <w:rFonts w:ascii="宋体" w:cs="宋体"/>
          <w:bCs/>
          <w:sz w:val="24"/>
          <w:szCs w:val="24"/>
        </w:rPr>
        <w:br w:type="page"/>
      </w:r>
      <w:bookmarkStart w:id="70" w:name="_Toc30591"/>
      <w:bookmarkStart w:id="71" w:name="_Toc78916569"/>
      <w:r>
        <w:rPr>
          <w:rFonts w:hint="eastAsia" w:ascii="宋体" w:hAnsi="宋体" w:eastAsia="宋体" w:cs="宋体"/>
          <w:b/>
          <w:sz w:val="24"/>
          <w:szCs w:val="24"/>
        </w:rPr>
        <w:t>一、投标函</w:t>
      </w:r>
      <w:bookmarkEnd w:id="70"/>
      <w:bookmarkEnd w:id="71"/>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（采购人名称）</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根据贵方为</w:t>
      </w:r>
      <w:r>
        <w:rPr>
          <w:rFonts w:hint="eastAsia" w:ascii="宋体" w:hAnsi="宋体" w:cs="宋体"/>
          <w:kern w:val="0"/>
          <w:sz w:val="24"/>
          <w:szCs w:val="24"/>
          <w:u w:val="single"/>
        </w:rPr>
        <w:t>（项目名称）</w:t>
      </w:r>
      <w:r>
        <w:rPr>
          <w:rFonts w:ascii="宋体" w:hAnsi="宋体" w:cs="宋体"/>
          <w:kern w:val="0"/>
          <w:sz w:val="24"/>
          <w:szCs w:val="24"/>
        </w:rPr>
        <w:t xml:space="preserve"> </w:t>
      </w:r>
      <w:r>
        <w:rPr>
          <w:rFonts w:hint="eastAsia" w:ascii="宋体" w:hAnsi="宋体" w:cs="宋体"/>
          <w:kern w:val="0"/>
          <w:sz w:val="24"/>
          <w:szCs w:val="24"/>
        </w:rPr>
        <w:t>项目的竞争性磋商文件</w:t>
      </w:r>
      <w:r>
        <w:rPr>
          <w:rFonts w:hint="eastAsia" w:ascii="宋体" w:hAnsi="宋体" w:cs="宋体"/>
          <w:kern w:val="0"/>
          <w:sz w:val="24"/>
          <w:szCs w:val="24"/>
          <w:u w:val="single"/>
        </w:rPr>
        <w:t>（项目编号）</w:t>
      </w:r>
      <w:r>
        <w:rPr>
          <w:rFonts w:ascii="宋体" w:hAnsi="宋体" w:cs="宋体"/>
          <w:kern w:val="0"/>
          <w:sz w:val="24"/>
          <w:szCs w:val="24"/>
        </w:rPr>
        <w:t xml:space="preserve"> </w:t>
      </w:r>
      <w:r>
        <w:rPr>
          <w:rFonts w:hint="eastAsia" w:ascii="宋体" w:hAnsi="宋体" w:cs="宋体"/>
          <w:kern w:val="0"/>
          <w:sz w:val="24"/>
          <w:szCs w:val="24"/>
        </w:rPr>
        <w:t>，签字代表</w:t>
      </w:r>
      <w:r>
        <w:rPr>
          <w:rFonts w:hint="eastAsia" w:ascii="宋体" w:hAnsi="宋体" w:cs="宋体"/>
          <w:kern w:val="0"/>
          <w:sz w:val="24"/>
          <w:szCs w:val="24"/>
          <w:u w:val="single"/>
        </w:rPr>
        <w:t>（姓名、职务）</w:t>
      </w:r>
      <w:r>
        <w:rPr>
          <w:rFonts w:hint="eastAsia" w:ascii="宋体" w:hAnsi="宋体" w:cs="宋体"/>
          <w:kern w:val="0"/>
          <w:sz w:val="24"/>
          <w:szCs w:val="24"/>
        </w:rPr>
        <w:t>经正式授权并代表供应商</w:t>
      </w:r>
      <w:r>
        <w:rPr>
          <w:rFonts w:hint="eastAsia" w:ascii="宋体" w:hAnsi="宋体" w:cs="宋体"/>
          <w:kern w:val="0"/>
          <w:sz w:val="24"/>
          <w:szCs w:val="24"/>
          <w:u w:val="single"/>
        </w:rPr>
        <w:t>（供应商名称、地址）</w:t>
      </w:r>
      <w:r>
        <w:rPr>
          <w:rFonts w:hint="eastAsia" w:ascii="宋体" w:hAnsi="宋体" w:cs="宋体"/>
          <w:kern w:val="0"/>
          <w:sz w:val="24"/>
          <w:szCs w:val="24"/>
        </w:rPr>
        <w:t>提交下述文件正本</w:t>
      </w:r>
      <w:r>
        <w:rPr>
          <w:rFonts w:hint="eastAsia" w:ascii="宋体" w:hAnsi="宋体" w:cs="宋体"/>
          <w:kern w:val="0"/>
          <w:sz w:val="24"/>
          <w:szCs w:val="24"/>
          <w:u w:val="single"/>
        </w:rPr>
        <w:t xml:space="preserve"> 一 </w:t>
      </w:r>
      <w:r>
        <w:rPr>
          <w:rFonts w:hint="eastAsia" w:ascii="宋体" w:hAnsi="宋体" w:cs="宋体"/>
          <w:kern w:val="0"/>
          <w:sz w:val="24"/>
          <w:szCs w:val="24"/>
        </w:rPr>
        <w:t>份和副本</w:t>
      </w:r>
      <w:r>
        <w:rPr>
          <w:rFonts w:ascii="宋体" w:hAnsi="宋体" w:cs="宋体"/>
          <w:kern w:val="0"/>
          <w:sz w:val="24"/>
          <w:szCs w:val="24"/>
          <w:u w:val="single"/>
        </w:rPr>
        <w:t xml:space="preserve">  </w:t>
      </w:r>
      <w:r>
        <w:rPr>
          <w:rFonts w:hint="eastAsia" w:ascii="宋体" w:hAnsi="宋体" w:cs="宋体"/>
          <w:kern w:val="0"/>
          <w:sz w:val="24"/>
          <w:szCs w:val="24"/>
          <w:u w:val="single"/>
        </w:rPr>
        <w:t>二</w:t>
      </w:r>
      <w:r>
        <w:rPr>
          <w:rFonts w:hint="eastAsia" w:ascii="宋体" w:hAnsi="宋体" w:cs="宋体"/>
          <w:kern w:val="0"/>
          <w:sz w:val="24"/>
          <w:szCs w:val="24"/>
        </w:rPr>
        <w:t>份。</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、开标一览表</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、按竞争性磋商文件供应商须知、技术规格要求及其他要求提供有关文件</w:t>
      </w:r>
    </w:p>
    <w:p>
      <w:pPr>
        <w:autoSpaceDE w:val="0"/>
        <w:autoSpaceDN w:val="0"/>
        <w:adjustRightInd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据此函，签字代表宣布并同意如下：</w:t>
      </w:r>
    </w:p>
    <w:p>
      <w:pPr>
        <w:autoSpaceDE w:val="0"/>
        <w:autoSpaceDN w:val="0"/>
        <w:adjustRightInd w:val="0"/>
        <w:spacing w:line="360" w:lineRule="auto"/>
        <w:ind w:firstLine="360" w:firstLineChars="150"/>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、所附投标报价表中规定的应提交和交付的服务投标总报价为</w:t>
      </w:r>
      <w:r>
        <w:rPr>
          <w:rFonts w:hint="eastAsia" w:ascii="宋体" w:hAnsi="宋体" w:cs="宋体"/>
          <w:kern w:val="0"/>
          <w:sz w:val="24"/>
          <w:szCs w:val="24"/>
          <w:u w:val="single"/>
        </w:rPr>
        <w:t>（注明币种，并用文字和数字表示的投标总价）</w:t>
      </w:r>
      <w:r>
        <w:rPr>
          <w:rFonts w:ascii="宋体" w:hAnsi="宋体" w:cs="宋体"/>
          <w:kern w:val="0"/>
          <w:sz w:val="24"/>
          <w:szCs w:val="24"/>
          <w:u w:val="single"/>
        </w:rPr>
        <w:t xml:space="preserve"> </w:t>
      </w:r>
      <w:r>
        <w:rPr>
          <w:rFonts w:hint="eastAsia" w:ascii="宋体" w:hAnsi="宋体" w:cs="宋体"/>
          <w:kern w:val="0"/>
          <w:sz w:val="24"/>
          <w:szCs w:val="24"/>
          <w:u w:val="single"/>
        </w:rPr>
        <w:t>。</w:t>
      </w:r>
    </w:p>
    <w:p>
      <w:pPr>
        <w:autoSpaceDE w:val="0"/>
        <w:autoSpaceDN w:val="0"/>
        <w:adjustRightInd w:val="0"/>
        <w:spacing w:line="360" w:lineRule="auto"/>
        <w:ind w:firstLine="360" w:firstLineChars="150"/>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、投标方将按竞争性磋商文件的规定履行合同责任和义务；</w:t>
      </w:r>
    </w:p>
    <w:p>
      <w:pPr>
        <w:autoSpaceDE w:val="0"/>
        <w:autoSpaceDN w:val="0"/>
        <w:adjustRightInd w:val="0"/>
        <w:spacing w:line="360" w:lineRule="auto"/>
        <w:ind w:firstLine="360" w:firstLineChars="150"/>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、投标方已详细阅读并理解了竞争性磋商文件的全部，包括修改文件（如有的话）。我们完全理解并同意放弃对这方面有不明及误解的权利。</w:t>
      </w:r>
    </w:p>
    <w:p>
      <w:pPr>
        <w:autoSpaceDE w:val="0"/>
        <w:autoSpaceDN w:val="0"/>
        <w:adjustRightInd w:val="0"/>
        <w:spacing w:line="360" w:lineRule="auto"/>
        <w:ind w:firstLine="360" w:firstLineChars="150"/>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、本投标有效期自开标之日起</w:t>
      </w:r>
      <w:r>
        <w:rPr>
          <w:rFonts w:ascii="宋体" w:hAnsi="宋体" w:cs="宋体"/>
          <w:kern w:val="0"/>
          <w:sz w:val="24"/>
          <w:szCs w:val="24"/>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30</w:t>
      </w:r>
      <w:r>
        <w:rPr>
          <w:rFonts w:ascii="宋体" w:hAnsi="宋体" w:cs="宋体"/>
          <w:kern w:val="0"/>
          <w:sz w:val="24"/>
          <w:szCs w:val="24"/>
          <w:u w:val="single"/>
        </w:rPr>
        <w:t xml:space="preserve"> </w:t>
      </w:r>
      <w:r>
        <w:rPr>
          <w:rFonts w:hint="eastAsia" w:ascii="宋体" w:hAnsi="宋体" w:cs="宋体"/>
          <w:kern w:val="0"/>
          <w:sz w:val="24"/>
          <w:szCs w:val="24"/>
        </w:rPr>
        <w:t>个日历日。</w:t>
      </w:r>
    </w:p>
    <w:p>
      <w:pPr>
        <w:autoSpaceDE w:val="0"/>
        <w:autoSpaceDN w:val="0"/>
        <w:adjustRightInd w:val="0"/>
        <w:spacing w:line="360" w:lineRule="auto"/>
        <w:ind w:firstLine="360" w:firstLineChars="150"/>
        <w:jc w:val="left"/>
        <w:rPr>
          <w:rFonts w:ascii="宋体" w:cs="宋体"/>
          <w:kern w:val="0"/>
          <w:sz w:val="24"/>
          <w:szCs w:val="24"/>
        </w:rPr>
      </w:pPr>
      <w:r>
        <w:rPr>
          <w:rFonts w:ascii="宋体" w:hAnsi="宋体" w:cs="宋体"/>
          <w:kern w:val="0"/>
          <w:sz w:val="24"/>
          <w:szCs w:val="24"/>
        </w:rPr>
        <w:t>5</w:t>
      </w:r>
      <w:r>
        <w:rPr>
          <w:rFonts w:hint="eastAsia" w:ascii="宋体" w:hAnsi="宋体" w:cs="宋体"/>
          <w:kern w:val="0"/>
          <w:sz w:val="24"/>
          <w:szCs w:val="24"/>
        </w:rPr>
        <w:t>、在规定的开标时间后，如果在投标有效期内撤回投标，同意磋商保证金将被贵方没收。</w:t>
      </w:r>
    </w:p>
    <w:p>
      <w:pPr>
        <w:autoSpaceDE w:val="0"/>
        <w:autoSpaceDN w:val="0"/>
        <w:adjustRightInd w:val="0"/>
        <w:spacing w:line="360" w:lineRule="auto"/>
        <w:ind w:firstLine="360" w:firstLineChars="150"/>
        <w:jc w:val="left"/>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、供应商同意提供按照贵方可能要求的与其投标有关的一切数据或资料，完全</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理解贵方不一定接受最低价的投标或收到的任何投标的约定。</w:t>
      </w:r>
    </w:p>
    <w:p>
      <w:pPr>
        <w:autoSpaceDE w:val="0"/>
        <w:autoSpaceDN w:val="0"/>
        <w:adjustRightInd w:val="0"/>
        <w:spacing w:line="360" w:lineRule="auto"/>
        <w:ind w:firstLine="360" w:firstLineChars="150"/>
        <w:jc w:val="left"/>
        <w:rPr>
          <w:rFonts w:ascii="宋体" w:cs="宋体"/>
          <w:kern w:val="0"/>
          <w:sz w:val="24"/>
          <w:szCs w:val="24"/>
        </w:rPr>
      </w:pPr>
      <w:r>
        <w:rPr>
          <w:rFonts w:ascii="宋体" w:hAnsi="宋体" w:cs="宋体"/>
          <w:kern w:val="0"/>
          <w:sz w:val="24"/>
          <w:szCs w:val="24"/>
        </w:rPr>
        <w:t>7</w:t>
      </w:r>
      <w:r>
        <w:rPr>
          <w:rFonts w:hint="eastAsia" w:ascii="宋体" w:hAnsi="宋体" w:cs="宋体"/>
          <w:kern w:val="0"/>
          <w:sz w:val="24"/>
          <w:szCs w:val="24"/>
        </w:rPr>
        <w:t>、与本投标有关的一切正式往来信函请寄：</w:t>
      </w:r>
    </w:p>
    <w:p>
      <w:pPr>
        <w:autoSpaceDE w:val="0"/>
        <w:autoSpaceDN w:val="0"/>
        <w:adjustRightInd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地址：</w:t>
      </w:r>
      <w:r>
        <w:rPr>
          <w:rFonts w:ascii="宋体" w:hAnsi="宋体" w:cs="宋体"/>
          <w:kern w:val="0"/>
          <w:sz w:val="24"/>
          <w:szCs w:val="24"/>
          <w:u w:val="single"/>
        </w:rPr>
        <w:t xml:space="preserve">                 </w:t>
      </w:r>
    </w:p>
    <w:p>
      <w:pPr>
        <w:autoSpaceDE w:val="0"/>
        <w:autoSpaceDN w:val="0"/>
        <w:adjustRightInd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电话：</w:t>
      </w:r>
      <w:r>
        <w:rPr>
          <w:rFonts w:ascii="宋体" w:hAnsi="宋体" w:cs="宋体"/>
          <w:kern w:val="0"/>
          <w:sz w:val="24"/>
          <w:szCs w:val="24"/>
          <w:u w:val="single"/>
        </w:rPr>
        <w:t xml:space="preserve">                 </w:t>
      </w:r>
      <w:r>
        <w:rPr>
          <w:rFonts w:ascii="宋体" w:hAnsi="宋体" w:cs="宋体"/>
          <w:kern w:val="0"/>
          <w:sz w:val="24"/>
          <w:szCs w:val="24"/>
        </w:rPr>
        <w:t xml:space="preserve"> </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 xml:space="preserve">   供应商：</w:t>
      </w:r>
      <w:r>
        <w:rPr>
          <w:rFonts w:ascii="宋体" w:hAnsi="宋体" w:cs="宋体"/>
          <w:kern w:val="0"/>
          <w:sz w:val="24"/>
          <w:szCs w:val="24"/>
          <w:u w:val="single"/>
        </w:rPr>
        <w:t xml:space="preserve"> </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 xml:space="preserve">   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 xml:space="preserve">   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widowControl/>
        <w:shd w:val="clear" w:color="auto" w:fill="FFFFFF"/>
        <w:snapToGrid w:val="0"/>
        <w:spacing w:line="360" w:lineRule="auto"/>
        <w:ind w:firstLine="420"/>
        <w:jc w:val="center"/>
        <w:rPr>
          <w:rFonts w:ascii="宋体" w:hAnsi="Calibri" w:eastAsia="宋体" w:cs="Arial"/>
          <w:kern w:val="0"/>
          <w:sz w:val="24"/>
          <w:szCs w:val="24"/>
        </w:rPr>
      </w:pPr>
    </w:p>
    <w:p>
      <w:pPr>
        <w:widowControl/>
        <w:jc w:val="center"/>
        <w:outlineLvl w:val="1"/>
        <w:rPr>
          <w:rFonts w:ascii="宋体" w:cs="宋体"/>
          <w:b/>
          <w:kern w:val="0"/>
          <w:sz w:val="24"/>
          <w:szCs w:val="24"/>
        </w:rPr>
      </w:pPr>
      <w:r>
        <w:rPr>
          <w:rFonts w:ascii="宋体" w:cs="宋体"/>
          <w:b/>
          <w:bCs/>
          <w:sz w:val="24"/>
          <w:szCs w:val="24"/>
        </w:rPr>
        <w:br w:type="page"/>
      </w:r>
      <w:bookmarkStart w:id="72" w:name="_Toc25966"/>
      <w:bookmarkStart w:id="73" w:name="_Toc78916571"/>
      <w:r>
        <w:rPr>
          <w:rFonts w:hint="eastAsia" w:ascii="宋体" w:hAnsi="宋体" w:cs="宋体"/>
          <w:b/>
          <w:kern w:val="0"/>
          <w:sz w:val="24"/>
          <w:szCs w:val="24"/>
        </w:rPr>
        <w:t>二、开标一览表</w:t>
      </w:r>
      <w:bookmarkEnd w:id="72"/>
      <w:bookmarkEnd w:id="73"/>
    </w:p>
    <w:p>
      <w:pPr>
        <w:autoSpaceDE w:val="0"/>
        <w:autoSpaceDN w:val="0"/>
        <w:adjustRightInd w:val="0"/>
        <w:spacing w:line="360" w:lineRule="auto"/>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项目名称：</w:t>
      </w:r>
    </w:p>
    <w:tbl>
      <w:tblPr>
        <w:tblStyle w:val="45"/>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0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序号</w:t>
            </w:r>
          </w:p>
        </w:tc>
        <w:tc>
          <w:tcPr>
            <w:tcW w:w="2205"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项目</w:t>
            </w:r>
          </w:p>
        </w:tc>
        <w:tc>
          <w:tcPr>
            <w:tcW w:w="5880"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宋体" w:hAnsi="宋体" w:cs="宋体"/>
                <w:kern w:val="0"/>
                <w:sz w:val="24"/>
                <w:szCs w:val="24"/>
              </w:rPr>
            </w:pPr>
            <w:r>
              <w:rPr>
                <w:rFonts w:ascii="宋体" w:hAnsi="宋体" w:cs="宋体"/>
                <w:kern w:val="0"/>
                <w:sz w:val="24"/>
                <w:szCs w:val="24"/>
              </w:rPr>
              <w:t>1</w:t>
            </w:r>
          </w:p>
        </w:tc>
        <w:tc>
          <w:tcPr>
            <w:tcW w:w="2205"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投标总报价（元）</w:t>
            </w:r>
          </w:p>
        </w:tc>
        <w:tc>
          <w:tcPr>
            <w:tcW w:w="5880" w:type="dxa"/>
            <w:vAlign w:val="center"/>
          </w:tcPr>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小写：</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w:t>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大写：</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053" w:type="dxa"/>
            <w:vAlign w:val="center"/>
          </w:tcPr>
          <w:p>
            <w:pPr>
              <w:autoSpaceDE w:val="0"/>
              <w:autoSpaceDN w:val="0"/>
              <w:adjustRightInd w:val="0"/>
              <w:spacing w:line="360" w:lineRule="auto"/>
              <w:jc w:val="center"/>
              <w:rPr>
                <w:rFonts w:hint="default" w:ascii="宋体" w:cs="宋体" w:eastAsiaTheme="minorEastAsia"/>
                <w:kern w:val="0"/>
                <w:sz w:val="24"/>
                <w:szCs w:val="24"/>
                <w:lang w:val="en-US" w:eastAsia="zh-CN"/>
              </w:rPr>
            </w:pPr>
            <w:r>
              <w:rPr>
                <w:rFonts w:hint="eastAsia" w:ascii="宋体" w:cs="宋体"/>
                <w:kern w:val="0"/>
                <w:sz w:val="24"/>
                <w:szCs w:val="24"/>
                <w:lang w:val="en-US" w:eastAsia="zh-CN"/>
              </w:rPr>
              <w:t>2</w:t>
            </w:r>
          </w:p>
        </w:tc>
        <w:tc>
          <w:tcPr>
            <w:tcW w:w="8085" w:type="dxa"/>
            <w:gridSpan w:val="2"/>
            <w:vAlign w:val="center"/>
          </w:tcPr>
          <w:p>
            <w:pPr>
              <w:autoSpaceDE w:val="0"/>
              <w:autoSpaceDN w:val="0"/>
              <w:adjustRightInd w:val="0"/>
              <w:spacing w:line="360" w:lineRule="auto"/>
              <w:rPr>
                <w:rFonts w:hint="default" w:ascii="宋体" w:cs="宋体"/>
                <w:kern w:val="0"/>
                <w:sz w:val="24"/>
                <w:szCs w:val="24"/>
                <w:lang w:val="en-US" w:eastAsia="zh-CN"/>
              </w:rPr>
            </w:pPr>
            <w:r>
              <w:rPr>
                <w:rFonts w:hint="eastAsia" w:ascii="宋体" w:cs="宋体"/>
                <w:kern w:val="0"/>
                <w:sz w:val="24"/>
                <w:szCs w:val="24"/>
                <w:lang w:val="en-US" w:eastAsia="zh-CN"/>
              </w:rPr>
              <w:t>服务周期：1年</w:t>
            </w:r>
            <w:r>
              <w:rPr>
                <w:rFonts w:hint="eastAsia" w:eastAsia="宋体" w:cs="Arial" w:asciiTheme="minorEastAsia" w:hAnsiTheme="minorEastAsia"/>
                <w:kern w:val="0"/>
                <w:sz w:val="24"/>
                <w:szCs w:val="24"/>
                <w:lang w:val="en-US" w:eastAsia="zh-CN"/>
              </w:rPr>
              <w:t>（年底考核，考核通过后续签下一年合同）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38" w:type="dxa"/>
            <w:gridSpan w:val="3"/>
            <w:vAlign w:val="center"/>
          </w:tcPr>
          <w:p>
            <w:pPr>
              <w:autoSpaceDE w:val="0"/>
              <w:autoSpaceDN w:val="0"/>
              <w:adjustRightInd w:val="0"/>
              <w:spacing w:line="360" w:lineRule="auto"/>
              <w:rPr>
                <w:rFonts w:hint="eastAsia" w:ascii="宋体" w:hAnsi="宋体" w:cs="宋体"/>
                <w:kern w:val="0"/>
                <w:sz w:val="24"/>
                <w:szCs w:val="24"/>
              </w:rPr>
            </w:pPr>
            <w:r>
              <w:rPr>
                <w:rFonts w:hint="eastAsia" w:ascii="宋体" w:hAnsi="宋体" w:cs="宋体"/>
                <w:kern w:val="0"/>
                <w:sz w:val="24"/>
                <w:szCs w:val="24"/>
              </w:rPr>
              <w:t>备注：</w:t>
            </w:r>
          </w:p>
        </w:tc>
      </w:tr>
    </w:tbl>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表中大小写不一致时，以大写为准。</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此表除在响应文件中，另备一份用信封单独密封，两个表须内容必须一致。</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3.</w:t>
      </w:r>
      <w:r>
        <w:rPr>
          <w:rFonts w:hint="eastAsia" w:ascii="宋体" w:hAnsi="宋体" w:cs="宋体"/>
          <w:kern w:val="0"/>
          <w:sz w:val="24"/>
          <w:szCs w:val="24"/>
        </w:rPr>
        <w:t>投标报价为完成本次采购项目内的所有内容的一切相关费用。可根据需要附报价明细。</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4.</w:t>
      </w:r>
      <w:r>
        <w:rPr>
          <w:rFonts w:hint="eastAsia" w:ascii="宋体" w:hAnsi="宋体" w:cs="宋体"/>
          <w:kern w:val="0"/>
          <w:sz w:val="24"/>
          <w:szCs w:val="24"/>
        </w:rPr>
        <w:t>本表中“投标总报价”必须与《投标函》中的“投标总报价”均保持一致，如不一致，以《开标一览表》为准。</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供应商：</w:t>
      </w:r>
      <w:r>
        <w:rPr>
          <w:rFonts w:ascii="宋体" w:hAnsi="宋体" w:cs="宋体"/>
          <w:kern w:val="0"/>
          <w:sz w:val="24"/>
          <w:szCs w:val="24"/>
          <w:u w:val="single"/>
        </w:rPr>
        <w:t xml:space="preserve"> </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rPr>
          <w:rFonts w:hint="eastAsia" w:ascii="宋体" w:hAnsi="宋体" w:eastAsia="宋体" w:cs="宋体"/>
          <w:b/>
          <w:sz w:val="24"/>
          <w:szCs w:val="24"/>
        </w:rPr>
      </w:pPr>
      <w:bookmarkStart w:id="74" w:name="_Toc78916572"/>
      <w:r>
        <w:rPr>
          <w:rFonts w:hint="eastAsia" w:ascii="宋体" w:hAnsi="宋体" w:eastAsia="宋体" w:cs="宋体"/>
          <w:b/>
          <w:sz w:val="24"/>
          <w:szCs w:val="24"/>
        </w:rPr>
        <w:br w:type="page"/>
      </w:r>
    </w:p>
    <w:p>
      <w:pPr>
        <w:autoSpaceDE w:val="0"/>
        <w:autoSpaceDN w:val="0"/>
        <w:adjustRightInd w:val="0"/>
        <w:spacing w:line="360" w:lineRule="auto"/>
        <w:jc w:val="center"/>
        <w:outlineLvl w:val="1"/>
        <w:rPr>
          <w:rFonts w:ascii="宋体" w:cs="宋体"/>
          <w:b/>
          <w:bCs/>
          <w:kern w:val="0"/>
          <w:sz w:val="24"/>
          <w:szCs w:val="24"/>
        </w:rPr>
      </w:pPr>
      <w:bookmarkStart w:id="75" w:name="_Toc14330"/>
      <w:r>
        <w:rPr>
          <w:rFonts w:hint="eastAsia" w:ascii="宋体" w:hAnsi="宋体" w:cs="宋体"/>
          <w:b/>
          <w:bCs/>
          <w:kern w:val="0"/>
          <w:sz w:val="24"/>
          <w:szCs w:val="24"/>
        </w:rPr>
        <w:t>附表</w:t>
      </w:r>
      <w:r>
        <w:rPr>
          <w:rFonts w:hint="eastAsia" w:ascii="宋体" w:hAnsi="宋体" w:cs="宋体"/>
          <w:b/>
          <w:bCs/>
          <w:kern w:val="0"/>
          <w:sz w:val="24"/>
          <w:szCs w:val="24"/>
          <w:lang w:val="en-US" w:eastAsia="zh-CN"/>
        </w:rPr>
        <w:t>2</w:t>
      </w:r>
      <w:r>
        <w:rPr>
          <w:rFonts w:ascii="宋体" w:hAnsi="宋体" w:cs="宋体"/>
          <w:b/>
          <w:bCs/>
          <w:kern w:val="0"/>
          <w:sz w:val="24"/>
          <w:szCs w:val="24"/>
        </w:rPr>
        <w:t xml:space="preserve">-1 </w:t>
      </w:r>
      <w:r>
        <w:rPr>
          <w:rFonts w:hint="eastAsia" w:ascii="宋体" w:hAnsi="宋体" w:cs="宋体"/>
          <w:b/>
          <w:bCs/>
          <w:kern w:val="0"/>
          <w:sz w:val="24"/>
          <w:szCs w:val="24"/>
        </w:rPr>
        <w:t>报价明细表</w:t>
      </w:r>
      <w:bookmarkEnd w:id="75"/>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项目名称：                                                    单位：元</w:t>
      </w:r>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536"/>
        <w:gridCol w:w="1321"/>
        <w:gridCol w:w="658"/>
        <w:gridCol w:w="930"/>
        <w:gridCol w:w="2202"/>
        <w:gridCol w:w="1317"/>
        <w:gridCol w:w="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000" w:type="pct"/>
            <w:gridSpan w:val="8"/>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现代配件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配件名称</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价格（元）</w:t>
            </w: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1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70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玻璃水</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分动箱主轴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差速器总成</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点火线圈</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1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3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tbl>
      <w:tblPr>
        <w:tblStyle w:val="45"/>
        <w:tblpPr w:leftFromText="180" w:rightFromText="180" w:vertAnchor="text" w:horzAnchor="page" w:tblpX="1489" w:tblpY="135"/>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756"/>
        <w:gridCol w:w="1321"/>
        <w:gridCol w:w="658"/>
        <w:gridCol w:w="701"/>
        <w:gridCol w:w="2199"/>
        <w:gridCol w:w="1321"/>
        <w:gridCol w:w="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别克配件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1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1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1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1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1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分动箱主轴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1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1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18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4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18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7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变速箱油自动挡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3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196"/>
        <w:gridCol w:w="1321"/>
        <w:gridCol w:w="658"/>
        <w:gridCol w:w="706"/>
        <w:gridCol w:w="1761"/>
        <w:gridCol w:w="1321"/>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932" w:type="pct"/>
            <w:gridSpan w:val="6"/>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72"/>
                <w:szCs w:val="72"/>
                <w:u w:val="none"/>
              </w:rPr>
            </w:pPr>
            <w:r>
              <w:rPr>
                <w:rFonts w:hint="eastAsia" w:ascii="宋体" w:hAnsi="宋体" w:eastAsia="宋体" w:cs="宋体"/>
                <w:b/>
                <w:bCs/>
                <w:i w:val="0"/>
                <w:iCs w:val="0"/>
                <w:color w:val="000000"/>
                <w:kern w:val="0"/>
                <w:sz w:val="28"/>
                <w:szCs w:val="28"/>
                <w:u w:val="none"/>
                <w:lang w:val="en-US" w:eastAsia="zh-CN" w:bidi="ar"/>
              </w:rPr>
              <w:t>丰田配件</w:t>
            </w:r>
          </w:p>
        </w:tc>
        <w:tc>
          <w:tcPr>
            <w:tcW w:w="712" w:type="pct"/>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c>
          <w:tcPr>
            <w:tcW w:w="355" w:type="pct"/>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玻璃水</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差速器总成</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车速传感器</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7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38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4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71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3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196"/>
        <w:gridCol w:w="1321"/>
        <w:gridCol w:w="658"/>
        <w:gridCol w:w="699"/>
        <w:gridCol w:w="1762"/>
        <w:gridCol w:w="1322"/>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雪佛兰配件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后护杠</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差速器总成</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393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2203"/>
        <w:gridCol w:w="1324"/>
        <w:gridCol w:w="613"/>
        <w:gridCol w:w="725"/>
        <w:gridCol w:w="1742"/>
        <w:gridCol w:w="1291"/>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5000" w:type="pct"/>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克莱斯勒配件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7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7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7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分动箱轴总成</w:t>
            </w:r>
          </w:p>
        </w:tc>
        <w:tc>
          <w:tcPr>
            <w:tcW w:w="7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7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7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69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71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3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玻璃水</w:t>
            </w:r>
          </w:p>
        </w:tc>
        <w:tc>
          <w:tcPr>
            <w:tcW w:w="69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副</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4"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535"/>
        <w:gridCol w:w="1976"/>
        <w:gridCol w:w="628"/>
        <w:gridCol w:w="637"/>
        <w:gridCol w:w="1836"/>
        <w:gridCol w:w="1349"/>
        <w:gridCol w:w="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000" w:type="pct"/>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28"/>
                <w:szCs w:val="28"/>
                <w:u w:val="none"/>
                <w:lang w:val="en-US" w:eastAsia="zh-CN" w:bidi="ar"/>
              </w:rPr>
            </w:pPr>
            <w:r>
              <w:rPr>
                <w:rFonts w:ascii="宋体" w:hAnsi="宋体" w:eastAsia="宋体" w:cs="宋体"/>
                <w:b/>
                <w:bCs/>
                <w:i w:val="0"/>
                <w:iCs w:val="0"/>
                <w:color w:val="000000"/>
                <w:kern w:val="0"/>
                <w:sz w:val="28"/>
                <w:szCs w:val="28"/>
                <w:u w:val="none"/>
                <w:lang w:val="en-US" w:eastAsia="zh-CN" w:bidi="ar"/>
              </w:rPr>
              <w:t>江铃配件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序号</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配件名称</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价格（元）</w:t>
            </w: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序号</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配件名称</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价格（元）</w:t>
            </w: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正时惰轮</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18</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火花塞</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后减震器</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19</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防冻液</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后平衡杆</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20</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刹车油</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发动机下护板</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21</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变速箱油手挡</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分动箱主轴</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22</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电瓶</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手刹片</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23</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三元催化</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灯泡</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24</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玻璃水</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后羊角</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25</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前杠</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横拉杆内球头</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26</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前大灯</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前刹车片</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27</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前雾灯</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后刹车片</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28</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日行灯</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前刹车盘</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29</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轮毂</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后刹车盘</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30</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离合器总成</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后雨刷片</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1</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节气门</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变速箱总成</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2</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冷媒</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手刹拉线</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3</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倒车镜</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机油</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3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4</w:t>
            </w:r>
          </w:p>
        </w:tc>
        <w:tc>
          <w:tcPr>
            <w:tcW w:w="9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涡轮增压分配阀</w:t>
            </w:r>
          </w:p>
        </w:tc>
        <w:tc>
          <w:tcPr>
            <w:tcW w:w="7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6"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合计</w:t>
            </w:r>
          </w:p>
        </w:tc>
        <w:tc>
          <w:tcPr>
            <w:tcW w:w="108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bl>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6"/>
        <w:gridCol w:w="2154"/>
        <w:gridCol w:w="1296"/>
        <w:gridCol w:w="652"/>
        <w:gridCol w:w="648"/>
        <w:gridCol w:w="1941"/>
        <w:gridCol w:w="1296"/>
        <w:gridCol w:w="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000" w:type="pct"/>
            <w:gridSpan w:val="8"/>
            <w:tcBorders>
              <w:top w:val="nil"/>
              <w:left w:val="nil"/>
              <w:bottom w:val="single" w:color="000000" w:sz="4" w:space="0"/>
              <w:right w:val="nil"/>
            </w:tcBorders>
            <w:shd w:val="clear" w:color="auto" w:fill="auto"/>
            <w:noWrap/>
            <w:vAlign w:val="center"/>
          </w:tcPr>
          <w:p>
            <w:pPr>
              <w:jc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广汽传祺配件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后护杠</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后雨刷电机</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电瓶（启停专用）</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方向拉杆（外）</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暖风水箱</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变速箱油封号大修包</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5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536"/>
        <w:gridCol w:w="1321"/>
        <w:gridCol w:w="658"/>
        <w:gridCol w:w="1251"/>
        <w:gridCol w:w="1763"/>
        <w:gridCol w:w="1321"/>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福特翼虎配件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后护杠</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暖风水箱</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变速箱主齿轮</w:t>
            </w:r>
          </w:p>
        </w:tc>
        <w:tc>
          <w:tcPr>
            <w:tcW w:w="7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67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4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71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7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536"/>
        <w:gridCol w:w="1321"/>
        <w:gridCol w:w="658"/>
        <w:gridCol w:w="1251"/>
        <w:gridCol w:w="1763"/>
        <w:gridCol w:w="1321"/>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5000" w:type="pct"/>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GL8配件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分动箱一轴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7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67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4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71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后尾板</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前护杠</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三元催化第一节</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后护杠</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玻璃水</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差速器总成</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桶</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升</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7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7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536"/>
        <w:gridCol w:w="1321"/>
        <w:gridCol w:w="661"/>
        <w:gridCol w:w="1256"/>
        <w:gridCol w:w="1757"/>
        <w:gridCol w:w="1322"/>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5000" w:type="pct"/>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雪铁龙配件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发动机下护板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后刹车分泵</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分动箱主轴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前刹车盘</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2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根</w:t>
            </w:r>
          </w:p>
        </w:tc>
        <w:tc>
          <w:tcPr>
            <w:tcW w:w="678"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94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后刹车盘</w:t>
            </w:r>
          </w:p>
        </w:tc>
        <w:tc>
          <w:tcPr>
            <w:tcW w:w="711"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后雨刷片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刹车总泵</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变速箱</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ABS总泵</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机油</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手刹拉线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离合器总成</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后尾板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倒车镜</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冷凝器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三元催化</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火花塞</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防冻液</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升</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前大灯</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前雾灯</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日行灯</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暖风水箱</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节气门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副</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发电机</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油泵总成</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涡轮增压分配阀</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SA"/>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r>
        <w:br w:type="page"/>
      </w:r>
    </w:p>
    <w:p>
      <w:pPr>
        <w:pStyle w:val="2"/>
      </w:pPr>
    </w:p>
    <w:tbl>
      <w:tblPr>
        <w:tblStyle w:val="45"/>
        <w:tblpPr w:leftFromText="180" w:rightFromText="180" w:vertAnchor="text" w:horzAnchor="page" w:tblpX="1514" w:tblpY="30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2548"/>
        <w:gridCol w:w="1423"/>
        <w:gridCol w:w="581"/>
        <w:gridCol w:w="2570"/>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5000" w:type="pct"/>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72"/>
                <w:szCs w:val="72"/>
                <w:u w:val="none"/>
              </w:rPr>
            </w:pPr>
            <w:r>
              <w:rPr>
                <w:rFonts w:ascii="宋体" w:hAnsi="宋体" w:eastAsia="宋体" w:cs="宋体"/>
                <w:b/>
                <w:bCs/>
                <w:i w:val="0"/>
                <w:iCs w:val="0"/>
                <w:color w:val="000000"/>
                <w:kern w:val="0"/>
                <w:sz w:val="28"/>
                <w:szCs w:val="28"/>
                <w:u w:val="none"/>
                <w:lang w:val="en-US" w:eastAsia="zh-CN" w:bidi="ar"/>
              </w:rPr>
              <w:t>维修工时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序号</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维修工时名称</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价格（元</w:t>
            </w:r>
            <w:r>
              <w:rPr>
                <w:rFonts w:hint="eastAsia" w:ascii="宋体" w:hAnsi="宋体" w:eastAsia="宋体" w:cs="宋体"/>
                <w:b/>
                <w:bCs/>
                <w:i w:val="0"/>
                <w:iCs w:val="0"/>
                <w:color w:val="000000"/>
                <w:kern w:val="0"/>
                <w:sz w:val="22"/>
                <w:szCs w:val="22"/>
                <w:u w:val="none"/>
                <w:lang w:val="en-US" w:eastAsia="zh-CN" w:bidi="ar"/>
              </w:rPr>
              <w:t>/小时</w:t>
            </w:r>
            <w:r>
              <w:rPr>
                <w:rFonts w:ascii="宋体" w:hAnsi="宋体" w:eastAsia="宋体" w:cs="宋体"/>
                <w:b/>
                <w:bCs/>
                <w:i w:val="0"/>
                <w:iCs w:val="0"/>
                <w:color w:val="000000"/>
                <w:kern w:val="0"/>
                <w:sz w:val="22"/>
                <w:szCs w:val="22"/>
                <w:u w:val="none"/>
                <w:lang w:val="en-US" w:eastAsia="zh-CN" w:bidi="ar"/>
              </w:rPr>
              <w:t>）</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序号</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维修工时名称</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价格（元</w:t>
            </w:r>
            <w:r>
              <w:rPr>
                <w:rFonts w:hint="eastAsia" w:ascii="宋体" w:hAnsi="宋体" w:eastAsia="宋体" w:cs="宋体"/>
                <w:b/>
                <w:bCs/>
                <w:i w:val="0"/>
                <w:iCs w:val="0"/>
                <w:color w:val="000000"/>
                <w:kern w:val="0"/>
                <w:sz w:val="22"/>
                <w:szCs w:val="22"/>
                <w:u w:val="none"/>
                <w:lang w:val="en-US" w:eastAsia="zh-CN" w:bidi="ar"/>
              </w:rPr>
              <w:t>/小时</w:t>
            </w:r>
            <w:r>
              <w:rPr>
                <w:rFonts w:ascii="宋体" w:hAnsi="宋体" w:eastAsia="宋体" w:cs="宋体"/>
                <w:b/>
                <w:bCs/>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更换正时惰轮</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更换火花塞</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更换后减上盖</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更换机盖扣手</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更换减震器防尘套</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77</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更换车门外拉手</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更换后减震器（根）</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78</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更换油底壳</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更换后平衡杆</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79</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更换机盖拉线</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更换后元宝梁螺丝</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80</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更换后备箱锁扣</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更换后平衡杆胶套</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81</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更换车门内扣手拉线</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更换后平衡杆胶套卡子</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82</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更换发动机下护板</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更换后平衡杆球头</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83</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更换分动箱</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更换手刹片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84</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更换后杠骨架</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更换后弹簧</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更换前杠骨架</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更换方向机</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更换后护板</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更换方向机管柱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87</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更换前护杠</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更换横拉杆外球头</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88</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更换后护杠</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更换灯泡含拆装大灯</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89</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更换后雨刷电机</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更换助力泵</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90</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更换曲轴前油封</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更换助力油杯</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91</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清洗喷油嘴</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18</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更换助力泵支架</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92</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清洗节气门</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19</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更换助力油管</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93</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更换正时皮带</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更换后羊角</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94</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更换正时张紧轮</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更换横拉杆内球头</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更换水箱导流板</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更换前刹车片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更换电子扇</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更换后刹车片</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97</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更换喷油嘴</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更换前减震器</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98</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检修电路单次</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更换后刹车分泵</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99</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更换发电机电脑</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26</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更换前刹车盘</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更换暖风电阻</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更换后刹车盘</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101</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更换换挡球</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28</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更换刹车总泵</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102</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更换气门</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29</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更换刹车油壶</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103</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更换方向机防尘套</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30</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更换ABS总泵</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104</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更换方向机外球头</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更换后刹车软管</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更换气门室罩盖</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32</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更换叶子板边灯</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更换气管室罩盖油封</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更换刹车真空泵</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107</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更换半轴油封一个</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更换刹车真空管</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108</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更换变速箱拉杆</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35</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更换传动轴十字节</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109</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更换变速器油自动挡</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36</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更换手刹柄</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110</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更换排气管</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37</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更换手刹拉线</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111</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更换升降机开关</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38</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更换元宝梁胶套</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112</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更换暖风小水箱</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39</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更换水箱框架</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113</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更换空调面板不含拆装仪表台</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更换后尾板</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114</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拆装变速箱手动挡</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更换前叶子板不含喷漆</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更换机油</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42</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更换前减上座</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拆装仪表台</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更换全车线束</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117</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更换座椅一个</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更换前杠倒流板</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118</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更换副车架</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45</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更换冷凝器（不含加冷媒）</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119</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更换前轮轴承一个</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46</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更换水箱框架</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120</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更换防冻液</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47</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更换水箱</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121</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更换刹车油</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48</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更换三角饰板</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122</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更换变速箱油手动挡</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49</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更换刹车管不含换刹车油</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123</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更换发电机皮带</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更换前分挡风玻璃</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124</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更换发电机</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更换摄像头</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更换油泵总成</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52</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更换喷水嘴</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更换三角臂一个</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更换氧传感器</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127</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更换平衡杆胶套</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更换前杠（不含喷漆）</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128</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更换轮胎含动平衡</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55</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更换空调低压管</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129</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更换起动机</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56</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更换前大灯</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130</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更换喷水壶</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57</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更换前雾灯</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131</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更换喷水电机</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58</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更换日行灯</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132</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更换后悬挂一个</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59</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前更车门玻璃</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133</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更换空调高压管</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60</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更换车窗升降机</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更换前叶子板内衬</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更换后弯灯</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更换后叶子板内衬</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62</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更换集风套</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更换轮毂含动平衡</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更换节温器</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137</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更换离合器总成</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更换差速器</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138</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更换皮带</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65</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更换内扣手</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139</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更换门边压条</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66</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更换节气门</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140</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更换方向机直拉杆</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67</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四轮定位</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141</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更换方向机横拉杆</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68</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更换座垫</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142</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更换后桥总成</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69</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更换车速传感器</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143</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更换半轴总成</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70</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更换油箱盖开关</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144</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更换倒车镜不含喷漆</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71</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大修发动机四缸</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145</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更换内视镜</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72</w:t>
            </w:r>
          </w:p>
        </w:tc>
        <w:tc>
          <w:tcPr>
            <w:tcW w:w="1372"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大修发动机六缸</w:t>
            </w:r>
          </w:p>
        </w:tc>
        <w:tc>
          <w:tcPr>
            <w:tcW w:w="766"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146</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更换空调压缩机皮带</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73</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更换涡轮增压分配阀</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147</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更换方向机内球头</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74</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更换电瓶底座</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148</w:t>
            </w:r>
          </w:p>
        </w:tc>
        <w:tc>
          <w:tcPr>
            <w:tcW w:w="1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更换点火线圈一付</w:t>
            </w:r>
          </w:p>
        </w:tc>
        <w:tc>
          <w:tcPr>
            <w:tcW w:w="8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76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2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r>
    </w:tbl>
    <w:p>
      <w:pPr>
        <w:autoSpaceDE w:val="0"/>
        <w:autoSpaceDN w:val="0"/>
        <w:adjustRightInd w:val="0"/>
        <w:spacing w:line="360" w:lineRule="auto"/>
        <w:jc w:val="left"/>
        <w:rPr>
          <w:rFonts w:hint="eastAsia" w:ascii="宋体" w:hAnsi="宋体" w:cs="宋体"/>
          <w:kern w:val="0"/>
          <w:sz w:val="24"/>
          <w:szCs w:val="24"/>
        </w:rPr>
      </w:pP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注：</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1、应按照第</w:t>
      </w:r>
      <w:r>
        <w:rPr>
          <w:rFonts w:hint="eastAsia" w:ascii="宋体" w:hAnsi="宋体" w:cs="宋体"/>
          <w:kern w:val="0"/>
          <w:sz w:val="24"/>
          <w:szCs w:val="24"/>
          <w:lang w:eastAsia="zh-CN"/>
        </w:rPr>
        <w:t>四</w:t>
      </w:r>
      <w:r>
        <w:rPr>
          <w:rFonts w:hint="eastAsia" w:ascii="宋体" w:hAnsi="宋体" w:cs="宋体"/>
          <w:kern w:val="0"/>
          <w:sz w:val="24"/>
          <w:szCs w:val="24"/>
        </w:rPr>
        <w:t>部分</w:t>
      </w:r>
      <w:r>
        <w:rPr>
          <w:rFonts w:hint="eastAsia" w:ascii="宋体" w:hAnsi="宋体" w:cs="宋体"/>
          <w:kern w:val="0"/>
          <w:sz w:val="24"/>
          <w:szCs w:val="24"/>
          <w:lang w:eastAsia="zh-CN"/>
        </w:rPr>
        <w:t>维修清单</w:t>
      </w:r>
      <w:r>
        <w:rPr>
          <w:rFonts w:hint="eastAsia" w:ascii="宋体" w:hAnsi="宋体" w:cs="宋体"/>
          <w:kern w:val="0"/>
          <w:sz w:val="24"/>
          <w:szCs w:val="24"/>
        </w:rPr>
        <w:t>要求内容填写。</w:t>
      </w:r>
    </w:p>
    <w:p>
      <w:pPr>
        <w:autoSpaceDE w:val="0"/>
        <w:autoSpaceDN w:val="0"/>
        <w:adjustRightInd w:val="0"/>
        <w:spacing w:line="360" w:lineRule="auto"/>
        <w:jc w:val="left"/>
        <w:rPr>
          <w:rFonts w:ascii="宋体" w:hAnsi="宋体" w:cs="宋体"/>
          <w:kern w:val="0"/>
          <w:sz w:val="24"/>
          <w:szCs w:val="24"/>
        </w:rPr>
      </w:pPr>
      <w:r>
        <w:rPr>
          <w:rFonts w:hint="eastAsia" w:ascii="宋体" w:hAnsi="宋体" w:cs="宋体"/>
          <w:kern w:val="0"/>
          <w:sz w:val="24"/>
          <w:szCs w:val="24"/>
        </w:rPr>
        <w:t>2、供应商填报价格合计应与投标函载明价格一致，若不一致，应按照第</w:t>
      </w:r>
      <w:r>
        <w:rPr>
          <w:rFonts w:hint="eastAsia" w:ascii="宋体" w:hAnsi="宋体" w:cs="宋体"/>
          <w:kern w:val="0"/>
          <w:sz w:val="24"/>
          <w:szCs w:val="24"/>
          <w:lang w:eastAsia="zh-CN"/>
        </w:rPr>
        <w:t>五</w:t>
      </w:r>
      <w:r>
        <w:rPr>
          <w:rFonts w:hint="eastAsia" w:ascii="宋体" w:hAnsi="宋体" w:cs="宋体"/>
          <w:kern w:val="0"/>
          <w:sz w:val="24"/>
          <w:szCs w:val="24"/>
        </w:rPr>
        <w:t>章响应文件计算错误的修正进行修正。</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3、以上报价应一次性报定，应包括：货物、外购件、外协件、配套件、备品备件、全套设备全部内容、专用工具、原材料及生产制造、检验、油漆、包装、专利费、保险、利税（各种税费）、管理、运输、装卸、运杂费、设备的安装调试（含辅材、开箱费）、配合费、检验验收、技术资料（含中文与外文的翻译费）、售后服务、技术指导、维保、磋商文件所要求的其它服务事项及与合同有关的交钥匙工程等全部费用。中标单位在项目实施、调试过程中，要做到安全文明施工，如发生任何意外、伤亡责任事故，造成的经济损失和人员伤亡由中标人自行负责。</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供应商：</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tabs>
          <w:tab w:val="center" w:pos="4832"/>
          <w:tab w:val="left" w:pos="7140"/>
        </w:tabs>
        <w:jc w:val="center"/>
        <w:outlineLvl w:val="9"/>
        <w:rPr>
          <w:sz w:val="24"/>
          <w:szCs w:val="24"/>
        </w:rPr>
      </w:pPr>
      <w:r>
        <w:rPr>
          <w:rFonts w:hint="eastAsia" w:ascii="宋体" w:hAnsi="宋体" w:cs="宋体"/>
          <w:kern w:val="0"/>
          <w:sz w:val="24"/>
          <w:szCs w:val="24"/>
        </w:rPr>
        <w:t>日期：</w:t>
      </w:r>
      <w:r>
        <w:rPr>
          <w:sz w:val="24"/>
          <w:szCs w:val="24"/>
        </w:rPr>
        <w:t>年月日</w:t>
      </w:r>
      <w:bookmarkStart w:id="76" w:name="_Toc81230785"/>
    </w:p>
    <w:p>
      <w:pPr>
        <w:rPr>
          <w:sz w:val="24"/>
          <w:szCs w:val="24"/>
        </w:rPr>
      </w:pPr>
      <w:r>
        <w:rPr>
          <w:sz w:val="24"/>
          <w:szCs w:val="24"/>
        </w:rPr>
        <w:br w:type="page"/>
      </w:r>
    </w:p>
    <w:p>
      <w:pPr>
        <w:tabs>
          <w:tab w:val="center" w:pos="4832"/>
          <w:tab w:val="left" w:pos="7140"/>
        </w:tabs>
        <w:jc w:val="center"/>
        <w:outlineLvl w:val="9"/>
        <w:rPr>
          <w:rFonts w:hint="eastAsia" w:ascii="宋体" w:hAnsi="宋体" w:cs="宋体"/>
          <w:kern w:val="0"/>
          <w:sz w:val="24"/>
          <w:szCs w:val="24"/>
        </w:rPr>
      </w:pPr>
    </w:p>
    <w:p>
      <w:pPr>
        <w:tabs>
          <w:tab w:val="center" w:pos="4832"/>
          <w:tab w:val="left" w:pos="7140"/>
        </w:tabs>
        <w:jc w:val="center"/>
        <w:outlineLvl w:val="1"/>
        <w:rPr>
          <w:rFonts w:hint="eastAsia" w:ascii="宋体" w:hAnsi="宋体" w:cs="宋体"/>
          <w:b/>
          <w:bCs/>
          <w:kern w:val="0"/>
          <w:sz w:val="24"/>
          <w:szCs w:val="24"/>
        </w:rPr>
      </w:pPr>
      <w:bookmarkStart w:id="77" w:name="_Toc8575"/>
      <w:r>
        <w:rPr>
          <w:rFonts w:hint="eastAsia" w:ascii="宋体" w:hAnsi="宋体" w:cs="宋体"/>
          <w:b/>
          <w:bCs/>
          <w:kern w:val="0"/>
          <w:sz w:val="24"/>
          <w:szCs w:val="24"/>
        </w:rPr>
        <w:t>附表</w:t>
      </w:r>
      <w:r>
        <w:rPr>
          <w:rFonts w:hint="eastAsia" w:ascii="宋体" w:hAnsi="宋体" w:cs="宋体"/>
          <w:b/>
          <w:bCs/>
          <w:kern w:val="0"/>
          <w:sz w:val="24"/>
          <w:szCs w:val="24"/>
          <w:lang w:val="en-US" w:eastAsia="zh-CN"/>
        </w:rPr>
        <w:t>2</w:t>
      </w:r>
      <w:r>
        <w:rPr>
          <w:rFonts w:ascii="宋体" w:hAnsi="宋体" w:cs="宋体"/>
          <w:b/>
          <w:bCs/>
          <w:kern w:val="0"/>
          <w:sz w:val="24"/>
          <w:szCs w:val="24"/>
        </w:rPr>
        <w:t>-</w:t>
      </w:r>
      <w:r>
        <w:rPr>
          <w:rFonts w:hint="eastAsia" w:ascii="宋体" w:hAnsi="宋体" w:cs="宋体"/>
          <w:b/>
          <w:bCs/>
          <w:kern w:val="0"/>
          <w:sz w:val="24"/>
          <w:szCs w:val="24"/>
          <w:lang w:val="en-US" w:eastAsia="zh-CN"/>
        </w:rPr>
        <w:t>2</w:t>
      </w:r>
      <w:r>
        <w:rPr>
          <w:rFonts w:hint="eastAsia" w:ascii="宋体" w:hAnsi="宋体" w:cs="宋体"/>
          <w:b/>
          <w:bCs/>
          <w:kern w:val="0"/>
          <w:sz w:val="24"/>
          <w:szCs w:val="24"/>
        </w:rPr>
        <w:t>备品、备件清单</w:t>
      </w:r>
      <w:bookmarkEnd w:id="76"/>
      <w:bookmarkEnd w:id="77"/>
    </w:p>
    <w:tbl>
      <w:tblPr>
        <w:tblStyle w:val="4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1917"/>
        <w:gridCol w:w="1285"/>
        <w:gridCol w:w="644"/>
        <w:gridCol w:w="644"/>
        <w:gridCol w:w="2131"/>
        <w:gridCol w:w="1285"/>
        <w:gridCol w:w="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现代配件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260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机盖扣手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后减上盖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75/个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车门外拉手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102</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减震器防尘套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105/个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油底壳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260/根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机盖拉线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75</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253</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后备箱锁扣</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后元宝梁螺丝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25/个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车门内扣手拉线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60/个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56/个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分动箱主轴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4500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147/个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后杠骨架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350/副</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前杠骨架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251/个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1400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850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方向机管柱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850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140/个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后雨刷电机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25/个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曲轴油封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80/个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850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130/副</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102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180/副</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135</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960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260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正时张紧轮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780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水箱导流板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35</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120/个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450/副</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喷油嘴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315/个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345/副</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75/瓶</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420/个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暖风电阻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63</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401/个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换挡球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210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420/个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960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750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气门油封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120/个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230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气门导管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2510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气门室罩盖</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820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165/根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气管室罩盖油封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叶子板边灯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56/个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1650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变速箱拉杆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520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变速箱拨叉</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650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160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95/个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520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升降机主开关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260/副</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8300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元宝梁胶套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75/个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汽油格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780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变速箱一档尺齿轮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1800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340/桶</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前叶子板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370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32</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前减上座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360/个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60/个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450/个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85/个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前杠倒流板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102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110/个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40/升</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75/瓶</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3200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变速箱油自动挡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160/瓶</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8/瓶</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650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大包围脚垫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750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1200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250/个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三角臂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452/个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25/个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平衡杆胶套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20/个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780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15/个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空调低压管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450/根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128</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1604/个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喷水电机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75</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160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羊角</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860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日行灯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860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452/根</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前挡膜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1800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前叶子板内衬</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车窗膜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后叶子板内衬</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后弯灯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321</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380/个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360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1360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120/个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3200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门边压条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56/个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方向机直拉杆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180/个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860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方向机横拉杆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150/个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80/瓶</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后桥总成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2300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1100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半轴总成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1420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350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360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油箱盖开关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82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内视镜</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230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1560/根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空调压缩机皮带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110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350/个</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暖风小水箱</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480</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涡轮增压分配阀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320</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方向机内球头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130/个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352</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方向机外球头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120/个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曲轴连杆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sz w:val="22"/>
                <w:szCs w:val="22"/>
                <w:u w:val="none"/>
              </w:rPr>
            </w:pPr>
            <w:r>
              <w:rPr>
                <w:rFonts w:hint="eastAsia" w:ascii="宋体" w:hAnsi="宋体" w:eastAsia="宋体" w:cs="宋体"/>
                <w:i w:val="0"/>
                <w:iCs w:val="0"/>
                <w:color w:val="FFFFFF"/>
                <w:kern w:val="0"/>
                <w:sz w:val="22"/>
                <w:szCs w:val="22"/>
                <w:u w:val="none"/>
                <w:lang w:val="en-US" w:eastAsia="zh-CN" w:bidi="ar"/>
              </w:rPr>
              <w:t>450/根</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方向机防尘套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2"/>
                <w:sz w:val="22"/>
                <w:szCs w:val="22"/>
                <w:u w:val="none"/>
                <w:lang w:val="en-US" w:eastAsia="zh-CN" w:bidi="ar-SA"/>
              </w:rPr>
            </w:pPr>
            <w:r>
              <w:rPr>
                <w:rFonts w:hint="eastAsia" w:ascii="宋体" w:hAnsi="宋体" w:eastAsia="宋体" w:cs="宋体"/>
                <w:i w:val="0"/>
                <w:iCs w:val="0"/>
                <w:color w:val="FFFFFF"/>
                <w:kern w:val="0"/>
                <w:sz w:val="22"/>
                <w:szCs w:val="22"/>
                <w:u w:val="none"/>
                <w:lang w:val="en-US" w:eastAsia="zh-CN" w:bidi="ar"/>
              </w:rPr>
              <w:t>65/个</w:t>
            </w: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FF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r>
    </w:tbl>
    <w:p>
      <w:pPr>
        <w:pStyle w:val="2"/>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tbl>
      <w:tblPr>
        <w:tblStyle w:val="45"/>
        <w:tblW w:w="92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925"/>
        <w:gridCol w:w="1289"/>
        <w:gridCol w:w="644"/>
        <w:gridCol w:w="644"/>
        <w:gridCol w:w="2138"/>
        <w:gridCol w:w="1289"/>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219" w:type="dxa"/>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别克配件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机盖扣手</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后减上盖</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车门外拉手</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减震器防尘套</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油底壳</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机盖拉线</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后备箱锁扣</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后元宝梁螺丝</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车门内扣手拉线</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后平衡杆胶套卡子</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分动箱主轴</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后平衡杆球头</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后杠骨架</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前杠骨架</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后弹簧</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方向机管柱</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后雨刷电机</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曲轴油封</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大瓦</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助力油杯</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小瓦</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助力泵支架</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正时张紧轮</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水箱导流板</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电子扇</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喷油嘴</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冷媒油</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把套</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暖风电阻</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换挡球</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气门油封</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刹车油壶</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气门导管</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气门室罩盖</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后刹车软管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气管室罩盖油封</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叶子板边灯</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刹车真空泵</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变速箱拉杆</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变速箱拨叉</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手刹柄</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升降机主开关</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变速箱总成</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元宝梁胶套</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汽油格</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水箱框架</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变速箱一档齿轮</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后尾板</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前叶子板</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机油格</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前减上座</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空气格</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空调格</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前杠倒流板</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三元催化</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变速箱油自动挡</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三角饰板</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发电机皮带</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大包围脚垫</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三角臂</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喷水嘴</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平衡杆胶套</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轮胎螺丝</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轮胎螺母</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空调低压管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喷水壶</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喷水电机</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羊角</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日行灯</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前挡膜</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前叶子板内衬</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车窗膜</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后叶子板内衬</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后弯灯</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集风套</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皮带</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差速器总成</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门边压条</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内扣手</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方向机直拉杆</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节气门</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方向机横拉杆</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后桥总成</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座垫</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半轴总成</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车速传感器</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油箱盖开关</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内视镜</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空调压缩机皮带</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点火线圈</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暖风小水箱</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涡轮增压分配阀</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方向机内球头</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电瓶底座</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方向机外球头</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曲轴连杆</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4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21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方向机防尘套</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940"/>
        <w:gridCol w:w="1298"/>
        <w:gridCol w:w="649"/>
        <w:gridCol w:w="649"/>
        <w:gridCol w:w="2155"/>
        <w:gridCol w:w="1298"/>
        <w:gridCol w:w="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丰田配件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6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机盖扣手</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后减上盖</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车门外拉手</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减震器防尘套</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油底壳</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机盖拉线</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后备箱锁扣</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后元宝梁螺丝</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车门内扣手拉线</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后平衡杆胶套卡子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分动箱轴</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后平衡杆球头</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后杠骨架</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前杠骨架</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后弹簧</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方向机管柱</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后雨刷电机</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曲轴油封</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大瓦</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助力油杯</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小瓦</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助力泵支架</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正时张紧轮</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水箱导流板</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电子扇</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喷油嘴</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冷媒油</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把套</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暖风电阻</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换挡球</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气门油封</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刹车油壶</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气门导管</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气门室罩盖</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后刹车软管</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气管室罩盖油封</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叶子板边灯</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刹车真空泵</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变速箱拉杆</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刹车真空管</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变速箱拨叉</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手刹柄</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升降机开关</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元宝梁胶套</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汽油格</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水箱框架</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变速箱齿轮</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后尾板</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前叶子板</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机油格</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前减上座</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空气格</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空调格</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前杠倒流板</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三元催化</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三角饰板</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发电机皮带</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大包围脚垫</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三角臂</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喷水嘴</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平衡杆胶套</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轮胎螺丝</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轮胎螺母</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空调低压管</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喷水壶</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喷水电机</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羊角</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日行灯</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前挡膜</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前叶子板内衬</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车窗膜</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后叶子板内衬</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后弯灯</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集风套</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皮带</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差速器总成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门边压条</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内扣手</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方向机直拉杆</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节气门</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方向机横拉杆</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后桥总成</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座垫</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半轴总成</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车速传感器</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油箱盖开关</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内视镜</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空调压缩机皮带</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点火线圈</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暖风小水箱</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涡轮增压分配阀</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方向机内球头</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电瓶底座</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方向机外球头</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曲轴连杆</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2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方向机防尘套</w:t>
            </w:r>
          </w:p>
        </w:tc>
        <w:tc>
          <w:tcPr>
            <w:tcW w:w="62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tbl>
      <w:tblPr>
        <w:tblStyle w:val="4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1917"/>
        <w:gridCol w:w="1285"/>
        <w:gridCol w:w="644"/>
        <w:gridCol w:w="644"/>
        <w:gridCol w:w="2131"/>
        <w:gridCol w:w="1285"/>
        <w:gridCol w:w="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雪佛兰配件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机盖扣手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后减上盖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车门外拉手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减震器防尘套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油底壳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机盖拉线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后备箱锁扣</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后元宝梁螺丝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车门内扣手拉线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分动箱轴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后杠骨架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前杠骨架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方向机管柱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后雨刷电机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曲轴前油封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正时张紧轮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水箱导流板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喷油嘴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暖风电阻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换挡球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气门含进气门排气门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气门油封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气门导管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气门室罩盖</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气管室罩盖油封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叶子板边灯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变速箱拉杆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变速箱拨叉</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升降机主开关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元宝梁胶套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汽油格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变速箱主齿轮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前叶子板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前减上座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前杠倒流板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大包围脚垫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三角臂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平衡杆胶套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空调低压管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喷水电机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羊角</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日行灯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前挡膜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前叶子板内衬</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车窗膜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后叶子板内衬</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后弯灯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门边压条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方向机直拉杆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方向机横拉杆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后桥总成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半轴总成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油箱盖开关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内视镜</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空调压缩机皮带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暖风小水箱</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涡轮增压分配阀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方向机内球头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方向机外球头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曲轴连杆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方向机防尘套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pPr>
        <w:spacing w:line="440" w:lineRule="exact"/>
        <w:rPr>
          <w:rFonts w:hint="eastAsia" w:asciiTheme="minorEastAsia" w:hAnsiTheme="minorEastAsia"/>
          <w:sz w:val="24"/>
          <w:szCs w:val="24"/>
        </w:rPr>
      </w:pPr>
    </w:p>
    <w:tbl>
      <w:tblPr>
        <w:tblStyle w:val="45"/>
        <w:tblpPr w:leftFromText="180" w:rightFromText="180" w:vertAnchor="text" w:horzAnchor="page" w:tblpX="1510" w:tblpY="41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892"/>
        <w:gridCol w:w="1268"/>
        <w:gridCol w:w="637"/>
        <w:gridCol w:w="637"/>
        <w:gridCol w:w="2311"/>
        <w:gridCol w:w="1268"/>
        <w:gridCol w:w="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0" w:type="auto"/>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克莱斯勒配件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机盖扣手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后减上盖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车门外拉手</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减震器防尘套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油底壳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机盖拉线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后备箱锁扣</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后元宝梁螺丝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车门内扣手拉线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后平衡杆胶套卡子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分动箱轴总成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后杠骨架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前杠骨架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后弹簧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方向机管柱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后雨刷电机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曲轴油封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正时张紧轮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水箱导流板</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喷油嘴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暖风电阻</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换挡球</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气门含进气门及排气门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气门油封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气门导管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气门室罩盖</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后刹车软管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气管室罩盖油封</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叶子板边灯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变速箱拉杆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变速箱拨叉</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升降机主开关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元宝梁胶套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汽油格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水箱框架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变速箱主减速齿轮</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前叶子板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前减上座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空调格</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前杠倒流板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三元催化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大包围脚垫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三角臂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平衡杆胶套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前氧传感器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轮胎螺丝</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轮胎螺母</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空调低压管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喷水壶</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喷水电机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羊角</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日行灯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前挡膜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前叶子板内衬</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车窗膜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后叶子板内衬</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后弯灯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空调开关</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差速器总成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门边压条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内扣手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方向机直拉杆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方向机横拉杆</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后桥总成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半轴总成</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车速传感器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油箱盖开关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内视镜</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空调压缩机皮带</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点火线圈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暖风小水箱</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涡轮增压分配阀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方向机内球头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方向机外球头</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曲轴连杆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0" w:type="auto"/>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方向机防尘套</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pPr>
        <w:spacing w:line="440" w:lineRule="exact"/>
        <w:rPr>
          <w:rFonts w:hint="eastAsia" w:asciiTheme="minorEastAsia" w:hAnsiTheme="minorEastAsia"/>
          <w:sz w:val="24"/>
          <w:szCs w:val="24"/>
        </w:rPr>
      </w:pPr>
    </w:p>
    <w:tbl>
      <w:tblPr>
        <w:tblStyle w:val="45"/>
        <w:tblpPr w:leftFromText="180" w:rightFromText="180" w:vertAnchor="text" w:horzAnchor="page" w:tblpX="1383" w:tblpY="19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6"/>
        <w:gridCol w:w="1892"/>
        <w:gridCol w:w="1268"/>
        <w:gridCol w:w="637"/>
        <w:gridCol w:w="637"/>
        <w:gridCol w:w="2311"/>
        <w:gridCol w:w="1268"/>
        <w:gridCol w:w="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5000" w:type="pct"/>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28"/>
                <w:szCs w:val="28"/>
                <w:u w:val="none"/>
                <w:lang w:val="en-US" w:eastAsia="zh-CN" w:bidi="ar"/>
              </w:rPr>
            </w:pPr>
            <w:r>
              <w:rPr>
                <w:rFonts w:ascii="宋体" w:hAnsi="宋体" w:eastAsia="宋体" w:cs="宋体"/>
                <w:b/>
                <w:bCs/>
                <w:i w:val="0"/>
                <w:iCs w:val="0"/>
                <w:color w:val="000000"/>
                <w:kern w:val="0"/>
                <w:sz w:val="28"/>
                <w:szCs w:val="28"/>
                <w:u w:val="none"/>
                <w:lang w:val="en-US" w:eastAsia="zh-CN" w:bidi="ar"/>
              </w:rPr>
              <w:t>江铃配件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序号</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配件名称</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价格（元）</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序号</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配件名称</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2"/>
                <w:sz w:val="22"/>
                <w:szCs w:val="22"/>
                <w:u w:val="none"/>
                <w:lang w:val="en-US" w:eastAsia="zh-CN" w:bidi="ar-SA"/>
              </w:rPr>
            </w:pPr>
            <w:r>
              <w:rPr>
                <w:rFonts w:ascii="宋体" w:hAnsi="宋体" w:eastAsia="宋体" w:cs="宋体"/>
                <w:b/>
                <w:bCs/>
                <w:i w:val="0"/>
                <w:iCs w:val="0"/>
                <w:color w:val="000000"/>
                <w:kern w:val="0"/>
                <w:sz w:val="22"/>
                <w:szCs w:val="22"/>
                <w:u w:val="none"/>
                <w:lang w:val="en-US" w:eastAsia="zh-CN" w:bidi="ar"/>
              </w:rPr>
              <w:t>价格（元）</w:t>
            </w:r>
          </w:p>
        </w:tc>
        <w:tc>
          <w:tcPr>
            <w:tcW w:w="2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正时惰轮</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76</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机盖扣手</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后减上盖</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77</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车门外拉手</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减震器防尘套</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78</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油底壳</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后减震器</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79</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机盖拉线</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后平衡杆</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80</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后备箱锁扣</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后元宝梁螺丝</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81</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车门内扣手拉线</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后平衡杆胶套</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82</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发动机下护板</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后平衡杆胶套卡子</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83</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分动箱主轴</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后平衡杆球头</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84</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后杠骨架</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手刹片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85</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前杠骨架</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后弹簧</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86</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后护板</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方向机</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87</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前护杠</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方向机管柱</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88</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后护杠</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横拉杆外球头</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89</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后雨刷电机</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灯泡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90</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曲轴油封</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助力泵</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91</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大瓦</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17</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助力油杯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92</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小瓦</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助力泵支架</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93</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正时皮带</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19</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助力油管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94</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正时张紧轮</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后羊角</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95</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水箱导流板</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横拉杆内球头</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96</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电子扇</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前刹车片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97</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喷油嘴</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后刹车片</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98</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冷媒油</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前减震器</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99</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把套</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后刹车分泵</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100</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暖风电阻</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前刹车盘</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101</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换挡球</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27</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后刹车盘</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102</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气门含进气门及排气门</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刹车总泵</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103</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气门油封</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29</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刹车油壶</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104</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气门导管</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ABS总泵</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105</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气门室罩盖</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后刹车软管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106</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气管室罩盖油封</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叶子板边灯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107</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变速箱前油封</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刹车真空泵</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108</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变速箱拉杆</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刹车真空管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109</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变速箱拨叉</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传动轴十字节</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110</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后雨刷片</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手刹柄</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111</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升降机主开关</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37</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手刹拉线</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112</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变速箱总成</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元宝梁胶套</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113</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汽油格</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39</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水箱框架</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114</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变速箱一档齿轮</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后尾板</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115</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机油</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前叶子板</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116</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机油格</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前减上座</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117</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空气格</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电瓶</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118</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空调格</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前杠倒流板</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119</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火花塞</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冷凝器</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120</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防冻液</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水箱</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121</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刹车油</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47</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三元催化</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122</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变速箱油手挡</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三角饰板</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123</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发电机皮带</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49</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玻璃水</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124</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发电机</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大包围脚垫</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125</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油泵总成</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摄像头</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126</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三角臂</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喷水嘴</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127</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平衡杆胶套</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氧传感器</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128</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轮胎螺丝</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前杠</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129</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轮胎螺母</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空调低压管</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130</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喷水壶</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前大灯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131</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喷水电机</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57</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前雾灯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132</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羊角</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日行灯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133</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空调高压管</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59</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前挡膜</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134</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前叶子板内衬</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车窗膜全车</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135</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后叶子板内衬</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后弯灯</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136</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轮毂</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集风套</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137</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离合器总成</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节温器</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138</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皮带</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差速器总成</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139</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门边压条</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内扣手</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140</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方向机直拉杆</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66</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节气门</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141</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方向机横拉杆</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67</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冷媒</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142</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后桥总成</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68</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座垫</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143</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半轴总成</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69</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车速传感器</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144</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倒车镜</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70</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油箱盖开关</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145</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内视镜</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71</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曲轴</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146</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空调压缩机皮带</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72</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点火线圈</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147</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暖风小水箱</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73</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涡轮增压分配阀</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148</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方向机内球头</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74</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电瓶底座</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149</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方向机外球头</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75</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曲轴连杆</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22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150</w:t>
            </w:r>
          </w:p>
        </w:tc>
        <w:tc>
          <w:tcPr>
            <w:tcW w:w="6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方向机防尘套</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kern w:val="2"/>
                <w:sz w:val="22"/>
                <w:szCs w:val="22"/>
                <w:u w:val="none"/>
                <w:lang w:val="en-US" w:eastAsia="zh-CN" w:bidi="ar-SA"/>
              </w:rPr>
            </w:pPr>
          </w:p>
        </w:tc>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tbl>
      <w:tblPr>
        <w:tblStyle w:val="45"/>
        <w:tblpPr w:leftFromText="180" w:rightFromText="180" w:vertAnchor="text" w:horzAnchor="page" w:tblpX="1475" w:tblpY="25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940"/>
        <w:gridCol w:w="1298"/>
        <w:gridCol w:w="649"/>
        <w:gridCol w:w="649"/>
        <w:gridCol w:w="2155"/>
        <w:gridCol w:w="1298"/>
        <w:gridCol w:w="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广汽传祺配件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油底壳</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后减上盖</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机盖拉线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减震器防尘套</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后备箱锁扣</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车门内扣手拉线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后元宝梁螺丝</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分动箱一轴</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后杠骨架</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后平衡杆胶套卡子</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前杠骨架</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后平衡杆球头</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后弹簧</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后雨刷电机</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方向机管柱</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曲轴油封</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助力油杯</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正时张紧轮</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助力泵支架</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水箱导流板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电子扇</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方向拉杆（外）</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喷油嘴</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把套</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暖风电阻</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换挡球</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进气门排气门</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气门油封</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气门导管</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气门室罩盖</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刹车油壶</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气管室罩盖油封</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变速箱油封号大修包</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后刹车软管</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变速箱拉杆</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变速箱拨叉</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刹车真空泵</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刹车真空管</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升降机主开关</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手刹柄</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汽油格</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变速箱太阳齿齿轮</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元宝梁胶套</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水箱框架</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机油格</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后尾板</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空气格</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前叶子板</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空调格</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前减上座</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电瓶（启停专用）</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前杠倒流板</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发电机皮带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三元催化</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三角饰板</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三角臂</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大包围脚垫</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平衡杆胶套</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轮胎螺丝</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喷水嘴</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轮胎螺母</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喷水壶</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喷水电机</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空调低压管</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羊角</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前叶子板内衬</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日行灯</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后叶子板内衬</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前挡膜</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车窗膜</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后弯灯</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集风套</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门边压条</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方向机直拉杆</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暖风水箱</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方向机横拉杆</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内扣手</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后桥总成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节气门</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半轴总成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座垫</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内视镜</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车速传感器</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方向机管柱</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油箱盖开关</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暖风小水箱</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方向机内球头</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点火线圈</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方向机外球头</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涡轮增压分配阀</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方向机防尘套</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电瓶底座</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曲轴连杆</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空调压缩机皮带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机盖扣手</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叶子板边灯</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车门外拉手</w:t>
            </w:r>
          </w:p>
        </w:tc>
        <w:tc>
          <w:tcPr>
            <w:tcW w:w="69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tbl>
      <w:tblPr>
        <w:tblStyle w:val="45"/>
        <w:tblpPr w:leftFromText="180" w:rightFromText="180" w:vertAnchor="text" w:horzAnchor="page" w:tblpX="1595" w:tblpY="76"/>
        <w:tblOverlap w:val="neve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976"/>
        <w:gridCol w:w="1321"/>
        <w:gridCol w:w="658"/>
        <w:gridCol w:w="927"/>
        <w:gridCol w:w="1756"/>
        <w:gridCol w:w="1321"/>
        <w:gridCol w:w="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8"/>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福特翼虎配件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油底壳</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后减上盖</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机盖拉线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减震器防尘套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后备箱锁扣</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车门内扣手拉线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后元宝梁螺丝</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分动箱轴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后杠骨架</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后平衡杆胶套卡子</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前杠骨架</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后平衡杆球头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后弹簧</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后雨刷电机</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方向机管柱</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曲轴前油封</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助力油杯</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正时张紧轮</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助力泵支架</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水箱导流板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喷油嘴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冷媒油</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暖风电阻</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换挡球</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排气门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气门油封</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气门导管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气门室罩盖</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刹车油壶</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气管室罩盖油封</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变速箱前油封</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后刹车软管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变速箱拉杆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变速箱拨叉</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刹车真空泵</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升降机主开关</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手刹柄</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汽油格</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变速箱主齿轮</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元宝梁胶套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水箱框架</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机油格</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空气格</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前叶子板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空调格</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前减上座</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前杠倒流板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发电机皮带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三元催化</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三角饰板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三角臂</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大包围脚垫</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平衡杆胶套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中档</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轮胎螺丝</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轮胎螺母</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喷水壶</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喷水电机</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空调低压管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羊角</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前叶子板内衬</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日行灯</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后叶子板内衬</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前挡膜</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车窗膜</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后弯灯</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门边压条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方向机直拉杆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暖风水箱</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方向机横拉杆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内扣手</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后桥总成</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半轴总成</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座垫</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中档</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内视镜</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车速传感器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方向机管柱</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油箱盖开关</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暖风小水箱</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方向机内球头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点火线圈</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方向机外球头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涡轮增压分配阀</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方向机防尘套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电瓶底座</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曲轴连杆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空调压缩机皮带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机盖扣手</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叶子板边灯</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0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车门外拉手</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kern w:val="2"/>
                <w:sz w:val="22"/>
                <w:szCs w:val="22"/>
                <w:u w:val="none"/>
                <w:lang w:val="en-US" w:eastAsia="zh-CN" w:bidi="ar-SA"/>
              </w:rPr>
            </w:pP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kern w:val="2"/>
                <w:sz w:val="22"/>
                <w:szCs w:val="22"/>
                <w:u w:val="none"/>
                <w:lang w:val="en-US" w:eastAsia="zh-CN" w:bidi="ar-SA"/>
              </w:rPr>
            </w:pP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tbl>
      <w:tblPr>
        <w:tblStyle w:val="4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1940"/>
        <w:gridCol w:w="1298"/>
        <w:gridCol w:w="649"/>
        <w:gridCol w:w="649"/>
        <w:gridCol w:w="2155"/>
        <w:gridCol w:w="1298"/>
        <w:gridCol w:w="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GL8配件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34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机盖扣手</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后减上盖</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车门外拉手</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减震器防尘套</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油底壳</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机盖拉线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后备箱锁扣</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后元宝梁螺丝</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车门内扣手拉线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后平衡杆胶套卡子</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分动箱一轴</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后平衡杆球头</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后杠骨架</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前杠骨架</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后弹簧</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前护杠</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方向机管柱</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后护杠</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后雨刷电机</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曲轴油封</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助力油杯</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助力泵支架</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正时张紧轮</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水箱导流板</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电子扇</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喷油嘴</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把套</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暖风电阻</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换挡球</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进气门排气门</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气门油封</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刹车油壶</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气门导管</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气门室罩盖</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后刹车软管</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气管室罩盖油封</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叶子板边灯</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变速箱油封含大修包</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刹车真空泵</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变速箱拉杆</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刹车真空管</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变速箱拨叉</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手刹柄</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升降机开关</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元宝梁胶套</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汽油格</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水箱框架</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变速箱修理包</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后尾板</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前叶子板</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机油格</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前减上座</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空气格</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空调格</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前杠倒流板</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三元催化第一节</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三角饰板</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发电机皮带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大包围脚垫360</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三角臂</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喷水嘴</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平衡杆胶套</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轮胎螺丝</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轮胎螺母</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空调低管</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喷水壶</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喷水电机</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羊角</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日行灯</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前挡膜</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前叶子板内衬</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车窗膜</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后叶子板内衬</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后弯灯</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轮毂</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集风套</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差速器总成</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门边压条</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内扣手</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方向机直拉杆</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节气门</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方向机横拉杆</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后桥总成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座垫</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半轴总成</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车速传感器</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油箱盖开关</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内视镜</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空调压缩机皮带</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点火线圈</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暖风小水箱</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涡轮增压分配阀</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方向机内球头</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电瓶底座</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方向机外球头</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曲轴连杆</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34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11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方向机防尘套</w:t>
            </w:r>
          </w:p>
        </w:tc>
        <w:tc>
          <w:tcPr>
            <w:tcW w:w="69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pPr>
        <w:spacing w:line="440" w:lineRule="exact"/>
        <w:rPr>
          <w:rFonts w:hint="eastAsia" w:asciiTheme="minorEastAsia" w:hAnsiTheme="minorEastAsia"/>
          <w:sz w:val="24"/>
          <w:szCs w:val="24"/>
        </w:rPr>
      </w:pPr>
    </w:p>
    <w:tbl>
      <w:tblPr>
        <w:tblStyle w:val="4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976"/>
        <w:gridCol w:w="1321"/>
        <w:gridCol w:w="658"/>
        <w:gridCol w:w="927"/>
        <w:gridCol w:w="1756"/>
        <w:gridCol w:w="1321"/>
        <w:gridCol w:w="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雪铁龙配件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eastAsia="zh-CN"/>
              </w:rPr>
            </w:pPr>
            <w:r>
              <w:rPr>
                <w:rFonts w:hint="eastAsia" w:ascii="宋体" w:hAnsi="宋体" w:eastAsia="宋体" w:cs="宋体"/>
                <w:b/>
                <w:bCs/>
                <w:i w:val="0"/>
                <w:iCs w:val="0"/>
                <w:color w:val="000000"/>
                <w:sz w:val="22"/>
                <w:szCs w:val="22"/>
                <w:u w:val="none"/>
                <w:lang w:eastAsia="zh-CN"/>
              </w:rPr>
              <w:t>单位</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配件名称</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价格（元）</w:t>
            </w:r>
          </w:p>
        </w:tc>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后拉杆</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电瓶底座</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正时惰轮</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曲轴连杆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后减上盖</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机盖扣手</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减震器防尘套</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车门外拉手</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后减震器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油底壳</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机盖拉线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后元宝梁螺丝</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后备箱锁扣</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车门内扣手拉线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后平衡杆胶套卡子</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发动机下护板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后平衡杆球头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分动箱主轴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后杠骨架</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后弹簧</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前杠骨架</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后护板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方向机管柱</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后雨刷电机</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横拉杆外球头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曲轴油封</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大瓦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小瓦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助力油杯</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正时皮带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助力泵支架</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正时张紧轮</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助力油管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水箱导流板</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后羊角</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电子扇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横拉杆内球头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喷油嘴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冷媒油</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后刹车片</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副</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把套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前减震器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暖风电阻</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后刹车分泵</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换挡球</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后刹车盘</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气门油封</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刹车总泵</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气门导管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刹车油壶</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气门室罩盖</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通风口</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变速箱油封</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ABS油管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变速箱拉杆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后刹车软管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变速箱拨叉</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ABS总泵</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后雨刷片</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刹车真空泵</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升降机主开关</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刹车真空管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传动轴十字节</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汽油格</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手刹柄</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YPERL</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手刹拉线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元宝梁胶套</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机油格</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水箱框架</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空气格</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后尾板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空调格</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前叶子板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火花塞</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前减上座</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防冻液</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电瓶</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刹车油</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前杠导流板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变速箱油</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冷凝器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发电机皮带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水箱</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发电机</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三元催化</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油泵总成</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三角饰板</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三角臂</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平衡杆胶套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大包围脚垫</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中档</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轮胎螺丝</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轮胎螺母</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喷水嘴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氧传感器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喷水电机</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前杠</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羊角</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空调低压管</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空调高压管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前大灯</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前叶子板内村</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前雾灯</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后叶子板内村</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日行灯</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离合器总成</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前挡膜</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皮带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车窗膜</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门边压条</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后弯灯</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方向机直拉杆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集风罩</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方向机横拉杆</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节温器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半轴总成</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暖风水箱</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倒车镜</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内扣手</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142</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内视镜</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节气门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暖风小水箱</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方向机内球头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座垫</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中档</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145</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方向机外球头</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车速传感器</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146</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方向机防尘套</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油箱盖开关</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147</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差速器</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曲轴</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148</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空调压缩机皮带</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点火线圈</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149</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叶子板边灯</w:t>
            </w: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涡轮增压分配阀</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02"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w:t>
            </w:r>
          </w:p>
        </w:tc>
        <w:tc>
          <w:tcPr>
            <w:tcW w:w="946"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71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kern w:val="2"/>
                <w:sz w:val="22"/>
                <w:szCs w:val="22"/>
                <w:u w:val="none"/>
                <w:lang w:val="en-US" w:eastAsia="zh-CN" w:bidi="ar-SA"/>
              </w:rPr>
            </w:pPr>
          </w:p>
        </w:tc>
        <w:tc>
          <w:tcPr>
            <w:tcW w:w="66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hint="eastAsia" w:asciiTheme="minorEastAsia" w:hAnsiTheme="minorEastAsia"/>
          <w:sz w:val="24"/>
          <w:szCs w:val="24"/>
        </w:rPr>
      </w:pPr>
    </w:p>
    <w:p>
      <w:pPr>
        <w:spacing w:line="440" w:lineRule="exact"/>
        <w:rPr>
          <w:rFonts w:asciiTheme="minorEastAsia" w:hAnsiTheme="minorEastAsia"/>
          <w:sz w:val="24"/>
          <w:szCs w:val="24"/>
        </w:rPr>
      </w:pPr>
      <w:r>
        <w:rPr>
          <w:rFonts w:hint="eastAsia" w:asciiTheme="minorEastAsia" w:hAnsiTheme="minorEastAsia"/>
          <w:sz w:val="24"/>
          <w:szCs w:val="24"/>
        </w:rPr>
        <w:t>备注：</w:t>
      </w:r>
    </w:p>
    <w:p>
      <w:pPr>
        <w:pStyle w:val="68"/>
        <w:numPr>
          <w:ilvl w:val="0"/>
          <w:numId w:val="4"/>
        </w:numPr>
        <w:spacing w:line="440" w:lineRule="exact"/>
        <w:ind w:firstLineChars="0"/>
        <w:rPr>
          <w:rFonts w:asciiTheme="minorEastAsia" w:hAnsiTheme="minorEastAsia"/>
          <w:sz w:val="24"/>
          <w:szCs w:val="24"/>
        </w:rPr>
      </w:pPr>
      <w:r>
        <w:rPr>
          <w:rFonts w:hint="eastAsia" w:asciiTheme="minorEastAsia" w:hAnsiTheme="minorEastAsia"/>
          <w:sz w:val="24"/>
          <w:szCs w:val="24"/>
        </w:rPr>
        <w:t>本表中价格不计入投标报价中；</w:t>
      </w:r>
    </w:p>
    <w:p>
      <w:pPr>
        <w:pStyle w:val="68"/>
        <w:numPr>
          <w:ilvl w:val="0"/>
          <w:numId w:val="4"/>
        </w:numPr>
        <w:spacing w:line="440" w:lineRule="exact"/>
        <w:ind w:firstLineChars="0"/>
        <w:rPr>
          <w:rFonts w:asciiTheme="minorEastAsia" w:hAnsiTheme="minorEastAsia"/>
          <w:sz w:val="24"/>
          <w:szCs w:val="24"/>
        </w:rPr>
      </w:pPr>
      <w:r>
        <w:rPr>
          <w:rFonts w:hint="eastAsia" w:asciiTheme="minorEastAsia" w:hAnsiTheme="minorEastAsia"/>
          <w:sz w:val="24"/>
          <w:szCs w:val="24"/>
        </w:rPr>
        <w:t>常用消耗的备品、备件（须注明单价）</w:t>
      </w:r>
      <w:r>
        <w:rPr>
          <w:rFonts w:hint="eastAsia" w:asciiTheme="minorEastAsia" w:hAnsiTheme="minorEastAsia"/>
          <w:sz w:val="24"/>
          <w:szCs w:val="24"/>
          <w:lang w:eastAsia="zh-CN"/>
        </w:rPr>
        <w:t>；</w:t>
      </w:r>
    </w:p>
    <w:p>
      <w:pPr>
        <w:pStyle w:val="68"/>
        <w:numPr>
          <w:ilvl w:val="0"/>
          <w:numId w:val="4"/>
        </w:numPr>
        <w:spacing w:line="440" w:lineRule="exact"/>
        <w:ind w:firstLineChars="0"/>
        <w:rPr>
          <w:rFonts w:asciiTheme="minorEastAsia" w:hAnsiTheme="minorEastAsia"/>
          <w:sz w:val="24"/>
          <w:szCs w:val="24"/>
        </w:rPr>
      </w:pPr>
      <w:r>
        <w:rPr>
          <w:rFonts w:hint="eastAsia" w:asciiTheme="minorEastAsia" w:hAnsiTheme="minorEastAsia"/>
          <w:sz w:val="24"/>
          <w:szCs w:val="24"/>
          <w:lang w:eastAsia="zh-CN"/>
        </w:rPr>
        <w:t>报价明细表和备品、备件清单中的价格需一致，否则按废标处理；</w:t>
      </w:r>
    </w:p>
    <w:p>
      <w:pPr>
        <w:pStyle w:val="68"/>
        <w:numPr>
          <w:ilvl w:val="0"/>
          <w:numId w:val="4"/>
        </w:numPr>
        <w:spacing w:line="440" w:lineRule="exact"/>
        <w:ind w:firstLineChars="0"/>
        <w:rPr>
          <w:rFonts w:asciiTheme="minorEastAsia" w:hAnsiTheme="minorEastAsia"/>
          <w:sz w:val="24"/>
          <w:szCs w:val="24"/>
        </w:rPr>
      </w:pPr>
      <w:r>
        <w:rPr>
          <w:rFonts w:hint="eastAsia" w:asciiTheme="minorEastAsia" w:hAnsiTheme="minorEastAsia"/>
          <w:sz w:val="24"/>
          <w:szCs w:val="24"/>
          <w:lang w:eastAsia="zh-CN"/>
        </w:rPr>
        <w:t>最终结算价按报价明细表与控制价总比例下浮计取，以备品、备件清单结算。</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lang w:eastAsia="zh-CN"/>
        </w:rPr>
        <w:t>供应商</w:t>
      </w:r>
      <w:r>
        <w:rPr>
          <w:rFonts w:hint="eastAsia" w:ascii="宋体" w:hAnsi="宋体" w:eastAsia="宋体" w:cs="Arial"/>
          <w:kern w:val="0"/>
          <w:sz w:val="24"/>
          <w:szCs w:val="24"/>
        </w:rPr>
        <w:t>：（盖章）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  年  月  日</w:t>
      </w:r>
    </w:p>
    <w:p>
      <w:pPr>
        <w:autoSpaceDE w:val="0"/>
        <w:autoSpaceDN w:val="0"/>
        <w:adjustRightInd w:val="0"/>
        <w:spacing w:line="360" w:lineRule="auto"/>
        <w:jc w:val="left"/>
        <w:rPr>
          <w:rFonts w:ascii="宋体" w:cs="宋体"/>
          <w:kern w:val="0"/>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jc w:val="center"/>
        <w:outlineLvl w:val="1"/>
        <w:rPr>
          <w:rFonts w:ascii="宋体" w:hAnsi="宋体" w:eastAsia="宋体" w:cs="宋体"/>
          <w:b/>
          <w:sz w:val="24"/>
          <w:szCs w:val="24"/>
        </w:rPr>
      </w:pPr>
      <w:bookmarkStart w:id="78" w:name="_Toc24292"/>
      <w:r>
        <w:rPr>
          <w:rFonts w:hint="eastAsia" w:ascii="宋体" w:hAnsi="宋体" w:eastAsia="宋体" w:cs="宋体"/>
          <w:b/>
          <w:sz w:val="24"/>
          <w:szCs w:val="24"/>
        </w:rPr>
        <w:t>三、技术条款偏离表</w:t>
      </w:r>
      <w:bookmarkEnd w:id="74"/>
      <w:bookmarkEnd w:id="78"/>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序号</w:t>
            </w:r>
          </w:p>
        </w:tc>
        <w:tc>
          <w:tcPr>
            <w:tcW w:w="1357"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服务内容</w:t>
            </w:r>
          </w:p>
        </w:tc>
        <w:tc>
          <w:tcPr>
            <w:tcW w:w="1326"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竞争性磋商文件条目号</w:t>
            </w:r>
          </w:p>
        </w:tc>
        <w:tc>
          <w:tcPr>
            <w:tcW w:w="1326"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竞争性磋商文件要求规格</w:t>
            </w:r>
          </w:p>
        </w:tc>
        <w:tc>
          <w:tcPr>
            <w:tcW w:w="1326"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竞争性响应文件规格</w:t>
            </w:r>
          </w:p>
        </w:tc>
        <w:tc>
          <w:tcPr>
            <w:tcW w:w="1327"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偏离</w:t>
            </w:r>
          </w:p>
        </w:tc>
        <w:tc>
          <w:tcPr>
            <w:tcW w:w="1327"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sz w:val="24"/>
                <w:szCs w:val="24"/>
              </w:rPr>
            </w:pPr>
          </w:p>
        </w:tc>
        <w:tc>
          <w:tcPr>
            <w:tcW w:w="1357"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sz w:val="24"/>
                <w:szCs w:val="24"/>
              </w:rPr>
            </w:pPr>
          </w:p>
        </w:tc>
        <w:tc>
          <w:tcPr>
            <w:tcW w:w="1357"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sz w:val="24"/>
                <w:szCs w:val="24"/>
              </w:rPr>
            </w:pPr>
          </w:p>
        </w:tc>
        <w:tc>
          <w:tcPr>
            <w:tcW w:w="1357"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sz w:val="24"/>
                <w:szCs w:val="24"/>
              </w:rPr>
            </w:pPr>
          </w:p>
        </w:tc>
        <w:tc>
          <w:tcPr>
            <w:tcW w:w="1357"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sz w:val="24"/>
                <w:szCs w:val="24"/>
              </w:rPr>
            </w:pPr>
          </w:p>
        </w:tc>
        <w:tc>
          <w:tcPr>
            <w:tcW w:w="1357"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6"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c>
          <w:tcPr>
            <w:tcW w:w="1327" w:type="dxa"/>
          </w:tcPr>
          <w:p>
            <w:pPr>
              <w:spacing w:line="360" w:lineRule="auto"/>
              <w:jc w:val="center"/>
              <w:rPr>
                <w:rFonts w:ascii="宋体" w:hAnsi="Calibri" w:eastAsia="宋体" w:cs="宋体"/>
                <w:b/>
                <w:bCs/>
                <w:sz w:val="24"/>
                <w:szCs w:val="24"/>
              </w:rPr>
            </w:pPr>
          </w:p>
        </w:tc>
      </w:tr>
    </w:tbl>
    <w:p>
      <w:pPr>
        <w:spacing w:line="360" w:lineRule="auto"/>
        <w:ind w:firstLine="475" w:firstLineChars="198"/>
        <w:jc w:val="left"/>
        <w:rPr>
          <w:rFonts w:ascii="宋体" w:hAnsi="Calibri" w:eastAsia="宋体" w:cs="Times New Roman"/>
          <w:sz w:val="24"/>
          <w:szCs w:val="24"/>
        </w:rPr>
      </w:pPr>
      <w:r>
        <w:rPr>
          <w:rFonts w:hint="eastAsia" w:ascii="宋体" w:hAnsi="宋体" w:eastAsia="宋体" w:cs="Times New Roman"/>
          <w:sz w:val="24"/>
          <w:szCs w:val="24"/>
        </w:rPr>
        <w:t>备注：供应商应根据其提供的服务，对照竞争性磋商文件第四章“</w:t>
      </w:r>
      <w:r>
        <w:rPr>
          <w:rFonts w:hint="eastAsia" w:ascii="宋体" w:hAnsi="宋体" w:eastAsia="宋体" w:cs="Times New Roman"/>
          <w:sz w:val="24"/>
          <w:szCs w:val="24"/>
          <w:lang w:eastAsia="zh-CN"/>
        </w:rPr>
        <w:t>造价咨询服务内容</w:t>
      </w:r>
      <w:r>
        <w:rPr>
          <w:rFonts w:hint="eastAsia" w:ascii="宋体" w:hAnsi="宋体" w:eastAsia="宋体" w:cs="Times New Roman"/>
          <w:sz w:val="24"/>
          <w:szCs w:val="24"/>
        </w:rPr>
        <w:t xml:space="preserve">”中的要求，有差异的，则在此表中列明实际响应的内容提要并加以说明，以便查对。本表包括所有的技术响应及差异。无差异说明表示完全响应。 </w:t>
      </w:r>
    </w:p>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60" w:lineRule="auto"/>
        <w:jc w:val="left"/>
        <w:rPr>
          <w:rFonts w:ascii="宋体" w:hAnsi="Calibri" w:eastAsia="宋体" w:cs="Arial"/>
          <w:kern w:val="0"/>
          <w:sz w:val="24"/>
          <w:szCs w:val="24"/>
        </w:rPr>
      </w:pPr>
      <w:r>
        <w:rPr>
          <w:rFonts w:hint="eastAsia" w:ascii="宋体" w:hAnsi="宋体" w:eastAsia="宋体" w:cs="Arial"/>
          <w:kern w:val="0"/>
          <w:sz w:val="24"/>
          <w:szCs w:val="24"/>
        </w:rPr>
        <w:t>供应商：（盖章）</w:t>
      </w:r>
    </w:p>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60"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snapToGrid w:val="0"/>
        <w:spacing w:line="360" w:lineRule="auto"/>
        <w:ind w:firstLine="420"/>
        <w:jc w:val="center"/>
        <w:rPr>
          <w:rFonts w:ascii="宋体" w:hAnsi="Calibri" w:eastAsia="宋体" w:cs="Arial"/>
          <w:kern w:val="0"/>
          <w:sz w:val="24"/>
          <w:szCs w:val="24"/>
        </w:rPr>
      </w:pPr>
      <w:r>
        <w:rPr>
          <w:rFonts w:hint="eastAsia" w:ascii="宋体" w:hAnsi="宋体" w:eastAsia="宋体" w:cs="Arial"/>
          <w:kern w:val="0"/>
          <w:sz w:val="24"/>
          <w:szCs w:val="24"/>
        </w:rPr>
        <w:t xml:space="preserve">                                               日期： 年  月  日</w:t>
      </w:r>
    </w:p>
    <w:p>
      <w:pPr>
        <w:tabs>
          <w:tab w:val="center" w:pos="4832"/>
          <w:tab w:val="left" w:pos="7140"/>
        </w:tabs>
        <w:spacing w:line="360" w:lineRule="auto"/>
        <w:jc w:val="center"/>
        <w:outlineLvl w:val="1"/>
        <w:rPr>
          <w:rFonts w:ascii="宋体" w:hAnsi="宋体" w:eastAsia="宋体" w:cs="宋体"/>
          <w:b/>
          <w:sz w:val="24"/>
          <w:szCs w:val="24"/>
        </w:rPr>
      </w:pPr>
      <w:r>
        <w:rPr>
          <w:rFonts w:ascii="宋体" w:hAnsi="Calibri" w:eastAsia="宋体" w:cs="Arial"/>
          <w:b/>
          <w:bCs/>
          <w:kern w:val="36"/>
          <w:sz w:val="24"/>
          <w:szCs w:val="24"/>
        </w:rPr>
        <w:br w:type="page"/>
      </w:r>
      <w:bookmarkStart w:id="79" w:name="_Toc78916573"/>
      <w:bookmarkStart w:id="80" w:name="_Toc8323"/>
      <w:r>
        <w:rPr>
          <w:rFonts w:hint="eastAsia" w:ascii="宋体" w:hAnsi="Calibri" w:eastAsia="宋体" w:cs="Arial"/>
          <w:b/>
          <w:bCs/>
          <w:kern w:val="36"/>
          <w:sz w:val="24"/>
          <w:szCs w:val="24"/>
        </w:rPr>
        <w:t>四</w:t>
      </w:r>
      <w:r>
        <w:rPr>
          <w:rFonts w:hint="eastAsia" w:ascii="宋体" w:hAnsi="宋体" w:eastAsia="宋体" w:cs="宋体"/>
          <w:b/>
          <w:sz w:val="24"/>
          <w:szCs w:val="24"/>
        </w:rPr>
        <w:t>、商务条款偏离表</w:t>
      </w:r>
      <w:bookmarkEnd w:id="79"/>
      <w:bookmarkEnd w:id="80"/>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序号</w:t>
            </w:r>
          </w:p>
        </w:tc>
        <w:tc>
          <w:tcPr>
            <w:tcW w:w="2070"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竞争性磋商文件条目号</w:t>
            </w:r>
          </w:p>
        </w:tc>
        <w:tc>
          <w:tcPr>
            <w:tcW w:w="2052"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竞争性磋商文件的商务条款</w:t>
            </w:r>
          </w:p>
        </w:tc>
        <w:tc>
          <w:tcPr>
            <w:tcW w:w="2126"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竞争性磋商响应文件的商务条款</w:t>
            </w:r>
          </w:p>
        </w:tc>
        <w:tc>
          <w:tcPr>
            <w:tcW w:w="1985" w:type="dxa"/>
            <w:vAlign w:val="center"/>
          </w:tcPr>
          <w:p>
            <w:pPr>
              <w:spacing w:line="360" w:lineRule="auto"/>
              <w:jc w:val="center"/>
              <w:rPr>
                <w:rFonts w:ascii="宋体" w:hAnsi="Calibri" w:eastAsia="宋体" w:cs="宋体"/>
                <w:bCs/>
                <w:sz w:val="24"/>
                <w:szCs w:val="24"/>
              </w:rPr>
            </w:pPr>
            <w:r>
              <w:rPr>
                <w:rFonts w:hint="eastAsia" w:ascii="宋体" w:hAnsi="宋体" w:eastAsia="宋体" w:cs="宋体"/>
                <w:bCs/>
                <w:sz w:val="24"/>
                <w:szCs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sz w:val="24"/>
                <w:szCs w:val="24"/>
              </w:rPr>
            </w:pPr>
          </w:p>
        </w:tc>
        <w:tc>
          <w:tcPr>
            <w:tcW w:w="2070" w:type="dxa"/>
          </w:tcPr>
          <w:p>
            <w:pPr>
              <w:spacing w:line="360" w:lineRule="auto"/>
              <w:jc w:val="center"/>
              <w:rPr>
                <w:rFonts w:ascii="宋体" w:hAnsi="Calibri" w:eastAsia="宋体" w:cs="宋体"/>
                <w:b/>
                <w:bCs/>
                <w:sz w:val="24"/>
                <w:szCs w:val="24"/>
              </w:rPr>
            </w:pPr>
          </w:p>
        </w:tc>
        <w:tc>
          <w:tcPr>
            <w:tcW w:w="2052" w:type="dxa"/>
          </w:tcPr>
          <w:p>
            <w:pPr>
              <w:spacing w:line="360" w:lineRule="auto"/>
              <w:jc w:val="center"/>
              <w:rPr>
                <w:rFonts w:ascii="宋体" w:hAnsi="Calibri" w:eastAsia="宋体" w:cs="宋体"/>
                <w:b/>
                <w:bCs/>
                <w:sz w:val="24"/>
                <w:szCs w:val="24"/>
              </w:rPr>
            </w:pPr>
          </w:p>
        </w:tc>
        <w:tc>
          <w:tcPr>
            <w:tcW w:w="2126" w:type="dxa"/>
          </w:tcPr>
          <w:p>
            <w:pPr>
              <w:spacing w:line="360" w:lineRule="auto"/>
              <w:jc w:val="center"/>
              <w:rPr>
                <w:rFonts w:ascii="宋体" w:hAnsi="Calibri" w:eastAsia="宋体" w:cs="宋体"/>
                <w:b/>
                <w:bCs/>
                <w:sz w:val="24"/>
                <w:szCs w:val="24"/>
              </w:rPr>
            </w:pPr>
          </w:p>
        </w:tc>
        <w:tc>
          <w:tcPr>
            <w:tcW w:w="1985" w:type="dxa"/>
          </w:tcPr>
          <w:p>
            <w:pPr>
              <w:spacing w:line="360" w:lineRule="auto"/>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sz w:val="24"/>
                <w:szCs w:val="24"/>
              </w:rPr>
            </w:pPr>
          </w:p>
        </w:tc>
        <w:tc>
          <w:tcPr>
            <w:tcW w:w="2070" w:type="dxa"/>
          </w:tcPr>
          <w:p>
            <w:pPr>
              <w:spacing w:line="360" w:lineRule="auto"/>
              <w:jc w:val="center"/>
              <w:rPr>
                <w:rFonts w:ascii="宋体" w:hAnsi="Calibri" w:eastAsia="宋体" w:cs="宋体"/>
                <w:b/>
                <w:bCs/>
                <w:sz w:val="24"/>
                <w:szCs w:val="24"/>
              </w:rPr>
            </w:pPr>
          </w:p>
        </w:tc>
        <w:tc>
          <w:tcPr>
            <w:tcW w:w="2052" w:type="dxa"/>
          </w:tcPr>
          <w:p>
            <w:pPr>
              <w:spacing w:line="360" w:lineRule="auto"/>
              <w:jc w:val="center"/>
              <w:rPr>
                <w:rFonts w:ascii="宋体" w:hAnsi="Calibri" w:eastAsia="宋体" w:cs="宋体"/>
                <w:b/>
                <w:bCs/>
                <w:sz w:val="24"/>
                <w:szCs w:val="24"/>
              </w:rPr>
            </w:pPr>
          </w:p>
        </w:tc>
        <w:tc>
          <w:tcPr>
            <w:tcW w:w="2126" w:type="dxa"/>
          </w:tcPr>
          <w:p>
            <w:pPr>
              <w:spacing w:line="360" w:lineRule="auto"/>
              <w:jc w:val="center"/>
              <w:rPr>
                <w:rFonts w:ascii="宋体" w:hAnsi="Calibri" w:eastAsia="宋体" w:cs="宋体"/>
                <w:b/>
                <w:bCs/>
                <w:sz w:val="24"/>
                <w:szCs w:val="24"/>
              </w:rPr>
            </w:pPr>
          </w:p>
        </w:tc>
        <w:tc>
          <w:tcPr>
            <w:tcW w:w="1985" w:type="dxa"/>
          </w:tcPr>
          <w:p>
            <w:pPr>
              <w:spacing w:line="360" w:lineRule="auto"/>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sz w:val="24"/>
                <w:szCs w:val="24"/>
              </w:rPr>
            </w:pPr>
          </w:p>
        </w:tc>
        <w:tc>
          <w:tcPr>
            <w:tcW w:w="2070" w:type="dxa"/>
          </w:tcPr>
          <w:p>
            <w:pPr>
              <w:spacing w:line="360" w:lineRule="auto"/>
              <w:jc w:val="center"/>
              <w:rPr>
                <w:rFonts w:ascii="宋体" w:hAnsi="Calibri" w:eastAsia="宋体" w:cs="宋体"/>
                <w:b/>
                <w:bCs/>
                <w:sz w:val="24"/>
                <w:szCs w:val="24"/>
              </w:rPr>
            </w:pPr>
          </w:p>
        </w:tc>
        <w:tc>
          <w:tcPr>
            <w:tcW w:w="2052" w:type="dxa"/>
          </w:tcPr>
          <w:p>
            <w:pPr>
              <w:spacing w:line="360" w:lineRule="auto"/>
              <w:jc w:val="center"/>
              <w:rPr>
                <w:rFonts w:ascii="宋体" w:hAnsi="Calibri" w:eastAsia="宋体" w:cs="宋体"/>
                <w:b/>
                <w:bCs/>
                <w:sz w:val="24"/>
                <w:szCs w:val="24"/>
              </w:rPr>
            </w:pPr>
          </w:p>
        </w:tc>
        <w:tc>
          <w:tcPr>
            <w:tcW w:w="2126" w:type="dxa"/>
          </w:tcPr>
          <w:p>
            <w:pPr>
              <w:spacing w:line="360" w:lineRule="auto"/>
              <w:jc w:val="center"/>
              <w:rPr>
                <w:rFonts w:ascii="宋体" w:hAnsi="Calibri" w:eastAsia="宋体" w:cs="宋体"/>
                <w:b/>
                <w:bCs/>
                <w:sz w:val="24"/>
                <w:szCs w:val="24"/>
              </w:rPr>
            </w:pPr>
          </w:p>
        </w:tc>
        <w:tc>
          <w:tcPr>
            <w:tcW w:w="1985" w:type="dxa"/>
          </w:tcPr>
          <w:p>
            <w:pPr>
              <w:spacing w:line="360" w:lineRule="auto"/>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sz w:val="24"/>
                <w:szCs w:val="24"/>
              </w:rPr>
            </w:pPr>
          </w:p>
        </w:tc>
        <w:tc>
          <w:tcPr>
            <w:tcW w:w="2070" w:type="dxa"/>
          </w:tcPr>
          <w:p>
            <w:pPr>
              <w:spacing w:line="360" w:lineRule="auto"/>
              <w:jc w:val="center"/>
              <w:rPr>
                <w:rFonts w:ascii="宋体" w:hAnsi="Calibri" w:eastAsia="宋体" w:cs="宋体"/>
                <w:b/>
                <w:bCs/>
                <w:sz w:val="24"/>
                <w:szCs w:val="24"/>
              </w:rPr>
            </w:pPr>
          </w:p>
        </w:tc>
        <w:tc>
          <w:tcPr>
            <w:tcW w:w="2052" w:type="dxa"/>
          </w:tcPr>
          <w:p>
            <w:pPr>
              <w:spacing w:line="360" w:lineRule="auto"/>
              <w:jc w:val="center"/>
              <w:rPr>
                <w:rFonts w:ascii="宋体" w:hAnsi="Calibri" w:eastAsia="宋体" w:cs="宋体"/>
                <w:b/>
                <w:bCs/>
                <w:sz w:val="24"/>
                <w:szCs w:val="24"/>
              </w:rPr>
            </w:pPr>
          </w:p>
        </w:tc>
        <w:tc>
          <w:tcPr>
            <w:tcW w:w="2126" w:type="dxa"/>
          </w:tcPr>
          <w:p>
            <w:pPr>
              <w:spacing w:line="360" w:lineRule="auto"/>
              <w:jc w:val="center"/>
              <w:rPr>
                <w:rFonts w:ascii="宋体" w:hAnsi="Calibri" w:eastAsia="宋体" w:cs="宋体"/>
                <w:b/>
                <w:bCs/>
                <w:sz w:val="24"/>
                <w:szCs w:val="24"/>
              </w:rPr>
            </w:pPr>
          </w:p>
        </w:tc>
        <w:tc>
          <w:tcPr>
            <w:tcW w:w="1985" w:type="dxa"/>
          </w:tcPr>
          <w:p>
            <w:pPr>
              <w:spacing w:line="360" w:lineRule="auto"/>
              <w:jc w:val="center"/>
              <w:rPr>
                <w:rFonts w:ascii="宋体" w:hAnsi="Calibri" w:eastAsia="宋体" w:cs="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sz w:val="24"/>
                <w:szCs w:val="24"/>
              </w:rPr>
            </w:pPr>
          </w:p>
        </w:tc>
        <w:tc>
          <w:tcPr>
            <w:tcW w:w="2070" w:type="dxa"/>
          </w:tcPr>
          <w:p>
            <w:pPr>
              <w:spacing w:line="360" w:lineRule="auto"/>
              <w:jc w:val="center"/>
              <w:rPr>
                <w:rFonts w:ascii="宋体" w:hAnsi="Calibri" w:eastAsia="宋体" w:cs="宋体"/>
                <w:b/>
                <w:bCs/>
                <w:sz w:val="24"/>
                <w:szCs w:val="24"/>
              </w:rPr>
            </w:pPr>
          </w:p>
        </w:tc>
        <w:tc>
          <w:tcPr>
            <w:tcW w:w="2052" w:type="dxa"/>
          </w:tcPr>
          <w:p>
            <w:pPr>
              <w:spacing w:line="360" w:lineRule="auto"/>
              <w:jc w:val="center"/>
              <w:rPr>
                <w:rFonts w:ascii="宋体" w:hAnsi="Calibri" w:eastAsia="宋体" w:cs="宋体"/>
                <w:b/>
                <w:bCs/>
                <w:sz w:val="24"/>
                <w:szCs w:val="24"/>
              </w:rPr>
            </w:pPr>
          </w:p>
        </w:tc>
        <w:tc>
          <w:tcPr>
            <w:tcW w:w="2126" w:type="dxa"/>
          </w:tcPr>
          <w:p>
            <w:pPr>
              <w:spacing w:line="360" w:lineRule="auto"/>
              <w:jc w:val="center"/>
              <w:rPr>
                <w:rFonts w:ascii="宋体" w:hAnsi="Calibri" w:eastAsia="宋体" w:cs="宋体"/>
                <w:b/>
                <w:bCs/>
                <w:sz w:val="24"/>
                <w:szCs w:val="24"/>
              </w:rPr>
            </w:pPr>
          </w:p>
        </w:tc>
        <w:tc>
          <w:tcPr>
            <w:tcW w:w="1985" w:type="dxa"/>
          </w:tcPr>
          <w:p>
            <w:pPr>
              <w:spacing w:line="360" w:lineRule="auto"/>
              <w:jc w:val="center"/>
              <w:rPr>
                <w:rFonts w:ascii="宋体" w:hAnsi="Calibri" w:eastAsia="宋体" w:cs="宋体"/>
                <w:b/>
                <w:bCs/>
                <w:sz w:val="24"/>
                <w:szCs w:val="24"/>
              </w:rPr>
            </w:pPr>
          </w:p>
        </w:tc>
      </w:tr>
    </w:tbl>
    <w:p>
      <w:pPr>
        <w:spacing w:line="360" w:lineRule="auto"/>
        <w:ind w:firstLine="480" w:firstLineChars="200"/>
        <w:jc w:val="left"/>
        <w:rPr>
          <w:rFonts w:ascii="宋体" w:hAnsi="Calibri" w:eastAsia="宋体" w:cs="Times New Roman"/>
          <w:sz w:val="24"/>
          <w:szCs w:val="24"/>
        </w:rPr>
      </w:pPr>
      <w:r>
        <w:rPr>
          <w:rFonts w:hint="eastAsia" w:ascii="宋体" w:hAnsi="宋体" w:eastAsia="宋体" w:cs="Times New Roman"/>
          <w:sz w:val="24"/>
          <w:szCs w:val="24"/>
        </w:rPr>
        <w:t>备注：供应商商务条款有差异的，则在此表中列明实际响应的内容提要并加以说明，以便查对。无差异说明表示完全响应。</w:t>
      </w:r>
    </w:p>
    <w:p>
      <w:pPr>
        <w:spacing w:line="360" w:lineRule="auto"/>
        <w:jc w:val="left"/>
        <w:rPr>
          <w:rFonts w:ascii="宋体" w:hAnsi="Calibri" w:eastAsia="宋体" w:cs="Times New Roman"/>
          <w:sz w:val="24"/>
          <w:szCs w:val="24"/>
        </w:rPr>
      </w:pPr>
    </w:p>
    <w:p>
      <w:pPr>
        <w:spacing w:line="360" w:lineRule="auto"/>
        <w:jc w:val="left"/>
        <w:rPr>
          <w:rFonts w:ascii="宋体" w:hAnsi="Calibri" w:eastAsia="宋体" w:cs="Times New Roman"/>
          <w:sz w:val="24"/>
          <w:szCs w:val="24"/>
        </w:rPr>
      </w:pPr>
    </w:p>
    <w:p>
      <w:pPr>
        <w:widowControl/>
        <w:shd w:val="clear" w:color="auto" w:fill="FFFFFF"/>
        <w:snapToGrid w:val="0"/>
        <w:spacing w:line="360" w:lineRule="auto"/>
        <w:jc w:val="left"/>
        <w:rPr>
          <w:rFonts w:ascii="宋体" w:hAnsi="Calibri" w:eastAsia="宋体" w:cs="Arial"/>
          <w:kern w:val="0"/>
          <w:sz w:val="24"/>
          <w:szCs w:val="24"/>
        </w:rPr>
      </w:pPr>
      <w:r>
        <w:rPr>
          <w:rFonts w:hint="eastAsia" w:ascii="宋体" w:hAnsi="宋体" w:eastAsia="宋体" w:cs="Arial"/>
          <w:kern w:val="0"/>
          <w:sz w:val="24"/>
          <w:szCs w:val="24"/>
        </w:rPr>
        <w:t>供应商：（盖章）</w:t>
      </w:r>
    </w:p>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60"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snapToGrid w:val="0"/>
        <w:spacing w:line="360" w:lineRule="auto"/>
        <w:ind w:firstLine="420"/>
        <w:jc w:val="center"/>
        <w:rPr>
          <w:rFonts w:ascii="宋体" w:hAnsi="Calibri" w:eastAsia="宋体" w:cs="Arial"/>
          <w:kern w:val="0"/>
          <w:sz w:val="24"/>
          <w:szCs w:val="24"/>
        </w:rPr>
      </w:pPr>
      <w:r>
        <w:rPr>
          <w:rFonts w:hint="eastAsia" w:ascii="宋体" w:hAnsi="宋体" w:eastAsia="宋体" w:cs="Arial"/>
          <w:kern w:val="0"/>
          <w:sz w:val="24"/>
          <w:szCs w:val="24"/>
        </w:rPr>
        <w:t xml:space="preserve">                                               日期： 年  月  日</w:t>
      </w:r>
    </w:p>
    <w:p>
      <w:pPr>
        <w:tabs>
          <w:tab w:val="center" w:pos="4832"/>
          <w:tab w:val="left" w:pos="7140"/>
        </w:tabs>
        <w:spacing w:line="360" w:lineRule="auto"/>
        <w:jc w:val="center"/>
        <w:outlineLvl w:val="1"/>
        <w:rPr>
          <w:rFonts w:ascii="宋体" w:hAnsi="宋体" w:eastAsia="宋体" w:cs="宋体"/>
          <w:b/>
          <w:sz w:val="24"/>
          <w:szCs w:val="24"/>
        </w:rPr>
      </w:pPr>
      <w:r>
        <w:rPr>
          <w:rFonts w:ascii="宋体" w:hAnsi="Calibri" w:eastAsia="宋体" w:cs="Arial"/>
          <w:b/>
          <w:bCs/>
          <w:kern w:val="36"/>
          <w:sz w:val="24"/>
          <w:szCs w:val="24"/>
        </w:rPr>
        <w:br w:type="page"/>
      </w:r>
      <w:bookmarkStart w:id="81" w:name="_Toc78916574"/>
      <w:bookmarkStart w:id="82" w:name="_Toc30509"/>
      <w:r>
        <w:rPr>
          <w:rFonts w:hint="eastAsia" w:ascii="宋体" w:hAnsi="Calibri" w:eastAsia="宋体" w:cs="Arial"/>
          <w:b/>
          <w:bCs/>
          <w:kern w:val="36"/>
          <w:sz w:val="24"/>
          <w:szCs w:val="24"/>
        </w:rPr>
        <w:t>五</w:t>
      </w:r>
      <w:r>
        <w:rPr>
          <w:rFonts w:hint="eastAsia" w:ascii="宋体" w:hAnsi="宋体" w:eastAsia="宋体" w:cs="宋体"/>
          <w:b/>
          <w:sz w:val="24"/>
          <w:szCs w:val="24"/>
        </w:rPr>
        <w:t>、法定代表人身份证明书</w:t>
      </w:r>
      <w:bookmarkEnd w:id="81"/>
      <w:bookmarkEnd w:id="82"/>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供应商：</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单位性质：</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地址：</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成立时间：年月日</w:t>
      </w: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经营期限：</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姓名：性别：年龄：职务：系（供应商名称）的法定代表人。</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特此证明。</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附：法定代表人身份证明</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供应商：（盖章）</w:t>
      </w:r>
    </w:p>
    <w:p>
      <w:pPr>
        <w:widowControl/>
        <w:shd w:val="clear" w:color="auto" w:fill="FFFFFF"/>
        <w:wordWrap w:val="0"/>
        <w:snapToGrid w:val="0"/>
        <w:jc w:val="right"/>
        <w:rPr>
          <w:rFonts w:ascii="宋体" w:hAnsi="Calibri" w:eastAsia="宋体" w:cs="Arial"/>
          <w:kern w:val="0"/>
          <w:sz w:val="24"/>
          <w:szCs w:val="24"/>
        </w:rPr>
      </w:pPr>
      <w:r>
        <w:rPr>
          <w:rFonts w:hint="eastAsia" w:ascii="宋体" w:hAnsi="宋体" w:eastAsia="宋体" w:cs="Arial"/>
          <w:kern w:val="0"/>
          <w:sz w:val="24"/>
          <w:szCs w:val="24"/>
        </w:rPr>
        <w:t>日期：年月日</w:t>
      </w:r>
    </w:p>
    <w:p>
      <w:pPr>
        <w:widowControl/>
        <w:shd w:val="clear" w:color="auto" w:fill="FFFFFF"/>
        <w:snapToGrid w:val="0"/>
        <w:spacing w:line="360" w:lineRule="auto"/>
        <w:jc w:val="right"/>
        <w:rPr>
          <w:rFonts w:ascii="宋体" w:hAnsi="Calibri" w:eastAsia="宋体" w:cs="Arial"/>
          <w:kern w:val="0"/>
          <w:sz w:val="24"/>
          <w:szCs w:val="24"/>
        </w:rPr>
      </w:pPr>
    </w:p>
    <w:p>
      <w:pPr>
        <w:widowControl/>
        <w:shd w:val="clear" w:color="auto" w:fill="FFFFFF"/>
        <w:snapToGrid w:val="0"/>
        <w:spacing w:line="360" w:lineRule="auto"/>
        <w:jc w:val="right"/>
        <w:rPr>
          <w:rFonts w:ascii="宋体" w:hAnsi="Calibri" w:eastAsia="宋体" w:cs="Arial"/>
          <w:kern w:val="0"/>
          <w:sz w:val="24"/>
          <w:szCs w:val="24"/>
        </w:rPr>
      </w:pPr>
    </w:p>
    <w:p>
      <w:pPr>
        <w:widowControl/>
        <w:shd w:val="clear" w:color="auto" w:fill="FFFFFF"/>
        <w:snapToGrid w:val="0"/>
        <w:spacing w:line="360" w:lineRule="auto"/>
        <w:jc w:val="right"/>
        <w:rPr>
          <w:rFonts w:ascii="宋体" w:hAnsi="Calibri" w:eastAsia="宋体" w:cs="Arial"/>
          <w:kern w:val="0"/>
          <w:sz w:val="24"/>
          <w:szCs w:val="24"/>
        </w:rPr>
      </w:pPr>
    </w:p>
    <w:p>
      <w:pPr>
        <w:tabs>
          <w:tab w:val="center" w:pos="4832"/>
          <w:tab w:val="left" w:pos="7140"/>
        </w:tabs>
        <w:spacing w:line="360" w:lineRule="auto"/>
        <w:jc w:val="center"/>
        <w:outlineLvl w:val="1"/>
        <w:rPr>
          <w:rFonts w:ascii="宋体" w:hAnsi="宋体" w:eastAsia="宋体" w:cs="宋体"/>
          <w:b/>
          <w:sz w:val="24"/>
          <w:szCs w:val="24"/>
        </w:rPr>
      </w:pPr>
      <w:r>
        <w:rPr>
          <w:rFonts w:ascii="宋体" w:hAnsi="Calibri" w:eastAsia="宋体" w:cs="Arial"/>
          <w:b/>
          <w:bCs/>
          <w:kern w:val="0"/>
          <w:sz w:val="24"/>
          <w:szCs w:val="24"/>
        </w:rPr>
        <w:br w:type="page"/>
      </w:r>
      <w:bookmarkStart w:id="83" w:name="_Toc78916575"/>
      <w:bookmarkStart w:id="84" w:name="_Toc17865"/>
      <w:r>
        <w:rPr>
          <w:rFonts w:hint="eastAsia" w:ascii="宋体" w:hAnsi="Calibri" w:eastAsia="宋体" w:cs="Arial"/>
          <w:b/>
          <w:bCs/>
          <w:kern w:val="0"/>
          <w:sz w:val="24"/>
          <w:szCs w:val="24"/>
        </w:rPr>
        <w:t>六</w:t>
      </w:r>
      <w:r>
        <w:rPr>
          <w:rFonts w:hint="eastAsia" w:ascii="宋体" w:hAnsi="宋体" w:eastAsia="宋体" w:cs="宋体"/>
          <w:b/>
          <w:sz w:val="24"/>
          <w:szCs w:val="24"/>
        </w:rPr>
        <w:t>、法定代表人授权委托书</w:t>
      </w:r>
      <w:bookmarkEnd w:id="83"/>
      <w:bookmarkEnd w:id="84"/>
    </w:p>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本人（姓名）系（供应商名称）的法定代表人，现拟派我单位（姓名）为我方委托代理人。委托代理人根据授权，就（招标项目名称）的投标，以本公司名义处理一切与之有关的事务，其法律后果由我方承担。</w:t>
      </w:r>
    </w:p>
    <w:p>
      <w:pPr>
        <w:widowControl/>
        <w:shd w:val="clear" w:color="auto" w:fill="FFFFFF"/>
        <w:snapToGrid w:val="0"/>
        <w:spacing w:line="384" w:lineRule="auto"/>
        <w:ind w:firstLine="480" w:firstLineChars="200"/>
        <w:jc w:val="left"/>
        <w:rPr>
          <w:rFonts w:ascii="宋体" w:hAnsi="Calibri" w:eastAsia="宋体" w:cs="Arial"/>
          <w:kern w:val="0"/>
          <w:sz w:val="24"/>
          <w:szCs w:val="24"/>
          <w:u w:val="single"/>
        </w:rPr>
      </w:pPr>
      <w:r>
        <w:rPr>
          <w:rFonts w:hint="eastAsia" w:ascii="宋体" w:hAnsi="宋体" w:eastAsia="宋体" w:cs="Arial"/>
          <w:kern w:val="0"/>
          <w:sz w:val="24"/>
          <w:szCs w:val="24"/>
        </w:rPr>
        <w:t>代理人：性别：年龄：</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单位：部门：职务：</w:t>
      </w:r>
    </w:p>
    <w:p>
      <w:pPr>
        <w:widowControl/>
        <w:shd w:val="clear" w:color="auto" w:fill="FFFFFF"/>
        <w:snapToGrid w:val="0"/>
        <w:spacing w:line="384" w:lineRule="auto"/>
        <w:ind w:firstLine="480" w:firstLineChars="200"/>
        <w:jc w:val="left"/>
        <w:rPr>
          <w:rFonts w:ascii="宋体" w:hAnsi="Calibri" w:eastAsia="宋体" w:cs="Arial"/>
          <w:kern w:val="0"/>
          <w:sz w:val="24"/>
          <w:szCs w:val="24"/>
        </w:rPr>
      </w:pPr>
      <w:r>
        <w:rPr>
          <w:rFonts w:hint="eastAsia" w:ascii="宋体" w:hAnsi="宋体" w:eastAsia="宋体" w:cs="Arial"/>
          <w:kern w:val="0"/>
          <w:sz w:val="24"/>
          <w:szCs w:val="24"/>
        </w:rPr>
        <w:t>代理人无转委权，特此申明。</w:t>
      </w:r>
    </w:p>
    <w:p>
      <w:pPr>
        <w:widowControl/>
        <w:shd w:val="clear" w:color="auto" w:fill="FFFFFF"/>
        <w:snapToGrid w:val="0"/>
        <w:spacing w:line="360" w:lineRule="auto"/>
        <w:jc w:val="left"/>
        <w:rPr>
          <w:rFonts w:ascii="宋体" w:hAnsi="Calibri" w:eastAsia="宋体" w:cs="Arial"/>
          <w:kern w:val="0"/>
          <w:sz w:val="24"/>
          <w:szCs w:val="24"/>
        </w:rPr>
      </w:pPr>
      <w:r>
        <w:rPr>
          <w:rFonts w:hint="eastAsia" w:ascii="宋体" w:hAnsi="宋体" w:eastAsia="宋体" w:cs="Arial"/>
          <w:kern w:val="0"/>
          <w:sz w:val="24"/>
          <w:szCs w:val="24"/>
        </w:rPr>
        <w:t>附：授权委托人身份证明。</w:t>
      </w:r>
    </w:p>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60" w:lineRule="auto"/>
        <w:jc w:val="left"/>
        <w:rPr>
          <w:rFonts w:ascii="宋体" w:hAnsi="Calibri" w:eastAsia="宋体" w:cs="Arial"/>
          <w:kern w:val="0"/>
          <w:sz w:val="24"/>
          <w:szCs w:val="24"/>
        </w:rPr>
      </w:pP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代理人身份证复印件（正面）</w:t>
            </w:r>
          </w:p>
        </w:tc>
      </w:tr>
    </w:tbl>
    <w:tbl>
      <w:tblPr>
        <w:tblStyle w:val="45"/>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代理人身份证复印件（反面）</w:t>
            </w:r>
          </w:p>
        </w:tc>
      </w:tr>
    </w:tbl>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60" w:lineRule="auto"/>
        <w:jc w:val="left"/>
        <w:rPr>
          <w:rFonts w:ascii="宋体" w:hAnsi="Calibri" w:eastAsia="宋体" w:cs="Arial"/>
          <w:kern w:val="0"/>
          <w:sz w:val="24"/>
          <w:szCs w:val="24"/>
        </w:rPr>
      </w:pPr>
      <w:r>
        <w:rPr>
          <w:rFonts w:hint="eastAsia" w:ascii="宋体" w:hAnsi="宋体" w:eastAsia="宋体" w:cs="Arial"/>
          <w:kern w:val="0"/>
          <w:sz w:val="24"/>
          <w:szCs w:val="24"/>
        </w:rPr>
        <w:t>供应商：（盖章）</w:t>
      </w:r>
    </w:p>
    <w:p>
      <w:pPr>
        <w:widowControl/>
        <w:shd w:val="clear" w:color="auto" w:fill="FFFFFF"/>
        <w:snapToGrid w:val="0"/>
        <w:spacing w:line="360" w:lineRule="auto"/>
        <w:jc w:val="left"/>
        <w:rPr>
          <w:rFonts w:ascii="宋体" w:hAnsi="Calibri" w:eastAsia="宋体" w:cs="Arial"/>
          <w:kern w:val="0"/>
          <w:sz w:val="24"/>
          <w:szCs w:val="24"/>
        </w:rPr>
      </w:pPr>
    </w:p>
    <w:p>
      <w:pPr>
        <w:widowControl/>
        <w:shd w:val="clear" w:color="auto" w:fill="FFFFFF"/>
        <w:snapToGrid w:val="0"/>
        <w:spacing w:line="360" w:lineRule="auto"/>
        <w:jc w:val="left"/>
        <w:rPr>
          <w:rFonts w:ascii="宋体" w:hAnsi="Calibri"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snapToGrid w:val="0"/>
        <w:spacing w:line="360" w:lineRule="auto"/>
        <w:ind w:firstLine="420"/>
        <w:jc w:val="center"/>
        <w:rPr>
          <w:rFonts w:ascii="宋体" w:hAnsi="宋体" w:eastAsia="宋体" w:cs="宋体"/>
          <w:b/>
          <w:sz w:val="24"/>
          <w:szCs w:val="24"/>
        </w:rPr>
      </w:pPr>
      <w:r>
        <w:rPr>
          <w:rFonts w:hint="eastAsia" w:ascii="宋体" w:hAnsi="宋体" w:eastAsia="宋体" w:cs="Arial"/>
          <w:kern w:val="0"/>
          <w:sz w:val="24"/>
          <w:szCs w:val="24"/>
        </w:rPr>
        <w:t xml:space="preserve">                                               日期： 年  月  日</w:t>
      </w:r>
    </w:p>
    <w:p>
      <w:pPr>
        <w:rPr>
          <w:rFonts w:ascii="宋体" w:hAnsi="宋体" w:eastAsia="宋体" w:cs="宋体"/>
          <w:b/>
          <w:sz w:val="24"/>
          <w:szCs w:val="24"/>
        </w:rPr>
      </w:pPr>
      <w:r>
        <w:rPr>
          <w:rFonts w:hint="eastAsia" w:ascii="宋体" w:hAnsi="宋体" w:eastAsia="宋体" w:cs="宋体"/>
          <w:b/>
          <w:sz w:val="24"/>
          <w:szCs w:val="24"/>
        </w:rPr>
        <w:br w:type="page"/>
      </w:r>
    </w:p>
    <w:p>
      <w:pPr>
        <w:autoSpaceDE w:val="0"/>
        <w:autoSpaceDN w:val="0"/>
        <w:adjustRightInd w:val="0"/>
        <w:spacing w:line="360" w:lineRule="auto"/>
        <w:jc w:val="center"/>
        <w:outlineLvl w:val="1"/>
        <w:rPr>
          <w:rFonts w:ascii="宋体" w:cs="宋体"/>
          <w:b/>
          <w:kern w:val="0"/>
          <w:sz w:val="24"/>
          <w:szCs w:val="24"/>
        </w:rPr>
      </w:pPr>
      <w:bookmarkStart w:id="85" w:name="_Toc78916576"/>
      <w:bookmarkStart w:id="86" w:name="_Toc12953"/>
      <w:r>
        <w:rPr>
          <w:rFonts w:hint="eastAsia" w:ascii="宋体" w:hAnsi="宋体" w:eastAsia="宋体" w:cs="宋体"/>
          <w:b/>
          <w:sz w:val="24"/>
          <w:szCs w:val="24"/>
        </w:rPr>
        <w:t>七、</w:t>
      </w:r>
      <w:r>
        <w:rPr>
          <w:rFonts w:hint="eastAsia" w:ascii="宋体" w:hAnsi="宋体" w:cs="宋体"/>
          <w:b/>
          <w:kern w:val="0"/>
          <w:sz w:val="24"/>
          <w:szCs w:val="24"/>
        </w:rPr>
        <w:t>投标供应商资格证明文件</w:t>
      </w:r>
      <w:bookmarkEnd w:id="85"/>
      <w:bookmarkEnd w:id="86"/>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（采购人名称）</w:t>
      </w:r>
    </w:p>
    <w:p>
      <w:pPr>
        <w:autoSpaceDE w:val="0"/>
        <w:autoSpaceDN w:val="0"/>
        <w:adjustRightInd w:val="0"/>
        <w:spacing w:line="360" w:lineRule="auto"/>
        <w:ind w:firstLine="360" w:firstLineChars="150"/>
        <w:jc w:val="left"/>
        <w:rPr>
          <w:rFonts w:ascii="宋体" w:cs="宋体"/>
          <w:kern w:val="0"/>
          <w:sz w:val="24"/>
          <w:szCs w:val="24"/>
        </w:rPr>
      </w:pPr>
      <w:r>
        <w:rPr>
          <w:rFonts w:hint="eastAsia" w:ascii="宋体" w:hAnsi="宋体" w:cs="宋体"/>
          <w:kern w:val="0"/>
          <w:sz w:val="24"/>
          <w:szCs w:val="24"/>
        </w:rPr>
        <w:t>关于贵方</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日第</w:t>
      </w:r>
      <w:r>
        <w:rPr>
          <w:rFonts w:hint="eastAsia" w:ascii="宋体" w:hAnsi="宋体" w:cs="宋体"/>
          <w:kern w:val="0"/>
          <w:sz w:val="24"/>
          <w:szCs w:val="24"/>
          <w:u w:val="single"/>
        </w:rPr>
        <w:t>（项目编号）</w:t>
      </w:r>
      <w:r>
        <w:rPr>
          <w:rFonts w:hint="eastAsia" w:ascii="宋体" w:hAnsi="宋体" w:cs="宋体"/>
          <w:kern w:val="0"/>
          <w:sz w:val="24"/>
          <w:szCs w:val="24"/>
        </w:rPr>
        <w:t>竞争性磋商公告关于“</w:t>
      </w:r>
      <w:r>
        <w:rPr>
          <w:rFonts w:ascii="宋体" w:hAnsi="宋体" w:cs="宋体"/>
          <w:kern w:val="0"/>
          <w:sz w:val="24"/>
          <w:szCs w:val="24"/>
          <w:u w:val="single"/>
        </w:rPr>
        <w:t xml:space="preserve">     </w:t>
      </w:r>
      <w:r>
        <w:rPr>
          <w:rFonts w:hint="eastAsia" w:ascii="宋体" w:hAnsi="宋体" w:cs="宋体"/>
          <w:kern w:val="0"/>
          <w:sz w:val="24"/>
          <w:szCs w:val="24"/>
          <w:u w:val="single"/>
        </w:rPr>
        <w:t>（项目名称）</w:t>
      </w:r>
      <w:r>
        <w:rPr>
          <w:rFonts w:ascii="宋体" w:hAnsi="宋体" w:cs="宋体"/>
          <w:kern w:val="0"/>
          <w:sz w:val="24"/>
          <w:szCs w:val="24"/>
          <w:u w:val="single"/>
        </w:rPr>
        <w:t xml:space="preserve">      </w:t>
      </w:r>
      <w:r>
        <w:rPr>
          <w:rFonts w:ascii="宋体" w:hAnsi="宋体" w:cs="宋体"/>
          <w:kern w:val="0"/>
          <w:sz w:val="24"/>
          <w:szCs w:val="24"/>
        </w:rPr>
        <w:t xml:space="preserve"> </w:t>
      </w:r>
      <w:r>
        <w:rPr>
          <w:rFonts w:hint="eastAsia" w:ascii="宋体" w:hAnsi="宋体" w:cs="宋体"/>
          <w:kern w:val="0"/>
          <w:sz w:val="24"/>
          <w:szCs w:val="24"/>
        </w:rPr>
        <w:t>”的采购项目，本公司愿意参加投标，并有能力提供</w:t>
      </w:r>
      <w:r>
        <w:rPr>
          <w:rFonts w:hint="eastAsia" w:ascii="宋体" w:hAnsi="宋体" w:cs="宋体"/>
          <w:kern w:val="0"/>
          <w:sz w:val="24"/>
          <w:szCs w:val="24"/>
          <w:u w:val="single"/>
        </w:rPr>
        <w:t>（项目名称）</w:t>
      </w:r>
      <w:r>
        <w:rPr>
          <w:rFonts w:ascii="宋体" w:hAnsi="宋体" w:cs="宋体"/>
          <w:kern w:val="0"/>
          <w:sz w:val="24"/>
          <w:szCs w:val="24"/>
        </w:rPr>
        <w:t xml:space="preserve"> </w:t>
      </w:r>
      <w:r>
        <w:rPr>
          <w:rFonts w:hint="eastAsia" w:ascii="宋体" w:hAnsi="宋体" w:cs="宋体"/>
          <w:kern w:val="0"/>
          <w:sz w:val="24"/>
          <w:szCs w:val="24"/>
        </w:rPr>
        <w:t>项目中的全部服务内容，并保证所提交的所有文件和说明是真实和准确的。</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供应商：</w:t>
      </w:r>
      <w:r>
        <w:rPr>
          <w:rFonts w:ascii="宋体" w:hAnsi="宋体" w:cs="宋体"/>
          <w:kern w:val="0"/>
          <w:sz w:val="24"/>
          <w:szCs w:val="24"/>
          <w:u w:val="single"/>
        </w:rPr>
        <w:t xml:space="preserve"> </w:t>
      </w:r>
      <w:r>
        <w:rPr>
          <w:rFonts w:hint="eastAsia" w:ascii="宋体" w:hAnsi="宋体" w:cs="宋体"/>
          <w:kern w:val="0"/>
          <w:sz w:val="24"/>
          <w:szCs w:val="24"/>
          <w:u w:val="single"/>
        </w:rPr>
        <w:t>（全称）（盖章）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法定代表人：</w:t>
      </w:r>
      <w:r>
        <w:rPr>
          <w:rFonts w:hint="eastAsia" w:ascii="宋体" w:hAnsi="宋体" w:cs="宋体"/>
          <w:kern w:val="0"/>
          <w:sz w:val="24"/>
          <w:szCs w:val="24"/>
          <w:u w:val="single"/>
        </w:rPr>
        <w:t>（盖章）</w:t>
      </w: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地址：</w:t>
      </w:r>
      <w:r>
        <w:rPr>
          <w:rFonts w:ascii="宋体" w:hAnsi="宋体" w:cs="宋体"/>
          <w:kern w:val="0"/>
          <w:sz w:val="24"/>
          <w:szCs w:val="24"/>
          <w:u w:val="single"/>
        </w:rPr>
        <w:t xml:space="preserve">                           </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电话：</w:t>
      </w:r>
      <w:r>
        <w:rPr>
          <w:rFonts w:ascii="宋体" w:hAnsi="宋体" w:cs="宋体"/>
          <w:kern w:val="0"/>
          <w:sz w:val="24"/>
          <w:szCs w:val="24"/>
          <w:u w:val="single"/>
        </w:rPr>
        <w:t xml:space="preserve">                           </w:t>
      </w:r>
    </w:p>
    <w:p>
      <w:pPr>
        <w:jc w:val="left"/>
        <w:rPr>
          <w:rFonts w:ascii="宋体" w:cs="宋体"/>
          <w:b/>
          <w:sz w:val="24"/>
          <w:szCs w:val="24"/>
        </w:rPr>
      </w:pP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autoSpaceDE w:val="0"/>
        <w:autoSpaceDN w:val="0"/>
        <w:adjustRightInd w:val="0"/>
        <w:spacing w:line="360" w:lineRule="auto"/>
        <w:jc w:val="center"/>
        <w:rPr>
          <w:rFonts w:ascii="宋体" w:hAnsi="宋体" w:cs="宋体"/>
          <w:kern w:val="0"/>
          <w:sz w:val="24"/>
          <w:szCs w:val="24"/>
        </w:rPr>
      </w:pPr>
      <w:r>
        <w:rPr>
          <w:rFonts w:ascii="宋体"/>
          <w:sz w:val="24"/>
          <w:szCs w:val="24"/>
        </w:rPr>
        <w:br w:type="page"/>
      </w:r>
      <w:bookmarkStart w:id="87" w:name="_Toc78916577"/>
      <w:r>
        <w:rPr>
          <w:rFonts w:hint="eastAsia" w:ascii="宋体" w:hAnsi="宋体" w:cs="宋体"/>
          <w:kern w:val="0"/>
          <w:sz w:val="24"/>
          <w:szCs w:val="24"/>
        </w:rPr>
        <w:t>7-1、供应商基本情况表</w:t>
      </w:r>
      <w:bookmarkEnd w:id="87"/>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1038"/>
        <w:gridCol w:w="552"/>
        <w:gridCol w:w="587"/>
        <w:gridCol w:w="988"/>
        <w:gridCol w:w="262"/>
        <w:gridCol w:w="1733"/>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供应商名称</w:t>
            </w:r>
          </w:p>
        </w:tc>
        <w:tc>
          <w:tcPr>
            <w:tcW w:w="7300" w:type="dxa"/>
            <w:gridSpan w:val="7"/>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注册地址</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邮政编码</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成立时间</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企业性质</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营业执照号</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注册资金</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法定代表人</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电话</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联系人</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电话</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传真</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网址</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开户银行</w:t>
            </w:r>
          </w:p>
        </w:tc>
        <w:tc>
          <w:tcPr>
            <w:tcW w:w="3165" w:type="dxa"/>
            <w:gridSpan w:val="4"/>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银行帐号</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restart"/>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职工概况</w:t>
            </w:r>
          </w:p>
        </w:tc>
        <w:tc>
          <w:tcPr>
            <w:tcW w:w="1038" w:type="dxa"/>
            <w:vMerge w:val="restart"/>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职工总数</w:t>
            </w:r>
          </w:p>
        </w:tc>
        <w:tc>
          <w:tcPr>
            <w:tcW w:w="1139" w:type="dxa"/>
            <w:gridSpan w:val="2"/>
            <w:vMerge w:val="restart"/>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988" w:type="dxa"/>
            <w:vMerge w:val="restart"/>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其</w:t>
            </w:r>
          </w:p>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中</w:t>
            </w: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高级职称人员</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1038" w:type="dxa"/>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139" w:type="dxa"/>
            <w:gridSpan w:val="2"/>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988" w:type="dxa"/>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中级职称人员</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1038" w:type="dxa"/>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139" w:type="dxa"/>
            <w:gridSpan w:val="2"/>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988" w:type="dxa"/>
            <w:vMerge w:val="continue"/>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995"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初级职称人员</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7300" w:type="dxa"/>
            <w:gridSpan w:val="7"/>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单位负责人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1590"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姓名</w:t>
            </w:r>
          </w:p>
        </w:tc>
        <w:tc>
          <w:tcPr>
            <w:tcW w:w="1837" w:type="dxa"/>
            <w:gridSpan w:val="3"/>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职务及职称</w:t>
            </w:r>
          </w:p>
        </w:tc>
        <w:tc>
          <w:tcPr>
            <w:tcW w:w="1733" w:type="dxa"/>
            <w:vAlign w:val="center"/>
          </w:tcPr>
          <w:p>
            <w:pPr>
              <w:autoSpaceDE w:val="0"/>
              <w:autoSpaceDN w:val="0"/>
              <w:adjustRightInd w:val="0"/>
              <w:snapToGrid w:val="0"/>
              <w:spacing w:line="360" w:lineRule="auto"/>
              <w:ind w:firstLine="480" w:firstLineChars="200"/>
              <w:jc w:val="center"/>
              <w:rPr>
                <w:rFonts w:ascii="宋体" w:hAnsi="Calibri" w:eastAsia="宋体" w:cs="Times New Roman"/>
                <w:kern w:val="0"/>
                <w:sz w:val="24"/>
                <w:szCs w:val="24"/>
              </w:rPr>
            </w:pPr>
            <w:r>
              <w:rPr>
                <w:rFonts w:hint="eastAsia" w:ascii="宋体" w:hAnsi="宋体" w:eastAsia="宋体" w:cs="Times New Roman"/>
                <w:kern w:val="0"/>
                <w:sz w:val="24"/>
                <w:szCs w:val="24"/>
              </w:rPr>
              <w:t>年龄</w:t>
            </w: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Merge w:val="continue"/>
            <w:vAlign w:val="center"/>
          </w:tcPr>
          <w:p>
            <w:pPr>
              <w:widowControl/>
              <w:adjustRightInd w:val="0"/>
              <w:snapToGrid w:val="0"/>
              <w:spacing w:line="360" w:lineRule="auto"/>
              <w:jc w:val="center"/>
              <w:rPr>
                <w:rFonts w:ascii="宋体" w:hAnsi="Calibri" w:eastAsia="宋体" w:cs="Times New Roman"/>
                <w:kern w:val="0"/>
                <w:sz w:val="24"/>
                <w:szCs w:val="24"/>
              </w:rPr>
            </w:pPr>
          </w:p>
        </w:tc>
        <w:tc>
          <w:tcPr>
            <w:tcW w:w="1590" w:type="dxa"/>
            <w:gridSpan w:val="2"/>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837" w:type="dxa"/>
            <w:gridSpan w:val="3"/>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1733"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c>
          <w:tcPr>
            <w:tcW w:w="2140" w:type="dxa"/>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665" w:type="dxa"/>
            <w:vAlign w:val="center"/>
          </w:tcPr>
          <w:p>
            <w:pPr>
              <w:widowControl/>
              <w:adjustRightInd w:val="0"/>
              <w:snapToGrid w:val="0"/>
              <w:spacing w:line="360" w:lineRule="auto"/>
              <w:jc w:val="center"/>
              <w:rPr>
                <w:rFonts w:ascii="宋体" w:hAnsi="Calibri" w:eastAsia="宋体" w:cs="Times New Roman"/>
                <w:kern w:val="0"/>
                <w:sz w:val="24"/>
                <w:szCs w:val="24"/>
              </w:rPr>
            </w:pPr>
            <w:r>
              <w:rPr>
                <w:rFonts w:hint="eastAsia" w:ascii="宋体" w:hAnsi="宋体" w:eastAsia="宋体" w:cs="Times New Roman"/>
                <w:kern w:val="0"/>
                <w:sz w:val="24"/>
                <w:szCs w:val="24"/>
              </w:rPr>
              <w:t>经营范围</w:t>
            </w:r>
          </w:p>
        </w:tc>
        <w:tc>
          <w:tcPr>
            <w:tcW w:w="7300" w:type="dxa"/>
            <w:gridSpan w:val="7"/>
            <w:vAlign w:val="center"/>
          </w:tcPr>
          <w:p>
            <w:pPr>
              <w:autoSpaceDE w:val="0"/>
              <w:autoSpaceDN w:val="0"/>
              <w:adjustRightInd w:val="0"/>
              <w:snapToGrid w:val="0"/>
              <w:spacing w:line="360" w:lineRule="auto"/>
              <w:jc w:val="center"/>
              <w:rPr>
                <w:rFonts w:ascii="宋体" w:hAnsi="Calibri" w:eastAsia="宋体" w:cs="Times New Roman"/>
                <w:kern w:val="0"/>
                <w:sz w:val="24"/>
                <w:szCs w:val="24"/>
              </w:rPr>
            </w:pPr>
          </w:p>
        </w:tc>
      </w:tr>
    </w:tbl>
    <w:p>
      <w:pPr>
        <w:pStyle w:val="204"/>
        <w:rPr>
          <w:rFonts w:ascii="宋体" w:hAnsi="宋体"/>
          <w:sz w:val="24"/>
          <w:szCs w:val="24"/>
        </w:rPr>
      </w:pPr>
      <w:r>
        <w:rPr>
          <w:rFonts w:hint="eastAsia" w:ascii="宋体" w:hAnsi="宋体"/>
          <w:sz w:val="24"/>
          <w:szCs w:val="24"/>
        </w:rPr>
        <w:t>附件（1）法人或者其他组织的营业执照等证明文件，自然人的身份证明；</w:t>
      </w:r>
    </w:p>
    <w:p>
      <w:pPr>
        <w:pStyle w:val="22"/>
        <w:ind w:firstLine="480" w:firstLineChars="200"/>
        <w:rPr>
          <w:rFonts w:hAnsi="宋体"/>
          <w:sz w:val="24"/>
          <w:szCs w:val="24"/>
        </w:rPr>
      </w:pPr>
      <w:r>
        <w:rPr>
          <w:rFonts w:hint="eastAsia" w:hAnsi="宋体"/>
          <w:sz w:val="24"/>
          <w:szCs w:val="24"/>
        </w:rPr>
        <w:t>（2）财务状况报告、依法缴纳税收和社会保障资金的相关证明</w:t>
      </w:r>
    </w:p>
    <w:p>
      <w:pPr>
        <w:pStyle w:val="22"/>
        <w:ind w:firstLine="480" w:firstLineChars="200"/>
        <w:rPr>
          <w:rFonts w:hint="eastAsia" w:hAnsi="宋体"/>
          <w:sz w:val="24"/>
          <w:szCs w:val="24"/>
          <w:lang w:val="en-US" w:eastAsia="zh-CN"/>
        </w:rPr>
      </w:pPr>
      <w:r>
        <w:rPr>
          <w:rFonts w:hint="eastAsia" w:hAnsi="宋体"/>
          <w:sz w:val="24"/>
          <w:szCs w:val="24"/>
        </w:rPr>
        <w:t>（3）具备履行合同所必需的设备和专业技术能力的证明材料(由供应商根据项目需求提供说明材料)</w:t>
      </w:r>
      <w:r>
        <w:rPr>
          <w:rFonts w:hint="eastAsia" w:hAnsi="宋体"/>
          <w:sz w:val="24"/>
          <w:szCs w:val="24"/>
          <w:lang w:val="en-US" w:eastAsia="zh-CN"/>
        </w:rPr>
        <w:t xml:space="preserve"> </w:t>
      </w:r>
    </w:p>
    <w:p>
      <w:pPr>
        <w:pStyle w:val="22"/>
        <w:ind w:firstLine="480" w:firstLineChars="200"/>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4</w:t>
      </w:r>
      <w:r>
        <w:rPr>
          <w:rFonts w:hint="eastAsia" w:hAnsi="宋体"/>
          <w:sz w:val="24"/>
          <w:szCs w:val="24"/>
          <w:lang w:eastAsia="zh-CN"/>
        </w:rPr>
        <w:t>）工程造价咨询资质（如有）</w:t>
      </w:r>
    </w:p>
    <w:p>
      <w:pPr>
        <w:pStyle w:val="22"/>
        <w:ind w:firstLine="480" w:firstLineChars="200"/>
        <w:rPr>
          <w:rFonts w:hAnsi="宋体"/>
          <w:sz w:val="24"/>
          <w:szCs w:val="24"/>
        </w:rPr>
      </w:pPr>
      <w:r>
        <w:rPr>
          <w:rFonts w:hint="eastAsia" w:hAnsi="宋体"/>
          <w:sz w:val="24"/>
          <w:szCs w:val="24"/>
        </w:rPr>
        <w:t xml:space="preserve">备注：1）.供应商提供的财务状况报告，包括资产负债表等复印件。 (如供应商为新成立公司的，应提供公司成立之日后的财务报表) </w:t>
      </w:r>
    </w:p>
    <w:p>
      <w:pPr>
        <w:pStyle w:val="22"/>
        <w:ind w:firstLine="480" w:firstLineChars="200"/>
        <w:rPr>
          <w:rFonts w:hAnsi="宋体"/>
          <w:sz w:val="24"/>
          <w:szCs w:val="24"/>
        </w:rPr>
      </w:pPr>
      <w:r>
        <w:rPr>
          <w:rFonts w:hint="eastAsia" w:hAnsi="宋体"/>
          <w:sz w:val="24"/>
          <w:szCs w:val="24"/>
        </w:rPr>
        <w:t xml:space="preserve">      2）.提供依法缴纳税收和社会保障资金证明材料的复印件。</w:t>
      </w:r>
    </w:p>
    <w:p>
      <w:pPr>
        <w:spacing w:line="360" w:lineRule="auto"/>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7-1</w:t>
      </w:r>
      <w:r>
        <w:rPr>
          <w:rFonts w:ascii="宋体" w:hAnsi="宋体" w:cs="宋体"/>
          <w:kern w:val="0"/>
          <w:sz w:val="24"/>
          <w:szCs w:val="24"/>
        </w:rPr>
        <w:t xml:space="preserve">-1 </w:t>
      </w:r>
      <w:r>
        <w:rPr>
          <w:rFonts w:hint="eastAsia" w:ascii="宋体" w:hAnsi="宋体" w:cs="宋体"/>
          <w:kern w:val="0"/>
          <w:sz w:val="24"/>
          <w:szCs w:val="24"/>
        </w:rPr>
        <w:t>中小企业声明函</w:t>
      </w:r>
      <w:r>
        <w:rPr>
          <w:rFonts w:ascii="宋体" w:hAnsi="宋体" w:cs="宋体"/>
          <w:kern w:val="0"/>
          <w:sz w:val="24"/>
          <w:szCs w:val="24"/>
        </w:rPr>
        <w:t>（服务）</w:t>
      </w:r>
    </w:p>
    <w:p>
      <w:pPr>
        <w:spacing w:line="360" w:lineRule="auto"/>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本公司</w:t>
      </w:r>
      <w:r>
        <w:rPr>
          <w:rFonts w:hint="eastAsia" w:ascii="宋体" w:hAnsi="宋体" w:cs="宋体"/>
          <w:kern w:val="0"/>
          <w:sz w:val="24"/>
          <w:szCs w:val="24"/>
          <w:u w:val="single"/>
        </w:rPr>
        <w:t xml:space="preserve">        </w:t>
      </w:r>
      <w:r>
        <w:rPr>
          <w:rFonts w:ascii="宋体" w:hAnsi="宋体" w:cs="宋体"/>
          <w:kern w:val="0"/>
          <w:sz w:val="24"/>
          <w:szCs w:val="24"/>
        </w:rPr>
        <w:t>郑重声明，根据《政府采购促进中小企业发展管理办法》（财库</w:t>
      </w:r>
      <w:r>
        <w:rPr>
          <w:rFonts w:hint="eastAsia" w:ascii="宋体" w:hAnsi="宋体" w:cs="宋体"/>
          <w:kern w:val="0"/>
          <w:sz w:val="24"/>
          <w:szCs w:val="24"/>
        </w:rPr>
        <w:t>﹝</w:t>
      </w:r>
      <w:r>
        <w:rPr>
          <w:rFonts w:ascii="宋体" w:hAnsi="宋体" w:cs="宋体"/>
          <w:kern w:val="0"/>
          <w:sz w:val="24"/>
          <w:szCs w:val="24"/>
        </w:rPr>
        <w:t>2020</w:t>
      </w:r>
      <w:r>
        <w:rPr>
          <w:rFonts w:hint="eastAsia" w:ascii="宋体" w:hAnsi="宋体" w:cs="宋体"/>
          <w:kern w:val="0"/>
          <w:sz w:val="24"/>
          <w:szCs w:val="24"/>
        </w:rPr>
        <w:t>﹞</w:t>
      </w:r>
      <w:r>
        <w:rPr>
          <w:rFonts w:ascii="宋体" w:hAnsi="宋体" w:cs="宋体"/>
          <w:kern w:val="0"/>
          <w:sz w:val="24"/>
          <w:szCs w:val="24"/>
        </w:rPr>
        <w:t>46 号）的规定，本公司</w:t>
      </w:r>
      <w:r>
        <w:rPr>
          <w:rFonts w:hint="eastAsia" w:ascii="宋体" w:hAnsi="宋体" w:cs="宋体"/>
          <w:kern w:val="0"/>
          <w:sz w:val="24"/>
          <w:szCs w:val="24"/>
          <w:u w:val="single"/>
        </w:rPr>
        <w:t xml:space="preserve">          </w:t>
      </w:r>
      <w:r>
        <w:rPr>
          <w:rFonts w:ascii="宋体" w:hAnsi="宋体" w:cs="宋体"/>
          <w:kern w:val="0"/>
          <w:sz w:val="24"/>
          <w:szCs w:val="24"/>
        </w:rPr>
        <w:t>参加</w:t>
      </w:r>
      <w:r>
        <w:rPr>
          <w:rFonts w:ascii="宋体" w:hAnsi="宋体" w:cs="宋体"/>
          <w:kern w:val="0"/>
          <w:sz w:val="24"/>
          <w:szCs w:val="24"/>
          <w:u w:val="single"/>
        </w:rPr>
        <w:t>（单位名称）</w:t>
      </w:r>
      <w:r>
        <w:rPr>
          <w:rFonts w:ascii="宋体" w:hAnsi="宋体" w:cs="宋体"/>
          <w:kern w:val="0"/>
          <w:sz w:val="24"/>
          <w:szCs w:val="24"/>
        </w:rPr>
        <w:t>的</w:t>
      </w:r>
      <w:r>
        <w:rPr>
          <w:rFonts w:ascii="宋体" w:hAnsi="宋体" w:cs="宋体"/>
          <w:kern w:val="0"/>
          <w:sz w:val="24"/>
          <w:szCs w:val="24"/>
          <w:u w:val="single"/>
        </w:rPr>
        <w:t>（项目名称）</w:t>
      </w:r>
      <w:r>
        <w:rPr>
          <w:rFonts w:ascii="宋体" w:hAnsi="宋体" w:cs="宋体"/>
          <w:kern w:val="0"/>
          <w:sz w:val="24"/>
          <w:szCs w:val="24"/>
        </w:rPr>
        <w:t>采购活动，服务全部由符合政策要求的中小企业承接。相关企业的具体情况如下：</w:t>
      </w:r>
    </w:p>
    <w:p>
      <w:pPr>
        <w:spacing w:line="360" w:lineRule="auto"/>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u w:val="single"/>
        </w:rPr>
        <w:t>（标的名称）</w:t>
      </w:r>
      <w:r>
        <w:rPr>
          <w:rFonts w:ascii="宋体" w:hAnsi="宋体" w:cs="宋体"/>
          <w:kern w:val="0"/>
          <w:sz w:val="24"/>
          <w:szCs w:val="24"/>
        </w:rPr>
        <w:t>，属于</w:t>
      </w:r>
      <w:r>
        <w:rPr>
          <w:rFonts w:ascii="宋体" w:hAnsi="宋体" w:cs="宋体"/>
          <w:kern w:val="0"/>
          <w:sz w:val="24"/>
          <w:szCs w:val="24"/>
          <w:u w:val="single"/>
        </w:rPr>
        <w:t>（采购文件中明确的所属行业）</w:t>
      </w:r>
      <w:r>
        <w:rPr>
          <w:rFonts w:ascii="宋体" w:hAnsi="宋体" w:cs="宋体"/>
          <w:kern w:val="0"/>
          <w:sz w:val="24"/>
          <w:szCs w:val="24"/>
        </w:rPr>
        <w:t>；承接企业为</w:t>
      </w:r>
      <w:r>
        <w:rPr>
          <w:rFonts w:ascii="宋体" w:hAnsi="宋体" w:cs="宋体"/>
          <w:kern w:val="0"/>
          <w:sz w:val="24"/>
          <w:szCs w:val="24"/>
          <w:u w:val="single"/>
        </w:rPr>
        <w:t>（企业名称）</w:t>
      </w:r>
      <w:r>
        <w:rPr>
          <w:rFonts w:ascii="宋体" w:hAnsi="宋体" w:cs="宋体"/>
          <w:kern w:val="0"/>
          <w:sz w:val="24"/>
          <w:szCs w:val="24"/>
        </w:rPr>
        <w:t>，从业人员</w:t>
      </w:r>
      <w:r>
        <w:rPr>
          <w:rFonts w:hint="eastAsia" w:ascii="宋体" w:hAnsi="宋体" w:cs="宋体"/>
          <w:kern w:val="0"/>
          <w:sz w:val="24"/>
          <w:szCs w:val="24"/>
          <w:u w:val="single"/>
        </w:rPr>
        <w:t xml:space="preserve">   </w:t>
      </w:r>
      <w:r>
        <w:rPr>
          <w:rFonts w:ascii="宋体" w:hAnsi="宋体" w:cs="宋体"/>
          <w:kern w:val="0"/>
          <w:sz w:val="24"/>
          <w:szCs w:val="24"/>
        </w:rPr>
        <w:t>人，营业收入为</w:t>
      </w:r>
      <w:r>
        <w:rPr>
          <w:rFonts w:hint="eastAsia" w:ascii="宋体" w:hAnsi="宋体" w:cs="宋体"/>
          <w:kern w:val="0"/>
          <w:sz w:val="24"/>
          <w:szCs w:val="24"/>
          <w:u w:val="single"/>
        </w:rPr>
        <w:t xml:space="preserve">   </w:t>
      </w:r>
      <w:r>
        <w:rPr>
          <w:rFonts w:ascii="宋体" w:hAnsi="宋体" w:cs="宋体"/>
          <w:kern w:val="0"/>
          <w:sz w:val="24"/>
          <w:szCs w:val="24"/>
        </w:rPr>
        <w:t>万元，资产总额为</w:t>
      </w:r>
      <w:r>
        <w:rPr>
          <w:rFonts w:hint="eastAsia" w:ascii="宋体" w:hAnsi="宋体" w:cs="宋体"/>
          <w:kern w:val="0"/>
          <w:sz w:val="24"/>
          <w:szCs w:val="24"/>
          <w:u w:val="single"/>
        </w:rPr>
        <w:t xml:space="preserve">   </w:t>
      </w:r>
      <w:r>
        <w:rPr>
          <w:rFonts w:ascii="宋体" w:hAnsi="宋体" w:cs="宋体"/>
          <w:kern w:val="0"/>
          <w:sz w:val="24"/>
          <w:szCs w:val="24"/>
        </w:rPr>
        <w:t>万元，属于</w:t>
      </w:r>
      <w:r>
        <w:rPr>
          <w:rFonts w:ascii="宋体" w:hAnsi="宋体" w:cs="宋体"/>
          <w:kern w:val="0"/>
          <w:sz w:val="24"/>
          <w:szCs w:val="24"/>
          <w:u w:val="single"/>
        </w:rPr>
        <w:t>（中型企业、小型企业、微型企业）</w:t>
      </w:r>
      <w:r>
        <w:rPr>
          <w:rFonts w:ascii="宋体" w:hAnsi="宋体" w:cs="宋体"/>
          <w:kern w:val="0"/>
          <w:sz w:val="24"/>
          <w:szCs w:val="24"/>
        </w:rPr>
        <w:t>；</w:t>
      </w:r>
    </w:p>
    <w:p>
      <w:pPr>
        <w:spacing w:line="360" w:lineRule="auto"/>
        <w:rPr>
          <w:rFonts w:ascii="宋体" w:hAnsi="宋体" w:cs="宋体"/>
          <w:kern w:val="0"/>
          <w:sz w:val="24"/>
          <w:szCs w:val="24"/>
        </w:rPr>
      </w:pPr>
      <w:r>
        <w:rPr>
          <w:rFonts w:ascii="宋体" w:hAnsi="宋体" w:cs="宋体"/>
          <w:kern w:val="0"/>
          <w:sz w:val="24"/>
          <w:szCs w:val="24"/>
        </w:rPr>
        <w:t>……</w:t>
      </w:r>
    </w:p>
    <w:p>
      <w:pPr>
        <w:spacing w:line="360" w:lineRule="auto"/>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以上企业，不属于大企业的分支机构，不存在控股股东为大企业的情形，也不存在与大企业的负责人为同一人的情形。</w:t>
      </w:r>
    </w:p>
    <w:p>
      <w:pPr>
        <w:spacing w:line="360" w:lineRule="auto"/>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本企业对上述声明内容的真实性负责。如有虚假，将依法承担相应责任。</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r>
        <w:rPr>
          <w:rFonts w:hint="eastAsia" w:ascii="宋体" w:hAnsi="宋体" w:cs="宋体"/>
          <w:kern w:val="0"/>
          <w:sz w:val="24"/>
          <w:szCs w:val="24"/>
        </w:rPr>
        <w:t>供应商</w:t>
      </w:r>
      <w:r>
        <w:rPr>
          <w:rFonts w:ascii="宋体" w:hAnsi="宋体" w:cs="宋体"/>
          <w:kern w:val="0"/>
          <w:sz w:val="24"/>
          <w:szCs w:val="24"/>
        </w:rPr>
        <w:t>名称（盖章）：</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r>
        <w:rPr>
          <w:rFonts w:ascii="宋体" w:hAnsi="宋体" w:cs="宋体"/>
          <w:kern w:val="0"/>
          <w:sz w:val="24"/>
          <w:szCs w:val="24"/>
        </w:rPr>
        <w:t>日期：</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说明：</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1</w:t>
      </w:r>
      <w:r>
        <w:rPr>
          <w:rFonts w:hint="eastAsia" w:ascii="宋体" w:hAnsi="宋体" w:cs="宋体"/>
          <w:kern w:val="0"/>
          <w:sz w:val="24"/>
          <w:szCs w:val="24"/>
        </w:rPr>
        <w:t>、填写前请认真阅读《工业和信息化部、国家统计局、国家发展和改革委员会、财政部关于印发中小企业划型标准规定的通知》（工信部联企业</w:t>
      </w:r>
      <w:r>
        <w:rPr>
          <w:rFonts w:ascii="宋体" w:hAnsi="宋体" w:cs="宋体"/>
          <w:kern w:val="0"/>
          <w:sz w:val="24"/>
          <w:szCs w:val="24"/>
        </w:rPr>
        <w:t xml:space="preserve">[2011]300 </w:t>
      </w:r>
      <w:r>
        <w:rPr>
          <w:rFonts w:hint="eastAsia" w:ascii="宋体" w:hAnsi="宋体" w:cs="宋体"/>
          <w:kern w:val="0"/>
          <w:sz w:val="24"/>
          <w:szCs w:val="24"/>
        </w:rPr>
        <w:t>号）和《财政部工业和信息化部关于印发</w:t>
      </w:r>
      <w:r>
        <w:rPr>
          <w:rFonts w:ascii="宋体" w:hAnsi="宋体" w:cs="宋体"/>
          <w:kern w:val="0"/>
          <w:sz w:val="24"/>
          <w:szCs w:val="24"/>
        </w:rPr>
        <w:t>《政府采购促进中小企业发展管理办法》(</w:t>
      </w:r>
      <w:r>
        <w:rPr>
          <w:rFonts w:hint="eastAsia" w:ascii="宋体" w:hAnsi="宋体" w:cs="宋体"/>
          <w:kern w:val="0"/>
          <w:sz w:val="24"/>
          <w:szCs w:val="24"/>
        </w:rPr>
        <w:t>财库</w:t>
      </w:r>
      <w:r>
        <w:rPr>
          <w:rFonts w:ascii="宋体" w:hAnsi="宋体" w:cs="宋体"/>
          <w:kern w:val="0"/>
          <w:sz w:val="24"/>
          <w:szCs w:val="24"/>
        </w:rPr>
        <w:t>[20</w:t>
      </w:r>
      <w:r>
        <w:rPr>
          <w:rFonts w:hint="eastAsia" w:ascii="宋体" w:hAnsi="宋体" w:cs="宋体"/>
          <w:kern w:val="0"/>
          <w:sz w:val="24"/>
          <w:szCs w:val="24"/>
        </w:rPr>
        <w:t>20</w:t>
      </w:r>
      <w:r>
        <w:rPr>
          <w:rFonts w:ascii="宋体" w:hAnsi="宋体" w:cs="宋体"/>
          <w:kern w:val="0"/>
          <w:sz w:val="24"/>
          <w:szCs w:val="24"/>
        </w:rPr>
        <w:t>]</w:t>
      </w:r>
      <w:r>
        <w:rPr>
          <w:rFonts w:hint="eastAsia" w:ascii="宋体" w:hAnsi="宋体" w:cs="宋体"/>
          <w:kern w:val="0"/>
          <w:sz w:val="24"/>
          <w:szCs w:val="24"/>
        </w:rPr>
        <w:t>46号</w:t>
      </w:r>
      <w:r>
        <w:rPr>
          <w:rFonts w:ascii="宋体" w:hAnsi="宋体" w:cs="宋体"/>
          <w:kern w:val="0"/>
          <w:sz w:val="24"/>
          <w:szCs w:val="24"/>
        </w:rPr>
        <w:t>)</w:t>
      </w:r>
      <w:r>
        <w:rPr>
          <w:rFonts w:hint="eastAsia" w:ascii="宋体" w:hAnsi="宋体" w:cs="宋体"/>
          <w:kern w:val="0"/>
          <w:sz w:val="24"/>
          <w:szCs w:val="24"/>
        </w:rPr>
        <w:t>相关规定。</w:t>
      </w:r>
    </w:p>
    <w:p>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2</w:t>
      </w:r>
      <w:r>
        <w:rPr>
          <w:rFonts w:hint="eastAsia" w:ascii="宋体" w:hAnsi="宋体" w:cs="宋体"/>
          <w:kern w:val="0"/>
          <w:sz w:val="24"/>
          <w:szCs w:val="24"/>
        </w:rPr>
        <w:t>、从业人员、营业收入、资产总额填报上一年度数据，无上一年度数据的新成立企业可不填报。</w:t>
      </w:r>
    </w:p>
    <w:p>
      <w:pPr>
        <w:widowControl/>
        <w:jc w:val="left"/>
        <w:rPr>
          <w:rFonts w:ascii="宋体" w:cs="宋体"/>
          <w:kern w:val="0"/>
          <w:sz w:val="24"/>
          <w:szCs w:val="24"/>
        </w:rPr>
      </w:pPr>
      <w:r>
        <w:rPr>
          <w:rFonts w:ascii="宋体" w:cs="宋体"/>
          <w:kern w:val="0"/>
          <w:sz w:val="24"/>
          <w:szCs w:val="24"/>
        </w:rPr>
        <w:br w:type="page"/>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7-1</w:t>
      </w:r>
      <w:r>
        <w:rPr>
          <w:rFonts w:ascii="宋体" w:hAnsi="宋体" w:cs="宋体"/>
          <w:kern w:val="0"/>
          <w:sz w:val="24"/>
          <w:szCs w:val="24"/>
        </w:rPr>
        <w:t xml:space="preserve">-2 </w:t>
      </w:r>
      <w:r>
        <w:rPr>
          <w:rFonts w:hint="eastAsia" w:ascii="宋体" w:hAnsi="宋体" w:cs="宋体"/>
          <w:kern w:val="0"/>
          <w:sz w:val="24"/>
          <w:szCs w:val="24"/>
        </w:rPr>
        <w:t>残疾人福利性单位声明函</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本单位郑重声明，根据《财政部民政部中国残疾人联合会关于促进残疾人就业政府采购政策的通知》（财库〔</w:t>
      </w:r>
      <w:r>
        <w:rPr>
          <w:rFonts w:ascii="宋体" w:hAnsi="宋体" w:cs="宋体"/>
          <w:kern w:val="0"/>
          <w:sz w:val="24"/>
          <w:szCs w:val="24"/>
        </w:rPr>
        <w:t>2017</w:t>
      </w:r>
      <w:r>
        <w:rPr>
          <w:rFonts w:hint="eastAsia" w:ascii="宋体" w:hAnsi="宋体" w:cs="宋体"/>
          <w:kern w:val="0"/>
          <w:sz w:val="24"/>
          <w:szCs w:val="24"/>
        </w:rPr>
        <w:t>〕</w:t>
      </w:r>
      <w:r>
        <w:rPr>
          <w:rFonts w:ascii="宋体" w:hAnsi="宋体" w:cs="宋体"/>
          <w:kern w:val="0"/>
          <w:sz w:val="24"/>
          <w:szCs w:val="24"/>
        </w:rPr>
        <w:t>141</w:t>
      </w:r>
      <w:r>
        <w:rPr>
          <w:rFonts w:hint="eastAsia" w:ascii="宋体" w:hAnsi="宋体" w:cs="宋体"/>
          <w:kern w:val="0"/>
          <w:sz w:val="24"/>
          <w:szCs w:val="24"/>
        </w:rPr>
        <w:t>号）的规定，本单位为符合条件的残疾人福利性单位，且本单位参加</w:t>
      </w:r>
      <w:r>
        <w:rPr>
          <w:rFonts w:ascii="宋体" w:hAnsi="宋体" w:cs="宋体"/>
          <w:kern w:val="0"/>
          <w:sz w:val="24"/>
          <w:szCs w:val="24"/>
          <w:u w:val="single"/>
        </w:rPr>
        <w:t>______</w:t>
      </w:r>
      <w:r>
        <w:rPr>
          <w:rFonts w:hint="eastAsia" w:ascii="宋体" w:hAnsi="宋体" w:cs="宋体"/>
          <w:kern w:val="0"/>
          <w:sz w:val="24"/>
          <w:szCs w:val="24"/>
        </w:rPr>
        <w:t>单位的</w:t>
      </w:r>
      <w:r>
        <w:rPr>
          <w:rFonts w:ascii="宋体" w:hAnsi="宋体" w:cs="宋体"/>
          <w:kern w:val="0"/>
          <w:sz w:val="24"/>
          <w:szCs w:val="24"/>
          <w:u w:val="single"/>
        </w:rPr>
        <w:t>______</w:t>
      </w:r>
      <w:r>
        <w:rPr>
          <w:rFonts w:hint="eastAsia" w:ascii="宋体" w:hAnsi="宋体" w:cs="宋体"/>
          <w:kern w:val="0"/>
          <w:sz w:val="24"/>
          <w:szCs w:val="24"/>
        </w:rPr>
        <w:t>项目采购活动由本单位提供服务。</w:t>
      </w:r>
    </w:p>
    <w:p>
      <w:pPr>
        <w:autoSpaceDE w:val="0"/>
        <w:autoSpaceDN w:val="0"/>
        <w:adjustRightInd w:val="0"/>
        <w:spacing w:line="360" w:lineRule="auto"/>
        <w:ind w:firstLine="480" w:firstLineChars="200"/>
        <w:jc w:val="left"/>
        <w:rPr>
          <w:rFonts w:ascii="宋体" w:cs="宋体"/>
          <w:kern w:val="0"/>
          <w:sz w:val="24"/>
          <w:szCs w:val="24"/>
        </w:rPr>
      </w:pPr>
      <w:r>
        <w:rPr>
          <w:rFonts w:hint="eastAsia" w:ascii="宋体" w:hAnsi="宋体" w:cs="宋体"/>
          <w:kern w:val="0"/>
          <w:sz w:val="24"/>
          <w:szCs w:val="24"/>
        </w:rPr>
        <w:t>本单位对上述声明的真实性负责。如有虚假，将依法承担相应责任。</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（盖单位章）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widowControl/>
        <w:jc w:val="left"/>
        <w:rPr>
          <w:rFonts w:ascii="宋体" w:cs="宋体"/>
          <w:kern w:val="0"/>
          <w:sz w:val="24"/>
          <w:szCs w:val="24"/>
        </w:rPr>
      </w:pPr>
      <w:r>
        <w:rPr>
          <w:rFonts w:ascii="宋体" w:cs="宋体"/>
          <w:kern w:val="0"/>
          <w:sz w:val="24"/>
          <w:szCs w:val="24"/>
        </w:rPr>
        <w:br w:type="page"/>
      </w:r>
    </w:p>
    <w:p>
      <w:pPr>
        <w:spacing w:line="360" w:lineRule="auto"/>
        <w:ind w:firstLine="480" w:firstLineChars="200"/>
        <w:jc w:val="center"/>
        <w:rPr>
          <w:rFonts w:ascii="宋体" w:hAnsi="宋体"/>
          <w:kern w:val="0"/>
          <w:sz w:val="24"/>
          <w:szCs w:val="24"/>
        </w:rPr>
      </w:pPr>
      <w:r>
        <w:rPr>
          <w:rFonts w:hint="eastAsia" w:ascii="宋体" w:hAnsi="宋体" w:cs="宋体"/>
          <w:kern w:val="0"/>
          <w:sz w:val="24"/>
          <w:szCs w:val="24"/>
        </w:rPr>
        <w:t>7-1</w:t>
      </w:r>
      <w:r>
        <w:rPr>
          <w:rFonts w:ascii="宋体" w:hAnsi="宋体" w:cs="宋体"/>
          <w:kern w:val="0"/>
          <w:sz w:val="24"/>
          <w:szCs w:val="24"/>
        </w:rPr>
        <w:t>-</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kern w:val="0"/>
          <w:sz w:val="24"/>
          <w:szCs w:val="24"/>
        </w:rPr>
        <w:t>监狱企业声明函</w:t>
      </w:r>
    </w:p>
    <w:p>
      <w:pPr>
        <w:spacing w:line="360" w:lineRule="auto"/>
        <w:jc w:val="center"/>
        <w:rPr>
          <w:rFonts w:ascii="宋体" w:hAnsi="宋体"/>
          <w:kern w:val="0"/>
          <w:sz w:val="24"/>
          <w:szCs w:val="24"/>
        </w:rPr>
      </w:pPr>
      <w:r>
        <w:rPr>
          <w:rFonts w:hint="eastAsia" w:ascii="宋体" w:hAnsi="宋体"/>
          <w:kern w:val="0"/>
          <w:sz w:val="24"/>
          <w:szCs w:val="24"/>
        </w:rPr>
        <w:t>（监狱企业适用）</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本公司郑重声明，根据《关于政府采购支持监狱企业发展有关问题的通知》（财库[2014]68号）的规定，本公司为监狱企业。</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本公司参加______单位的______项目采购活动，由本企业提供服务。</w:t>
      </w:r>
    </w:p>
    <w:p>
      <w:pPr>
        <w:spacing w:line="360" w:lineRule="auto"/>
        <w:ind w:firstLine="540" w:firstLineChars="225"/>
        <w:rPr>
          <w:rFonts w:ascii="宋体" w:hAnsi="宋体"/>
          <w:kern w:val="0"/>
          <w:sz w:val="24"/>
          <w:szCs w:val="24"/>
        </w:rPr>
      </w:pPr>
      <w:r>
        <w:rPr>
          <w:rFonts w:hint="eastAsia" w:ascii="宋体" w:hAnsi="宋体"/>
          <w:kern w:val="0"/>
          <w:sz w:val="24"/>
          <w:szCs w:val="24"/>
        </w:rPr>
        <w:t>本公司对上述声明的真实性负责。如有虚假，将依法承担相应责任。</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autoSpaceDE w:val="0"/>
        <w:autoSpaceDN w:val="0"/>
        <w:adjustRightInd w:val="0"/>
        <w:spacing w:line="360" w:lineRule="auto"/>
        <w:jc w:val="left"/>
        <w:rPr>
          <w:rFonts w:ascii="宋体" w:cs="宋体"/>
          <w:kern w:val="0"/>
          <w:sz w:val="24"/>
          <w:szCs w:val="24"/>
          <w:u w:val="single"/>
        </w:rPr>
      </w:pPr>
      <w:r>
        <w:rPr>
          <w:rFonts w:hint="eastAsia" w:ascii="宋体" w:hAnsi="宋体" w:cs="宋体"/>
          <w:kern w:val="0"/>
          <w:sz w:val="24"/>
          <w:szCs w:val="24"/>
        </w:rPr>
        <w:t>供应商名称：</w:t>
      </w:r>
      <w:r>
        <w:rPr>
          <w:rFonts w:ascii="宋体" w:hAnsi="宋体" w:cs="宋体"/>
          <w:kern w:val="0"/>
          <w:sz w:val="24"/>
          <w:szCs w:val="24"/>
          <w:u w:val="single"/>
        </w:rPr>
        <w:t xml:space="preserve"> </w:t>
      </w:r>
      <w:r>
        <w:rPr>
          <w:rFonts w:hint="eastAsia" w:ascii="宋体" w:hAnsi="宋体" w:cs="宋体"/>
          <w:kern w:val="0"/>
          <w:sz w:val="24"/>
          <w:szCs w:val="24"/>
          <w:u w:val="single"/>
        </w:rPr>
        <w:t>（盖单位章）</w:t>
      </w:r>
    </w:p>
    <w:p>
      <w:pPr>
        <w:autoSpaceDE w:val="0"/>
        <w:autoSpaceDN w:val="0"/>
        <w:adjustRightInd w:val="0"/>
        <w:spacing w:line="360" w:lineRule="auto"/>
        <w:jc w:val="left"/>
        <w:rPr>
          <w:rFonts w:ascii="宋体" w:cs="宋体"/>
          <w:kern w:val="0"/>
          <w:sz w:val="24"/>
          <w:szCs w:val="24"/>
        </w:rPr>
      </w:pPr>
      <w:r>
        <w:rPr>
          <w:rFonts w:hint="eastAsia" w:ascii="宋体" w:hAnsi="宋体" w:cs="宋体"/>
          <w:kern w:val="0"/>
          <w:sz w:val="24"/>
          <w:szCs w:val="24"/>
        </w:rPr>
        <w:t>日期：</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rPr>
        <w:t>日</w:t>
      </w:r>
    </w:p>
    <w:p>
      <w:pPr>
        <w:autoSpaceDE w:val="0"/>
        <w:autoSpaceDN w:val="0"/>
        <w:adjustRightInd w:val="0"/>
        <w:spacing w:line="360" w:lineRule="auto"/>
        <w:jc w:val="center"/>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autoSpaceDE w:val="0"/>
        <w:autoSpaceDN w:val="0"/>
        <w:adjustRightInd w:val="0"/>
        <w:spacing w:line="360" w:lineRule="auto"/>
        <w:jc w:val="left"/>
        <w:rPr>
          <w:rFonts w:ascii="宋体" w:cs="宋体"/>
          <w:kern w:val="0"/>
          <w:sz w:val="24"/>
          <w:szCs w:val="24"/>
        </w:rPr>
      </w:pPr>
    </w:p>
    <w:p>
      <w:pPr>
        <w:widowControl/>
        <w:jc w:val="left"/>
        <w:rPr>
          <w:rFonts w:ascii="宋体" w:hAnsi="宋体" w:cs="宋体"/>
          <w:kern w:val="0"/>
          <w:sz w:val="24"/>
          <w:szCs w:val="24"/>
        </w:rPr>
      </w:pPr>
      <w:r>
        <w:rPr>
          <w:rFonts w:ascii="宋体" w:hAnsi="宋体" w:cs="宋体"/>
          <w:kern w:val="0"/>
          <w:sz w:val="24"/>
          <w:szCs w:val="24"/>
        </w:rPr>
        <w:br w:type="page"/>
      </w:r>
    </w:p>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7-1-</w:t>
      </w:r>
      <w:r>
        <w:rPr>
          <w:rFonts w:ascii="宋体" w:hAnsi="宋体" w:cs="宋体"/>
          <w:kern w:val="0"/>
          <w:sz w:val="24"/>
          <w:szCs w:val="24"/>
        </w:rPr>
        <w:t>4</w:t>
      </w:r>
      <w:r>
        <w:rPr>
          <w:rFonts w:hint="eastAsia" w:ascii="宋体" w:hAnsi="宋体" w:cs="宋体"/>
          <w:kern w:val="0"/>
          <w:sz w:val="24"/>
          <w:szCs w:val="24"/>
        </w:rPr>
        <w:t>、信用查询文件</w:t>
      </w:r>
    </w:p>
    <w:p>
      <w:pPr>
        <w:pStyle w:val="22"/>
        <w:spacing w:line="360" w:lineRule="auto"/>
        <w:ind w:firstLine="480" w:firstLineChars="200"/>
        <w:jc w:val="center"/>
        <w:rPr>
          <w:rFonts w:hAnsi="宋体" w:cs="宋体"/>
          <w:kern w:val="0"/>
          <w:sz w:val="24"/>
          <w:szCs w:val="24"/>
        </w:rPr>
      </w:pPr>
      <w:r>
        <w:rPr>
          <w:rFonts w:hint="eastAsia" w:hAnsi="宋体" w:cs="宋体"/>
          <w:kern w:val="0"/>
          <w:sz w:val="24"/>
          <w:szCs w:val="24"/>
        </w:rPr>
        <w:t>参加政府采购活动前三年内在经营活动中</w:t>
      </w:r>
    </w:p>
    <w:p>
      <w:pPr>
        <w:pStyle w:val="22"/>
        <w:spacing w:line="360" w:lineRule="auto"/>
        <w:ind w:firstLine="480" w:firstLineChars="200"/>
        <w:jc w:val="center"/>
        <w:rPr>
          <w:rFonts w:cs="宋体"/>
          <w:kern w:val="0"/>
          <w:sz w:val="24"/>
          <w:szCs w:val="24"/>
        </w:rPr>
      </w:pPr>
      <w:r>
        <w:rPr>
          <w:rFonts w:hint="eastAsia" w:hAnsi="宋体" w:cs="宋体"/>
          <w:kern w:val="0"/>
          <w:sz w:val="24"/>
          <w:szCs w:val="24"/>
        </w:rPr>
        <w:t>没有重大违法记录</w:t>
      </w:r>
    </w:p>
    <w:p>
      <w:pPr>
        <w:pStyle w:val="22"/>
        <w:spacing w:line="360" w:lineRule="auto"/>
        <w:ind w:firstLine="480" w:firstLineChars="200"/>
        <w:rPr>
          <w:rFonts w:hAnsi="宋体"/>
          <w:sz w:val="24"/>
          <w:szCs w:val="24"/>
        </w:rPr>
      </w:pPr>
    </w:p>
    <w:p>
      <w:pPr>
        <w:pStyle w:val="22"/>
        <w:spacing w:line="360" w:lineRule="auto"/>
        <w:ind w:firstLine="480" w:firstLineChars="200"/>
        <w:rPr>
          <w:rFonts w:hAnsi="宋体"/>
          <w:sz w:val="24"/>
          <w:szCs w:val="24"/>
        </w:rPr>
      </w:pPr>
    </w:p>
    <w:p>
      <w:pPr>
        <w:pStyle w:val="22"/>
        <w:spacing w:line="360" w:lineRule="auto"/>
        <w:ind w:firstLine="480" w:firstLineChars="200"/>
        <w:rPr>
          <w:rFonts w:hAnsi="宋体"/>
          <w:sz w:val="24"/>
          <w:szCs w:val="24"/>
        </w:rPr>
      </w:pPr>
    </w:p>
    <w:p>
      <w:pPr>
        <w:pStyle w:val="22"/>
        <w:spacing w:line="360" w:lineRule="auto"/>
        <w:ind w:firstLine="400" w:firstLineChars="200"/>
        <w:rPr>
          <w:rFonts w:hAnsi="宋体"/>
          <w:sz w:val="20"/>
        </w:rPr>
      </w:pPr>
    </w:p>
    <w:p>
      <w:pPr>
        <w:pStyle w:val="22"/>
        <w:spacing w:line="360" w:lineRule="auto"/>
        <w:ind w:firstLine="480" w:firstLineChars="200"/>
        <w:rPr>
          <w:rFonts w:hAnsi="宋体"/>
        </w:rPr>
      </w:pPr>
      <w:r>
        <w:rPr>
          <w:rFonts w:hint="eastAsia" w:hAnsi="宋体" w:cs="宋体"/>
          <w:kern w:val="0"/>
          <w:sz w:val="24"/>
          <w:szCs w:val="24"/>
        </w:rPr>
        <w:t>注：附网页查询后的截图证明。</w:t>
      </w:r>
    </w:p>
    <w:p>
      <w:pPr>
        <w:autoSpaceDE w:val="0"/>
        <w:autoSpaceDN w:val="0"/>
        <w:adjustRightInd w:val="0"/>
        <w:spacing w:line="360" w:lineRule="auto"/>
        <w:ind w:firstLine="482" w:firstLineChars="200"/>
        <w:jc w:val="left"/>
        <w:rPr>
          <w:rFonts w:ascii="宋体" w:cs="宋体"/>
          <w:kern w:val="0"/>
          <w:sz w:val="24"/>
          <w:szCs w:val="24"/>
        </w:rPr>
      </w:pPr>
      <w:r>
        <w:rPr>
          <w:rFonts w:hint="eastAsia" w:ascii="宋体" w:hAnsi="宋体" w:cs="宋体"/>
          <w:b/>
          <w:kern w:val="0"/>
          <w:sz w:val="24"/>
          <w:szCs w:val="24"/>
        </w:rPr>
        <w:t>查询渠道为：</w:t>
      </w:r>
      <w:r>
        <w:rPr>
          <w:rFonts w:hint="eastAsia" w:ascii="宋体" w:hAnsi="宋体" w:cs="宋体"/>
          <w:kern w:val="0"/>
          <w:sz w:val="24"/>
          <w:szCs w:val="24"/>
        </w:rPr>
        <w:t>中国政府采购网（</w:t>
      </w:r>
      <w:r>
        <w:rPr>
          <w:rFonts w:ascii="宋体" w:hAnsi="宋体" w:cs="宋体"/>
          <w:kern w:val="0"/>
          <w:sz w:val="24"/>
          <w:szCs w:val="24"/>
        </w:rPr>
        <w:t>www.ccgp.gov.cn</w:t>
      </w:r>
      <w:r>
        <w:rPr>
          <w:rFonts w:hint="eastAsia" w:ascii="宋体" w:hAnsi="宋体" w:cs="宋体"/>
          <w:kern w:val="0"/>
          <w:sz w:val="24"/>
          <w:szCs w:val="24"/>
        </w:rPr>
        <w:t>）</w:t>
      </w:r>
      <w:r>
        <w:rPr>
          <w:rFonts w:hint="eastAsia" w:ascii="宋体" w:hAnsi="宋体"/>
          <w:sz w:val="24"/>
          <w:szCs w:val="24"/>
        </w:rPr>
        <w:t>政府采购严重违法失信行为记录名单</w:t>
      </w:r>
      <w:r>
        <w:rPr>
          <w:rFonts w:hint="eastAsia" w:ascii="宋体" w:hAnsi="宋体" w:cs="宋体"/>
          <w:kern w:val="0"/>
          <w:sz w:val="24"/>
          <w:szCs w:val="24"/>
        </w:rPr>
        <w:t>。查询时间为自公告发布之日起至响应文件递交截止时间止（该时间段内任一时间）。</w:t>
      </w:r>
    </w:p>
    <w:p>
      <w:pPr>
        <w:autoSpaceDE w:val="0"/>
        <w:autoSpaceDN w:val="0"/>
        <w:adjustRightInd w:val="0"/>
        <w:spacing w:line="360" w:lineRule="auto"/>
        <w:ind w:firstLine="480" w:firstLineChars="200"/>
        <w:jc w:val="left"/>
        <w:rPr>
          <w:rFonts w:ascii="宋体" w:cs="宋体"/>
          <w:kern w:val="0"/>
          <w:sz w:val="24"/>
          <w:szCs w:val="24"/>
        </w:rPr>
      </w:pPr>
    </w:p>
    <w:p>
      <w:pPr>
        <w:pStyle w:val="22"/>
        <w:ind w:firstLine="420" w:firstLineChars="200"/>
        <w:rPr>
          <w:rFonts w:hAnsi="宋体"/>
        </w:rPr>
      </w:pPr>
    </w:p>
    <w:p>
      <w:pPr>
        <w:pStyle w:val="22"/>
        <w:ind w:firstLine="420" w:firstLineChars="200"/>
        <w:rPr>
          <w:rFonts w:hAnsi="宋体"/>
        </w:rPr>
      </w:pPr>
      <w:r>
        <w:rPr>
          <w:rFonts w:hint="eastAsia" w:hAnsi="宋体"/>
        </w:rPr>
        <w:t xml:space="preserve"> </w:t>
      </w:r>
    </w:p>
    <w:p>
      <w:pPr>
        <w:pStyle w:val="22"/>
        <w:ind w:firstLine="420" w:firstLineChars="200"/>
        <w:rPr>
          <w:rFonts w:hAnsi="宋体"/>
        </w:rPr>
      </w:pPr>
    </w:p>
    <w:p>
      <w:pPr>
        <w:pStyle w:val="22"/>
        <w:ind w:firstLine="420" w:firstLineChars="200"/>
        <w:rPr>
          <w:rFonts w:hAnsi="宋体"/>
        </w:rPr>
      </w:pPr>
    </w:p>
    <w:p>
      <w:pPr>
        <w:pStyle w:val="22"/>
        <w:ind w:firstLine="420" w:firstLineChars="200"/>
        <w:rPr>
          <w:rFonts w:hAnsi="宋体"/>
        </w:rPr>
      </w:pPr>
    </w:p>
    <w:p>
      <w:pPr>
        <w:pStyle w:val="22"/>
        <w:ind w:firstLine="420" w:firstLineChars="200"/>
        <w:rPr>
          <w:rFonts w:hAnsi="宋体"/>
        </w:rPr>
      </w:pPr>
    </w:p>
    <w:p>
      <w:pPr>
        <w:pStyle w:val="22"/>
        <w:ind w:firstLine="420" w:firstLineChars="200"/>
        <w:rPr>
          <w:rFonts w:hAnsi="宋体"/>
        </w:rPr>
      </w:pPr>
    </w:p>
    <w:p>
      <w:pPr>
        <w:pStyle w:val="22"/>
        <w:ind w:firstLine="420" w:firstLineChars="200"/>
        <w:rPr>
          <w:rFonts w:hAnsi="宋体"/>
        </w:rPr>
      </w:pPr>
    </w:p>
    <w:p>
      <w:pPr>
        <w:pStyle w:val="22"/>
        <w:ind w:firstLine="420" w:firstLineChars="200"/>
        <w:rPr>
          <w:rFonts w:hAnsi="宋体"/>
        </w:rPr>
      </w:pPr>
    </w:p>
    <w:p>
      <w:pPr>
        <w:pStyle w:val="22"/>
        <w:spacing w:line="360" w:lineRule="auto"/>
        <w:ind w:firstLine="480" w:firstLineChars="200"/>
        <w:jc w:val="center"/>
        <w:rPr>
          <w:rFonts w:hAnsi="宋体" w:cs="宋体"/>
          <w:kern w:val="0"/>
          <w:sz w:val="24"/>
          <w:szCs w:val="24"/>
        </w:rPr>
      </w:pPr>
      <w:r>
        <w:rPr>
          <w:rFonts w:hint="eastAsia" w:hAnsi="宋体" w:cs="宋体"/>
          <w:kern w:val="0"/>
          <w:sz w:val="24"/>
          <w:szCs w:val="24"/>
        </w:rPr>
        <w:t>无不良信用记录</w:t>
      </w:r>
    </w:p>
    <w:p>
      <w:pPr>
        <w:autoSpaceDE w:val="0"/>
        <w:autoSpaceDN w:val="0"/>
        <w:adjustRightInd w:val="0"/>
        <w:spacing w:line="360" w:lineRule="auto"/>
        <w:jc w:val="center"/>
        <w:rPr>
          <w:rFonts w:ascii="宋体" w:hAnsi="宋体" w:cs="宋体"/>
          <w:kern w:val="0"/>
          <w:sz w:val="24"/>
          <w:szCs w:val="24"/>
        </w:rPr>
      </w:pPr>
    </w:p>
    <w:p>
      <w:pPr>
        <w:autoSpaceDE w:val="0"/>
        <w:autoSpaceDN w:val="0"/>
        <w:adjustRightInd w:val="0"/>
        <w:spacing w:line="360" w:lineRule="auto"/>
        <w:jc w:val="left"/>
        <w:rPr>
          <w:rFonts w:ascii="宋体" w:cs="宋体"/>
          <w:kern w:val="0"/>
          <w:sz w:val="24"/>
          <w:szCs w:val="24"/>
        </w:rPr>
      </w:pPr>
      <w:r>
        <w:rPr>
          <w:rFonts w:hint="eastAsia" w:hAnsi="宋体" w:cs="宋体"/>
          <w:kern w:val="0"/>
          <w:sz w:val="24"/>
          <w:szCs w:val="24"/>
        </w:rPr>
        <w:t xml:space="preserve">    注：</w:t>
      </w:r>
      <w:r>
        <w:rPr>
          <w:rFonts w:hint="eastAsia" w:ascii="宋体" w:hAnsi="宋体" w:cs="宋体"/>
          <w:kern w:val="0"/>
          <w:sz w:val="24"/>
          <w:szCs w:val="24"/>
        </w:rPr>
        <w:t>附网页查询后的截图证明</w:t>
      </w:r>
    </w:p>
    <w:p>
      <w:pPr>
        <w:autoSpaceDE w:val="0"/>
        <w:autoSpaceDN w:val="0"/>
        <w:adjustRightInd w:val="0"/>
        <w:spacing w:line="360" w:lineRule="auto"/>
        <w:ind w:firstLine="482" w:firstLineChars="200"/>
        <w:jc w:val="left"/>
        <w:rPr>
          <w:rFonts w:ascii="宋体" w:hAnsi="宋体" w:eastAsia="宋体" w:cs="宋体"/>
          <w:b/>
          <w:sz w:val="24"/>
          <w:szCs w:val="24"/>
        </w:rPr>
      </w:pPr>
      <w:r>
        <w:rPr>
          <w:rFonts w:hint="eastAsia" w:ascii="宋体" w:hAnsi="宋体" w:cs="宋体"/>
          <w:b/>
          <w:kern w:val="0"/>
          <w:sz w:val="24"/>
          <w:szCs w:val="24"/>
        </w:rPr>
        <w:t>查询渠道为：</w:t>
      </w:r>
      <w:r>
        <w:rPr>
          <w:rFonts w:hint="eastAsia" w:ascii="宋体" w:hAnsi="宋体" w:cs="宋体"/>
          <w:kern w:val="0"/>
          <w:sz w:val="24"/>
          <w:szCs w:val="24"/>
        </w:rPr>
        <w:t>“信用中国”网站（</w:t>
      </w:r>
      <w:r>
        <w:rPr>
          <w:rFonts w:ascii="宋体" w:hAnsi="宋体" w:cs="宋体"/>
          <w:kern w:val="0"/>
          <w:sz w:val="24"/>
          <w:szCs w:val="24"/>
        </w:rPr>
        <w:t>www.creditchina.gov.cn</w:t>
      </w:r>
      <w:r>
        <w:rPr>
          <w:rFonts w:hint="eastAsia" w:ascii="宋体" w:hAnsi="宋体" w:cs="宋体"/>
          <w:kern w:val="0"/>
          <w:sz w:val="24"/>
          <w:szCs w:val="24"/>
        </w:rPr>
        <w:t>）</w:t>
      </w:r>
      <w:r>
        <w:rPr>
          <w:rFonts w:hint="eastAsia" w:ascii="宋体" w:hAnsi="宋体"/>
          <w:sz w:val="24"/>
          <w:szCs w:val="24"/>
        </w:rPr>
        <w:t>未被列入失信被执行人、重大税收违法案件当事人名单。</w:t>
      </w:r>
      <w:r>
        <w:rPr>
          <w:rFonts w:hint="eastAsia" w:ascii="宋体" w:hAnsi="宋体" w:cs="宋体"/>
          <w:kern w:val="0"/>
          <w:sz w:val="24"/>
          <w:szCs w:val="24"/>
        </w:rPr>
        <w:t>查询时间为自公告发布之日起至响应文件递交截止时间止（该时间段内任一时间）。</w:t>
      </w:r>
    </w:p>
    <w:p>
      <w:pPr>
        <w:rPr>
          <w:rFonts w:ascii="宋体" w:hAnsi="宋体" w:eastAsia="宋体" w:cs="宋体"/>
          <w:b/>
          <w:sz w:val="24"/>
          <w:szCs w:val="24"/>
        </w:rPr>
      </w:pPr>
      <w:r>
        <w:rPr>
          <w:rFonts w:hint="eastAsia" w:ascii="宋体" w:hAnsi="宋体" w:eastAsia="宋体" w:cs="宋体"/>
          <w:b/>
          <w:sz w:val="24"/>
          <w:szCs w:val="24"/>
        </w:rPr>
        <w:br w:type="page"/>
      </w:r>
    </w:p>
    <w:p>
      <w:pPr>
        <w:jc w:val="center"/>
        <w:outlineLvl w:val="1"/>
        <w:rPr>
          <w:rFonts w:ascii="宋体" w:hAnsi="宋体" w:eastAsia="宋体" w:cs="宋体"/>
          <w:b/>
          <w:sz w:val="24"/>
          <w:szCs w:val="24"/>
        </w:rPr>
      </w:pPr>
      <w:bookmarkStart w:id="88" w:name="_Toc73017317"/>
      <w:bookmarkStart w:id="89" w:name="_Toc505332917"/>
      <w:bookmarkStart w:id="90" w:name="_Toc78916578"/>
      <w:bookmarkStart w:id="91" w:name="_Toc12526"/>
      <w:r>
        <w:rPr>
          <w:rFonts w:hint="eastAsia" w:ascii="宋体" w:hAnsi="宋体" w:eastAsia="宋体" w:cs="宋体"/>
          <w:b/>
          <w:sz w:val="24"/>
          <w:szCs w:val="24"/>
        </w:rPr>
        <w:t>八、</w:t>
      </w:r>
      <w:bookmarkEnd w:id="88"/>
      <w:bookmarkEnd w:id="89"/>
      <w:bookmarkEnd w:id="90"/>
      <w:r>
        <w:rPr>
          <w:rFonts w:hint="eastAsia" w:ascii="宋体" w:hAnsi="宋体" w:eastAsia="宋体" w:cs="宋体"/>
          <w:b/>
          <w:sz w:val="24"/>
          <w:szCs w:val="24"/>
          <w:lang w:eastAsia="zh-CN"/>
        </w:rPr>
        <w:t>供应商</w:t>
      </w:r>
      <w:r>
        <w:rPr>
          <w:rFonts w:hint="eastAsia" w:ascii="宋体" w:hAnsi="宋体" w:eastAsia="宋体" w:cs="宋体"/>
          <w:b/>
          <w:sz w:val="24"/>
          <w:szCs w:val="24"/>
        </w:rPr>
        <w:t>近年类似项目情况表</w:t>
      </w:r>
      <w:bookmarkEnd w:id="91"/>
    </w:p>
    <w:tbl>
      <w:tblPr>
        <w:tblStyle w:val="45"/>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项目名称</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招标人名称</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招标人地址</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招标人联系人及电话</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服务内容</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签约日期</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合同价格</w:t>
            </w:r>
          </w:p>
        </w:tc>
        <w:tc>
          <w:tcPr>
            <w:tcW w:w="6148" w:type="dxa"/>
            <w:vAlign w:val="center"/>
          </w:tcPr>
          <w:p>
            <w:pPr>
              <w:jc w:val="center"/>
              <w:rPr>
                <w:rFonts w:ascii="宋体" w:hAnsi="Calibri"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hAnsi="Calibri" w:eastAsia="宋体" w:cs="Times New Roman"/>
                <w:sz w:val="24"/>
                <w:szCs w:val="24"/>
              </w:rPr>
            </w:pPr>
            <w:r>
              <w:rPr>
                <w:rFonts w:hint="eastAsia" w:ascii="宋体" w:hAnsi="宋体" w:eastAsia="宋体" w:cs="Times New Roman"/>
                <w:sz w:val="24"/>
                <w:szCs w:val="24"/>
              </w:rPr>
              <w:t>备注</w:t>
            </w:r>
          </w:p>
        </w:tc>
        <w:tc>
          <w:tcPr>
            <w:tcW w:w="6148" w:type="dxa"/>
            <w:vAlign w:val="center"/>
          </w:tcPr>
          <w:p>
            <w:pPr>
              <w:jc w:val="center"/>
              <w:rPr>
                <w:rFonts w:ascii="宋体" w:hAnsi="Calibri" w:eastAsia="宋体" w:cs="Times New Roman"/>
                <w:sz w:val="24"/>
                <w:szCs w:val="24"/>
              </w:rPr>
            </w:pPr>
          </w:p>
        </w:tc>
      </w:tr>
    </w:tbl>
    <w:p>
      <w:pPr>
        <w:spacing w:line="360" w:lineRule="auto"/>
        <w:jc w:val="left"/>
        <w:rPr>
          <w:rFonts w:ascii="宋体" w:hAnsi="Calibri" w:eastAsia="宋体" w:cs="Times New Roman"/>
          <w:sz w:val="24"/>
          <w:szCs w:val="24"/>
        </w:rPr>
      </w:pPr>
      <w:r>
        <w:rPr>
          <w:rFonts w:hint="eastAsia" w:ascii="宋体" w:hAnsi="宋体" w:eastAsia="宋体" w:cs="Times New Roman"/>
          <w:sz w:val="24"/>
          <w:szCs w:val="24"/>
        </w:rPr>
        <w:t>备注：</w:t>
      </w:r>
    </w:p>
    <w:p>
      <w:pPr>
        <w:spacing w:line="360" w:lineRule="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、本表后须附类似业绩的证明资料（</w:t>
      </w:r>
      <w:r>
        <w:rPr>
          <w:rFonts w:hint="eastAsia" w:ascii="宋体" w:hAnsi="宋体" w:cs="Arial"/>
          <w:kern w:val="0"/>
          <w:sz w:val="24"/>
          <w:szCs w:val="24"/>
        </w:rPr>
        <w:t>需提供</w:t>
      </w:r>
      <w:r>
        <w:rPr>
          <w:rFonts w:hint="eastAsia" w:ascii="宋体" w:hAnsi="宋体"/>
          <w:sz w:val="24"/>
          <w:szCs w:val="24"/>
        </w:rPr>
        <w:t>中标通知书或合同</w:t>
      </w:r>
      <w:r>
        <w:rPr>
          <w:rFonts w:hint="eastAsia" w:ascii="宋体" w:hAnsi="宋体" w:eastAsia="宋体" w:cs="Times New Roman"/>
          <w:sz w:val="24"/>
          <w:szCs w:val="24"/>
        </w:rPr>
        <w:t>）</w:t>
      </w:r>
    </w:p>
    <w:p>
      <w:pPr>
        <w:spacing w:line="360" w:lineRule="auto"/>
        <w:jc w:val="left"/>
        <w:rPr>
          <w:rFonts w:ascii="宋体" w:hAnsi="Calibri" w:eastAsia="宋体" w:cs="Times New Roman"/>
          <w:sz w:val="24"/>
          <w:szCs w:val="24"/>
          <w:u w:val="single"/>
        </w:rPr>
      </w:pPr>
      <w:r>
        <w:rPr>
          <w:rFonts w:ascii="宋体" w:hAnsi="宋体" w:eastAsia="宋体" w:cs="Times New Roman"/>
          <w:sz w:val="24"/>
          <w:szCs w:val="24"/>
        </w:rPr>
        <w:t>2</w:t>
      </w:r>
      <w:r>
        <w:rPr>
          <w:rFonts w:hint="eastAsia" w:ascii="宋体" w:hAnsi="宋体" w:eastAsia="宋体" w:cs="Times New Roman"/>
          <w:sz w:val="24"/>
          <w:szCs w:val="24"/>
        </w:rPr>
        <w:t>、具体年份要求：</w:t>
      </w:r>
      <w:r>
        <w:rPr>
          <w:rFonts w:hint="eastAsia" w:ascii="宋体" w:hAnsi="宋体" w:eastAsia="宋体" w:cs="Times New Roman"/>
          <w:sz w:val="24"/>
          <w:szCs w:val="24"/>
          <w:u w:val="single"/>
        </w:rPr>
        <w:t>2019年1月1日-至今</w:t>
      </w:r>
    </w:p>
    <w:p>
      <w:pPr>
        <w:ind w:firstLine="480" w:firstLineChars="200"/>
        <w:rPr>
          <w:rFonts w:ascii="宋体" w:hAnsi="宋体" w:cs="宋体"/>
          <w:sz w:val="24"/>
          <w:szCs w:val="24"/>
        </w:rPr>
      </w:pPr>
      <w:r>
        <w:rPr>
          <w:rFonts w:ascii="宋体" w:hAnsi="宋体" w:eastAsia="宋体" w:cs="Times New Roman"/>
          <w:sz w:val="24"/>
          <w:szCs w:val="24"/>
        </w:rPr>
        <w:t>3</w:t>
      </w:r>
      <w:r>
        <w:rPr>
          <w:rFonts w:hint="eastAsia" w:ascii="宋体" w:hAnsi="宋体" w:eastAsia="宋体" w:cs="Times New Roman"/>
          <w:sz w:val="24"/>
          <w:szCs w:val="24"/>
        </w:rPr>
        <w:t>、每张表格只填写一个项目的信息，并注明序号。</w:t>
      </w:r>
    </w:p>
    <w:p>
      <w:pPr>
        <w:jc w:val="center"/>
        <w:outlineLvl w:val="1"/>
        <w:rPr>
          <w:rFonts w:hint="eastAsia" w:ascii="宋体" w:hAnsi="宋体" w:eastAsia="宋体" w:cs="宋体"/>
          <w:b/>
          <w:sz w:val="24"/>
          <w:szCs w:val="24"/>
          <w:lang w:eastAsia="zh-CN"/>
        </w:rPr>
      </w:pPr>
      <w:r>
        <w:rPr>
          <w:rFonts w:ascii="宋体" w:hAnsi="宋体" w:eastAsia="宋体" w:cs="宋体"/>
          <w:b/>
          <w:bCs/>
          <w:sz w:val="24"/>
          <w:szCs w:val="24"/>
        </w:rPr>
        <w:br w:type="page"/>
      </w:r>
      <w:bookmarkStart w:id="92" w:name="_Toc41495803"/>
      <w:bookmarkStart w:id="93" w:name="_Toc15249"/>
      <w:r>
        <w:rPr>
          <w:rFonts w:hint="eastAsia" w:ascii="宋体" w:hAnsi="宋体" w:eastAsia="宋体" w:cs="宋体"/>
          <w:b/>
          <w:sz w:val="24"/>
          <w:szCs w:val="24"/>
        </w:rPr>
        <w:t>九、</w:t>
      </w:r>
      <w:bookmarkEnd w:id="92"/>
      <w:r>
        <w:rPr>
          <w:rFonts w:hint="eastAsia" w:ascii="宋体" w:hAnsi="宋体" w:eastAsia="宋体" w:cs="宋体"/>
          <w:b/>
          <w:sz w:val="24"/>
          <w:szCs w:val="24"/>
          <w:lang w:eastAsia="zh-CN"/>
        </w:rPr>
        <w:t>维修硬件设施</w:t>
      </w:r>
      <w:bookmarkEnd w:id="93"/>
    </w:p>
    <w:p>
      <w:pPr>
        <w:jc w:val="center"/>
        <w:rPr>
          <w:rFonts w:hint="eastAsia" w:ascii="宋体" w:hAnsi="宋体"/>
          <w:sz w:val="24"/>
          <w:szCs w:val="24"/>
          <w:lang w:eastAsia="zh-CN"/>
        </w:rPr>
      </w:pPr>
      <w:r>
        <w:rPr>
          <w:rFonts w:hint="eastAsia" w:ascii="宋体" w:hAnsi="宋体"/>
          <w:sz w:val="24"/>
          <w:szCs w:val="24"/>
          <w:lang w:eastAsia="zh-CN"/>
        </w:rPr>
        <w:t>维修硬件设施</w:t>
      </w:r>
      <w:r>
        <w:rPr>
          <w:rFonts w:hint="eastAsia" w:ascii="宋体" w:hAnsi="宋体"/>
          <w:sz w:val="24"/>
          <w:szCs w:val="24"/>
        </w:rPr>
        <w:t>格式自拟，包括但不限于以下内容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维修作业区域及场地；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区域面积大小；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zh-CN"/>
        </w:rPr>
        <w:t>维修设备；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故障检测设备；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5、拖车数量及维修业务用车；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sz w:val="24"/>
          <w:szCs w:val="24"/>
          <w:lang w:val="zh-CN"/>
        </w:rPr>
        <w:t>注：（提供图片、数据、文字等相关材料）</w:t>
      </w:r>
    </w:p>
    <w:p>
      <w:pPr>
        <w:rPr>
          <w:rFonts w:hint="eastAsia" w:ascii="仿宋_GB2312" w:eastAsia="仿宋_GB2312" w:cs="仿宋_GB2312"/>
          <w:b/>
          <w:bCs/>
          <w:sz w:val="32"/>
          <w:szCs w:val="32"/>
          <w:lang w:eastAsia="zh-CN"/>
        </w:rPr>
      </w:pPr>
      <w:r>
        <w:rPr>
          <w:rFonts w:hint="eastAsia" w:ascii="仿宋_GB2312" w:eastAsia="仿宋_GB2312" w:cs="仿宋_GB2312"/>
          <w:b/>
          <w:bCs/>
          <w:sz w:val="32"/>
          <w:szCs w:val="32"/>
          <w:lang w:eastAsia="zh-CN"/>
        </w:rPr>
        <w:br w:type="page"/>
      </w:r>
    </w:p>
    <w:p>
      <w:pPr>
        <w:spacing w:line="480" w:lineRule="exact"/>
        <w:ind w:firstLine="643" w:firstLineChars="200"/>
        <w:jc w:val="center"/>
        <w:rPr>
          <w:rFonts w:ascii="仿宋_GB2312" w:eastAsia="仿宋_GB2312"/>
          <w:b/>
          <w:bCs/>
          <w:sz w:val="32"/>
          <w:szCs w:val="32"/>
        </w:rPr>
      </w:pPr>
      <w:r>
        <w:rPr>
          <w:rFonts w:hint="eastAsia" w:ascii="仿宋_GB2312" w:eastAsia="仿宋_GB2312" w:cs="仿宋_GB2312"/>
          <w:b/>
          <w:bCs/>
          <w:sz w:val="32"/>
          <w:szCs w:val="32"/>
          <w:lang w:eastAsia="zh-CN"/>
        </w:rPr>
        <w:t>附件</w:t>
      </w:r>
      <w:r>
        <w:rPr>
          <w:rFonts w:hint="eastAsia" w:ascii="仿宋_GB2312" w:eastAsia="仿宋_GB2312" w:cs="仿宋_GB2312"/>
          <w:b/>
          <w:bCs/>
          <w:sz w:val="32"/>
          <w:szCs w:val="32"/>
          <w:lang w:val="en-US" w:eastAsia="zh-CN"/>
        </w:rPr>
        <w:t>1</w:t>
      </w:r>
      <w:r>
        <w:rPr>
          <w:rFonts w:hint="eastAsia" w:ascii="仿宋_GB2312" w:eastAsia="仿宋_GB2312" w:cs="仿宋_GB2312"/>
          <w:b/>
          <w:bCs/>
          <w:sz w:val="32"/>
          <w:szCs w:val="32"/>
        </w:rPr>
        <w:t>汽车维修设备一览表</w:t>
      </w:r>
    </w:p>
    <w:p/>
    <w:tbl>
      <w:tblPr>
        <w:tblStyle w:val="45"/>
        <w:tblW w:w="9017" w:type="dxa"/>
        <w:tblInd w:w="54" w:type="dxa"/>
        <w:tblLayout w:type="fixed"/>
        <w:tblCellMar>
          <w:top w:w="0" w:type="dxa"/>
          <w:left w:w="54" w:type="dxa"/>
          <w:bottom w:w="0" w:type="dxa"/>
          <w:right w:w="54" w:type="dxa"/>
        </w:tblCellMar>
      </w:tblPr>
      <w:tblGrid>
        <w:gridCol w:w="448"/>
        <w:gridCol w:w="1245"/>
        <w:gridCol w:w="831"/>
        <w:gridCol w:w="2706"/>
        <w:gridCol w:w="1082"/>
        <w:gridCol w:w="1262"/>
        <w:gridCol w:w="1443"/>
      </w:tblGrid>
      <w:tr>
        <w:tblPrEx>
          <w:tblCellMar>
            <w:top w:w="0" w:type="dxa"/>
            <w:left w:w="54" w:type="dxa"/>
            <w:bottom w:w="0" w:type="dxa"/>
            <w:right w:w="54" w:type="dxa"/>
          </w:tblCellMar>
        </w:tblPrEx>
        <w:trPr>
          <w:trHeight w:val="564" w:hRule="atLeast"/>
        </w:trPr>
        <w:tc>
          <w:tcPr>
            <w:tcW w:w="44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  目</w:t>
            </w: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型  号</w:t>
            </w: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产    地</w:t>
            </w: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  量</w:t>
            </w: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性能状况</w:t>
            </w: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购买时间</w:t>
            </w:r>
          </w:p>
        </w:tc>
      </w:tr>
      <w:tr>
        <w:tblPrEx>
          <w:tblCellMar>
            <w:top w:w="0" w:type="dxa"/>
            <w:left w:w="54" w:type="dxa"/>
            <w:bottom w:w="0" w:type="dxa"/>
            <w:right w:w="54" w:type="dxa"/>
          </w:tblCellMar>
        </w:tblPrEx>
        <w:trPr>
          <w:cantSplit/>
          <w:trHeight w:val="323" w:hRule="exact"/>
        </w:trPr>
        <w:tc>
          <w:tcPr>
            <w:tcW w:w="44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245" w:type="dxa"/>
            <w:vMerge w:val="restart"/>
            <w:tcBorders>
              <w:top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常用工具</w:t>
            </w: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1245" w:type="dxa"/>
            <w:vMerge w:val="restart"/>
            <w:tcBorders>
              <w:top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基本设备</w:t>
            </w: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1245" w:type="dxa"/>
            <w:vMerge w:val="restart"/>
            <w:tcBorders>
              <w:top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清洁设备</w:t>
            </w: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245" w:type="dxa"/>
            <w:vMerge w:val="restart"/>
            <w:tcBorders>
              <w:top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举升设备</w:t>
            </w: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1245" w:type="dxa"/>
            <w:vMerge w:val="restart"/>
            <w:tcBorders>
              <w:top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烤漆设备</w:t>
            </w: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245" w:type="dxa"/>
            <w:vMerge w:val="restart"/>
            <w:tcBorders>
              <w:top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车架校正设备</w:t>
            </w: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restart"/>
            <w:tcBorders>
              <w:top w:val="single" w:color="auto" w:sz="6" w:space="0"/>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1245"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车身修复设备</w:t>
            </w: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bottom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restart"/>
            <w:tcBorders>
              <w:top w:val="single" w:color="auto" w:sz="6" w:space="0"/>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1245"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机械加工设备</w:t>
            </w: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3" w:hRule="exact"/>
        </w:trPr>
        <w:tc>
          <w:tcPr>
            <w:tcW w:w="448" w:type="dxa"/>
            <w:vMerge w:val="continue"/>
            <w:tcBorders>
              <w:left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38" w:hRule="exact"/>
        </w:trPr>
        <w:tc>
          <w:tcPr>
            <w:tcW w:w="448" w:type="dxa"/>
            <w:vMerge w:val="continue"/>
            <w:tcBorders>
              <w:left w:val="single" w:color="auto" w:sz="6" w:space="0"/>
              <w:bottom w:val="single" w:color="auto" w:sz="6" w:space="0"/>
            </w:tcBorders>
            <w:noWrap w:val="0"/>
            <w:vAlign w:val="center"/>
          </w:tcPr>
          <w:p>
            <w:pPr>
              <w:jc w:val="center"/>
              <w:rPr>
                <w:rFonts w:hint="eastAsia" w:ascii="宋体" w:hAnsi="宋体" w:eastAsia="宋体" w:cs="宋体"/>
                <w:sz w:val="24"/>
                <w:szCs w:val="24"/>
              </w:rPr>
            </w:pPr>
          </w:p>
        </w:tc>
        <w:tc>
          <w:tcPr>
            <w:tcW w:w="1245"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83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08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2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144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r>
    </w:tbl>
    <w:p>
      <w:pPr>
        <w:rPr>
          <w:rFonts w:hint="eastAsia" w:ascii="宋体" w:hAnsi="宋体" w:eastAsia="宋体" w:cs="宋体"/>
          <w:sz w:val="24"/>
          <w:szCs w:val="24"/>
        </w:rPr>
      </w:pPr>
      <w:r>
        <w:rPr>
          <w:rFonts w:hint="eastAsia" w:ascii="宋体" w:hAnsi="宋体" w:eastAsia="宋体" w:cs="宋体"/>
          <w:sz w:val="24"/>
          <w:szCs w:val="24"/>
        </w:rPr>
        <w:t>注：如在同一项目中的设备具有多种型号，须在此项目栏中分开填写。如在本表格不能全部填写完，可按此表格格式自行划表填写。</w:t>
      </w:r>
    </w:p>
    <w:p>
      <w:pPr>
        <w:spacing w:line="480" w:lineRule="exact"/>
        <w:ind w:firstLine="482" w:firstLineChars="200"/>
        <w:jc w:val="center"/>
        <w:rPr>
          <w:rFonts w:hint="eastAsia" w:ascii="宋体" w:hAnsi="宋体" w:eastAsia="宋体" w:cs="宋体"/>
          <w:b/>
          <w:sz w:val="24"/>
          <w:szCs w:val="24"/>
        </w:rPr>
      </w:pPr>
    </w:p>
    <w:p>
      <w:pPr>
        <w:rPr>
          <w:rFonts w:hint="eastAsia" w:ascii="宋体" w:hAnsi="宋体" w:eastAsia="宋体" w:cs="宋体"/>
          <w:b/>
          <w:sz w:val="24"/>
          <w:szCs w:val="24"/>
        </w:rPr>
      </w:pPr>
      <w:r>
        <w:rPr>
          <w:rFonts w:hint="eastAsia" w:ascii="宋体" w:hAnsi="宋体" w:eastAsia="宋体" w:cs="宋体"/>
          <w:b/>
          <w:sz w:val="24"/>
          <w:szCs w:val="24"/>
        </w:rPr>
        <w:br w:type="page"/>
      </w:r>
    </w:p>
    <w:p>
      <w:pPr>
        <w:spacing w:line="48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汽车维修设备一览表（续上）</w:t>
      </w:r>
    </w:p>
    <w:tbl>
      <w:tblPr>
        <w:tblStyle w:val="45"/>
        <w:tblW w:w="8868" w:type="dxa"/>
        <w:tblInd w:w="54" w:type="dxa"/>
        <w:tblLayout w:type="fixed"/>
        <w:tblCellMar>
          <w:top w:w="0" w:type="dxa"/>
          <w:left w:w="54" w:type="dxa"/>
          <w:bottom w:w="0" w:type="dxa"/>
          <w:right w:w="54" w:type="dxa"/>
        </w:tblCellMar>
      </w:tblPr>
      <w:tblGrid>
        <w:gridCol w:w="462"/>
        <w:gridCol w:w="1158"/>
        <w:gridCol w:w="900"/>
        <w:gridCol w:w="2700"/>
        <w:gridCol w:w="1080"/>
        <w:gridCol w:w="1128"/>
        <w:gridCol w:w="1440"/>
      </w:tblGrid>
      <w:tr>
        <w:tblPrEx>
          <w:tblCellMar>
            <w:top w:w="0" w:type="dxa"/>
            <w:left w:w="54" w:type="dxa"/>
            <w:bottom w:w="0" w:type="dxa"/>
            <w:right w:w="54" w:type="dxa"/>
          </w:tblCellMar>
        </w:tblPrEx>
        <w:trPr>
          <w:cantSplit/>
          <w:trHeight w:val="320" w:hRule="atLeast"/>
        </w:trPr>
        <w:tc>
          <w:tcPr>
            <w:tcW w:w="46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5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  目</w:t>
            </w:r>
          </w:p>
        </w:tc>
        <w:tc>
          <w:tcPr>
            <w:tcW w:w="9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型  号</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产       地</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数  量</w:t>
            </w:r>
          </w:p>
        </w:tc>
        <w:tc>
          <w:tcPr>
            <w:tcW w:w="1128"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性能状况</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购买时间</w:t>
            </w:r>
          </w:p>
        </w:tc>
      </w:tr>
      <w:tr>
        <w:tblPrEx>
          <w:tblCellMar>
            <w:top w:w="0" w:type="dxa"/>
            <w:left w:w="54" w:type="dxa"/>
            <w:bottom w:w="0" w:type="dxa"/>
            <w:right w:w="54" w:type="dxa"/>
          </w:tblCellMar>
        </w:tblPrEx>
        <w:trPr>
          <w:cantSplit/>
          <w:trHeight w:val="320" w:hRule="atLeast"/>
        </w:trPr>
        <w:tc>
          <w:tcPr>
            <w:tcW w:w="462" w:type="dxa"/>
            <w:vMerge w:val="restart"/>
            <w:tcBorders>
              <w:top w:val="single" w:color="auto" w:sz="6" w:space="0"/>
              <w:left w:val="single" w:color="auto" w:sz="6" w:space="0"/>
            </w:tcBorders>
            <w:noWrap w:val="0"/>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115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电工设备</w:t>
            </w: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restart"/>
            <w:tcBorders>
              <w:top w:val="single" w:color="auto" w:sz="6" w:space="0"/>
              <w:left w:val="single" w:color="auto" w:sz="6" w:space="0"/>
            </w:tcBorders>
            <w:noWrap w:val="0"/>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15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镗磨缸</w:t>
            </w:r>
          </w:p>
          <w:p>
            <w:pPr>
              <w:jc w:val="center"/>
              <w:rPr>
                <w:rFonts w:hint="eastAsia" w:ascii="宋体" w:hAnsi="宋体" w:eastAsia="宋体" w:cs="宋体"/>
                <w:sz w:val="24"/>
                <w:szCs w:val="24"/>
              </w:rPr>
            </w:pPr>
            <w:r>
              <w:rPr>
                <w:rFonts w:hint="eastAsia" w:ascii="宋体" w:hAnsi="宋体" w:eastAsia="宋体" w:cs="宋体"/>
                <w:sz w:val="24"/>
                <w:szCs w:val="24"/>
              </w:rPr>
              <w:t>设备</w:t>
            </w: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32"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restart"/>
            <w:tcBorders>
              <w:top w:val="single" w:color="auto" w:sz="6" w:space="0"/>
              <w:left w:val="single" w:color="auto" w:sz="6" w:space="0"/>
            </w:tcBorders>
            <w:noWrap w:val="0"/>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15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高压油泵</w:t>
            </w:r>
          </w:p>
          <w:p>
            <w:pPr>
              <w:jc w:val="center"/>
              <w:rPr>
                <w:rFonts w:hint="eastAsia" w:ascii="宋体" w:hAnsi="宋体" w:eastAsia="宋体" w:cs="宋体"/>
                <w:sz w:val="24"/>
                <w:szCs w:val="24"/>
              </w:rPr>
            </w:pPr>
            <w:r>
              <w:rPr>
                <w:rFonts w:hint="eastAsia" w:ascii="宋体" w:hAnsi="宋体" w:eastAsia="宋体" w:cs="宋体"/>
                <w:sz w:val="24"/>
                <w:szCs w:val="24"/>
              </w:rPr>
              <w:t>试验设备</w:t>
            </w:r>
          </w:p>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restart"/>
            <w:tcBorders>
              <w:top w:val="single" w:color="auto" w:sz="6" w:space="0"/>
              <w:left w:val="single" w:color="auto" w:sz="6" w:space="0"/>
            </w:tcBorders>
            <w:noWrap w:val="0"/>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15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车轮动平衡检测设备</w:t>
            </w: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restart"/>
            <w:tcBorders>
              <w:top w:val="single" w:color="auto" w:sz="6" w:space="0"/>
              <w:left w:val="single" w:color="auto" w:sz="6" w:space="0"/>
            </w:tcBorders>
            <w:noWrap w:val="0"/>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13</w:t>
            </w:r>
          </w:p>
        </w:tc>
        <w:tc>
          <w:tcPr>
            <w:tcW w:w="115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发动机综合检测仪</w:t>
            </w: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restart"/>
            <w:tcBorders>
              <w:top w:val="single" w:color="auto" w:sz="6" w:space="0"/>
              <w:left w:val="single" w:color="auto" w:sz="6" w:space="0"/>
            </w:tcBorders>
            <w:noWrap w:val="0"/>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14</w:t>
            </w:r>
          </w:p>
        </w:tc>
        <w:tc>
          <w:tcPr>
            <w:tcW w:w="1158" w:type="dxa"/>
            <w:vMerge w:val="restart"/>
            <w:tcBorders>
              <w:top w:val="single" w:color="auto" w:sz="6" w:space="0"/>
              <w:left w:val="single" w:color="auto" w:sz="6" w:space="0"/>
              <w:right w:val="single" w:color="auto" w:sz="6" w:space="0"/>
            </w:tcBorders>
            <w:noWrap w:val="0"/>
            <w:vAlign w:val="center"/>
          </w:tcPr>
          <w:p>
            <w:pP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车轮定位仪</w:t>
            </w: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bottom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restart"/>
            <w:tcBorders>
              <w:top w:val="single" w:color="auto" w:sz="6" w:space="0"/>
              <w:left w:val="single" w:color="auto" w:sz="6" w:space="0"/>
              <w:right w:val="single" w:color="auto" w:sz="6" w:space="0"/>
            </w:tcBorders>
            <w:noWrap w:val="0"/>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15</w:t>
            </w:r>
          </w:p>
        </w:tc>
        <w:tc>
          <w:tcPr>
            <w:tcW w:w="1158" w:type="dxa"/>
            <w:vMerge w:val="restart"/>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排气污染</w:t>
            </w:r>
          </w:p>
          <w:p>
            <w:pPr>
              <w:jc w:val="center"/>
              <w:rPr>
                <w:rFonts w:hint="eastAsia" w:ascii="宋体" w:hAnsi="宋体" w:eastAsia="宋体" w:cs="宋体"/>
                <w:sz w:val="24"/>
                <w:szCs w:val="24"/>
              </w:rPr>
            </w:pPr>
            <w:r>
              <w:rPr>
                <w:rFonts w:hint="eastAsia" w:ascii="宋体" w:hAnsi="宋体" w:eastAsia="宋体" w:cs="宋体"/>
                <w:sz w:val="24"/>
                <w:szCs w:val="24"/>
              </w:rPr>
              <w:t>检测设备</w:t>
            </w: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righ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righ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bottom w:val="single" w:color="auto" w:sz="6" w:space="0"/>
              <w:righ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restart"/>
            <w:tcBorders>
              <w:top w:val="single" w:color="auto" w:sz="6" w:space="0"/>
              <w:left w:val="single" w:color="auto" w:sz="6" w:space="0"/>
              <w:right w:val="single" w:color="auto" w:sz="6" w:space="0"/>
            </w:tcBorders>
            <w:noWrap w:val="0"/>
            <w:vAlign w:val="top"/>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16</w:t>
            </w:r>
          </w:p>
        </w:tc>
        <w:tc>
          <w:tcPr>
            <w:tcW w:w="1158" w:type="dxa"/>
            <w:vMerge w:val="restart"/>
            <w:tcBorders>
              <w:top w:val="single" w:color="auto" w:sz="6" w:space="0"/>
              <w:left w:val="single" w:color="auto" w:sz="6" w:space="0"/>
              <w:right w:val="single" w:color="auto" w:sz="6" w:space="0"/>
            </w:tcBorders>
            <w:noWrap w:val="0"/>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其它检测</w:t>
            </w:r>
          </w:p>
          <w:p>
            <w:pPr>
              <w:jc w:val="center"/>
              <w:rPr>
                <w:rFonts w:hint="eastAsia" w:ascii="宋体" w:hAnsi="宋体" w:eastAsia="宋体" w:cs="宋体"/>
                <w:sz w:val="24"/>
                <w:szCs w:val="24"/>
              </w:rPr>
            </w:pPr>
            <w:r>
              <w:rPr>
                <w:rFonts w:hint="eastAsia" w:ascii="宋体" w:hAnsi="宋体" w:eastAsia="宋体" w:cs="宋体"/>
                <w:sz w:val="24"/>
                <w:szCs w:val="24"/>
              </w:rPr>
              <w:t>设    备</w:t>
            </w: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righ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righ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r>
        <w:tblPrEx>
          <w:tblCellMar>
            <w:top w:w="0" w:type="dxa"/>
            <w:left w:w="54" w:type="dxa"/>
            <w:bottom w:w="0" w:type="dxa"/>
            <w:right w:w="54" w:type="dxa"/>
          </w:tblCellMar>
        </w:tblPrEx>
        <w:trPr>
          <w:cantSplit/>
          <w:trHeight w:val="320" w:hRule="atLeast"/>
        </w:trPr>
        <w:tc>
          <w:tcPr>
            <w:tcW w:w="462" w:type="dxa"/>
            <w:vMerge w:val="continue"/>
            <w:tcBorders>
              <w:left w:val="single" w:color="auto" w:sz="6" w:space="0"/>
              <w:bottom w:val="single" w:color="auto" w:sz="6" w:space="0"/>
              <w:right w:val="single" w:color="auto" w:sz="6" w:space="0"/>
            </w:tcBorders>
            <w:noWrap w:val="0"/>
            <w:vAlign w:val="top"/>
          </w:tcPr>
          <w:p>
            <w:pPr>
              <w:jc w:val="center"/>
              <w:rPr>
                <w:rFonts w:hint="eastAsia" w:ascii="宋体" w:hAnsi="宋体" w:eastAsia="宋体" w:cs="宋体"/>
                <w:sz w:val="24"/>
                <w:szCs w:val="24"/>
              </w:rPr>
            </w:pPr>
          </w:p>
        </w:tc>
        <w:tc>
          <w:tcPr>
            <w:tcW w:w="1158" w:type="dxa"/>
            <w:vMerge w:val="continue"/>
            <w:tcBorders>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128"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c>
          <w:tcPr>
            <w:tcW w:w="1440" w:type="dxa"/>
            <w:tcBorders>
              <w:top w:val="single" w:color="auto" w:sz="6" w:space="0"/>
              <w:left w:val="single" w:color="auto" w:sz="6" w:space="0"/>
              <w:bottom w:val="single" w:color="auto" w:sz="6" w:space="0"/>
              <w:right w:val="single" w:color="auto" w:sz="6" w:space="0"/>
            </w:tcBorders>
            <w:noWrap w:val="0"/>
            <w:vAlign w:val="top"/>
          </w:tcPr>
          <w:p>
            <w:pPr>
              <w:rPr>
                <w:rFonts w:hint="eastAsia" w:ascii="宋体" w:hAnsi="宋体" w:eastAsia="宋体" w:cs="宋体"/>
                <w:sz w:val="24"/>
                <w:szCs w:val="24"/>
              </w:rPr>
            </w:pPr>
          </w:p>
        </w:tc>
      </w:tr>
    </w:tbl>
    <w:p>
      <w:pPr>
        <w:pStyle w:val="37"/>
        <w:spacing w:line="400" w:lineRule="exact"/>
        <w:rPr>
          <w:rFonts w:hint="eastAsia" w:ascii="宋体" w:hAnsi="宋体" w:eastAsia="宋体" w:cs="宋体"/>
          <w:sz w:val="24"/>
          <w:szCs w:val="24"/>
        </w:rPr>
      </w:pPr>
      <w:r>
        <w:rPr>
          <w:rFonts w:hint="eastAsia" w:ascii="宋体" w:hAnsi="宋体" w:eastAsia="宋体" w:cs="宋体"/>
          <w:sz w:val="24"/>
          <w:szCs w:val="24"/>
        </w:rPr>
        <w:t>注：如在同一项目中的设备具有多种型号，须在此项目栏中分开填写。如在本表格不能全部填写完，可按此表格格式自行划表填写。</w:t>
      </w:r>
    </w:p>
    <w:p>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pPr>
        <w:widowControl/>
        <w:jc w:val="center"/>
        <w:outlineLvl w:val="1"/>
        <w:rPr>
          <w:rFonts w:hint="eastAsia" w:ascii="宋体" w:hAnsi="宋体" w:eastAsia="宋体" w:cs="宋体"/>
          <w:b/>
          <w:sz w:val="24"/>
          <w:szCs w:val="24"/>
        </w:rPr>
      </w:pPr>
      <w:bookmarkStart w:id="94" w:name="_Toc20208"/>
      <w:r>
        <w:rPr>
          <w:rFonts w:hint="eastAsia" w:ascii="宋体" w:hAnsi="宋体" w:eastAsia="宋体" w:cs="宋体"/>
          <w:b/>
          <w:sz w:val="24"/>
          <w:szCs w:val="24"/>
          <w:lang w:eastAsia="zh-CN"/>
        </w:rPr>
        <w:t>十、</w:t>
      </w:r>
      <w:r>
        <w:rPr>
          <w:rFonts w:hint="eastAsia" w:ascii="宋体" w:hAnsi="宋体" w:eastAsia="宋体" w:cs="宋体"/>
          <w:b/>
          <w:sz w:val="24"/>
          <w:szCs w:val="24"/>
        </w:rPr>
        <w:t>拟投入本项目专业技术人员</w:t>
      </w:r>
      <w:bookmarkEnd w:id="94"/>
    </w:p>
    <w:p>
      <w:pPr>
        <w:widowControl/>
        <w:jc w:val="center"/>
        <w:rPr>
          <w:rFonts w:hint="eastAsia" w:ascii="宋体" w:hAnsi="宋体" w:eastAsia="宋体" w:cs="宋体"/>
          <w:b/>
          <w:sz w:val="24"/>
          <w:szCs w:val="24"/>
        </w:rPr>
      </w:pPr>
    </w:p>
    <w:tbl>
      <w:tblPr>
        <w:tblStyle w:val="4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5"/>
        <w:gridCol w:w="1127"/>
        <w:gridCol w:w="1156"/>
        <w:gridCol w:w="1156"/>
        <w:gridCol w:w="1130"/>
        <w:gridCol w:w="1156"/>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52" w:type="dxa"/>
            <w:vAlign w:val="center"/>
          </w:tcPr>
          <w:p>
            <w:pPr>
              <w:jc w:val="center"/>
              <w:rPr>
                <w:rFonts w:ascii="宋体" w:cs="宋体"/>
                <w:sz w:val="24"/>
                <w:szCs w:val="24"/>
              </w:rPr>
            </w:pPr>
            <w:r>
              <w:rPr>
                <w:rFonts w:hint="eastAsia" w:ascii="宋体" w:hAnsi="宋体" w:cs="宋体"/>
                <w:sz w:val="24"/>
                <w:szCs w:val="24"/>
              </w:rPr>
              <w:t>姓名</w:t>
            </w:r>
          </w:p>
        </w:tc>
        <w:tc>
          <w:tcPr>
            <w:tcW w:w="1155" w:type="dxa"/>
            <w:vAlign w:val="center"/>
          </w:tcPr>
          <w:p>
            <w:pPr>
              <w:jc w:val="center"/>
              <w:rPr>
                <w:rFonts w:ascii="宋体" w:cs="宋体"/>
                <w:sz w:val="24"/>
                <w:szCs w:val="24"/>
              </w:rPr>
            </w:pPr>
            <w:r>
              <w:rPr>
                <w:rFonts w:hint="eastAsia" w:ascii="宋体" w:hAnsi="宋体" w:cs="宋体"/>
                <w:sz w:val="24"/>
                <w:szCs w:val="24"/>
              </w:rPr>
              <w:t>身份证号码</w:t>
            </w:r>
          </w:p>
        </w:tc>
        <w:tc>
          <w:tcPr>
            <w:tcW w:w="1127" w:type="dxa"/>
            <w:vAlign w:val="center"/>
          </w:tcPr>
          <w:p>
            <w:pPr>
              <w:jc w:val="center"/>
              <w:rPr>
                <w:rFonts w:ascii="宋体" w:cs="宋体"/>
                <w:sz w:val="24"/>
                <w:szCs w:val="24"/>
              </w:rPr>
            </w:pPr>
            <w:r>
              <w:rPr>
                <w:rFonts w:hint="eastAsia" w:ascii="宋体" w:hAnsi="宋体" w:cs="宋体"/>
                <w:sz w:val="24"/>
                <w:szCs w:val="24"/>
              </w:rPr>
              <w:t>性别</w:t>
            </w:r>
          </w:p>
        </w:tc>
        <w:tc>
          <w:tcPr>
            <w:tcW w:w="1156" w:type="dxa"/>
            <w:vAlign w:val="center"/>
          </w:tcPr>
          <w:p>
            <w:pPr>
              <w:jc w:val="center"/>
              <w:rPr>
                <w:rFonts w:ascii="宋体" w:cs="宋体"/>
                <w:sz w:val="24"/>
                <w:szCs w:val="24"/>
              </w:rPr>
            </w:pPr>
            <w:r>
              <w:rPr>
                <w:rFonts w:hint="eastAsia" w:ascii="宋体" w:hAnsi="宋体" w:cs="宋体"/>
                <w:sz w:val="24"/>
                <w:szCs w:val="24"/>
              </w:rPr>
              <w:t>职称</w:t>
            </w:r>
          </w:p>
        </w:tc>
        <w:tc>
          <w:tcPr>
            <w:tcW w:w="1156" w:type="dxa"/>
            <w:vAlign w:val="center"/>
          </w:tcPr>
          <w:p>
            <w:pPr>
              <w:jc w:val="center"/>
              <w:rPr>
                <w:rFonts w:ascii="宋体" w:cs="宋体"/>
                <w:sz w:val="24"/>
                <w:szCs w:val="24"/>
              </w:rPr>
            </w:pPr>
            <w:r>
              <w:rPr>
                <w:rFonts w:hint="eastAsia" w:ascii="宋体" w:hAnsi="宋体" w:cs="宋体"/>
                <w:sz w:val="24"/>
                <w:szCs w:val="24"/>
              </w:rPr>
              <w:t>学历</w:t>
            </w:r>
          </w:p>
        </w:tc>
        <w:tc>
          <w:tcPr>
            <w:tcW w:w="1130" w:type="dxa"/>
            <w:vAlign w:val="center"/>
          </w:tcPr>
          <w:p>
            <w:pPr>
              <w:jc w:val="center"/>
              <w:rPr>
                <w:rFonts w:ascii="宋体" w:cs="宋体"/>
                <w:sz w:val="24"/>
                <w:szCs w:val="24"/>
              </w:rPr>
            </w:pPr>
            <w:r>
              <w:rPr>
                <w:rFonts w:hint="eastAsia" w:ascii="宋体" w:hAnsi="宋体" w:cs="宋体"/>
                <w:sz w:val="24"/>
                <w:szCs w:val="24"/>
              </w:rPr>
              <w:t>专业</w:t>
            </w:r>
          </w:p>
        </w:tc>
        <w:tc>
          <w:tcPr>
            <w:tcW w:w="1156" w:type="dxa"/>
            <w:vAlign w:val="center"/>
          </w:tcPr>
          <w:p>
            <w:pPr>
              <w:jc w:val="center"/>
              <w:rPr>
                <w:rFonts w:ascii="宋体" w:cs="宋体"/>
                <w:sz w:val="24"/>
                <w:szCs w:val="24"/>
              </w:rPr>
            </w:pPr>
            <w:r>
              <w:rPr>
                <w:rFonts w:hint="eastAsia" w:ascii="宋体" w:hAnsi="宋体" w:cs="宋体"/>
                <w:sz w:val="24"/>
                <w:szCs w:val="24"/>
              </w:rPr>
              <w:t>从事工作年限</w:t>
            </w:r>
          </w:p>
        </w:tc>
        <w:tc>
          <w:tcPr>
            <w:tcW w:w="1123" w:type="dxa"/>
            <w:vAlign w:val="center"/>
          </w:tcPr>
          <w:p>
            <w:pPr>
              <w:jc w:val="center"/>
              <w:rPr>
                <w:rFonts w:asci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pPr>
              <w:rPr>
                <w:rFonts w:ascii="宋体" w:cs="宋体"/>
                <w:sz w:val="24"/>
                <w:szCs w:val="24"/>
              </w:rPr>
            </w:pPr>
          </w:p>
        </w:tc>
        <w:tc>
          <w:tcPr>
            <w:tcW w:w="1155" w:type="dxa"/>
          </w:tcPr>
          <w:p>
            <w:pPr>
              <w:rPr>
                <w:rFonts w:ascii="宋体" w:cs="宋体"/>
                <w:sz w:val="24"/>
                <w:szCs w:val="24"/>
              </w:rPr>
            </w:pPr>
          </w:p>
        </w:tc>
        <w:tc>
          <w:tcPr>
            <w:tcW w:w="1127" w:type="dxa"/>
          </w:tcPr>
          <w:p>
            <w:pPr>
              <w:rPr>
                <w:rFonts w:ascii="宋体" w:cs="宋体"/>
                <w:sz w:val="24"/>
                <w:szCs w:val="24"/>
              </w:rPr>
            </w:pPr>
          </w:p>
        </w:tc>
        <w:tc>
          <w:tcPr>
            <w:tcW w:w="1156" w:type="dxa"/>
          </w:tcPr>
          <w:p>
            <w:pPr>
              <w:rPr>
                <w:rFonts w:ascii="宋体" w:cs="宋体"/>
                <w:sz w:val="24"/>
                <w:szCs w:val="24"/>
              </w:rPr>
            </w:pPr>
          </w:p>
        </w:tc>
        <w:tc>
          <w:tcPr>
            <w:tcW w:w="1156" w:type="dxa"/>
          </w:tcPr>
          <w:p>
            <w:pPr>
              <w:rPr>
                <w:rFonts w:ascii="宋体" w:cs="宋体"/>
                <w:sz w:val="24"/>
                <w:szCs w:val="24"/>
              </w:rPr>
            </w:pPr>
          </w:p>
        </w:tc>
        <w:tc>
          <w:tcPr>
            <w:tcW w:w="1130" w:type="dxa"/>
          </w:tcPr>
          <w:p>
            <w:pPr>
              <w:rPr>
                <w:rFonts w:ascii="宋体" w:cs="宋体"/>
                <w:sz w:val="24"/>
                <w:szCs w:val="24"/>
              </w:rPr>
            </w:pPr>
          </w:p>
        </w:tc>
        <w:tc>
          <w:tcPr>
            <w:tcW w:w="1156" w:type="dxa"/>
          </w:tcPr>
          <w:p>
            <w:pPr>
              <w:rPr>
                <w:rFonts w:ascii="宋体" w:cs="宋体"/>
                <w:sz w:val="24"/>
                <w:szCs w:val="24"/>
              </w:rPr>
            </w:pPr>
          </w:p>
        </w:tc>
        <w:tc>
          <w:tcPr>
            <w:tcW w:w="1123" w:type="dxa"/>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pPr>
              <w:rPr>
                <w:rFonts w:ascii="宋体" w:cs="宋体"/>
                <w:sz w:val="24"/>
                <w:szCs w:val="24"/>
              </w:rPr>
            </w:pPr>
          </w:p>
        </w:tc>
        <w:tc>
          <w:tcPr>
            <w:tcW w:w="1155" w:type="dxa"/>
          </w:tcPr>
          <w:p>
            <w:pPr>
              <w:rPr>
                <w:rFonts w:ascii="宋体" w:cs="宋体"/>
                <w:sz w:val="24"/>
                <w:szCs w:val="24"/>
              </w:rPr>
            </w:pPr>
          </w:p>
        </w:tc>
        <w:tc>
          <w:tcPr>
            <w:tcW w:w="1127" w:type="dxa"/>
          </w:tcPr>
          <w:p>
            <w:pPr>
              <w:rPr>
                <w:rFonts w:ascii="宋体" w:cs="宋体"/>
                <w:sz w:val="24"/>
                <w:szCs w:val="24"/>
              </w:rPr>
            </w:pPr>
          </w:p>
        </w:tc>
        <w:tc>
          <w:tcPr>
            <w:tcW w:w="1156" w:type="dxa"/>
          </w:tcPr>
          <w:p>
            <w:pPr>
              <w:rPr>
                <w:rFonts w:ascii="宋体" w:cs="宋体"/>
                <w:sz w:val="24"/>
                <w:szCs w:val="24"/>
              </w:rPr>
            </w:pPr>
          </w:p>
        </w:tc>
        <w:tc>
          <w:tcPr>
            <w:tcW w:w="1156" w:type="dxa"/>
          </w:tcPr>
          <w:p>
            <w:pPr>
              <w:rPr>
                <w:rFonts w:ascii="宋体" w:cs="宋体"/>
                <w:sz w:val="24"/>
                <w:szCs w:val="24"/>
              </w:rPr>
            </w:pPr>
          </w:p>
        </w:tc>
        <w:tc>
          <w:tcPr>
            <w:tcW w:w="1130" w:type="dxa"/>
          </w:tcPr>
          <w:p>
            <w:pPr>
              <w:rPr>
                <w:rFonts w:ascii="宋体" w:cs="宋体"/>
                <w:sz w:val="24"/>
                <w:szCs w:val="24"/>
              </w:rPr>
            </w:pPr>
          </w:p>
        </w:tc>
        <w:tc>
          <w:tcPr>
            <w:tcW w:w="1156" w:type="dxa"/>
          </w:tcPr>
          <w:p>
            <w:pPr>
              <w:rPr>
                <w:rFonts w:ascii="宋体" w:cs="宋体"/>
                <w:sz w:val="24"/>
                <w:szCs w:val="24"/>
              </w:rPr>
            </w:pPr>
          </w:p>
        </w:tc>
        <w:tc>
          <w:tcPr>
            <w:tcW w:w="1123" w:type="dxa"/>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52" w:type="dxa"/>
          </w:tcPr>
          <w:p>
            <w:pPr>
              <w:rPr>
                <w:rFonts w:ascii="宋体" w:cs="宋体"/>
                <w:sz w:val="24"/>
                <w:szCs w:val="24"/>
              </w:rPr>
            </w:pPr>
          </w:p>
        </w:tc>
        <w:tc>
          <w:tcPr>
            <w:tcW w:w="1155" w:type="dxa"/>
          </w:tcPr>
          <w:p>
            <w:pPr>
              <w:rPr>
                <w:rFonts w:ascii="宋体" w:cs="宋体"/>
                <w:sz w:val="24"/>
                <w:szCs w:val="24"/>
              </w:rPr>
            </w:pPr>
          </w:p>
        </w:tc>
        <w:tc>
          <w:tcPr>
            <w:tcW w:w="1127" w:type="dxa"/>
          </w:tcPr>
          <w:p>
            <w:pPr>
              <w:rPr>
                <w:rFonts w:ascii="宋体" w:cs="宋体"/>
                <w:sz w:val="24"/>
                <w:szCs w:val="24"/>
              </w:rPr>
            </w:pPr>
          </w:p>
        </w:tc>
        <w:tc>
          <w:tcPr>
            <w:tcW w:w="1156" w:type="dxa"/>
          </w:tcPr>
          <w:p>
            <w:pPr>
              <w:rPr>
                <w:rFonts w:ascii="宋体" w:cs="宋体"/>
                <w:sz w:val="24"/>
                <w:szCs w:val="24"/>
              </w:rPr>
            </w:pPr>
          </w:p>
        </w:tc>
        <w:tc>
          <w:tcPr>
            <w:tcW w:w="1156" w:type="dxa"/>
          </w:tcPr>
          <w:p>
            <w:pPr>
              <w:rPr>
                <w:rFonts w:ascii="宋体" w:cs="宋体"/>
                <w:sz w:val="24"/>
                <w:szCs w:val="24"/>
              </w:rPr>
            </w:pPr>
          </w:p>
        </w:tc>
        <w:tc>
          <w:tcPr>
            <w:tcW w:w="1130" w:type="dxa"/>
          </w:tcPr>
          <w:p>
            <w:pPr>
              <w:rPr>
                <w:rFonts w:ascii="宋体" w:cs="宋体"/>
                <w:sz w:val="24"/>
                <w:szCs w:val="24"/>
              </w:rPr>
            </w:pPr>
          </w:p>
        </w:tc>
        <w:tc>
          <w:tcPr>
            <w:tcW w:w="1156" w:type="dxa"/>
          </w:tcPr>
          <w:p>
            <w:pPr>
              <w:rPr>
                <w:rFonts w:ascii="宋体" w:cs="宋体"/>
                <w:sz w:val="24"/>
                <w:szCs w:val="24"/>
              </w:rPr>
            </w:pPr>
          </w:p>
        </w:tc>
        <w:tc>
          <w:tcPr>
            <w:tcW w:w="1123" w:type="dxa"/>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pPr>
              <w:rPr>
                <w:rFonts w:ascii="宋体" w:cs="宋体"/>
                <w:sz w:val="24"/>
                <w:szCs w:val="24"/>
              </w:rPr>
            </w:pPr>
          </w:p>
        </w:tc>
        <w:tc>
          <w:tcPr>
            <w:tcW w:w="1155" w:type="dxa"/>
          </w:tcPr>
          <w:p>
            <w:pPr>
              <w:rPr>
                <w:rFonts w:ascii="宋体" w:cs="宋体"/>
                <w:sz w:val="24"/>
                <w:szCs w:val="24"/>
              </w:rPr>
            </w:pPr>
          </w:p>
        </w:tc>
        <w:tc>
          <w:tcPr>
            <w:tcW w:w="1127" w:type="dxa"/>
          </w:tcPr>
          <w:p>
            <w:pPr>
              <w:rPr>
                <w:rFonts w:ascii="宋体" w:cs="宋体"/>
                <w:sz w:val="24"/>
                <w:szCs w:val="24"/>
              </w:rPr>
            </w:pPr>
          </w:p>
        </w:tc>
        <w:tc>
          <w:tcPr>
            <w:tcW w:w="1156" w:type="dxa"/>
          </w:tcPr>
          <w:p>
            <w:pPr>
              <w:rPr>
                <w:rFonts w:ascii="宋体" w:cs="宋体"/>
                <w:sz w:val="24"/>
                <w:szCs w:val="24"/>
              </w:rPr>
            </w:pPr>
          </w:p>
        </w:tc>
        <w:tc>
          <w:tcPr>
            <w:tcW w:w="1156" w:type="dxa"/>
          </w:tcPr>
          <w:p>
            <w:pPr>
              <w:rPr>
                <w:rFonts w:ascii="宋体" w:cs="宋体"/>
                <w:sz w:val="24"/>
                <w:szCs w:val="24"/>
              </w:rPr>
            </w:pPr>
          </w:p>
        </w:tc>
        <w:tc>
          <w:tcPr>
            <w:tcW w:w="1130" w:type="dxa"/>
          </w:tcPr>
          <w:p>
            <w:pPr>
              <w:rPr>
                <w:rFonts w:ascii="宋体" w:cs="宋体"/>
                <w:sz w:val="24"/>
                <w:szCs w:val="24"/>
              </w:rPr>
            </w:pPr>
          </w:p>
        </w:tc>
        <w:tc>
          <w:tcPr>
            <w:tcW w:w="1156" w:type="dxa"/>
          </w:tcPr>
          <w:p>
            <w:pPr>
              <w:rPr>
                <w:rFonts w:ascii="宋体" w:cs="宋体"/>
                <w:sz w:val="24"/>
                <w:szCs w:val="24"/>
              </w:rPr>
            </w:pPr>
          </w:p>
        </w:tc>
        <w:tc>
          <w:tcPr>
            <w:tcW w:w="1123" w:type="dxa"/>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pPr>
              <w:rPr>
                <w:rFonts w:ascii="宋体" w:cs="宋体"/>
                <w:sz w:val="24"/>
                <w:szCs w:val="24"/>
              </w:rPr>
            </w:pPr>
          </w:p>
        </w:tc>
        <w:tc>
          <w:tcPr>
            <w:tcW w:w="1155" w:type="dxa"/>
          </w:tcPr>
          <w:p>
            <w:pPr>
              <w:rPr>
                <w:rFonts w:ascii="宋体" w:cs="宋体"/>
                <w:sz w:val="24"/>
                <w:szCs w:val="24"/>
              </w:rPr>
            </w:pPr>
          </w:p>
        </w:tc>
        <w:tc>
          <w:tcPr>
            <w:tcW w:w="1127" w:type="dxa"/>
          </w:tcPr>
          <w:p>
            <w:pPr>
              <w:rPr>
                <w:rFonts w:ascii="宋体" w:cs="宋体"/>
                <w:sz w:val="24"/>
                <w:szCs w:val="24"/>
              </w:rPr>
            </w:pPr>
          </w:p>
        </w:tc>
        <w:tc>
          <w:tcPr>
            <w:tcW w:w="1156" w:type="dxa"/>
          </w:tcPr>
          <w:p>
            <w:pPr>
              <w:rPr>
                <w:rFonts w:ascii="宋体" w:cs="宋体"/>
                <w:sz w:val="24"/>
                <w:szCs w:val="24"/>
              </w:rPr>
            </w:pPr>
          </w:p>
        </w:tc>
        <w:tc>
          <w:tcPr>
            <w:tcW w:w="1156" w:type="dxa"/>
          </w:tcPr>
          <w:p>
            <w:pPr>
              <w:rPr>
                <w:rFonts w:ascii="宋体" w:cs="宋体"/>
                <w:sz w:val="24"/>
                <w:szCs w:val="24"/>
              </w:rPr>
            </w:pPr>
          </w:p>
        </w:tc>
        <w:tc>
          <w:tcPr>
            <w:tcW w:w="1130" w:type="dxa"/>
          </w:tcPr>
          <w:p>
            <w:pPr>
              <w:rPr>
                <w:rFonts w:ascii="宋体" w:cs="宋体"/>
                <w:sz w:val="24"/>
                <w:szCs w:val="24"/>
              </w:rPr>
            </w:pPr>
          </w:p>
        </w:tc>
        <w:tc>
          <w:tcPr>
            <w:tcW w:w="1156" w:type="dxa"/>
          </w:tcPr>
          <w:p>
            <w:pPr>
              <w:rPr>
                <w:rFonts w:ascii="宋体" w:cs="宋体"/>
                <w:sz w:val="24"/>
                <w:szCs w:val="24"/>
              </w:rPr>
            </w:pPr>
          </w:p>
        </w:tc>
        <w:tc>
          <w:tcPr>
            <w:tcW w:w="1123" w:type="dxa"/>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52" w:type="dxa"/>
          </w:tcPr>
          <w:p>
            <w:pPr>
              <w:rPr>
                <w:rFonts w:ascii="宋体" w:cs="宋体"/>
                <w:sz w:val="24"/>
                <w:szCs w:val="24"/>
              </w:rPr>
            </w:pPr>
          </w:p>
        </w:tc>
        <w:tc>
          <w:tcPr>
            <w:tcW w:w="1155" w:type="dxa"/>
          </w:tcPr>
          <w:p>
            <w:pPr>
              <w:rPr>
                <w:rFonts w:ascii="宋体" w:cs="宋体"/>
                <w:sz w:val="24"/>
                <w:szCs w:val="24"/>
              </w:rPr>
            </w:pPr>
          </w:p>
        </w:tc>
        <w:tc>
          <w:tcPr>
            <w:tcW w:w="1127" w:type="dxa"/>
          </w:tcPr>
          <w:p>
            <w:pPr>
              <w:rPr>
                <w:rFonts w:ascii="宋体" w:cs="宋体"/>
                <w:sz w:val="24"/>
                <w:szCs w:val="24"/>
              </w:rPr>
            </w:pPr>
          </w:p>
        </w:tc>
        <w:tc>
          <w:tcPr>
            <w:tcW w:w="1156" w:type="dxa"/>
          </w:tcPr>
          <w:p>
            <w:pPr>
              <w:rPr>
                <w:rFonts w:ascii="宋体" w:cs="宋体"/>
                <w:sz w:val="24"/>
                <w:szCs w:val="24"/>
              </w:rPr>
            </w:pPr>
          </w:p>
        </w:tc>
        <w:tc>
          <w:tcPr>
            <w:tcW w:w="1156" w:type="dxa"/>
          </w:tcPr>
          <w:p>
            <w:pPr>
              <w:rPr>
                <w:rFonts w:ascii="宋体" w:cs="宋体"/>
                <w:sz w:val="24"/>
                <w:szCs w:val="24"/>
              </w:rPr>
            </w:pPr>
          </w:p>
        </w:tc>
        <w:tc>
          <w:tcPr>
            <w:tcW w:w="1130" w:type="dxa"/>
          </w:tcPr>
          <w:p>
            <w:pPr>
              <w:rPr>
                <w:rFonts w:ascii="宋体" w:cs="宋体"/>
                <w:sz w:val="24"/>
                <w:szCs w:val="24"/>
              </w:rPr>
            </w:pPr>
          </w:p>
        </w:tc>
        <w:tc>
          <w:tcPr>
            <w:tcW w:w="1156" w:type="dxa"/>
          </w:tcPr>
          <w:p>
            <w:pPr>
              <w:rPr>
                <w:rFonts w:ascii="宋体" w:cs="宋体"/>
                <w:sz w:val="24"/>
                <w:szCs w:val="24"/>
              </w:rPr>
            </w:pPr>
          </w:p>
        </w:tc>
        <w:tc>
          <w:tcPr>
            <w:tcW w:w="1123" w:type="dxa"/>
          </w:tcPr>
          <w:p>
            <w:pPr>
              <w:rPr>
                <w:rFonts w:asci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52" w:type="dxa"/>
          </w:tcPr>
          <w:p>
            <w:pPr>
              <w:rPr>
                <w:rFonts w:ascii="宋体" w:cs="宋体"/>
                <w:sz w:val="24"/>
                <w:szCs w:val="24"/>
              </w:rPr>
            </w:pPr>
          </w:p>
        </w:tc>
        <w:tc>
          <w:tcPr>
            <w:tcW w:w="1155" w:type="dxa"/>
          </w:tcPr>
          <w:p>
            <w:pPr>
              <w:rPr>
                <w:rFonts w:ascii="宋体" w:cs="宋体"/>
                <w:sz w:val="24"/>
                <w:szCs w:val="24"/>
              </w:rPr>
            </w:pPr>
          </w:p>
        </w:tc>
        <w:tc>
          <w:tcPr>
            <w:tcW w:w="1127" w:type="dxa"/>
          </w:tcPr>
          <w:p>
            <w:pPr>
              <w:rPr>
                <w:rFonts w:ascii="宋体" w:cs="宋体"/>
                <w:sz w:val="24"/>
                <w:szCs w:val="24"/>
              </w:rPr>
            </w:pPr>
          </w:p>
        </w:tc>
        <w:tc>
          <w:tcPr>
            <w:tcW w:w="1156" w:type="dxa"/>
          </w:tcPr>
          <w:p>
            <w:pPr>
              <w:rPr>
                <w:rFonts w:ascii="宋体" w:cs="宋体"/>
                <w:sz w:val="24"/>
                <w:szCs w:val="24"/>
              </w:rPr>
            </w:pPr>
          </w:p>
        </w:tc>
        <w:tc>
          <w:tcPr>
            <w:tcW w:w="1156" w:type="dxa"/>
          </w:tcPr>
          <w:p>
            <w:pPr>
              <w:rPr>
                <w:rFonts w:ascii="宋体" w:cs="宋体"/>
                <w:sz w:val="24"/>
                <w:szCs w:val="24"/>
              </w:rPr>
            </w:pPr>
          </w:p>
        </w:tc>
        <w:tc>
          <w:tcPr>
            <w:tcW w:w="1130" w:type="dxa"/>
          </w:tcPr>
          <w:p>
            <w:pPr>
              <w:rPr>
                <w:rFonts w:ascii="宋体" w:cs="宋体"/>
                <w:sz w:val="24"/>
                <w:szCs w:val="24"/>
              </w:rPr>
            </w:pPr>
          </w:p>
        </w:tc>
        <w:tc>
          <w:tcPr>
            <w:tcW w:w="1156" w:type="dxa"/>
          </w:tcPr>
          <w:p>
            <w:pPr>
              <w:rPr>
                <w:rFonts w:ascii="宋体" w:cs="宋体"/>
                <w:sz w:val="24"/>
                <w:szCs w:val="24"/>
              </w:rPr>
            </w:pPr>
          </w:p>
        </w:tc>
        <w:tc>
          <w:tcPr>
            <w:tcW w:w="1123" w:type="dxa"/>
          </w:tcPr>
          <w:p>
            <w:pPr>
              <w:rPr>
                <w:rFonts w:ascii="宋体" w:cs="宋体"/>
                <w:sz w:val="24"/>
                <w:szCs w:val="24"/>
              </w:rPr>
            </w:pPr>
          </w:p>
        </w:tc>
      </w:tr>
    </w:tbl>
    <w:p>
      <w:pPr>
        <w:ind w:firstLine="480" w:firstLineChars="200"/>
        <w:rPr>
          <w:rFonts w:ascii="宋体"/>
          <w:sz w:val="24"/>
          <w:szCs w:val="24"/>
        </w:rPr>
      </w:pPr>
    </w:p>
    <w:p>
      <w:pPr>
        <w:ind w:firstLine="480" w:firstLineChars="200"/>
        <w:rPr>
          <w:rFonts w:ascii="宋体" w:cs="宋体"/>
          <w:sz w:val="24"/>
          <w:szCs w:val="24"/>
        </w:rPr>
      </w:pPr>
      <w:r>
        <w:rPr>
          <w:rFonts w:hint="eastAsia" w:ascii="宋体" w:hAnsi="宋体" w:cs="宋体"/>
          <w:sz w:val="24"/>
          <w:szCs w:val="24"/>
        </w:rPr>
        <w:t>1、上述人员（含项目负责人）应附身份证、职称证书、</w:t>
      </w:r>
      <w:r>
        <w:rPr>
          <w:rFonts w:hint="eastAsia" w:ascii="宋体" w:hAnsi="宋体"/>
          <w:bCs/>
          <w:sz w:val="24"/>
          <w:szCs w:val="24"/>
        </w:rPr>
        <w:t>学历证书</w:t>
      </w:r>
      <w:r>
        <w:rPr>
          <w:rFonts w:hint="eastAsia" w:ascii="宋体" w:hAnsi="宋体" w:cs="宋体"/>
          <w:sz w:val="24"/>
          <w:szCs w:val="24"/>
        </w:rPr>
        <w:t>复印件。</w:t>
      </w:r>
    </w:p>
    <w:p>
      <w:pPr>
        <w:tabs>
          <w:tab w:val="left" w:pos="5777"/>
        </w:tabs>
        <w:spacing w:line="360" w:lineRule="auto"/>
        <w:ind w:firstLine="480" w:firstLineChars="200"/>
        <w:jc w:val="left"/>
        <w:rPr>
          <w:rFonts w:ascii="宋体" w:hAnsi="宋体" w:eastAsia="宋体" w:cs="Times New Roman"/>
          <w:sz w:val="24"/>
          <w:szCs w:val="24"/>
        </w:rPr>
      </w:pPr>
    </w:p>
    <w:p>
      <w:pPr>
        <w:widowControl/>
        <w:jc w:val="left"/>
        <w:rPr>
          <w:rFonts w:ascii="宋体" w:hAnsi="宋体" w:eastAsia="宋体" w:cs="宋体"/>
          <w:b/>
          <w:sz w:val="24"/>
          <w:szCs w:val="24"/>
        </w:rPr>
      </w:pPr>
      <w:r>
        <w:rPr>
          <w:rFonts w:ascii="宋体" w:hAnsi="宋体" w:eastAsia="宋体" w:cs="宋体"/>
          <w:b/>
          <w:sz w:val="24"/>
          <w:szCs w:val="24"/>
        </w:rPr>
        <w:br w:type="page"/>
      </w:r>
    </w:p>
    <w:p>
      <w:pPr>
        <w:spacing w:line="360" w:lineRule="auto"/>
        <w:jc w:val="center"/>
        <w:outlineLvl w:val="1"/>
        <w:rPr>
          <w:rFonts w:ascii="宋体" w:cs="宋体"/>
          <w:b/>
          <w:sz w:val="24"/>
          <w:szCs w:val="24"/>
        </w:rPr>
      </w:pPr>
      <w:bookmarkStart w:id="95" w:name="_Toc28273"/>
      <w:r>
        <w:rPr>
          <w:rFonts w:hint="eastAsia" w:ascii="宋体" w:hAnsi="宋体" w:cs="宋体"/>
          <w:b/>
          <w:sz w:val="24"/>
          <w:szCs w:val="24"/>
        </w:rPr>
        <w:t>十一、</w:t>
      </w:r>
      <w:r>
        <w:rPr>
          <w:rFonts w:hint="eastAsia" w:ascii="宋体" w:hAnsi="宋体" w:cs="宋体"/>
          <w:b/>
          <w:sz w:val="24"/>
          <w:szCs w:val="24"/>
          <w:lang w:val="zh-CN"/>
        </w:rPr>
        <w:t>维修服务方案</w:t>
      </w:r>
      <w:bookmarkEnd w:id="95"/>
    </w:p>
    <w:p>
      <w:pPr>
        <w:spacing w:line="360" w:lineRule="auto"/>
        <w:jc w:val="center"/>
        <w:rPr>
          <w:rFonts w:hint="eastAsia" w:ascii="宋体" w:hAnsi="宋体" w:eastAsiaTheme="minorEastAsia"/>
          <w:sz w:val="24"/>
          <w:szCs w:val="24"/>
          <w:lang w:eastAsia="zh-CN"/>
        </w:rPr>
      </w:pPr>
      <w:r>
        <w:rPr>
          <w:rFonts w:hint="eastAsia" w:ascii="宋体" w:hAnsi="宋体"/>
          <w:sz w:val="24"/>
          <w:szCs w:val="24"/>
          <w:lang w:eastAsia="zh-CN"/>
        </w:rPr>
        <w:t>（</w:t>
      </w:r>
      <w:r>
        <w:rPr>
          <w:rFonts w:hint="eastAsia" w:ascii="宋体" w:hAnsi="宋体"/>
          <w:sz w:val="24"/>
          <w:szCs w:val="24"/>
        </w:rPr>
        <w:t>格式自拟</w:t>
      </w:r>
      <w:r>
        <w:rPr>
          <w:rFonts w:hint="eastAsia" w:ascii="宋体" w:hAnsi="宋体"/>
          <w:sz w:val="24"/>
          <w:szCs w:val="24"/>
          <w:lang w:eastAsia="zh-CN"/>
        </w:rPr>
        <w:t>）</w:t>
      </w:r>
    </w:p>
    <w:p>
      <w:pPr>
        <w:rPr>
          <w:rFonts w:hint="eastAsia" w:ascii="宋体" w:hAnsi="宋体" w:eastAsia="宋体" w:cs="宋体"/>
          <w:b/>
          <w:sz w:val="24"/>
          <w:szCs w:val="24"/>
        </w:rPr>
      </w:pPr>
      <w:bookmarkStart w:id="96" w:name="_Toc78916580"/>
      <w:r>
        <w:rPr>
          <w:rFonts w:hint="eastAsia" w:ascii="宋体" w:hAnsi="宋体" w:eastAsia="宋体" w:cs="宋体"/>
          <w:b/>
          <w:sz w:val="24"/>
          <w:szCs w:val="24"/>
        </w:rPr>
        <w:br w:type="page"/>
      </w:r>
    </w:p>
    <w:p>
      <w:pPr>
        <w:tabs>
          <w:tab w:val="center" w:pos="4832"/>
          <w:tab w:val="left" w:pos="7140"/>
        </w:tabs>
        <w:jc w:val="center"/>
        <w:outlineLvl w:val="1"/>
        <w:rPr>
          <w:rFonts w:ascii="宋体" w:hAnsi="Calibri" w:eastAsia="宋体" w:cs="宋体"/>
          <w:b/>
          <w:sz w:val="24"/>
          <w:szCs w:val="24"/>
        </w:rPr>
      </w:pPr>
      <w:bookmarkStart w:id="97" w:name="_Toc26819"/>
      <w:r>
        <w:rPr>
          <w:rFonts w:hint="eastAsia" w:ascii="宋体" w:hAnsi="宋体" w:eastAsia="宋体" w:cs="宋体"/>
          <w:b/>
          <w:sz w:val="24"/>
          <w:szCs w:val="24"/>
        </w:rPr>
        <w:t>十二、售后服务承诺书</w:t>
      </w:r>
      <w:bookmarkEnd w:id="97"/>
    </w:p>
    <w:p>
      <w:pPr>
        <w:spacing w:line="360" w:lineRule="auto"/>
        <w:ind w:firstLine="480" w:firstLineChars="200"/>
        <w:rPr>
          <w:rFonts w:ascii="宋体" w:hAnsi="Calibri" w:eastAsia="宋体" w:cs="Times New Roman"/>
          <w:sz w:val="24"/>
          <w:szCs w:val="24"/>
        </w:rPr>
      </w:pPr>
      <w:r>
        <w:rPr>
          <w:rFonts w:hint="eastAsia" w:ascii="宋体" w:hAnsi="宋体" w:eastAsia="宋体" w:cs="Times New Roman"/>
          <w:sz w:val="24"/>
          <w:szCs w:val="24"/>
        </w:rPr>
        <w:t>该承诺书格式由投标人自行确定，应包括以下内容：</w:t>
      </w:r>
    </w:p>
    <w:p>
      <w:pPr>
        <w:spacing w:line="360" w:lineRule="auto"/>
        <w:ind w:firstLine="480" w:firstLineChars="200"/>
        <w:rPr>
          <w:rFonts w:ascii="宋体" w:hAnsi="Calibri"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质保期内、质保期后维护计划等；</w:t>
      </w:r>
    </w:p>
    <w:p>
      <w:pPr>
        <w:spacing w:line="360" w:lineRule="auto"/>
        <w:ind w:firstLine="480" w:firstLineChars="200"/>
        <w:rPr>
          <w:rFonts w:ascii="宋体" w:hAnsi="Calibri"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w:t>
      </w:r>
      <w:r>
        <w:rPr>
          <w:rFonts w:hint="eastAsia" w:ascii="宋体" w:hAnsi="宋体" w:eastAsia="宋体" w:cs="Times New Roman"/>
          <w:sz w:val="24"/>
          <w:szCs w:val="24"/>
        </w:rPr>
        <w:t>零配件供应方案；</w:t>
      </w:r>
    </w:p>
    <w:p>
      <w:pPr>
        <w:spacing w:line="360" w:lineRule="auto"/>
        <w:ind w:firstLine="480" w:firstLineChars="200"/>
        <w:rPr>
          <w:rFonts w:ascii="宋体" w:hAnsi="Calibri"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售后技术服务及技术支持；</w:t>
      </w:r>
    </w:p>
    <w:p>
      <w:pPr>
        <w:spacing w:line="360" w:lineRule="auto"/>
        <w:ind w:firstLine="480" w:firstLineChars="200"/>
        <w:rPr>
          <w:rFonts w:ascii="宋体" w:hAnsi="Calibri"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w:t>
      </w:r>
      <w:r>
        <w:rPr>
          <w:rFonts w:hint="eastAsia" w:ascii="宋体" w:hAnsi="宋体" w:eastAsia="宋体" w:cs="Times New Roman"/>
          <w:sz w:val="24"/>
          <w:szCs w:val="24"/>
        </w:rPr>
        <w:t>售后服务承诺。</w:t>
      </w:r>
    </w:p>
    <w:p>
      <w:pPr>
        <w:spacing w:line="360" w:lineRule="auto"/>
        <w:ind w:firstLine="480" w:firstLineChars="200"/>
        <w:rPr>
          <w:rFonts w:ascii="宋体" w:hAnsi="Calibri" w:eastAsia="宋体" w:cs="Times New Roman"/>
          <w:sz w:val="24"/>
          <w:szCs w:val="24"/>
        </w:rPr>
      </w:pPr>
    </w:p>
    <w:p>
      <w:pPr>
        <w:spacing w:line="360" w:lineRule="auto"/>
        <w:ind w:firstLine="480" w:firstLineChars="200"/>
        <w:rPr>
          <w:rFonts w:ascii="宋体" w:hAnsi="Calibri" w:eastAsia="宋体" w:cs="Times New Roman"/>
          <w:sz w:val="24"/>
          <w:szCs w:val="24"/>
        </w:rPr>
      </w:pPr>
    </w:p>
    <w:p>
      <w:pPr>
        <w:spacing w:line="360" w:lineRule="auto"/>
        <w:ind w:firstLine="480" w:firstLineChars="200"/>
        <w:rPr>
          <w:rFonts w:ascii="宋体" w:hAnsi="Calibri"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投标人：（盖章）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wordWrap w:val="0"/>
        <w:snapToGrid w:val="0"/>
        <w:spacing w:line="384" w:lineRule="auto"/>
        <w:ind w:firstLine="420"/>
        <w:jc w:val="right"/>
        <w:rPr>
          <w:rFonts w:ascii="宋体" w:hAnsi="Calibri" w:eastAsia="宋体" w:cs="Arial"/>
          <w:kern w:val="0"/>
          <w:sz w:val="24"/>
          <w:szCs w:val="24"/>
        </w:rPr>
      </w:pPr>
      <w:r>
        <w:rPr>
          <w:rFonts w:hint="eastAsia" w:ascii="宋体" w:hAnsi="宋体" w:eastAsia="宋体" w:cs="Arial"/>
          <w:kern w:val="0"/>
          <w:sz w:val="24"/>
          <w:szCs w:val="24"/>
        </w:rPr>
        <w:t>日期：  年  月  日</w:t>
      </w:r>
    </w:p>
    <w:p>
      <w:pPr>
        <w:rPr>
          <w:rFonts w:hint="eastAsia" w:ascii="宋体" w:hAnsi="宋体" w:eastAsia="宋体" w:cs="宋体"/>
          <w:b/>
          <w:sz w:val="24"/>
          <w:szCs w:val="24"/>
        </w:rPr>
      </w:pPr>
      <w:r>
        <w:rPr>
          <w:rFonts w:hint="eastAsia" w:ascii="宋体" w:hAnsi="宋体" w:eastAsia="宋体" w:cs="宋体"/>
          <w:b/>
          <w:sz w:val="24"/>
          <w:szCs w:val="24"/>
        </w:rPr>
        <w:br w:type="page"/>
      </w:r>
    </w:p>
    <w:p>
      <w:pPr>
        <w:tabs>
          <w:tab w:val="center" w:pos="4832"/>
          <w:tab w:val="left" w:pos="7140"/>
        </w:tabs>
        <w:spacing w:line="360" w:lineRule="auto"/>
        <w:jc w:val="center"/>
        <w:outlineLvl w:val="1"/>
        <w:rPr>
          <w:rFonts w:ascii="宋体" w:hAnsi="Calibri" w:eastAsia="宋体" w:cs="宋体"/>
          <w:b/>
          <w:sz w:val="24"/>
          <w:szCs w:val="24"/>
        </w:rPr>
      </w:pPr>
      <w:bookmarkStart w:id="98" w:name="_Toc32314"/>
      <w:r>
        <w:rPr>
          <w:rFonts w:hint="eastAsia" w:ascii="宋体" w:hAnsi="宋体" w:eastAsia="宋体" w:cs="宋体"/>
          <w:b/>
          <w:sz w:val="24"/>
          <w:szCs w:val="24"/>
          <w:lang w:eastAsia="zh-CN"/>
        </w:rPr>
        <w:t>十三、</w:t>
      </w:r>
      <w:r>
        <w:rPr>
          <w:rFonts w:hint="eastAsia" w:ascii="宋体" w:hAnsi="宋体" w:eastAsia="宋体" w:cs="宋体"/>
          <w:b/>
          <w:sz w:val="24"/>
          <w:szCs w:val="24"/>
        </w:rPr>
        <w:t>反商业贿赂书</w:t>
      </w:r>
      <w:bookmarkEnd w:id="96"/>
      <w:bookmarkEnd w:id="98"/>
    </w:p>
    <w:p>
      <w:pPr>
        <w:pStyle w:val="18"/>
        <w:spacing w:line="440" w:lineRule="exact"/>
        <w:ind w:left="0" w:firstLine="426"/>
        <w:rPr>
          <w:rFonts w:ascii="宋体" w:hAnsi="宋体"/>
        </w:rPr>
      </w:pPr>
      <w:r>
        <w:rPr>
          <w:rFonts w:hint="eastAsia" w:ascii="宋体" w:hAnsi="宋体"/>
        </w:rPr>
        <w:t>我公司承诺在</w:t>
      </w:r>
      <w:r>
        <w:rPr>
          <w:rFonts w:hint="eastAsia" w:ascii="宋体" w:hAnsi="宋体"/>
          <w:u w:val="single"/>
        </w:rPr>
        <w:t>（项目名称）</w:t>
      </w:r>
      <w:r>
        <w:rPr>
          <w:rFonts w:hint="eastAsia" w:ascii="宋体" w:hAnsi="宋体"/>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8"/>
        <w:spacing w:line="440" w:lineRule="exact"/>
        <w:ind w:firstLine="480" w:firstLineChars="200"/>
        <w:rPr>
          <w:rFonts w:ascii="宋体" w:hAnsi="宋体"/>
        </w:rPr>
      </w:pPr>
    </w:p>
    <w:p>
      <w:pPr>
        <w:spacing w:line="360" w:lineRule="auto"/>
        <w:ind w:firstLine="480" w:firstLineChars="200"/>
        <w:rPr>
          <w:rFonts w:ascii="宋体" w:hAnsi="宋体" w:eastAsia="宋体" w:cs="Times New Roman"/>
          <w:sz w:val="24"/>
          <w:szCs w:val="24"/>
        </w:rPr>
      </w:pPr>
    </w:p>
    <w:p>
      <w:pPr>
        <w:widowControl/>
        <w:shd w:val="clear" w:color="auto" w:fill="FFFFFF"/>
        <w:snapToGrid w:val="0"/>
        <w:spacing w:line="384" w:lineRule="auto"/>
        <w:jc w:val="left"/>
        <w:rPr>
          <w:rFonts w:ascii="宋体" w:hAnsi="Calibri" w:eastAsia="宋体" w:cs="Arial"/>
          <w:kern w:val="0"/>
          <w:sz w:val="24"/>
          <w:szCs w:val="24"/>
        </w:rPr>
      </w:pPr>
      <w:r>
        <w:rPr>
          <w:rFonts w:hint="eastAsia" w:ascii="宋体" w:hAnsi="宋体" w:eastAsia="宋体" w:cs="Arial"/>
          <w:kern w:val="0"/>
          <w:sz w:val="24"/>
          <w:szCs w:val="24"/>
        </w:rPr>
        <w:t>供应商：（盖章）</w:t>
      </w:r>
    </w:p>
    <w:p>
      <w:pPr>
        <w:widowControl/>
        <w:shd w:val="clear" w:color="auto" w:fill="FFFFFF"/>
        <w:snapToGrid w:val="0"/>
        <w:spacing w:line="384" w:lineRule="auto"/>
        <w:jc w:val="left"/>
        <w:rPr>
          <w:rFonts w:ascii="宋体" w:hAnsi="Calibri" w:eastAsia="宋体" w:cs="Arial"/>
          <w:kern w:val="0"/>
          <w:sz w:val="24"/>
          <w:szCs w:val="24"/>
        </w:rPr>
      </w:pPr>
    </w:p>
    <w:p>
      <w:pPr>
        <w:widowControl/>
        <w:shd w:val="clear" w:color="auto" w:fill="FFFFFF"/>
        <w:snapToGrid w:val="0"/>
        <w:spacing w:line="384" w:lineRule="auto"/>
        <w:jc w:val="left"/>
        <w:rPr>
          <w:rFonts w:ascii="宋体" w:hAnsi="宋体" w:eastAsia="宋体" w:cs="Arial"/>
          <w:kern w:val="0"/>
          <w:sz w:val="24"/>
          <w:szCs w:val="24"/>
        </w:rPr>
      </w:pPr>
      <w:r>
        <w:rPr>
          <w:rFonts w:hint="eastAsia" w:ascii="宋体" w:hAnsi="宋体" w:eastAsia="宋体" w:cs="Arial"/>
          <w:kern w:val="0"/>
          <w:sz w:val="24"/>
          <w:szCs w:val="24"/>
        </w:rPr>
        <w:t>法定代表人：（盖章）</w:t>
      </w:r>
    </w:p>
    <w:p>
      <w:pPr>
        <w:widowControl/>
        <w:shd w:val="clear" w:color="auto" w:fill="FFFFFF"/>
        <w:snapToGrid w:val="0"/>
        <w:spacing w:line="384" w:lineRule="auto"/>
        <w:jc w:val="left"/>
        <w:rPr>
          <w:rFonts w:ascii="宋体" w:hAnsi="Calibri" w:eastAsia="宋体" w:cs="Arial"/>
          <w:kern w:val="0"/>
          <w:sz w:val="24"/>
          <w:szCs w:val="24"/>
        </w:rPr>
      </w:pPr>
    </w:p>
    <w:p>
      <w:pPr>
        <w:tabs>
          <w:tab w:val="center" w:pos="4832"/>
          <w:tab w:val="left" w:pos="7140"/>
        </w:tabs>
        <w:jc w:val="left"/>
        <w:rPr>
          <w:rFonts w:ascii="宋体" w:hAnsi="宋体" w:eastAsia="宋体" w:cs="Times New Roman"/>
          <w:sz w:val="24"/>
          <w:szCs w:val="24"/>
        </w:rPr>
      </w:pPr>
      <w:bookmarkStart w:id="99" w:name="_Toc516611792"/>
      <w:r>
        <w:rPr>
          <w:rFonts w:hint="eastAsia" w:ascii="宋体" w:hAnsi="宋体" w:eastAsia="宋体" w:cs="Arial"/>
          <w:kern w:val="0"/>
          <w:sz w:val="24"/>
          <w:szCs w:val="24"/>
        </w:rPr>
        <w:t>日期：年月日</w:t>
      </w:r>
      <w:bookmarkEnd w:id="99"/>
    </w:p>
    <w:p>
      <w:pPr>
        <w:ind w:firstLine="480" w:firstLineChars="200"/>
        <w:rPr>
          <w:rFonts w:ascii="宋体" w:hAnsi="宋体"/>
          <w:sz w:val="24"/>
          <w:szCs w:val="24"/>
        </w:rPr>
      </w:pPr>
    </w:p>
    <w:p>
      <w:pPr>
        <w:rPr>
          <w:rFonts w:ascii="宋体" w:hAnsi="宋体" w:cs="宋体"/>
          <w:b/>
          <w:sz w:val="24"/>
          <w:szCs w:val="24"/>
        </w:rPr>
      </w:pPr>
      <w:r>
        <w:rPr>
          <w:rFonts w:hint="eastAsia" w:ascii="宋体" w:hAnsi="宋体" w:cs="宋体"/>
          <w:b/>
          <w:sz w:val="24"/>
          <w:szCs w:val="24"/>
        </w:rPr>
        <w:br w:type="page"/>
      </w:r>
    </w:p>
    <w:p>
      <w:pPr>
        <w:numPr>
          <w:ilvl w:val="0"/>
          <w:numId w:val="0"/>
        </w:numPr>
        <w:spacing w:line="360" w:lineRule="auto"/>
        <w:jc w:val="center"/>
        <w:outlineLvl w:val="1"/>
        <w:rPr>
          <w:rFonts w:hint="eastAsia" w:ascii="宋体" w:hAnsi="宋体" w:cs="宋体"/>
          <w:b/>
          <w:sz w:val="24"/>
          <w:szCs w:val="24"/>
        </w:rPr>
      </w:pPr>
      <w:bookmarkStart w:id="100" w:name="_Toc17346"/>
      <w:r>
        <w:rPr>
          <w:rFonts w:hint="eastAsia" w:ascii="宋体" w:hAnsi="宋体" w:cs="宋体"/>
          <w:b/>
          <w:sz w:val="24"/>
          <w:szCs w:val="24"/>
          <w:lang w:eastAsia="zh-CN"/>
        </w:rPr>
        <w:t>十四、</w:t>
      </w:r>
      <w:r>
        <w:rPr>
          <w:rFonts w:hint="eastAsia" w:ascii="宋体" w:hAnsi="宋体" w:cs="宋体"/>
          <w:b/>
          <w:sz w:val="24"/>
          <w:szCs w:val="24"/>
        </w:rPr>
        <w:t>投标保证金证明材料</w:t>
      </w:r>
      <w:bookmarkEnd w:id="100"/>
    </w:p>
    <w:p>
      <w:pPr>
        <w:numPr>
          <w:ilvl w:val="0"/>
          <w:numId w:val="0"/>
        </w:numPr>
        <w:spacing w:line="360" w:lineRule="auto"/>
        <w:jc w:val="center"/>
        <w:outlineLvl w:val="9"/>
        <w:rPr>
          <w:rFonts w:hint="eastAsia" w:ascii="宋体" w:hAnsi="宋体" w:cs="宋体" w:eastAsiaTheme="minorEastAsia"/>
          <w:b w:val="0"/>
          <w:bCs/>
          <w:sz w:val="24"/>
          <w:szCs w:val="24"/>
          <w:lang w:eastAsia="zh-CN"/>
        </w:rPr>
      </w:pPr>
      <w:r>
        <w:rPr>
          <w:rFonts w:hint="eastAsia" w:ascii="宋体" w:hAnsi="宋体" w:cs="宋体"/>
          <w:b w:val="0"/>
          <w:bCs/>
          <w:sz w:val="24"/>
          <w:szCs w:val="24"/>
          <w:lang w:eastAsia="zh-CN"/>
        </w:rPr>
        <w:t>（如有）</w:t>
      </w:r>
    </w:p>
    <w:p>
      <w:pPr>
        <w:tabs>
          <w:tab w:val="left" w:pos="3345"/>
        </w:tabs>
        <w:jc w:val="center"/>
        <w:rPr>
          <w:rFonts w:ascii="宋体" w:hAnsi="宋体"/>
          <w:color w:val="000000"/>
          <w:sz w:val="24"/>
          <w:szCs w:val="24"/>
        </w:rPr>
      </w:pPr>
      <w:r>
        <w:rPr>
          <w:rFonts w:hint="eastAsia" w:ascii="宋体" w:hAnsi="宋体"/>
          <w:color w:val="000000"/>
          <w:sz w:val="24"/>
          <w:szCs w:val="24"/>
        </w:rPr>
        <w:t>附：投标保证金证明材料扫描件</w:t>
      </w:r>
    </w:p>
    <w:p>
      <w:pPr>
        <w:tabs>
          <w:tab w:val="left" w:pos="3345"/>
        </w:tabs>
        <w:jc w:val="left"/>
        <w:rPr>
          <w:rFonts w:ascii="宋体" w:hAnsi="宋体"/>
          <w:color w:val="000000"/>
          <w:sz w:val="24"/>
          <w:szCs w:val="24"/>
        </w:rPr>
      </w:pPr>
    </w:p>
    <w:p>
      <w:pPr>
        <w:tabs>
          <w:tab w:val="left" w:pos="3345"/>
        </w:tabs>
        <w:jc w:val="left"/>
        <w:rPr>
          <w:rFonts w:ascii="宋体" w:hAnsi="宋体"/>
          <w:color w:val="000000"/>
          <w:sz w:val="24"/>
          <w:szCs w:val="24"/>
        </w:rPr>
      </w:pPr>
    </w:p>
    <w:p>
      <w:pPr>
        <w:tabs>
          <w:tab w:val="left" w:pos="3345"/>
        </w:tabs>
        <w:jc w:val="left"/>
        <w:rPr>
          <w:rFonts w:ascii="宋体" w:hAnsi="宋体"/>
          <w:color w:val="000000"/>
          <w:sz w:val="24"/>
          <w:szCs w:val="24"/>
        </w:rPr>
      </w:pPr>
    </w:p>
    <w:p>
      <w:pPr>
        <w:ind w:firstLine="527" w:firstLineChars="250"/>
        <w:rPr>
          <w:rFonts w:ascii="宋体" w:hAnsi="宋体"/>
          <w:b/>
          <w:szCs w:val="21"/>
        </w:rPr>
      </w:pPr>
    </w:p>
    <w:p>
      <w:pPr>
        <w:rPr>
          <w:rFonts w:ascii="宋体" w:hAnsi="宋体" w:cs="宋体"/>
          <w:b/>
          <w:sz w:val="24"/>
          <w:szCs w:val="24"/>
        </w:rPr>
      </w:pPr>
      <w:r>
        <w:rPr>
          <w:rFonts w:hint="eastAsia" w:ascii="宋体" w:hAnsi="宋体" w:cs="宋体"/>
          <w:b/>
          <w:sz w:val="24"/>
          <w:szCs w:val="24"/>
        </w:rPr>
        <w:br w:type="page"/>
      </w:r>
    </w:p>
    <w:p>
      <w:pPr>
        <w:spacing w:line="360" w:lineRule="auto"/>
        <w:jc w:val="center"/>
        <w:outlineLvl w:val="1"/>
        <w:rPr>
          <w:rFonts w:ascii="宋体" w:hAnsi="宋体" w:cs="宋体"/>
          <w:b/>
          <w:sz w:val="24"/>
          <w:szCs w:val="24"/>
        </w:rPr>
      </w:pPr>
      <w:bookmarkStart w:id="101" w:name="_Toc26573"/>
      <w:r>
        <w:rPr>
          <w:rFonts w:hint="eastAsia" w:ascii="宋体" w:hAnsi="宋体" w:cs="宋体"/>
          <w:b/>
          <w:sz w:val="24"/>
          <w:szCs w:val="24"/>
        </w:rPr>
        <w:t>十</w:t>
      </w:r>
      <w:r>
        <w:rPr>
          <w:rFonts w:hint="eastAsia" w:ascii="宋体" w:hAnsi="宋体" w:cs="宋体"/>
          <w:b/>
          <w:sz w:val="24"/>
          <w:szCs w:val="24"/>
          <w:lang w:eastAsia="zh-CN"/>
        </w:rPr>
        <w:t>五</w:t>
      </w:r>
      <w:r>
        <w:rPr>
          <w:rFonts w:hint="eastAsia" w:ascii="宋体" w:hAnsi="宋体" w:cs="宋体"/>
          <w:b/>
          <w:sz w:val="24"/>
          <w:szCs w:val="24"/>
        </w:rPr>
        <w:t>、其他需要提交的资料</w:t>
      </w:r>
      <w:bookmarkEnd w:id="101"/>
    </w:p>
    <w:p>
      <w:pPr>
        <w:tabs>
          <w:tab w:val="left" w:pos="3345"/>
        </w:tabs>
        <w:jc w:val="center"/>
        <w:rPr>
          <w:rFonts w:ascii="宋体" w:hAnsi="宋体"/>
          <w:color w:val="000000"/>
          <w:sz w:val="24"/>
          <w:szCs w:val="24"/>
        </w:rPr>
      </w:pPr>
      <w:r>
        <w:rPr>
          <w:rFonts w:hint="eastAsia" w:ascii="宋体" w:hAnsi="宋体"/>
          <w:color w:val="000000"/>
          <w:sz w:val="24"/>
          <w:szCs w:val="24"/>
        </w:rPr>
        <w:t>（根据磋商文件的要求和供应商认为需要提供的资料）</w:t>
      </w:r>
    </w:p>
    <w:p>
      <w:pPr>
        <w:spacing w:line="360" w:lineRule="auto"/>
        <w:rPr>
          <w:rFonts w:ascii="宋体" w:hAnsi="宋体" w:eastAsia="宋体" w:cs="宋体"/>
          <w:kern w:val="0"/>
          <w:sz w:val="24"/>
          <w:szCs w:val="24"/>
        </w:rPr>
      </w:pPr>
    </w:p>
    <w:p>
      <w:pPr>
        <w:widowControl/>
        <w:jc w:val="left"/>
        <w:rPr>
          <w:rFonts w:ascii="Calibri" w:hAnsi="Calibri" w:eastAsia="宋体" w:cs="Times New Roman"/>
        </w:rPr>
      </w:pPr>
    </w:p>
    <w:sectPr>
      <w:headerReference r:id="rId6" w:type="default"/>
      <w:footerReference r:id="rId7" w:type="default"/>
      <w:pgSz w:w="11906" w:h="16838"/>
      <w:pgMar w:top="1134" w:right="1418" w:bottom="1134"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libri Light">
    <w:altName w:val="Calibri"/>
    <w:panose1 w:val="020F0302020204030204"/>
    <w:charset w:val="00"/>
    <w:family w:val="swiss"/>
    <w:pitch w:val="default"/>
    <w:sig w:usb0="00000000" w:usb1="00000000" w:usb2="00000000" w:usb3="00000000" w:csb0="0000019F"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90"/>
      <w:jc w:val="right"/>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68</w:t>
    </w:r>
    <w:r>
      <w:rPr>
        <w:rStyle w:val="49"/>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pPr>
          <w:pStyle w:val="27"/>
          <w:jc w:val="right"/>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23</w:t>
        </w:r>
        <w:r>
          <w:rPr>
            <w:rFonts w:asciiTheme="minorEastAsia" w:hAnsiTheme="minorEastAsia" w:eastAsiaTheme="minorEastAsia"/>
            <w:sz w:val="30"/>
            <w:szCs w:val="30"/>
          </w:rPr>
          <w:fldChar w:fldCharType="end"/>
        </w:r>
      </w:p>
    </w:sdtContent>
  </w:sdt>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6EAE6"/>
    <w:multiLevelType w:val="singleLevel"/>
    <w:tmpl w:val="A076EAE6"/>
    <w:lvl w:ilvl="0" w:tentative="0">
      <w:start w:val="6"/>
      <w:numFmt w:val="chineseCounting"/>
      <w:suff w:val="nothing"/>
      <w:lvlText w:val="%1、"/>
      <w:lvlJc w:val="left"/>
      <w:rPr>
        <w:rFonts w:hint="eastAsia"/>
      </w:rPr>
    </w:lvl>
  </w:abstractNum>
  <w:abstractNum w:abstractNumId="1">
    <w:nsid w:val="2A4F5B42"/>
    <w:multiLevelType w:val="multilevel"/>
    <w:tmpl w:val="2A4F5B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C4FCDD"/>
    <w:multiLevelType w:val="singleLevel"/>
    <w:tmpl w:val="2FC4FCDD"/>
    <w:lvl w:ilvl="0" w:tentative="0">
      <w:start w:val="1"/>
      <w:numFmt w:val="decimal"/>
      <w:lvlText w:val="%1."/>
      <w:lvlJc w:val="left"/>
      <w:pPr>
        <w:tabs>
          <w:tab w:val="left" w:pos="312"/>
        </w:tabs>
      </w:pPr>
    </w:lvl>
  </w:abstractNum>
  <w:abstractNum w:abstractNumId="3">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AA4"/>
    <w:rsid w:val="00000ECF"/>
    <w:rsid w:val="00001340"/>
    <w:rsid w:val="00004DAA"/>
    <w:rsid w:val="00006BD9"/>
    <w:rsid w:val="0000705C"/>
    <w:rsid w:val="00007BA8"/>
    <w:rsid w:val="00014F7D"/>
    <w:rsid w:val="000162FE"/>
    <w:rsid w:val="000244CA"/>
    <w:rsid w:val="00030171"/>
    <w:rsid w:val="00031EFB"/>
    <w:rsid w:val="00033566"/>
    <w:rsid w:val="00034FAB"/>
    <w:rsid w:val="00036823"/>
    <w:rsid w:val="00036B12"/>
    <w:rsid w:val="000400E8"/>
    <w:rsid w:val="00044B32"/>
    <w:rsid w:val="00046152"/>
    <w:rsid w:val="0005003E"/>
    <w:rsid w:val="00056599"/>
    <w:rsid w:val="000604DE"/>
    <w:rsid w:val="000641A9"/>
    <w:rsid w:val="000661C0"/>
    <w:rsid w:val="00070AF5"/>
    <w:rsid w:val="00073D96"/>
    <w:rsid w:val="00074821"/>
    <w:rsid w:val="000762D4"/>
    <w:rsid w:val="00077DB3"/>
    <w:rsid w:val="0008025F"/>
    <w:rsid w:val="00080E16"/>
    <w:rsid w:val="00082FC4"/>
    <w:rsid w:val="00085EB2"/>
    <w:rsid w:val="000904A3"/>
    <w:rsid w:val="00090F37"/>
    <w:rsid w:val="000916AB"/>
    <w:rsid w:val="000923E8"/>
    <w:rsid w:val="00094989"/>
    <w:rsid w:val="00094F31"/>
    <w:rsid w:val="000A02F9"/>
    <w:rsid w:val="000A16A0"/>
    <w:rsid w:val="000A29B5"/>
    <w:rsid w:val="000A32B9"/>
    <w:rsid w:val="000A3552"/>
    <w:rsid w:val="000A452A"/>
    <w:rsid w:val="000B060E"/>
    <w:rsid w:val="000B210F"/>
    <w:rsid w:val="000B318F"/>
    <w:rsid w:val="000B331B"/>
    <w:rsid w:val="000B4C6A"/>
    <w:rsid w:val="000D171A"/>
    <w:rsid w:val="000D7CE7"/>
    <w:rsid w:val="000E5B9C"/>
    <w:rsid w:val="000E7461"/>
    <w:rsid w:val="00101AA4"/>
    <w:rsid w:val="001025BB"/>
    <w:rsid w:val="001063D0"/>
    <w:rsid w:val="0010650C"/>
    <w:rsid w:val="00127B38"/>
    <w:rsid w:val="00127C9A"/>
    <w:rsid w:val="0013312B"/>
    <w:rsid w:val="00134F82"/>
    <w:rsid w:val="00142762"/>
    <w:rsid w:val="00142BB8"/>
    <w:rsid w:val="0014554F"/>
    <w:rsid w:val="00146E26"/>
    <w:rsid w:val="0015794E"/>
    <w:rsid w:val="00161961"/>
    <w:rsid w:val="0016644B"/>
    <w:rsid w:val="00167F69"/>
    <w:rsid w:val="00172AA0"/>
    <w:rsid w:val="001733AF"/>
    <w:rsid w:val="00176FAD"/>
    <w:rsid w:val="00181200"/>
    <w:rsid w:val="001831E7"/>
    <w:rsid w:val="001A1D16"/>
    <w:rsid w:val="001A2117"/>
    <w:rsid w:val="001A45DD"/>
    <w:rsid w:val="001A4674"/>
    <w:rsid w:val="001A4E5A"/>
    <w:rsid w:val="001A5DD7"/>
    <w:rsid w:val="001B1748"/>
    <w:rsid w:val="001B5A4C"/>
    <w:rsid w:val="001D1BCF"/>
    <w:rsid w:val="001D50A5"/>
    <w:rsid w:val="001E33A7"/>
    <w:rsid w:val="001E3D69"/>
    <w:rsid w:val="001E4755"/>
    <w:rsid w:val="001E492A"/>
    <w:rsid w:val="001E6E8F"/>
    <w:rsid w:val="001E794E"/>
    <w:rsid w:val="001F1677"/>
    <w:rsid w:val="001F3A08"/>
    <w:rsid w:val="001F610A"/>
    <w:rsid w:val="00200BA8"/>
    <w:rsid w:val="0020240F"/>
    <w:rsid w:val="002055DD"/>
    <w:rsid w:val="00205DF6"/>
    <w:rsid w:val="00205F22"/>
    <w:rsid w:val="00214257"/>
    <w:rsid w:val="0021460D"/>
    <w:rsid w:val="00215F58"/>
    <w:rsid w:val="0022177D"/>
    <w:rsid w:val="00223931"/>
    <w:rsid w:val="00226A50"/>
    <w:rsid w:val="00226DEC"/>
    <w:rsid w:val="00236D43"/>
    <w:rsid w:val="002454B4"/>
    <w:rsid w:val="002472C0"/>
    <w:rsid w:val="002508FA"/>
    <w:rsid w:val="0025396A"/>
    <w:rsid w:val="00253DC3"/>
    <w:rsid w:val="002541CE"/>
    <w:rsid w:val="00257DBC"/>
    <w:rsid w:val="00257F22"/>
    <w:rsid w:val="002604A7"/>
    <w:rsid w:val="00260910"/>
    <w:rsid w:val="002660FD"/>
    <w:rsid w:val="00266F04"/>
    <w:rsid w:val="002679C6"/>
    <w:rsid w:val="002712CB"/>
    <w:rsid w:val="0027366F"/>
    <w:rsid w:val="00283BF1"/>
    <w:rsid w:val="00285885"/>
    <w:rsid w:val="002967DA"/>
    <w:rsid w:val="00297D9D"/>
    <w:rsid w:val="002A7CE2"/>
    <w:rsid w:val="002B0041"/>
    <w:rsid w:val="002B5159"/>
    <w:rsid w:val="002B624E"/>
    <w:rsid w:val="002B77E1"/>
    <w:rsid w:val="002C2DD2"/>
    <w:rsid w:val="002C44C0"/>
    <w:rsid w:val="002D0352"/>
    <w:rsid w:val="002D280B"/>
    <w:rsid w:val="002D3439"/>
    <w:rsid w:val="002D635D"/>
    <w:rsid w:val="002D6CF2"/>
    <w:rsid w:val="002E25BC"/>
    <w:rsid w:val="002E5AAD"/>
    <w:rsid w:val="002F10F5"/>
    <w:rsid w:val="002F2283"/>
    <w:rsid w:val="00300C92"/>
    <w:rsid w:val="00304A1A"/>
    <w:rsid w:val="00304D2D"/>
    <w:rsid w:val="00305EE3"/>
    <w:rsid w:val="0030747A"/>
    <w:rsid w:val="00311F76"/>
    <w:rsid w:val="00313F13"/>
    <w:rsid w:val="00315623"/>
    <w:rsid w:val="00315D4B"/>
    <w:rsid w:val="00315D59"/>
    <w:rsid w:val="00316DBA"/>
    <w:rsid w:val="00317D34"/>
    <w:rsid w:val="00317FF8"/>
    <w:rsid w:val="00324345"/>
    <w:rsid w:val="00326152"/>
    <w:rsid w:val="00331C14"/>
    <w:rsid w:val="00336EED"/>
    <w:rsid w:val="003477C5"/>
    <w:rsid w:val="0035581F"/>
    <w:rsid w:val="00357700"/>
    <w:rsid w:val="00360D30"/>
    <w:rsid w:val="00361C9D"/>
    <w:rsid w:val="00363991"/>
    <w:rsid w:val="00364473"/>
    <w:rsid w:val="00370CC0"/>
    <w:rsid w:val="00370F25"/>
    <w:rsid w:val="00372DE0"/>
    <w:rsid w:val="00373AD1"/>
    <w:rsid w:val="00376E83"/>
    <w:rsid w:val="00381A0F"/>
    <w:rsid w:val="003A4B68"/>
    <w:rsid w:val="003A5B50"/>
    <w:rsid w:val="003B70AD"/>
    <w:rsid w:val="003B7226"/>
    <w:rsid w:val="003C043A"/>
    <w:rsid w:val="003C0B9E"/>
    <w:rsid w:val="003C1831"/>
    <w:rsid w:val="003D01BB"/>
    <w:rsid w:val="003D05EA"/>
    <w:rsid w:val="003D4211"/>
    <w:rsid w:val="003D60E3"/>
    <w:rsid w:val="003E4A7A"/>
    <w:rsid w:val="003E7827"/>
    <w:rsid w:val="003F59D7"/>
    <w:rsid w:val="00402D19"/>
    <w:rsid w:val="0040310D"/>
    <w:rsid w:val="00407324"/>
    <w:rsid w:val="004079CE"/>
    <w:rsid w:val="004220B6"/>
    <w:rsid w:val="00423980"/>
    <w:rsid w:val="0042662D"/>
    <w:rsid w:val="00432C0C"/>
    <w:rsid w:val="00433EED"/>
    <w:rsid w:val="00437874"/>
    <w:rsid w:val="00444EE1"/>
    <w:rsid w:val="0044799D"/>
    <w:rsid w:val="0045091A"/>
    <w:rsid w:val="00451F1F"/>
    <w:rsid w:val="00452BB8"/>
    <w:rsid w:val="00455196"/>
    <w:rsid w:val="00456C2F"/>
    <w:rsid w:val="00463285"/>
    <w:rsid w:val="004640C1"/>
    <w:rsid w:val="00465D82"/>
    <w:rsid w:val="004704FB"/>
    <w:rsid w:val="00471E95"/>
    <w:rsid w:val="00487DB0"/>
    <w:rsid w:val="004A010F"/>
    <w:rsid w:val="004A2C09"/>
    <w:rsid w:val="004A4981"/>
    <w:rsid w:val="004A5376"/>
    <w:rsid w:val="004A6517"/>
    <w:rsid w:val="004A68AF"/>
    <w:rsid w:val="004A78B9"/>
    <w:rsid w:val="004A7D7E"/>
    <w:rsid w:val="004B03B8"/>
    <w:rsid w:val="004B0537"/>
    <w:rsid w:val="004D11B3"/>
    <w:rsid w:val="004D3C30"/>
    <w:rsid w:val="004D5C23"/>
    <w:rsid w:val="004D75D5"/>
    <w:rsid w:val="004E2088"/>
    <w:rsid w:val="004E277E"/>
    <w:rsid w:val="004E419C"/>
    <w:rsid w:val="004E76F6"/>
    <w:rsid w:val="004E7786"/>
    <w:rsid w:val="004F0D23"/>
    <w:rsid w:val="004F7A93"/>
    <w:rsid w:val="00501303"/>
    <w:rsid w:val="00501B0C"/>
    <w:rsid w:val="00507DCF"/>
    <w:rsid w:val="00520FE8"/>
    <w:rsid w:val="00522DDE"/>
    <w:rsid w:val="0052394D"/>
    <w:rsid w:val="00524F86"/>
    <w:rsid w:val="00526F0E"/>
    <w:rsid w:val="005307A5"/>
    <w:rsid w:val="0053132A"/>
    <w:rsid w:val="0054181E"/>
    <w:rsid w:val="00541FB5"/>
    <w:rsid w:val="005421F9"/>
    <w:rsid w:val="00550C4F"/>
    <w:rsid w:val="0055435D"/>
    <w:rsid w:val="005627EE"/>
    <w:rsid w:val="00562B2E"/>
    <w:rsid w:val="005647DB"/>
    <w:rsid w:val="00565042"/>
    <w:rsid w:val="00566F28"/>
    <w:rsid w:val="00567F0F"/>
    <w:rsid w:val="00573EAA"/>
    <w:rsid w:val="00577ECB"/>
    <w:rsid w:val="00577FFA"/>
    <w:rsid w:val="00580AF0"/>
    <w:rsid w:val="0058145C"/>
    <w:rsid w:val="00581540"/>
    <w:rsid w:val="00582F95"/>
    <w:rsid w:val="005843A4"/>
    <w:rsid w:val="00586658"/>
    <w:rsid w:val="005879D1"/>
    <w:rsid w:val="005924AA"/>
    <w:rsid w:val="005A215C"/>
    <w:rsid w:val="005A6326"/>
    <w:rsid w:val="005A69CA"/>
    <w:rsid w:val="005C53A8"/>
    <w:rsid w:val="005C6A4B"/>
    <w:rsid w:val="005D3846"/>
    <w:rsid w:val="005D5695"/>
    <w:rsid w:val="005D651D"/>
    <w:rsid w:val="005E0A25"/>
    <w:rsid w:val="005E3C18"/>
    <w:rsid w:val="005E617A"/>
    <w:rsid w:val="005F3159"/>
    <w:rsid w:val="005F437E"/>
    <w:rsid w:val="005F453C"/>
    <w:rsid w:val="005F6E37"/>
    <w:rsid w:val="005F7EEB"/>
    <w:rsid w:val="0060072E"/>
    <w:rsid w:val="0060086F"/>
    <w:rsid w:val="00600C9C"/>
    <w:rsid w:val="00606716"/>
    <w:rsid w:val="006070BD"/>
    <w:rsid w:val="00607BD4"/>
    <w:rsid w:val="006205BF"/>
    <w:rsid w:val="0062135D"/>
    <w:rsid w:val="00622699"/>
    <w:rsid w:val="00630AAC"/>
    <w:rsid w:val="006314C2"/>
    <w:rsid w:val="00631C5A"/>
    <w:rsid w:val="0063610A"/>
    <w:rsid w:val="006367D4"/>
    <w:rsid w:val="00642363"/>
    <w:rsid w:val="00644CAA"/>
    <w:rsid w:val="0064722F"/>
    <w:rsid w:val="00647D58"/>
    <w:rsid w:val="00652A1B"/>
    <w:rsid w:val="00652A7E"/>
    <w:rsid w:val="00652B74"/>
    <w:rsid w:val="006546EA"/>
    <w:rsid w:val="00656C08"/>
    <w:rsid w:val="00657AD0"/>
    <w:rsid w:val="0066102E"/>
    <w:rsid w:val="00661E10"/>
    <w:rsid w:val="0066681E"/>
    <w:rsid w:val="00670008"/>
    <w:rsid w:val="006728AB"/>
    <w:rsid w:val="00673798"/>
    <w:rsid w:val="00674A1B"/>
    <w:rsid w:val="006804BB"/>
    <w:rsid w:val="00685C61"/>
    <w:rsid w:val="00686FBB"/>
    <w:rsid w:val="006932B7"/>
    <w:rsid w:val="00694538"/>
    <w:rsid w:val="006974ED"/>
    <w:rsid w:val="006A0AF4"/>
    <w:rsid w:val="006A4AC4"/>
    <w:rsid w:val="006B014A"/>
    <w:rsid w:val="006B2DDD"/>
    <w:rsid w:val="006B6739"/>
    <w:rsid w:val="006B72B0"/>
    <w:rsid w:val="006C06C9"/>
    <w:rsid w:val="006C08F0"/>
    <w:rsid w:val="006C214D"/>
    <w:rsid w:val="006C551A"/>
    <w:rsid w:val="006D5419"/>
    <w:rsid w:val="006D747B"/>
    <w:rsid w:val="006D7E29"/>
    <w:rsid w:val="006E249F"/>
    <w:rsid w:val="006E344D"/>
    <w:rsid w:val="006E51CF"/>
    <w:rsid w:val="006F07AB"/>
    <w:rsid w:val="006F22E5"/>
    <w:rsid w:val="006F2A4E"/>
    <w:rsid w:val="006F6DB0"/>
    <w:rsid w:val="006F7BBE"/>
    <w:rsid w:val="00704AEC"/>
    <w:rsid w:val="0070576A"/>
    <w:rsid w:val="00711806"/>
    <w:rsid w:val="00711DFE"/>
    <w:rsid w:val="007124BC"/>
    <w:rsid w:val="0071346F"/>
    <w:rsid w:val="007137F1"/>
    <w:rsid w:val="007156D2"/>
    <w:rsid w:val="00716F23"/>
    <w:rsid w:val="0072037A"/>
    <w:rsid w:val="00722F7B"/>
    <w:rsid w:val="00744A05"/>
    <w:rsid w:val="00746AC3"/>
    <w:rsid w:val="0075151D"/>
    <w:rsid w:val="007616D4"/>
    <w:rsid w:val="00767044"/>
    <w:rsid w:val="00767A9C"/>
    <w:rsid w:val="00776052"/>
    <w:rsid w:val="00777B6C"/>
    <w:rsid w:val="00782584"/>
    <w:rsid w:val="00784173"/>
    <w:rsid w:val="00787D19"/>
    <w:rsid w:val="007920CB"/>
    <w:rsid w:val="007952C7"/>
    <w:rsid w:val="00796034"/>
    <w:rsid w:val="007A0E43"/>
    <w:rsid w:val="007A4567"/>
    <w:rsid w:val="007A5319"/>
    <w:rsid w:val="007A74B7"/>
    <w:rsid w:val="007A7EF1"/>
    <w:rsid w:val="007B2A84"/>
    <w:rsid w:val="007C2395"/>
    <w:rsid w:val="007C66D2"/>
    <w:rsid w:val="007D3DC6"/>
    <w:rsid w:val="007D68A5"/>
    <w:rsid w:val="007E5256"/>
    <w:rsid w:val="007F4D14"/>
    <w:rsid w:val="007F6C55"/>
    <w:rsid w:val="00802B0A"/>
    <w:rsid w:val="0080672E"/>
    <w:rsid w:val="008068DA"/>
    <w:rsid w:val="008068EC"/>
    <w:rsid w:val="00810823"/>
    <w:rsid w:val="00813D04"/>
    <w:rsid w:val="0081414C"/>
    <w:rsid w:val="00820914"/>
    <w:rsid w:val="008247D9"/>
    <w:rsid w:val="00826C3A"/>
    <w:rsid w:val="008329E9"/>
    <w:rsid w:val="00840117"/>
    <w:rsid w:val="00843C8F"/>
    <w:rsid w:val="00844290"/>
    <w:rsid w:val="00844507"/>
    <w:rsid w:val="00846F1B"/>
    <w:rsid w:val="00854521"/>
    <w:rsid w:val="00857654"/>
    <w:rsid w:val="00857B62"/>
    <w:rsid w:val="00862EBB"/>
    <w:rsid w:val="008631DD"/>
    <w:rsid w:val="008703DB"/>
    <w:rsid w:val="00872CE4"/>
    <w:rsid w:val="00877E4D"/>
    <w:rsid w:val="00880D74"/>
    <w:rsid w:val="00881BAB"/>
    <w:rsid w:val="00881D84"/>
    <w:rsid w:val="0088254B"/>
    <w:rsid w:val="00884BA6"/>
    <w:rsid w:val="008858F6"/>
    <w:rsid w:val="00892DE8"/>
    <w:rsid w:val="008A4525"/>
    <w:rsid w:val="008A4B8E"/>
    <w:rsid w:val="008A6628"/>
    <w:rsid w:val="008A7AF9"/>
    <w:rsid w:val="008B06BC"/>
    <w:rsid w:val="008B1D39"/>
    <w:rsid w:val="008B5573"/>
    <w:rsid w:val="008B6942"/>
    <w:rsid w:val="008C24AF"/>
    <w:rsid w:val="008C6135"/>
    <w:rsid w:val="008D5387"/>
    <w:rsid w:val="008F1D6D"/>
    <w:rsid w:val="008F4D77"/>
    <w:rsid w:val="008F6AA2"/>
    <w:rsid w:val="00900116"/>
    <w:rsid w:val="0091002A"/>
    <w:rsid w:val="00910B36"/>
    <w:rsid w:val="00913492"/>
    <w:rsid w:val="00913858"/>
    <w:rsid w:val="00915795"/>
    <w:rsid w:val="0091776B"/>
    <w:rsid w:val="00917C51"/>
    <w:rsid w:val="009209E8"/>
    <w:rsid w:val="00920BBA"/>
    <w:rsid w:val="00922592"/>
    <w:rsid w:val="0092570E"/>
    <w:rsid w:val="00925B9C"/>
    <w:rsid w:val="00926CDD"/>
    <w:rsid w:val="00926EE7"/>
    <w:rsid w:val="009324FE"/>
    <w:rsid w:val="00933150"/>
    <w:rsid w:val="0093334D"/>
    <w:rsid w:val="0094041C"/>
    <w:rsid w:val="0094055B"/>
    <w:rsid w:val="00941545"/>
    <w:rsid w:val="00942790"/>
    <w:rsid w:val="009437A7"/>
    <w:rsid w:val="00946789"/>
    <w:rsid w:val="009500C5"/>
    <w:rsid w:val="009546B7"/>
    <w:rsid w:val="00955047"/>
    <w:rsid w:val="00955238"/>
    <w:rsid w:val="0095534B"/>
    <w:rsid w:val="009561D2"/>
    <w:rsid w:val="00960EB0"/>
    <w:rsid w:val="009613A3"/>
    <w:rsid w:val="0096147D"/>
    <w:rsid w:val="00965552"/>
    <w:rsid w:val="0096574A"/>
    <w:rsid w:val="0096617A"/>
    <w:rsid w:val="00967345"/>
    <w:rsid w:val="009700E7"/>
    <w:rsid w:val="0097378B"/>
    <w:rsid w:val="00975775"/>
    <w:rsid w:val="00981749"/>
    <w:rsid w:val="009840B0"/>
    <w:rsid w:val="00984531"/>
    <w:rsid w:val="00985D50"/>
    <w:rsid w:val="009869E5"/>
    <w:rsid w:val="00990BDD"/>
    <w:rsid w:val="00991F92"/>
    <w:rsid w:val="00992F5C"/>
    <w:rsid w:val="009930AE"/>
    <w:rsid w:val="00994368"/>
    <w:rsid w:val="009960AD"/>
    <w:rsid w:val="009A089A"/>
    <w:rsid w:val="009A456E"/>
    <w:rsid w:val="009A6799"/>
    <w:rsid w:val="009A693B"/>
    <w:rsid w:val="009A70A2"/>
    <w:rsid w:val="009A7284"/>
    <w:rsid w:val="009B074B"/>
    <w:rsid w:val="009B0A3E"/>
    <w:rsid w:val="009C7FD8"/>
    <w:rsid w:val="009D05BF"/>
    <w:rsid w:val="009D2432"/>
    <w:rsid w:val="009D2FB9"/>
    <w:rsid w:val="009E4C1C"/>
    <w:rsid w:val="009F064F"/>
    <w:rsid w:val="009F11C8"/>
    <w:rsid w:val="009F15EF"/>
    <w:rsid w:val="009F1E72"/>
    <w:rsid w:val="009F24D1"/>
    <w:rsid w:val="00A00917"/>
    <w:rsid w:val="00A01EFD"/>
    <w:rsid w:val="00A027FA"/>
    <w:rsid w:val="00A04B51"/>
    <w:rsid w:val="00A068B7"/>
    <w:rsid w:val="00A17158"/>
    <w:rsid w:val="00A20856"/>
    <w:rsid w:val="00A3043E"/>
    <w:rsid w:val="00A319A4"/>
    <w:rsid w:val="00A320D2"/>
    <w:rsid w:val="00A33EC9"/>
    <w:rsid w:val="00A35C1B"/>
    <w:rsid w:val="00A36069"/>
    <w:rsid w:val="00A377F1"/>
    <w:rsid w:val="00A40087"/>
    <w:rsid w:val="00A41CA5"/>
    <w:rsid w:val="00A42CD8"/>
    <w:rsid w:val="00A42DDD"/>
    <w:rsid w:val="00A46BC3"/>
    <w:rsid w:val="00A5128E"/>
    <w:rsid w:val="00A5628D"/>
    <w:rsid w:val="00A57C84"/>
    <w:rsid w:val="00A648D2"/>
    <w:rsid w:val="00A648FB"/>
    <w:rsid w:val="00A665B8"/>
    <w:rsid w:val="00A841E3"/>
    <w:rsid w:val="00A85680"/>
    <w:rsid w:val="00A8786D"/>
    <w:rsid w:val="00A920ED"/>
    <w:rsid w:val="00A93030"/>
    <w:rsid w:val="00A97447"/>
    <w:rsid w:val="00AA0A96"/>
    <w:rsid w:val="00AA0C7F"/>
    <w:rsid w:val="00AA1E25"/>
    <w:rsid w:val="00AA65EF"/>
    <w:rsid w:val="00AB07FC"/>
    <w:rsid w:val="00AB0BCB"/>
    <w:rsid w:val="00AB706C"/>
    <w:rsid w:val="00AB7635"/>
    <w:rsid w:val="00AB7D40"/>
    <w:rsid w:val="00AC1089"/>
    <w:rsid w:val="00AC169A"/>
    <w:rsid w:val="00AC17BD"/>
    <w:rsid w:val="00AC7076"/>
    <w:rsid w:val="00AD0858"/>
    <w:rsid w:val="00AD159E"/>
    <w:rsid w:val="00AD3FA3"/>
    <w:rsid w:val="00AD5B62"/>
    <w:rsid w:val="00AE07D2"/>
    <w:rsid w:val="00AE2F7F"/>
    <w:rsid w:val="00AE7966"/>
    <w:rsid w:val="00AF18A8"/>
    <w:rsid w:val="00AF35AE"/>
    <w:rsid w:val="00B12CAE"/>
    <w:rsid w:val="00B12DA9"/>
    <w:rsid w:val="00B1771E"/>
    <w:rsid w:val="00B20979"/>
    <w:rsid w:val="00B20B9D"/>
    <w:rsid w:val="00B20CA6"/>
    <w:rsid w:val="00B23297"/>
    <w:rsid w:val="00B24130"/>
    <w:rsid w:val="00B3066F"/>
    <w:rsid w:val="00B311C3"/>
    <w:rsid w:val="00B32FDE"/>
    <w:rsid w:val="00B3485C"/>
    <w:rsid w:val="00B3551C"/>
    <w:rsid w:val="00B42A8F"/>
    <w:rsid w:val="00B455A2"/>
    <w:rsid w:val="00B476A0"/>
    <w:rsid w:val="00B513C8"/>
    <w:rsid w:val="00B55DD4"/>
    <w:rsid w:val="00B6151D"/>
    <w:rsid w:val="00B61E94"/>
    <w:rsid w:val="00B628A3"/>
    <w:rsid w:val="00B64F32"/>
    <w:rsid w:val="00B65DD7"/>
    <w:rsid w:val="00B66B82"/>
    <w:rsid w:val="00B7678B"/>
    <w:rsid w:val="00B76B5B"/>
    <w:rsid w:val="00B836E8"/>
    <w:rsid w:val="00B83FBC"/>
    <w:rsid w:val="00B841A4"/>
    <w:rsid w:val="00B871DD"/>
    <w:rsid w:val="00BA1954"/>
    <w:rsid w:val="00BB33FE"/>
    <w:rsid w:val="00BB5C5F"/>
    <w:rsid w:val="00BB612A"/>
    <w:rsid w:val="00BC4F1B"/>
    <w:rsid w:val="00BC6F1B"/>
    <w:rsid w:val="00BC7668"/>
    <w:rsid w:val="00BD1FA5"/>
    <w:rsid w:val="00BD2812"/>
    <w:rsid w:val="00BD6949"/>
    <w:rsid w:val="00BD748C"/>
    <w:rsid w:val="00BE4B8D"/>
    <w:rsid w:val="00BE4D08"/>
    <w:rsid w:val="00BE5EB9"/>
    <w:rsid w:val="00BF0B2C"/>
    <w:rsid w:val="00BF0C97"/>
    <w:rsid w:val="00BF28EC"/>
    <w:rsid w:val="00BF51F6"/>
    <w:rsid w:val="00C0021F"/>
    <w:rsid w:val="00C02BD8"/>
    <w:rsid w:val="00C02D9A"/>
    <w:rsid w:val="00C076E0"/>
    <w:rsid w:val="00C12240"/>
    <w:rsid w:val="00C138B2"/>
    <w:rsid w:val="00C13F57"/>
    <w:rsid w:val="00C17074"/>
    <w:rsid w:val="00C1758E"/>
    <w:rsid w:val="00C21672"/>
    <w:rsid w:val="00C22755"/>
    <w:rsid w:val="00C25A54"/>
    <w:rsid w:val="00C265DD"/>
    <w:rsid w:val="00C27F57"/>
    <w:rsid w:val="00C31656"/>
    <w:rsid w:val="00C31F14"/>
    <w:rsid w:val="00C331FC"/>
    <w:rsid w:val="00C34FE2"/>
    <w:rsid w:val="00C36041"/>
    <w:rsid w:val="00C36B8D"/>
    <w:rsid w:val="00C402C9"/>
    <w:rsid w:val="00C418DE"/>
    <w:rsid w:val="00C42124"/>
    <w:rsid w:val="00C45F5C"/>
    <w:rsid w:val="00C466A2"/>
    <w:rsid w:val="00C46AF0"/>
    <w:rsid w:val="00C479FE"/>
    <w:rsid w:val="00C47EB3"/>
    <w:rsid w:val="00C50789"/>
    <w:rsid w:val="00C50B1D"/>
    <w:rsid w:val="00C53ADD"/>
    <w:rsid w:val="00C62E07"/>
    <w:rsid w:val="00C70F4F"/>
    <w:rsid w:val="00C840F2"/>
    <w:rsid w:val="00C859E8"/>
    <w:rsid w:val="00C9122B"/>
    <w:rsid w:val="00C9683B"/>
    <w:rsid w:val="00CA0EF6"/>
    <w:rsid w:val="00CA192F"/>
    <w:rsid w:val="00CA31DB"/>
    <w:rsid w:val="00CA502E"/>
    <w:rsid w:val="00CB26B0"/>
    <w:rsid w:val="00CB73BC"/>
    <w:rsid w:val="00CD144D"/>
    <w:rsid w:val="00CD2724"/>
    <w:rsid w:val="00CD33AB"/>
    <w:rsid w:val="00CD5E71"/>
    <w:rsid w:val="00CF1C70"/>
    <w:rsid w:val="00CF291C"/>
    <w:rsid w:val="00CF4B54"/>
    <w:rsid w:val="00D02004"/>
    <w:rsid w:val="00D05A97"/>
    <w:rsid w:val="00D060F5"/>
    <w:rsid w:val="00D06613"/>
    <w:rsid w:val="00D119E0"/>
    <w:rsid w:val="00D1210A"/>
    <w:rsid w:val="00D12679"/>
    <w:rsid w:val="00D13FCC"/>
    <w:rsid w:val="00D15B9A"/>
    <w:rsid w:val="00D15D80"/>
    <w:rsid w:val="00D17C21"/>
    <w:rsid w:val="00D17D8C"/>
    <w:rsid w:val="00D2223C"/>
    <w:rsid w:val="00D26793"/>
    <w:rsid w:val="00D27953"/>
    <w:rsid w:val="00D324D5"/>
    <w:rsid w:val="00D334C0"/>
    <w:rsid w:val="00D33952"/>
    <w:rsid w:val="00D36619"/>
    <w:rsid w:val="00D36B59"/>
    <w:rsid w:val="00D450F4"/>
    <w:rsid w:val="00D45431"/>
    <w:rsid w:val="00D50730"/>
    <w:rsid w:val="00D50E97"/>
    <w:rsid w:val="00D65F39"/>
    <w:rsid w:val="00D7654E"/>
    <w:rsid w:val="00D777A5"/>
    <w:rsid w:val="00D85475"/>
    <w:rsid w:val="00D87DC8"/>
    <w:rsid w:val="00D9044D"/>
    <w:rsid w:val="00D90F3B"/>
    <w:rsid w:val="00D92F4F"/>
    <w:rsid w:val="00D94EB2"/>
    <w:rsid w:val="00DA2563"/>
    <w:rsid w:val="00DA380B"/>
    <w:rsid w:val="00DB171F"/>
    <w:rsid w:val="00DB50E6"/>
    <w:rsid w:val="00DB7459"/>
    <w:rsid w:val="00DC499D"/>
    <w:rsid w:val="00DC6B9D"/>
    <w:rsid w:val="00DC7034"/>
    <w:rsid w:val="00DD5A57"/>
    <w:rsid w:val="00DD6416"/>
    <w:rsid w:val="00DE28A4"/>
    <w:rsid w:val="00DE29C3"/>
    <w:rsid w:val="00DF29E0"/>
    <w:rsid w:val="00E0297A"/>
    <w:rsid w:val="00E05CD7"/>
    <w:rsid w:val="00E06DA4"/>
    <w:rsid w:val="00E112B3"/>
    <w:rsid w:val="00E121FC"/>
    <w:rsid w:val="00E14149"/>
    <w:rsid w:val="00E14A89"/>
    <w:rsid w:val="00E17D40"/>
    <w:rsid w:val="00E23290"/>
    <w:rsid w:val="00E2781F"/>
    <w:rsid w:val="00E27F9E"/>
    <w:rsid w:val="00E311A1"/>
    <w:rsid w:val="00E34833"/>
    <w:rsid w:val="00E34FF9"/>
    <w:rsid w:val="00E37B70"/>
    <w:rsid w:val="00E40272"/>
    <w:rsid w:val="00E412C0"/>
    <w:rsid w:val="00E41690"/>
    <w:rsid w:val="00E4229F"/>
    <w:rsid w:val="00E4570B"/>
    <w:rsid w:val="00E45AB6"/>
    <w:rsid w:val="00E50150"/>
    <w:rsid w:val="00E53FDA"/>
    <w:rsid w:val="00E56EAE"/>
    <w:rsid w:val="00E57B36"/>
    <w:rsid w:val="00E656AA"/>
    <w:rsid w:val="00E6785B"/>
    <w:rsid w:val="00E67BB4"/>
    <w:rsid w:val="00E705A5"/>
    <w:rsid w:val="00E71356"/>
    <w:rsid w:val="00E715AA"/>
    <w:rsid w:val="00E73851"/>
    <w:rsid w:val="00E74FD6"/>
    <w:rsid w:val="00E761CC"/>
    <w:rsid w:val="00E76A25"/>
    <w:rsid w:val="00E80DD8"/>
    <w:rsid w:val="00E8351B"/>
    <w:rsid w:val="00E847F7"/>
    <w:rsid w:val="00E87230"/>
    <w:rsid w:val="00E872AD"/>
    <w:rsid w:val="00E87666"/>
    <w:rsid w:val="00E9078D"/>
    <w:rsid w:val="00E912E2"/>
    <w:rsid w:val="00E92B97"/>
    <w:rsid w:val="00E94C05"/>
    <w:rsid w:val="00E96D5C"/>
    <w:rsid w:val="00EA1744"/>
    <w:rsid w:val="00EA75E3"/>
    <w:rsid w:val="00EC22AB"/>
    <w:rsid w:val="00EC767D"/>
    <w:rsid w:val="00ED3CA9"/>
    <w:rsid w:val="00ED7DB6"/>
    <w:rsid w:val="00EE1040"/>
    <w:rsid w:val="00EE2F7B"/>
    <w:rsid w:val="00EF0DD2"/>
    <w:rsid w:val="00F00A1D"/>
    <w:rsid w:val="00F046AF"/>
    <w:rsid w:val="00F077F5"/>
    <w:rsid w:val="00F10359"/>
    <w:rsid w:val="00F141A0"/>
    <w:rsid w:val="00F1438C"/>
    <w:rsid w:val="00F21F0C"/>
    <w:rsid w:val="00F2452B"/>
    <w:rsid w:val="00F31749"/>
    <w:rsid w:val="00F3403B"/>
    <w:rsid w:val="00F37D48"/>
    <w:rsid w:val="00F37DC2"/>
    <w:rsid w:val="00F41097"/>
    <w:rsid w:val="00F4197F"/>
    <w:rsid w:val="00F42B8A"/>
    <w:rsid w:val="00F5283D"/>
    <w:rsid w:val="00F52D03"/>
    <w:rsid w:val="00F54CD6"/>
    <w:rsid w:val="00F61283"/>
    <w:rsid w:val="00F61696"/>
    <w:rsid w:val="00F65CFD"/>
    <w:rsid w:val="00F6738F"/>
    <w:rsid w:val="00F73673"/>
    <w:rsid w:val="00F7367D"/>
    <w:rsid w:val="00F853FF"/>
    <w:rsid w:val="00F85A84"/>
    <w:rsid w:val="00F920C3"/>
    <w:rsid w:val="00F94DA0"/>
    <w:rsid w:val="00F95580"/>
    <w:rsid w:val="00F979A3"/>
    <w:rsid w:val="00FA4BE3"/>
    <w:rsid w:val="00FA6BE0"/>
    <w:rsid w:val="00FA72A6"/>
    <w:rsid w:val="00FB3072"/>
    <w:rsid w:val="00FB5939"/>
    <w:rsid w:val="00FB5EA4"/>
    <w:rsid w:val="00FC3E48"/>
    <w:rsid w:val="00FC6F7D"/>
    <w:rsid w:val="00FD0E95"/>
    <w:rsid w:val="00FD53B3"/>
    <w:rsid w:val="00FD7F20"/>
    <w:rsid w:val="00FE2037"/>
    <w:rsid w:val="00FE2F34"/>
    <w:rsid w:val="00FF2520"/>
    <w:rsid w:val="00FF2E08"/>
    <w:rsid w:val="00FF4215"/>
    <w:rsid w:val="00FF4C85"/>
    <w:rsid w:val="00FF7BA0"/>
    <w:rsid w:val="02B769E9"/>
    <w:rsid w:val="03504A93"/>
    <w:rsid w:val="04396E6C"/>
    <w:rsid w:val="05D604F6"/>
    <w:rsid w:val="07752B3A"/>
    <w:rsid w:val="07E122E0"/>
    <w:rsid w:val="0998373A"/>
    <w:rsid w:val="10FB7400"/>
    <w:rsid w:val="11AB6926"/>
    <w:rsid w:val="14D03248"/>
    <w:rsid w:val="15D80A07"/>
    <w:rsid w:val="178151E7"/>
    <w:rsid w:val="188545B6"/>
    <w:rsid w:val="19314BCD"/>
    <w:rsid w:val="1C8774D9"/>
    <w:rsid w:val="1CA042E8"/>
    <w:rsid w:val="1CF15FA4"/>
    <w:rsid w:val="2115567D"/>
    <w:rsid w:val="21D8401B"/>
    <w:rsid w:val="2460688E"/>
    <w:rsid w:val="248F4E23"/>
    <w:rsid w:val="2512633C"/>
    <w:rsid w:val="2907052D"/>
    <w:rsid w:val="2A284C07"/>
    <w:rsid w:val="2A2F2D72"/>
    <w:rsid w:val="2D26614F"/>
    <w:rsid w:val="2E7F13E2"/>
    <w:rsid w:val="2FC7668E"/>
    <w:rsid w:val="300B6235"/>
    <w:rsid w:val="306342C5"/>
    <w:rsid w:val="309838B6"/>
    <w:rsid w:val="35BC359E"/>
    <w:rsid w:val="368C1B4A"/>
    <w:rsid w:val="380E4563"/>
    <w:rsid w:val="3AD336FF"/>
    <w:rsid w:val="3ED46AC1"/>
    <w:rsid w:val="3FBF6A15"/>
    <w:rsid w:val="41C6272B"/>
    <w:rsid w:val="4237144A"/>
    <w:rsid w:val="45226DF4"/>
    <w:rsid w:val="45B70DEF"/>
    <w:rsid w:val="46820AA8"/>
    <w:rsid w:val="46BC1974"/>
    <w:rsid w:val="4FC06AA7"/>
    <w:rsid w:val="51B16D3E"/>
    <w:rsid w:val="5492721B"/>
    <w:rsid w:val="549315AE"/>
    <w:rsid w:val="562A7C3D"/>
    <w:rsid w:val="56760F9D"/>
    <w:rsid w:val="56DD04FF"/>
    <w:rsid w:val="587F0332"/>
    <w:rsid w:val="59544CC2"/>
    <w:rsid w:val="59793FA1"/>
    <w:rsid w:val="5A892D74"/>
    <w:rsid w:val="5CFE0323"/>
    <w:rsid w:val="5D55185F"/>
    <w:rsid w:val="61503AAF"/>
    <w:rsid w:val="62351BE4"/>
    <w:rsid w:val="62526E08"/>
    <w:rsid w:val="63BB46CA"/>
    <w:rsid w:val="63C23028"/>
    <w:rsid w:val="6A9A29FA"/>
    <w:rsid w:val="6B467897"/>
    <w:rsid w:val="6CBD61D9"/>
    <w:rsid w:val="6CC36DAD"/>
    <w:rsid w:val="7121048A"/>
    <w:rsid w:val="74B9549D"/>
    <w:rsid w:val="77627730"/>
    <w:rsid w:val="77B224C8"/>
    <w:rsid w:val="79501600"/>
    <w:rsid w:val="79AF1DAD"/>
    <w:rsid w:val="79D5009E"/>
    <w:rsid w:val="7A047BA9"/>
    <w:rsid w:val="7B852D2F"/>
    <w:rsid w:val="7D3D4905"/>
    <w:rsid w:val="7E8638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2"/>
    <w:qFormat/>
    <w:uiPriority w:val="0"/>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63"/>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64"/>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7"/>
    <w:link w:val="207"/>
    <w:qFormat/>
    <w:uiPriority w:val="0"/>
    <w:pPr>
      <w:keepNext/>
      <w:keepLines/>
      <w:spacing w:before="280" w:after="290" w:line="376" w:lineRule="auto"/>
      <w:outlineLvl w:val="3"/>
    </w:pPr>
    <w:rPr>
      <w:rFonts w:ascii="Arial" w:hAnsi="Arial" w:eastAsia="黑体" w:cs="Times New Roman"/>
      <w:b/>
      <w:sz w:val="28"/>
      <w:szCs w:val="20"/>
    </w:rPr>
  </w:style>
  <w:style w:type="paragraph" w:styleId="8">
    <w:name w:val="heading 5"/>
    <w:basedOn w:val="1"/>
    <w:next w:val="7"/>
    <w:link w:val="208"/>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9">
    <w:name w:val="heading 6"/>
    <w:basedOn w:val="1"/>
    <w:next w:val="7"/>
    <w:link w:val="209"/>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7"/>
    <w:link w:val="210"/>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7"/>
    <w:link w:val="211"/>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7"/>
    <w:link w:val="212"/>
    <w:qFormat/>
    <w:uiPriority w:val="0"/>
    <w:pPr>
      <w:keepNext/>
      <w:keepLines/>
      <w:spacing w:before="240" w:after="64" w:line="320" w:lineRule="auto"/>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173"/>
    <w:qFormat/>
    <w:uiPriority w:val="0"/>
    <w:pPr>
      <w:snapToGrid w:val="0"/>
      <w:jc w:val="left"/>
    </w:pPr>
    <w:rPr>
      <w:rFonts w:ascii="Times New Roman" w:hAnsi="Times New Roman" w:eastAsia="宋体" w:cs="Times New Roman"/>
      <w:sz w:val="18"/>
      <w:szCs w:val="18"/>
    </w:rPr>
  </w:style>
  <w:style w:type="paragraph" w:styleId="7">
    <w:name w:val="Normal Indent"/>
    <w:basedOn w:val="1"/>
    <w:link w:val="115"/>
    <w:qFormat/>
    <w:uiPriority w:val="0"/>
    <w:pPr>
      <w:ind w:firstLine="420" w:firstLineChars="200"/>
    </w:pPr>
    <w:rPr>
      <w:rFonts w:ascii="Times New Roman" w:hAnsi="Times New Roman" w:eastAsia="宋体" w:cs="Times New Roman"/>
      <w:kern w:val="0"/>
      <w:sz w:val="24"/>
      <w:szCs w:val="20"/>
    </w:rPr>
  </w:style>
  <w:style w:type="paragraph" w:styleId="13">
    <w:name w:val="toc 7"/>
    <w:basedOn w:val="1"/>
    <w:next w:val="1"/>
    <w:qFormat/>
    <w:uiPriority w:val="0"/>
    <w:pPr>
      <w:ind w:left="2520" w:leftChars="1200"/>
    </w:pPr>
    <w:rPr>
      <w:rFonts w:ascii="Times New Roman" w:hAnsi="Times New Roman" w:eastAsia="宋体" w:cs="Times New Roman"/>
      <w:szCs w:val="24"/>
    </w:rPr>
  </w:style>
  <w:style w:type="paragraph" w:styleId="14">
    <w:name w:val="List Numb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Document Map"/>
    <w:basedOn w:val="1"/>
    <w:link w:val="133"/>
    <w:qFormat/>
    <w:uiPriority w:val="0"/>
    <w:rPr>
      <w:rFonts w:ascii="宋体" w:hAnsi="Calibri" w:eastAsia="宋体" w:cs="Times New Roman"/>
      <w:kern w:val="0"/>
      <w:sz w:val="18"/>
      <w:szCs w:val="20"/>
    </w:rPr>
  </w:style>
  <w:style w:type="paragraph" w:styleId="16">
    <w:name w:val="annotation text"/>
    <w:basedOn w:val="1"/>
    <w:link w:val="161"/>
    <w:qFormat/>
    <w:uiPriority w:val="0"/>
    <w:pPr>
      <w:jc w:val="left"/>
    </w:pPr>
  </w:style>
  <w:style w:type="paragraph" w:styleId="17">
    <w:name w:val="Body Text"/>
    <w:basedOn w:val="1"/>
    <w:link w:val="136"/>
    <w:qFormat/>
    <w:uiPriority w:val="0"/>
    <w:pPr>
      <w:spacing w:after="120"/>
    </w:pPr>
    <w:rPr>
      <w:rFonts w:ascii="Calibri" w:hAnsi="Calibri" w:eastAsia="宋体" w:cs="Times New Roman"/>
      <w:kern w:val="0"/>
      <w:sz w:val="24"/>
      <w:szCs w:val="20"/>
    </w:rPr>
  </w:style>
  <w:style w:type="paragraph" w:styleId="18">
    <w:name w:val="Body Text Indent"/>
    <w:basedOn w:val="1"/>
    <w:link w:val="67"/>
    <w:qFormat/>
    <w:uiPriority w:val="0"/>
    <w:pPr>
      <w:widowControl/>
      <w:spacing w:after="120"/>
      <w:ind w:left="420"/>
    </w:pPr>
    <w:rPr>
      <w:rFonts w:ascii="??" w:hAnsi="??" w:eastAsia="宋体" w:cs="Arial"/>
      <w:kern w:val="0"/>
      <w:sz w:val="24"/>
      <w:szCs w:val="24"/>
    </w:rPr>
  </w:style>
  <w:style w:type="paragraph" w:styleId="19">
    <w:name w:val="List 2"/>
    <w:basedOn w:val="1"/>
    <w:unhideWhenUsed/>
    <w:qFormat/>
    <w:uiPriority w:val="99"/>
    <w:pPr>
      <w:ind w:left="100" w:leftChars="200" w:hanging="200" w:hangingChars="200"/>
      <w:contextualSpacing/>
    </w:pPr>
  </w:style>
  <w:style w:type="paragraph" w:styleId="20">
    <w:name w:val="toc 5"/>
    <w:basedOn w:val="1"/>
    <w:next w:val="1"/>
    <w:qFormat/>
    <w:uiPriority w:val="0"/>
    <w:pPr>
      <w:ind w:left="1680" w:leftChars="800"/>
    </w:pPr>
    <w:rPr>
      <w:rFonts w:ascii="Times New Roman" w:hAnsi="Times New Roman" w:eastAsia="宋体" w:cs="Times New Roman"/>
      <w:szCs w:val="24"/>
    </w:rPr>
  </w:style>
  <w:style w:type="paragraph" w:styleId="21">
    <w:name w:val="toc 3"/>
    <w:basedOn w:val="1"/>
    <w:next w:val="1"/>
    <w:qFormat/>
    <w:uiPriority w:val="39"/>
    <w:pPr>
      <w:ind w:left="840" w:leftChars="400"/>
    </w:pPr>
    <w:rPr>
      <w:rFonts w:ascii="Times New Roman" w:hAnsi="Times New Roman" w:eastAsia="宋体" w:cs="Times New Roman"/>
      <w:szCs w:val="24"/>
    </w:rPr>
  </w:style>
  <w:style w:type="paragraph" w:styleId="22">
    <w:name w:val="Plain Text"/>
    <w:basedOn w:val="1"/>
    <w:link w:val="197"/>
    <w:qFormat/>
    <w:uiPriority w:val="0"/>
    <w:rPr>
      <w:rFonts w:ascii="宋体" w:hAnsi="Courier New" w:eastAsia="宋体"/>
      <w:szCs w:val="21"/>
    </w:rPr>
  </w:style>
  <w:style w:type="paragraph" w:styleId="23">
    <w:name w:val="toc 8"/>
    <w:basedOn w:val="1"/>
    <w:next w:val="1"/>
    <w:qFormat/>
    <w:uiPriority w:val="0"/>
    <w:pPr>
      <w:ind w:left="2940" w:leftChars="1400"/>
    </w:pPr>
    <w:rPr>
      <w:rFonts w:ascii="Times New Roman" w:hAnsi="Times New Roman" w:eastAsia="宋体" w:cs="Times New Roman"/>
      <w:szCs w:val="24"/>
    </w:rPr>
  </w:style>
  <w:style w:type="paragraph" w:styleId="24">
    <w:name w:val="Date"/>
    <w:basedOn w:val="1"/>
    <w:next w:val="1"/>
    <w:link w:val="156"/>
    <w:qFormat/>
    <w:uiPriority w:val="0"/>
    <w:rPr>
      <w:szCs w:val="21"/>
    </w:rPr>
  </w:style>
  <w:style w:type="paragraph" w:styleId="25">
    <w:name w:val="Body Text Indent 2"/>
    <w:basedOn w:val="1"/>
    <w:link w:val="129"/>
    <w:qFormat/>
    <w:uiPriority w:val="0"/>
    <w:pPr>
      <w:spacing w:before="100" w:beforeAutospacing="1" w:after="100" w:afterAutospacing="1" w:line="360" w:lineRule="auto"/>
      <w:ind w:firstLine="420"/>
    </w:pPr>
    <w:rPr>
      <w:rFonts w:ascii="宋体" w:hAnsi="Calibri" w:eastAsia="宋体" w:cs="Times New Roman"/>
      <w:kern w:val="0"/>
      <w:sz w:val="24"/>
      <w:szCs w:val="20"/>
    </w:rPr>
  </w:style>
  <w:style w:type="paragraph" w:styleId="26">
    <w:name w:val="Balloon Text"/>
    <w:basedOn w:val="1"/>
    <w:link w:val="79"/>
    <w:qFormat/>
    <w:uiPriority w:val="0"/>
    <w:rPr>
      <w:rFonts w:ascii="Calibri" w:hAnsi="Calibri" w:eastAsia="宋体" w:cs="Times New Roman"/>
      <w:sz w:val="18"/>
      <w:szCs w:val="18"/>
    </w:rPr>
  </w:style>
  <w:style w:type="paragraph" w:styleId="27">
    <w:name w:val="footer"/>
    <w:basedOn w:val="1"/>
    <w:link w:val="66"/>
    <w:qFormat/>
    <w:uiPriority w:val="0"/>
    <w:pPr>
      <w:tabs>
        <w:tab w:val="center" w:pos="4153"/>
        <w:tab w:val="right" w:pos="8306"/>
      </w:tabs>
      <w:snapToGrid w:val="0"/>
      <w:jc w:val="left"/>
    </w:pPr>
    <w:rPr>
      <w:rFonts w:ascii="Calibri" w:hAnsi="Calibri" w:eastAsia="宋体" w:cs="Times New Roman"/>
      <w:sz w:val="18"/>
      <w:szCs w:val="18"/>
    </w:rPr>
  </w:style>
  <w:style w:type="paragraph" w:styleId="28">
    <w:name w:val="header"/>
    <w:basedOn w:val="1"/>
    <w:link w:val="65"/>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9">
    <w:name w:val="toc 1"/>
    <w:basedOn w:val="1"/>
    <w:next w:val="1"/>
    <w:qFormat/>
    <w:uiPriority w:val="39"/>
    <w:rPr>
      <w:rFonts w:ascii="Times New Roman" w:hAnsi="Times New Roman" w:eastAsia="宋体" w:cs="Times New Roman"/>
      <w:szCs w:val="24"/>
    </w:rPr>
  </w:style>
  <w:style w:type="paragraph" w:styleId="30">
    <w:name w:val="toc 4"/>
    <w:basedOn w:val="1"/>
    <w:next w:val="1"/>
    <w:qFormat/>
    <w:uiPriority w:val="0"/>
    <w:pPr>
      <w:ind w:left="1260" w:leftChars="600"/>
    </w:pPr>
    <w:rPr>
      <w:rFonts w:ascii="Times New Roman" w:hAnsi="Times New Roman" w:eastAsia="宋体" w:cs="Times New Roman"/>
      <w:szCs w:val="24"/>
    </w:rPr>
  </w:style>
  <w:style w:type="paragraph" w:styleId="31">
    <w:name w:val="Subtitle"/>
    <w:basedOn w:val="1"/>
    <w:next w:val="1"/>
    <w:link w:val="274"/>
    <w:qFormat/>
    <w:uiPriority w:val="11"/>
    <w:pPr>
      <w:widowControl/>
      <w:spacing w:before="240" w:after="60" w:line="312" w:lineRule="auto"/>
      <w:jc w:val="center"/>
      <w:outlineLvl w:val="1"/>
    </w:pPr>
    <w:rPr>
      <w:rFonts w:ascii="Calibri Light" w:hAnsi="Calibri Light"/>
      <w:b/>
      <w:bCs/>
      <w:kern w:val="28"/>
      <w:sz w:val="32"/>
      <w:szCs w:val="32"/>
    </w:rPr>
  </w:style>
  <w:style w:type="paragraph" w:styleId="32">
    <w:name w:val="toc 6"/>
    <w:basedOn w:val="1"/>
    <w:next w:val="1"/>
    <w:qFormat/>
    <w:uiPriority w:val="0"/>
    <w:pPr>
      <w:ind w:left="2100" w:leftChars="1000"/>
    </w:pPr>
    <w:rPr>
      <w:rFonts w:ascii="Times New Roman" w:hAnsi="Times New Roman" w:eastAsia="宋体" w:cs="Times New Roman"/>
      <w:szCs w:val="24"/>
    </w:rPr>
  </w:style>
  <w:style w:type="paragraph" w:styleId="33">
    <w:name w:val="Body Text Indent 3"/>
    <w:basedOn w:val="1"/>
    <w:link w:val="131"/>
    <w:qFormat/>
    <w:uiPriority w:val="0"/>
    <w:pPr>
      <w:spacing w:line="440" w:lineRule="exact"/>
      <w:ind w:firstLine="412" w:firstLineChars="200"/>
    </w:pPr>
    <w:rPr>
      <w:rFonts w:ascii="宋体" w:hAnsi="Calibri" w:eastAsia="宋体" w:cs="Times New Roman"/>
      <w:kern w:val="0"/>
      <w:sz w:val="20"/>
      <w:szCs w:val="20"/>
    </w:rPr>
  </w:style>
  <w:style w:type="paragraph" w:styleId="34">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5">
    <w:name w:val="toc 2"/>
    <w:basedOn w:val="1"/>
    <w:next w:val="1"/>
    <w:qFormat/>
    <w:uiPriority w:val="39"/>
    <w:pPr>
      <w:ind w:left="420" w:leftChars="200"/>
    </w:pPr>
    <w:rPr>
      <w:rFonts w:ascii="Times New Roman" w:hAnsi="Times New Roman" w:eastAsia="宋体" w:cs="Times New Roman"/>
      <w:szCs w:val="24"/>
    </w:rPr>
  </w:style>
  <w:style w:type="paragraph" w:styleId="36">
    <w:name w:val="toc 9"/>
    <w:basedOn w:val="1"/>
    <w:next w:val="1"/>
    <w:qFormat/>
    <w:uiPriority w:val="0"/>
    <w:pPr>
      <w:ind w:left="3360" w:leftChars="1600"/>
    </w:pPr>
    <w:rPr>
      <w:rFonts w:ascii="Times New Roman" w:hAnsi="Times New Roman" w:eastAsia="宋体" w:cs="Times New Roman"/>
      <w:szCs w:val="24"/>
    </w:rPr>
  </w:style>
  <w:style w:type="paragraph" w:styleId="37">
    <w:name w:val="Body Text 2"/>
    <w:basedOn w:val="1"/>
    <w:qFormat/>
    <w:uiPriority w:val="0"/>
    <w:pPr>
      <w:spacing w:after="120" w:afterLines="0" w:line="480" w:lineRule="auto"/>
    </w:pPr>
    <w:rPr>
      <w:szCs w:val="24"/>
    </w:rPr>
  </w:style>
  <w:style w:type="paragraph" w:styleId="38">
    <w:name w:val="List Continue 2"/>
    <w:basedOn w:val="1"/>
    <w:qFormat/>
    <w:uiPriority w:val="0"/>
    <w:pPr>
      <w:spacing w:after="120"/>
      <w:ind w:left="840" w:leftChars="400"/>
    </w:pPr>
    <w:rPr>
      <w:rFonts w:ascii="Times New Roman" w:hAnsi="Times New Roman" w:eastAsia="宋体" w:cs="Times New Roman"/>
      <w:szCs w:val="24"/>
    </w:rPr>
  </w:style>
  <w:style w:type="paragraph" w:styleId="39">
    <w:name w:val="HTML Preformatted"/>
    <w:basedOn w:val="1"/>
    <w:link w:val="2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1">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42">
    <w:name w:val="Title"/>
    <w:basedOn w:val="1"/>
    <w:next w:val="1"/>
    <w:link w:val="159"/>
    <w:qFormat/>
    <w:uiPriority w:val="0"/>
    <w:pPr>
      <w:spacing w:before="240" w:after="60"/>
      <w:jc w:val="center"/>
      <w:outlineLvl w:val="0"/>
    </w:pPr>
    <w:rPr>
      <w:rFonts w:ascii="Cambria" w:hAnsi="Cambria" w:cs="Times New Roman"/>
      <w:b/>
      <w:bCs/>
      <w:sz w:val="32"/>
      <w:szCs w:val="32"/>
    </w:rPr>
  </w:style>
  <w:style w:type="paragraph" w:styleId="43">
    <w:name w:val="annotation subject"/>
    <w:basedOn w:val="16"/>
    <w:next w:val="16"/>
    <w:link w:val="166"/>
    <w:qFormat/>
    <w:uiPriority w:val="0"/>
    <w:rPr>
      <w:b/>
      <w:bCs/>
    </w:rPr>
  </w:style>
  <w:style w:type="paragraph" w:styleId="44">
    <w:name w:val="Body Text First Indent 2"/>
    <w:basedOn w:val="18"/>
    <w:qFormat/>
    <w:uiPriority w:val="0"/>
    <w:pPr>
      <w:widowControl w:val="0"/>
      <w:ind w:left="200" w:leftChars="200" w:firstLine="420" w:firstLineChars="200"/>
    </w:pPr>
    <w:rPr>
      <w:rFonts w:ascii="Calibri" w:hAnsi="Calibri" w:cs="Times New Roman"/>
      <w:sz w:val="20"/>
      <w:szCs w:val="20"/>
    </w:rPr>
  </w:style>
  <w:style w:type="table" w:styleId="46">
    <w:name w:val="Table Grid"/>
    <w:basedOn w:val="4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basedOn w:val="47"/>
    <w:qFormat/>
    <w:uiPriority w:val="99"/>
    <w:rPr>
      <w:rFonts w:cs="Times New Roman"/>
      <w:b/>
    </w:rPr>
  </w:style>
  <w:style w:type="character" w:styleId="49">
    <w:name w:val="page number"/>
    <w:basedOn w:val="47"/>
    <w:qFormat/>
    <w:uiPriority w:val="0"/>
    <w:rPr>
      <w:rFonts w:cs="Times New Roman"/>
    </w:rPr>
  </w:style>
  <w:style w:type="character" w:styleId="50">
    <w:name w:val="FollowedHyperlink"/>
    <w:basedOn w:val="47"/>
    <w:qFormat/>
    <w:uiPriority w:val="99"/>
    <w:rPr>
      <w:rFonts w:cs="Times New Roman"/>
      <w:color w:val="555555"/>
      <w:u w:val="none"/>
    </w:rPr>
  </w:style>
  <w:style w:type="character" w:styleId="51">
    <w:name w:val="Emphasis"/>
    <w:basedOn w:val="47"/>
    <w:qFormat/>
    <w:uiPriority w:val="0"/>
    <w:rPr>
      <w:rFonts w:cs="Times New Roman"/>
      <w:i/>
    </w:rPr>
  </w:style>
  <w:style w:type="character" w:styleId="52">
    <w:name w:val="HTML Definition"/>
    <w:basedOn w:val="47"/>
    <w:qFormat/>
    <w:uiPriority w:val="0"/>
    <w:rPr>
      <w:rFonts w:cs="Times New Roman"/>
    </w:rPr>
  </w:style>
  <w:style w:type="character" w:styleId="53">
    <w:name w:val="HTML Acronym"/>
    <w:basedOn w:val="47"/>
    <w:qFormat/>
    <w:uiPriority w:val="0"/>
    <w:rPr>
      <w:rFonts w:cs="Times New Roman"/>
    </w:rPr>
  </w:style>
  <w:style w:type="character" w:styleId="54">
    <w:name w:val="HTML Variable"/>
    <w:basedOn w:val="47"/>
    <w:qFormat/>
    <w:uiPriority w:val="0"/>
    <w:rPr>
      <w:rFonts w:cs="Times New Roman"/>
    </w:rPr>
  </w:style>
  <w:style w:type="character" w:styleId="55">
    <w:name w:val="Hyperlink"/>
    <w:basedOn w:val="47"/>
    <w:qFormat/>
    <w:uiPriority w:val="99"/>
    <w:rPr>
      <w:rFonts w:cs="Times New Roman"/>
      <w:color w:val="555555"/>
      <w:u w:val="none"/>
    </w:rPr>
  </w:style>
  <w:style w:type="character" w:styleId="56">
    <w:name w:val="HTML Code"/>
    <w:basedOn w:val="47"/>
    <w:qFormat/>
    <w:uiPriority w:val="0"/>
    <w:rPr>
      <w:rFonts w:ascii="monospace" w:hAnsi="monospace" w:cs="Times New Roman"/>
      <w:sz w:val="24"/>
    </w:rPr>
  </w:style>
  <w:style w:type="character" w:styleId="57">
    <w:name w:val="annotation reference"/>
    <w:basedOn w:val="47"/>
    <w:qFormat/>
    <w:uiPriority w:val="0"/>
    <w:rPr>
      <w:sz w:val="21"/>
      <w:szCs w:val="21"/>
    </w:rPr>
  </w:style>
  <w:style w:type="character" w:styleId="58">
    <w:name w:val="HTML Cite"/>
    <w:basedOn w:val="47"/>
    <w:qFormat/>
    <w:uiPriority w:val="0"/>
    <w:rPr>
      <w:rFonts w:cs="Times New Roman"/>
    </w:rPr>
  </w:style>
  <w:style w:type="character" w:styleId="59">
    <w:name w:val="footnote reference"/>
    <w:qFormat/>
    <w:uiPriority w:val="0"/>
    <w:rPr>
      <w:vertAlign w:val="superscript"/>
    </w:rPr>
  </w:style>
  <w:style w:type="character" w:styleId="60">
    <w:name w:val="HTML Keyboard"/>
    <w:basedOn w:val="47"/>
    <w:qFormat/>
    <w:uiPriority w:val="0"/>
    <w:rPr>
      <w:rFonts w:ascii="monospace" w:hAnsi="monospace" w:cs="Times New Roman"/>
      <w:sz w:val="24"/>
    </w:rPr>
  </w:style>
  <w:style w:type="character" w:styleId="61">
    <w:name w:val="HTML Sample"/>
    <w:basedOn w:val="47"/>
    <w:qFormat/>
    <w:uiPriority w:val="0"/>
    <w:rPr>
      <w:rFonts w:ascii="monospace" w:hAnsi="monospace" w:cs="Times New Roman"/>
      <w:sz w:val="24"/>
    </w:rPr>
  </w:style>
  <w:style w:type="character" w:customStyle="1" w:styleId="62">
    <w:name w:val="标题 1 Char"/>
    <w:basedOn w:val="47"/>
    <w:link w:val="3"/>
    <w:qFormat/>
    <w:uiPriority w:val="0"/>
    <w:rPr>
      <w:rFonts w:ascii="???" w:hAnsi="???" w:eastAsia="宋体" w:cs="Arial"/>
      <w:b/>
      <w:bCs/>
      <w:color w:val="020000"/>
      <w:kern w:val="36"/>
      <w:sz w:val="44"/>
      <w:szCs w:val="44"/>
    </w:rPr>
  </w:style>
  <w:style w:type="character" w:customStyle="1" w:styleId="63">
    <w:name w:val="标题 2 Char"/>
    <w:basedOn w:val="47"/>
    <w:link w:val="4"/>
    <w:qFormat/>
    <w:uiPriority w:val="0"/>
    <w:rPr>
      <w:rFonts w:ascii="???" w:hAnsi="???" w:eastAsia="宋体" w:cs="Arial"/>
      <w:b/>
      <w:bCs/>
      <w:color w:val="020000"/>
      <w:kern w:val="0"/>
      <w:sz w:val="32"/>
      <w:szCs w:val="32"/>
    </w:rPr>
  </w:style>
  <w:style w:type="character" w:customStyle="1" w:styleId="64">
    <w:name w:val="标题 3 Char"/>
    <w:basedOn w:val="47"/>
    <w:link w:val="5"/>
    <w:qFormat/>
    <w:uiPriority w:val="0"/>
    <w:rPr>
      <w:rFonts w:ascii="??" w:hAnsi="??" w:eastAsia="宋体" w:cs="Arial"/>
      <w:b/>
      <w:bCs/>
      <w:color w:val="000000"/>
      <w:kern w:val="0"/>
      <w:sz w:val="32"/>
      <w:szCs w:val="32"/>
    </w:rPr>
  </w:style>
  <w:style w:type="character" w:customStyle="1" w:styleId="65">
    <w:name w:val="页眉 Char"/>
    <w:basedOn w:val="47"/>
    <w:link w:val="28"/>
    <w:qFormat/>
    <w:uiPriority w:val="99"/>
    <w:rPr>
      <w:rFonts w:ascii="Calibri" w:hAnsi="Calibri" w:eastAsia="宋体" w:cs="Times New Roman"/>
      <w:sz w:val="18"/>
      <w:szCs w:val="18"/>
    </w:rPr>
  </w:style>
  <w:style w:type="character" w:customStyle="1" w:styleId="66">
    <w:name w:val="页脚 Char"/>
    <w:basedOn w:val="47"/>
    <w:link w:val="27"/>
    <w:qFormat/>
    <w:uiPriority w:val="0"/>
    <w:rPr>
      <w:rFonts w:ascii="Calibri" w:hAnsi="Calibri" w:eastAsia="宋体" w:cs="Times New Roman"/>
      <w:sz w:val="18"/>
      <w:szCs w:val="18"/>
    </w:rPr>
  </w:style>
  <w:style w:type="character" w:customStyle="1" w:styleId="67">
    <w:name w:val="正文文本缩进 Char"/>
    <w:basedOn w:val="47"/>
    <w:link w:val="18"/>
    <w:qFormat/>
    <w:uiPriority w:val="0"/>
    <w:rPr>
      <w:rFonts w:ascii="??" w:hAnsi="??" w:eastAsia="宋体" w:cs="Arial"/>
      <w:kern w:val="0"/>
      <w:sz w:val="24"/>
      <w:szCs w:val="24"/>
    </w:rPr>
  </w:style>
  <w:style w:type="paragraph" w:styleId="68">
    <w:name w:val="List Paragraph"/>
    <w:basedOn w:val="1"/>
    <w:qFormat/>
    <w:uiPriority w:val="1"/>
    <w:pPr>
      <w:ind w:firstLine="420" w:firstLineChars="200"/>
    </w:pPr>
    <w:rPr>
      <w:rFonts w:ascii="Calibri" w:hAnsi="Calibri" w:eastAsia="宋体" w:cs="Times New Roman"/>
    </w:rPr>
  </w:style>
  <w:style w:type="character" w:customStyle="1" w:styleId="69">
    <w:name w:val="标题 2 Char Char"/>
    <w:qFormat/>
    <w:uiPriority w:val="0"/>
    <w:rPr>
      <w:rFonts w:ascii="Arial" w:hAnsi="Arial" w:eastAsia="黑体"/>
      <w:b/>
      <w:kern w:val="2"/>
      <w:sz w:val="32"/>
      <w:lang w:val="en-US" w:eastAsia="zh-CN"/>
    </w:rPr>
  </w:style>
  <w:style w:type="character" w:customStyle="1" w:styleId="70">
    <w:name w:val="2charchar"/>
    <w:basedOn w:val="47"/>
    <w:qFormat/>
    <w:uiPriority w:val="0"/>
    <w:rPr>
      <w:rFonts w:cs="Times New Roman"/>
    </w:rPr>
  </w:style>
  <w:style w:type="paragraph" w:customStyle="1" w:styleId="71">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2">
    <w:name w:val="z-窗体顶端1"/>
    <w:basedOn w:val="1"/>
    <w:next w:val="1"/>
    <w:link w:val="73"/>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3">
    <w:name w:val="z-窗体顶端 Char"/>
    <w:basedOn w:val="47"/>
    <w:link w:val="72"/>
    <w:qFormat/>
    <w:uiPriority w:val="0"/>
    <w:rPr>
      <w:rFonts w:ascii="Arial" w:hAnsi="Arial" w:eastAsia="宋体" w:cs="Arial"/>
      <w:vanish/>
      <w:kern w:val="0"/>
      <w:sz w:val="16"/>
      <w:szCs w:val="16"/>
    </w:rPr>
  </w:style>
  <w:style w:type="paragraph" w:customStyle="1" w:styleId="74">
    <w:name w:val="z-窗体底端1"/>
    <w:basedOn w:val="1"/>
    <w:next w:val="1"/>
    <w:link w:val="75"/>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5">
    <w:name w:val="z-窗体底端 Char"/>
    <w:basedOn w:val="47"/>
    <w:link w:val="74"/>
    <w:qFormat/>
    <w:uiPriority w:val="0"/>
    <w:rPr>
      <w:rFonts w:ascii="Arial" w:hAnsi="Arial" w:eastAsia="宋体" w:cs="Arial"/>
      <w:vanish/>
      <w:kern w:val="0"/>
      <w:sz w:val="16"/>
      <w:szCs w:val="16"/>
    </w:rPr>
  </w:style>
  <w:style w:type="paragraph" w:customStyle="1" w:styleId="76">
    <w:name w:val="hu正文"/>
    <w:basedOn w:val="1"/>
    <w:link w:val="77"/>
    <w:qFormat/>
    <w:uiPriority w:val="0"/>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7">
    <w:name w:val="hu正文 Char"/>
    <w:link w:val="76"/>
    <w:qFormat/>
    <w:locked/>
    <w:uiPriority w:val="0"/>
    <w:rPr>
      <w:rFonts w:ascii="Times New Roman" w:hAnsi="Times New Roman" w:eastAsia="宋体" w:cs="Times New Roman"/>
      <w:kern w:val="0"/>
      <w:sz w:val="24"/>
      <w:szCs w:val="20"/>
    </w:rPr>
  </w:style>
  <w:style w:type="paragraph" w:styleId="78">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79">
    <w:name w:val="批注框文本 Char"/>
    <w:basedOn w:val="47"/>
    <w:link w:val="26"/>
    <w:qFormat/>
    <w:uiPriority w:val="0"/>
    <w:rPr>
      <w:rFonts w:ascii="Calibri" w:hAnsi="Calibri" w:eastAsia="宋体" w:cs="Times New Roman"/>
      <w:sz w:val="18"/>
      <w:szCs w:val="18"/>
    </w:rPr>
  </w:style>
  <w:style w:type="character" w:customStyle="1" w:styleId="80">
    <w:name w:val="ui-bz-bg-hover1"/>
    <w:basedOn w:val="47"/>
    <w:qFormat/>
    <w:uiPriority w:val="0"/>
    <w:rPr>
      <w:rFonts w:cs="Times New Roman"/>
    </w:rPr>
  </w:style>
  <w:style w:type="character" w:customStyle="1" w:styleId="81">
    <w:name w:val="批注框文本 Char1"/>
    <w:qFormat/>
    <w:uiPriority w:val="0"/>
    <w:rPr>
      <w:rFonts w:ascii="Times New Roman" w:hAnsi="Times New Roman" w:eastAsia="宋体"/>
      <w:sz w:val="18"/>
    </w:rPr>
  </w:style>
  <w:style w:type="character" w:customStyle="1" w:styleId="82">
    <w:name w:val="bds_nopic"/>
    <w:basedOn w:val="47"/>
    <w:qFormat/>
    <w:uiPriority w:val="0"/>
    <w:rPr>
      <w:rFonts w:cs="Times New Roman"/>
    </w:rPr>
  </w:style>
  <w:style w:type="character" w:customStyle="1" w:styleId="83">
    <w:name w:val="tip12"/>
    <w:qFormat/>
    <w:uiPriority w:val="0"/>
    <w:rPr>
      <w:vanish/>
      <w:color w:val="FF0000"/>
      <w:sz w:val="18"/>
    </w:rPr>
  </w:style>
  <w:style w:type="character" w:customStyle="1" w:styleId="84">
    <w:name w:val="Body Text Indent 3 Char"/>
    <w:qFormat/>
    <w:locked/>
    <w:uiPriority w:val="0"/>
    <w:rPr>
      <w:rFonts w:ascii="宋体" w:eastAsia="宋体"/>
    </w:rPr>
  </w:style>
  <w:style w:type="character" w:customStyle="1" w:styleId="85">
    <w:name w:val="HTML Markup"/>
    <w:qFormat/>
    <w:uiPriority w:val="0"/>
    <w:rPr>
      <w:vanish/>
      <w:color w:val="FF0000"/>
    </w:rPr>
  </w:style>
  <w:style w:type="character" w:customStyle="1" w:styleId="86">
    <w:name w:val="tip7"/>
    <w:qFormat/>
    <w:uiPriority w:val="0"/>
    <w:rPr>
      <w:vanish/>
      <w:color w:val="FF0000"/>
      <w:sz w:val="18"/>
    </w:rPr>
  </w:style>
  <w:style w:type="character" w:customStyle="1" w:styleId="87">
    <w:name w:val="f-star"/>
    <w:qFormat/>
    <w:uiPriority w:val="0"/>
    <w:rPr>
      <w:color w:val="999999"/>
      <w:sz w:val="21"/>
    </w:rPr>
  </w:style>
  <w:style w:type="character" w:customStyle="1" w:styleId="88">
    <w:name w:val="Document Map Char1"/>
    <w:qFormat/>
    <w:uiPriority w:val="0"/>
    <w:rPr>
      <w:rFonts w:ascii="Times New Roman" w:hAnsi="Times New Roman"/>
      <w:kern w:val="2"/>
      <w:sz w:val="2"/>
    </w:rPr>
  </w:style>
  <w:style w:type="character" w:customStyle="1" w:styleId="89">
    <w:name w:val="my-class2"/>
    <w:basedOn w:val="47"/>
    <w:qFormat/>
    <w:uiPriority w:val="0"/>
    <w:rPr>
      <w:rFonts w:cs="Times New Roman"/>
    </w:rPr>
  </w:style>
  <w:style w:type="character" w:customStyle="1" w:styleId="90">
    <w:name w:val="no52"/>
    <w:basedOn w:val="47"/>
    <w:qFormat/>
    <w:uiPriority w:val="0"/>
    <w:rPr>
      <w:rFonts w:cs="Times New Roman"/>
    </w:rPr>
  </w:style>
  <w:style w:type="character" w:customStyle="1" w:styleId="91">
    <w:name w:val="no4"/>
    <w:basedOn w:val="47"/>
    <w:qFormat/>
    <w:uiPriority w:val="0"/>
    <w:rPr>
      <w:rFonts w:cs="Times New Roman"/>
    </w:rPr>
  </w:style>
  <w:style w:type="character" w:customStyle="1" w:styleId="92">
    <w:name w:val="my-notice"/>
    <w:basedOn w:val="47"/>
    <w:qFormat/>
    <w:uiPriority w:val="0"/>
    <w:rPr>
      <w:rFonts w:cs="Times New Roman"/>
    </w:rPr>
  </w:style>
  <w:style w:type="character" w:customStyle="1" w:styleId="93">
    <w:name w:val="ico-jiang"/>
    <w:basedOn w:val="47"/>
    <w:qFormat/>
    <w:uiPriority w:val="0"/>
    <w:rPr>
      <w:rFonts w:cs="Times New Roman"/>
    </w:rPr>
  </w:style>
  <w:style w:type="character" w:customStyle="1" w:styleId="94">
    <w:name w:val="ico-jiang2"/>
    <w:basedOn w:val="47"/>
    <w:qFormat/>
    <w:uiPriority w:val="0"/>
    <w:rPr>
      <w:rFonts w:cs="Times New Roman"/>
    </w:rPr>
  </w:style>
  <w:style w:type="character" w:customStyle="1" w:styleId="95">
    <w:name w:val="bds_more1"/>
    <w:qFormat/>
    <w:uiPriority w:val="0"/>
    <w:rPr>
      <w:rFonts w:ascii="宋体" w:hAnsi="宋体" w:eastAsia="宋体"/>
    </w:rPr>
  </w:style>
  <w:style w:type="character" w:customStyle="1" w:styleId="96">
    <w:name w:val="Body Text Indent 2 Char"/>
    <w:qFormat/>
    <w:locked/>
    <w:uiPriority w:val="0"/>
    <w:rPr>
      <w:rFonts w:ascii="宋体" w:eastAsia="宋体"/>
      <w:sz w:val="24"/>
    </w:rPr>
  </w:style>
  <w:style w:type="character" w:customStyle="1" w:styleId="97">
    <w:name w:val="org_name"/>
    <w:basedOn w:val="47"/>
    <w:qFormat/>
    <w:uiPriority w:val="0"/>
    <w:rPr>
      <w:rFonts w:cs="Times New Roman"/>
    </w:rPr>
  </w:style>
  <w:style w:type="character" w:customStyle="1" w:styleId="98">
    <w:name w:val="org_name2"/>
    <w:basedOn w:val="47"/>
    <w:qFormat/>
    <w:uiPriority w:val="0"/>
    <w:rPr>
      <w:rFonts w:cs="Times New Roman"/>
    </w:rPr>
  </w:style>
  <w:style w:type="character" w:customStyle="1" w:styleId="99">
    <w:name w:val="tip10"/>
    <w:qFormat/>
    <w:uiPriority w:val="0"/>
    <w:rPr>
      <w:vanish/>
      <w:color w:val="FF0000"/>
      <w:sz w:val="18"/>
    </w:rPr>
  </w:style>
  <w:style w:type="character" w:customStyle="1" w:styleId="100">
    <w:name w:val="orange"/>
    <w:qFormat/>
    <w:uiPriority w:val="0"/>
    <w:rPr>
      <w:color w:val="3FB58F"/>
    </w:rPr>
  </w:style>
  <w:style w:type="character" w:customStyle="1" w:styleId="101">
    <w:name w:val="bds_more"/>
    <w:basedOn w:val="47"/>
    <w:qFormat/>
    <w:uiPriority w:val="0"/>
    <w:rPr>
      <w:rFonts w:cs="Times New Roman"/>
    </w:rPr>
  </w:style>
  <w:style w:type="character" w:customStyle="1" w:styleId="102">
    <w:name w:val="t-tag"/>
    <w:qFormat/>
    <w:uiPriority w:val="0"/>
    <w:rPr>
      <w:color w:val="FFFFFF"/>
      <w:sz w:val="18"/>
      <w:shd w:val="clear" w:color="auto" w:fill="FE8833"/>
    </w:rPr>
  </w:style>
  <w:style w:type="character" w:customStyle="1" w:styleId="103">
    <w:name w:val="top-icon"/>
    <w:basedOn w:val="47"/>
    <w:qFormat/>
    <w:uiPriority w:val="0"/>
    <w:rPr>
      <w:rFonts w:cs="Times New Roman"/>
    </w:rPr>
  </w:style>
  <w:style w:type="character" w:customStyle="1" w:styleId="104">
    <w:name w:val="Body Text Char"/>
    <w:qFormat/>
    <w:locked/>
    <w:uiPriority w:val="0"/>
    <w:rPr>
      <w:sz w:val="24"/>
    </w:rPr>
  </w:style>
  <w:style w:type="character" w:customStyle="1" w:styleId="105">
    <w:name w:val="no72"/>
    <w:basedOn w:val="47"/>
    <w:qFormat/>
    <w:uiPriority w:val="0"/>
    <w:rPr>
      <w:rFonts w:cs="Times New Roman"/>
    </w:rPr>
  </w:style>
  <w:style w:type="character" w:customStyle="1" w:styleId="106">
    <w:name w:val="bds_nopic2"/>
    <w:basedOn w:val="47"/>
    <w:qFormat/>
    <w:uiPriority w:val="0"/>
    <w:rPr>
      <w:rFonts w:cs="Times New Roman"/>
    </w:rPr>
  </w:style>
  <w:style w:type="character" w:customStyle="1" w:styleId="107">
    <w:name w:val="Document Map Char"/>
    <w:qFormat/>
    <w:uiPriority w:val="0"/>
    <w:rPr>
      <w:rFonts w:ascii="宋体"/>
      <w:sz w:val="18"/>
    </w:rPr>
  </w:style>
  <w:style w:type="character" w:customStyle="1" w:styleId="108">
    <w:name w:val="no6"/>
    <w:basedOn w:val="47"/>
    <w:qFormat/>
    <w:uiPriority w:val="0"/>
    <w:rPr>
      <w:rFonts w:cs="Times New Roman"/>
    </w:rPr>
  </w:style>
  <w:style w:type="character" w:customStyle="1" w:styleId="109">
    <w:name w:val="tip"/>
    <w:qFormat/>
    <w:uiPriority w:val="0"/>
    <w:rPr>
      <w:vanish/>
      <w:color w:val="FF0000"/>
      <w:sz w:val="18"/>
    </w:rPr>
  </w:style>
  <w:style w:type="character" w:customStyle="1" w:styleId="110">
    <w:name w:val="apple-converted-space"/>
    <w:basedOn w:val="47"/>
    <w:qFormat/>
    <w:uiPriority w:val="0"/>
    <w:rPr>
      <w:rFonts w:cs="Times New Roman"/>
    </w:rPr>
  </w:style>
  <w:style w:type="character" w:customStyle="1" w:styleId="111">
    <w:name w:val="bds_more2"/>
    <w:basedOn w:val="47"/>
    <w:qFormat/>
    <w:uiPriority w:val="0"/>
    <w:rPr>
      <w:rFonts w:cs="Times New Roman"/>
    </w:rPr>
  </w:style>
  <w:style w:type="character" w:customStyle="1" w:styleId="112">
    <w:name w:val="my-class"/>
    <w:basedOn w:val="47"/>
    <w:qFormat/>
    <w:uiPriority w:val="0"/>
    <w:rPr>
      <w:rFonts w:cs="Times New Roman"/>
    </w:rPr>
  </w:style>
  <w:style w:type="character" w:customStyle="1" w:styleId="113">
    <w:name w:val="ui-bz-bg-hover"/>
    <w:qFormat/>
    <w:uiPriority w:val="0"/>
    <w:rPr>
      <w:shd w:val="clear" w:color="auto" w:fill="000000"/>
    </w:rPr>
  </w:style>
  <w:style w:type="character" w:customStyle="1" w:styleId="114">
    <w:name w:val="no7"/>
    <w:basedOn w:val="47"/>
    <w:qFormat/>
    <w:uiPriority w:val="0"/>
    <w:rPr>
      <w:rFonts w:cs="Times New Roman"/>
    </w:rPr>
  </w:style>
  <w:style w:type="character" w:customStyle="1" w:styleId="115">
    <w:name w:val="正文缩进 Char"/>
    <w:link w:val="7"/>
    <w:qFormat/>
    <w:locked/>
    <w:uiPriority w:val="0"/>
    <w:rPr>
      <w:rFonts w:ascii="Times New Roman" w:hAnsi="Times New Roman" w:eastAsia="宋体" w:cs="Times New Roman"/>
      <w:kern w:val="0"/>
      <w:sz w:val="24"/>
      <w:szCs w:val="20"/>
    </w:rPr>
  </w:style>
  <w:style w:type="character" w:customStyle="1" w:styleId="116">
    <w:name w:val="ico-jiang1"/>
    <w:basedOn w:val="47"/>
    <w:qFormat/>
    <w:uiPriority w:val="0"/>
    <w:rPr>
      <w:rFonts w:cs="Times New Roman"/>
    </w:rPr>
  </w:style>
  <w:style w:type="character" w:customStyle="1" w:styleId="117">
    <w:name w:val="no62"/>
    <w:basedOn w:val="47"/>
    <w:qFormat/>
    <w:uiPriority w:val="0"/>
    <w:rPr>
      <w:rFonts w:cs="Times New Roman"/>
    </w:rPr>
  </w:style>
  <w:style w:type="character" w:customStyle="1" w:styleId="118">
    <w:name w:val="orange5"/>
    <w:qFormat/>
    <w:uiPriority w:val="0"/>
    <w:rPr>
      <w:color w:val="3FB58F"/>
    </w:rPr>
  </w:style>
  <w:style w:type="character" w:customStyle="1" w:styleId="119">
    <w:name w:val="bds_more4"/>
    <w:basedOn w:val="47"/>
    <w:qFormat/>
    <w:uiPriority w:val="0"/>
    <w:rPr>
      <w:rFonts w:cs="Times New Roman"/>
    </w:rPr>
  </w:style>
  <w:style w:type="character" w:customStyle="1" w:styleId="120">
    <w:name w:val="no5"/>
    <w:basedOn w:val="47"/>
    <w:qFormat/>
    <w:uiPriority w:val="0"/>
    <w:rPr>
      <w:rFonts w:cs="Times New Roman"/>
    </w:rPr>
  </w:style>
  <w:style w:type="character" w:customStyle="1" w:styleId="121">
    <w:name w:val="bds_more3"/>
    <w:basedOn w:val="47"/>
    <w:qFormat/>
    <w:uiPriority w:val="0"/>
    <w:rPr>
      <w:rFonts w:cs="Times New Roman"/>
    </w:rPr>
  </w:style>
  <w:style w:type="character" w:customStyle="1" w:styleId="122">
    <w:name w:val="no42"/>
    <w:basedOn w:val="47"/>
    <w:qFormat/>
    <w:uiPriority w:val="0"/>
    <w:rPr>
      <w:rFonts w:cs="Times New Roman"/>
    </w:rPr>
  </w:style>
  <w:style w:type="character" w:customStyle="1" w:styleId="123">
    <w:name w:val="bds_nopic1"/>
    <w:basedOn w:val="47"/>
    <w:qFormat/>
    <w:uiPriority w:val="0"/>
    <w:rPr>
      <w:rFonts w:cs="Times New Roman"/>
    </w:rPr>
  </w:style>
  <w:style w:type="character" w:customStyle="1" w:styleId="124">
    <w:name w:val="my-notice1"/>
    <w:basedOn w:val="47"/>
    <w:qFormat/>
    <w:uiPriority w:val="0"/>
    <w:rPr>
      <w:rFonts w:cs="Times New Roman"/>
    </w:rPr>
  </w:style>
  <w:style w:type="character" w:customStyle="1" w:styleId="125">
    <w:name w:val="orange6"/>
    <w:qFormat/>
    <w:uiPriority w:val="0"/>
    <w:rPr>
      <w:color w:val="3FB58F"/>
    </w:rPr>
  </w:style>
  <w:style w:type="character" w:customStyle="1" w:styleId="126">
    <w:name w:val="Document Map Char2"/>
    <w:qFormat/>
    <w:locked/>
    <w:uiPriority w:val="0"/>
    <w:rPr>
      <w:rFonts w:ascii="宋体"/>
      <w:sz w:val="18"/>
    </w:rPr>
  </w:style>
  <w:style w:type="character" w:customStyle="1" w:styleId="127">
    <w:name w:val="ico-jiang3"/>
    <w:basedOn w:val="47"/>
    <w:qFormat/>
    <w:uiPriority w:val="0"/>
    <w:rPr>
      <w:rFonts w:cs="Times New Roman"/>
    </w:rPr>
  </w:style>
  <w:style w:type="character" w:customStyle="1" w:styleId="128">
    <w:name w:val="tip13"/>
    <w:qFormat/>
    <w:uiPriority w:val="0"/>
    <w:rPr>
      <w:vanish/>
      <w:color w:val="FF0000"/>
      <w:sz w:val="18"/>
    </w:rPr>
  </w:style>
  <w:style w:type="character" w:customStyle="1" w:styleId="129">
    <w:name w:val="正文文本缩进 2 Char"/>
    <w:basedOn w:val="47"/>
    <w:link w:val="25"/>
    <w:qFormat/>
    <w:uiPriority w:val="0"/>
    <w:rPr>
      <w:rFonts w:ascii="宋体" w:hAnsi="Calibri" w:eastAsia="宋体" w:cs="Times New Roman"/>
      <w:kern w:val="0"/>
      <w:sz w:val="24"/>
      <w:szCs w:val="20"/>
    </w:rPr>
  </w:style>
  <w:style w:type="character" w:customStyle="1" w:styleId="130">
    <w:name w:val="Body Text Indent 2 Char1"/>
    <w:basedOn w:val="47"/>
    <w:qFormat/>
    <w:locked/>
    <w:uiPriority w:val="0"/>
    <w:rPr>
      <w:rFonts w:cs="Times New Roman"/>
    </w:rPr>
  </w:style>
  <w:style w:type="character" w:customStyle="1" w:styleId="131">
    <w:name w:val="正文文本缩进 3 Char"/>
    <w:basedOn w:val="47"/>
    <w:link w:val="33"/>
    <w:qFormat/>
    <w:uiPriority w:val="0"/>
    <w:rPr>
      <w:rFonts w:ascii="宋体" w:hAnsi="Calibri" w:eastAsia="宋体" w:cs="Times New Roman"/>
      <w:kern w:val="0"/>
      <w:sz w:val="20"/>
      <w:szCs w:val="20"/>
    </w:rPr>
  </w:style>
  <w:style w:type="character" w:customStyle="1" w:styleId="132">
    <w:name w:val="Body Text Indent 3 Char1"/>
    <w:basedOn w:val="47"/>
    <w:qFormat/>
    <w:locked/>
    <w:uiPriority w:val="0"/>
    <w:rPr>
      <w:rFonts w:cs="Times New Roman"/>
      <w:sz w:val="16"/>
      <w:szCs w:val="16"/>
    </w:rPr>
  </w:style>
  <w:style w:type="character" w:customStyle="1" w:styleId="133">
    <w:name w:val="文档结构图 Char"/>
    <w:basedOn w:val="47"/>
    <w:link w:val="15"/>
    <w:qFormat/>
    <w:uiPriority w:val="0"/>
    <w:rPr>
      <w:rFonts w:ascii="宋体" w:hAnsi="Calibri" w:eastAsia="宋体" w:cs="Times New Roman"/>
      <w:kern w:val="0"/>
      <w:sz w:val="18"/>
      <w:szCs w:val="20"/>
    </w:rPr>
  </w:style>
  <w:style w:type="character" w:customStyle="1" w:styleId="134">
    <w:name w:val="Document Map Char3"/>
    <w:basedOn w:val="47"/>
    <w:qFormat/>
    <w:locked/>
    <w:uiPriority w:val="0"/>
    <w:rPr>
      <w:rFonts w:ascii="Times New Roman" w:hAnsi="Times New Roman" w:cs="Times New Roman"/>
      <w:sz w:val="2"/>
    </w:rPr>
  </w:style>
  <w:style w:type="paragraph" w:customStyle="1" w:styleId="135">
    <w:name w:val="_Style 1"/>
    <w:basedOn w:val="1"/>
    <w:qFormat/>
    <w:uiPriority w:val="0"/>
    <w:pPr>
      <w:ind w:firstLine="420" w:firstLineChars="200"/>
    </w:pPr>
    <w:rPr>
      <w:rFonts w:ascii="Times New Roman" w:hAnsi="Times New Roman" w:eastAsia="宋体" w:cs="Times New Roman"/>
      <w:szCs w:val="24"/>
    </w:rPr>
  </w:style>
  <w:style w:type="character" w:customStyle="1" w:styleId="136">
    <w:name w:val="正文文本 Char"/>
    <w:basedOn w:val="47"/>
    <w:link w:val="17"/>
    <w:qFormat/>
    <w:uiPriority w:val="0"/>
    <w:rPr>
      <w:rFonts w:ascii="Calibri" w:hAnsi="Calibri" w:eastAsia="宋体" w:cs="Times New Roman"/>
      <w:kern w:val="0"/>
      <w:sz w:val="24"/>
      <w:szCs w:val="20"/>
    </w:rPr>
  </w:style>
  <w:style w:type="character" w:customStyle="1" w:styleId="137">
    <w:name w:val="Body Text Char1"/>
    <w:basedOn w:val="47"/>
    <w:qFormat/>
    <w:locked/>
    <w:uiPriority w:val="0"/>
    <w:rPr>
      <w:rFonts w:cs="Times New Roman"/>
    </w:rPr>
  </w:style>
  <w:style w:type="paragraph" w:customStyle="1" w:styleId="138">
    <w:name w:val="_Style 21"/>
    <w:basedOn w:val="1"/>
    <w:qFormat/>
    <w:uiPriority w:val="0"/>
    <w:rPr>
      <w:rFonts w:ascii="Times New Roman" w:hAnsi="Times New Roman" w:eastAsia="宋体" w:cs="Times New Roman"/>
      <w:szCs w:val="20"/>
    </w:rPr>
  </w:style>
  <w:style w:type="paragraph" w:customStyle="1" w:styleId="139">
    <w:name w:val="p0"/>
    <w:basedOn w:val="1"/>
    <w:qFormat/>
    <w:uiPriority w:val="0"/>
    <w:pPr>
      <w:widowControl/>
    </w:pPr>
    <w:rPr>
      <w:rFonts w:ascii="Times New Roman" w:hAnsi="Times New Roman" w:eastAsia="宋体" w:cs="Times New Roman"/>
      <w:kern w:val="0"/>
      <w:szCs w:val="21"/>
    </w:rPr>
  </w:style>
  <w:style w:type="paragraph" w:customStyle="1" w:styleId="140">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1">
    <w:name w:val="xl25"/>
    <w:basedOn w:val="1"/>
    <w:qFormat/>
    <w:uiPriority w:val="0"/>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2">
    <w:name w:val="样式 样式 样式 样式 内容 + 首行缩进:  2 字符18 + 首行缩进:  5.71 厘米 + 首行缩进:  8.04 厘米..."/>
    <w:basedOn w:val="1"/>
    <w:qFormat/>
    <w:uiPriority w:val="0"/>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3">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4">
    <w:name w:val="列出段落11"/>
    <w:basedOn w:val="1"/>
    <w:qFormat/>
    <w:uiPriority w:val="0"/>
    <w:pPr>
      <w:ind w:firstLine="420" w:firstLineChars="200"/>
    </w:pPr>
    <w:rPr>
      <w:rFonts w:ascii="Times New Roman" w:hAnsi="Times New Roman" w:eastAsia="宋体" w:cs="Times New Roman"/>
      <w:szCs w:val="24"/>
    </w:rPr>
  </w:style>
  <w:style w:type="paragraph" w:customStyle="1" w:styleId="145">
    <w:name w:val="_Style 2"/>
    <w:basedOn w:val="1"/>
    <w:qFormat/>
    <w:uiPriority w:val="0"/>
    <w:pPr>
      <w:ind w:firstLine="420" w:firstLineChars="200"/>
    </w:pPr>
    <w:rPr>
      <w:rFonts w:ascii="Calibri" w:hAnsi="Calibri" w:eastAsia="宋体" w:cs="Times New Roman"/>
    </w:rPr>
  </w:style>
  <w:style w:type="paragraph" w:customStyle="1" w:styleId="146">
    <w:name w:val="txt14"/>
    <w:basedOn w:val="1"/>
    <w:qFormat/>
    <w:uiPriority w:val="0"/>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7">
    <w:name w:val="_Style 11"/>
    <w:basedOn w:val="1"/>
    <w:qFormat/>
    <w:uiPriority w:val="0"/>
    <w:rPr>
      <w:rFonts w:ascii="Times New Roman" w:hAnsi="Times New Roman" w:eastAsia="宋体" w:cs="Times New Roman"/>
      <w:szCs w:val="24"/>
    </w:rPr>
  </w:style>
  <w:style w:type="paragraph" w:customStyle="1" w:styleId="148">
    <w:name w:val="Char"/>
    <w:basedOn w:val="1"/>
    <w:qFormat/>
    <w:uiPriority w:val="0"/>
    <w:rPr>
      <w:rFonts w:ascii="Times New Roman" w:hAnsi="Times New Roman" w:eastAsia="宋体" w:cs="Times New Roman"/>
      <w:szCs w:val="21"/>
    </w:rPr>
  </w:style>
  <w:style w:type="paragraph" w:customStyle="1" w:styleId="149">
    <w:name w:val="列出段落1"/>
    <w:basedOn w:val="1"/>
    <w:link w:val="213"/>
    <w:qFormat/>
    <w:uiPriority w:val="0"/>
    <w:pPr>
      <w:ind w:firstLine="420" w:firstLineChars="200"/>
    </w:pPr>
    <w:rPr>
      <w:rFonts w:ascii="Times New Roman" w:hAnsi="Times New Roman" w:eastAsia="宋体" w:cs="Times New Roman"/>
      <w:szCs w:val="24"/>
    </w:rPr>
  </w:style>
  <w:style w:type="paragraph" w:customStyle="1" w:styleId="150">
    <w:name w:val="列出段落2"/>
    <w:basedOn w:val="1"/>
    <w:qFormat/>
    <w:uiPriority w:val="0"/>
    <w:pPr>
      <w:ind w:firstLine="420" w:firstLineChars="200"/>
    </w:pPr>
    <w:rPr>
      <w:rFonts w:ascii="Times New Roman" w:hAnsi="Times New Roman" w:eastAsia="宋体" w:cs="Times New Roman"/>
      <w:szCs w:val="24"/>
    </w:rPr>
  </w:style>
  <w:style w:type="paragraph" w:customStyle="1" w:styleId="151">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2">
    <w:name w:val="正文文本缩进 31"/>
    <w:basedOn w:val="1"/>
    <w:qFormat/>
    <w:uiPriority w:val="0"/>
    <w:pPr>
      <w:spacing w:line="440" w:lineRule="exact"/>
      <w:ind w:firstLine="412" w:firstLineChars="200"/>
    </w:pPr>
    <w:rPr>
      <w:rFonts w:ascii="宋体" w:hAnsi="宋体" w:eastAsia="宋体" w:cs="Times New Roman"/>
      <w:kern w:val="0"/>
      <w:sz w:val="20"/>
      <w:szCs w:val="20"/>
    </w:rPr>
  </w:style>
  <w:style w:type="character" w:customStyle="1" w:styleId="153">
    <w:name w:val="font41"/>
    <w:qFormat/>
    <w:uiPriority w:val="0"/>
    <w:rPr>
      <w:rFonts w:hint="eastAsia" w:ascii="宋体" w:hAnsi="宋体" w:eastAsia="宋体" w:cs="宋体"/>
      <w:b/>
      <w:color w:val="000000"/>
      <w:sz w:val="22"/>
      <w:szCs w:val="22"/>
      <w:u w:val="none"/>
    </w:rPr>
  </w:style>
  <w:style w:type="character" w:customStyle="1" w:styleId="154">
    <w:name w:val="font81"/>
    <w:qFormat/>
    <w:uiPriority w:val="0"/>
    <w:rPr>
      <w:rFonts w:hint="eastAsia" w:ascii="宋体" w:hAnsi="宋体" w:eastAsia="宋体" w:cs="宋体"/>
      <w:b/>
      <w:color w:val="000000"/>
      <w:sz w:val="22"/>
      <w:szCs w:val="22"/>
      <w:u w:val="none"/>
    </w:rPr>
  </w:style>
  <w:style w:type="character" w:customStyle="1" w:styleId="155">
    <w:name w:val="font21"/>
    <w:qFormat/>
    <w:uiPriority w:val="0"/>
    <w:rPr>
      <w:rFonts w:hint="eastAsia" w:ascii="宋体" w:hAnsi="宋体" w:eastAsia="宋体" w:cs="宋体"/>
      <w:color w:val="000000"/>
      <w:sz w:val="18"/>
      <w:szCs w:val="18"/>
      <w:u w:val="none"/>
    </w:rPr>
  </w:style>
  <w:style w:type="character" w:customStyle="1" w:styleId="156">
    <w:name w:val="日期 Char"/>
    <w:link w:val="24"/>
    <w:qFormat/>
    <w:uiPriority w:val="0"/>
    <w:rPr>
      <w:szCs w:val="21"/>
    </w:rPr>
  </w:style>
  <w:style w:type="character" w:customStyle="1" w:styleId="157">
    <w:name w:val="font01"/>
    <w:qFormat/>
    <w:uiPriority w:val="0"/>
    <w:rPr>
      <w:rFonts w:hint="eastAsia" w:ascii="宋体" w:hAnsi="宋体" w:eastAsia="宋体" w:cs="宋体"/>
      <w:color w:val="000000"/>
      <w:sz w:val="22"/>
      <w:szCs w:val="22"/>
      <w:u w:val="none"/>
    </w:rPr>
  </w:style>
  <w:style w:type="character" w:customStyle="1" w:styleId="158">
    <w:name w:val="Char Char1"/>
    <w:qFormat/>
    <w:uiPriority w:val="0"/>
    <w:rPr>
      <w:rFonts w:eastAsia="宋体"/>
      <w:kern w:val="2"/>
      <w:sz w:val="18"/>
      <w:szCs w:val="18"/>
      <w:lang w:val="en-US" w:eastAsia="zh-CN" w:bidi="ar-SA"/>
    </w:rPr>
  </w:style>
  <w:style w:type="character" w:customStyle="1" w:styleId="159">
    <w:name w:val="标题 Char"/>
    <w:link w:val="42"/>
    <w:qFormat/>
    <w:uiPriority w:val="0"/>
    <w:rPr>
      <w:rFonts w:ascii="Cambria" w:hAnsi="Cambria" w:cs="Times New Roman"/>
      <w:b/>
      <w:bCs/>
      <w:sz w:val="32"/>
      <w:szCs w:val="32"/>
    </w:rPr>
  </w:style>
  <w:style w:type="character" w:customStyle="1" w:styleId="160">
    <w:name w:val="hei141"/>
    <w:qFormat/>
    <w:uiPriority w:val="0"/>
    <w:rPr>
      <w:rFonts w:hint="eastAsia" w:ascii="宋体" w:hAnsi="宋体" w:eastAsia="宋体"/>
      <w:color w:val="000000"/>
      <w:sz w:val="19"/>
      <w:szCs w:val="19"/>
      <w:u w:val="none"/>
    </w:rPr>
  </w:style>
  <w:style w:type="character" w:customStyle="1" w:styleId="161">
    <w:name w:val="批注文字 Char"/>
    <w:link w:val="16"/>
    <w:qFormat/>
    <w:uiPriority w:val="0"/>
  </w:style>
  <w:style w:type="character" w:customStyle="1" w:styleId="162">
    <w:name w:val="apple-style-span"/>
    <w:basedOn w:val="47"/>
    <w:qFormat/>
    <w:uiPriority w:val="0"/>
  </w:style>
  <w:style w:type="character" w:customStyle="1" w:styleId="163">
    <w:name w:val="param-value"/>
    <w:qFormat/>
    <w:uiPriority w:val="0"/>
    <w:rPr>
      <w:rFonts w:cs="Times New Roman"/>
    </w:rPr>
  </w:style>
  <w:style w:type="character" w:customStyle="1" w:styleId="164">
    <w:name w:val="font61"/>
    <w:qFormat/>
    <w:uiPriority w:val="0"/>
    <w:rPr>
      <w:rFonts w:hint="eastAsia" w:ascii="宋体" w:hAnsi="宋体" w:eastAsia="宋体" w:cs="宋体"/>
      <w:color w:val="000000"/>
      <w:sz w:val="22"/>
      <w:szCs w:val="22"/>
      <w:u w:val="none"/>
    </w:rPr>
  </w:style>
  <w:style w:type="character" w:customStyle="1" w:styleId="165">
    <w:name w:val="font11"/>
    <w:qFormat/>
    <w:uiPriority w:val="0"/>
    <w:rPr>
      <w:rFonts w:hint="eastAsia" w:ascii="宋体" w:hAnsi="宋体" w:eastAsia="宋体" w:cs="宋体"/>
      <w:color w:val="FF0000"/>
      <w:sz w:val="22"/>
      <w:szCs w:val="22"/>
      <w:u w:val="none"/>
    </w:rPr>
  </w:style>
  <w:style w:type="character" w:customStyle="1" w:styleId="166">
    <w:name w:val="批注主题 Char"/>
    <w:link w:val="43"/>
    <w:qFormat/>
    <w:uiPriority w:val="0"/>
    <w:rPr>
      <w:b/>
      <w:bCs/>
    </w:rPr>
  </w:style>
  <w:style w:type="character" w:customStyle="1" w:styleId="167">
    <w:name w:val="批注文字 Char1"/>
    <w:basedOn w:val="47"/>
    <w:qFormat/>
    <w:uiPriority w:val="0"/>
  </w:style>
  <w:style w:type="paragraph" w:customStyle="1" w:styleId="168">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9">
    <w:name w:val="批注主题 Char1"/>
    <w:basedOn w:val="167"/>
    <w:qFormat/>
    <w:uiPriority w:val="0"/>
    <w:rPr>
      <w:b/>
      <w:bCs/>
    </w:rPr>
  </w:style>
  <w:style w:type="paragraph" w:customStyle="1" w:styleId="170">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日期 Char1"/>
    <w:basedOn w:val="47"/>
    <w:qFormat/>
    <w:uiPriority w:val="0"/>
  </w:style>
  <w:style w:type="paragraph" w:customStyle="1" w:styleId="172">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3">
    <w:name w:val="脚注文本 Char"/>
    <w:basedOn w:val="47"/>
    <w:link w:val="2"/>
    <w:qFormat/>
    <w:uiPriority w:val="0"/>
    <w:rPr>
      <w:rFonts w:ascii="Times New Roman" w:hAnsi="Times New Roman" w:eastAsia="宋体" w:cs="Times New Roman"/>
      <w:sz w:val="18"/>
      <w:szCs w:val="18"/>
    </w:rPr>
  </w:style>
  <w:style w:type="paragraph" w:customStyle="1" w:styleId="174">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标题 Char1"/>
    <w:basedOn w:val="47"/>
    <w:qFormat/>
    <w:uiPriority w:val="0"/>
    <w:rPr>
      <w:rFonts w:eastAsia="宋体" w:asciiTheme="majorHAnsi" w:hAnsiTheme="majorHAnsi" w:cstheme="majorBidi"/>
      <w:b/>
      <w:bCs/>
      <w:sz w:val="32"/>
      <w:szCs w:val="32"/>
    </w:rPr>
  </w:style>
  <w:style w:type="paragraph" w:customStyle="1" w:styleId="177">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8">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 Char1 Char Char Char Char"/>
    <w:basedOn w:val="1"/>
    <w:qFormat/>
    <w:uiPriority w:val="0"/>
    <w:pPr>
      <w:spacing w:line="300" w:lineRule="auto"/>
    </w:pPr>
    <w:rPr>
      <w:rFonts w:ascii="Tahoma" w:hAnsi="Tahoma" w:eastAsia="宋体" w:cs="Times New Roman"/>
      <w:sz w:val="24"/>
      <w:szCs w:val="24"/>
    </w:rPr>
  </w:style>
  <w:style w:type="paragraph" w:customStyle="1" w:styleId="180">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1">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qFormat/>
    <w:uiPriority w:val="0"/>
    <w:pPr>
      <w:ind w:firstLine="420" w:firstLineChars="200"/>
    </w:pPr>
    <w:rPr>
      <w:rFonts w:ascii="Times New Roman" w:hAnsi="Times New Roman" w:eastAsia="宋体" w:cs="Times New Roman"/>
      <w:szCs w:val="24"/>
    </w:rPr>
  </w:style>
  <w:style w:type="character" w:customStyle="1" w:styleId="189">
    <w:name w:val="Char Char12"/>
    <w:qFormat/>
    <w:uiPriority w:val="0"/>
    <w:rPr>
      <w:rFonts w:eastAsia="宋体"/>
      <w:kern w:val="2"/>
      <w:sz w:val="18"/>
      <w:szCs w:val="18"/>
      <w:lang w:val="en-US" w:eastAsia="zh-CN" w:bidi="ar-SA"/>
    </w:rPr>
  </w:style>
  <w:style w:type="paragraph" w:customStyle="1" w:styleId="190">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qFormat/>
    <w:uiPriority w:val="0"/>
    <w:pPr>
      <w:ind w:firstLine="420" w:firstLineChars="200"/>
    </w:pPr>
    <w:rPr>
      <w:rFonts w:ascii="Times New Roman" w:hAnsi="Times New Roman" w:eastAsia="宋体" w:cs="Times New Roman"/>
      <w:szCs w:val="24"/>
    </w:rPr>
  </w:style>
  <w:style w:type="character" w:customStyle="1" w:styleId="193">
    <w:name w:val="Char Char11"/>
    <w:qFormat/>
    <w:uiPriority w:val="0"/>
    <w:rPr>
      <w:rFonts w:eastAsia="宋体"/>
      <w:kern w:val="2"/>
      <w:sz w:val="18"/>
      <w:szCs w:val="18"/>
      <w:lang w:val="en-US" w:eastAsia="zh-CN" w:bidi="ar-SA"/>
    </w:rPr>
  </w:style>
  <w:style w:type="paragraph" w:customStyle="1" w:styleId="194">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qFormat/>
    <w:uiPriority w:val="0"/>
    <w:pPr>
      <w:ind w:firstLine="420" w:firstLineChars="200"/>
    </w:pPr>
    <w:rPr>
      <w:rFonts w:ascii="Times New Roman" w:hAnsi="Times New Roman" w:eastAsia="宋体" w:cs="Times New Roman"/>
      <w:szCs w:val="24"/>
    </w:rPr>
  </w:style>
  <w:style w:type="character" w:customStyle="1" w:styleId="197">
    <w:name w:val="纯文本 Char"/>
    <w:link w:val="22"/>
    <w:qFormat/>
    <w:uiPriority w:val="0"/>
    <w:rPr>
      <w:rFonts w:ascii="宋体" w:hAnsi="Courier New" w:eastAsia="宋体"/>
      <w:szCs w:val="21"/>
    </w:rPr>
  </w:style>
  <w:style w:type="character" w:customStyle="1" w:styleId="198">
    <w:name w:val="纯文本 Char1"/>
    <w:basedOn w:val="47"/>
    <w:semiHidden/>
    <w:qFormat/>
    <w:uiPriority w:val="99"/>
    <w:rPr>
      <w:rFonts w:ascii="宋体" w:hAnsi="Courier New" w:eastAsia="宋体" w:cs="Courier New"/>
      <w:szCs w:val="21"/>
    </w:rPr>
  </w:style>
  <w:style w:type="paragraph" w:customStyle="1" w:styleId="19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1">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character" w:customStyle="1" w:styleId="202">
    <w:name w:val="bookmark-item"/>
    <w:basedOn w:val="47"/>
    <w:qFormat/>
    <w:uiPriority w:val="0"/>
  </w:style>
  <w:style w:type="paragraph" w:customStyle="1" w:styleId="203">
    <w:name w:val="ZAW"/>
    <w:basedOn w:val="1"/>
    <w:qFormat/>
    <w:uiPriority w:val="0"/>
    <w:pPr>
      <w:spacing w:line="520" w:lineRule="exact"/>
      <w:ind w:firstLine="480" w:firstLineChars="200"/>
    </w:pPr>
    <w:rPr>
      <w:rFonts w:ascii="宋体" w:hAnsi="宋体" w:eastAsia="宋体" w:cs="Times New Roman"/>
      <w:sz w:val="24"/>
      <w:szCs w:val="24"/>
    </w:rPr>
  </w:style>
  <w:style w:type="paragraph" w:customStyle="1" w:styleId="204">
    <w:name w:val="正文3"/>
    <w:qFormat/>
    <w:uiPriority w:val="0"/>
    <w:pPr>
      <w:jc w:val="both"/>
    </w:pPr>
    <w:rPr>
      <w:rFonts w:ascii="Times New Roman" w:hAnsi="Times New Roman" w:eastAsia="宋体" w:cs="Times New Roman"/>
      <w:kern w:val="2"/>
      <w:sz w:val="21"/>
      <w:szCs w:val="21"/>
      <w:lang w:val="en-US" w:eastAsia="zh-CN" w:bidi="ar-SA"/>
    </w:rPr>
  </w:style>
  <w:style w:type="character" w:customStyle="1" w:styleId="205">
    <w:name w:val="15"/>
    <w:basedOn w:val="47"/>
    <w:qFormat/>
    <w:uiPriority w:val="0"/>
    <w:rPr>
      <w:rFonts w:hint="default" w:ascii="Times New Roman" w:hAnsi="Times New Roman" w:cs="Times New Roman"/>
    </w:rPr>
  </w:style>
  <w:style w:type="character" w:customStyle="1" w:styleId="206">
    <w:name w:val="ant-form-item-children1"/>
    <w:basedOn w:val="47"/>
    <w:qFormat/>
    <w:uiPriority w:val="0"/>
  </w:style>
  <w:style w:type="character" w:customStyle="1" w:styleId="207">
    <w:name w:val="标题 4 Char"/>
    <w:basedOn w:val="47"/>
    <w:link w:val="6"/>
    <w:qFormat/>
    <w:uiPriority w:val="0"/>
    <w:rPr>
      <w:rFonts w:ascii="Arial" w:hAnsi="Arial" w:eastAsia="黑体" w:cs="Times New Roman"/>
      <w:b/>
      <w:kern w:val="2"/>
      <w:sz w:val="28"/>
    </w:rPr>
  </w:style>
  <w:style w:type="character" w:customStyle="1" w:styleId="208">
    <w:name w:val="标题 5 Char"/>
    <w:basedOn w:val="47"/>
    <w:link w:val="8"/>
    <w:qFormat/>
    <w:uiPriority w:val="0"/>
    <w:rPr>
      <w:rFonts w:ascii="Times New Roman" w:hAnsi="Times New Roman" w:eastAsia="宋体" w:cs="Times New Roman"/>
      <w:b/>
      <w:kern w:val="2"/>
      <w:sz w:val="28"/>
    </w:rPr>
  </w:style>
  <w:style w:type="character" w:customStyle="1" w:styleId="209">
    <w:name w:val="标题 6 Char"/>
    <w:basedOn w:val="47"/>
    <w:link w:val="9"/>
    <w:qFormat/>
    <w:uiPriority w:val="0"/>
    <w:rPr>
      <w:rFonts w:ascii="Arial" w:hAnsi="Arial" w:eastAsia="黑体" w:cs="Times New Roman"/>
      <w:b/>
      <w:kern w:val="2"/>
      <w:sz w:val="24"/>
    </w:rPr>
  </w:style>
  <w:style w:type="character" w:customStyle="1" w:styleId="210">
    <w:name w:val="标题 7 Char"/>
    <w:basedOn w:val="47"/>
    <w:link w:val="10"/>
    <w:qFormat/>
    <w:uiPriority w:val="0"/>
    <w:rPr>
      <w:rFonts w:ascii="Times New Roman" w:hAnsi="Times New Roman" w:eastAsia="宋体" w:cs="Times New Roman"/>
      <w:b/>
      <w:kern w:val="2"/>
      <w:sz w:val="24"/>
    </w:rPr>
  </w:style>
  <w:style w:type="character" w:customStyle="1" w:styleId="211">
    <w:name w:val="标题 8 Char"/>
    <w:basedOn w:val="47"/>
    <w:link w:val="11"/>
    <w:qFormat/>
    <w:uiPriority w:val="0"/>
    <w:rPr>
      <w:rFonts w:ascii="Arial" w:hAnsi="Arial" w:eastAsia="黑体" w:cs="Times New Roman"/>
      <w:kern w:val="2"/>
      <w:sz w:val="24"/>
    </w:rPr>
  </w:style>
  <w:style w:type="character" w:customStyle="1" w:styleId="212">
    <w:name w:val="标题 9 Char"/>
    <w:basedOn w:val="47"/>
    <w:link w:val="12"/>
    <w:qFormat/>
    <w:uiPriority w:val="0"/>
    <w:rPr>
      <w:rFonts w:ascii="Arial" w:hAnsi="Arial" w:eastAsia="黑体" w:cs="Times New Roman"/>
      <w:kern w:val="2"/>
      <w:sz w:val="21"/>
    </w:rPr>
  </w:style>
  <w:style w:type="character" w:customStyle="1" w:styleId="213">
    <w:name w:val="List Paragraph Char"/>
    <w:basedOn w:val="47"/>
    <w:link w:val="149"/>
    <w:qFormat/>
    <w:uiPriority w:val="0"/>
    <w:rPr>
      <w:rFonts w:ascii="Times New Roman" w:hAnsi="Times New Roman" w:eastAsia="宋体" w:cs="Times New Roman"/>
      <w:kern w:val="2"/>
      <w:sz w:val="21"/>
      <w:szCs w:val="24"/>
    </w:rPr>
  </w:style>
  <w:style w:type="character" w:customStyle="1" w:styleId="214">
    <w:name w:val="HTML 预设格式 Char"/>
    <w:basedOn w:val="47"/>
    <w:link w:val="39"/>
    <w:qFormat/>
    <w:uiPriority w:val="0"/>
    <w:rPr>
      <w:rFonts w:ascii="宋体" w:hAnsi="宋体" w:eastAsia="宋体" w:cs="宋体"/>
      <w:sz w:val="24"/>
      <w:szCs w:val="24"/>
    </w:rPr>
  </w:style>
  <w:style w:type="character" w:customStyle="1" w:styleId="215">
    <w:name w:val="mark"/>
    <w:basedOn w:val="47"/>
    <w:qFormat/>
    <w:uiPriority w:val="0"/>
  </w:style>
  <w:style w:type="paragraph" w:customStyle="1" w:styleId="216">
    <w:name w:val="dash5217_51fa_6bb5_843d"/>
    <w:basedOn w:val="1"/>
    <w:qFormat/>
    <w:uiPriority w:val="0"/>
    <w:pPr>
      <w:widowControl/>
      <w:ind w:firstLine="420"/>
    </w:pPr>
    <w:rPr>
      <w:rFonts w:ascii="Calibri" w:hAnsi="Calibri" w:eastAsia="宋体" w:cs="Calibri"/>
      <w:kern w:val="0"/>
      <w:sz w:val="20"/>
      <w:szCs w:val="20"/>
    </w:rPr>
  </w:style>
  <w:style w:type="character" w:customStyle="1" w:styleId="217">
    <w:name w:val="dash5217_51fa_6bb5_843d__char1"/>
    <w:qFormat/>
    <w:uiPriority w:val="0"/>
    <w:rPr>
      <w:rFonts w:ascii="Calibri" w:hAnsi="Calibri" w:cs="Calibri"/>
      <w:sz w:val="20"/>
      <w:szCs w:val="20"/>
    </w:rPr>
  </w:style>
  <w:style w:type="paragraph" w:customStyle="1" w:styleId="218">
    <w:name w:val="dash6b63_6587"/>
    <w:basedOn w:val="1"/>
    <w:qFormat/>
    <w:uiPriority w:val="0"/>
    <w:pPr>
      <w:widowControl/>
    </w:pPr>
    <w:rPr>
      <w:rFonts w:ascii="Calibri" w:hAnsi="Calibri" w:eastAsia="宋体" w:cs="Calibri"/>
      <w:kern w:val="0"/>
      <w:sz w:val="20"/>
      <w:szCs w:val="20"/>
    </w:rPr>
  </w:style>
  <w:style w:type="character" w:customStyle="1" w:styleId="219">
    <w:name w:val="dash6b63_6587__char1"/>
    <w:qFormat/>
    <w:uiPriority w:val="0"/>
    <w:rPr>
      <w:rFonts w:ascii="Calibri" w:hAnsi="Calibri" w:cs="Calibri"/>
      <w:sz w:val="20"/>
      <w:szCs w:val="20"/>
    </w:rPr>
  </w:style>
  <w:style w:type="paragraph" w:customStyle="1" w:styleId="220">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
    <w:name w:val="ParaAttribute8"/>
    <w:qFormat/>
    <w:uiPriority w:val="0"/>
    <w:pPr>
      <w:widowControl w:val="0"/>
      <w:jc w:val="both"/>
    </w:pPr>
    <w:rPr>
      <w:rFonts w:ascii="Times New Roman" w:hAnsi="Arial Unicode MS" w:eastAsia="Arial Unicode MS" w:cs="Arial Unicode MS"/>
      <w:color w:val="000000"/>
      <w:u w:color="000000"/>
      <w:lang w:val="en-US" w:eastAsia="zh-CN" w:bidi="ar-SA"/>
    </w:rPr>
  </w:style>
  <w:style w:type="paragraph" w:customStyle="1" w:styleId="223">
    <w:name w:val="默认"/>
    <w:qFormat/>
    <w:uiPriority w:val="0"/>
    <w:rPr>
      <w:rFonts w:ascii="Helvetica" w:hAnsi="Arial Unicode MS" w:eastAsia="Arial Unicode MS" w:cs="Arial Unicode MS"/>
      <w:color w:val="000000"/>
      <w:sz w:val="22"/>
      <w:szCs w:val="22"/>
      <w:lang w:val="zh-TW" w:eastAsia="zh-TW" w:bidi="ar-SA"/>
    </w:rPr>
  </w:style>
  <w:style w:type="character" w:customStyle="1" w:styleId="224">
    <w:name w:val="def"/>
    <w:basedOn w:val="47"/>
    <w:qFormat/>
    <w:uiPriority w:val="0"/>
  </w:style>
  <w:style w:type="paragraph" w:customStyle="1" w:styleId="225">
    <w:name w:val="reader-word-layer reader-word-s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z-窗体顶端2"/>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228">
    <w:name w:val="z-窗体底端2"/>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229">
    <w:name w:val="TOC 标题2"/>
    <w:basedOn w:val="3"/>
    <w:next w:val="1"/>
    <w:qFormat/>
    <w:uiPriority w:val="0"/>
    <w:pPr>
      <w:keepLines/>
      <w:spacing w:before="480" w:after="0" w:line="276" w:lineRule="auto"/>
      <w:jc w:val="left"/>
      <w:outlineLvl w:val="9"/>
    </w:pPr>
    <w:rPr>
      <w:rFonts w:ascii="Cambria" w:hAnsi="Cambria" w:cs="Times New Roman"/>
      <w:color w:val="365F91"/>
      <w:kern w:val="0"/>
      <w:sz w:val="28"/>
      <w:szCs w:val="28"/>
    </w:rPr>
  </w:style>
  <w:style w:type="paragraph" w:customStyle="1" w:styleId="23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231">
    <w:name w:val="font5"/>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232">
    <w:name w:val="font6"/>
    <w:basedOn w:val="1"/>
    <w:qFormat/>
    <w:uiPriority w:val="0"/>
    <w:pPr>
      <w:widowControl/>
      <w:spacing w:before="100" w:beforeAutospacing="1" w:after="100" w:afterAutospacing="1"/>
      <w:jc w:val="left"/>
    </w:pPr>
    <w:rPr>
      <w:rFonts w:ascii="Arial" w:hAnsi="Arial" w:eastAsia="宋体" w:cs="Arial"/>
      <w:kern w:val="0"/>
      <w:sz w:val="22"/>
    </w:rPr>
  </w:style>
  <w:style w:type="paragraph" w:customStyle="1" w:styleId="233">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4">
    <w:name w:val="xl6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35">
    <w:name w:val="xl6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36">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0">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25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4">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5">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6">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58">
    <w:name w:val="xl8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59">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1">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2">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3">
    <w:name w:val="xl92"/>
    <w:basedOn w:val="1"/>
    <w:qFormat/>
    <w:uiPriority w:val="0"/>
    <w:pPr>
      <w:widowControl/>
      <w:spacing w:before="100" w:beforeAutospacing="1" w:after="100" w:afterAutospacing="1"/>
      <w:jc w:val="center"/>
    </w:pPr>
    <w:rPr>
      <w:rFonts w:ascii="宋体" w:hAnsi="宋体" w:eastAsia="宋体" w:cs="宋体"/>
      <w:kern w:val="0"/>
      <w:sz w:val="36"/>
      <w:szCs w:val="36"/>
    </w:rPr>
  </w:style>
  <w:style w:type="paragraph" w:customStyle="1" w:styleId="264">
    <w:name w:val="xl93"/>
    <w:basedOn w:val="1"/>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65">
    <w:name w:val="xl94"/>
    <w:basedOn w:val="1"/>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66">
    <w:name w:val="xl95"/>
    <w:basedOn w:val="1"/>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67">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8">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9">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0">
    <w:name w:val="样式1"/>
    <w:basedOn w:val="1"/>
    <w:qFormat/>
    <w:uiPriority w:val="99"/>
    <w:pPr>
      <w:tabs>
        <w:tab w:val="left" w:pos="540"/>
        <w:tab w:val="left" w:pos="900"/>
        <w:tab w:val="left" w:pos="2070"/>
        <w:tab w:val="left" w:pos="3150"/>
        <w:tab w:val="center" w:pos="5940"/>
        <w:tab w:val="right" w:pos="8100"/>
      </w:tabs>
      <w:wordWrap w:val="0"/>
      <w:overflowPunct w:val="0"/>
      <w:adjustRightInd w:val="0"/>
      <w:snapToGrid w:val="0"/>
      <w:spacing w:before="120" w:after="120" w:line="360" w:lineRule="auto"/>
      <w:ind w:left="1155"/>
      <w:textAlignment w:val="baseline"/>
    </w:pPr>
    <w:rPr>
      <w:rFonts w:ascii="宋体" w:hAnsi="宋体" w:eastAsia="宋体" w:cs="Times New Roman"/>
      <w:color w:val="000000"/>
      <w:kern w:val="0"/>
      <w:szCs w:val="20"/>
    </w:rPr>
  </w:style>
  <w:style w:type="paragraph" w:customStyle="1" w:styleId="271">
    <w:name w:val="正文_0"/>
    <w:qFormat/>
    <w:uiPriority w:val="0"/>
    <w:rPr>
      <w:rFonts w:ascii="Times New Roman" w:hAnsi="Times New Roman" w:eastAsia="Times New Roman" w:cs="Times New Roman"/>
      <w:lang w:val="en-US" w:eastAsia="zh-CN" w:bidi="ar-SA"/>
    </w:rPr>
  </w:style>
  <w:style w:type="paragraph" w:customStyle="1" w:styleId="272">
    <w:name w:val="正文_0_0"/>
    <w:qFormat/>
    <w:uiPriority w:val="0"/>
    <w:pPr>
      <w:jc w:val="both"/>
    </w:pPr>
    <w:rPr>
      <w:rFonts w:ascii="Calibri" w:hAnsi="Calibri" w:eastAsia="Times New Roman" w:cs="Times New Roman"/>
      <w:lang w:val="en-US" w:eastAsia="zh-CN" w:bidi="ar-SA"/>
    </w:rPr>
  </w:style>
  <w:style w:type="paragraph" w:customStyle="1" w:styleId="273">
    <w:name w:val="标题 11"/>
    <w:basedOn w:val="1"/>
    <w:qFormat/>
    <w:uiPriority w:val="1"/>
    <w:pPr>
      <w:autoSpaceDE w:val="0"/>
      <w:autoSpaceDN w:val="0"/>
      <w:spacing w:before="38"/>
      <w:ind w:left="1482" w:right="1677"/>
      <w:jc w:val="center"/>
      <w:outlineLvl w:val="1"/>
    </w:pPr>
    <w:rPr>
      <w:rFonts w:ascii="宋体" w:hAnsi="宋体" w:eastAsia="宋体" w:cs="宋体"/>
      <w:b/>
      <w:bCs/>
      <w:kern w:val="0"/>
      <w:sz w:val="36"/>
      <w:szCs w:val="36"/>
      <w:lang w:val="zh-CN" w:bidi="zh-CN"/>
    </w:rPr>
  </w:style>
  <w:style w:type="character" w:customStyle="1" w:styleId="274">
    <w:name w:val="副标题 Char"/>
    <w:link w:val="31"/>
    <w:qFormat/>
    <w:uiPriority w:val="11"/>
    <w:rPr>
      <w:rFonts w:ascii="Calibri Light" w:hAnsi="Calibri Light"/>
      <w:b/>
      <w:bCs/>
      <w:kern w:val="28"/>
      <w:sz w:val="32"/>
      <w:szCs w:val="32"/>
    </w:rPr>
  </w:style>
  <w:style w:type="paragraph" w:customStyle="1" w:styleId="275">
    <w:name w:val="TOAHeading"/>
    <w:basedOn w:val="1"/>
    <w:next w:val="1"/>
    <w:qFormat/>
    <w:uiPriority w:val="0"/>
    <w:pPr>
      <w:spacing w:before="120"/>
    </w:pPr>
    <w:rPr>
      <w:rFonts w:ascii="Arial" w:hAnsi="Arial" w:eastAsia="微软雅黑"/>
      <w:sz w:val="24"/>
      <w:szCs w:val="21"/>
    </w:rPr>
  </w:style>
  <w:style w:type="paragraph" w:customStyle="1" w:styleId="276">
    <w:name w:val="Table Paragraph"/>
    <w:basedOn w:val="1"/>
    <w:qFormat/>
    <w:uiPriority w:val="0"/>
    <w:pPr>
      <w:jc w:val="left"/>
    </w:pPr>
    <w:rPr>
      <w:rFonts w:ascii="宋体" w:hAnsi="宋体" w:cs="宋体"/>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C3233-FE7B-48E2-8AB5-D78C6AEC827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5694</Words>
  <Characters>32458</Characters>
  <Lines>270</Lines>
  <Paragraphs>76</Paragraphs>
  <TotalTime>1</TotalTime>
  <ScaleCrop>false</ScaleCrop>
  <LinksUpToDate>false</LinksUpToDate>
  <CharactersWithSpaces>38076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2021-08-03T13:31:00Z</dcterms:created>
  <dc:creator>WHB</dc:creator>
  <cp:lastModifiedBy>大大大朵朵</cp:lastModifiedBy>
  <cp:lastPrinted>2021-08-18T08:21:00Z</cp:lastPrinted>
  <dcterms:modified xsi:type="dcterms:W3CDTF">2022-03-08T05:21:23Z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D953B8682B394D25A331730C20B21A2E</vt:lpwstr>
  </property>
</Properties>
</file>