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60" w:lineRule="exact"/>
        <w:jc w:val="center"/>
        <w:textAlignment w:val="auto"/>
        <w:rPr>
          <w:rFonts w:ascii="华文中宋" w:hAnsi="华文中宋" w:eastAsia="华文中宋"/>
          <w:highlight w:val="none"/>
        </w:rPr>
      </w:pPr>
      <w:bookmarkStart w:id="35" w:name="_GoBack"/>
      <w:r>
        <w:rPr>
          <w:rFonts w:hint="eastAsia" w:ascii="华文中宋" w:hAnsi="华文中宋" w:eastAsia="华文中宋"/>
          <w:highlight w:val="none"/>
          <w:lang w:val="en-US" w:eastAsia="zh-CN"/>
        </w:rPr>
        <w:t xml:space="preserve"> 哈巴河县加依勒玛乡村级人居环境提升建设项目竞争性谈判</w:t>
      </w:r>
      <w:r>
        <w:rPr>
          <w:rFonts w:hint="eastAsia" w:ascii="华文中宋" w:hAnsi="华文中宋" w:eastAsia="华文中宋"/>
          <w:highlight w:val="none"/>
        </w:rPr>
        <w:t>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jc w:val="both"/>
        <w:textAlignment w:val="auto"/>
        <w:rPr>
          <w:rFonts w:ascii="仿宋" w:hAnsi="仿宋" w:eastAsia="仿宋"/>
          <w:sz w:val="28"/>
          <w:szCs w:val="28"/>
          <w:highlight w:val="none"/>
        </w:rPr>
      </w:pPr>
      <w:r>
        <w:rPr>
          <w:rFonts w:hint="eastAsia" w:ascii="仿宋" w:hAnsi="仿宋" w:eastAsia="仿宋"/>
          <w:sz w:val="28"/>
          <w:szCs w:val="28"/>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ind w:firstLine="560" w:firstLineChars="200"/>
        <w:textAlignment w:val="auto"/>
        <w:rPr>
          <w:rFonts w:hint="default" w:ascii="仿宋" w:hAnsi="仿宋" w:eastAsia="仿宋"/>
          <w:sz w:val="28"/>
          <w:szCs w:val="28"/>
          <w:highlight w:val="none"/>
          <w:u w:val="single"/>
          <w:lang w:val="en-US"/>
        </w:rPr>
      </w:pP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eastAsia="zh-CN"/>
        </w:rPr>
        <w:t>哈巴河县加依勒玛乡村级人居环境提升建设项目</w:t>
      </w:r>
      <w:r>
        <w:rPr>
          <w:rFonts w:hint="eastAsia" w:ascii="仿宋" w:hAnsi="仿宋" w:eastAsia="仿宋"/>
          <w:sz w:val="28"/>
          <w:szCs w:val="28"/>
          <w:highlight w:val="none"/>
        </w:rPr>
        <w:t>招标项目的潜在投标人应在</w:t>
      </w:r>
      <w:r>
        <w:rPr>
          <w:rFonts w:hint="eastAsia" w:ascii="仿宋" w:hAnsi="仿宋" w:eastAsia="仿宋"/>
          <w:sz w:val="28"/>
          <w:szCs w:val="28"/>
          <w:highlight w:val="none"/>
          <w:u w:val="single"/>
          <w:lang w:val="en-US" w:eastAsia="zh-CN"/>
        </w:rPr>
        <w:t xml:space="preserve"> 新疆阿勒泰地区阿勒泰市东风路2区将军城三期1栋</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textAlignment w:val="auto"/>
        <w:rPr>
          <w:sz w:val="28"/>
          <w:szCs w:val="28"/>
          <w:highlight w:val="none"/>
        </w:rPr>
      </w:pPr>
      <w:r>
        <w:rPr>
          <w:rFonts w:hint="eastAsia" w:ascii="仿宋" w:hAnsi="仿宋" w:eastAsia="仿宋"/>
          <w:sz w:val="28"/>
          <w:szCs w:val="28"/>
          <w:highlight w:val="none"/>
        </w:rPr>
        <w:t>获取</w:t>
      </w:r>
      <w:r>
        <w:rPr>
          <w:rFonts w:hint="eastAsia" w:ascii="仿宋" w:hAnsi="仿宋" w:eastAsia="仿宋"/>
          <w:sz w:val="28"/>
          <w:szCs w:val="28"/>
          <w:highlight w:val="none"/>
          <w:lang w:eastAsia="zh-CN"/>
        </w:rPr>
        <w:t>谈判文件</w:t>
      </w:r>
      <w:r>
        <w:rPr>
          <w:rFonts w:hint="eastAsia" w:ascii="仿宋" w:hAnsi="仿宋" w:eastAsia="仿宋"/>
          <w:sz w:val="28"/>
          <w:szCs w:val="28"/>
          <w:highlight w:val="none"/>
        </w:rPr>
        <w:t>，并于</w:t>
      </w:r>
      <w:r>
        <w:rPr>
          <w:rFonts w:hint="eastAsia" w:ascii="仿宋" w:hAnsi="仿宋" w:eastAsia="仿宋"/>
          <w:sz w:val="28"/>
          <w:szCs w:val="28"/>
          <w:highlight w:val="none"/>
          <w:u w:val="single"/>
          <w:lang w:val="en-US" w:eastAsia="zh-CN"/>
        </w:rPr>
        <w:t>2022</w:t>
      </w:r>
      <w:r>
        <w:rPr>
          <w:rFonts w:ascii="仿宋" w:hAnsi="仿宋" w:eastAsia="仿宋"/>
          <w:sz w:val="28"/>
          <w:szCs w:val="28"/>
          <w:highlight w:val="none"/>
          <w:u w:val="single"/>
        </w:rPr>
        <w:t xml:space="preserve"> </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3</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22</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bCs/>
          <w:sz w:val="28"/>
          <w:szCs w:val="28"/>
          <w:highlight w:val="none"/>
          <w:u w:val="single"/>
        </w:rPr>
        <w:t>（</w:t>
      </w:r>
      <w:r>
        <w:rPr>
          <w:rFonts w:hint="eastAsia" w:ascii="仿宋" w:hAnsi="仿宋" w:eastAsia="仿宋"/>
          <w:bCs/>
          <w:sz w:val="28"/>
          <w:szCs w:val="28"/>
          <w:highlight w:val="none"/>
        </w:rPr>
        <w:t>北京时间）前提交</w:t>
      </w:r>
      <w:r>
        <w:rPr>
          <w:rFonts w:hint="eastAsia" w:ascii="仿宋" w:hAnsi="仿宋" w:eastAsia="仿宋"/>
          <w:bCs/>
          <w:sz w:val="28"/>
          <w:szCs w:val="28"/>
          <w:highlight w:val="none"/>
          <w:lang w:val="en-US" w:eastAsia="zh-CN"/>
        </w:rPr>
        <w:t>响应文件</w:t>
      </w:r>
      <w:r>
        <w:rPr>
          <w:rFonts w:hint="eastAsia" w:ascii="仿宋" w:hAnsi="仿宋" w:eastAsia="仿宋"/>
          <w:sz w:val="28"/>
          <w:szCs w:val="28"/>
          <w:highlight w:val="none"/>
        </w:rPr>
        <w:t>。</w:t>
      </w:r>
    </w:p>
    <w:p>
      <w:pPr>
        <w:pStyle w:val="4"/>
        <w:pageBreakBefore w:val="0"/>
        <w:widowControl w:val="0"/>
        <w:kinsoku/>
        <w:wordWrap/>
        <w:overflowPunct/>
        <w:topLinePunct w:val="0"/>
        <w:bidi w:val="0"/>
        <w:snapToGrid/>
        <w:spacing w:line="560" w:lineRule="exact"/>
        <w:textAlignment w:val="auto"/>
        <w:rPr>
          <w:rFonts w:ascii="黑体" w:hAnsi="黑体" w:cs="宋体"/>
          <w:b w:val="0"/>
          <w:sz w:val="28"/>
          <w:szCs w:val="28"/>
          <w:highlight w:val="none"/>
        </w:rPr>
      </w:pPr>
      <w:bookmarkStart w:id="0" w:name="_Toc22738"/>
      <w:bookmarkStart w:id="1" w:name="_Toc35393621"/>
      <w:bookmarkStart w:id="2" w:name="_Toc28359002"/>
      <w:bookmarkStart w:id="3" w:name="_Toc28359079"/>
      <w:bookmarkStart w:id="4" w:name="_Toc35393790"/>
      <w:bookmarkStart w:id="5" w:name="_Hlk24379207"/>
      <w:r>
        <w:rPr>
          <w:rFonts w:hint="eastAsia" w:ascii="黑体" w:hAnsi="黑体" w:cs="宋体"/>
          <w:b w:val="0"/>
          <w:sz w:val="28"/>
          <w:szCs w:val="28"/>
          <w:highlight w:val="none"/>
        </w:rPr>
        <w:t>一、项目基本情况</w:t>
      </w:r>
      <w:bookmarkEnd w:id="0"/>
      <w:bookmarkEnd w:id="1"/>
      <w:bookmarkEnd w:id="2"/>
      <w:bookmarkEnd w:id="3"/>
      <w:bookmarkEnd w:id="4"/>
    </w:p>
    <w:p>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color w:val="FF0000"/>
          <w:sz w:val="28"/>
          <w:szCs w:val="28"/>
          <w:highlight w:val="none"/>
          <w:lang w:val="en-US" w:eastAsia="zh-CN"/>
        </w:rPr>
      </w:pPr>
      <w:r>
        <w:rPr>
          <w:rFonts w:hint="eastAsia" w:ascii="仿宋" w:hAnsi="仿宋" w:eastAsia="仿宋"/>
          <w:sz w:val="28"/>
          <w:szCs w:val="28"/>
          <w:highlight w:val="none"/>
        </w:rPr>
        <w:t>项目编号：</w:t>
      </w:r>
      <w:r>
        <w:rPr>
          <w:rFonts w:hint="eastAsia" w:ascii="仿宋" w:hAnsi="仿宋" w:eastAsia="仿宋"/>
          <w:sz w:val="28"/>
          <w:szCs w:val="28"/>
          <w:highlight w:val="none"/>
          <w:lang w:val="en-US" w:eastAsia="zh-CN"/>
        </w:rPr>
        <w:t>ZFCGH-ZHZB2022072</w:t>
      </w:r>
    </w:p>
    <w:bookmarkEnd w:id="5"/>
    <w:p>
      <w:pPr>
        <w:pageBreakBefore w:val="0"/>
        <w:widowControl w:val="0"/>
        <w:kinsoku/>
        <w:wordWrap/>
        <w:overflowPunct/>
        <w:topLinePunct w:val="0"/>
        <w:bidi w:val="0"/>
        <w:snapToGrid/>
        <w:spacing w:line="560" w:lineRule="exact"/>
        <w:ind w:left="2239" w:leftChars="266" w:hanging="1680" w:hangingChars="600"/>
        <w:textAlignment w:val="auto"/>
        <w:rPr>
          <w:rFonts w:hint="eastAsia" w:ascii="仿宋" w:hAnsi="仿宋" w:eastAsia="仿宋" w:cs="Times New Roman"/>
          <w:sz w:val="28"/>
          <w:szCs w:val="28"/>
          <w:highlight w:val="none"/>
          <w:u w:val="none"/>
          <w:lang w:eastAsia="zh-CN"/>
        </w:rPr>
      </w:pPr>
      <w:bookmarkStart w:id="6" w:name="_Toc28359003"/>
      <w:bookmarkStart w:id="7" w:name="_Toc35393791"/>
      <w:bookmarkStart w:id="8" w:name="_Toc12417"/>
      <w:bookmarkStart w:id="9" w:name="_Toc35393622"/>
      <w:bookmarkStart w:id="10" w:name="_Toc28359080"/>
      <w:r>
        <w:rPr>
          <w:rFonts w:hint="eastAsia" w:ascii="仿宋" w:hAnsi="仿宋" w:eastAsia="仿宋" w:cs="Times New Roman"/>
          <w:sz w:val="28"/>
          <w:szCs w:val="28"/>
          <w:highlight w:val="none"/>
          <w:u w:val="none"/>
          <w:lang w:eastAsia="zh-CN"/>
        </w:rPr>
        <w:t>项目名称：哈巴河县加依勒玛乡村级人居环境提升建设项目</w:t>
      </w:r>
    </w:p>
    <w:p>
      <w:pPr>
        <w:pageBreakBefore w:val="0"/>
        <w:widowControl w:val="0"/>
        <w:kinsoku/>
        <w:wordWrap/>
        <w:overflowPunct/>
        <w:topLinePunct w:val="0"/>
        <w:bidi w:val="0"/>
        <w:snapToGrid/>
        <w:spacing w:line="560" w:lineRule="exact"/>
        <w:ind w:left="2239" w:leftChars="266" w:hanging="1680" w:hangingChars="600"/>
        <w:textAlignment w:val="auto"/>
        <w:rPr>
          <w:rFonts w:hint="eastAsia" w:ascii="仿宋" w:hAnsi="仿宋" w:eastAsia="仿宋" w:cs="Times New Roman"/>
          <w:sz w:val="28"/>
          <w:szCs w:val="28"/>
          <w:highlight w:val="none"/>
          <w:u w:val="none"/>
          <w:lang w:val="en-US" w:eastAsia="zh-CN"/>
        </w:rPr>
      </w:pPr>
      <w:r>
        <w:rPr>
          <w:rFonts w:hint="eastAsia" w:ascii="仿宋" w:hAnsi="仿宋" w:eastAsia="仿宋" w:cs="Times New Roman"/>
          <w:sz w:val="28"/>
          <w:szCs w:val="28"/>
          <w:highlight w:val="none"/>
          <w:u w:val="none"/>
          <w:lang w:eastAsia="zh-CN"/>
        </w:rPr>
        <w:t>采购方式：☑竞争性谈判 □竞争性磋商 □询价</w:t>
      </w:r>
    </w:p>
    <w:p>
      <w:pPr>
        <w:pageBreakBefore w:val="0"/>
        <w:widowControl w:val="0"/>
        <w:kinsoku/>
        <w:wordWrap/>
        <w:overflowPunct/>
        <w:topLinePunct w:val="0"/>
        <w:bidi w:val="0"/>
        <w:snapToGrid/>
        <w:spacing w:line="560" w:lineRule="exact"/>
        <w:ind w:left="2239" w:leftChars="266" w:hanging="1680" w:hangingChars="600"/>
        <w:textAlignment w:val="auto"/>
        <w:rPr>
          <w:rFonts w:hint="default" w:ascii="仿宋" w:hAnsi="仿宋" w:eastAsia="仿宋" w:cs="Times New Roman"/>
          <w:sz w:val="28"/>
          <w:szCs w:val="28"/>
          <w:highlight w:val="none"/>
          <w:u w:val="none"/>
          <w:lang w:val="en-US" w:eastAsia="zh-CN"/>
        </w:rPr>
      </w:pPr>
      <w:r>
        <w:rPr>
          <w:rFonts w:hint="eastAsia" w:ascii="仿宋" w:hAnsi="仿宋" w:eastAsia="仿宋" w:cs="Times New Roman"/>
          <w:sz w:val="28"/>
          <w:szCs w:val="28"/>
          <w:highlight w:val="none"/>
          <w:u w:val="none"/>
          <w:lang w:val="en-US" w:eastAsia="zh-CN"/>
        </w:rPr>
        <w:t>概</w:t>
      </w:r>
      <w:r>
        <w:rPr>
          <w:rFonts w:hint="eastAsia" w:ascii="仿宋" w:hAnsi="仿宋" w:eastAsia="仿宋" w:cs="Times New Roman"/>
          <w:sz w:val="28"/>
          <w:szCs w:val="28"/>
          <w:highlight w:val="none"/>
          <w:u w:val="none"/>
          <w:lang w:eastAsia="zh-CN"/>
        </w:rPr>
        <w:t>算金额：</w:t>
      </w:r>
      <w:r>
        <w:rPr>
          <w:rFonts w:hint="eastAsia" w:ascii="仿宋" w:hAnsi="仿宋" w:eastAsia="仿宋" w:cs="Times New Roman"/>
          <w:sz w:val="28"/>
          <w:szCs w:val="28"/>
          <w:highlight w:val="none"/>
          <w:u w:val="none"/>
          <w:lang w:val="en-US" w:eastAsia="zh-CN"/>
        </w:rPr>
        <w:t>240万元</w:t>
      </w:r>
    </w:p>
    <w:p>
      <w:pPr>
        <w:pageBreakBefore w:val="0"/>
        <w:widowControl w:val="0"/>
        <w:kinsoku/>
        <w:wordWrap/>
        <w:overflowPunct/>
        <w:topLinePunct w:val="0"/>
        <w:bidi w:val="0"/>
        <w:snapToGrid/>
        <w:spacing w:line="560" w:lineRule="exact"/>
        <w:ind w:left="2239" w:leftChars="266" w:hanging="1680" w:hangingChars="600"/>
        <w:textAlignment w:val="auto"/>
        <w:rPr>
          <w:rFonts w:hint="eastAsia" w:ascii="仿宋" w:hAnsi="仿宋" w:eastAsia="仿宋"/>
          <w:sz w:val="28"/>
          <w:szCs w:val="28"/>
          <w:highlight w:val="none"/>
          <w:u w:val="none"/>
          <w:lang w:eastAsia="zh-CN"/>
        </w:rPr>
      </w:pPr>
      <w:r>
        <w:rPr>
          <w:rFonts w:hint="eastAsia" w:ascii="仿宋" w:hAnsi="仿宋" w:eastAsia="仿宋"/>
          <w:sz w:val="28"/>
          <w:szCs w:val="28"/>
          <w:highlight w:val="none"/>
        </w:rPr>
        <w:t>最高限</w:t>
      </w:r>
      <w:r>
        <w:rPr>
          <w:rFonts w:hint="eastAsia" w:ascii="仿宋" w:hAnsi="仿宋" w:eastAsia="仿宋"/>
          <w:sz w:val="28"/>
          <w:szCs w:val="28"/>
          <w:highlight w:val="none"/>
        </w:rPr>
        <w:t>价</w:t>
      </w:r>
      <w:r>
        <w:rPr>
          <w:rFonts w:hint="eastAsia" w:ascii="仿宋" w:hAnsi="仿宋" w:eastAsia="仿宋"/>
          <w:sz w:val="28"/>
          <w:szCs w:val="28"/>
          <w:highlight w:val="none"/>
          <w:u w:val="none"/>
          <w:lang w:eastAsia="zh-CN"/>
        </w:rPr>
        <w:t>：</w:t>
      </w:r>
      <w:r>
        <w:rPr>
          <w:rFonts w:hint="eastAsia" w:ascii="仿宋" w:hAnsi="仿宋" w:eastAsia="仿宋"/>
          <w:sz w:val="28"/>
          <w:szCs w:val="28"/>
          <w:highlight w:val="none"/>
          <w:u w:val="none"/>
          <w:lang w:val="en-US" w:eastAsia="zh-CN"/>
        </w:rPr>
        <w:t>239.984563万元</w:t>
      </w:r>
    </w:p>
    <w:p>
      <w:pPr>
        <w:pageBreakBefore w:val="0"/>
        <w:widowControl w:val="0"/>
        <w:kinsoku/>
        <w:wordWrap/>
        <w:overflowPunct/>
        <w:topLinePunct w:val="0"/>
        <w:bidi w:val="0"/>
        <w:snapToGrid/>
        <w:spacing w:line="560" w:lineRule="exact"/>
        <w:ind w:left="2239" w:leftChars="266" w:hanging="1680" w:hangingChars="600"/>
        <w:textAlignment w:val="auto"/>
        <w:rPr>
          <w:rFonts w:hint="eastAsia" w:ascii="仿宋" w:hAnsi="仿宋" w:eastAsia="仿宋"/>
          <w:sz w:val="28"/>
          <w:szCs w:val="28"/>
          <w:highlight w:val="none"/>
          <w:u w:val="none"/>
          <w:lang w:eastAsia="zh-CN"/>
        </w:rPr>
      </w:pPr>
      <w:r>
        <w:rPr>
          <w:rFonts w:hint="eastAsia" w:ascii="仿宋" w:hAnsi="仿宋" w:eastAsia="仿宋"/>
          <w:sz w:val="28"/>
          <w:szCs w:val="28"/>
          <w:highlight w:val="none"/>
          <w:u w:val="none"/>
          <w:lang w:eastAsia="zh-CN"/>
        </w:rPr>
        <w:t>采购需求：</w:t>
      </w:r>
      <w:r>
        <w:rPr>
          <w:rFonts w:hint="eastAsia" w:ascii="仿宋" w:hAnsi="仿宋" w:eastAsia="仿宋"/>
          <w:sz w:val="28"/>
          <w:szCs w:val="28"/>
          <w:highlight w:val="none"/>
          <w:u w:val="none"/>
          <w:lang w:val="en-US" w:eastAsia="zh-CN"/>
        </w:rPr>
        <w:t>道路两侧硬化</w:t>
      </w:r>
      <w:r>
        <w:rPr>
          <w:rFonts w:hint="eastAsia" w:ascii="仿宋" w:hAnsi="仿宋" w:eastAsia="仿宋"/>
          <w:sz w:val="28"/>
          <w:szCs w:val="28"/>
          <w:highlight w:val="none"/>
          <w:u w:val="none"/>
          <w:lang w:eastAsia="zh-CN"/>
        </w:rPr>
        <w:t>工程（</w:t>
      </w:r>
      <w:r>
        <w:rPr>
          <w:rFonts w:hint="eastAsia" w:ascii="仿宋" w:hAnsi="仿宋" w:eastAsia="仿宋"/>
          <w:sz w:val="28"/>
          <w:szCs w:val="28"/>
          <w:highlight w:val="none"/>
          <w:u w:val="none"/>
          <w:lang w:val="en-US" w:eastAsia="zh-CN"/>
        </w:rPr>
        <w:t>具体详见谈判文件</w:t>
      </w:r>
      <w:r>
        <w:rPr>
          <w:rFonts w:hint="eastAsia" w:ascii="仿宋" w:hAnsi="仿宋" w:eastAsia="仿宋"/>
          <w:sz w:val="28"/>
          <w:szCs w:val="28"/>
          <w:highlight w:val="none"/>
          <w:u w:val="none"/>
          <w:lang w:eastAsia="zh-CN"/>
        </w:rPr>
        <w:t>）</w:t>
      </w:r>
    </w:p>
    <w:p>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合同履行期限：</w:t>
      </w:r>
      <w:r>
        <w:rPr>
          <w:rFonts w:hint="eastAsia" w:ascii="仿宋" w:hAnsi="仿宋" w:eastAsia="仿宋"/>
          <w:sz w:val="28"/>
          <w:szCs w:val="28"/>
          <w:highlight w:val="none"/>
          <w:lang w:val="en-US" w:eastAsia="zh-CN"/>
        </w:rPr>
        <w:t>甲乙双方自行约定</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本项目</w:t>
      </w:r>
      <w:r>
        <w:rPr>
          <w:rFonts w:hint="eastAsia" w:ascii="仿宋" w:hAnsi="仿宋" w:eastAsia="仿宋"/>
          <w:i w:val="0"/>
          <w:iCs w:val="0"/>
          <w:sz w:val="28"/>
          <w:szCs w:val="28"/>
          <w:highlight w:val="none"/>
        </w:rPr>
        <w:t>（</w:t>
      </w:r>
      <w:r>
        <w:rPr>
          <w:rFonts w:ascii="仿宋" w:hAnsi="仿宋" w:eastAsia="仿宋"/>
          <w:i w:val="0"/>
          <w:iCs w:val="0"/>
          <w:sz w:val="28"/>
          <w:szCs w:val="28"/>
          <w:highlight w:val="none"/>
        </w:rPr>
        <w:t>否</w:t>
      </w:r>
      <w:r>
        <w:rPr>
          <w:rFonts w:hint="eastAsia" w:ascii="仿宋" w:hAnsi="仿宋" w:eastAsia="仿宋"/>
          <w:i w:val="0"/>
          <w:iCs w:val="0"/>
          <w:sz w:val="28"/>
          <w:szCs w:val="28"/>
          <w:highlight w:val="none"/>
        </w:rPr>
        <w:t>）</w:t>
      </w:r>
      <w:r>
        <w:rPr>
          <w:rFonts w:hint="eastAsia" w:ascii="仿宋" w:hAnsi="仿宋" w:eastAsia="仿宋"/>
          <w:sz w:val="28"/>
          <w:szCs w:val="28"/>
          <w:highlight w:val="none"/>
        </w:rPr>
        <w:t>接受联合体投标。</w:t>
      </w:r>
    </w:p>
    <w:p>
      <w:pPr>
        <w:pStyle w:val="4"/>
        <w:pageBreakBefore w:val="0"/>
        <w:widowControl w:val="0"/>
        <w:kinsoku/>
        <w:wordWrap/>
        <w:overflowPunct/>
        <w:topLinePunct w:val="0"/>
        <w:bidi w:val="0"/>
        <w:snapToGrid/>
        <w:spacing w:line="560" w:lineRule="exact"/>
        <w:textAlignment w:val="auto"/>
        <w:rPr>
          <w:rFonts w:ascii="黑体" w:hAnsi="黑体" w:cs="宋体"/>
          <w:b w:val="0"/>
          <w:sz w:val="28"/>
          <w:szCs w:val="28"/>
          <w:highlight w:val="none"/>
        </w:rPr>
      </w:pPr>
      <w:r>
        <w:rPr>
          <w:rFonts w:hint="eastAsia" w:ascii="黑体" w:hAnsi="黑体" w:cs="宋体"/>
          <w:b w:val="0"/>
          <w:sz w:val="28"/>
          <w:szCs w:val="28"/>
          <w:highlight w:val="none"/>
        </w:rPr>
        <w:t>二、申请人的资格要求：</w:t>
      </w:r>
      <w:bookmarkEnd w:id="6"/>
      <w:bookmarkEnd w:id="7"/>
      <w:bookmarkEnd w:id="8"/>
      <w:bookmarkEnd w:id="9"/>
      <w:bookmarkEnd w:id="10"/>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sz w:val="28"/>
          <w:szCs w:val="28"/>
          <w:highlight w:val="none"/>
          <w:lang w:eastAsia="zh-CN"/>
        </w:rPr>
      </w:pPr>
      <w:bookmarkStart w:id="11" w:name="_Toc28359081"/>
      <w:bookmarkStart w:id="12" w:name="_Toc35393623"/>
      <w:bookmarkStart w:id="13" w:name="_Toc35393792"/>
      <w:bookmarkStart w:id="14" w:name="_Toc28359004"/>
      <w:r>
        <w:rPr>
          <w:rFonts w:hint="eastAsia" w:ascii="仿宋" w:hAnsi="仿宋" w:eastAsia="仿宋" w:cs="宋体"/>
          <w:sz w:val="28"/>
          <w:szCs w:val="28"/>
          <w:highlight w:val="none"/>
          <w:lang w:eastAsia="zh-CN"/>
        </w:rPr>
        <w:t>1.满足《中华人民共和国政府采购法》第二十二条规定；</w:t>
      </w:r>
    </w:p>
    <w:p>
      <w:pPr>
        <w:pageBreakBefore w:val="0"/>
        <w:widowControl w:val="0"/>
        <w:kinsoku/>
        <w:wordWrap/>
        <w:overflowPunct/>
        <w:topLinePunct w:val="0"/>
        <w:bidi w:val="0"/>
        <w:snapToGrid/>
        <w:spacing w:line="560" w:lineRule="exact"/>
        <w:ind w:firstLine="540"/>
        <w:textAlignment w:val="auto"/>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2.落实政府采购政策需满足的资格要求：①符合《财政部国家发展改革委关于印发〈节能产品政府采购实施意见〉的通知》（财库〔2004〕185号）；②《关于促进残疾人就业政府采购政策的通知》(财库〔2017〕141号)；③《关于政府采购支持监狱企业发展有关问题的通知》(财库〔2014〕68号)；④《新疆维吾尔自治区政府采购促进中小企业发展管理实施办法》(新财规〔2021〕6号)等政府采购政策，按规定对报价给予评审优惠（注：1、以上政策不重复享受；2、如属于上述企业需按招标文件要求提供相关资料）。</w:t>
      </w:r>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eastAsia="zh-CN"/>
        </w:rPr>
        <w:t>3.本项目的特定资格要求：</w:t>
      </w:r>
      <w:r>
        <w:rPr>
          <w:rFonts w:hint="eastAsia" w:ascii="仿宋" w:hAnsi="仿宋" w:eastAsia="仿宋" w:cs="宋体"/>
          <w:sz w:val="28"/>
          <w:szCs w:val="28"/>
          <w:highlight w:val="none"/>
          <w:lang w:eastAsia="zh-CN"/>
        </w:rPr>
        <w:t>具备</w:t>
      </w:r>
      <w:r>
        <w:rPr>
          <w:rFonts w:hint="eastAsia" w:ascii="仿宋" w:hAnsi="仿宋" w:eastAsia="仿宋" w:cs="宋体"/>
          <w:sz w:val="28"/>
          <w:szCs w:val="28"/>
          <w:highlight w:val="none"/>
          <w:lang w:val="en-US" w:eastAsia="zh-CN"/>
        </w:rPr>
        <w:t>建筑工程</w:t>
      </w:r>
      <w:r>
        <w:rPr>
          <w:rFonts w:hint="eastAsia" w:ascii="仿宋" w:hAnsi="仿宋" w:eastAsia="仿宋" w:cs="宋体"/>
          <w:sz w:val="28"/>
          <w:szCs w:val="28"/>
          <w:highlight w:val="none"/>
          <w:lang w:eastAsia="zh-CN"/>
        </w:rPr>
        <w:t>施工总承包三级及以上（含三级）的资质，有安全生产许可证，并在人员、设备、资金等方面具有相应的施工能力，外省企业已办理进疆</w:t>
      </w:r>
      <w:r>
        <w:rPr>
          <w:rFonts w:hint="eastAsia" w:ascii="仿宋" w:hAnsi="仿宋" w:eastAsia="仿宋" w:cs="宋体"/>
          <w:sz w:val="28"/>
          <w:szCs w:val="28"/>
          <w:highlight w:val="none"/>
          <w:lang w:val="en-US" w:eastAsia="zh-CN"/>
        </w:rPr>
        <w:t>信息报送</w:t>
      </w:r>
      <w:r>
        <w:rPr>
          <w:rFonts w:hint="eastAsia" w:ascii="仿宋" w:hAnsi="仿宋" w:eastAsia="仿宋" w:cs="宋体"/>
          <w:sz w:val="28"/>
          <w:szCs w:val="28"/>
          <w:highlight w:val="none"/>
          <w:lang w:eastAsia="zh-CN"/>
        </w:rPr>
        <w:t>。项目经理须具备</w:t>
      </w:r>
      <w:r>
        <w:rPr>
          <w:rFonts w:hint="eastAsia" w:ascii="仿宋" w:hAnsi="仿宋" w:eastAsia="仿宋" w:cs="宋体"/>
          <w:sz w:val="28"/>
          <w:szCs w:val="28"/>
          <w:highlight w:val="none"/>
          <w:lang w:val="en-US" w:eastAsia="zh-CN"/>
        </w:rPr>
        <w:t>建筑工程</w:t>
      </w:r>
      <w:r>
        <w:rPr>
          <w:rFonts w:hint="eastAsia" w:ascii="仿宋" w:hAnsi="仿宋" w:eastAsia="仿宋" w:cs="宋体"/>
          <w:sz w:val="28"/>
          <w:szCs w:val="28"/>
          <w:highlight w:val="none"/>
          <w:lang w:eastAsia="zh-CN"/>
        </w:rPr>
        <w:t>专业</w:t>
      </w:r>
      <w:r>
        <w:rPr>
          <w:rFonts w:hint="eastAsia" w:ascii="仿宋" w:hAnsi="仿宋" w:eastAsia="仿宋" w:cs="宋体"/>
          <w:sz w:val="28"/>
          <w:szCs w:val="28"/>
          <w:highlight w:val="none"/>
          <w:lang w:val="en-US" w:eastAsia="zh-CN"/>
        </w:rPr>
        <w:t>二级建造师</w:t>
      </w:r>
      <w:r>
        <w:rPr>
          <w:rFonts w:hint="eastAsia" w:ascii="仿宋" w:hAnsi="仿宋" w:eastAsia="仿宋" w:cs="宋体"/>
          <w:sz w:val="28"/>
          <w:szCs w:val="28"/>
          <w:highlight w:val="none"/>
          <w:lang w:eastAsia="zh-CN"/>
        </w:rPr>
        <w:t>及以上（含</w:t>
      </w:r>
      <w:r>
        <w:rPr>
          <w:rFonts w:hint="eastAsia" w:ascii="仿宋" w:hAnsi="仿宋" w:eastAsia="仿宋" w:cs="宋体"/>
          <w:sz w:val="28"/>
          <w:szCs w:val="28"/>
          <w:highlight w:val="none"/>
          <w:lang w:val="en-US" w:eastAsia="zh-CN"/>
        </w:rPr>
        <w:t>二级</w:t>
      </w:r>
      <w:r>
        <w:rPr>
          <w:rFonts w:hint="eastAsia" w:ascii="仿宋" w:hAnsi="仿宋" w:eastAsia="仿宋" w:cs="宋体"/>
          <w:sz w:val="28"/>
          <w:szCs w:val="28"/>
          <w:highlight w:val="none"/>
          <w:lang w:eastAsia="zh-CN"/>
        </w:rPr>
        <w:t>）注册执业资格</w:t>
      </w:r>
      <w:r>
        <w:rPr>
          <w:rFonts w:hint="eastAsia" w:ascii="仿宋" w:hAnsi="仿宋" w:eastAsia="仿宋" w:cs="宋体"/>
          <w:sz w:val="28"/>
          <w:szCs w:val="28"/>
          <w:highlight w:val="none"/>
          <w:lang w:val="en-US" w:eastAsia="zh-CN"/>
        </w:rPr>
        <w:t>及有效的安全生产考核合格证书</w:t>
      </w:r>
      <w:r>
        <w:rPr>
          <w:rFonts w:hint="eastAsia" w:ascii="仿宋" w:hAnsi="仿宋" w:eastAsia="仿宋" w:cs="宋体"/>
          <w:sz w:val="28"/>
          <w:szCs w:val="28"/>
          <w:highlight w:val="none"/>
          <w:lang w:eastAsia="zh-CN"/>
        </w:rPr>
        <w:t>，且未担任其他在施建设工程项目的项目经理；与采购人存在利害关系可能影响公正性的单位，不得参加投标。单位负责人为同一人或存在控股、管理关系的不同单位，不得参加同一标段投标，否则，相关投标均无效</w:t>
      </w:r>
      <w:r>
        <w:rPr>
          <w:rFonts w:hint="eastAsia" w:ascii="仿宋" w:hAnsi="仿宋" w:eastAsia="仿宋" w:cs="宋体"/>
          <w:sz w:val="28"/>
          <w:szCs w:val="28"/>
          <w:highlight w:val="none"/>
          <w:lang w:val="en-US" w:eastAsia="zh-CN"/>
        </w:rPr>
        <w:t>。</w:t>
      </w:r>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4.投标企业在“信用中国”（www.creditchina.gov.cn）和中国政府采购网（www.ccgp.gov.cn）网站上未被列入失信被执行人、重大税收违法案件当事人名单以及政府采购严重违法失信行为记录名单。</w:t>
      </w:r>
    </w:p>
    <w:p>
      <w:pPr>
        <w:pStyle w:val="4"/>
        <w:pageBreakBefore w:val="0"/>
        <w:widowControl w:val="0"/>
        <w:kinsoku/>
        <w:wordWrap/>
        <w:overflowPunct/>
        <w:topLinePunct w:val="0"/>
        <w:bidi w:val="0"/>
        <w:snapToGrid/>
        <w:spacing w:line="560" w:lineRule="exact"/>
        <w:textAlignment w:val="auto"/>
        <w:rPr>
          <w:rFonts w:hint="eastAsia" w:ascii="黑体" w:hAnsi="黑体" w:eastAsia="黑体" w:cs="宋体"/>
          <w:b w:val="0"/>
          <w:sz w:val="28"/>
          <w:szCs w:val="28"/>
          <w:highlight w:val="none"/>
          <w:lang w:eastAsia="zh-CN"/>
        </w:rPr>
      </w:pPr>
      <w:bookmarkStart w:id="15" w:name="_Toc26780"/>
      <w:r>
        <w:rPr>
          <w:rFonts w:hint="eastAsia" w:ascii="黑体" w:hAnsi="黑体" w:cs="宋体"/>
          <w:b w:val="0"/>
          <w:sz w:val="28"/>
          <w:szCs w:val="28"/>
          <w:highlight w:val="none"/>
        </w:rPr>
        <w:t>三、获取</w:t>
      </w:r>
      <w:bookmarkEnd w:id="11"/>
      <w:bookmarkEnd w:id="12"/>
      <w:bookmarkEnd w:id="13"/>
      <w:bookmarkEnd w:id="14"/>
      <w:r>
        <w:rPr>
          <w:rFonts w:hint="eastAsia" w:ascii="黑体" w:hAnsi="黑体" w:cs="宋体"/>
          <w:b w:val="0"/>
          <w:sz w:val="28"/>
          <w:szCs w:val="28"/>
          <w:highlight w:val="none"/>
          <w:lang w:eastAsia="zh-CN"/>
        </w:rPr>
        <w:t>谈判文件</w:t>
      </w:r>
      <w:bookmarkEnd w:id="15"/>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3</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15</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3</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17</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lang w:val="en-US" w:eastAsia="zh-CN"/>
        </w:rPr>
        <w:t>10:00</w:t>
      </w:r>
      <w:r>
        <w:rPr>
          <w:rFonts w:hint="eastAsia" w:ascii="仿宋" w:hAnsi="仿宋" w:eastAsia="仿宋" w:cs="宋体"/>
          <w:sz w:val="28"/>
          <w:szCs w:val="28"/>
          <w:highlight w:val="none"/>
        </w:rPr>
        <w:t>至</w:t>
      </w:r>
      <w:r>
        <w:rPr>
          <w:rFonts w:hint="eastAsia" w:ascii="仿宋" w:hAnsi="仿宋" w:eastAsia="仿宋" w:cs="宋体"/>
          <w:sz w:val="28"/>
          <w:szCs w:val="28"/>
          <w:highlight w:val="none"/>
          <w:lang w:val="en-US" w:eastAsia="zh-CN"/>
        </w:rPr>
        <w:t>14:00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lang w:val="en-US" w:eastAsia="zh-CN"/>
        </w:rPr>
        <w:t>16:00</w:t>
      </w:r>
      <w:r>
        <w:rPr>
          <w:rFonts w:hint="eastAsia" w:ascii="仿宋" w:hAnsi="仿宋" w:eastAsia="仿宋" w:cs="宋体"/>
          <w:sz w:val="28"/>
          <w:szCs w:val="28"/>
          <w:highlight w:val="none"/>
        </w:rPr>
        <w:t>至</w:t>
      </w:r>
      <w:r>
        <w:rPr>
          <w:rFonts w:hint="eastAsia" w:ascii="仿宋" w:hAnsi="仿宋" w:eastAsia="仿宋" w:cs="宋体"/>
          <w:sz w:val="28"/>
          <w:szCs w:val="28"/>
          <w:highlight w:val="none"/>
          <w:lang w:val="en-US" w:eastAsia="zh-CN"/>
        </w:rPr>
        <w:t>19:30</w:t>
      </w:r>
      <w:r>
        <w:rPr>
          <w:rFonts w:hint="eastAsia" w:ascii="仿宋" w:hAnsi="仿宋" w:eastAsia="仿宋" w:cs="宋体"/>
          <w:sz w:val="28"/>
          <w:szCs w:val="28"/>
          <w:highlight w:val="none"/>
        </w:rPr>
        <w:t>（北京时间，法定节假日除外）</w:t>
      </w:r>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lang w:eastAsia="zh-CN"/>
        </w:rPr>
        <w:t>新疆鑫诚正昊项目咨询有限公司（新疆新疆阿勒泰地区阿勒泰市东风路2区将军城三期1栋）</w:t>
      </w:r>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方式：</w:t>
      </w:r>
      <w:r>
        <w:rPr>
          <w:rFonts w:hint="eastAsia" w:ascii="仿宋" w:hAnsi="仿宋" w:eastAsia="仿宋" w:cs="宋体"/>
          <w:sz w:val="28"/>
          <w:szCs w:val="28"/>
          <w:highlight w:val="none"/>
          <w:lang w:val="en-US" w:eastAsia="zh-CN"/>
        </w:rPr>
        <w:t>现场获取</w:t>
      </w:r>
      <w:r>
        <w:rPr>
          <w:rFonts w:hint="eastAsia" w:ascii="仿宋" w:hAnsi="仿宋" w:eastAsia="仿宋" w:cs="宋体"/>
          <w:sz w:val="28"/>
          <w:szCs w:val="28"/>
          <w:highlight w:val="none"/>
          <w:lang w:eastAsia="zh-CN"/>
        </w:rPr>
        <w:t>。</w:t>
      </w:r>
    </w:p>
    <w:p>
      <w:pPr>
        <w:pageBreakBefore w:val="0"/>
        <w:widowControl w:val="0"/>
        <w:kinsoku/>
        <w:wordWrap/>
        <w:overflowPunct/>
        <w:topLinePunct w:val="0"/>
        <w:bidi w:val="0"/>
        <w:snapToGrid/>
        <w:spacing w:line="560" w:lineRule="exact"/>
        <w:ind w:firstLine="540"/>
        <w:textAlignment w:val="auto"/>
        <w:rPr>
          <w:rFonts w:ascii="仿宋" w:hAnsi="仿宋" w:eastAsia="仿宋" w:cs="宋体"/>
          <w:sz w:val="28"/>
          <w:szCs w:val="28"/>
          <w:highlight w:val="none"/>
        </w:rPr>
      </w:pPr>
      <w:r>
        <w:rPr>
          <w:rFonts w:hint="eastAsia" w:ascii="仿宋" w:hAnsi="仿宋" w:eastAsia="仿宋" w:cs="宋体"/>
          <w:sz w:val="28"/>
          <w:szCs w:val="28"/>
          <w:highlight w:val="none"/>
        </w:rPr>
        <w:t>售价：</w:t>
      </w:r>
      <w:r>
        <w:rPr>
          <w:rFonts w:hint="eastAsia" w:ascii="仿宋" w:hAnsi="仿宋" w:eastAsia="仿宋" w:cs="宋体"/>
          <w:sz w:val="28"/>
          <w:szCs w:val="28"/>
          <w:highlight w:val="none"/>
          <w:lang w:val="en-US" w:eastAsia="zh-CN"/>
        </w:rPr>
        <w:t>300元/套（售后不退）</w:t>
      </w:r>
    </w:p>
    <w:p>
      <w:pPr>
        <w:pStyle w:val="4"/>
        <w:pageBreakBefore w:val="0"/>
        <w:widowControl w:val="0"/>
        <w:kinsoku/>
        <w:wordWrap/>
        <w:overflowPunct/>
        <w:topLinePunct w:val="0"/>
        <w:bidi w:val="0"/>
        <w:snapToGrid/>
        <w:spacing w:line="560" w:lineRule="exact"/>
        <w:textAlignment w:val="auto"/>
        <w:rPr>
          <w:rFonts w:ascii="黑体" w:hAnsi="黑体" w:cs="宋体"/>
          <w:b w:val="0"/>
          <w:sz w:val="28"/>
          <w:szCs w:val="28"/>
          <w:highlight w:val="none"/>
        </w:rPr>
      </w:pPr>
      <w:bookmarkStart w:id="16" w:name="_Toc28359005"/>
      <w:bookmarkStart w:id="17" w:name="_Toc28359082"/>
      <w:bookmarkStart w:id="18" w:name="_Toc35393793"/>
      <w:bookmarkStart w:id="19" w:name="_Toc15617"/>
      <w:bookmarkStart w:id="20" w:name="_Toc35393624"/>
      <w:r>
        <w:rPr>
          <w:rFonts w:hint="eastAsia" w:ascii="黑体" w:hAnsi="黑体" w:cs="宋体"/>
          <w:b w:val="0"/>
          <w:sz w:val="28"/>
          <w:szCs w:val="28"/>
          <w:highlight w:val="none"/>
        </w:rPr>
        <w:t>四、提交</w:t>
      </w:r>
      <w:bookmarkEnd w:id="16"/>
      <w:bookmarkEnd w:id="17"/>
      <w:r>
        <w:rPr>
          <w:rFonts w:hint="eastAsia" w:ascii="黑体" w:hAnsi="黑体" w:cs="宋体"/>
          <w:b w:val="0"/>
          <w:sz w:val="28"/>
          <w:szCs w:val="28"/>
          <w:highlight w:val="none"/>
          <w:lang w:eastAsia="zh-CN"/>
        </w:rPr>
        <w:t>响应文件</w:t>
      </w:r>
      <w:r>
        <w:rPr>
          <w:rFonts w:hint="eastAsia" w:ascii="黑体" w:hAnsi="黑体" w:cs="宋体"/>
          <w:b w:val="0"/>
          <w:sz w:val="28"/>
          <w:szCs w:val="28"/>
          <w:highlight w:val="none"/>
        </w:rPr>
        <w:t>截止时间、开标时间和地点</w:t>
      </w:r>
      <w:bookmarkEnd w:id="18"/>
      <w:bookmarkEnd w:id="19"/>
      <w:bookmarkEnd w:id="20"/>
    </w:p>
    <w:p>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bCs/>
          <w:sz w:val="28"/>
          <w:szCs w:val="28"/>
          <w:highlight w:val="none"/>
          <w:u w:val="single"/>
          <w:lang w:eastAsia="zh-CN"/>
        </w:rPr>
      </w:pPr>
      <w:r>
        <w:rPr>
          <w:rFonts w:hint="eastAsia" w:ascii="仿宋" w:hAnsi="仿宋" w:eastAsia="仿宋"/>
          <w:bCs/>
          <w:sz w:val="28"/>
          <w:szCs w:val="28"/>
          <w:highlight w:val="none"/>
          <w:u w:val="none"/>
          <w:lang w:val="en-US" w:eastAsia="zh-CN"/>
        </w:rPr>
        <w:t>时间：</w:t>
      </w:r>
      <w:r>
        <w:rPr>
          <w:rFonts w:hint="eastAsia" w:ascii="仿宋" w:hAnsi="仿宋" w:eastAsia="仿宋"/>
          <w:sz w:val="28"/>
          <w:szCs w:val="28"/>
          <w:highlight w:val="none"/>
          <w:u w:val="single"/>
          <w:lang w:val="en-US" w:eastAsia="zh-CN"/>
        </w:rPr>
        <w:t>2022</w:t>
      </w:r>
      <w:r>
        <w:rPr>
          <w:rFonts w:ascii="仿宋" w:hAnsi="仿宋" w:eastAsia="仿宋"/>
          <w:sz w:val="28"/>
          <w:szCs w:val="28"/>
          <w:highlight w:val="none"/>
          <w:u w:val="single"/>
        </w:rPr>
        <w:t xml:space="preserve"> </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3</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22</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bCs/>
          <w:sz w:val="28"/>
          <w:szCs w:val="28"/>
          <w:highlight w:val="none"/>
          <w:u w:val="single"/>
        </w:rPr>
        <w:t>（</w:t>
      </w:r>
      <w:r>
        <w:rPr>
          <w:rFonts w:hint="eastAsia" w:ascii="仿宋" w:hAnsi="仿宋" w:eastAsia="仿宋"/>
          <w:bCs/>
          <w:sz w:val="28"/>
          <w:szCs w:val="28"/>
          <w:highlight w:val="none"/>
        </w:rPr>
        <w:t>北京时间）</w:t>
      </w:r>
    </w:p>
    <w:p>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bCs/>
          <w:sz w:val="28"/>
          <w:szCs w:val="28"/>
          <w:highlight w:val="none"/>
          <w:u w:val="single"/>
          <w:lang w:val="en-US" w:eastAsia="zh-CN"/>
        </w:rPr>
      </w:pPr>
      <w:r>
        <w:rPr>
          <w:rFonts w:hint="eastAsia" w:ascii="仿宋" w:hAnsi="仿宋" w:eastAsia="仿宋"/>
          <w:sz w:val="28"/>
          <w:szCs w:val="28"/>
          <w:highlight w:val="none"/>
        </w:rPr>
        <w:t>地点：</w:t>
      </w:r>
      <w:r>
        <w:rPr>
          <w:rFonts w:hint="eastAsia" w:ascii="仿宋" w:hAnsi="仿宋" w:eastAsia="仿宋" w:cs="宋体"/>
          <w:sz w:val="28"/>
          <w:szCs w:val="28"/>
          <w:highlight w:val="none"/>
          <w:lang w:eastAsia="zh-CN"/>
        </w:rPr>
        <w:t>新疆鑫诚正昊项目咨询有限公司</w:t>
      </w:r>
      <w:r>
        <w:rPr>
          <w:rFonts w:hint="eastAsia" w:ascii="仿宋" w:hAnsi="仿宋" w:eastAsia="仿宋" w:cs="宋体"/>
          <w:sz w:val="28"/>
          <w:szCs w:val="28"/>
          <w:highlight w:val="none"/>
          <w:lang w:val="en-US" w:eastAsia="zh-CN"/>
        </w:rPr>
        <w:t>2</w:t>
      </w:r>
      <w:r>
        <w:rPr>
          <w:rFonts w:hint="eastAsia" w:ascii="仿宋" w:hAnsi="仿宋" w:eastAsia="仿宋"/>
          <w:sz w:val="28"/>
          <w:szCs w:val="28"/>
          <w:highlight w:val="none"/>
          <w:lang w:val="en-US" w:eastAsia="zh-CN"/>
        </w:rPr>
        <w:t>楼开标厅</w:t>
      </w:r>
    </w:p>
    <w:p>
      <w:pPr>
        <w:pStyle w:val="4"/>
        <w:pageBreakBefore w:val="0"/>
        <w:widowControl w:val="0"/>
        <w:numPr>
          <w:ilvl w:val="0"/>
          <w:numId w:val="1"/>
        </w:numPr>
        <w:kinsoku/>
        <w:wordWrap/>
        <w:overflowPunct/>
        <w:topLinePunct w:val="0"/>
        <w:bidi w:val="0"/>
        <w:snapToGrid/>
        <w:spacing w:line="560" w:lineRule="exact"/>
        <w:textAlignment w:val="auto"/>
        <w:rPr>
          <w:rFonts w:hint="eastAsia" w:ascii="黑体" w:hAnsi="黑体" w:cs="宋体"/>
          <w:b w:val="0"/>
          <w:sz w:val="28"/>
          <w:szCs w:val="28"/>
          <w:highlight w:val="none"/>
        </w:rPr>
      </w:pPr>
      <w:bookmarkStart w:id="21" w:name="_Toc28359007"/>
      <w:bookmarkStart w:id="22" w:name="_Toc35393794"/>
      <w:bookmarkStart w:id="23" w:name="_Toc23331"/>
      <w:bookmarkStart w:id="24" w:name="_Toc28359084"/>
      <w:bookmarkStart w:id="25" w:name="_Toc35393625"/>
      <w:r>
        <w:rPr>
          <w:rFonts w:hint="eastAsia" w:ascii="黑体" w:hAnsi="黑体" w:cs="宋体"/>
          <w:b w:val="0"/>
          <w:sz w:val="28"/>
          <w:szCs w:val="28"/>
          <w:highlight w:val="none"/>
        </w:rPr>
        <w:t>公告期限</w:t>
      </w:r>
      <w:bookmarkEnd w:id="21"/>
      <w:bookmarkEnd w:id="22"/>
      <w:bookmarkEnd w:id="23"/>
      <w:bookmarkEnd w:id="24"/>
      <w:bookmarkEnd w:id="25"/>
    </w:p>
    <w:p>
      <w:pPr>
        <w:pStyle w:val="4"/>
        <w:pageBreakBefore w:val="0"/>
        <w:widowControl w:val="0"/>
        <w:numPr>
          <w:ilvl w:val="0"/>
          <w:numId w:val="0"/>
        </w:numPr>
        <w:kinsoku/>
        <w:wordWrap/>
        <w:overflowPunct/>
        <w:topLinePunct w:val="0"/>
        <w:bidi w:val="0"/>
        <w:snapToGrid/>
        <w:spacing w:line="560" w:lineRule="exact"/>
        <w:ind w:firstLine="560" w:firstLineChars="200"/>
        <w:textAlignment w:val="auto"/>
        <w:rPr>
          <w:rFonts w:ascii="仿宋" w:hAnsi="仿宋" w:eastAsia="仿宋" w:cs="宋体"/>
          <w:b w:val="0"/>
          <w:bCs w:val="0"/>
          <w:kern w:val="0"/>
          <w:sz w:val="28"/>
          <w:szCs w:val="28"/>
          <w:highlight w:val="none"/>
        </w:rPr>
      </w:pPr>
      <w:bookmarkStart w:id="26" w:name="_Toc14975"/>
      <w:r>
        <w:rPr>
          <w:rFonts w:hint="eastAsia" w:ascii="仿宋" w:hAnsi="仿宋" w:eastAsia="仿宋" w:cs="宋体"/>
          <w:b w:val="0"/>
          <w:bCs w:val="0"/>
          <w:kern w:val="0"/>
          <w:sz w:val="28"/>
          <w:szCs w:val="28"/>
          <w:highlight w:val="none"/>
        </w:rPr>
        <w:t>自本公告发布之日起</w:t>
      </w:r>
      <w:r>
        <w:rPr>
          <w:rFonts w:hint="eastAsia" w:ascii="仿宋" w:hAnsi="仿宋" w:eastAsia="仿宋" w:cs="宋体"/>
          <w:b w:val="0"/>
          <w:bCs w:val="0"/>
          <w:kern w:val="0"/>
          <w:sz w:val="28"/>
          <w:szCs w:val="28"/>
          <w:highlight w:val="none"/>
          <w:lang w:val="en-US" w:eastAsia="zh-CN"/>
        </w:rPr>
        <w:t>3</w:t>
      </w:r>
      <w:r>
        <w:rPr>
          <w:rFonts w:hint="eastAsia" w:ascii="仿宋" w:hAnsi="仿宋" w:eastAsia="仿宋" w:cs="宋体"/>
          <w:b w:val="0"/>
          <w:bCs w:val="0"/>
          <w:kern w:val="0"/>
          <w:sz w:val="28"/>
          <w:szCs w:val="28"/>
          <w:highlight w:val="none"/>
        </w:rPr>
        <w:t>个工作日。</w:t>
      </w:r>
      <w:bookmarkEnd w:id="26"/>
    </w:p>
    <w:p>
      <w:pPr>
        <w:pStyle w:val="4"/>
        <w:pageBreakBefore w:val="0"/>
        <w:widowControl w:val="0"/>
        <w:numPr>
          <w:ilvl w:val="0"/>
          <w:numId w:val="2"/>
        </w:numPr>
        <w:kinsoku/>
        <w:wordWrap/>
        <w:overflowPunct/>
        <w:topLinePunct w:val="0"/>
        <w:bidi w:val="0"/>
        <w:snapToGrid/>
        <w:spacing w:line="560" w:lineRule="exact"/>
        <w:textAlignment w:val="auto"/>
        <w:rPr>
          <w:rFonts w:hint="eastAsia" w:ascii="仿宋" w:hAnsi="仿宋" w:eastAsia="仿宋" w:cs="宋体"/>
          <w:sz w:val="28"/>
          <w:szCs w:val="28"/>
          <w:highlight w:val="none"/>
        </w:rPr>
      </w:pPr>
      <w:bookmarkStart w:id="27" w:name="_Toc35393795"/>
      <w:bookmarkStart w:id="28" w:name="_Toc35393626"/>
      <w:bookmarkStart w:id="29" w:name="_Toc3092"/>
      <w:r>
        <w:rPr>
          <w:rFonts w:hint="eastAsia" w:ascii="黑体" w:hAnsi="黑体" w:cs="宋体"/>
          <w:b w:val="0"/>
          <w:sz w:val="28"/>
          <w:szCs w:val="28"/>
          <w:highlight w:val="none"/>
        </w:rPr>
        <w:t>其他补充事宜</w:t>
      </w:r>
      <w:bookmarkEnd w:id="27"/>
      <w:bookmarkEnd w:id="28"/>
      <w:bookmarkEnd w:id="29"/>
    </w:p>
    <w:p>
      <w:pPr>
        <w:pStyle w:val="4"/>
        <w:pageBreakBefore w:val="0"/>
        <w:widowControl w:val="0"/>
        <w:numPr>
          <w:ilvl w:val="0"/>
          <w:numId w:val="0"/>
        </w:numPr>
        <w:kinsoku/>
        <w:wordWrap/>
        <w:overflowPunct/>
        <w:topLinePunct w:val="0"/>
        <w:bidi w:val="0"/>
        <w:snapToGrid/>
        <w:spacing w:line="560" w:lineRule="exact"/>
        <w:ind w:firstLine="560" w:firstLineChars="200"/>
        <w:textAlignment w:val="auto"/>
        <w:rPr>
          <w:rFonts w:hint="eastAsia" w:ascii="仿宋" w:hAnsi="仿宋" w:eastAsia="仿宋" w:cs="宋体"/>
          <w:b w:val="0"/>
          <w:bCs w:val="0"/>
          <w:sz w:val="28"/>
          <w:szCs w:val="28"/>
          <w:highlight w:val="none"/>
          <w:lang w:val="en-US" w:eastAsia="zh-CN"/>
        </w:rPr>
      </w:pPr>
      <w:bookmarkStart w:id="30" w:name="_Toc12683"/>
      <w:r>
        <w:rPr>
          <w:rFonts w:hint="eastAsia" w:ascii="仿宋" w:hAnsi="仿宋" w:eastAsia="仿宋" w:cs="宋体"/>
          <w:b w:val="0"/>
          <w:bCs w:val="0"/>
          <w:sz w:val="28"/>
          <w:szCs w:val="28"/>
          <w:highlight w:val="none"/>
          <w:lang w:eastAsia="zh-CN"/>
        </w:rPr>
        <w:t>以下</w:t>
      </w:r>
      <w:r>
        <w:rPr>
          <w:rFonts w:hint="eastAsia" w:ascii="仿宋" w:hAnsi="仿宋" w:eastAsia="仿宋" w:cs="宋体"/>
          <w:b w:val="0"/>
          <w:bCs w:val="0"/>
          <w:sz w:val="28"/>
          <w:szCs w:val="28"/>
          <w:highlight w:val="none"/>
          <w:lang w:val="en-US" w:eastAsia="zh-CN"/>
        </w:rPr>
        <w:t>材料</w:t>
      </w:r>
      <w:r>
        <w:rPr>
          <w:rFonts w:hint="eastAsia" w:ascii="仿宋" w:hAnsi="仿宋" w:eastAsia="仿宋" w:cs="宋体"/>
          <w:b w:val="0"/>
          <w:bCs w:val="0"/>
          <w:sz w:val="28"/>
          <w:szCs w:val="28"/>
          <w:highlight w:val="none"/>
          <w:lang w:eastAsia="zh-CN"/>
        </w:rPr>
        <w:t>需提供原件和加盖投标人单位公章的复印件一式三份：①</w:t>
      </w:r>
      <w:r>
        <w:rPr>
          <w:rFonts w:hint="eastAsia" w:ascii="仿宋" w:hAnsi="仿宋" w:eastAsia="仿宋" w:cs="宋体"/>
          <w:b w:val="0"/>
          <w:bCs w:val="0"/>
          <w:sz w:val="28"/>
          <w:szCs w:val="28"/>
          <w:highlight w:val="none"/>
          <w:lang w:val="en-US" w:eastAsia="zh-CN"/>
        </w:rPr>
        <w:t>法定代表人证明和法定代表人身份证原件或法定代表人授权委托书原件及委托代理人身份证原件</w:t>
      </w:r>
      <w:r>
        <w:rPr>
          <w:rFonts w:hint="eastAsia" w:ascii="仿宋" w:hAnsi="仿宋" w:eastAsia="仿宋" w:cs="宋体"/>
          <w:b w:val="0"/>
          <w:bCs w:val="0"/>
          <w:sz w:val="28"/>
          <w:szCs w:val="28"/>
          <w:highlight w:val="none"/>
          <w:lang w:eastAsia="zh-CN"/>
        </w:rPr>
        <w:t>；②营业执照副本、资质证书</w:t>
      </w:r>
      <w:r>
        <w:rPr>
          <w:rFonts w:hint="eastAsia" w:ascii="仿宋" w:hAnsi="仿宋" w:eastAsia="仿宋" w:cs="宋体"/>
          <w:b w:val="0"/>
          <w:bCs w:val="0"/>
          <w:sz w:val="28"/>
          <w:szCs w:val="28"/>
          <w:highlight w:val="none"/>
          <w:lang w:val="en-US" w:eastAsia="zh-CN"/>
        </w:rPr>
        <w:t>及项目经理注册证书</w:t>
      </w:r>
      <w:r>
        <w:rPr>
          <w:rFonts w:hint="eastAsia" w:ascii="仿宋" w:hAnsi="仿宋" w:eastAsia="仿宋" w:cs="宋体"/>
          <w:b w:val="0"/>
          <w:bCs w:val="0"/>
          <w:sz w:val="28"/>
          <w:szCs w:val="28"/>
          <w:highlight w:val="none"/>
          <w:lang w:eastAsia="zh-CN"/>
        </w:rPr>
        <w:t>；③“信用中国”网站和中国政府采购网的查询结果的打印截图（查询日期不早于</w:t>
      </w:r>
      <w:r>
        <w:rPr>
          <w:rFonts w:hint="eastAsia" w:ascii="仿宋" w:hAnsi="仿宋" w:eastAsia="仿宋" w:cs="宋体"/>
          <w:b w:val="0"/>
          <w:bCs w:val="0"/>
          <w:sz w:val="28"/>
          <w:szCs w:val="28"/>
          <w:highlight w:val="none"/>
          <w:lang w:val="en-US" w:eastAsia="zh-CN"/>
        </w:rPr>
        <w:t>公告</w:t>
      </w:r>
      <w:r>
        <w:rPr>
          <w:rFonts w:hint="eastAsia" w:ascii="仿宋" w:hAnsi="仿宋" w:eastAsia="仿宋" w:cs="宋体"/>
          <w:b w:val="0"/>
          <w:bCs w:val="0"/>
          <w:sz w:val="28"/>
          <w:szCs w:val="28"/>
          <w:highlight w:val="none"/>
          <w:lang w:eastAsia="zh-CN"/>
        </w:rPr>
        <w:t>发布之日）</w:t>
      </w:r>
      <w:bookmarkEnd w:id="30"/>
      <w:r>
        <w:rPr>
          <w:rFonts w:hint="eastAsia" w:ascii="仿宋" w:hAnsi="仿宋" w:eastAsia="仿宋" w:cs="宋体"/>
          <w:b w:val="0"/>
          <w:bCs w:val="0"/>
          <w:sz w:val="28"/>
          <w:szCs w:val="28"/>
          <w:highlight w:val="none"/>
          <w:lang w:eastAsia="zh-CN"/>
        </w:rPr>
        <w:t>；</w:t>
      </w:r>
      <w:r>
        <w:rPr>
          <w:rFonts w:hint="eastAsia" w:ascii="仿宋" w:hAnsi="仿宋" w:eastAsia="仿宋" w:cs="宋体"/>
          <w:b w:val="0"/>
          <w:bCs w:val="0"/>
          <w:sz w:val="28"/>
          <w:szCs w:val="28"/>
          <w:highlight w:val="none"/>
          <w:lang w:val="en-US" w:eastAsia="zh-CN"/>
        </w:rPr>
        <w:t>④疆外企业须提供进疆企业信息登记报送及加盖投标单位公章。</w:t>
      </w:r>
    </w:p>
    <w:p>
      <w:pPr>
        <w:pStyle w:val="4"/>
        <w:pageBreakBefore w:val="0"/>
        <w:widowControl w:val="0"/>
        <w:numPr>
          <w:ilvl w:val="0"/>
          <w:numId w:val="2"/>
        </w:numPr>
        <w:kinsoku/>
        <w:wordWrap/>
        <w:overflowPunct/>
        <w:topLinePunct w:val="0"/>
        <w:bidi w:val="0"/>
        <w:snapToGrid/>
        <w:spacing w:line="560" w:lineRule="exact"/>
        <w:textAlignment w:val="auto"/>
        <w:rPr>
          <w:rFonts w:hint="eastAsia" w:ascii="黑体" w:hAnsi="黑体" w:cs="宋体"/>
          <w:b w:val="0"/>
          <w:bCs/>
          <w:sz w:val="28"/>
          <w:szCs w:val="28"/>
          <w:highlight w:val="none"/>
          <w:lang w:val="en-US" w:eastAsia="zh-CN"/>
        </w:rPr>
      </w:pPr>
      <w:r>
        <w:rPr>
          <w:rFonts w:hint="eastAsia" w:ascii="黑体" w:hAnsi="黑体" w:cs="宋体"/>
          <w:b w:val="0"/>
          <w:bCs/>
          <w:sz w:val="28"/>
          <w:szCs w:val="28"/>
          <w:highlight w:val="none"/>
        </w:rPr>
        <w:t>凡对本次采购提出询问，请按以下方式联系</w:t>
      </w:r>
    </w:p>
    <w:p>
      <w:pPr>
        <w:pageBreakBefore w:val="0"/>
        <w:widowControl w:val="0"/>
        <w:kinsoku/>
        <w:wordWrap/>
        <w:overflowPunct/>
        <w:topLinePunct w:val="0"/>
        <w:bidi w:val="0"/>
        <w:snapToGrid/>
        <w:spacing w:line="560" w:lineRule="exac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1.采购人信息</w:t>
      </w:r>
    </w:p>
    <w:p>
      <w:pPr>
        <w:pageBreakBefore w:val="0"/>
        <w:widowControl w:val="0"/>
        <w:kinsoku/>
        <w:wordWrap/>
        <w:overflowPunct/>
        <w:topLinePunct w:val="0"/>
        <w:bidi w:val="0"/>
        <w:snapToGrid/>
        <w:spacing w:line="560" w:lineRule="exact"/>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名 称：</w:t>
      </w:r>
      <w:r>
        <w:rPr>
          <w:rFonts w:hint="eastAsia" w:ascii="仿宋" w:hAnsi="仿宋" w:eastAsia="仿宋" w:cs="宋体"/>
          <w:sz w:val="28"/>
          <w:szCs w:val="28"/>
          <w:highlight w:val="none"/>
          <w:lang w:val="en-US" w:eastAsia="zh-CN"/>
        </w:rPr>
        <w:t>哈巴河县加依勒玛乡人民政府</w:t>
      </w:r>
    </w:p>
    <w:p>
      <w:pPr>
        <w:pageBreakBefore w:val="0"/>
        <w:widowControl w:val="0"/>
        <w:kinsoku/>
        <w:wordWrap/>
        <w:overflowPunct/>
        <w:topLinePunct w:val="0"/>
        <w:bidi w:val="0"/>
        <w:snapToGrid/>
        <w:spacing w:line="560" w:lineRule="exac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地址：</w:t>
      </w:r>
      <w:r>
        <w:rPr>
          <w:rFonts w:hint="eastAsia" w:ascii="仿宋" w:hAnsi="仿宋" w:eastAsia="仿宋" w:cs="宋体"/>
          <w:sz w:val="28"/>
          <w:szCs w:val="28"/>
          <w:highlight w:val="none"/>
          <w:lang w:val="en-US" w:eastAsia="zh-CN"/>
        </w:rPr>
        <w:t>哈巴河县</w:t>
      </w:r>
    </w:p>
    <w:p>
      <w:pPr>
        <w:pageBreakBefore w:val="0"/>
        <w:widowControl w:val="0"/>
        <w:kinsoku/>
        <w:wordWrap/>
        <w:overflowPunct/>
        <w:topLinePunct w:val="0"/>
        <w:bidi w:val="0"/>
        <w:snapToGrid/>
        <w:spacing w:line="560" w:lineRule="exact"/>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联系方式：</w:t>
      </w:r>
      <w:bookmarkStart w:id="31" w:name="_Toc28359086"/>
      <w:bookmarkStart w:id="32" w:name="_Toc28359009"/>
      <w:r>
        <w:rPr>
          <w:rFonts w:hint="eastAsia" w:ascii="仿宋" w:hAnsi="仿宋" w:eastAsia="仿宋" w:cs="宋体"/>
          <w:sz w:val="28"/>
          <w:szCs w:val="28"/>
          <w:highlight w:val="none"/>
        </w:rPr>
        <w:t>18290901317</w:t>
      </w:r>
    </w:p>
    <w:p>
      <w:pPr>
        <w:pageBreakBefore w:val="0"/>
        <w:widowControl w:val="0"/>
        <w:kinsoku/>
        <w:wordWrap/>
        <w:overflowPunct/>
        <w:topLinePunct w:val="0"/>
        <w:bidi w:val="0"/>
        <w:snapToGrid/>
        <w:spacing w:line="560" w:lineRule="exact"/>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2.采购代理机构信息</w:t>
      </w:r>
      <w:bookmarkEnd w:id="31"/>
      <w:bookmarkEnd w:id="32"/>
      <w:r>
        <w:rPr>
          <w:rFonts w:hint="eastAsia" w:ascii="仿宋" w:hAnsi="仿宋" w:eastAsia="仿宋" w:cs="宋体"/>
          <w:sz w:val="28"/>
          <w:szCs w:val="28"/>
          <w:highlight w:val="none"/>
          <w:lang w:val="en-US" w:eastAsia="zh-CN"/>
        </w:rPr>
        <w:t xml:space="preserve"> </w:t>
      </w:r>
    </w:p>
    <w:p>
      <w:pPr>
        <w:pageBreakBefore w:val="0"/>
        <w:widowControl w:val="0"/>
        <w:kinsoku/>
        <w:wordWrap/>
        <w:overflowPunct/>
        <w:topLinePunct w:val="0"/>
        <w:bidi w:val="0"/>
        <w:snapToGrid/>
        <w:spacing w:line="560" w:lineRule="exac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名</w:t>
      </w:r>
      <w:r>
        <w:rPr>
          <w:rFonts w:hint="eastAsia" w:ascii="仿宋" w:hAnsi="仿宋" w:eastAsia="仿宋" w:cs="宋体"/>
          <w:sz w:val="28"/>
          <w:szCs w:val="28"/>
          <w:highlight w:val="none"/>
          <w:lang w:val="en-US" w:eastAsia="zh-CN"/>
        </w:rPr>
        <w:t xml:space="preserve"> </w:t>
      </w:r>
      <w:r>
        <w:rPr>
          <w:rFonts w:hint="eastAsia" w:ascii="仿宋" w:hAnsi="仿宋" w:eastAsia="仿宋" w:cs="宋体"/>
          <w:sz w:val="28"/>
          <w:szCs w:val="28"/>
          <w:highlight w:val="none"/>
        </w:rPr>
        <w:t xml:space="preserve"> 称：　</w:t>
      </w:r>
      <w:r>
        <w:rPr>
          <w:rFonts w:hint="eastAsia" w:ascii="仿宋" w:hAnsi="仿宋" w:eastAsia="仿宋" w:cs="宋体"/>
          <w:sz w:val="28"/>
          <w:szCs w:val="28"/>
          <w:highlight w:val="none"/>
          <w:lang w:val="en-US" w:eastAsia="zh-CN"/>
        </w:rPr>
        <w:t>新疆鑫诚正昊项目咨询有限公司</w:t>
      </w:r>
      <w:r>
        <w:rPr>
          <w:rFonts w:hint="eastAsia" w:ascii="仿宋" w:hAnsi="仿宋" w:eastAsia="仿宋" w:cs="宋体"/>
          <w:sz w:val="28"/>
          <w:szCs w:val="28"/>
          <w:highlight w:val="none"/>
        </w:rPr>
        <w:t>　</w:t>
      </w:r>
    </w:p>
    <w:p>
      <w:pPr>
        <w:pageBreakBefore w:val="0"/>
        <w:widowControl w:val="0"/>
        <w:kinsoku/>
        <w:wordWrap/>
        <w:overflowPunct/>
        <w:topLinePunct w:val="0"/>
        <w:bidi w:val="0"/>
        <w:snapToGrid/>
        <w:spacing w:line="560" w:lineRule="exact"/>
        <w:textAlignment w:val="auto"/>
        <w:rPr>
          <w:rFonts w:hint="eastAsia" w:ascii="仿宋" w:hAnsi="仿宋" w:eastAsia="仿宋" w:cs="宋体"/>
          <w:sz w:val="28"/>
          <w:szCs w:val="28"/>
          <w:highlight w:val="none"/>
          <w:lang w:val="en-US"/>
        </w:rPr>
      </w:pPr>
      <w:r>
        <w:rPr>
          <w:rFonts w:hint="eastAsia" w:ascii="仿宋" w:hAnsi="仿宋" w:eastAsia="仿宋" w:cs="宋体"/>
          <w:sz w:val="28"/>
          <w:szCs w:val="28"/>
          <w:highlight w:val="none"/>
        </w:rPr>
        <w:t>地　址：</w:t>
      </w:r>
      <w:r>
        <w:rPr>
          <w:rFonts w:hint="eastAsia" w:ascii="仿宋" w:hAnsi="仿宋" w:eastAsia="仿宋" w:cs="宋体"/>
          <w:sz w:val="28"/>
          <w:szCs w:val="28"/>
          <w:highlight w:val="none"/>
          <w:lang w:val="en-US" w:eastAsia="zh-CN"/>
        </w:rPr>
        <w:t xml:space="preserve"> </w:t>
      </w:r>
      <w:r>
        <w:rPr>
          <w:rFonts w:hint="eastAsia" w:ascii="仿宋" w:hAnsi="仿宋" w:eastAsia="仿宋" w:cs="宋体"/>
          <w:sz w:val="28"/>
          <w:szCs w:val="28"/>
          <w:highlight w:val="none"/>
          <w:lang w:eastAsia="zh-CN"/>
        </w:rPr>
        <w:t>新疆阿勒泰地区阿勒泰市东风路2区将军城三期1栋</w:t>
      </w:r>
    </w:p>
    <w:p>
      <w:pPr>
        <w:pageBreakBefore w:val="0"/>
        <w:widowControl w:val="0"/>
        <w:kinsoku/>
        <w:wordWrap/>
        <w:overflowPunct/>
        <w:topLinePunct w:val="0"/>
        <w:bidi w:val="0"/>
        <w:snapToGrid/>
        <w:spacing w:line="560" w:lineRule="exact"/>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联系方式：</w:t>
      </w:r>
      <w:bookmarkStart w:id="33" w:name="_Toc28359010"/>
      <w:bookmarkStart w:id="34" w:name="_Toc28359087"/>
      <w:r>
        <w:rPr>
          <w:rFonts w:hint="eastAsia" w:ascii="仿宋" w:hAnsi="仿宋" w:eastAsia="仿宋" w:cs="宋体"/>
          <w:sz w:val="28"/>
          <w:szCs w:val="28"/>
          <w:highlight w:val="none"/>
          <w:lang w:val="en-US" w:eastAsia="zh-CN"/>
        </w:rPr>
        <w:t>0906-6265016</w:t>
      </w:r>
    </w:p>
    <w:p>
      <w:pPr>
        <w:pageBreakBefore w:val="0"/>
        <w:widowControl w:val="0"/>
        <w:kinsoku/>
        <w:wordWrap/>
        <w:overflowPunct/>
        <w:topLinePunct w:val="0"/>
        <w:bidi w:val="0"/>
        <w:snapToGrid/>
        <w:spacing w:line="560" w:lineRule="exac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3.项目联系方式</w:t>
      </w:r>
      <w:bookmarkEnd w:id="33"/>
      <w:bookmarkEnd w:id="34"/>
    </w:p>
    <w:p>
      <w:pPr>
        <w:pageBreakBefore w:val="0"/>
        <w:widowControl w:val="0"/>
        <w:kinsoku/>
        <w:wordWrap/>
        <w:overflowPunct/>
        <w:topLinePunct w:val="0"/>
        <w:bidi w:val="0"/>
        <w:snapToGrid/>
        <w:spacing w:line="560" w:lineRule="exact"/>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项目联系人：</w:t>
      </w:r>
      <w:r>
        <w:rPr>
          <w:rFonts w:hint="eastAsia" w:ascii="仿宋" w:hAnsi="仿宋" w:eastAsia="仿宋" w:cs="宋体"/>
          <w:sz w:val="28"/>
          <w:szCs w:val="28"/>
          <w:highlight w:val="none"/>
          <w:lang w:val="en-US" w:eastAsia="zh-CN"/>
        </w:rPr>
        <w:t>陈慧</w:t>
      </w:r>
    </w:p>
    <w:p>
      <w:pPr>
        <w:pageBreakBefore w:val="0"/>
        <w:widowControl w:val="0"/>
        <w:kinsoku/>
        <w:wordWrap/>
        <w:overflowPunct/>
        <w:topLinePunct w:val="0"/>
        <w:bidi w:val="0"/>
        <w:snapToGrid/>
        <w:spacing w:line="560" w:lineRule="exact"/>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电　话：</w:t>
      </w:r>
      <w:r>
        <w:rPr>
          <w:rFonts w:hint="eastAsia" w:ascii="仿宋" w:hAnsi="仿宋" w:eastAsia="仿宋" w:cs="宋体"/>
          <w:sz w:val="28"/>
          <w:szCs w:val="28"/>
          <w:highlight w:val="none"/>
          <w:lang w:val="en-US" w:eastAsia="zh-CN"/>
        </w:rPr>
        <w:t>18399283953</w:t>
      </w:r>
    </w:p>
    <w:p>
      <w:pPr>
        <w:rPr>
          <w:highlight w:val="none"/>
        </w:rPr>
      </w:pPr>
    </w:p>
    <w:bookmarkEnd w:id="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B914DB"/>
    <w:multiLevelType w:val="singleLevel"/>
    <w:tmpl w:val="D0B914DB"/>
    <w:lvl w:ilvl="0" w:tentative="0">
      <w:start w:val="5"/>
      <w:numFmt w:val="chineseCounting"/>
      <w:suff w:val="nothing"/>
      <w:lvlText w:val="%1、"/>
      <w:lvlJc w:val="left"/>
      <w:rPr>
        <w:rFonts w:hint="eastAsia"/>
      </w:rPr>
    </w:lvl>
  </w:abstractNum>
  <w:abstractNum w:abstractNumId="1">
    <w:nsid w:val="F2FBCD61"/>
    <w:multiLevelType w:val="singleLevel"/>
    <w:tmpl w:val="F2FBCD61"/>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A698E"/>
    <w:rsid w:val="040000C7"/>
    <w:rsid w:val="05945D8A"/>
    <w:rsid w:val="0FB51D65"/>
    <w:rsid w:val="108856CC"/>
    <w:rsid w:val="132F62D2"/>
    <w:rsid w:val="147A17CF"/>
    <w:rsid w:val="15BC60DC"/>
    <w:rsid w:val="1A625EFE"/>
    <w:rsid w:val="200C3C23"/>
    <w:rsid w:val="21C10A3D"/>
    <w:rsid w:val="25257535"/>
    <w:rsid w:val="27331DC4"/>
    <w:rsid w:val="29771B1F"/>
    <w:rsid w:val="2BC22E41"/>
    <w:rsid w:val="30370935"/>
    <w:rsid w:val="30E56A4B"/>
    <w:rsid w:val="33274478"/>
    <w:rsid w:val="38A845CF"/>
    <w:rsid w:val="3A4D6EBA"/>
    <w:rsid w:val="3A5B3985"/>
    <w:rsid w:val="463A698E"/>
    <w:rsid w:val="491F5EC6"/>
    <w:rsid w:val="4C473710"/>
    <w:rsid w:val="4F794C02"/>
    <w:rsid w:val="50744D49"/>
    <w:rsid w:val="56C41E5B"/>
    <w:rsid w:val="5952622B"/>
    <w:rsid w:val="60C9516E"/>
    <w:rsid w:val="61A82AA5"/>
    <w:rsid w:val="62966DA1"/>
    <w:rsid w:val="62CD771F"/>
    <w:rsid w:val="64B91C66"/>
    <w:rsid w:val="66342B59"/>
    <w:rsid w:val="6C555E48"/>
    <w:rsid w:val="6CD72490"/>
    <w:rsid w:val="6F7741CF"/>
    <w:rsid w:val="731939CD"/>
    <w:rsid w:val="74B4735B"/>
    <w:rsid w:val="75B55338"/>
    <w:rsid w:val="762A6E7D"/>
    <w:rsid w:val="777A05E8"/>
    <w:rsid w:val="7D9237A6"/>
    <w:rsid w:val="7EE74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2021-10-20T04:15:00Z</dcterms:created>
  <dc:creator>NTKO</dc:creator>
  <cp:lastModifiedBy>青柠_ღ</cp:lastModifiedBy>
  <dcterms:modified xsi:type="dcterms:W3CDTF">2022-03-14T05:57:23Z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3CE84113EDAA4501BC63CD4D490D7333</vt:lpwstr>
  </property>
</Properties>
</file>