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29"/>
              <w:jc w:val="center"/>
              <w:rPr>
                <w:rFonts w:hint="eastAsia" w:ascii="仿宋" w:hAnsi="仿宋" w:eastAsia="仿宋" w:cs="仿宋"/>
                <w:color w:val="auto"/>
                <w:spacing w:val="0"/>
                <w:w w:val="100"/>
                <w:position w:val="0"/>
                <w:sz w:val="20"/>
                <w:lang w:eastAsia="zh-CN"/>
              </w:rPr>
            </w:pPr>
            <w:r>
              <w:rPr>
                <w:rFonts w:hint="eastAsia" w:ascii="仿宋" w:hAnsi="仿宋" w:eastAsia="仿宋" w:cs="仿宋"/>
                <w:color w:val="auto"/>
                <w:spacing w:val="0"/>
                <w:w w:val="100"/>
                <w:position w:val="0"/>
                <w:sz w:val="20"/>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1"/>
                          <a:stretch>
                            <a:fillRect/>
                          </a:stretch>
                        </pic:blipFill>
                        <pic:spPr>
                          <a:xfrm>
                            <a:off x="0" y="0"/>
                            <a:ext cx="540385" cy="316230"/>
                          </a:xfrm>
                          <a:prstGeom prst="rect">
                            <a:avLst/>
                          </a:prstGeom>
                        </pic:spPr>
                      </pic:pic>
                    </a:graphicData>
                  </a:graphic>
                </wp:anchor>
              </w:drawing>
            </w:r>
          </w:p>
        </w:tc>
        <w:tc>
          <w:tcPr>
            <w:tcW w:w="4601" w:type="dxa"/>
          </w:tcPr>
          <w:p>
            <w:pPr>
              <w:pStyle w:val="29"/>
              <w:spacing w:before="23"/>
              <w:ind w:left="44" w:right="141"/>
              <w:jc w:val="center"/>
              <w:rPr>
                <w:rFonts w:hint="eastAsia" w:ascii="仿宋" w:hAnsi="仿宋" w:eastAsia="仿宋" w:cs="仿宋"/>
                <w:b/>
                <w:color w:val="auto"/>
                <w:spacing w:val="0"/>
                <w:w w:val="100"/>
                <w:position w:val="0"/>
                <w:sz w:val="24"/>
              </w:rPr>
            </w:pPr>
            <w:r>
              <w:rPr>
                <w:rFonts w:hint="eastAsia" w:ascii="仿宋" w:hAnsi="仿宋" w:eastAsia="仿宋" w:cs="仿宋"/>
                <w:b/>
                <w:color w:val="auto"/>
                <w:spacing w:val="0"/>
                <w:w w:val="100"/>
                <w:position w:val="0"/>
                <w:sz w:val="24"/>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仿宋" w:hAnsi="仿宋" w:eastAsia="仿宋" w:cs="仿宋"/>
                <w:color w:val="auto"/>
                <w:spacing w:val="0"/>
                <w:w w:val="100"/>
                <w:position w:val="0"/>
                <w:sz w:val="2"/>
                <w:szCs w:val="2"/>
              </w:rPr>
            </w:pPr>
          </w:p>
        </w:tc>
        <w:tc>
          <w:tcPr>
            <w:tcW w:w="4601" w:type="dxa"/>
          </w:tcPr>
          <w:p>
            <w:pPr>
              <w:pStyle w:val="29"/>
              <w:spacing w:before="10" w:line="200" w:lineRule="exact"/>
              <w:ind w:left="134" w:right="141"/>
              <w:jc w:val="center"/>
              <w:rPr>
                <w:rFonts w:hint="eastAsia" w:ascii="仿宋" w:hAnsi="仿宋" w:eastAsia="仿宋" w:cs="仿宋"/>
                <w:b/>
                <w:color w:val="auto"/>
                <w:spacing w:val="0"/>
                <w:w w:val="100"/>
                <w:position w:val="0"/>
                <w:sz w:val="18"/>
              </w:rPr>
            </w:pPr>
            <w:r>
              <w:rPr>
                <w:rFonts w:hint="eastAsia" w:ascii="仿宋" w:hAnsi="仿宋" w:eastAsia="仿宋" w:cs="仿宋"/>
                <w:b/>
                <w:color w:val="auto"/>
                <w:spacing w:val="0"/>
                <w:w w:val="100"/>
                <w:position w:val="0"/>
                <w:sz w:val="18"/>
              </w:rPr>
              <w:t>Xinjiang huaheng huixin engineering project management co., ltd</w:t>
            </w:r>
          </w:p>
        </w:tc>
      </w:tr>
    </w:tbl>
    <w:p>
      <w:pPr>
        <w:pStyle w:val="2"/>
        <w:rPr>
          <w:rFonts w:hint="eastAsia" w:ascii="仿宋" w:hAnsi="仿宋" w:eastAsia="仿宋" w:cs="仿宋"/>
          <w:color w:val="auto"/>
          <w:spacing w:val="0"/>
          <w:w w:val="100"/>
          <w:position w:val="0"/>
          <w:sz w:val="20"/>
        </w:rPr>
      </w:pPr>
    </w:p>
    <w:p>
      <w:pPr>
        <w:pStyle w:val="2"/>
        <w:spacing w:before="1"/>
        <w:rPr>
          <w:rFonts w:hint="eastAsia" w:ascii="仿宋" w:hAnsi="仿宋" w:eastAsia="仿宋" w:cs="仿宋"/>
          <w:b/>
          <w:color w:val="auto"/>
          <w:spacing w:val="0"/>
          <w:w w:val="100"/>
          <w:position w:val="0"/>
          <w:sz w:val="144"/>
          <w:szCs w:val="28"/>
        </w:rPr>
      </w:pPr>
    </w:p>
    <w:p>
      <w:pPr>
        <w:spacing w:before="0"/>
        <w:ind w:left="128" w:right="14" w:firstLine="0"/>
        <w:jc w:val="center"/>
        <w:rPr>
          <w:rFonts w:hint="eastAsia" w:ascii="仿宋" w:hAnsi="仿宋" w:eastAsia="仿宋" w:cs="仿宋"/>
          <w:b/>
          <w:bCs w:val="0"/>
          <w:color w:val="auto"/>
          <w:spacing w:val="0"/>
          <w:w w:val="100"/>
          <w:position w:val="0"/>
          <w:sz w:val="108"/>
          <w:szCs w:val="108"/>
        </w:rPr>
      </w:pPr>
      <w:r>
        <w:rPr>
          <w:rFonts w:hint="eastAsia" w:ascii="仿宋" w:hAnsi="仿宋" w:eastAsia="仿宋" w:cs="仿宋"/>
          <w:b/>
          <w:bCs w:val="0"/>
          <w:color w:val="auto"/>
          <w:spacing w:val="0"/>
          <w:w w:val="100"/>
          <w:position w:val="0"/>
          <w:sz w:val="108"/>
          <w:szCs w:val="108"/>
        </w:rPr>
        <w:t>竞争性</w:t>
      </w:r>
      <w:r>
        <w:rPr>
          <w:rFonts w:hint="eastAsia" w:cs="仿宋"/>
          <w:b/>
          <w:bCs w:val="0"/>
          <w:color w:val="auto"/>
          <w:spacing w:val="0"/>
          <w:w w:val="100"/>
          <w:position w:val="0"/>
          <w:sz w:val="108"/>
          <w:szCs w:val="108"/>
          <w:lang w:val="en-US" w:eastAsia="zh-CN"/>
        </w:rPr>
        <w:t>磋商</w:t>
      </w:r>
      <w:r>
        <w:rPr>
          <w:rFonts w:hint="eastAsia" w:ascii="仿宋" w:hAnsi="仿宋" w:eastAsia="仿宋" w:cs="仿宋"/>
          <w:b/>
          <w:bCs w:val="0"/>
          <w:color w:val="auto"/>
          <w:spacing w:val="0"/>
          <w:w w:val="100"/>
          <w:position w:val="0"/>
          <w:sz w:val="108"/>
          <w:szCs w:val="108"/>
        </w:rPr>
        <w:t>文件</w:t>
      </w:r>
    </w:p>
    <w:p>
      <w:pPr>
        <w:pStyle w:val="5"/>
        <w:spacing w:before="1" w:line="364" w:lineRule="auto"/>
        <w:ind w:right="1127"/>
        <w:jc w:val="both"/>
        <w:outlineLvl w:val="9"/>
        <w:rPr>
          <w:rFonts w:hint="eastAsia" w:ascii="仿宋" w:hAnsi="仿宋" w:eastAsia="仿宋" w:cs="仿宋"/>
          <w:color w:val="auto"/>
          <w:spacing w:val="0"/>
          <w:w w:val="100"/>
          <w:position w:val="0"/>
        </w:rPr>
      </w:pPr>
    </w:p>
    <w:p>
      <w:pPr>
        <w:rPr>
          <w:rFonts w:hint="eastAsia"/>
          <w:color w:val="auto"/>
        </w:rPr>
      </w:pPr>
    </w:p>
    <w:p>
      <w:pPr>
        <w:keepNext w:val="0"/>
        <w:keepLines w:val="0"/>
        <w:pageBreakBefore w:val="0"/>
        <w:widowControl w:val="0"/>
        <w:kinsoku/>
        <w:wordWrap/>
        <w:overflowPunct/>
        <w:topLinePunct w:val="0"/>
        <w:autoSpaceDE w:val="0"/>
        <w:autoSpaceDN w:val="0"/>
        <w:bidi w:val="0"/>
        <w:adjustRightInd/>
        <w:snapToGrid/>
        <w:spacing w:before="212" w:after="0" w:line="240" w:lineRule="auto"/>
        <w:ind w:left="1964" w:leftChars="254" w:right="0" w:hanging="1405" w:hangingChars="500"/>
        <w:jc w:val="left"/>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项目名称：</w:t>
      </w:r>
      <w:r>
        <w:rPr>
          <w:rFonts w:hint="eastAsia" w:ascii="仿宋" w:hAnsi="仿宋" w:eastAsia="仿宋" w:cs="仿宋"/>
          <w:b/>
          <w:color w:val="auto"/>
          <w:spacing w:val="0"/>
          <w:w w:val="100"/>
          <w:position w:val="0"/>
          <w:sz w:val="28"/>
          <w:szCs w:val="28"/>
          <w:highlight w:val="none"/>
          <w:lang w:eastAsia="zh-CN"/>
        </w:rPr>
        <w:t>新疆维吾尔自治区第二济困医院(新疆维吾尔自治区第五人民医院)职工营养餐厅矿泉水、饮料类和一次性用品</w:t>
      </w:r>
      <w:r>
        <w:rPr>
          <w:rFonts w:hint="eastAsia" w:ascii="仿宋" w:hAnsi="仿宋" w:eastAsia="仿宋" w:cs="仿宋"/>
          <w:b/>
          <w:color w:val="auto"/>
          <w:spacing w:val="0"/>
          <w:w w:val="100"/>
          <w:position w:val="0"/>
          <w:sz w:val="28"/>
          <w:szCs w:val="28"/>
          <w:highlight w:val="none"/>
          <w:lang w:val="en-US" w:eastAsia="zh-CN"/>
        </w:rPr>
        <w:t>供货商</w:t>
      </w:r>
      <w:r>
        <w:rPr>
          <w:rFonts w:hint="eastAsia" w:ascii="仿宋" w:hAnsi="仿宋" w:eastAsia="仿宋" w:cs="仿宋"/>
          <w:b/>
          <w:color w:val="auto"/>
          <w:spacing w:val="0"/>
          <w:w w:val="100"/>
          <w:position w:val="0"/>
          <w:sz w:val="28"/>
          <w:szCs w:val="28"/>
          <w:highlight w:val="none"/>
          <w:lang w:eastAsia="zh-CN"/>
        </w:rPr>
        <w:t>采购项目</w:t>
      </w:r>
    </w:p>
    <w:p>
      <w:pPr>
        <w:keepNext w:val="0"/>
        <w:keepLines w:val="0"/>
        <w:pageBreakBefore w:val="0"/>
        <w:widowControl w:val="0"/>
        <w:kinsoku/>
        <w:wordWrap/>
        <w:overflowPunct/>
        <w:topLinePunct w:val="0"/>
        <w:autoSpaceDE w:val="0"/>
        <w:autoSpaceDN w:val="0"/>
        <w:bidi w:val="0"/>
        <w:adjustRightInd/>
        <w:snapToGrid/>
        <w:spacing w:before="212" w:after="0" w:line="240" w:lineRule="auto"/>
        <w:ind w:left="0" w:leftChars="0" w:right="0" w:firstLine="562" w:firstLineChars="200"/>
        <w:jc w:val="left"/>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项目编号：Hhhx-2206-Dejk001</w:t>
      </w:r>
    </w:p>
    <w:p>
      <w:pPr>
        <w:pStyle w:val="2"/>
        <w:rPr>
          <w:rFonts w:hint="eastAsia" w:ascii="仿宋" w:hAnsi="仿宋" w:eastAsia="仿宋" w:cs="仿宋"/>
          <w:b/>
          <w:color w:val="auto"/>
          <w:spacing w:val="0"/>
          <w:w w:val="100"/>
          <w:position w:val="0"/>
          <w:sz w:val="28"/>
          <w:szCs w:val="28"/>
        </w:rPr>
      </w:pPr>
    </w:p>
    <w:p>
      <w:pPr>
        <w:pStyle w:val="2"/>
        <w:rPr>
          <w:rFonts w:hint="eastAsia" w:ascii="仿宋" w:hAnsi="仿宋" w:eastAsia="仿宋" w:cs="仿宋"/>
          <w:b/>
          <w:color w:val="auto"/>
          <w:spacing w:val="0"/>
          <w:w w:val="100"/>
          <w:position w:val="0"/>
          <w:sz w:val="28"/>
          <w:szCs w:val="28"/>
        </w:rPr>
      </w:pPr>
    </w:p>
    <w:p>
      <w:pPr>
        <w:pStyle w:val="26"/>
        <w:rPr>
          <w:rFonts w:hint="eastAsia" w:ascii="仿宋" w:hAnsi="仿宋" w:eastAsia="仿宋" w:cs="仿宋"/>
          <w:b/>
          <w:color w:val="auto"/>
          <w:spacing w:val="0"/>
          <w:w w:val="100"/>
          <w:position w:val="0"/>
          <w:sz w:val="28"/>
          <w:szCs w:val="28"/>
        </w:rPr>
      </w:pPr>
    </w:p>
    <w:p>
      <w:pPr>
        <w:pStyle w:val="26"/>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pStyle w:val="15"/>
        <w:rPr>
          <w:rFonts w:hint="eastAsia" w:ascii="仿宋" w:hAnsi="仿宋" w:eastAsia="仿宋" w:cs="仿宋"/>
          <w:b/>
          <w:color w:val="auto"/>
          <w:spacing w:val="0"/>
          <w:w w:val="100"/>
          <w:position w:val="0"/>
          <w:sz w:val="28"/>
          <w:szCs w:val="28"/>
        </w:rPr>
      </w:pPr>
    </w:p>
    <w:p>
      <w:pPr>
        <w:spacing w:before="212" w:line="360" w:lineRule="auto"/>
        <w:ind w:right="0"/>
        <w:jc w:val="center"/>
        <w:rPr>
          <w:rFonts w:hint="eastAsia" w:ascii="仿宋" w:hAnsi="仿宋" w:eastAsia="仿宋" w:cs="仿宋"/>
          <w:b/>
          <w:color w:val="auto"/>
          <w:spacing w:val="0"/>
          <w:w w:val="100"/>
          <w:position w:val="0"/>
          <w:sz w:val="28"/>
          <w:szCs w:val="28"/>
          <w:u w:val="single"/>
          <w:lang w:eastAsia="zh-CN"/>
        </w:rPr>
      </w:pPr>
      <w:r>
        <w:rPr>
          <w:rFonts w:hint="eastAsia" w:ascii="仿宋" w:hAnsi="仿宋" w:eastAsia="仿宋" w:cs="仿宋"/>
          <w:b/>
          <w:color w:val="auto"/>
          <w:spacing w:val="0"/>
          <w:w w:val="100"/>
          <w:position w:val="0"/>
          <w:sz w:val="28"/>
          <w:szCs w:val="28"/>
        </w:rPr>
        <w:t>采购人</w:t>
      </w:r>
      <w:r>
        <w:rPr>
          <w:rFonts w:hint="eastAsia" w:ascii="仿宋" w:hAnsi="仿宋" w:eastAsia="仿宋" w:cs="仿宋"/>
          <w:b/>
          <w:color w:val="auto"/>
          <w:spacing w:val="0"/>
          <w:w w:val="100"/>
          <w:position w:val="0"/>
          <w:sz w:val="28"/>
          <w:szCs w:val="28"/>
          <w:lang w:eastAsia="zh-CN"/>
        </w:rPr>
        <w:t>：</w:t>
      </w:r>
      <w:r>
        <w:rPr>
          <w:rFonts w:hint="eastAsia" w:ascii="仿宋" w:hAnsi="仿宋" w:eastAsia="仿宋" w:cs="仿宋"/>
          <w:b/>
          <w:color w:val="auto"/>
          <w:spacing w:val="0"/>
          <w:w w:val="100"/>
          <w:position w:val="0"/>
          <w:sz w:val="28"/>
          <w:szCs w:val="28"/>
          <w:u w:val="single"/>
          <w:lang w:eastAsia="zh-CN"/>
        </w:rPr>
        <w:t>新疆维吾尔自治区第二济困医院</w:t>
      </w:r>
    </w:p>
    <w:p>
      <w:pPr>
        <w:spacing w:before="212" w:line="360" w:lineRule="auto"/>
        <w:ind w:right="0"/>
        <w:jc w:val="center"/>
        <w:rPr>
          <w:rFonts w:hint="eastAsia" w:ascii="仿宋" w:hAnsi="仿宋" w:eastAsia="仿宋" w:cs="仿宋"/>
          <w:b/>
          <w:color w:val="auto"/>
          <w:spacing w:val="0"/>
          <w:w w:val="100"/>
          <w:position w:val="0"/>
          <w:sz w:val="28"/>
          <w:szCs w:val="28"/>
          <w:lang w:eastAsia="zh-CN"/>
        </w:rPr>
      </w:pPr>
      <w:r>
        <w:rPr>
          <w:rFonts w:hint="eastAsia" w:ascii="仿宋" w:hAnsi="仿宋" w:eastAsia="仿宋" w:cs="仿宋"/>
          <w:b/>
          <w:color w:val="auto"/>
          <w:spacing w:val="0"/>
          <w:w w:val="100"/>
          <w:position w:val="0"/>
          <w:sz w:val="28"/>
          <w:szCs w:val="28"/>
          <w:u w:val="single"/>
          <w:lang w:eastAsia="zh-CN"/>
        </w:rPr>
        <w:t>(新疆维吾尔自治区第五人民医院)（</w:t>
      </w:r>
      <w:r>
        <w:rPr>
          <w:rFonts w:hint="eastAsia" w:ascii="仿宋" w:hAnsi="仿宋" w:eastAsia="仿宋" w:cs="仿宋"/>
          <w:b/>
          <w:color w:val="auto"/>
          <w:spacing w:val="0"/>
          <w:w w:val="100"/>
          <w:position w:val="0"/>
          <w:sz w:val="28"/>
          <w:szCs w:val="28"/>
          <w:u w:val="single"/>
          <w:lang w:val="en-US" w:eastAsia="zh-CN"/>
        </w:rPr>
        <w:t>盖章</w:t>
      </w:r>
      <w:r>
        <w:rPr>
          <w:rFonts w:hint="eastAsia" w:ascii="仿宋" w:hAnsi="仿宋" w:eastAsia="仿宋" w:cs="仿宋"/>
          <w:b/>
          <w:color w:val="auto"/>
          <w:spacing w:val="0"/>
          <w:w w:val="100"/>
          <w:position w:val="0"/>
          <w:sz w:val="28"/>
          <w:szCs w:val="28"/>
          <w:u w:val="single"/>
          <w:lang w:eastAsia="zh-CN"/>
        </w:rPr>
        <w:t>）</w:t>
      </w:r>
    </w:p>
    <w:p>
      <w:pPr>
        <w:spacing w:before="211" w:line="360" w:lineRule="auto"/>
        <w:ind w:left="0" w:leftChars="0" w:right="0" w:firstLine="0" w:firstLineChars="0"/>
        <w:jc w:val="center"/>
        <w:rPr>
          <w:rFonts w:hint="eastAsia" w:ascii="仿宋" w:hAnsi="仿宋" w:eastAsia="仿宋" w:cs="仿宋"/>
          <w:b/>
          <w:color w:val="auto"/>
          <w:spacing w:val="0"/>
          <w:w w:val="100"/>
          <w:position w:val="0"/>
          <w:sz w:val="28"/>
          <w:szCs w:val="28"/>
          <w:lang w:eastAsia="zh-CN"/>
        </w:rPr>
      </w:pPr>
      <w:r>
        <w:rPr>
          <w:rFonts w:hint="eastAsia" w:ascii="仿宋" w:hAnsi="仿宋" w:eastAsia="仿宋" w:cs="仿宋"/>
          <w:b/>
          <w:color w:val="auto"/>
          <w:spacing w:val="0"/>
          <w:w w:val="100"/>
          <w:position w:val="0"/>
          <w:sz w:val="28"/>
          <w:szCs w:val="28"/>
        </w:rPr>
        <w:t>采购代理</w:t>
      </w:r>
      <w:r>
        <w:rPr>
          <w:rFonts w:hint="eastAsia" w:ascii="仿宋" w:hAnsi="仿宋" w:eastAsia="仿宋" w:cs="仿宋"/>
          <w:b/>
          <w:color w:val="auto"/>
          <w:spacing w:val="0"/>
          <w:w w:val="100"/>
          <w:position w:val="0"/>
          <w:sz w:val="28"/>
          <w:szCs w:val="28"/>
          <w:lang w:eastAsia="zh-CN"/>
        </w:rPr>
        <w:t>：</w:t>
      </w:r>
      <w:r>
        <w:rPr>
          <w:rFonts w:hint="eastAsia" w:ascii="仿宋" w:hAnsi="仿宋" w:eastAsia="仿宋" w:cs="仿宋"/>
          <w:b/>
          <w:color w:val="auto"/>
          <w:spacing w:val="0"/>
          <w:w w:val="100"/>
          <w:position w:val="0"/>
          <w:sz w:val="28"/>
          <w:szCs w:val="28"/>
          <w:u w:val="single"/>
          <w:lang w:eastAsia="zh-CN"/>
        </w:rPr>
        <w:t>新疆华恒惠欣工程项目管理有限责任公司（</w:t>
      </w:r>
      <w:r>
        <w:rPr>
          <w:rFonts w:hint="eastAsia" w:ascii="仿宋" w:hAnsi="仿宋" w:eastAsia="仿宋" w:cs="仿宋"/>
          <w:b/>
          <w:color w:val="auto"/>
          <w:spacing w:val="0"/>
          <w:w w:val="100"/>
          <w:position w:val="0"/>
          <w:sz w:val="28"/>
          <w:szCs w:val="28"/>
          <w:u w:val="single"/>
          <w:lang w:val="en-US" w:eastAsia="zh-CN"/>
        </w:rPr>
        <w:t>盖章</w:t>
      </w:r>
      <w:r>
        <w:rPr>
          <w:rFonts w:hint="eastAsia" w:ascii="仿宋" w:hAnsi="仿宋" w:eastAsia="仿宋" w:cs="仿宋"/>
          <w:b/>
          <w:color w:val="auto"/>
          <w:spacing w:val="0"/>
          <w:w w:val="100"/>
          <w:position w:val="0"/>
          <w:sz w:val="28"/>
          <w:szCs w:val="28"/>
          <w:u w:val="single"/>
          <w:lang w:eastAsia="zh-CN"/>
        </w:rPr>
        <w:t>）</w:t>
      </w:r>
    </w:p>
    <w:p>
      <w:pPr>
        <w:spacing w:before="211" w:line="360" w:lineRule="auto"/>
        <w:ind w:left="0" w:leftChars="0" w:right="0" w:firstLine="0" w:firstLineChars="0"/>
        <w:jc w:val="center"/>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二〇二</w:t>
      </w:r>
      <w:r>
        <w:rPr>
          <w:rFonts w:hint="eastAsia" w:ascii="仿宋" w:hAnsi="仿宋" w:eastAsia="仿宋" w:cs="仿宋"/>
          <w:b/>
          <w:color w:val="auto"/>
          <w:spacing w:val="0"/>
          <w:w w:val="100"/>
          <w:position w:val="0"/>
          <w:sz w:val="28"/>
          <w:szCs w:val="28"/>
          <w:lang w:val="en-US" w:eastAsia="zh-CN"/>
        </w:rPr>
        <w:t>二</w:t>
      </w:r>
      <w:r>
        <w:rPr>
          <w:rFonts w:hint="eastAsia" w:ascii="仿宋" w:hAnsi="仿宋" w:eastAsia="仿宋" w:cs="仿宋"/>
          <w:b/>
          <w:color w:val="auto"/>
          <w:spacing w:val="0"/>
          <w:w w:val="100"/>
          <w:position w:val="0"/>
          <w:sz w:val="28"/>
          <w:szCs w:val="28"/>
        </w:rPr>
        <w:t>年</w:t>
      </w:r>
      <w:r>
        <w:rPr>
          <w:rFonts w:hint="eastAsia" w:ascii="仿宋" w:hAnsi="仿宋" w:eastAsia="仿宋" w:cs="仿宋"/>
          <w:b/>
          <w:color w:val="auto"/>
          <w:spacing w:val="0"/>
          <w:w w:val="100"/>
          <w:position w:val="0"/>
          <w:sz w:val="28"/>
          <w:szCs w:val="28"/>
          <w:lang w:val="en-US" w:eastAsia="zh-CN"/>
        </w:rPr>
        <w:t>三</w:t>
      </w:r>
      <w:r>
        <w:rPr>
          <w:rFonts w:hint="eastAsia" w:ascii="仿宋" w:hAnsi="仿宋" w:eastAsia="仿宋" w:cs="仿宋"/>
          <w:b/>
          <w:color w:val="auto"/>
          <w:spacing w:val="0"/>
          <w:w w:val="100"/>
          <w:position w:val="0"/>
          <w:sz w:val="28"/>
          <w:szCs w:val="28"/>
        </w:rPr>
        <w:t>月</w:t>
      </w:r>
    </w:p>
    <w:p>
      <w:pPr>
        <w:rPr>
          <w:rFonts w:ascii="宋体" w:hAnsi="宋体" w:eastAsia="宋体" w:cs="宋体"/>
          <w:sz w:val="21"/>
          <w:szCs w:val="22"/>
          <w:lang w:val="zh-CN" w:eastAsia="zh-CN" w:bidi="zh-CN"/>
        </w:rPr>
      </w:pPr>
      <w:r>
        <w:rPr>
          <w:rFonts w:ascii="宋体" w:hAnsi="宋体" w:eastAsia="宋体" w:cs="宋体"/>
          <w:sz w:val="21"/>
          <w:szCs w:val="22"/>
          <w:lang w:val="zh-CN" w:eastAsia="zh-CN" w:bidi="zh-CN"/>
        </w:rPr>
        <w:br w:type="page"/>
      </w:r>
    </w:p>
    <w:p>
      <w:pPr>
        <w:pStyle w:val="25"/>
        <w:rPr>
          <w:lang w:val="zh-CN" w:eastAsia="zh-CN"/>
        </w:rPr>
        <w:sectPr>
          <w:headerReference r:id="rId4" w:type="first"/>
          <w:footerReference r:id="rId5" w:type="first"/>
          <w:headerReference r:id="rId3" w:type="default"/>
          <w:pgSz w:w="11910" w:h="16850"/>
          <w:pgMar w:top="1440" w:right="1080" w:bottom="1440" w:left="1080" w:header="850" w:footer="998" w:gutter="0"/>
          <w:pgBorders>
            <w:top w:val="none" w:sz="0" w:space="0"/>
            <w:left w:val="none" w:sz="0" w:space="0"/>
            <w:bottom w:val="none" w:sz="0" w:space="0"/>
            <w:right w:val="none" w:sz="0" w:space="0"/>
          </w:pgBorders>
          <w:pgNumType w:fmt="numberInDash" w:start="1"/>
          <w:cols w:space="720" w:num="1"/>
        </w:sectPr>
      </w:pPr>
    </w:p>
    <w:sdt>
      <w:sdtPr>
        <w:rPr>
          <w:rFonts w:hint="eastAsia" w:ascii="仿宋" w:hAnsi="仿宋" w:eastAsia="仿宋" w:cs="仿宋"/>
          <w:b/>
          <w:bCs/>
          <w:sz w:val="36"/>
          <w:szCs w:val="36"/>
          <w:lang w:val="zh-CN" w:eastAsia="zh-CN" w:bidi="zh-CN"/>
        </w:rPr>
        <w:id w:val="147457660"/>
        <w15:color w:val="DBDBDB"/>
        <w:docPartObj>
          <w:docPartGallery w:val="Table of Contents"/>
          <w:docPartUnique/>
        </w:docPartObj>
      </w:sdtPr>
      <w:sdtEndPr>
        <w:rPr>
          <w:rFonts w:hint="eastAsia" w:ascii="仿宋" w:hAnsi="仿宋" w:eastAsia="仿宋" w:cs="仿宋"/>
          <w:b/>
          <w:bCs/>
          <w:sz w:val="36"/>
          <w:szCs w:val="36"/>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6"/>
            </w:rPr>
          </w:pPr>
          <w:bookmarkStart w:id="0" w:name="_Toc9431"/>
          <w:bookmarkStart w:id="1" w:name="_Toc18335"/>
          <w:r>
            <w:rPr>
              <w:rFonts w:hint="eastAsia" w:ascii="仿宋" w:hAnsi="仿宋" w:eastAsia="仿宋" w:cs="仿宋"/>
              <w:b/>
              <w:bCs/>
              <w:sz w:val="36"/>
              <w:szCs w:val="36"/>
            </w:rPr>
            <w:t>目录</w:t>
          </w:r>
        </w:p>
        <w:p>
          <w:pPr>
            <w:pStyle w:val="14"/>
            <w:tabs>
              <w:tab w:val="right" w:leader="dot" w:pos="9750"/>
            </w:tabs>
            <w:rPr>
              <w:rFonts w:hint="eastAsia" w:ascii="仿宋" w:hAnsi="仿宋" w:eastAsia="仿宋" w:cs="仿宋"/>
              <w:b w:val="0"/>
              <w:bCs w:val="0"/>
              <w:sz w:val="28"/>
              <w:szCs w:val="28"/>
            </w:rPr>
          </w:pPr>
          <w:r>
            <w:fldChar w:fldCharType="begin"/>
          </w:r>
          <w:r>
            <w:instrText xml:space="preserve">TOC \o "1-3" \h \u </w:instrText>
          </w:r>
          <w:r>
            <w:fldChar w:fldCharType="separate"/>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_Toc30638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val="en-US" w:eastAsia="zh-CN"/>
            </w:rPr>
            <w:t xml:space="preserve">第一部分 </w:t>
          </w:r>
          <w:r>
            <w:rPr>
              <w:rFonts w:hint="eastAsia" w:ascii="仿宋" w:hAnsi="仿宋" w:eastAsia="仿宋" w:cs="仿宋"/>
              <w:b w:val="0"/>
              <w:bCs w:val="0"/>
              <w:sz w:val="28"/>
              <w:szCs w:val="28"/>
            </w:rPr>
            <w:t>磋商邀请</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_Toc30638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- 1 -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4"/>
            <w:tabs>
              <w:tab w:val="right" w:leader="dot" w:pos="9750"/>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_Toc22439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第二</w:t>
          </w:r>
          <w:r>
            <w:rPr>
              <w:rFonts w:hint="eastAsia" w:ascii="仿宋" w:hAnsi="仿宋" w:eastAsia="仿宋" w:cs="仿宋"/>
              <w:b w:val="0"/>
              <w:bCs w:val="0"/>
              <w:sz w:val="28"/>
              <w:szCs w:val="28"/>
              <w:lang w:val="en-US" w:eastAsia="zh-CN"/>
            </w:rPr>
            <w:t xml:space="preserve">部分 </w:t>
          </w:r>
          <w:r>
            <w:rPr>
              <w:rFonts w:hint="eastAsia" w:ascii="仿宋" w:hAnsi="仿宋" w:eastAsia="仿宋" w:cs="仿宋"/>
              <w:b w:val="0"/>
              <w:bCs w:val="0"/>
              <w:sz w:val="28"/>
              <w:szCs w:val="28"/>
              <w:lang w:eastAsia="zh-CN"/>
            </w:rPr>
            <w:t>采购需求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_Toc22439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- 5 -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4"/>
            <w:tabs>
              <w:tab w:val="right" w:leader="dot" w:pos="9750"/>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_Toc25836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第三部分 供应商须知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_Toc25836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- 13 -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4"/>
            <w:tabs>
              <w:tab w:val="right" w:leader="dot" w:pos="9750"/>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_Toc15359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第四部分</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rPr>
            <w:t>磋商、评审、成交</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_Toc15359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- 24 -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4"/>
            <w:tabs>
              <w:tab w:val="right" w:leader="dot" w:pos="9750"/>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_Toc26317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第五部分</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合同书格式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_Toc26317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- 37 -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4"/>
            <w:tabs>
              <w:tab w:val="right" w:leader="dot" w:pos="9750"/>
            </w:tabs>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_Toc4161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第六部分</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rPr>
            <w:t>响应文件格式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_Toc4161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- 45 -</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r>
            <w:fldChar w:fldCharType="end"/>
          </w:r>
        </w:p>
      </w:sdtContent>
    </w:sdt>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lang w:val="en-US" w:eastAsia="zh-CN"/>
        </w:rPr>
        <w:sectPr>
          <w:footerReference r:id="rId8" w:type="first"/>
          <w:headerReference r:id="rId6" w:type="default"/>
          <w:footerReference r:id="rId7"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cols w:space="0" w:num="1"/>
          <w:rtlGutter w:val="0"/>
          <w:docGrid w:linePitch="0" w:charSpace="0"/>
        </w:sectPr>
      </w:pPr>
      <w:bookmarkStart w:id="2" w:name="_Toc30638"/>
    </w:p>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rPr>
      </w:pPr>
      <w:r>
        <w:rPr>
          <w:rFonts w:hint="eastAsia" w:ascii="仿宋" w:hAnsi="仿宋" w:eastAsia="仿宋" w:cs="仿宋"/>
          <w:color w:val="auto"/>
          <w:sz w:val="36"/>
          <w:szCs w:val="36"/>
          <w:lang w:val="en-US" w:eastAsia="zh-CN"/>
        </w:rPr>
        <w:t xml:space="preserve">第一部分 </w:t>
      </w:r>
      <w:bookmarkStart w:id="3" w:name="_Toc18769"/>
      <w:r>
        <w:rPr>
          <w:rFonts w:hint="eastAsia" w:ascii="仿宋" w:hAnsi="仿宋" w:eastAsia="仿宋" w:cs="仿宋"/>
          <w:color w:val="auto"/>
          <w:sz w:val="36"/>
          <w:szCs w:val="36"/>
        </w:rPr>
        <w:t>磋商邀请</w:t>
      </w:r>
      <w:bookmarkEnd w:id="0"/>
      <w:bookmarkEnd w:id="1"/>
      <w:bookmarkEnd w:id="2"/>
      <w:bookmarkEnd w:id="3"/>
    </w:p>
    <w:p>
      <w:pPr>
        <w:bidi w:val="0"/>
        <w:spacing w:line="360" w:lineRule="auto"/>
        <w:jc w:val="center"/>
        <w:rPr>
          <w:rFonts w:hint="eastAsia" w:ascii="仿宋" w:hAnsi="仿宋" w:eastAsia="仿宋" w:cs="仿宋"/>
          <w:b/>
          <w:bCs/>
          <w:i w:val="0"/>
          <w:caps w:val="0"/>
          <w:color w:val="auto"/>
          <w:spacing w:val="0"/>
          <w:sz w:val="32"/>
          <w:szCs w:val="32"/>
          <w:lang w:val="zh-CN" w:eastAsia="zh-CN" w:bidi="zh-CN"/>
        </w:rPr>
      </w:pPr>
      <w:r>
        <w:rPr>
          <w:rFonts w:hint="eastAsia" w:ascii="仿宋" w:hAnsi="仿宋" w:eastAsia="仿宋" w:cs="仿宋"/>
          <w:b/>
          <w:bCs/>
          <w:i w:val="0"/>
          <w:caps w:val="0"/>
          <w:color w:val="auto"/>
          <w:spacing w:val="0"/>
          <w:sz w:val="32"/>
          <w:szCs w:val="32"/>
          <w:lang w:val="zh-CN" w:eastAsia="zh-CN" w:bidi="zh-CN"/>
        </w:rPr>
        <w:t>新疆维吾尔自治区第二济困医院(新疆维吾尔自治区第五人民医院)职工营养餐厅矿泉水、饮料类和一次性用品</w:t>
      </w:r>
      <w:r>
        <w:rPr>
          <w:rFonts w:hint="eastAsia" w:ascii="仿宋" w:hAnsi="仿宋" w:eastAsia="仿宋" w:cs="仿宋"/>
          <w:b/>
          <w:bCs/>
          <w:i w:val="0"/>
          <w:caps w:val="0"/>
          <w:color w:val="auto"/>
          <w:spacing w:val="0"/>
          <w:sz w:val="32"/>
          <w:szCs w:val="32"/>
          <w:lang w:val="en-US" w:eastAsia="zh-CN" w:bidi="zh-CN"/>
        </w:rPr>
        <w:t>供货商</w:t>
      </w:r>
      <w:r>
        <w:rPr>
          <w:rFonts w:hint="eastAsia" w:ascii="仿宋" w:hAnsi="仿宋" w:eastAsia="仿宋" w:cs="仿宋"/>
          <w:b/>
          <w:bCs/>
          <w:i w:val="0"/>
          <w:caps w:val="0"/>
          <w:color w:val="auto"/>
          <w:spacing w:val="0"/>
          <w:sz w:val="32"/>
          <w:szCs w:val="32"/>
          <w:lang w:val="zh-CN" w:eastAsia="zh-CN" w:bidi="zh-CN"/>
        </w:rPr>
        <w:t>采购项目竞争性磋商公告</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val="0"/>
        <w:autoSpaceDN w:val="0"/>
        <w:bidi w:val="0"/>
        <w:adjustRightInd/>
        <w:snapToGrid/>
        <w:spacing w:beforeAutospacing="0" w:afterAutospacing="0" w:line="360" w:lineRule="auto"/>
        <w:ind w:right="0"/>
        <w:jc w:val="left"/>
        <w:textAlignment w:val="auto"/>
        <w:rPr>
          <w:rFonts w:ascii="宋体" w:hAnsi="宋体" w:eastAsia="宋体" w:cs="宋体"/>
          <w:color w:val="auto"/>
          <w:sz w:val="24"/>
          <w:szCs w:val="24"/>
          <w:lang w:val="zh-CN" w:eastAsia="zh-CN" w:bidi="zh-CN"/>
        </w:rPr>
      </w:pPr>
      <w:r>
        <w:rPr>
          <w:rFonts w:ascii="仿宋" w:hAnsi="仿宋" w:eastAsia="仿宋" w:cs="仿宋"/>
          <w:i w:val="0"/>
          <w:caps w:val="0"/>
          <w:color w:val="auto"/>
          <w:spacing w:val="0"/>
          <w:sz w:val="24"/>
          <w:szCs w:val="24"/>
          <w:lang w:val="zh-CN" w:eastAsia="zh-CN" w:bidi="zh-CN"/>
        </w:rPr>
        <w:t>项目概况</w:t>
      </w:r>
      <w:r>
        <w:rPr>
          <w:rFonts w:hint="eastAsia" w:ascii="仿宋" w:hAnsi="仿宋" w:eastAsia="仿宋" w:cs="仿宋"/>
          <w:i w:val="0"/>
          <w:caps w:val="0"/>
          <w:color w:val="auto"/>
          <w:spacing w:val="0"/>
          <w:sz w:val="24"/>
          <w:szCs w:val="24"/>
          <w:lang w:val="zh-CN" w:eastAsia="zh-CN" w:bidi="zh-CN"/>
        </w:rPr>
        <w:t>：</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val="0"/>
        <w:autoSpaceDN w:val="0"/>
        <w:bidi w:val="0"/>
        <w:adjustRightInd/>
        <w:snapToGrid/>
        <w:spacing w:beforeAutospacing="0" w:afterAutospacing="0" w:line="360" w:lineRule="auto"/>
        <w:ind w:left="0" w:right="0" w:firstLine="480" w:firstLineChars="200"/>
        <w:jc w:val="left"/>
        <w:textAlignment w:val="auto"/>
        <w:rPr>
          <w:rFonts w:hint="eastAsia" w:ascii="宋体" w:hAnsi="宋体" w:eastAsia="仿宋"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新疆维吾尔自治区第二济困医院(新疆维吾尔自治区第五人民医院)职工营养餐厅矿泉</w:t>
      </w:r>
      <w:r>
        <w:rPr>
          <w:rFonts w:hint="eastAsia" w:ascii="仿宋" w:hAnsi="仿宋" w:eastAsia="仿宋" w:cs="仿宋"/>
          <w:i w:val="0"/>
          <w:caps w:val="0"/>
          <w:color w:val="auto"/>
          <w:spacing w:val="0"/>
          <w:sz w:val="24"/>
          <w:szCs w:val="24"/>
          <w:lang w:val="en-US" w:eastAsia="zh-CN" w:bidi="zh-CN"/>
        </w:rPr>
        <w:t>水、</w:t>
      </w:r>
      <w:r>
        <w:rPr>
          <w:rFonts w:hint="eastAsia" w:ascii="仿宋" w:hAnsi="仿宋" w:eastAsia="仿宋" w:cs="仿宋"/>
          <w:i w:val="0"/>
          <w:caps w:val="0"/>
          <w:color w:val="auto"/>
          <w:spacing w:val="0"/>
          <w:sz w:val="24"/>
          <w:szCs w:val="24"/>
          <w:lang w:val="zh-CN" w:eastAsia="zh-CN" w:bidi="zh-CN"/>
        </w:rPr>
        <w:t>饮料类和一次性用品</w:t>
      </w:r>
      <w:r>
        <w:rPr>
          <w:rFonts w:hint="eastAsia" w:ascii="仿宋" w:hAnsi="仿宋" w:eastAsia="仿宋" w:cs="仿宋"/>
          <w:i w:val="0"/>
          <w:caps w:val="0"/>
          <w:color w:val="auto"/>
          <w:spacing w:val="0"/>
          <w:sz w:val="24"/>
          <w:szCs w:val="24"/>
          <w:lang w:val="en-US" w:eastAsia="zh-CN" w:bidi="zh-CN"/>
        </w:rPr>
        <w:t>供货商</w:t>
      </w:r>
      <w:r>
        <w:rPr>
          <w:rFonts w:hint="eastAsia" w:ascii="仿宋" w:hAnsi="仿宋" w:eastAsia="仿宋" w:cs="仿宋"/>
          <w:i w:val="0"/>
          <w:caps w:val="0"/>
          <w:color w:val="auto"/>
          <w:spacing w:val="0"/>
          <w:sz w:val="24"/>
          <w:szCs w:val="24"/>
          <w:lang w:val="zh-CN" w:eastAsia="zh-CN" w:bidi="zh-CN"/>
        </w:rPr>
        <w:t>采购项目的潜在供应商应在</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获取采购文件，并于202</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28</w:t>
      </w:r>
      <w:r>
        <w:rPr>
          <w:rFonts w:hint="eastAsia" w:ascii="仿宋" w:hAnsi="仿宋" w:eastAsia="仿宋" w:cs="仿宋"/>
          <w:i w:val="0"/>
          <w:caps w:val="0"/>
          <w:color w:val="auto"/>
          <w:spacing w:val="0"/>
          <w:sz w:val="24"/>
          <w:szCs w:val="24"/>
          <w:lang w:val="zh-CN" w:eastAsia="zh-CN" w:bidi="zh-CN"/>
        </w:rPr>
        <w:t>日</w:t>
      </w:r>
      <w:r>
        <w:rPr>
          <w:rFonts w:hint="eastAsia" w:ascii="仿宋" w:hAnsi="仿宋" w:eastAsia="仿宋" w:cs="仿宋"/>
          <w:i w:val="0"/>
          <w:caps w:val="0"/>
          <w:color w:val="auto"/>
          <w:spacing w:val="0"/>
          <w:sz w:val="24"/>
          <w:szCs w:val="24"/>
          <w:lang w:val="en-US" w:eastAsia="zh-CN" w:bidi="zh-CN"/>
        </w:rPr>
        <w:t>11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0（北京时间）前提交响应文件。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4" w:name="_Toc4793"/>
      <w:bookmarkStart w:id="5" w:name="_Toc1324"/>
      <w:bookmarkStart w:id="6" w:name="_Toc13481"/>
      <w:bookmarkStart w:id="7" w:name="_Toc9539"/>
      <w:r>
        <w:rPr>
          <w:rFonts w:hint="eastAsia" w:ascii="仿宋" w:hAnsi="仿宋" w:eastAsia="仿宋" w:cs="仿宋"/>
          <w:b/>
          <w:bCs/>
          <w:color w:val="auto"/>
          <w:kern w:val="0"/>
          <w:sz w:val="24"/>
          <w:szCs w:val="24"/>
          <w:lang w:val="zh-CN" w:eastAsia="zh-CN" w:bidi="zh-CN"/>
        </w:rPr>
        <w:t>一、项目基本情况</w:t>
      </w:r>
      <w:bookmarkEnd w:id="4"/>
      <w:bookmarkEnd w:id="5"/>
      <w:bookmarkEnd w:id="6"/>
      <w:bookmarkEnd w:id="7"/>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lang w:val="zh-CN" w:eastAsia="zh-CN"/>
        </w:rPr>
      </w:pPr>
      <w:r>
        <w:rPr>
          <w:rFonts w:hint="eastAsia" w:ascii="仿宋" w:hAnsi="仿宋" w:eastAsia="仿宋" w:cs="仿宋"/>
          <w:i w:val="0"/>
          <w:caps w:val="0"/>
          <w:color w:val="auto"/>
          <w:spacing w:val="0"/>
          <w:sz w:val="24"/>
          <w:szCs w:val="24"/>
          <w:lang w:val="zh-CN" w:eastAsia="zh-CN" w:bidi="zh-CN"/>
        </w:rPr>
        <w:t>项目编号：Hhhx-2206-Dejk001</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项目名称：新疆维吾尔自治区第二济困医院(新疆维吾尔自治区第五人民医院)职工营养餐厅矿泉水、饮料类和一次性用品</w:t>
      </w:r>
      <w:r>
        <w:rPr>
          <w:rFonts w:hint="eastAsia" w:ascii="仿宋" w:hAnsi="仿宋" w:eastAsia="仿宋" w:cs="仿宋"/>
          <w:i w:val="0"/>
          <w:caps w:val="0"/>
          <w:color w:val="auto"/>
          <w:spacing w:val="0"/>
          <w:sz w:val="24"/>
          <w:szCs w:val="24"/>
          <w:lang w:val="en-US" w:eastAsia="zh-CN" w:bidi="zh-CN"/>
        </w:rPr>
        <w:t>供货商</w:t>
      </w:r>
      <w:r>
        <w:rPr>
          <w:rFonts w:hint="eastAsia" w:ascii="仿宋" w:hAnsi="仿宋" w:eastAsia="仿宋" w:cs="仿宋"/>
          <w:i w:val="0"/>
          <w:caps w:val="0"/>
          <w:color w:val="auto"/>
          <w:spacing w:val="0"/>
          <w:sz w:val="24"/>
          <w:szCs w:val="24"/>
          <w:lang w:val="zh-CN" w:eastAsia="zh-CN" w:bidi="zh-CN"/>
        </w:rPr>
        <w:t>采购项目</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lang w:val="en-US" w:eastAsia="zh-CN"/>
        </w:rPr>
      </w:pPr>
      <w:r>
        <w:rPr>
          <w:rFonts w:hint="eastAsia" w:ascii="仿宋" w:hAnsi="仿宋" w:eastAsia="仿宋" w:cs="仿宋"/>
          <w:i w:val="0"/>
          <w:caps w:val="0"/>
          <w:color w:val="auto"/>
          <w:spacing w:val="0"/>
          <w:sz w:val="24"/>
          <w:szCs w:val="24"/>
          <w:lang w:val="en-US" w:eastAsia="zh-CN" w:bidi="zh-CN"/>
        </w:rPr>
        <w:t>采购方式：竞争性磋商</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预算金额（</w:t>
      </w:r>
      <w:r>
        <w:rPr>
          <w:rFonts w:hint="eastAsia" w:ascii="仿宋" w:hAnsi="仿宋" w:eastAsia="仿宋" w:cs="仿宋"/>
          <w:i w:val="0"/>
          <w:caps w:val="0"/>
          <w:color w:val="auto"/>
          <w:spacing w:val="0"/>
          <w:sz w:val="24"/>
          <w:szCs w:val="24"/>
          <w:lang w:val="en-US" w:eastAsia="zh-CN" w:bidi="zh-CN"/>
        </w:rPr>
        <w:t>元</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330000</w:t>
      </w:r>
      <w:r>
        <w:rPr>
          <w:rFonts w:hint="eastAsia" w:ascii="仿宋" w:hAnsi="仿宋" w:eastAsia="仿宋" w:cs="仿宋"/>
          <w:i w:val="0"/>
          <w:caps w:val="0"/>
          <w:color w:val="auto"/>
          <w:spacing w:val="0"/>
          <w:sz w:val="24"/>
          <w:szCs w:val="24"/>
          <w:lang w:val="zh-CN" w:eastAsia="zh-CN" w:bidi="zh-CN"/>
        </w:rPr>
        <w:t>万元（人民币）</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最高限价（</w:t>
      </w:r>
      <w:r>
        <w:rPr>
          <w:rFonts w:hint="eastAsia" w:ascii="仿宋" w:hAnsi="仿宋" w:eastAsia="仿宋" w:cs="仿宋"/>
          <w:i w:val="0"/>
          <w:caps w:val="0"/>
          <w:color w:val="auto"/>
          <w:spacing w:val="0"/>
          <w:sz w:val="24"/>
          <w:szCs w:val="24"/>
          <w:lang w:val="en-US" w:eastAsia="zh-CN" w:bidi="zh-CN"/>
        </w:rPr>
        <w:t>元</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330000</w:t>
      </w:r>
      <w:r>
        <w:rPr>
          <w:rFonts w:hint="eastAsia" w:ascii="仿宋" w:hAnsi="仿宋" w:eastAsia="仿宋" w:cs="仿宋"/>
          <w:i w:val="0"/>
          <w:caps w:val="0"/>
          <w:color w:val="auto"/>
          <w:spacing w:val="0"/>
          <w:sz w:val="24"/>
          <w:szCs w:val="24"/>
          <w:lang w:val="zh-CN" w:eastAsia="zh-CN" w:bidi="zh-CN"/>
        </w:rPr>
        <w:t>万元（人民币）</w:t>
      </w:r>
    </w:p>
    <w:p>
      <w:pPr>
        <w:pStyle w:val="26"/>
        <w:keepNext w:val="0"/>
        <w:keepLines w:val="0"/>
        <w:pageBreakBefore w:val="0"/>
        <w:kinsoku/>
        <w:wordWrap/>
        <w:overflowPunct/>
        <w:topLinePunct w:val="0"/>
        <w:autoSpaceDE w:val="0"/>
        <w:autoSpaceDN w:val="0"/>
        <w:bidi w:val="0"/>
        <w:snapToGrid/>
        <w:spacing w:line="360" w:lineRule="auto"/>
        <w:ind w:left="0" w:leftChars="0" w:firstLine="480" w:firstLineChars="200"/>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数量：不限</w:t>
      </w:r>
    </w:p>
    <w:p>
      <w:pPr>
        <w:pStyle w:val="26"/>
        <w:keepNext w:val="0"/>
        <w:keepLines w:val="0"/>
        <w:pageBreakBefore w:val="0"/>
        <w:kinsoku/>
        <w:wordWrap/>
        <w:overflowPunct/>
        <w:topLinePunct w:val="0"/>
        <w:autoSpaceDE w:val="0"/>
        <w:autoSpaceDN w:val="0"/>
        <w:bidi w:val="0"/>
        <w:snapToGrid/>
        <w:spacing w:line="360" w:lineRule="auto"/>
        <w:ind w:left="0" w:leftChars="0" w:firstLine="480" w:firstLineChars="200"/>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单位：批</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caps w:val="0"/>
          <w:color w:val="auto"/>
          <w:spacing w:val="0"/>
          <w:sz w:val="24"/>
          <w:szCs w:val="24"/>
          <w:lang w:val="en-US" w:eastAsia="zh-CN" w:bidi="zh-CN"/>
        </w:rPr>
        <w:t>简要规格描述</w:t>
      </w:r>
      <w:r>
        <w:rPr>
          <w:rFonts w:hint="eastAsia" w:ascii="仿宋" w:hAnsi="仿宋" w:eastAsia="仿宋" w:cs="仿宋"/>
          <w:i w:val="0"/>
          <w:caps w:val="0"/>
          <w:color w:val="auto"/>
          <w:spacing w:val="0"/>
          <w:sz w:val="24"/>
          <w:szCs w:val="24"/>
          <w:lang w:val="zh-CN" w:eastAsia="zh-CN" w:bidi="zh-CN"/>
        </w:rPr>
        <w:t>：第二济困医院</w:t>
      </w:r>
      <w:r>
        <w:rPr>
          <w:rFonts w:hint="eastAsia" w:ascii="仿宋" w:hAnsi="仿宋" w:eastAsia="仿宋" w:cs="仿宋"/>
          <w:i w:val="0"/>
          <w:caps w:val="0"/>
          <w:color w:val="auto"/>
          <w:spacing w:val="0"/>
          <w:sz w:val="24"/>
          <w:szCs w:val="24"/>
          <w:lang w:val="en-US" w:eastAsia="zh-CN" w:bidi="zh-CN"/>
        </w:rPr>
        <w:t>职工</w:t>
      </w:r>
      <w:r>
        <w:rPr>
          <w:rFonts w:hint="eastAsia" w:ascii="仿宋" w:hAnsi="仿宋" w:eastAsia="仿宋" w:cs="仿宋"/>
          <w:i w:val="0"/>
          <w:caps w:val="0"/>
          <w:color w:val="auto"/>
          <w:spacing w:val="0"/>
          <w:sz w:val="24"/>
          <w:szCs w:val="24"/>
          <w:lang w:val="zh-CN" w:eastAsia="zh-CN" w:bidi="zh-CN"/>
        </w:rPr>
        <w:t>营养餐厅</w:t>
      </w:r>
      <w:r>
        <w:rPr>
          <w:rFonts w:hint="eastAsia" w:ascii="仿宋" w:hAnsi="仿宋" w:eastAsia="仿宋" w:cs="仿宋"/>
          <w:i w:val="0"/>
          <w:caps w:val="0"/>
          <w:color w:val="auto"/>
          <w:spacing w:val="0"/>
          <w:sz w:val="24"/>
          <w:szCs w:val="24"/>
          <w:lang w:val="en-US" w:eastAsia="zh-CN" w:bidi="zh-CN"/>
        </w:rPr>
        <w:t>矿泉水、饮料</w:t>
      </w:r>
      <w:r>
        <w:rPr>
          <w:rFonts w:hint="eastAsia" w:ascii="仿宋" w:hAnsi="仿宋" w:eastAsia="仿宋" w:cs="仿宋"/>
          <w:i w:val="0"/>
          <w:caps w:val="0"/>
          <w:color w:val="auto"/>
          <w:spacing w:val="0"/>
          <w:sz w:val="24"/>
          <w:szCs w:val="24"/>
          <w:lang w:val="zh-CN" w:eastAsia="zh-CN" w:bidi="zh-CN"/>
        </w:rPr>
        <w:t>类</w:t>
      </w:r>
      <w:r>
        <w:rPr>
          <w:rFonts w:hint="eastAsia" w:ascii="仿宋" w:hAnsi="仿宋" w:eastAsia="仿宋" w:cs="仿宋"/>
          <w:i w:val="0"/>
          <w:caps w:val="0"/>
          <w:color w:val="auto"/>
          <w:spacing w:val="0"/>
          <w:sz w:val="24"/>
          <w:szCs w:val="24"/>
          <w:lang w:val="en-US" w:eastAsia="zh-CN" w:bidi="zh-CN"/>
        </w:rPr>
        <w:t>和</w:t>
      </w:r>
      <w:r>
        <w:rPr>
          <w:rFonts w:hint="eastAsia" w:ascii="仿宋" w:hAnsi="仿宋" w:eastAsia="仿宋" w:cs="仿宋"/>
          <w:i w:val="0"/>
          <w:caps w:val="0"/>
          <w:color w:val="auto"/>
          <w:spacing w:val="0"/>
          <w:sz w:val="24"/>
          <w:szCs w:val="24"/>
          <w:lang w:val="zh-CN" w:eastAsia="zh-CN" w:bidi="zh-CN"/>
        </w:rPr>
        <w:t>一次性用品</w:t>
      </w:r>
      <w:r>
        <w:rPr>
          <w:rFonts w:hint="eastAsia" w:ascii="仿宋" w:hAnsi="仿宋" w:eastAsia="仿宋" w:cs="仿宋"/>
          <w:i w:val="0"/>
          <w:caps w:val="0"/>
          <w:color w:val="auto"/>
          <w:spacing w:val="0"/>
          <w:sz w:val="24"/>
          <w:szCs w:val="24"/>
          <w:lang w:val="en-US" w:eastAsia="zh-CN" w:bidi="zh-CN"/>
        </w:rPr>
        <w:t>供货服务商采购项目，具体产品规格要求见磋商文件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left"/>
        <w:textAlignment w:val="baseline"/>
        <w:outlineLvl w:val="9"/>
        <w:rPr>
          <w:rFonts w:hint="default"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left"/>
        <w:textAlignment w:val="baseline"/>
        <w:outlineLvl w:val="9"/>
        <w:rPr>
          <w:rFonts w:hint="default" w:ascii="仿宋" w:hAnsi="仿宋" w:eastAsia="仿宋" w:cs="仿宋"/>
          <w:color w:val="auto"/>
          <w:kern w:val="0"/>
          <w:sz w:val="24"/>
          <w:szCs w:val="24"/>
          <w:highlight w:val="no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合同履</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约</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期限：详见竞争性磋商文件，</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以合同签订为主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left"/>
        <w:textAlignment w:val="baseline"/>
        <w:outlineLvl w:val="9"/>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本项目(不接受)联合体投标。</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8" w:name="_Toc29580"/>
      <w:bookmarkStart w:id="9" w:name="_Toc1143"/>
      <w:bookmarkStart w:id="10" w:name="_Toc1593"/>
      <w:bookmarkStart w:id="11" w:name="_Toc14139"/>
      <w:r>
        <w:rPr>
          <w:rFonts w:hint="eastAsia" w:ascii="仿宋" w:hAnsi="仿宋" w:eastAsia="仿宋" w:cs="仿宋"/>
          <w:b/>
          <w:bCs/>
          <w:color w:val="auto"/>
          <w:kern w:val="0"/>
          <w:sz w:val="24"/>
          <w:szCs w:val="24"/>
          <w:lang w:val="zh-CN" w:eastAsia="zh-CN" w:bidi="zh-CN"/>
        </w:rPr>
        <w:t>二、申请人的资格要求：</w:t>
      </w:r>
      <w:bookmarkEnd w:id="8"/>
      <w:bookmarkEnd w:id="9"/>
      <w:bookmarkEnd w:id="10"/>
      <w:bookmarkEnd w:id="11"/>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bookmarkStart w:id="12" w:name="_Toc22477"/>
      <w:bookmarkStart w:id="13" w:name="_Toc8704"/>
      <w:bookmarkStart w:id="14" w:name="_Toc30833"/>
      <w:r>
        <w:rPr>
          <w:rFonts w:hint="eastAsia" w:ascii="仿宋" w:hAnsi="仿宋" w:eastAsia="仿宋" w:cs="仿宋"/>
          <w:i w:val="0"/>
          <w:caps w:val="0"/>
          <w:color w:val="auto"/>
          <w:spacing w:val="0"/>
          <w:sz w:val="24"/>
          <w:szCs w:val="24"/>
          <w:lang w:val="zh-CN" w:eastAsia="zh-CN" w:bidi="zh-CN"/>
        </w:rPr>
        <w:t>1.满足《中华人民共和国政府采购法》第二十二条规定；</w:t>
      </w:r>
      <w:bookmarkEnd w:id="12"/>
      <w:bookmarkEnd w:id="13"/>
      <w:bookmarkEnd w:id="14"/>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bookmarkStart w:id="15" w:name="_Toc3803"/>
      <w:bookmarkStart w:id="16" w:name="_Toc27846"/>
      <w:bookmarkStart w:id="17" w:name="_Toc16973"/>
      <w:r>
        <w:rPr>
          <w:rFonts w:hint="eastAsia" w:ascii="仿宋" w:hAnsi="仿宋" w:eastAsia="仿宋" w:cs="仿宋"/>
          <w:i w:val="0"/>
          <w:caps w:val="0"/>
          <w:color w:val="auto"/>
          <w:spacing w:val="0"/>
          <w:sz w:val="24"/>
          <w:szCs w:val="24"/>
          <w:lang w:val="zh-CN" w:eastAsia="zh-CN" w:bidi="zh-CN"/>
        </w:rPr>
        <w:t>2.落实政府采购政策需满足的资格要求：</w:t>
      </w:r>
      <w:bookmarkEnd w:id="15"/>
      <w:bookmarkEnd w:id="16"/>
      <w:bookmarkEnd w:id="17"/>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bookmarkStart w:id="18" w:name="_Toc28584"/>
      <w:bookmarkStart w:id="19" w:name="_Toc2771"/>
      <w:bookmarkStart w:id="20" w:name="_Toc17180"/>
      <w:r>
        <w:rPr>
          <w:rFonts w:hint="eastAsia" w:ascii="仿宋" w:hAnsi="仿宋" w:eastAsia="仿宋" w:cs="仿宋"/>
          <w:i w:val="0"/>
          <w:caps w:val="0"/>
          <w:color w:val="auto"/>
          <w:spacing w:val="0"/>
          <w:sz w:val="24"/>
          <w:szCs w:val="24"/>
          <w:lang w:val="zh-CN" w:eastAsia="zh-CN" w:bidi="zh-CN"/>
        </w:rPr>
        <w:t>（1）采购政策</w:t>
      </w:r>
      <w:bookmarkEnd w:id="18"/>
      <w:bookmarkEnd w:id="19"/>
      <w:bookmarkEnd w:id="20"/>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政府采购应当优先采购本国货物、工程和服务，并执行节能产品、环境标志产品、中小企业、残疾人福利性单位、监狱企业、商品外包装等适宜本项目的政府采购政策。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bookmarkStart w:id="21" w:name="_Toc30266"/>
      <w:bookmarkStart w:id="22" w:name="_Toc12593"/>
      <w:bookmarkStart w:id="23" w:name="_Toc19603"/>
      <w:r>
        <w:rPr>
          <w:rFonts w:hint="eastAsia" w:ascii="仿宋" w:hAnsi="仿宋" w:eastAsia="仿宋" w:cs="仿宋"/>
          <w:i w:val="0"/>
          <w:caps w:val="0"/>
          <w:color w:val="auto"/>
          <w:spacing w:val="0"/>
          <w:sz w:val="24"/>
          <w:szCs w:val="24"/>
          <w:lang w:val="zh-CN" w:eastAsia="zh-CN" w:bidi="zh-CN"/>
        </w:rPr>
        <w:t>（2）政策依据</w:t>
      </w:r>
      <w:bookmarkEnd w:id="21"/>
      <w:bookmarkEnd w:id="22"/>
      <w:bookmarkEnd w:id="23"/>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1）财政部、国家发展改革委、生态环境部、市场监管总局《关于调整优化节能产品、环境标志产品政府采购执行机制的通知》（财库[2019]9号文）；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2）财政部、生态环境部《关于印发环境标志产品政府采购品目清单的通知》（财库[2019]18号文）；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3）财政部、发展改革委《关于印发节能产品政府采购品目清单的通知》（财库[2019]19号文）；</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4）市场监管总局《市场监管总局关于发布参与实施政府采购节能产品、环境标志产品认证机构名录的公告》（2019年第16号）；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5）财政部、工业和信息化部《关于印发《政府采购促进中小企业发展管理办法》的通知》（财库〔2020〕46号）；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6）财政部、民政部、中国残疾人联合会《关于促进残疾人就业政府采购政策的通知》（财库[2017]141号）；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7）财政部、司法部《关于政府采购支持监狱企业发展有关问题的通知》（财库[2014]68号文）；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8）财政部、生态环境部、国家邮政局《关于印发《商品包装政府采购需求标准（试行）》、《快递包装政府采购需求标准（试行）》的通知》（财办库〔2020〕123号）。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bookmarkStart w:id="24" w:name="_Toc13879"/>
      <w:bookmarkStart w:id="25" w:name="_Toc13710"/>
      <w:bookmarkStart w:id="26" w:name="_Toc27694"/>
      <w:r>
        <w:rPr>
          <w:rFonts w:hint="eastAsia" w:ascii="仿宋" w:hAnsi="仿宋" w:eastAsia="仿宋" w:cs="仿宋"/>
          <w:i w:val="0"/>
          <w:caps w:val="0"/>
          <w:color w:val="auto"/>
          <w:spacing w:val="0"/>
          <w:sz w:val="24"/>
          <w:szCs w:val="24"/>
          <w:lang w:val="zh-CN" w:eastAsia="zh-CN" w:bidi="zh-CN"/>
        </w:rPr>
        <w:t>3.本项目的特定资格要求：</w:t>
      </w:r>
      <w:bookmarkEnd w:id="24"/>
      <w:bookmarkEnd w:id="25"/>
      <w:bookmarkEnd w:id="26"/>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（1）有效的工商营业执照、税务登记证、组织机构代码证或“三证合一”的营业执照或当地公证处出具的此资质的公证书；</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供应商应</w:t>
      </w:r>
      <w:r>
        <w:rPr>
          <w:rFonts w:hint="eastAsia" w:ascii="仿宋" w:hAnsi="仿宋" w:eastAsia="仿宋" w:cs="仿宋"/>
          <w:i w:val="0"/>
          <w:caps w:val="0"/>
          <w:color w:val="auto"/>
          <w:spacing w:val="0"/>
          <w:sz w:val="24"/>
          <w:szCs w:val="24"/>
          <w:lang w:val="zh-CN" w:eastAsia="zh-CN" w:bidi="zh-CN"/>
        </w:rPr>
        <w:t>具备</w:t>
      </w:r>
      <w:r>
        <w:rPr>
          <w:rFonts w:hint="eastAsia" w:ascii="仿宋" w:hAnsi="仿宋" w:eastAsia="仿宋" w:cs="仿宋"/>
          <w:i w:val="0"/>
          <w:caps w:val="0"/>
          <w:color w:val="auto"/>
          <w:spacing w:val="0"/>
          <w:sz w:val="24"/>
          <w:szCs w:val="24"/>
          <w:lang w:val="en-US" w:eastAsia="zh-CN" w:bidi="zh-CN"/>
        </w:rPr>
        <w:t>有效的</w:t>
      </w:r>
      <w:r>
        <w:rPr>
          <w:rFonts w:hint="eastAsia" w:ascii="仿宋" w:hAnsi="仿宋" w:eastAsia="仿宋" w:cs="仿宋"/>
          <w:i w:val="0"/>
          <w:caps w:val="0"/>
          <w:color w:val="auto"/>
          <w:spacing w:val="0"/>
          <w:sz w:val="24"/>
          <w:szCs w:val="24"/>
          <w:lang w:val="zh-CN" w:eastAsia="zh-CN" w:bidi="zh-CN"/>
        </w:rPr>
        <w:t>《食品经营许可证》</w:t>
      </w:r>
      <w:r>
        <w:rPr>
          <w:rFonts w:hint="eastAsia" w:ascii="仿宋" w:hAnsi="仿宋" w:eastAsia="仿宋" w:cs="仿宋"/>
          <w:i w:val="0"/>
          <w:caps w:val="0"/>
          <w:color w:val="auto"/>
          <w:spacing w:val="0"/>
          <w:sz w:val="24"/>
          <w:szCs w:val="24"/>
          <w:lang w:val="en-US" w:eastAsia="zh-CN" w:bidi="zh-CN"/>
        </w:rPr>
        <w:t>或《</w:t>
      </w:r>
      <w:r>
        <w:rPr>
          <w:rFonts w:hint="eastAsia" w:ascii="仿宋" w:hAnsi="仿宋" w:eastAsia="仿宋" w:cs="仿宋"/>
          <w:i w:val="0"/>
          <w:caps w:val="0"/>
          <w:color w:val="auto"/>
          <w:spacing w:val="0"/>
          <w:sz w:val="24"/>
          <w:szCs w:val="24"/>
          <w:lang w:val="zh-CN" w:eastAsia="zh-CN" w:bidi="zh-CN"/>
        </w:rPr>
        <w:t>食品生产许可证》或《食品流通许可证》；</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color w:val="auto"/>
          <w:sz w:val="24"/>
          <w:szCs w:val="24"/>
          <w:highlight w:val="none"/>
          <w:shd w:val="clear" w:color="auto" w:fill="auto"/>
          <w:lang w:val="en-US" w:eastAsia="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4</w:t>
      </w:r>
      <w:r>
        <w:rPr>
          <w:rFonts w:hint="eastAsia" w:ascii="仿宋" w:hAnsi="仿宋" w:eastAsia="仿宋" w:cs="仿宋"/>
          <w:i w:val="0"/>
          <w:caps w:val="0"/>
          <w:color w:val="auto"/>
          <w:spacing w:val="0"/>
          <w:sz w:val="24"/>
          <w:szCs w:val="24"/>
          <w:lang w:val="zh-CN" w:eastAsia="zh-CN" w:bidi="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27" w:name="_Toc10740"/>
      <w:bookmarkStart w:id="28" w:name="_Toc21736"/>
      <w:bookmarkStart w:id="29" w:name="_Toc3223"/>
      <w:bookmarkStart w:id="30" w:name="_Toc10778"/>
      <w:r>
        <w:rPr>
          <w:rFonts w:hint="eastAsia" w:ascii="仿宋" w:hAnsi="仿宋" w:eastAsia="仿宋" w:cs="仿宋"/>
          <w:b/>
          <w:bCs/>
          <w:color w:val="auto"/>
          <w:kern w:val="0"/>
          <w:sz w:val="24"/>
          <w:szCs w:val="24"/>
          <w:lang w:val="zh-CN" w:eastAsia="zh-CN" w:bidi="zh-CN"/>
        </w:rPr>
        <w:t>三、获取采购文件</w:t>
      </w:r>
      <w:bookmarkEnd w:id="27"/>
      <w:bookmarkEnd w:id="28"/>
      <w:bookmarkEnd w:id="29"/>
      <w:bookmarkEnd w:id="30"/>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时间：202</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16</w:t>
      </w:r>
      <w:r>
        <w:rPr>
          <w:rFonts w:hint="eastAsia" w:ascii="仿宋" w:hAnsi="仿宋" w:eastAsia="仿宋" w:cs="仿宋"/>
          <w:i w:val="0"/>
          <w:caps w:val="0"/>
          <w:color w:val="auto"/>
          <w:spacing w:val="0"/>
          <w:sz w:val="24"/>
          <w:szCs w:val="24"/>
          <w:lang w:val="zh-CN" w:eastAsia="zh-CN" w:bidi="zh-CN"/>
        </w:rPr>
        <w:t>日至202</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23</w:t>
      </w:r>
      <w:r>
        <w:rPr>
          <w:rFonts w:hint="eastAsia" w:ascii="仿宋" w:hAnsi="仿宋" w:eastAsia="仿宋" w:cs="仿宋"/>
          <w:i w:val="0"/>
          <w:caps w:val="0"/>
          <w:color w:val="auto"/>
          <w:spacing w:val="0"/>
          <w:sz w:val="24"/>
          <w:szCs w:val="24"/>
          <w:lang w:val="zh-CN" w:eastAsia="zh-CN" w:bidi="zh-CN"/>
        </w:rPr>
        <w:t>日，每天上午10:00至1</w:t>
      </w:r>
      <w:r>
        <w:rPr>
          <w:rFonts w:hint="eastAsia" w:ascii="仿宋" w:hAnsi="仿宋" w:eastAsia="仿宋" w:cs="仿宋"/>
          <w:i w:val="0"/>
          <w:caps w:val="0"/>
          <w:color w:val="auto"/>
          <w:spacing w:val="0"/>
          <w:sz w:val="24"/>
          <w:szCs w:val="24"/>
          <w:lang w:val="en-US" w:eastAsia="zh-CN" w:bidi="zh-CN"/>
        </w:rPr>
        <w:t>4</w:t>
      </w:r>
      <w:r>
        <w:rPr>
          <w:rFonts w:hint="eastAsia" w:ascii="仿宋" w:hAnsi="仿宋" w:eastAsia="仿宋" w:cs="仿宋"/>
          <w:i w:val="0"/>
          <w:caps w:val="0"/>
          <w:color w:val="auto"/>
          <w:spacing w:val="0"/>
          <w:sz w:val="24"/>
          <w:szCs w:val="24"/>
          <w:lang w:val="zh-CN" w:eastAsia="zh-CN" w:bidi="zh-CN"/>
        </w:rPr>
        <w:t>:00，下午1</w:t>
      </w:r>
      <w:r>
        <w:rPr>
          <w:rFonts w:hint="eastAsia" w:ascii="仿宋" w:hAnsi="仿宋" w:eastAsia="仿宋" w:cs="仿宋"/>
          <w:i w:val="0"/>
          <w:caps w:val="0"/>
          <w:color w:val="auto"/>
          <w:spacing w:val="0"/>
          <w:sz w:val="24"/>
          <w:szCs w:val="24"/>
          <w:lang w:val="en-US" w:eastAsia="zh-CN" w:bidi="zh-CN"/>
        </w:rPr>
        <w:t>5</w:t>
      </w:r>
      <w:r>
        <w:rPr>
          <w:rFonts w:hint="eastAsia" w:ascii="仿宋" w:hAnsi="仿宋" w:eastAsia="仿宋" w:cs="仿宋"/>
          <w:i w:val="0"/>
          <w:caps w:val="0"/>
          <w:color w:val="auto"/>
          <w:spacing w:val="0"/>
          <w:sz w:val="24"/>
          <w:szCs w:val="24"/>
          <w:lang w:val="zh-CN" w:eastAsia="zh-CN" w:bidi="zh-CN"/>
        </w:rPr>
        <w:t>:00至19:00（北京时间，法定节假日除外）</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zh-CN" w:eastAsia="zh-CN" w:bidi="zh-CN"/>
        </w:rPr>
        <w:t>方式：</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zh-CN" w:eastAsia="zh-CN" w:bidi="zh-CN"/>
        </w:rPr>
        <w:t>售价：</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00.0元</w:t>
      </w:r>
      <w:r>
        <w:rPr>
          <w:rFonts w:hint="eastAsia" w:ascii="仿宋" w:hAnsi="仿宋" w:eastAsia="仿宋" w:cs="仿宋"/>
          <w:i w:val="0"/>
          <w:caps w:val="0"/>
          <w:color w:val="auto"/>
          <w:spacing w:val="0"/>
          <w:sz w:val="24"/>
          <w:szCs w:val="24"/>
          <w:lang w:val="en-US" w:eastAsia="zh-CN" w:bidi="zh-CN"/>
        </w:rPr>
        <w:t>/套，售后不退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31" w:name="_Toc13959"/>
      <w:bookmarkStart w:id="32" w:name="_Toc17606"/>
      <w:bookmarkStart w:id="33" w:name="_Toc29170"/>
      <w:bookmarkStart w:id="34" w:name="_Toc21502"/>
      <w:r>
        <w:rPr>
          <w:rFonts w:hint="eastAsia" w:ascii="仿宋" w:hAnsi="仿宋" w:eastAsia="仿宋" w:cs="仿宋"/>
          <w:b/>
          <w:bCs/>
          <w:color w:val="auto"/>
          <w:kern w:val="0"/>
          <w:sz w:val="24"/>
          <w:szCs w:val="24"/>
          <w:lang w:val="zh-CN" w:eastAsia="zh-CN" w:bidi="zh-CN"/>
        </w:rPr>
        <w:t>四、响应文件提交 </w:t>
      </w:r>
      <w:bookmarkEnd w:id="31"/>
      <w:bookmarkEnd w:id="32"/>
      <w:bookmarkEnd w:id="33"/>
      <w:bookmarkEnd w:id="34"/>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截止时间：202</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28</w:t>
      </w:r>
      <w:r>
        <w:rPr>
          <w:rFonts w:hint="eastAsia" w:ascii="仿宋" w:hAnsi="仿宋" w:eastAsia="仿宋" w:cs="仿宋"/>
          <w:i w:val="0"/>
          <w:caps w:val="0"/>
          <w:color w:val="auto"/>
          <w:spacing w:val="0"/>
          <w:sz w:val="24"/>
          <w:szCs w:val="24"/>
          <w:lang w:val="zh-CN" w:eastAsia="zh-CN" w:bidi="zh-CN"/>
        </w:rPr>
        <w:t>日 1</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地点：乌鲁木齐市经济技术开发区上海路浦东街三号创新空间一楼会议室</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35" w:name="_Toc20007"/>
      <w:bookmarkStart w:id="36" w:name="_Toc7959"/>
      <w:bookmarkStart w:id="37" w:name="_Toc13718"/>
      <w:bookmarkStart w:id="38" w:name="_Toc22244"/>
      <w:r>
        <w:rPr>
          <w:rFonts w:hint="eastAsia" w:ascii="仿宋" w:hAnsi="仿宋" w:eastAsia="仿宋" w:cs="仿宋"/>
          <w:b/>
          <w:bCs/>
          <w:color w:val="auto"/>
          <w:kern w:val="0"/>
          <w:sz w:val="24"/>
          <w:szCs w:val="24"/>
          <w:lang w:val="zh-CN" w:eastAsia="zh-CN" w:bidi="zh-CN"/>
        </w:rPr>
        <w:t>五、响应文件开启 </w:t>
      </w:r>
      <w:bookmarkEnd w:id="35"/>
      <w:bookmarkEnd w:id="36"/>
      <w:bookmarkEnd w:id="37"/>
      <w:bookmarkEnd w:id="38"/>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开启时间：202</w:t>
      </w:r>
      <w:r>
        <w:rPr>
          <w:rFonts w:hint="eastAsia" w:ascii="仿宋" w:hAnsi="仿宋" w:eastAsia="仿宋" w:cs="仿宋"/>
          <w:i w:val="0"/>
          <w:caps w:val="0"/>
          <w:color w:val="auto"/>
          <w:spacing w:val="0"/>
          <w:sz w:val="24"/>
          <w:szCs w:val="24"/>
          <w:lang w:val="en-US" w:eastAsia="zh-CN" w:bidi="zh-CN"/>
        </w:rPr>
        <w:t>2</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28</w:t>
      </w:r>
      <w:r>
        <w:rPr>
          <w:rFonts w:hint="eastAsia" w:ascii="仿宋" w:hAnsi="仿宋" w:eastAsia="仿宋" w:cs="仿宋"/>
          <w:i w:val="0"/>
          <w:caps w:val="0"/>
          <w:color w:val="auto"/>
          <w:spacing w:val="0"/>
          <w:sz w:val="24"/>
          <w:szCs w:val="24"/>
          <w:lang w:val="zh-CN" w:eastAsia="zh-CN" w:bidi="zh-CN"/>
        </w:rPr>
        <w:t>日 1</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地点：乌鲁木齐市经济技术开发区上海路浦东街三号创新空间一楼会议室</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eastAsia" w:ascii="仿宋" w:hAnsi="仿宋" w:eastAsia="仿宋" w:cs="仿宋"/>
          <w:b/>
          <w:bCs/>
          <w:color w:val="auto"/>
          <w:kern w:val="0"/>
          <w:sz w:val="24"/>
          <w:szCs w:val="24"/>
          <w:lang w:val="zh-CN" w:eastAsia="zh-CN" w:bidi="zh-CN"/>
        </w:rPr>
      </w:pPr>
      <w:bookmarkStart w:id="39" w:name="_Toc29117"/>
      <w:bookmarkStart w:id="40" w:name="_Toc5204"/>
      <w:bookmarkStart w:id="41" w:name="_Toc27325"/>
      <w:bookmarkStart w:id="42" w:name="_Toc6601"/>
      <w:r>
        <w:rPr>
          <w:rFonts w:hint="eastAsia" w:ascii="仿宋" w:hAnsi="仿宋" w:eastAsia="仿宋" w:cs="仿宋"/>
          <w:b/>
          <w:bCs/>
          <w:color w:val="auto"/>
          <w:kern w:val="0"/>
          <w:sz w:val="24"/>
          <w:szCs w:val="24"/>
          <w:lang w:val="zh-CN" w:eastAsia="zh-CN" w:bidi="zh-CN"/>
        </w:rPr>
        <w:t>六、公告期限</w:t>
      </w:r>
      <w:bookmarkEnd w:id="39"/>
      <w:bookmarkEnd w:id="40"/>
      <w:bookmarkEnd w:id="41"/>
      <w:bookmarkEnd w:id="42"/>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自本公告发布之日起</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个工作日。</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default" w:ascii="仿宋" w:hAnsi="仿宋" w:eastAsia="仿宋" w:cs="仿宋"/>
          <w:b/>
          <w:bCs/>
          <w:color w:val="auto"/>
          <w:kern w:val="0"/>
          <w:sz w:val="24"/>
          <w:szCs w:val="24"/>
          <w:lang w:val="zh-CN" w:eastAsia="zh-CN" w:bidi="zh-CN"/>
        </w:rPr>
      </w:pPr>
      <w:bookmarkStart w:id="43" w:name="_Toc11449"/>
      <w:bookmarkStart w:id="44" w:name="_Toc15043"/>
      <w:bookmarkStart w:id="45" w:name="_Toc13950"/>
      <w:bookmarkStart w:id="46" w:name="_Toc9227"/>
      <w:r>
        <w:rPr>
          <w:rFonts w:hint="default" w:ascii="仿宋" w:hAnsi="仿宋" w:eastAsia="仿宋" w:cs="仿宋"/>
          <w:b/>
          <w:bCs/>
          <w:color w:val="auto"/>
          <w:kern w:val="0"/>
          <w:sz w:val="24"/>
          <w:szCs w:val="24"/>
          <w:lang w:val="zh-CN" w:eastAsia="zh-CN" w:bidi="zh-CN"/>
        </w:rPr>
        <w:t>七、其他补充事宜 </w:t>
      </w:r>
      <w:bookmarkEnd w:id="43"/>
      <w:bookmarkEnd w:id="44"/>
      <w:bookmarkEnd w:id="45"/>
      <w:bookmarkEnd w:id="46"/>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1</w:t>
      </w:r>
      <w:r>
        <w:rPr>
          <w:rFonts w:hint="eastAsia" w:ascii="仿宋" w:hAnsi="仿宋" w:eastAsia="仿宋" w:cs="仿宋"/>
          <w:i w:val="0"/>
          <w:caps w:val="0"/>
          <w:color w:val="auto"/>
          <w:spacing w:val="0"/>
          <w:sz w:val="24"/>
          <w:szCs w:val="24"/>
          <w:lang w:val="en-US" w:eastAsia="zh-CN" w:bidi="zh-CN"/>
        </w:rPr>
        <w:t>.</w:t>
      </w:r>
      <w:r>
        <w:rPr>
          <w:rFonts w:hint="eastAsia" w:ascii="仿宋" w:hAnsi="仿宋" w:eastAsia="仿宋" w:cs="仿宋"/>
          <w:i w:val="0"/>
          <w:caps w:val="0"/>
          <w:color w:val="auto"/>
          <w:spacing w:val="0"/>
          <w:sz w:val="24"/>
          <w:szCs w:val="24"/>
          <w:lang w:val="zh-CN" w:eastAsia="zh-CN" w:bidi="zh-CN"/>
        </w:rPr>
        <w:t>本次</w:t>
      </w:r>
      <w:r>
        <w:rPr>
          <w:rFonts w:hint="eastAsia" w:ascii="仿宋" w:hAnsi="仿宋" w:eastAsia="仿宋" w:cs="仿宋"/>
          <w:i w:val="0"/>
          <w:caps w:val="0"/>
          <w:color w:val="auto"/>
          <w:spacing w:val="0"/>
          <w:sz w:val="24"/>
          <w:szCs w:val="24"/>
          <w:lang w:val="en-US" w:eastAsia="zh-CN" w:bidi="zh-CN"/>
        </w:rPr>
        <w:t>磋商</w:t>
      </w:r>
      <w:r>
        <w:rPr>
          <w:rFonts w:hint="eastAsia" w:ascii="仿宋" w:hAnsi="仿宋" w:eastAsia="仿宋" w:cs="仿宋"/>
          <w:i w:val="0"/>
          <w:caps w:val="0"/>
          <w:color w:val="auto"/>
          <w:spacing w:val="0"/>
          <w:sz w:val="24"/>
          <w:szCs w:val="24"/>
          <w:lang w:val="zh-CN" w:eastAsia="zh-CN" w:bidi="zh-CN"/>
        </w:rPr>
        <w:t>公告在</w:t>
      </w:r>
      <w:r>
        <w:rPr>
          <w:rFonts w:hint="eastAsia" w:ascii="仿宋" w:hAnsi="仿宋" w:eastAsia="仿宋" w:cs="仿宋"/>
          <w:i w:val="0"/>
          <w:caps w:val="0"/>
          <w:color w:val="auto"/>
          <w:spacing w:val="0"/>
          <w:sz w:val="24"/>
          <w:szCs w:val="24"/>
          <w:lang w:val="en-US" w:eastAsia="zh-CN" w:bidi="zh-CN"/>
        </w:rPr>
        <w:t>新疆</w:t>
      </w:r>
      <w:r>
        <w:rPr>
          <w:rFonts w:hint="eastAsia" w:ascii="仿宋" w:hAnsi="仿宋" w:eastAsia="仿宋" w:cs="仿宋"/>
          <w:i w:val="0"/>
          <w:caps w:val="0"/>
          <w:color w:val="auto"/>
          <w:spacing w:val="0"/>
          <w:sz w:val="24"/>
          <w:szCs w:val="24"/>
          <w:lang w:val="zh-CN" w:eastAsia="zh-CN" w:bidi="zh-CN"/>
        </w:rPr>
        <w:t>政府采购网上发布，其他媒体转载无效。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2.凡有意参加本次政府采购的企业请按以下内容发送至邮箱1767495113@qq.com：</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（1）供应商发送邮箱“主题”包含项目名称及编号；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（2）供应商发送邮箱“正文”包含以下内容：1）项目名称（包号）、2）项目编号；3）公司名称；4）联系人；5）联系电话；6）邮箱号；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（3）供应商发送邮箱“附件”包含：法定代表人证明或身份证扫描件、授权委托书和本人身份证扫描件（法定代表人不需要）、营业执照副本扫描件，扫描件需加盖公章。</w:t>
      </w:r>
    </w:p>
    <w:p>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0" w:right="0"/>
        <w:jc w:val="left"/>
        <w:textAlignment w:val="auto"/>
        <w:outlineLvl w:val="9"/>
        <w:rPr>
          <w:rFonts w:hint="default" w:ascii="仿宋" w:hAnsi="仿宋" w:eastAsia="仿宋" w:cs="仿宋"/>
          <w:b/>
          <w:bCs/>
          <w:color w:val="auto"/>
          <w:kern w:val="0"/>
          <w:sz w:val="24"/>
          <w:szCs w:val="24"/>
          <w:lang w:val="zh-CN" w:eastAsia="zh-CN" w:bidi="zh-CN"/>
        </w:rPr>
      </w:pPr>
      <w:bookmarkStart w:id="47" w:name="_Toc9444"/>
      <w:bookmarkStart w:id="48" w:name="_Toc31793"/>
      <w:bookmarkStart w:id="49" w:name="_Toc18463"/>
      <w:bookmarkStart w:id="50" w:name="_Toc10604"/>
      <w:r>
        <w:rPr>
          <w:rFonts w:hint="default" w:ascii="仿宋" w:hAnsi="仿宋" w:eastAsia="仿宋" w:cs="仿宋"/>
          <w:b/>
          <w:bCs/>
          <w:color w:val="auto"/>
          <w:kern w:val="0"/>
          <w:sz w:val="24"/>
          <w:szCs w:val="24"/>
          <w:lang w:val="zh-CN" w:eastAsia="zh-CN" w:bidi="zh-CN"/>
        </w:rPr>
        <w:t>八、凡对本次招标提出询问，请按以下方式联系</w:t>
      </w:r>
      <w:bookmarkEnd w:id="47"/>
      <w:bookmarkEnd w:id="48"/>
      <w:bookmarkEnd w:id="49"/>
      <w:bookmarkEnd w:id="50"/>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bookmarkStart w:id="51" w:name="_Toc20032"/>
      <w:bookmarkStart w:id="52" w:name="_Toc218"/>
      <w:bookmarkStart w:id="53" w:name="_Toc31985"/>
      <w:r>
        <w:rPr>
          <w:rFonts w:hint="eastAsia" w:ascii="仿宋" w:hAnsi="仿宋" w:eastAsia="仿宋" w:cs="仿宋"/>
          <w:i w:val="0"/>
          <w:caps w:val="0"/>
          <w:color w:val="auto"/>
          <w:spacing w:val="0"/>
          <w:sz w:val="24"/>
          <w:szCs w:val="24"/>
          <w:lang w:val="en-US" w:eastAsia="zh-CN" w:bidi="zh-CN"/>
        </w:rPr>
        <w:t>1.采购人信息</w:t>
      </w:r>
      <w:bookmarkEnd w:id="51"/>
      <w:bookmarkEnd w:id="52"/>
      <w:bookmarkEnd w:id="53"/>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名 称：新疆维吾尔自治区第二济困医院（新疆维吾尔自治区第五人民医院）</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地 址：新疆维吾尔自治区乌鲁木齐市新市区喀什西路159号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联系方式： 0991-5269101</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bookmarkStart w:id="54" w:name="_Toc12502"/>
      <w:bookmarkStart w:id="55" w:name="_Toc13541"/>
      <w:bookmarkStart w:id="56" w:name="_Toc19411"/>
      <w:r>
        <w:rPr>
          <w:rFonts w:hint="eastAsia" w:ascii="仿宋" w:hAnsi="仿宋" w:eastAsia="仿宋" w:cs="仿宋"/>
          <w:i w:val="0"/>
          <w:caps w:val="0"/>
          <w:color w:val="auto"/>
          <w:spacing w:val="0"/>
          <w:sz w:val="24"/>
          <w:szCs w:val="24"/>
          <w:lang w:val="en-US" w:eastAsia="zh-CN" w:bidi="zh-CN"/>
        </w:rPr>
        <w:t>2.采购代理机构信息</w:t>
      </w:r>
      <w:bookmarkEnd w:id="54"/>
      <w:bookmarkEnd w:id="55"/>
      <w:bookmarkEnd w:id="56"/>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名 称：新疆华恒惠欣工程项目管理有限责任公司</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地 址：乌鲁木齐市经济技术开发区上海路浦东街三号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联系方式：冯工 18130912292</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bookmarkStart w:id="57" w:name="_Toc2458"/>
      <w:bookmarkStart w:id="58" w:name="_Toc25972"/>
      <w:bookmarkStart w:id="59" w:name="_Toc8953"/>
      <w:r>
        <w:rPr>
          <w:rFonts w:hint="eastAsia" w:ascii="仿宋" w:hAnsi="仿宋" w:eastAsia="仿宋" w:cs="仿宋"/>
          <w:i w:val="0"/>
          <w:caps w:val="0"/>
          <w:color w:val="auto"/>
          <w:spacing w:val="0"/>
          <w:sz w:val="24"/>
          <w:szCs w:val="24"/>
          <w:lang w:val="en-US" w:eastAsia="zh-CN" w:bidi="zh-CN"/>
        </w:rPr>
        <w:t>3.项目联系方式</w:t>
      </w:r>
      <w:bookmarkEnd w:id="57"/>
      <w:bookmarkEnd w:id="58"/>
      <w:bookmarkEnd w:id="59"/>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eastAsia"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项目联系人：冯工</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leftChars="0" w:right="0" w:firstLine="480" w:firstLineChars="200"/>
        <w:jc w:val="left"/>
        <w:textAlignment w:val="auto"/>
        <w:outlineLvl w:val="9"/>
        <w:rPr>
          <w:rFonts w:hint="default" w:ascii="仿宋" w:hAnsi="仿宋" w:eastAsia="仿宋" w:cs="仿宋"/>
          <w:i w:val="0"/>
          <w:caps w:val="0"/>
          <w:color w:val="auto"/>
          <w:spacing w:val="0"/>
          <w:sz w:val="24"/>
          <w:szCs w:val="24"/>
          <w:lang w:val="en-US" w:eastAsia="zh-CN" w:bidi="zh-CN"/>
        </w:rPr>
      </w:pPr>
      <w:r>
        <w:rPr>
          <w:rFonts w:hint="eastAsia" w:ascii="仿宋" w:hAnsi="仿宋" w:eastAsia="仿宋" w:cs="仿宋"/>
          <w:i w:val="0"/>
          <w:caps w:val="0"/>
          <w:color w:val="auto"/>
          <w:spacing w:val="0"/>
          <w:sz w:val="24"/>
          <w:szCs w:val="24"/>
          <w:lang w:val="en-US" w:eastAsia="zh-CN" w:bidi="zh-CN"/>
        </w:rPr>
        <w:t>电 话：18130912292</w:t>
      </w:r>
    </w:p>
    <w:p>
      <w:pPr>
        <w:keepNext w:val="0"/>
        <w:keepLines w:val="0"/>
        <w:pageBreakBefore w:val="0"/>
        <w:kinsoku/>
        <w:overflowPunct/>
        <w:topLinePunct w:val="0"/>
        <w:autoSpaceDE w:val="0"/>
        <w:autoSpaceDN w:val="0"/>
        <w:bidi w:val="0"/>
        <w:adjustRightInd/>
        <w:snapToGrid/>
        <w:spacing w:line="360" w:lineRule="auto"/>
        <w:outlineLvl w:val="9"/>
      </w:pPr>
    </w:p>
    <w:p>
      <w:pPr>
        <w:pStyle w:val="1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right"/>
        <w:textAlignment w:val="auto"/>
        <w:outlineLvl w:val="9"/>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新疆华恒惠欣工程项目管理有限责任公司</w:t>
      </w:r>
    </w:p>
    <w:p>
      <w:pPr>
        <w:keepNext w:val="0"/>
        <w:keepLines w:val="0"/>
        <w:pageBreakBefore w:val="0"/>
        <w:kinsoku/>
        <w:overflowPunct/>
        <w:topLinePunct w:val="0"/>
        <w:autoSpaceDE w:val="0"/>
        <w:autoSpaceDN w:val="0"/>
        <w:bidi w:val="0"/>
        <w:adjustRightInd/>
        <w:snapToGrid/>
        <w:spacing w:line="288" w:lineRule="auto"/>
        <w:ind w:firstLine="6720" w:firstLineChars="2800"/>
        <w:rPr>
          <w:rFonts w:hint="eastAsia" w:ascii="仿宋" w:hAnsi="仿宋" w:eastAsia="仿宋" w:cs="仿宋"/>
          <w:color w:val="auto"/>
          <w:sz w:val="32"/>
          <w:szCs w:val="32"/>
        </w:rPr>
      </w:pPr>
      <w:r>
        <w:rPr>
          <w:rFonts w:hint="eastAsia" w:ascii="仿宋" w:hAnsi="仿宋" w:eastAsia="仿宋" w:cs="仿宋"/>
          <w:color w:val="auto"/>
          <w:kern w:val="0"/>
          <w:sz w:val="24"/>
          <w:szCs w:val="24"/>
          <w:lang w:val="en-US" w:eastAsia="zh-CN" w:bidi="zh-CN"/>
        </w:rPr>
        <w:t>2022年03月16日</w:t>
      </w:r>
      <w:r>
        <w:rPr>
          <w:rFonts w:hint="eastAsia" w:ascii="仿宋" w:hAnsi="仿宋" w:eastAsia="仿宋" w:cs="仿宋"/>
          <w:color w:val="auto"/>
          <w:sz w:val="32"/>
          <w:szCs w:val="32"/>
        </w:rPr>
        <w:br w:type="page"/>
      </w:r>
    </w:p>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lang w:val="en-US" w:eastAsia="zh-CN"/>
        </w:rPr>
      </w:pPr>
      <w:bookmarkStart w:id="60" w:name="_Toc20760"/>
      <w:bookmarkStart w:id="61" w:name="_Toc24475"/>
      <w:bookmarkStart w:id="62" w:name="_Toc14751"/>
      <w:bookmarkStart w:id="63" w:name="_Toc6026"/>
      <w:bookmarkStart w:id="64" w:name="_Toc22439"/>
      <w:bookmarkStart w:id="65" w:name="_Toc16448"/>
      <w:r>
        <w:rPr>
          <w:rFonts w:hint="eastAsia" w:ascii="仿宋" w:hAnsi="仿宋" w:eastAsia="仿宋" w:cs="仿宋"/>
          <w:color w:val="auto"/>
          <w:sz w:val="36"/>
          <w:szCs w:val="36"/>
          <w:lang w:val="en-US" w:eastAsia="zh-CN"/>
        </w:rPr>
        <w:t>第二部分 采购需求</w:t>
      </w:r>
      <w:bookmarkEnd w:id="60"/>
      <w:bookmarkEnd w:id="61"/>
      <w:bookmarkEnd w:id="62"/>
      <w:bookmarkEnd w:id="63"/>
      <w:bookmarkEnd w:id="64"/>
      <w:bookmarkEnd w:id="65"/>
    </w:p>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outlineLvl w:val="9"/>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说明：1、供应商</w:t>
      </w:r>
      <w:r>
        <w:rPr>
          <w:rFonts w:hint="eastAsia" w:ascii="仿宋" w:hAnsi="仿宋" w:eastAsia="仿宋" w:cs="仿宋"/>
          <w:b/>
          <w:bCs/>
          <w:color w:val="auto"/>
          <w:kern w:val="2"/>
          <w:sz w:val="24"/>
          <w:szCs w:val="24"/>
          <w:highlight w:val="none"/>
          <w:lang w:val="en-US" w:eastAsia="zh-CN" w:bidi="ar-SA"/>
        </w:rPr>
        <w:t>应</w:t>
      </w:r>
      <w:r>
        <w:rPr>
          <w:rFonts w:hint="eastAsia" w:ascii="仿宋" w:hAnsi="仿宋" w:eastAsia="仿宋" w:cs="仿宋"/>
          <w:b/>
          <w:bCs/>
          <w:color w:val="auto"/>
          <w:kern w:val="2"/>
          <w:sz w:val="24"/>
          <w:szCs w:val="24"/>
          <w:highlight w:val="none"/>
          <w:lang w:val="en-US" w:bidi="ar-SA"/>
        </w:rPr>
        <w:t>对以本项目为单位的</w:t>
      </w:r>
      <w:r>
        <w:rPr>
          <w:rFonts w:hint="eastAsia" w:ascii="仿宋" w:hAnsi="仿宋" w:eastAsia="仿宋" w:cs="仿宋"/>
          <w:b/>
          <w:bCs/>
          <w:color w:val="auto"/>
          <w:kern w:val="2"/>
          <w:sz w:val="24"/>
          <w:szCs w:val="24"/>
          <w:highlight w:val="none"/>
          <w:lang w:val="en-US" w:eastAsia="zh-CN" w:bidi="ar-SA"/>
        </w:rPr>
        <w:t>全部供货</w:t>
      </w:r>
      <w:r>
        <w:rPr>
          <w:rFonts w:hint="eastAsia" w:ascii="仿宋" w:hAnsi="仿宋" w:eastAsia="仿宋" w:cs="仿宋"/>
          <w:b/>
          <w:bCs/>
          <w:color w:val="auto"/>
          <w:kern w:val="2"/>
          <w:sz w:val="24"/>
          <w:szCs w:val="24"/>
          <w:highlight w:val="none"/>
          <w:lang w:val="en-US" w:bidi="ar-SA"/>
        </w:rPr>
        <w:t>进行响应，任何只对其中一部分内容进行的响应都被视为无效响应。</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360" w:lineRule="auto"/>
        <w:ind w:right="0" w:rightChars="0" w:firstLine="723" w:firstLineChars="300"/>
        <w:jc w:val="both"/>
        <w:textAlignment w:val="auto"/>
        <w:outlineLvl w:val="9"/>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kern w:val="2"/>
          <w:sz w:val="24"/>
          <w:szCs w:val="24"/>
          <w:highlight w:val="none"/>
          <w:lang w:val="en-US" w:bidi="ar-SA"/>
        </w:rPr>
        <w:t>注有“</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bidi="ar-SA"/>
        </w:rPr>
        <w:t>”号的条款为重要技术条款</w:t>
      </w:r>
      <w:r>
        <w:rPr>
          <w:rFonts w:hint="eastAsia" w:ascii="仿宋" w:hAnsi="仿宋" w:eastAsia="仿宋" w:cs="仿宋"/>
          <w:b/>
          <w:bCs/>
          <w:color w:val="auto"/>
          <w:kern w:val="2"/>
          <w:sz w:val="24"/>
          <w:szCs w:val="24"/>
          <w:highlight w:val="none"/>
          <w:lang w:val="en-US" w:eastAsia="zh-CN" w:bidi="ar-SA"/>
        </w:rPr>
        <w:t>，出现负偏离为</w:t>
      </w:r>
      <w:r>
        <w:rPr>
          <w:rFonts w:hint="eastAsia" w:ascii="仿宋" w:hAnsi="仿宋" w:eastAsia="仿宋" w:cs="仿宋"/>
          <w:b/>
          <w:bCs/>
          <w:color w:val="auto"/>
          <w:kern w:val="2"/>
          <w:sz w:val="24"/>
          <w:szCs w:val="24"/>
          <w:highlight w:val="none"/>
          <w:lang w:val="en-US" w:bidi="ar-SA"/>
        </w:rPr>
        <w:t>无效响应。</w:t>
      </w:r>
    </w:p>
    <w:tbl>
      <w:tblPr>
        <w:tblStyle w:val="19"/>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3093"/>
        <w:gridCol w:w="1008"/>
        <w:gridCol w:w="2654"/>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781" w:type="dxa"/>
            <w:shd w:val="clear" w:color="auto" w:fill="auto"/>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3093" w:type="dxa"/>
            <w:shd w:val="clear" w:color="auto" w:fill="auto"/>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采购内容</w:t>
            </w:r>
          </w:p>
        </w:tc>
        <w:tc>
          <w:tcPr>
            <w:tcW w:w="1008" w:type="dxa"/>
            <w:shd w:val="clear" w:color="auto" w:fill="auto"/>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w w:val="95"/>
                <w:sz w:val="24"/>
                <w:szCs w:val="24"/>
              </w:rPr>
              <w:t>数量</w:t>
            </w:r>
          </w:p>
        </w:tc>
        <w:tc>
          <w:tcPr>
            <w:tcW w:w="2654" w:type="dxa"/>
            <w:shd w:val="clear" w:color="auto" w:fill="auto"/>
            <w:vAlign w:val="center"/>
          </w:tcPr>
          <w:p>
            <w:pPr>
              <w:pStyle w:val="29"/>
              <w:shd w:val="clear"/>
              <w:spacing w:line="480" w:lineRule="exact"/>
              <w:jc w:val="center"/>
              <w:outlineLvl w:val="9"/>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预算金额</w:t>
            </w:r>
          </w:p>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（人民币元）</w:t>
            </w:r>
          </w:p>
        </w:tc>
        <w:tc>
          <w:tcPr>
            <w:tcW w:w="2243" w:type="dxa"/>
            <w:shd w:val="clear" w:color="auto" w:fill="auto"/>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sz w:val="24"/>
                <w:szCs w:val="24"/>
                <w:lang w:val="en-US" w:eastAsia="zh-CN"/>
              </w:rPr>
              <w:t>供货服务</w:t>
            </w:r>
            <w:r>
              <w:rPr>
                <w:rFonts w:hint="eastAsia" w:ascii="仿宋" w:hAnsi="仿宋" w:eastAsia="仿宋" w:cs="仿宋"/>
                <w:b/>
                <w:sz w:val="24"/>
                <w:szCs w:val="24"/>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781" w:type="dxa"/>
            <w:shd w:val="clear" w:color="auto" w:fill="auto"/>
            <w:vAlign w:val="center"/>
          </w:tcPr>
          <w:p>
            <w:pPr>
              <w:pStyle w:val="29"/>
              <w:shd w:val="clear"/>
              <w:spacing w:line="480" w:lineRule="exact"/>
              <w:jc w:val="center"/>
              <w:outlineLvl w:val="9"/>
              <w:rPr>
                <w:rFonts w:ascii="仿宋" w:hAnsi="仿宋" w:eastAsia="仿宋" w:cs="仿宋"/>
                <w:color w:val="auto"/>
                <w:sz w:val="24"/>
                <w:szCs w:val="24"/>
              </w:rPr>
            </w:pPr>
            <w:r>
              <w:rPr>
                <w:rFonts w:hint="eastAsia" w:ascii="仿宋" w:hAnsi="仿宋" w:eastAsia="仿宋" w:cs="仿宋"/>
                <w:color w:val="auto"/>
                <w:sz w:val="24"/>
                <w:szCs w:val="24"/>
                <w:lang w:val="en-US"/>
              </w:rPr>
              <w:t>1</w:t>
            </w:r>
          </w:p>
        </w:tc>
        <w:tc>
          <w:tcPr>
            <w:tcW w:w="3093" w:type="dxa"/>
            <w:shd w:val="clear" w:color="auto" w:fill="auto"/>
            <w:vAlign w:val="center"/>
          </w:tcPr>
          <w:p>
            <w:pPr>
              <w:pStyle w:val="29"/>
              <w:shd w:val="clear"/>
              <w:spacing w:line="480" w:lineRule="exact"/>
              <w:jc w:val="center"/>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lang w:val="zh-CN" w:eastAsia="zh-CN" w:bidi="zh-CN"/>
              </w:rPr>
              <w:t>新疆维吾尔自治区第二济困医院(新疆维吾尔自治区第五人民医院)职工营养餐厅矿泉水、饮料类和一次性用品</w:t>
            </w:r>
            <w:r>
              <w:rPr>
                <w:rFonts w:hint="eastAsia" w:ascii="仿宋" w:hAnsi="仿宋" w:eastAsia="仿宋" w:cs="仿宋"/>
                <w:i w:val="0"/>
                <w:caps w:val="0"/>
                <w:color w:val="auto"/>
                <w:spacing w:val="0"/>
                <w:sz w:val="24"/>
                <w:szCs w:val="24"/>
                <w:lang w:val="en-US" w:eastAsia="zh-CN" w:bidi="zh-CN"/>
              </w:rPr>
              <w:t>供货商</w:t>
            </w:r>
            <w:r>
              <w:rPr>
                <w:rFonts w:hint="eastAsia" w:ascii="仿宋" w:hAnsi="仿宋" w:eastAsia="仿宋" w:cs="仿宋"/>
                <w:i w:val="0"/>
                <w:caps w:val="0"/>
                <w:color w:val="auto"/>
                <w:spacing w:val="0"/>
                <w:sz w:val="24"/>
                <w:szCs w:val="24"/>
                <w:lang w:val="zh-CN" w:eastAsia="zh-CN" w:bidi="zh-CN"/>
              </w:rPr>
              <w:t>采购项目</w:t>
            </w:r>
          </w:p>
        </w:tc>
        <w:tc>
          <w:tcPr>
            <w:tcW w:w="1008" w:type="dxa"/>
            <w:shd w:val="clear" w:color="auto" w:fill="auto"/>
            <w:vAlign w:val="center"/>
          </w:tcPr>
          <w:p>
            <w:pPr>
              <w:pStyle w:val="29"/>
              <w:shd w:val="clear"/>
              <w:spacing w:line="480" w:lineRule="exact"/>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1批（按需供货）</w:t>
            </w:r>
          </w:p>
        </w:tc>
        <w:tc>
          <w:tcPr>
            <w:tcW w:w="2654" w:type="dxa"/>
            <w:shd w:val="clear" w:color="auto" w:fill="auto"/>
            <w:vAlign w:val="center"/>
          </w:tcPr>
          <w:p>
            <w:pPr>
              <w:pStyle w:val="29"/>
              <w:shd w:val="clear"/>
              <w:spacing w:line="480" w:lineRule="exact"/>
              <w:jc w:val="center"/>
              <w:outlineLvl w:val="9"/>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330000</w:t>
            </w:r>
          </w:p>
        </w:tc>
        <w:tc>
          <w:tcPr>
            <w:tcW w:w="2243" w:type="dxa"/>
            <w:shd w:val="clear" w:color="auto" w:fill="auto"/>
            <w:vAlign w:val="center"/>
          </w:tcPr>
          <w:p>
            <w:pPr>
              <w:pStyle w:val="29"/>
              <w:shd w:val="clear"/>
              <w:spacing w:line="480" w:lineRule="exact"/>
              <w:jc w:val="center"/>
              <w:outlineLvl w:val="9"/>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1年</w:t>
            </w:r>
          </w:p>
        </w:tc>
      </w:tr>
    </w:tbl>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注：1</w:t>
      </w: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kern w:val="2"/>
          <w:sz w:val="24"/>
          <w:szCs w:val="24"/>
          <w:lang w:val="en-US" w:bidi="ar-SA"/>
        </w:rPr>
        <w:t>必须对本项目的全部内容进行</w:t>
      </w:r>
      <w:r>
        <w:rPr>
          <w:rFonts w:hint="eastAsia" w:ascii="仿宋" w:hAnsi="仿宋" w:eastAsia="仿宋" w:cs="仿宋"/>
          <w:color w:val="auto"/>
          <w:kern w:val="2"/>
          <w:sz w:val="24"/>
          <w:szCs w:val="24"/>
          <w:lang w:val="en-US" w:eastAsia="zh-CN" w:bidi="ar-SA"/>
        </w:rPr>
        <w:t>磋商报价</w:t>
      </w:r>
      <w:r>
        <w:rPr>
          <w:rFonts w:hint="eastAsia" w:ascii="仿宋" w:hAnsi="仿宋" w:eastAsia="仿宋" w:cs="仿宋"/>
          <w:color w:val="auto"/>
          <w:kern w:val="2"/>
          <w:sz w:val="24"/>
          <w:szCs w:val="24"/>
          <w:lang w:val="en-US" w:bidi="ar-SA"/>
        </w:rPr>
        <w:t>，如有缺漏，将导致</w:t>
      </w:r>
      <w:r>
        <w:rPr>
          <w:rFonts w:hint="eastAsia" w:ascii="仿宋" w:hAnsi="仿宋" w:eastAsia="仿宋" w:cs="仿宋"/>
          <w:color w:val="auto"/>
          <w:kern w:val="2"/>
          <w:sz w:val="24"/>
          <w:szCs w:val="24"/>
          <w:lang w:val="en-US" w:eastAsia="zh-CN" w:bidi="ar-SA"/>
        </w:rPr>
        <w:t>响应</w:t>
      </w:r>
      <w:r>
        <w:rPr>
          <w:rFonts w:hint="eastAsia" w:ascii="仿宋" w:hAnsi="仿宋" w:eastAsia="仿宋" w:cs="仿宋"/>
          <w:color w:val="auto"/>
          <w:kern w:val="2"/>
          <w:sz w:val="24"/>
          <w:szCs w:val="24"/>
          <w:lang w:val="en-US" w:bidi="ar-SA"/>
        </w:rPr>
        <w:t>无效。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2</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lang w:val="en-US" w:bidi="ar-SA"/>
        </w:rPr>
        <w:t>开标时</w:t>
      </w:r>
      <w:r>
        <w:rPr>
          <w:rFonts w:hint="eastAsia" w:ascii="仿宋" w:hAnsi="仿宋" w:eastAsia="仿宋" w:cs="仿宋"/>
          <w:color w:val="auto"/>
          <w:kern w:val="2"/>
          <w:sz w:val="24"/>
          <w:szCs w:val="24"/>
          <w:lang w:val="en-US" w:eastAsia="zh-CN" w:bidi="ar-SA"/>
        </w:rPr>
        <w:t>磋商报价</w:t>
      </w:r>
      <w:r>
        <w:rPr>
          <w:rFonts w:hint="eastAsia" w:ascii="仿宋" w:hAnsi="仿宋" w:eastAsia="仿宋" w:cs="仿宋"/>
          <w:color w:val="auto"/>
          <w:kern w:val="2"/>
          <w:sz w:val="24"/>
          <w:szCs w:val="24"/>
          <w:lang w:val="en-US" w:bidi="ar-SA"/>
        </w:rPr>
        <w:t>超过预算金额为无效</w:t>
      </w:r>
      <w:r>
        <w:rPr>
          <w:rFonts w:hint="eastAsia" w:ascii="仿宋" w:hAnsi="仿宋" w:eastAsia="仿宋" w:cs="仿宋"/>
          <w:color w:val="auto"/>
          <w:kern w:val="2"/>
          <w:sz w:val="24"/>
          <w:szCs w:val="24"/>
          <w:lang w:val="en-US" w:eastAsia="zh-CN" w:bidi="ar-SA"/>
        </w:rPr>
        <w:t>响应</w:t>
      </w:r>
      <w:r>
        <w:rPr>
          <w:rFonts w:hint="eastAsia" w:ascii="仿宋" w:hAnsi="仿宋" w:eastAsia="仿宋" w:cs="仿宋"/>
          <w:color w:val="auto"/>
          <w:kern w:val="2"/>
          <w:sz w:val="24"/>
          <w:szCs w:val="24"/>
          <w:lang w:val="en-US"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3</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lang w:val="en-US" w:bidi="ar-SA"/>
        </w:rPr>
        <w:t>本项目为政府采购项目。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一、采购标的需实现的功能或者目标，以及为落实政府采购政策需满足的要求：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（一）采购标的需实现的功能或者目标</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本次招标采购是为</w:t>
      </w:r>
      <w:r>
        <w:rPr>
          <w:rFonts w:hint="eastAsia" w:ascii="仿宋" w:hAnsi="仿宋" w:eastAsia="仿宋" w:cs="仿宋"/>
          <w:i w:val="0"/>
          <w:caps w:val="0"/>
          <w:color w:val="auto"/>
          <w:spacing w:val="0"/>
          <w:sz w:val="24"/>
          <w:szCs w:val="24"/>
          <w:lang w:val="zh-CN" w:eastAsia="zh-CN" w:bidi="zh-CN"/>
        </w:rPr>
        <w:t>新疆维吾尔自治区第二济困医院(新疆维吾尔自治区第五人民医院)职工营养餐厅矿泉水、饮料类和一次性用品</w:t>
      </w:r>
      <w:r>
        <w:rPr>
          <w:rFonts w:hint="eastAsia" w:ascii="仿宋" w:hAnsi="仿宋" w:eastAsia="仿宋" w:cs="仿宋"/>
          <w:i w:val="0"/>
          <w:caps w:val="0"/>
          <w:color w:val="auto"/>
          <w:spacing w:val="0"/>
          <w:sz w:val="24"/>
          <w:szCs w:val="24"/>
          <w:lang w:val="en-US" w:eastAsia="zh-CN" w:bidi="zh-CN"/>
        </w:rPr>
        <w:t>供货商</w:t>
      </w:r>
      <w:r>
        <w:rPr>
          <w:rFonts w:hint="eastAsia" w:ascii="仿宋" w:hAnsi="仿宋" w:eastAsia="仿宋" w:cs="仿宋"/>
          <w:i w:val="0"/>
          <w:caps w:val="0"/>
          <w:color w:val="auto"/>
          <w:spacing w:val="0"/>
          <w:sz w:val="24"/>
          <w:szCs w:val="24"/>
          <w:lang w:val="zh-CN" w:eastAsia="zh-CN" w:bidi="zh-CN"/>
        </w:rPr>
        <w:t>采购项目</w:t>
      </w:r>
      <w:r>
        <w:rPr>
          <w:rFonts w:hint="eastAsia" w:ascii="仿宋" w:hAnsi="仿宋" w:eastAsia="仿宋" w:cs="仿宋"/>
          <w:color w:val="auto"/>
          <w:kern w:val="2"/>
          <w:sz w:val="24"/>
          <w:szCs w:val="24"/>
          <w:lang w:val="en-US" w:bidi="ar-SA"/>
        </w:rPr>
        <w:t>，供应商应根据</w:t>
      </w:r>
      <w:r>
        <w:rPr>
          <w:rFonts w:hint="eastAsia" w:ascii="仿宋" w:hAnsi="仿宋" w:eastAsia="仿宋" w:cs="仿宋"/>
          <w:color w:val="auto"/>
          <w:kern w:val="2"/>
          <w:sz w:val="24"/>
          <w:szCs w:val="24"/>
          <w:lang w:val="en-US" w:eastAsia="zh-CN" w:bidi="ar-SA"/>
        </w:rPr>
        <w:t>竞争性磋商文件</w:t>
      </w:r>
      <w:r>
        <w:rPr>
          <w:rFonts w:hint="eastAsia" w:ascii="仿宋" w:hAnsi="仿宋" w:eastAsia="仿宋" w:cs="仿宋"/>
          <w:color w:val="auto"/>
          <w:kern w:val="2"/>
          <w:sz w:val="24"/>
          <w:szCs w:val="24"/>
          <w:lang w:val="en-US" w:bidi="ar-SA"/>
        </w:rPr>
        <w:t>所提出的</w:t>
      </w:r>
      <w:r>
        <w:rPr>
          <w:rFonts w:hint="eastAsia" w:ascii="仿宋" w:hAnsi="仿宋" w:eastAsia="仿宋" w:cs="仿宋"/>
          <w:color w:val="auto"/>
          <w:kern w:val="2"/>
          <w:sz w:val="24"/>
          <w:szCs w:val="24"/>
          <w:lang w:val="en-US" w:eastAsia="zh-CN" w:bidi="ar-SA"/>
        </w:rPr>
        <w:t>产品</w:t>
      </w:r>
      <w:r>
        <w:rPr>
          <w:rFonts w:hint="eastAsia" w:ascii="仿宋" w:hAnsi="仿宋" w:eastAsia="仿宋" w:cs="仿宋"/>
          <w:color w:val="auto"/>
          <w:kern w:val="2"/>
          <w:sz w:val="24"/>
          <w:szCs w:val="24"/>
          <w:lang w:val="en-US" w:bidi="ar-SA"/>
        </w:rPr>
        <w:t>规格和服务要求，综合考虑</w:t>
      </w:r>
      <w:r>
        <w:rPr>
          <w:rFonts w:hint="eastAsia" w:ascii="仿宋" w:hAnsi="仿宋" w:eastAsia="仿宋" w:cs="仿宋"/>
          <w:color w:val="auto"/>
          <w:kern w:val="2"/>
          <w:sz w:val="24"/>
          <w:szCs w:val="24"/>
          <w:lang w:val="en-US" w:eastAsia="zh-CN" w:bidi="ar-SA"/>
        </w:rPr>
        <w:t>商品</w:t>
      </w:r>
      <w:r>
        <w:rPr>
          <w:rFonts w:hint="eastAsia" w:ascii="仿宋" w:hAnsi="仿宋" w:eastAsia="仿宋" w:cs="仿宋"/>
          <w:color w:val="auto"/>
          <w:kern w:val="2"/>
          <w:sz w:val="24"/>
          <w:szCs w:val="24"/>
          <w:lang w:val="en-US" w:bidi="ar-SA"/>
        </w:rPr>
        <w:t>的适用性，及性能价格比前来</w:t>
      </w:r>
      <w:r>
        <w:rPr>
          <w:rFonts w:hint="eastAsia" w:ascii="仿宋" w:hAnsi="仿宋" w:eastAsia="仿宋" w:cs="仿宋"/>
          <w:color w:val="auto"/>
          <w:kern w:val="2"/>
          <w:sz w:val="24"/>
          <w:szCs w:val="24"/>
          <w:lang w:val="en-US" w:eastAsia="zh-CN" w:bidi="ar-SA"/>
        </w:rPr>
        <w:t>响应</w:t>
      </w:r>
      <w:r>
        <w:rPr>
          <w:rFonts w:hint="eastAsia" w:ascii="仿宋" w:hAnsi="仿宋" w:eastAsia="仿宋" w:cs="仿宋"/>
          <w:color w:val="auto"/>
          <w:kern w:val="2"/>
          <w:sz w:val="24"/>
          <w:szCs w:val="24"/>
          <w:lang w:val="en-US" w:bidi="ar-SA"/>
        </w:rPr>
        <w:t>。供应商应以</w:t>
      </w:r>
      <w:r>
        <w:rPr>
          <w:rFonts w:hint="eastAsia" w:ascii="仿宋" w:hAnsi="仿宋" w:eastAsia="仿宋" w:cs="仿宋"/>
          <w:color w:val="auto"/>
          <w:kern w:val="2"/>
          <w:sz w:val="24"/>
          <w:szCs w:val="24"/>
          <w:lang w:val="en-US" w:eastAsia="zh-CN" w:bidi="ar-SA"/>
        </w:rPr>
        <w:t>优良的商品</w:t>
      </w:r>
      <w:r>
        <w:rPr>
          <w:rFonts w:hint="eastAsia" w:ascii="仿宋" w:hAnsi="仿宋" w:eastAsia="仿宋" w:cs="仿宋"/>
          <w:color w:val="auto"/>
          <w:kern w:val="2"/>
          <w:sz w:val="24"/>
          <w:szCs w:val="24"/>
          <w:lang w:val="en-US" w:bidi="ar-SA"/>
        </w:rPr>
        <w:t>、优良的服务和优惠的价格，充分显示自己的竞争实力。</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bidi="ar-SA"/>
        </w:rPr>
        <w:t>（二）为落实政府采购政策需满足的要求（专门面向中小企业采购或预留份额的情况不享受政策优惠扣除）</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促进中小企业发展政策：根据《政府采购促进中小企业发展管理办法》的通知（财库〔2020〕46号）规定，本项目供应商所投产品为中小企业制造的，供应商应出具</w:t>
      </w:r>
      <w:r>
        <w:rPr>
          <w:rFonts w:hint="eastAsia" w:ascii="仿宋" w:hAnsi="仿宋" w:eastAsia="仿宋" w:cs="仿宋"/>
          <w:color w:val="auto"/>
          <w:kern w:val="2"/>
          <w:sz w:val="24"/>
          <w:szCs w:val="24"/>
          <w:highlight w:val="none"/>
          <w:lang w:val="en-US" w:eastAsia="zh-CN" w:bidi="ar-SA"/>
        </w:rPr>
        <w:t>竞争性磋商文件</w:t>
      </w:r>
      <w:r>
        <w:rPr>
          <w:rFonts w:hint="eastAsia" w:ascii="仿宋" w:hAnsi="仿宋" w:eastAsia="仿宋" w:cs="仿宋"/>
          <w:color w:val="auto"/>
          <w:kern w:val="2"/>
          <w:sz w:val="24"/>
          <w:szCs w:val="24"/>
          <w:highlight w:val="none"/>
          <w:lang w:val="en-US" w:bidi="ar-SA"/>
        </w:rPr>
        <w:t>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监狱企业扶持政策：供应商如为监狱企业将视同为小型或微型企业，且所投产品为小型或微型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促进残疾人就业政府采购政策：根据《三部门联合发布关于促进残疾人就业政府采购政策的通知》（财库〔2017〕141号）规定，符合条件的残疾人福利性单位在参加本项目政府采购活动时，供应商应出具竞争性磋商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4.鼓励节能政策：</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所投产品如属于财政部、国家发展改革委发布的最新一期的《节能产品政府采购清单》中的产品，</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需提供证明材料。《节能产品政府采购清单》可以在中国政府采购网（http：//www.ccgp.gov.cn/）上查阅下载。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5.鼓励环保政策：</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所投产品如属于财政部、环境保护部发布的最新一期的《环境标志产品政府采购清单》中的产品，</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需提供证明材料。《环境标志产品政府采购清单》可以在中国政府采购网（http：//www.ccgp.gov.cn/）上查阅下载。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（三）积极响应国家扶贫采购相关政策，配合采购人完成扶贫采购任务。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kern w:val="2"/>
          <w:sz w:val="24"/>
          <w:szCs w:val="24"/>
          <w:lang w:val="en-US" w:bidi="ar-SA"/>
        </w:rPr>
        <w:t>采购标的需执行的国家相关标准、行业标准、地方标准或者其他标准、规范：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1.食堂采购的正规包装食品部分：生产企业必须通过ISO22000食品安全管理体系、ISO9001质量管理体系、ISO14001环境管理体系认证。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2.食堂采购的散装食品部分，必须标明产品的产地、生产时间和品级等与食品质量和品级有关的生产、卫生和安全等相关要素、供应品种丰富且价格不能高于周边市场价。</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响应产品及制造商应符合国家有关部门规定的相应技术法规及标准，如国家有关部门对响应产品或其制造商有强制性规定或要求的，响应产品或其制造商必须符合相应规定或要求，供应商须提供相关证明文件的复印件并加盖单位公章。</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三、采购标的的数量、采购项目交付或者实施的时间和地点：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eastAsia="zh-CN" w:bidi="ar-SA"/>
        </w:rPr>
      </w:pPr>
      <w:bookmarkStart w:id="66" w:name="_Toc15260"/>
      <w:bookmarkStart w:id="67" w:name="_Toc23719"/>
      <w:bookmarkStart w:id="68" w:name="_Toc23862"/>
      <w:r>
        <w:rPr>
          <w:rFonts w:hint="eastAsia" w:ascii="仿宋" w:hAnsi="仿宋" w:eastAsia="仿宋" w:cs="仿宋"/>
          <w:b/>
          <w:bCs/>
          <w:color w:val="auto"/>
          <w:kern w:val="2"/>
          <w:sz w:val="24"/>
          <w:szCs w:val="24"/>
          <w:lang w:val="en-US" w:bidi="ar-SA"/>
        </w:rPr>
        <w:t>（一）采购标的</w:t>
      </w:r>
      <w:r>
        <w:rPr>
          <w:rFonts w:hint="eastAsia" w:ascii="仿宋" w:hAnsi="仿宋" w:eastAsia="仿宋" w:cs="仿宋"/>
          <w:b/>
          <w:bCs/>
          <w:color w:val="auto"/>
          <w:kern w:val="2"/>
          <w:sz w:val="24"/>
          <w:szCs w:val="24"/>
          <w:lang w:val="en-US" w:eastAsia="zh-CN" w:bidi="ar-SA"/>
        </w:rPr>
        <w:t>内容</w:t>
      </w:r>
    </w:p>
    <w:tbl>
      <w:tblPr>
        <w:tblStyle w:val="19"/>
        <w:tblW w:w="93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88"/>
        <w:gridCol w:w="4677"/>
        <w:gridCol w:w="12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44"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2688"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品目名称</w:t>
            </w:r>
          </w:p>
        </w:tc>
        <w:tc>
          <w:tcPr>
            <w:tcW w:w="4677"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w:t>
            </w:r>
          </w:p>
        </w:tc>
        <w:tc>
          <w:tcPr>
            <w:tcW w:w="123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44"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2688"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i w:val="0"/>
                <w:caps w:val="0"/>
                <w:color w:val="auto"/>
                <w:spacing w:val="0"/>
                <w:sz w:val="24"/>
                <w:szCs w:val="24"/>
                <w:lang w:val="zh-CN" w:eastAsia="zh-CN" w:bidi="zh-CN"/>
              </w:rPr>
              <w:t>职工营养餐厅矿泉水、饮料类和一次性用品</w:t>
            </w:r>
            <w:r>
              <w:rPr>
                <w:rFonts w:hint="eastAsia" w:ascii="仿宋" w:hAnsi="仿宋" w:eastAsia="仿宋" w:cs="仿宋"/>
                <w:i w:val="0"/>
                <w:caps w:val="0"/>
                <w:color w:val="auto"/>
                <w:spacing w:val="0"/>
                <w:sz w:val="24"/>
                <w:szCs w:val="24"/>
                <w:lang w:val="en-US" w:eastAsia="zh-CN" w:bidi="zh-CN"/>
              </w:rPr>
              <w:t>供货商</w:t>
            </w:r>
            <w:r>
              <w:rPr>
                <w:rFonts w:hint="eastAsia" w:ascii="仿宋" w:hAnsi="仿宋" w:eastAsia="仿宋" w:cs="仿宋"/>
                <w:i w:val="0"/>
                <w:caps w:val="0"/>
                <w:color w:val="auto"/>
                <w:spacing w:val="0"/>
                <w:sz w:val="24"/>
                <w:szCs w:val="24"/>
                <w:lang w:val="zh-CN" w:eastAsia="zh-CN" w:bidi="zh-CN"/>
              </w:rPr>
              <w:t>采购项目</w:t>
            </w:r>
          </w:p>
        </w:tc>
        <w:tc>
          <w:tcPr>
            <w:tcW w:w="4677"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i w:val="0"/>
                <w:caps w:val="0"/>
                <w:color w:val="auto"/>
                <w:spacing w:val="0"/>
                <w:sz w:val="24"/>
                <w:szCs w:val="24"/>
                <w:lang w:val="zh-CN" w:eastAsia="zh-CN" w:bidi="zh-CN"/>
              </w:rPr>
              <w:t>职工营养餐厅矿泉水、饮料类和一次性用品采购</w:t>
            </w:r>
            <w:r>
              <w:rPr>
                <w:rFonts w:hint="eastAsia" w:ascii="仿宋" w:hAnsi="仿宋" w:eastAsia="仿宋" w:cs="仿宋"/>
                <w:color w:val="auto"/>
                <w:kern w:val="2"/>
                <w:sz w:val="24"/>
                <w:szCs w:val="24"/>
                <w:lang w:val="en-US" w:eastAsia="zh-CN" w:bidi="ar-SA"/>
              </w:rPr>
              <w:t>。包括但不限于此类内容，采购人可根据实际需要调整采购内容。</w:t>
            </w:r>
          </w:p>
        </w:tc>
        <w:tc>
          <w:tcPr>
            <w:tcW w:w="123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1批（按需供货）</w:t>
            </w:r>
          </w:p>
        </w:tc>
      </w:tr>
    </w:tbl>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（二）采购项目交付或者实施的时间和地点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1.采购项目（标的）实施的时间：</w:t>
      </w:r>
      <w:r>
        <w:rPr>
          <w:rFonts w:hint="eastAsia" w:ascii="仿宋" w:hAnsi="仿宋" w:eastAsia="仿宋" w:cs="仿宋"/>
          <w:color w:val="auto"/>
          <w:kern w:val="2"/>
          <w:sz w:val="24"/>
          <w:szCs w:val="24"/>
          <w:highlight w:val="none"/>
          <w:lang w:val="en-US" w:eastAsia="zh-CN" w:bidi="ar-SA"/>
        </w:rPr>
        <w:t>按采购人签订合同</w:t>
      </w:r>
      <w:r>
        <w:rPr>
          <w:rFonts w:hint="eastAsia" w:ascii="仿宋" w:hAnsi="仿宋" w:eastAsia="仿宋" w:cs="仿宋"/>
          <w:color w:val="auto"/>
          <w:kern w:val="2"/>
          <w:sz w:val="24"/>
          <w:szCs w:val="24"/>
          <w:highlight w:val="none"/>
          <w:lang w:val="en-US" w:bidi="ar-SA"/>
        </w:rPr>
        <w:t>具体要求</w:t>
      </w:r>
      <w:r>
        <w:rPr>
          <w:rFonts w:hint="eastAsia" w:ascii="仿宋" w:hAnsi="仿宋" w:eastAsia="仿宋" w:cs="仿宋"/>
          <w:color w:val="auto"/>
          <w:kern w:val="2"/>
          <w:sz w:val="24"/>
          <w:szCs w:val="24"/>
          <w:highlight w:val="none"/>
          <w:lang w:val="en-US" w:eastAsia="zh-CN" w:bidi="ar-SA"/>
        </w:rPr>
        <w:t>时间和频次</w:t>
      </w:r>
      <w:r>
        <w:rPr>
          <w:rFonts w:hint="eastAsia" w:ascii="仿宋" w:hAnsi="仿宋" w:eastAsia="仿宋" w:cs="仿宋"/>
          <w:color w:val="auto"/>
          <w:kern w:val="2"/>
          <w:sz w:val="24"/>
          <w:szCs w:val="24"/>
          <w:highlight w:val="none"/>
          <w:lang w:val="en-US" w:bidi="ar-SA"/>
        </w:rPr>
        <w:t>进行配送</w:t>
      </w:r>
      <w:r>
        <w:rPr>
          <w:rFonts w:hint="eastAsia" w:ascii="仿宋" w:hAnsi="仿宋" w:eastAsia="仿宋" w:cs="仿宋"/>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2.采购项目（标的）实施的地点：</w:t>
      </w:r>
      <w:r>
        <w:rPr>
          <w:rFonts w:hint="eastAsia" w:ascii="仿宋" w:hAnsi="仿宋" w:eastAsia="仿宋" w:cs="仿宋"/>
          <w:color w:val="auto"/>
          <w:kern w:val="2"/>
          <w:sz w:val="24"/>
          <w:szCs w:val="24"/>
          <w:highlight w:val="none"/>
          <w:lang w:val="en-US" w:eastAsia="zh-CN" w:bidi="ar-SA"/>
        </w:rPr>
        <w:t>按采购人指定地点，</w:t>
      </w:r>
      <w:r>
        <w:rPr>
          <w:rStyle w:val="60"/>
          <w:rFonts w:ascii="仿宋_GB2312" w:hAnsi="仿宋_GB2312" w:eastAsia="仿宋_GB2312"/>
          <w:sz w:val="24"/>
        </w:rPr>
        <w:t>并确保及时配合</w:t>
      </w:r>
      <w:r>
        <w:rPr>
          <w:rStyle w:val="60"/>
          <w:rFonts w:hint="eastAsia" w:ascii="仿宋_GB2312" w:hAnsi="仿宋_GB2312" w:eastAsia="仿宋_GB2312"/>
          <w:sz w:val="24"/>
          <w:lang w:val="en-US" w:eastAsia="zh-CN"/>
        </w:rPr>
        <w:t>采购人</w:t>
      </w:r>
      <w:r>
        <w:rPr>
          <w:rStyle w:val="60"/>
          <w:rFonts w:ascii="仿宋_GB2312" w:hAnsi="仿宋_GB2312" w:eastAsia="仿宋_GB2312"/>
          <w:sz w:val="24"/>
        </w:rPr>
        <w:t>完成验收工作。</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bidi="ar-SA"/>
        </w:rPr>
        <w:t>四、采购标的需满足的服务标准、期限、效率等要求</w:t>
      </w:r>
      <w:r>
        <w:rPr>
          <w:rFonts w:hint="eastAsia" w:ascii="仿宋" w:hAnsi="仿宋" w:eastAsia="仿宋" w:cs="仿宋"/>
          <w:b/>
          <w:bCs/>
          <w:color w:val="auto"/>
          <w:kern w:val="2"/>
          <w:sz w:val="24"/>
          <w:szCs w:val="24"/>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（一）采购招标的需满足的</w:t>
      </w:r>
      <w:r>
        <w:rPr>
          <w:rFonts w:hint="eastAsia" w:ascii="仿宋" w:hAnsi="仿宋" w:eastAsia="仿宋" w:cs="仿宋"/>
          <w:b/>
          <w:bCs/>
          <w:color w:val="auto"/>
          <w:kern w:val="2"/>
          <w:sz w:val="24"/>
          <w:szCs w:val="24"/>
          <w:lang w:val="en-US" w:eastAsia="zh-CN" w:bidi="ar-SA"/>
        </w:rPr>
        <w:t>供货</w:t>
      </w:r>
      <w:r>
        <w:rPr>
          <w:rFonts w:hint="eastAsia" w:ascii="仿宋" w:hAnsi="仿宋" w:eastAsia="仿宋" w:cs="仿宋"/>
          <w:b/>
          <w:bCs/>
          <w:color w:val="auto"/>
          <w:kern w:val="2"/>
          <w:sz w:val="24"/>
          <w:szCs w:val="24"/>
          <w:lang w:val="en-US" w:bidi="ar-SA"/>
        </w:rPr>
        <w:t>标准、效率要求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1.在</w:t>
      </w:r>
      <w:r>
        <w:rPr>
          <w:rFonts w:hint="eastAsia" w:ascii="仿宋" w:hAnsi="仿宋" w:eastAsia="仿宋" w:cs="仿宋"/>
          <w:color w:val="auto"/>
          <w:kern w:val="2"/>
          <w:sz w:val="24"/>
          <w:szCs w:val="24"/>
          <w:lang w:val="en-US" w:eastAsia="zh-CN" w:bidi="ar-SA"/>
        </w:rPr>
        <w:t>供货</w:t>
      </w:r>
      <w:r>
        <w:rPr>
          <w:rFonts w:hint="eastAsia" w:ascii="仿宋" w:hAnsi="仿宋" w:eastAsia="仿宋" w:cs="仿宋"/>
          <w:color w:val="auto"/>
          <w:kern w:val="2"/>
          <w:sz w:val="24"/>
          <w:szCs w:val="24"/>
          <w:lang w:val="en-US" w:bidi="ar-SA"/>
        </w:rPr>
        <w:t>期内，采购人将每日下午</w:t>
      </w:r>
      <w:r>
        <w:rPr>
          <w:rFonts w:hint="eastAsia" w:ascii="仿宋" w:hAnsi="仿宋" w:eastAsia="仿宋" w:cs="仿宋"/>
          <w:color w:val="auto"/>
          <w:kern w:val="2"/>
          <w:sz w:val="24"/>
          <w:szCs w:val="24"/>
          <w:lang w:val="en-US" w:eastAsia="zh-CN" w:bidi="ar-SA"/>
        </w:rPr>
        <w:t>或晚上</w:t>
      </w:r>
      <w:r>
        <w:rPr>
          <w:rFonts w:hint="eastAsia" w:ascii="仿宋" w:hAnsi="仿宋" w:eastAsia="仿宋" w:cs="仿宋"/>
          <w:color w:val="auto"/>
          <w:kern w:val="2"/>
          <w:sz w:val="24"/>
          <w:szCs w:val="24"/>
          <w:lang w:val="en-US" w:bidi="ar-SA"/>
        </w:rPr>
        <w:t>通知</w:t>
      </w: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kern w:val="2"/>
          <w:sz w:val="24"/>
          <w:szCs w:val="24"/>
          <w:lang w:val="en-US" w:bidi="ar-SA"/>
        </w:rPr>
        <w:t>次日所需的食材种类、数量、送达时间及地点，</w:t>
      </w: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kern w:val="2"/>
          <w:sz w:val="24"/>
          <w:szCs w:val="24"/>
          <w:lang w:val="en-US" w:bidi="ar-SA"/>
        </w:rPr>
        <w:t>应按采购人要求每日保质保量按时提供所需食材。库管负责验看相关证件，并负责验收食材质量、过秤，做好进货登记，当场索证索票，做好记录。</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lang w:val="zh-CN" w:eastAsia="zh-CN" w:bidi="ar-SA"/>
        </w:rPr>
        <w:t>配送产品为正品，有生产厂家，生产日期，保证来源于正规渠道。</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zh-CN" w:eastAsia="zh-CN" w:bidi="ar-SA"/>
        </w:rPr>
        <w:t>所有食品的来源必须清晰，应当来源于受到地方政府部门监管的自有基地、商品基地或专业流通市场，严禁收购散户的供应。</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lang w:val="zh-CN" w:eastAsia="zh-CN" w:bidi="ar-SA"/>
        </w:rPr>
        <w:t>有保质期限的商品（须为同一生产批次）剩余保存期不得少于原有保质期的三分之二。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lang w:val="zh-CN" w:eastAsia="zh-CN" w:bidi="ar-SA"/>
        </w:rPr>
        <w:t>供应商不得因为采购人所需供货量的多少而拒接供货，供应商需对此承诺。</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（二）采购招标的需满足的</w:t>
      </w:r>
      <w:r>
        <w:rPr>
          <w:rFonts w:hint="eastAsia" w:ascii="仿宋" w:hAnsi="仿宋" w:eastAsia="仿宋" w:cs="仿宋"/>
          <w:b/>
          <w:bCs/>
          <w:color w:val="auto"/>
          <w:kern w:val="2"/>
          <w:sz w:val="24"/>
          <w:szCs w:val="24"/>
          <w:lang w:val="en-US" w:eastAsia="zh-CN" w:bidi="ar-SA"/>
        </w:rPr>
        <w:t>供货</w:t>
      </w:r>
      <w:r>
        <w:rPr>
          <w:rFonts w:hint="eastAsia" w:ascii="仿宋" w:hAnsi="仿宋" w:eastAsia="仿宋" w:cs="仿宋"/>
          <w:b/>
          <w:bCs/>
          <w:color w:val="auto"/>
          <w:kern w:val="2"/>
          <w:sz w:val="24"/>
          <w:szCs w:val="24"/>
          <w:lang w:val="en-US" w:bidi="ar-SA"/>
        </w:rPr>
        <w:t>期限要求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1.采购人将对中标供应商进行试用，试用期</w:t>
      </w:r>
      <w:r>
        <w:rPr>
          <w:rFonts w:hint="eastAsia" w:ascii="仿宋" w:hAnsi="仿宋" w:eastAsia="仿宋" w:cs="仿宋"/>
          <w:color w:val="auto"/>
          <w:kern w:val="2"/>
          <w:sz w:val="24"/>
          <w:szCs w:val="24"/>
          <w:lang w:val="en-US" w:eastAsia="zh-CN" w:bidi="ar-SA"/>
        </w:rPr>
        <w:t>两</w:t>
      </w:r>
      <w:r>
        <w:rPr>
          <w:rFonts w:hint="eastAsia" w:ascii="仿宋" w:hAnsi="仿宋" w:eastAsia="仿宋" w:cs="仿宋"/>
          <w:color w:val="auto"/>
          <w:kern w:val="2"/>
          <w:sz w:val="24"/>
          <w:szCs w:val="24"/>
          <w:lang w:val="en-US" w:bidi="ar-SA"/>
        </w:rPr>
        <w:t>个月，若试用不合格，则采购人有权单方解除合同</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lang w:val="zh-CN" w:eastAsia="zh-CN" w:bidi="ar-SA"/>
        </w:rPr>
        <w:t>合同配送期限为一年（签订合同之日起一年），如有合同终止的供货单位，将按照评标办法顺延供货单位。</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bidi="ar-SA"/>
        </w:rPr>
        <w:t>五、采购标的的验收标准</w:t>
      </w:r>
      <w:r>
        <w:rPr>
          <w:rFonts w:hint="eastAsia" w:ascii="仿宋" w:hAnsi="仿宋" w:eastAsia="仿宋" w:cs="仿宋"/>
          <w:b/>
          <w:bCs/>
          <w:color w:val="auto"/>
          <w:kern w:val="2"/>
          <w:sz w:val="24"/>
          <w:szCs w:val="24"/>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eastAsia="zh-CN" w:bidi="ar-SA"/>
        </w:rPr>
        <w:t>详见七、</w:t>
      </w:r>
      <w:r>
        <w:rPr>
          <w:rFonts w:hint="eastAsia" w:ascii="仿宋" w:hAnsi="仿宋" w:eastAsia="仿宋" w:cs="仿宋"/>
          <w:color w:val="auto"/>
          <w:kern w:val="2"/>
          <w:sz w:val="24"/>
          <w:szCs w:val="24"/>
          <w:lang w:val="en-US" w:bidi="ar-SA"/>
        </w:rPr>
        <w:t>需要满足的其他技术规格要求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六、</w:t>
      </w:r>
      <w:r>
        <w:rPr>
          <w:rFonts w:hint="eastAsia" w:ascii="仿宋" w:hAnsi="仿宋" w:eastAsia="仿宋" w:cs="仿宋"/>
          <w:b/>
          <w:bCs/>
          <w:color w:val="auto"/>
          <w:kern w:val="2"/>
          <w:sz w:val="24"/>
          <w:szCs w:val="24"/>
          <w:lang w:val="en-US" w:bidi="ar-SA"/>
        </w:rPr>
        <w:t>采购标的的其他技术、服务等要求</w:t>
      </w:r>
      <w:r>
        <w:rPr>
          <w:rFonts w:hint="eastAsia" w:ascii="仿宋" w:hAnsi="仿宋" w:eastAsia="仿宋" w:cs="仿宋"/>
          <w:b/>
          <w:bCs/>
          <w:color w:val="auto"/>
          <w:kern w:val="2"/>
          <w:sz w:val="24"/>
          <w:szCs w:val="24"/>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须提供本项目整体</w:t>
      </w:r>
      <w:r>
        <w:rPr>
          <w:rFonts w:hint="eastAsia" w:ascii="仿宋" w:hAnsi="仿宋" w:eastAsia="仿宋" w:cs="仿宋"/>
          <w:color w:val="auto"/>
          <w:kern w:val="2"/>
          <w:sz w:val="24"/>
          <w:szCs w:val="24"/>
          <w:highlight w:val="none"/>
          <w:lang w:val="en-US" w:eastAsia="zh-CN" w:bidi="ar-SA"/>
        </w:rPr>
        <w:t>供货</w:t>
      </w:r>
      <w:r>
        <w:rPr>
          <w:rFonts w:hint="eastAsia" w:ascii="仿宋" w:hAnsi="仿宋" w:eastAsia="仿宋" w:cs="仿宋"/>
          <w:color w:val="auto"/>
          <w:kern w:val="2"/>
          <w:sz w:val="24"/>
          <w:szCs w:val="24"/>
          <w:highlight w:val="none"/>
          <w:lang w:val="en-US" w:bidi="ar-SA"/>
        </w:rPr>
        <w:t>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w:t>
      </w:r>
      <w:r>
        <w:rPr>
          <w:rFonts w:hint="eastAsia" w:ascii="仿宋" w:hAnsi="仿宋" w:eastAsia="仿宋" w:cs="仿宋"/>
          <w:color w:val="auto"/>
          <w:kern w:val="2"/>
          <w:sz w:val="24"/>
          <w:szCs w:val="24"/>
          <w:highlight w:val="none"/>
          <w:lang w:val="en-US" w:eastAsia="zh-CN" w:bidi="ar-SA"/>
        </w:rPr>
        <w:t>本</w:t>
      </w:r>
      <w:r>
        <w:rPr>
          <w:rFonts w:hint="eastAsia" w:ascii="仿宋" w:hAnsi="仿宋" w:eastAsia="仿宋" w:cs="仿宋"/>
          <w:color w:val="auto"/>
          <w:kern w:val="2"/>
          <w:sz w:val="24"/>
          <w:szCs w:val="24"/>
          <w:highlight w:val="none"/>
          <w:lang w:val="en-US" w:bidi="ar-SA"/>
        </w:rPr>
        <w:t>项目人员配备方案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w:t>
      </w:r>
      <w:r>
        <w:rPr>
          <w:rFonts w:hint="eastAsia" w:ascii="仿宋" w:hAnsi="仿宋" w:eastAsia="仿宋" w:cs="仿宋"/>
          <w:color w:val="auto"/>
          <w:kern w:val="2"/>
          <w:sz w:val="24"/>
          <w:szCs w:val="24"/>
          <w:highlight w:val="none"/>
          <w:lang w:val="en-US" w:eastAsia="zh-CN" w:bidi="ar-SA"/>
        </w:rPr>
        <w:t>产品</w:t>
      </w:r>
      <w:r>
        <w:rPr>
          <w:rFonts w:hint="eastAsia" w:ascii="仿宋" w:hAnsi="仿宋" w:eastAsia="仿宋" w:cs="仿宋"/>
          <w:color w:val="auto"/>
          <w:kern w:val="2"/>
          <w:sz w:val="24"/>
          <w:szCs w:val="24"/>
          <w:highlight w:val="none"/>
          <w:lang w:val="en-US" w:bidi="ar-SA"/>
        </w:rPr>
        <w:t>质量保障措施方案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w:t>
      </w:r>
      <w:r>
        <w:rPr>
          <w:rFonts w:hint="eastAsia" w:ascii="仿宋" w:hAnsi="仿宋" w:eastAsia="仿宋" w:cs="仿宋"/>
          <w:color w:val="auto"/>
          <w:kern w:val="2"/>
          <w:sz w:val="24"/>
          <w:szCs w:val="24"/>
          <w:highlight w:val="none"/>
          <w:lang w:val="en-US" w:eastAsia="zh-CN" w:bidi="ar-SA"/>
        </w:rPr>
        <w:t>售后服务</w:t>
      </w:r>
      <w:r>
        <w:rPr>
          <w:rFonts w:hint="eastAsia" w:ascii="仿宋" w:hAnsi="仿宋" w:eastAsia="仿宋" w:cs="仿宋"/>
          <w:color w:val="auto"/>
          <w:kern w:val="2"/>
          <w:sz w:val="24"/>
          <w:szCs w:val="24"/>
          <w:highlight w:val="none"/>
          <w:lang w:val="en-US" w:bidi="ar-SA"/>
        </w:rPr>
        <w:t>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bidi="ar-SA"/>
        </w:rPr>
        <w:t>七、需要满足的其他技术规格要求</w:t>
      </w:r>
      <w:r>
        <w:rPr>
          <w:rFonts w:hint="eastAsia" w:ascii="仿宋" w:hAnsi="仿宋" w:eastAsia="仿宋" w:cs="仿宋"/>
          <w:b/>
          <w:bCs/>
          <w:color w:val="auto"/>
          <w:kern w:val="2"/>
          <w:sz w:val="24"/>
          <w:szCs w:val="24"/>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（一）采购标的</w:t>
      </w:r>
      <w:r>
        <w:rPr>
          <w:rFonts w:hint="eastAsia" w:ascii="仿宋" w:hAnsi="仿宋" w:eastAsia="仿宋" w:cs="仿宋"/>
          <w:b/>
          <w:bCs/>
          <w:color w:val="auto"/>
          <w:kern w:val="2"/>
          <w:sz w:val="24"/>
          <w:szCs w:val="24"/>
          <w:highlight w:val="none"/>
          <w:lang w:val="en-US" w:eastAsia="zh-CN" w:bidi="ar-SA"/>
        </w:rPr>
        <w:t>内容及参数要求</w:t>
      </w:r>
      <w:bookmarkEnd w:id="66"/>
      <w:bookmarkEnd w:id="67"/>
      <w:bookmarkEnd w:id="68"/>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矿泉水、饮料类：以下打样表格中未包含矿泉水、可乐、果汁、茶饮料、果乳类、功能性饮料等通用饮品，实际供货品目包括但不限于以下表格品目，供货还会涉及礼盒装饮料及市场新推出的各种包装饮料（含礼盒）；</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2、★职工营养餐厅一次性用品：实际供货品目包括但不限于以下表格品目。</w:t>
      </w:r>
    </w:p>
    <w:p>
      <w:pPr>
        <w:pStyle w:val="15"/>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以下表格品目仅代表打样产品品目，实际供货品目包括但不限于以下表格品目：</w:t>
      </w:r>
    </w:p>
    <w:tbl>
      <w:tblPr>
        <w:tblStyle w:val="19"/>
        <w:tblW w:w="8359" w:type="dxa"/>
        <w:tblInd w:w="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4575"/>
        <w:gridCol w:w="2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*塑料制品*800#圆桶碗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*塑料制品*750#圆桶碗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*塑料制品*450#圆桶碗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*塑料制品*650#方餐盒</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*塑料制品*四格餐盒</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*塑料制品*五格餐盒</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*塑料制品*1250#餐盆</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*木制品*一次性筷子</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*塑料制品*白色小汤勺</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*纸制品*小方巾抽纸</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*纸制品*软盒装抽纸</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12包/提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*塑料制品*塑料食品袋20#</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130扎/件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*塑料制品*塑料食品袋24#</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70扎/件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*塑料制品*塑料食品袋28#</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50扎/件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*塑料制品*塑料食品袋32#</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40扎/件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*塑料制品*40#保鲜膜</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6卷/件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*塑料制品*50#保鲜膜</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6卷/件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*洗涤剂*精装洗衣粉</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10公斤/件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*洗涤剂*精装洗洁精</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20公斤/件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食品包装盒HY01 HY02</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1800个/件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食品包装盒RF005</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3000个/件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*塑料制品*一次性手套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*纺织产品*绒手套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*塑料制品*橡胶手套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*塑料制品*加厚橡胶手套</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*塑料制品*塑料黑色大垃圾袋</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20捆/袋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*塑料制品*塑料黑色小垃圾袋</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50捆/袋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*纸制品*包装礼盒</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43*25*15/个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*塑料制品*真空包装袋（大）</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*塑料制品*真空包装袋（中）</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*塑料制品*真空包装袋（小）</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*帽子*厨师高帽</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*帽子*厨师中帽</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*帽子*厨师低帽</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普罗巴克沙棘汁</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普罗巴克沙棘汁（无糖）</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小贝塔胡萝卜汁</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10盒/件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王老吉</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六个核桃</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麦趣尔奶啤</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黄金搭档</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12盒/件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阿娜尔罕100%石榴汁</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摇摇奶昔</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娃哈哈营养快线</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500克*12瓶/件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红牛维生素风味饮料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250毫升*6罐/件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脉动 维C果汁水低糖维生素运动功能饮料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 力量帝维他命水</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 东方树叶 茶饮料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统一 茶饮料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康师傅 柠檬红茶/绿茶</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康师傅 茉莉清茶</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康师傅 冰红茶 热带风味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康师傅 蜜桃乌龙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可口可乐 汽水 碳酸饮料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500毫升*24瓶/件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雪碧 柠檬味 汽水 碳酸饮料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500毫升*24瓶/件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百事可乐 Pepsi 汽水 碳酸饮料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500毫升*24瓶/件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外星人电解质水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500毫升*8瓶/件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健力宝 橙味蜜 运动碳酸饮料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560毫升*15瓶/件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 NFC果汁饮料 （礼盒）</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300毫升*10瓶/件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 水溶C 复合果汁饮料</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445毫升*15瓶/件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美汁源 果粒橙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480毫升*24瓶/件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农夫山泉饮用水</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550毫升*24瓶/件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小趣  苏打水</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350毫升*24瓶/件</w:t>
            </w:r>
          </w:p>
        </w:tc>
      </w:tr>
    </w:tbl>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2"/>
          <w:sz w:val="24"/>
          <w:szCs w:val="24"/>
          <w:highlight w:val="none"/>
          <w:lang w:val="en-US" w:eastAsia="zh-CN" w:bidi="ar-SA"/>
        </w:rPr>
        <w:t>注：1.★供货价格</w:t>
      </w:r>
      <w:r>
        <w:rPr>
          <w:rFonts w:hint="eastAsia" w:ascii="仿宋" w:hAnsi="仿宋" w:eastAsia="仿宋" w:cs="仿宋"/>
          <w:color w:val="auto"/>
          <w:kern w:val="2"/>
          <w:sz w:val="24"/>
          <w:szCs w:val="24"/>
          <w:lang w:val="en-US" w:eastAsia="zh-CN" w:bidi="ar-SA"/>
        </w:rPr>
        <w:t>以服务期限内附近</w:t>
      </w:r>
      <w:r>
        <w:rPr>
          <w:rFonts w:hint="eastAsia" w:ascii="仿宋" w:hAnsi="仿宋" w:eastAsia="仿宋" w:cs="仿宋"/>
          <w:b w:val="0"/>
          <w:bCs w:val="0"/>
          <w:color w:val="auto"/>
          <w:kern w:val="2"/>
          <w:sz w:val="24"/>
          <w:szCs w:val="24"/>
          <w:highlight w:val="none"/>
          <w:lang w:val="en-US" w:eastAsia="zh-CN" w:bidi="ar-SA"/>
        </w:rPr>
        <w:t>各大商超（本市内友好、华润万家等）的正常零售价（特价商品除外）为</w:t>
      </w:r>
      <w:r>
        <w:rPr>
          <w:rFonts w:hint="eastAsia" w:ascii="仿宋" w:hAnsi="仿宋" w:eastAsia="仿宋" w:cs="仿宋"/>
          <w:color w:val="auto"/>
          <w:kern w:val="2"/>
          <w:sz w:val="24"/>
          <w:szCs w:val="24"/>
          <w:lang w:val="en-US" w:eastAsia="zh-CN" w:bidi="ar-SA"/>
        </w:rPr>
        <w:t>基础价格报出折扣率。</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kern w:val="2"/>
          <w:sz w:val="24"/>
          <w:szCs w:val="24"/>
          <w:highlight w:val="none"/>
          <w:lang w:val="en-US" w:bidi="ar-SA"/>
        </w:rPr>
        <w:t>甲方根据实际使用需要，</w:t>
      </w:r>
      <w:r>
        <w:rPr>
          <w:rFonts w:hint="eastAsia" w:ascii="仿宋" w:hAnsi="仿宋" w:eastAsia="仿宋" w:cs="仿宋"/>
          <w:b w:val="0"/>
          <w:bCs w:val="0"/>
          <w:color w:val="auto"/>
          <w:kern w:val="2"/>
          <w:sz w:val="24"/>
          <w:szCs w:val="24"/>
          <w:highlight w:val="none"/>
          <w:lang w:val="en-US" w:eastAsia="zh-CN" w:bidi="ar-SA"/>
        </w:rPr>
        <w:t>可以采购报价清单内的项目，也可以采购报价清单外的项目，若</w:t>
      </w:r>
      <w:r>
        <w:rPr>
          <w:rFonts w:hint="eastAsia" w:ascii="仿宋" w:hAnsi="仿宋" w:eastAsia="仿宋" w:cs="仿宋"/>
          <w:b w:val="0"/>
          <w:bCs w:val="0"/>
          <w:color w:val="auto"/>
          <w:kern w:val="2"/>
          <w:sz w:val="24"/>
          <w:szCs w:val="24"/>
          <w:highlight w:val="none"/>
          <w:lang w:val="en-US" w:bidi="ar-SA"/>
        </w:rPr>
        <w:t>需采购未在报价清单</w:t>
      </w:r>
      <w:r>
        <w:rPr>
          <w:rFonts w:hint="eastAsia" w:ascii="仿宋" w:hAnsi="仿宋" w:eastAsia="仿宋" w:cs="仿宋"/>
          <w:b w:val="0"/>
          <w:bCs w:val="0"/>
          <w:color w:val="auto"/>
          <w:kern w:val="2"/>
          <w:sz w:val="24"/>
          <w:szCs w:val="24"/>
          <w:highlight w:val="none"/>
          <w:lang w:val="en-US" w:eastAsia="zh-CN" w:bidi="ar-SA"/>
        </w:rPr>
        <w:t>目录</w:t>
      </w:r>
      <w:r>
        <w:rPr>
          <w:rFonts w:hint="eastAsia" w:ascii="仿宋" w:hAnsi="仿宋" w:eastAsia="仿宋" w:cs="仿宋"/>
          <w:b w:val="0"/>
          <w:bCs w:val="0"/>
          <w:color w:val="auto"/>
          <w:kern w:val="2"/>
          <w:sz w:val="24"/>
          <w:szCs w:val="24"/>
          <w:highlight w:val="none"/>
          <w:lang w:val="en-US" w:bidi="ar-SA"/>
        </w:rPr>
        <w:t>内</w:t>
      </w:r>
      <w:r>
        <w:rPr>
          <w:rFonts w:hint="eastAsia" w:ascii="仿宋" w:hAnsi="仿宋" w:eastAsia="仿宋" w:cs="仿宋"/>
          <w:b w:val="0"/>
          <w:bCs w:val="0"/>
          <w:color w:val="auto"/>
          <w:kern w:val="2"/>
          <w:sz w:val="24"/>
          <w:szCs w:val="24"/>
          <w:highlight w:val="none"/>
          <w:lang w:val="en-US" w:eastAsia="zh-CN" w:bidi="ar-SA"/>
        </w:rPr>
        <w:t>的项目</w:t>
      </w:r>
      <w:r>
        <w:rPr>
          <w:rFonts w:hint="eastAsia" w:ascii="仿宋" w:hAnsi="仿宋" w:eastAsia="仿宋" w:cs="仿宋"/>
          <w:b w:val="0"/>
          <w:bCs w:val="0"/>
          <w:color w:val="auto"/>
          <w:kern w:val="2"/>
          <w:sz w:val="24"/>
          <w:szCs w:val="24"/>
          <w:highlight w:val="none"/>
          <w:lang w:val="en-US" w:bidi="ar-SA"/>
        </w:rPr>
        <w:t>，由甲方</w:t>
      </w:r>
      <w:r>
        <w:rPr>
          <w:rFonts w:hint="eastAsia" w:ascii="仿宋" w:hAnsi="仿宋" w:eastAsia="仿宋" w:cs="仿宋"/>
          <w:b w:val="0"/>
          <w:bCs w:val="0"/>
          <w:color w:val="auto"/>
          <w:kern w:val="2"/>
          <w:sz w:val="24"/>
          <w:szCs w:val="24"/>
          <w:highlight w:val="none"/>
          <w:lang w:val="en-US" w:eastAsia="zh-CN" w:bidi="ar-SA"/>
        </w:rPr>
        <w:t>在本市区的大型商超进行市场</w:t>
      </w:r>
      <w:r>
        <w:rPr>
          <w:rFonts w:hint="eastAsia" w:ascii="仿宋" w:hAnsi="仿宋" w:eastAsia="仿宋" w:cs="仿宋"/>
          <w:b w:val="0"/>
          <w:bCs w:val="0"/>
          <w:color w:val="auto"/>
          <w:kern w:val="2"/>
          <w:sz w:val="24"/>
          <w:szCs w:val="24"/>
          <w:highlight w:val="none"/>
          <w:lang w:val="en-US" w:bidi="ar-SA"/>
        </w:rPr>
        <w:t>询价，按照招标</w:t>
      </w:r>
      <w:r>
        <w:rPr>
          <w:rFonts w:hint="eastAsia" w:ascii="仿宋" w:hAnsi="仿宋" w:eastAsia="仿宋" w:cs="仿宋"/>
          <w:b w:val="0"/>
          <w:bCs w:val="0"/>
          <w:color w:val="auto"/>
          <w:kern w:val="2"/>
          <w:sz w:val="24"/>
          <w:szCs w:val="24"/>
          <w:highlight w:val="none"/>
          <w:lang w:val="en-US" w:eastAsia="zh-CN" w:bidi="ar-SA"/>
        </w:rPr>
        <w:t>文件</w:t>
      </w:r>
      <w:r>
        <w:rPr>
          <w:rFonts w:hint="eastAsia" w:ascii="仿宋" w:hAnsi="仿宋" w:eastAsia="仿宋" w:cs="仿宋"/>
          <w:b w:val="0"/>
          <w:bCs w:val="0"/>
          <w:color w:val="auto"/>
          <w:kern w:val="2"/>
          <w:sz w:val="24"/>
          <w:szCs w:val="24"/>
          <w:highlight w:val="none"/>
          <w:lang w:val="en-US" w:bidi="ar-SA"/>
        </w:rPr>
        <w:t>定价原则进行价格采集</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color w:val="auto"/>
          <w:kern w:val="2"/>
          <w:sz w:val="24"/>
          <w:szCs w:val="24"/>
          <w:highlight w:val="none"/>
          <w:lang w:val="en-US" w:bidi="ar-SA"/>
        </w:rPr>
        <w:t>结合乙方供货商报价，协商价格后执行；甲方每月不定期的进行市场询价，考核乙方供货商的供货质量与价格。</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供应商所报供货价格包括全部货品、税费、包装费、运输、装卸等费用，中标供货商应保证甲方除支付合同约定货款之外无需再行支付其他任何费用和款项。实际供货数量以双方签字确认的数量为准，结算数量按照实际使用数量进行结算。</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4.★供应商可综合考虑所供所有产品的价格，最终报一个折扣率价格作为评审价格。</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en-US" w:bidi="ar-SA"/>
        </w:rPr>
        <w:t>采购标的</w:t>
      </w:r>
      <w:r>
        <w:rPr>
          <w:rFonts w:hint="eastAsia" w:ascii="仿宋" w:hAnsi="仿宋" w:eastAsia="仿宋" w:cs="仿宋"/>
          <w:b/>
          <w:bCs/>
          <w:color w:val="auto"/>
          <w:kern w:val="2"/>
          <w:sz w:val="24"/>
          <w:szCs w:val="24"/>
          <w:highlight w:val="none"/>
          <w:lang w:val="en-US" w:eastAsia="zh-CN" w:bidi="ar-SA"/>
        </w:rPr>
        <w:t>质量及售后服务</w:t>
      </w:r>
      <w:r>
        <w:rPr>
          <w:rFonts w:hint="eastAsia" w:ascii="仿宋" w:hAnsi="仿宋" w:eastAsia="仿宋" w:cs="仿宋"/>
          <w:b/>
          <w:bCs/>
          <w:color w:val="auto"/>
          <w:kern w:val="2"/>
          <w:sz w:val="24"/>
          <w:szCs w:val="24"/>
          <w:highlight w:val="none"/>
          <w:lang w:val="en-US" w:bidi="ar-SA"/>
        </w:rPr>
        <w:t>要求</w:t>
      </w:r>
      <w:r>
        <w:rPr>
          <w:rFonts w:hint="eastAsia" w:ascii="仿宋" w:hAnsi="仿宋" w:eastAsia="仿宋" w:cs="仿宋"/>
          <w:b/>
          <w:bCs/>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乙方保证提供本合同项下的货物符合国家质量安全标准及招投标文件要求，所采购货物的质量要求干净卫生、无杂质，无过期、变质、腐烂现象，符合食品卫生质量要求，产品必须通过国家强制要求的各类认证；符合国家质量标准，杜绝以假充真、以次充好、三无产品等现象，并保证其供货的产品不存在有造成甲方或任何第三人人身损害的现实或潜在的危险；若因此造成任何损失，由乙方承担全部赔偿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乙方应保证其配送的每一个批次的货物符合上述质量标准及相应的安全标准。提供所需证件及产品检验报告单。在实施中甲方将核实乙方投标书中的产品质量标准、检验报告、QS标志与实际供货的产品的质量标准、检验报告、QS标志是否一致，如发现偏离，甲方将取消乙方供货资格，并追究相关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乙方需在合同签署之日向甲方提供各种有效证照的复印件(需加盖乙方公章)，包括但不限于：营业执照、食品经营许可证、产品质量检验报告等与食品销售要求的相关资质证明，否则，甲方有权不予付款且不承担违约责任。在合同有效期内，乙方必须保证上述各类证照始终处于合法、有效状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在质量保证期内，因货物出现变质、缺斤少两、过期及其他质量问题等现象的，乙方负责免费无条件更换，并承担因更换货物所产生的包装、运费等一切相关费用。乙方如发生不给甲方按时补齐、更换货物的情况，第一次甲方有权按照同等金额扣除货款，并提出一次警告；二次出现同样情况者，甲方有权单方终止合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如甲方应急临时需购货品，乙方必须按指定的品种、数量,在接到甲方的要货通知后2小时内及时送货，运输费用自理。如乙方未按甲方要求及时供货，甲方有权另行采购其他商家同类货物，由此产生的费用由乙方承担。</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6、如发现质次价高的货品或同等质量货品价格虚高的现象，甲方有权要求乙方根据所验货物数量金额的双倍支付违约金或减半支付货款，并提出一次警告；二次出现同样情况者，甲方有权单方终止合同。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7、在质保期内，供应商所提供的产品有任何质量问题，由供应商全权负责。</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（四）货物的包装及运输：</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１、包装必须与运输方式相适应，包装方式的确定和包装费用均由乙方负责;由于不适当的包装而造成的货物有任何的损坏由乙方负责。乙方所提供的货物不得敞露运输，货物装卸必须做到轻装轻卸。</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2、包装费、运输费、装卸费和保险费等均已包含在合同单价内。</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4、乙方保证运输周转的容器与车辆的清洁卫生和防止货物在运输过程中受到污染。乙方保障食品安全的运送设施，运输时避免日晒雨淋，不得与有毒有害有异味或其他影响质量的物品混装运输。</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（五）采购标的的验收标准及货款支付：</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1、验收标准：以招投标文件及合同中甲、乙双方约定的质量标准为货物的验收标准。甲方仅对乙方交付货物的数量、规格、外观等进行初步验收，初步验收合格不代表乙方对所交付货物潜在质量安全问题免责。</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数量的认定：乙方依据甲方提供的物资计划单中品种数量配送；甲方工作人员和乙方人员现场核对货品规格、点数完毕后，共同在送货单上核准并签字，并加盖乙方专用章作为结帐凭证。计量单位：按公斤、件、箱、瓶、包、个、袋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4、货款的支付：以最终签订合同约定为准。供应商提供发票必须和供应商公司名称一致，必须是国家核发的正规发票。</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default" w:ascii="仿宋" w:hAnsi="仿宋" w:eastAsia="仿宋" w:cs="仿宋"/>
          <w:b/>
          <w:bCs/>
          <w:color w:val="auto"/>
          <w:kern w:val="2"/>
          <w:sz w:val="24"/>
          <w:szCs w:val="24"/>
          <w:highlight w:val="none"/>
          <w:lang w:val="en-US" w:eastAsia="zh-CN" w:bidi="ar-SA"/>
        </w:rPr>
      </w:pPr>
      <w:bookmarkStart w:id="69" w:name="bookmark107"/>
      <w:bookmarkStart w:id="70" w:name="bookmark109"/>
      <w:bookmarkStart w:id="71" w:name="bookmark106"/>
      <w:r>
        <w:rPr>
          <w:rFonts w:hint="eastAsia" w:ascii="仿宋" w:hAnsi="仿宋" w:eastAsia="仿宋" w:cs="仿宋"/>
          <w:b/>
          <w:bCs/>
          <w:color w:val="auto"/>
          <w:kern w:val="2"/>
          <w:sz w:val="24"/>
          <w:szCs w:val="24"/>
          <w:highlight w:val="none"/>
          <w:lang w:val="en-US" w:eastAsia="zh-CN" w:bidi="ar-SA"/>
        </w:rPr>
        <w:t>（六）</w:t>
      </w:r>
      <w:r>
        <w:rPr>
          <w:rFonts w:hint="default" w:ascii="仿宋" w:hAnsi="仿宋" w:eastAsia="仿宋" w:cs="仿宋"/>
          <w:b/>
          <w:bCs/>
          <w:color w:val="auto"/>
          <w:kern w:val="2"/>
          <w:sz w:val="24"/>
          <w:szCs w:val="24"/>
          <w:highlight w:val="none"/>
          <w:lang w:val="en-US" w:eastAsia="zh-CN" w:bidi="ar-SA"/>
        </w:rPr>
        <w:t>违约责任</w:t>
      </w:r>
    </w:p>
    <w:bookmarkEnd w:id="69"/>
    <w:bookmarkEnd w:id="70"/>
    <w:bookmarkEnd w:id="71"/>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1、按相关法律法规中的相关条款执行。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default" w:ascii="仿宋" w:hAnsi="仿宋" w:eastAsia="仿宋" w:cs="仿宋"/>
          <w:b w:val="0"/>
          <w:bCs w:val="0"/>
          <w:color w:val="auto"/>
          <w:kern w:val="2"/>
          <w:sz w:val="24"/>
          <w:szCs w:val="24"/>
          <w:highlight w:val="none"/>
          <w:lang w:val="en-US" w:eastAsia="zh-CN" w:bidi="ar-SA"/>
        </w:rPr>
        <w:t>、未按合同要求提供货物或货物质量不能满足</w:t>
      </w:r>
      <w:r>
        <w:rPr>
          <w:rFonts w:hint="eastAsia" w:ascii="仿宋" w:hAnsi="仿宋" w:eastAsia="仿宋" w:cs="仿宋"/>
          <w:b w:val="0"/>
          <w:bCs w:val="0"/>
          <w:color w:val="auto"/>
          <w:kern w:val="2"/>
          <w:sz w:val="24"/>
          <w:szCs w:val="24"/>
          <w:highlight w:val="none"/>
          <w:lang w:val="en-US" w:eastAsia="zh-CN" w:bidi="ar-SA"/>
        </w:rPr>
        <w:t>采购</w:t>
      </w:r>
      <w:r>
        <w:rPr>
          <w:rFonts w:hint="default" w:ascii="仿宋" w:hAnsi="仿宋" w:eastAsia="仿宋" w:cs="仿宋"/>
          <w:b w:val="0"/>
          <w:bCs w:val="0"/>
          <w:color w:val="auto"/>
          <w:kern w:val="2"/>
          <w:sz w:val="24"/>
          <w:szCs w:val="24"/>
          <w:highlight w:val="none"/>
          <w:lang w:val="en-US" w:eastAsia="zh-CN" w:bidi="ar-SA"/>
        </w:rPr>
        <w:t>要求</w:t>
      </w:r>
      <w:r>
        <w:rPr>
          <w:rFonts w:hint="eastAsia" w:ascii="仿宋" w:hAnsi="仿宋" w:eastAsia="仿宋" w:cs="仿宋"/>
          <w:b w:val="0"/>
          <w:bCs w:val="0"/>
          <w:color w:val="auto"/>
          <w:kern w:val="2"/>
          <w:sz w:val="24"/>
          <w:szCs w:val="24"/>
          <w:highlight w:val="none"/>
          <w:lang w:val="en-US" w:eastAsia="zh-CN" w:bidi="ar-SA"/>
        </w:rPr>
        <w:t>的</w:t>
      </w:r>
      <w:r>
        <w:rPr>
          <w:rFonts w:hint="default" w:ascii="仿宋" w:hAnsi="仿宋" w:eastAsia="仿宋" w:cs="仿宋"/>
          <w:b w:val="0"/>
          <w:bCs w:val="0"/>
          <w:color w:val="auto"/>
          <w:kern w:val="2"/>
          <w:sz w:val="24"/>
          <w:szCs w:val="24"/>
          <w:highlight w:val="none"/>
          <w:lang w:val="en-US" w:eastAsia="zh-CN" w:bidi="ar-SA"/>
        </w:rPr>
        <w:t>，采购人有权终止合同</w:t>
      </w:r>
      <w:r>
        <w:rPr>
          <w:rFonts w:hint="eastAsia" w:ascii="仿宋" w:hAnsi="仿宋" w:eastAsia="仿宋" w:cs="仿宋"/>
          <w:b w:val="0"/>
          <w:bCs w:val="0"/>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合同签订后，乙方应严格按照中标价格履行合同，如乙方因价格原因，寻找借口，拒绝供货或不能根据合同约定的品种、规格、数量、质量等标准和要求向甲方配送货物，无法满足甲方采购需要，甲方有权解除合同，同时乙方按合同总价的10%向甲方承担违约责任。合同解除后，甲方有权与第三方供货商另行签订合同，进行供货。</w:t>
      </w:r>
    </w:p>
    <w:p>
      <w:pPr>
        <w:pStyle w:val="15"/>
        <w:keepNext w:val="0"/>
        <w:keepLines w:val="0"/>
        <w:pageBreakBefore w:val="0"/>
        <w:widowControl w:val="0"/>
        <w:kinsoku/>
        <w:overflowPunct/>
        <w:topLinePunct w:val="0"/>
        <w:bidi w:val="0"/>
        <w:adjustRightInd/>
        <w:spacing w:line="360" w:lineRule="auto"/>
        <w:ind w:firstLine="480" w:firstLineChars="200"/>
        <w:textAlignment w:val="auto"/>
        <w:outlineLvl w:val="9"/>
        <w:rPr>
          <w:rStyle w:val="60"/>
          <w:rFonts w:hint="eastAsia" w:ascii="仿宋_GB2312" w:hAnsi="仿宋_GB2312" w:eastAsia="仿宋_GB2312"/>
          <w:b/>
          <w:sz w:val="24"/>
        </w:rPr>
      </w:pPr>
      <w:r>
        <w:rPr>
          <w:rFonts w:hint="eastAsia" w:ascii="仿宋" w:hAnsi="仿宋" w:eastAsia="仿宋" w:cs="仿宋"/>
          <w:b w:val="0"/>
          <w:bCs w:val="0"/>
          <w:color w:val="auto"/>
          <w:kern w:val="2"/>
          <w:sz w:val="24"/>
          <w:szCs w:val="24"/>
          <w:highlight w:val="none"/>
          <w:lang w:val="en-US" w:eastAsia="zh-CN" w:bidi="ar-SA"/>
        </w:rPr>
        <w:t>4、</w:t>
      </w:r>
      <w:r>
        <w:rPr>
          <w:rFonts w:hint="default" w:ascii="仿宋" w:hAnsi="仿宋" w:eastAsia="仿宋" w:cs="仿宋"/>
          <w:b w:val="0"/>
          <w:bCs w:val="0"/>
          <w:color w:val="auto"/>
          <w:kern w:val="2"/>
          <w:sz w:val="24"/>
          <w:szCs w:val="24"/>
          <w:highlight w:val="none"/>
          <w:lang w:val="en-US" w:eastAsia="zh-CN" w:bidi="ar-SA"/>
        </w:rPr>
        <w:t>在履行合同过程中，如果乙方遇到妨碍按时交货和提供服务的情况时，应及时以书面形式将拖延的事实，可能拖延的时间和原因通知甲方</w:t>
      </w:r>
      <w:r>
        <w:rPr>
          <w:rFonts w:hint="eastAsia" w:ascii="仿宋" w:hAnsi="仿宋" w:eastAsia="仿宋" w:cs="仿宋"/>
          <w:b w:val="0"/>
          <w:bCs w:val="0"/>
          <w:color w:val="auto"/>
          <w:kern w:val="2"/>
          <w:sz w:val="24"/>
          <w:szCs w:val="24"/>
          <w:highlight w:val="none"/>
          <w:lang w:val="en-US" w:eastAsia="zh-CN" w:bidi="ar-SA"/>
        </w:rPr>
        <w:t>，经甲方同意延期交货后，</w:t>
      </w:r>
      <w:r>
        <w:rPr>
          <w:rFonts w:hint="default" w:ascii="仿宋" w:hAnsi="仿宋" w:eastAsia="仿宋" w:cs="仿宋"/>
          <w:b w:val="0"/>
          <w:bCs w:val="0"/>
          <w:color w:val="auto"/>
          <w:kern w:val="2"/>
          <w:sz w:val="24"/>
          <w:szCs w:val="24"/>
          <w:highlight w:val="none"/>
          <w:lang w:val="en-US" w:eastAsia="zh-CN" w:bidi="ar-SA"/>
        </w:rPr>
        <w:t>及时采取补救措施</w:t>
      </w:r>
      <w:r>
        <w:rPr>
          <w:rFonts w:hint="eastAsia" w:ascii="仿宋" w:hAnsi="仿宋" w:eastAsia="仿宋" w:cs="仿宋"/>
          <w:b w:val="0"/>
          <w:bCs w:val="0"/>
          <w:color w:val="auto"/>
          <w:kern w:val="2"/>
          <w:sz w:val="24"/>
          <w:szCs w:val="24"/>
          <w:highlight w:val="none"/>
          <w:lang w:val="en-US" w:eastAsia="zh-CN" w:bidi="ar-SA"/>
        </w:rPr>
        <w:t>，</w:t>
      </w:r>
      <w:r>
        <w:rPr>
          <w:rFonts w:hint="default" w:ascii="仿宋" w:hAnsi="仿宋" w:eastAsia="仿宋" w:cs="仿宋"/>
          <w:b w:val="0"/>
          <w:bCs w:val="0"/>
          <w:color w:val="auto"/>
          <w:kern w:val="2"/>
          <w:sz w:val="24"/>
          <w:szCs w:val="24"/>
          <w:highlight w:val="none"/>
          <w:lang w:val="en-US" w:eastAsia="zh-CN" w:bidi="ar-SA"/>
        </w:rPr>
        <w:t>不得无故断货</w:t>
      </w:r>
      <w:r>
        <w:rPr>
          <w:rFonts w:hint="eastAsia" w:ascii="仿宋" w:hAnsi="仿宋" w:eastAsia="仿宋" w:cs="仿宋"/>
          <w:b w:val="0"/>
          <w:bCs w:val="0"/>
          <w:color w:val="auto"/>
          <w:kern w:val="2"/>
          <w:sz w:val="24"/>
          <w:szCs w:val="24"/>
          <w:highlight w:val="none"/>
          <w:lang w:val="en-US" w:eastAsia="zh-CN" w:bidi="ar-SA"/>
        </w:rPr>
        <w:t>。</w:t>
      </w:r>
      <w:r>
        <w:rPr>
          <w:rStyle w:val="60"/>
          <w:rFonts w:hint="eastAsia" w:ascii="仿宋_GB2312" w:hAnsi="仿宋_GB2312" w:eastAsia="仿宋_GB2312"/>
          <w:b/>
          <w:sz w:val="24"/>
        </w:rPr>
        <w:t>无故断货，自动终止合同。</w:t>
      </w:r>
    </w:p>
    <w:p>
      <w:pPr>
        <w:keepNext w:val="0"/>
        <w:keepLines w:val="0"/>
        <w:pageBreakBefore w:val="0"/>
        <w:widowControl w:val="0"/>
        <w:kinsoku/>
        <w:overflowPunct/>
        <w:topLinePunct w:val="0"/>
        <w:bidi w:val="0"/>
        <w:adjustRightIn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若乙方提供的产品不符合本合同约定的质量标准，甲方或任何第三人发生中毒等食品安全事故，由乙方承担全部经济赔偿责任（包括但不限于第三方索赔、律师费、诉讼费、鉴定费、公证费、差旅费等甲方采取诉讼途径发生的一切费用）以及相关法律责任；除此之外，乙方应向甲方承担相应的的违约金。</w:t>
      </w:r>
    </w:p>
    <w:p>
      <w:pPr>
        <w:keepNext w:val="0"/>
        <w:keepLines w:val="0"/>
        <w:pageBreakBefore w:val="0"/>
        <w:widowControl w:val="0"/>
        <w:kinsoku/>
        <w:overflowPunct/>
        <w:topLinePunct w:val="0"/>
        <w:bidi w:val="0"/>
        <w:adjustRightIn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6、乙方（中标供应商）保证在供货时遵从甲方关于本项目的采购程序，保证不会将合同及（或）其中的权利、义务转让，保证不会转包、分包。如发现转包、分包现象，甲方有权扣除上月货款及终止合同。</w:t>
      </w:r>
    </w:p>
    <w:p>
      <w:pPr>
        <w:keepNext w:val="0"/>
        <w:keepLines w:val="0"/>
        <w:pageBreakBefore w:val="0"/>
        <w:widowControl w:val="0"/>
        <w:kinsoku/>
        <w:overflowPunct/>
        <w:topLinePunct w:val="0"/>
        <w:bidi w:val="0"/>
        <w:adjustRightInd/>
        <w:spacing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7、采购人根据供应商提供的发票有权利进行真伪检验，如果发现供应商提供虚假发票，采购人有权终止合同，且由此造成的全部经济损失由供应商赔偿。 并且采购人启动法律程序维护合法的正规权益。</w:t>
      </w:r>
    </w:p>
    <w:p>
      <w:pPr>
        <w:keepNext w:val="0"/>
        <w:keepLines w:val="0"/>
        <w:pageBreakBefore w:val="0"/>
        <w:widowControl w:val="0"/>
        <w:kinsoku/>
        <w:overflowPunct/>
        <w:topLinePunct w:val="0"/>
        <w:bidi w:val="0"/>
        <w:adjustRightInd/>
        <w:spacing w:line="360" w:lineRule="auto"/>
        <w:ind w:firstLine="480" w:firstLineChars="200"/>
        <w:textAlignment w:val="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根据采购人具体要求时间进行配送。有可能会发生每日少量供货现象。如乙方不能及时送货给甲方造成影响，甲方向乙方提出整改要求，但乙方无整改或拒绝配合的，甲方有权单方终止合同。有特殊需求的供货时间,由甲方指定供货时间与频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（七）争议解决</w:t>
      </w:r>
    </w:p>
    <w:p>
      <w:pPr>
        <w:keepNext w:val="0"/>
        <w:keepLines w:val="0"/>
        <w:pageBreakBefore w:val="0"/>
        <w:widowControl w:val="0"/>
        <w:kinsoku/>
        <w:overflowPunct/>
        <w:topLinePunct w:val="0"/>
        <w:bidi w:val="0"/>
        <w:adjustRightInd/>
        <w:spacing w:line="360" w:lineRule="auto"/>
        <w:ind w:firstLine="480" w:firstLineChars="200"/>
        <w:textAlignment w:val="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最终以实际最终签订合同要求为准，</w:t>
      </w:r>
      <w:r>
        <w:rPr>
          <w:rFonts w:hint="default" w:ascii="仿宋" w:hAnsi="仿宋" w:eastAsia="仿宋" w:cs="仿宋"/>
          <w:b w:val="0"/>
          <w:bCs w:val="0"/>
          <w:color w:val="auto"/>
          <w:kern w:val="2"/>
          <w:sz w:val="24"/>
          <w:szCs w:val="24"/>
          <w:highlight w:val="none"/>
          <w:lang w:val="en-US" w:eastAsia="zh-CN" w:bidi="ar-SA"/>
        </w:rPr>
        <w:t>如发生纠纷，当事人双方应当及时协商解决，协商不成时，可向甲方所在地人民法院起诉。</w:t>
      </w:r>
    </w:p>
    <w:p>
      <w:pPr>
        <w:pStyle w:val="26"/>
        <w:rPr>
          <w:rFonts w:hint="eastAsia"/>
          <w:lang w:val="en-US" w:eastAsia="zh-CN"/>
        </w:rPr>
      </w:pPr>
    </w:p>
    <w:p>
      <w:pPr>
        <w:pStyle w:val="26"/>
        <w:rPr>
          <w:rFonts w:hint="eastAsia"/>
          <w:lang w:val="en-US" w:eastAsia="zh-CN"/>
        </w:rPr>
      </w:pPr>
    </w:p>
    <w:p>
      <w:pPr>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br w:type="page"/>
      </w:r>
    </w:p>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lang w:val="en-US" w:eastAsia="zh-CN"/>
        </w:rPr>
      </w:pPr>
      <w:bookmarkStart w:id="72" w:name="_Toc29202"/>
      <w:bookmarkStart w:id="73" w:name="_Toc21401"/>
      <w:bookmarkStart w:id="74" w:name="_Toc12059"/>
      <w:bookmarkStart w:id="75" w:name="_Toc25836"/>
      <w:bookmarkStart w:id="76" w:name="_Toc13327"/>
      <w:bookmarkStart w:id="77" w:name="_Toc7040"/>
      <w:r>
        <w:rPr>
          <w:rFonts w:hint="eastAsia" w:ascii="仿宋" w:hAnsi="仿宋" w:eastAsia="仿宋" w:cs="仿宋"/>
          <w:color w:val="auto"/>
          <w:sz w:val="36"/>
          <w:szCs w:val="36"/>
          <w:lang w:val="en-US" w:eastAsia="zh-CN"/>
        </w:rPr>
        <w:t>第三部分 供应商须知</w:t>
      </w:r>
      <w:bookmarkEnd w:id="72"/>
      <w:bookmarkEnd w:id="73"/>
      <w:bookmarkEnd w:id="74"/>
      <w:bookmarkEnd w:id="75"/>
      <w:bookmarkEnd w:id="76"/>
      <w:bookmarkEnd w:id="77"/>
    </w:p>
    <w:p>
      <w:pPr>
        <w:shd w:val="clear"/>
        <w:tabs>
          <w:tab w:val="left" w:pos="1065"/>
          <w:tab w:val="center" w:pos="4411"/>
        </w:tabs>
        <w:spacing w:line="360" w:lineRule="auto"/>
        <w:jc w:val="center"/>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供应商须知前附表</w:t>
      </w:r>
    </w:p>
    <w:tbl>
      <w:tblPr>
        <w:tblStyle w:val="1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1"/>
        <w:gridCol w:w="7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条款名称</w:t>
            </w:r>
          </w:p>
        </w:tc>
        <w:tc>
          <w:tcPr>
            <w:tcW w:w="7615"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项目名称及编号</w:t>
            </w:r>
          </w:p>
        </w:tc>
        <w:tc>
          <w:tcPr>
            <w:tcW w:w="7615"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val="zh-CN" w:eastAsia="zh-CN"/>
              </w:rPr>
              <w:t>新疆维吾尔自治区第二济困医院(新疆维吾尔自治区第五人民医院)职工营养餐厅矿泉水、饮料类和一次性用品</w:t>
            </w:r>
            <w:r>
              <w:rPr>
                <w:rFonts w:hint="eastAsia" w:ascii="仿宋" w:hAnsi="仿宋" w:eastAsia="仿宋" w:cs="仿宋"/>
                <w:color w:val="auto"/>
                <w:sz w:val="24"/>
                <w:szCs w:val="24"/>
                <w:lang w:val="en-US" w:eastAsia="zh-CN"/>
              </w:rPr>
              <w:t>供货商</w:t>
            </w:r>
            <w:r>
              <w:rPr>
                <w:rFonts w:hint="eastAsia" w:ascii="仿宋" w:hAnsi="仿宋" w:eastAsia="仿宋" w:cs="仿宋"/>
                <w:color w:val="auto"/>
                <w:sz w:val="24"/>
                <w:szCs w:val="24"/>
                <w:lang w:val="zh-CN" w:eastAsia="zh-CN"/>
              </w:rPr>
              <w:t>采购项目</w:t>
            </w:r>
            <w:r>
              <w:rPr>
                <w:rFonts w:hint="eastAsia" w:ascii="仿宋" w:hAnsi="仿宋" w:eastAsia="仿宋" w:cs="仿宋"/>
                <w:color w:val="auto"/>
                <w:sz w:val="24"/>
                <w:szCs w:val="24"/>
                <w:lang w:eastAsia="zh-CN"/>
              </w:rPr>
              <w:t xml:space="preserve"> </w:t>
            </w:r>
          </w:p>
          <w:p>
            <w:pPr>
              <w:shd w:val="clear"/>
              <w:rPr>
                <w:rFonts w:hint="eastAsia"/>
                <w:lang w:eastAsia="zh-CN"/>
              </w:rPr>
            </w:pPr>
            <w:r>
              <w:rPr>
                <w:rFonts w:hint="eastAsia" w:ascii="仿宋" w:hAnsi="仿宋" w:eastAsia="仿宋" w:cs="仿宋"/>
                <w:color w:val="auto"/>
                <w:sz w:val="24"/>
                <w:szCs w:val="24"/>
              </w:rPr>
              <w:t>项目编号：Hhhx-2206-Dejk001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7615"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新疆维吾尔自治区第二济困医院（新疆维吾尔自治区第五人民医院）</w:t>
            </w:r>
          </w:p>
          <w:p>
            <w:pPr>
              <w:shd w:val="clear"/>
              <w:rPr>
                <w:rFonts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highlight w:val="none"/>
              </w:rPr>
              <w:t>新疆维吾尔自治区乌鲁木齐市新市区喀什西路159号</w:t>
            </w:r>
          </w:p>
          <w:p>
            <w:pPr>
              <w:shd w:val="clear"/>
              <w:rPr>
                <w:rFonts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刘</w:t>
            </w:r>
            <w:r>
              <w:rPr>
                <w:rFonts w:hint="eastAsia" w:ascii="仿宋" w:hAnsi="仿宋" w:eastAsia="仿宋" w:cs="仿宋"/>
                <w:color w:val="auto"/>
                <w:sz w:val="24"/>
                <w:szCs w:val="24"/>
                <w:highlight w:val="none"/>
              </w:rPr>
              <w:t>老师</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highlight w:val="none"/>
                <w:lang w:eastAsia="zh-CN"/>
              </w:rPr>
              <w:t>0991-5269101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3</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615"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新疆华恒惠欣工程项目管理有限责任公司</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地址：乌鲁木齐市经济技术开发区上海路浦东街三号</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冯工</w:t>
            </w:r>
          </w:p>
          <w:p>
            <w:pPr>
              <w:shd w:val="clea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4</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供应商资格</w:t>
            </w:r>
          </w:p>
        </w:tc>
        <w:tc>
          <w:tcPr>
            <w:tcW w:w="76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1.满足《中华人民共和国政府采购法》第二十二条规定；</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（1）具有独立承担民事责任的能力；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（2）具有良好的商业信誉和健全的财务会计制度；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（3）具有履行合同所必须的设备和专业技术能力；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（4）有依法缴纳税收和社会保障资金的良好记录；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（5）参加此采购活动前三年内，在经营活动中没有重大违法记录；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（6）法律、行政法规规定的其他条件。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政府采购应当优先采购本国货物、工程和服务，并执行节能产品、环境标志产品、中小企业、残疾人福利性单位、监狱企业、商品外包装等适宜本项目的政府采购政策。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（2）政策依据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1）财政部、国家发展改革委、生态环境部、市场监管总局《关于调整优化节能产品、环境标志产品政府采购执行机制的通知》（财库[2019]9号文）；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2）财政部、生态环境部《关于印发环境标志产品政府采购品目清单的通知》（财库[2019]18号文）；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3）财政部、发展改革委《关于印发节能产品政府采购品目清单的通知》（财库[2019]19号文）；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4）市场监管总局《市场监管总局关于发布参与实施政府采购节能产品、环境标志产品认证机构名录的公告》（2019年第16号）；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5）财政部、工业和信息化部《关于印发《政府采购促进中小企业发展管理办法》的通知》（财库〔2020〕46号）；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6）财政部、民政部、中国残疾人联合会《关于促进残疾人就业政府采购政策的通知》（财库[2017]141号）；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7）财政部、司法部《关于政府采购支持监狱企业发展有关问题的通知》（财库[2014]68号文）；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8）财政部、生态环境部、国家邮政局《关于印发《商品包装政府采购需求标准（试行）》、《快递包装政府采购需求标准（试行）》的通知》（财办库〔2020〕123号）。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（1）有效的工商营业执照、税务登记证、组织机构代码证或“三证合一”的营业执照或当地公证处出具的此资质的公证书；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供应商应</w:t>
            </w:r>
            <w:r>
              <w:rPr>
                <w:rFonts w:hint="eastAsia" w:ascii="仿宋" w:hAnsi="仿宋" w:eastAsia="仿宋" w:cs="仿宋"/>
                <w:color w:val="auto"/>
                <w:sz w:val="24"/>
                <w:szCs w:val="24"/>
                <w:lang w:val="zh-CN" w:eastAsia="zh-CN"/>
              </w:rPr>
              <w:t>具备</w:t>
            </w:r>
            <w:r>
              <w:rPr>
                <w:rFonts w:hint="eastAsia" w:ascii="仿宋" w:hAnsi="仿宋" w:eastAsia="仿宋" w:cs="仿宋"/>
                <w:color w:val="auto"/>
                <w:sz w:val="24"/>
                <w:szCs w:val="24"/>
                <w:lang w:val="en-US" w:eastAsia="zh-CN"/>
              </w:rPr>
              <w:t>有效的</w:t>
            </w:r>
            <w:r>
              <w:rPr>
                <w:rFonts w:hint="eastAsia" w:ascii="仿宋" w:hAnsi="仿宋" w:eastAsia="仿宋" w:cs="仿宋"/>
                <w:color w:val="auto"/>
                <w:sz w:val="24"/>
                <w:szCs w:val="24"/>
                <w:lang w:val="zh-CN" w:eastAsia="zh-CN"/>
              </w:rPr>
              <w:t>《食品经营许可证》</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lang w:val="zh-CN" w:eastAsia="zh-CN"/>
              </w:rPr>
              <w:t>食品生产许可证》或《食品流通许可证》；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highlight w:val="none"/>
                <w:shd w:val="clear" w:color="auto" w:fill="auto"/>
                <w:lang w:val="en-US" w:eastAsia="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ascii="仿宋" w:hAnsi="仿宋" w:eastAsia="仿宋" w:cs="仿宋"/>
                <w:color w:val="auto"/>
                <w:sz w:val="24"/>
                <w:szCs w:val="24"/>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5</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磋商费用</w:t>
            </w:r>
          </w:p>
        </w:tc>
        <w:tc>
          <w:tcPr>
            <w:tcW w:w="7615" w:type="dxa"/>
            <w:vAlign w:val="center"/>
          </w:tcPr>
          <w:p>
            <w:pPr>
              <w:shd w:val="clear"/>
              <w:jc w:val="both"/>
              <w:rPr>
                <w:rFonts w:ascii="仿宋" w:hAnsi="仿宋" w:eastAsia="仿宋" w:cs="仿宋"/>
                <w:color w:val="auto"/>
                <w:sz w:val="24"/>
                <w:szCs w:val="24"/>
              </w:rPr>
            </w:pPr>
            <w:r>
              <w:rPr>
                <w:rFonts w:hint="eastAsia" w:ascii="仿宋" w:hAnsi="仿宋" w:eastAsia="仿宋" w:cs="仿宋"/>
                <w:color w:val="auto"/>
                <w:sz w:val="24"/>
                <w:szCs w:val="24"/>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6</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磋商报价及最高限价</w:t>
            </w:r>
          </w:p>
        </w:tc>
        <w:tc>
          <w:tcPr>
            <w:tcW w:w="7615" w:type="dxa"/>
            <w:vAlign w:val="top"/>
          </w:tcPr>
          <w:p>
            <w:pPr>
              <w:shd w:val="clear"/>
              <w:jc w:val="both"/>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最高限价：330000元（人民币）。</w:t>
            </w:r>
            <w:r>
              <w:rPr>
                <w:rFonts w:hint="eastAsia" w:ascii="仿宋" w:hAnsi="仿宋" w:eastAsia="仿宋" w:cs="仿宋"/>
                <w:b/>
                <w:color w:val="auto"/>
                <w:sz w:val="24"/>
                <w:szCs w:val="24"/>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7</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7615" w:type="dxa"/>
            <w:vAlign w:val="center"/>
          </w:tcPr>
          <w:p>
            <w:pPr>
              <w:shd w:val="clea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自响应文件递交截止时间之日起</w:t>
            </w:r>
            <w:r>
              <w:rPr>
                <w:rFonts w:hint="eastAsia" w:ascii="仿宋" w:hAnsi="仿宋" w:eastAsia="仿宋" w:cs="仿宋"/>
                <w:color w:val="auto"/>
                <w:sz w:val="24"/>
                <w:szCs w:val="24"/>
                <w:lang w:eastAsia="zh-CN"/>
              </w:rPr>
              <w:t>60</w:t>
            </w:r>
            <w:r>
              <w:rPr>
                <w:rFonts w:hint="eastAsia" w:ascii="仿宋" w:hAnsi="仿宋" w:eastAsia="仿宋" w:cs="仿宋"/>
                <w:color w:val="auto"/>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8</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磋商保证金</w:t>
            </w:r>
          </w:p>
        </w:tc>
        <w:tc>
          <w:tcPr>
            <w:tcW w:w="7615" w:type="dxa"/>
          </w:tcPr>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磋商保证金金额：人民币6600元（大写：陆仟陆佰元整）</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磋商保证金形式：支票、汇票、本票、网上银行支付等非现金形式</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磋商保证金提交截止时间：供应商应在提交首次响应文件截止时间前按谈判文件规定的金额、形式等，将磋商保证金交到保证金收款账户（采用电汇或网上银行支付的，须在提交首次响应文件截止时间前到账，</w:t>
            </w:r>
            <w:r>
              <w:rPr>
                <w:rFonts w:hint="eastAsia" w:ascii="仿宋" w:hAnsi="仿宋" w:eastAsia="仿宋" w:cs="仿宋"/>
                <w:b/>
                <w:bCs/>
                <w:color w:val="auto"/>
                <w:spacing w:val="0"/>
                <w:w w:val="100"/>
                <w:kern w:val="0"/>
                <w:position w:val="0"/>
                <w:sz w:val="24"/>
                <w:szCs w:val="24"/>
                <w:lang w:val="en-US" w:eastAsia="zh-CN" w:bidi="ar"/>
              </w:rPr>
              <w:t>并注明“交二济困餐厅饮料类和一次性用品磋商保证金”</w:t>
            </w:r>
            <w:r>
              <w:rPr>
                <w:rFonts w:hint="eastAsia" w:ascii="仿宋" w:hAnsi="仿宋" w:eastAsia="仿宋" w:cs="仿宋"/>
                <w:color w:val="auto"/>
                <w:spacing w:val="0"/>
                <w:w w:val="100"/>
                <w:kern w:val="0"/>
                <w:position w:val="0"/>
                <w:sz w:val="24"/>
                <w:szCs w:val="24"/>
                <w:lang w:val="en-US" w:eastAsia="zh-CN" w:bidi="ar"/>
              </w:rPr>
              <w:t>）</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磋商保证金银行账号：</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开户名称：新疆华恒惠欣工程项目管理有限责任公司</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账号：632815927</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开户银行：中国民生银行乌鲁木齐分行营业部</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行号：305881088014</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ascii="仿宋" w:hAnsi="仿宋" w:eastAsia="仿宋" w:cs="仿宋"/>
                <w:color w:val="auto"/>
                <w:sz w:val="24"/>
                <w:szCs w:val="24"/>
              </w:rPr>
            </w:pPr>
            <w:r>
              <w:rPr>
                <w:rFonts w:hint="eastAsia" w:ascii="仿宋" w:hAnsi="仿宋" w:eastAsia="仿宋" w:cs="仿宋"/>
                <w:color w:val="auto"/>
                <w:spacing w:val="0"/>
                <w:w w:val="100"/>
                <w:kern w:val="0"/>
                <w:position w:val="0"/>
                <w:sz w:val="24"/>
                <w:szCs w:val="24"/>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9</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响应文件份数</w:t>
            </w:r>
          </w:p>
        </w:tc>
        <w:tc>
          <w:tcPr>
            <w:tcW w:w="7615"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（1）纸质《响应文件》</w:t>
            </w:r>
            <w:r>
              <w:rPr>
                <w:rFonts w:hint="eastAsia" w:ascii="仿宋" w:hAnsi="仿宋" w:eastAsia="仿宋" w:cs="仿宋"/>
                <w:color w:val="auto"/>
                <w:spacing w:val="0"/>
                <w:w w:val="100"/>
                <w:kern w:val="0"/>
                <w:position w:val="0"/>
                <w:sz w:val="24"/>
                <w:szCs w:val="24"/>
                <w:highlight w:val="none"/>
                <w:lang w:val="en-US" w:eastAsia="zh-CN" w:bidi="ar"/>
              </w:rPr>
              <w:t>：正本1份，副本2份；</w:t>
            </w:r>
          </w:p>
          <w:p>
            <w:pPr>
              <w:widowControl w:val="0"/>
              <w:numPr>
                <w:ilvl w:val="0"/>
                <w:numId w:val="0"/>
              </w:numPr>
              <w:autoSpaceDE w:val="0"/>
              <w:autoSpaceDN w:val="0"/>
              <w:spacing w:before="0" w:after="0" w:line="240" w:lineRule="auto"/>
              <w:ind w:left="0" w:right="0" w:rightChars="0" w:firstLine="240" w:firstLineChars="100"/>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en-US" w:eastAsia="zh-CN" w:bidi="zh-CN"/>
              </w:rPr>
              <w:t>响应文件纸质正本及副本须在封面清楚地标明“正本”或“副本”，若响应文件有其它纸质组成部分或再分为多册装订等情况，则除了在封面清楚地标明“正本” 或“副本”外，还应尽量注明该纸质文件的内容（例如“上册”、“下册”、“图纸” 或“附件”等）。若响应文件副本与正本不符，以正本为准。电子版与纸制文件不符， 以纸制文件为准。</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（2）《电子文档》</w:t>
            </w:r>
            <w:r>
              <w:rPr>
                <w:rFonts w:hint="eastAsia" w:ascii="仿宋" w:hAnsi="仿宋" w:eastAsia="仿宋" w:cs="仿宋"/>
                <w:color w:val="auto"/>
                <w:spacing w:val="0"/>
                <w:w w:val="100"/>
                <w:kern w:val="0"/>
                <w:position w:val="0"/>
                <w:sz w:val="24"/>
                <w:szCs w:val="24"/>
                <w:highlight w:val="none"/>
                <w:lang w:val="en-US" w:eastAsia="zh-CN" w:bidi="ar"/>
              </w:rPr>
              <w:t>：1份（以U盘形式提供）</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响应文件电子版必须与纸质响应文件一致，内容必须包括：</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①响应文件所有页面的扫描件（含所有签字及盖章部分）电子版，为保证电子版不可编辑，格式必须为PDF或JPEG（电子版可以将签字盖章部分扫描后插入响应文件电子文档后以PDF或JPEG格式输出生成）。</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②磋商报价明细表电子版，格式为Word或Excel。</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响应文件电子版要求包含响应文件全部内容，响应文件电子版与纸质版文件不一致时以纸质版文件为准。响应文件必须使用胶粘装订，如果出现拉杆或活页装订等活页装订将导致结果由供应商自行承担。</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（3）《磋商报价表》</w:t>
            </w:r>
            <w:r>
              <w:rPr>
                <w:rFonts w:hint="eastAsia" w:ascii="仿宋" w:hAnsi="仿宋" w:eastAsia="仿宋" w:cs="仿宋"/>
                <w:color w:val="auto"/>
                <w:spacing w:val="0"/>
                <w:w w:val="100"/>
                <w:kern w:val="0"/>
                <w:position w:val="0"/>
                <w:sz w:val="24"/>
                <w:szCs w:val="24"/>
                <w:highlight w:val="none"/>
                <w:lang w:val="en-US" w:eastAsia="zh-CN" w:bidi="ar"/>
              </w:rPr>
              <w:t xml:space="preserve">：1份（单独密封，应与《响应文件》中内容保持一致）； </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（4）《磋商保证金缴纳凭证》</w:t>
            </w:r>
            <w:r>
              <w:rPr>
                <w:rFonts w:hint="eastAsia" w:ascii="仿宋" w:hAnsi="仿宋" w:eastAsia="仿宋" w:cs="仿宋"/>
                <w:color w:val="auto"/>
                <w:spacing w:val="0"/>
                <w:w w:val="100"/>
                <w:kern w:val="0"/>
                <w:position w:val="0"/>
                <w:sz w:val="24"/>
                <w:szCs w:val="24"/>
                <w:highlight w:val="none"/>
                <w:lang w:val="en-US" w:eastAsia="zh-CN" w:bidi="ar"/>
              </w:rPr>
              <w:t>（电汇时为电汇底单复印件）、</w:t>
            </w:r>
            <w:r>
              <w:rPr>
                <w:rFonts w:hint="eastAsia" w:ascii="仿宋" w:hAnsi="仿宋" w:eastAsia="仿宋" w:cs="仿宋"/>
                <w:b/>
                <w:bCs/>
                <w:color w:val="auto"/>
                <w:spacing w:val="0"/>
                <w:w w:val="100"/>
                <w:kern w:val="0"/>
                <w:position w:val="0"/>
                <w:sz w:val="24"/>
                <w:szCs w:val="24"/>
                <w:highlight w:val="none"/>
                <w:lang w:val="en-US" w:eastAsia="zh-CN" w:bidi="ar"/>
              </w:rPr>
              <w:t>《供应商开票信息表》、《退还保证金说明函》</w:t>
            </w:r>
            <w:r>
              <w:rPr>
                <w:rFonts w:hint="eastAsia" w:ascii="仿宋" w:hAnsi="仿宋" w:eastAsia="仿宋" w:cs="仿宋"/>
                <w:color w:val="auto"/>
                <w:spacing w:val="0"/>
                <w:w w:val="100"/>
                <w:kern w:val="0"/>
                <w:position w:val="0"/>
                <w:sz w:val="24"/>
                <w:szCs w:val="24"/>
                <w:highlight w:val="none"/>
                <w:lang w:val="en-US" w:eastAsia="zh-CN" w:bidi="ar"/>
              </w:rPr>
              <w:t>：各1份（三者一起包装，应与《响应文件》中内容保持一致）。</w:t>
            </w:r>
          </w:p>
          <w:p>
            <w:pPr>
              <w:shd w:val="clear"/>
              <w:rPr>
                <w:rFonts w:ascii="仿宋" w:hAnsi="仿宋" w:eastAsia="仿宋" w:cs="仿宋"/>
                <w:color w:val="auto"/>
                <w:sz w:val="24"/>
                <w:szCs w:val="24"/>
              </w:rPr>
            </w:pPr>
            <w:r>
              <w:rPr>
                <w:rFonts w:hint="eastAsia" w:ascii="仿宋" w:hAnsi="仿宋" w:eastAsia="仿宋" w:cs="仿宋"/>
                <w:color w:val="auto"/>
                <w:spacing w:val="0"/>
                <w:w w:val="100"/>
                <w:kern w:val="0"/>
                <w:position w:val="0"/>
                <w:sz w:val="24"/>
                <w:szCs w:val="24"/>
                <w:highlight w:val="none"/>
                <w:lang w:val="en-US" w:eastAsia="zh-CN" w:bidi="ar"/>
              </w:rPr>
              <w:t>（5）响应文件的退还：</w:t>
            </w:r>
            <w:r>
              <w:rPr>
                <w:rFonts w:hint="eastAsia" w:ascii="仿宋" w:hAnsi="仿宋" w:eastAsia="仿宋" w:cs="仿宋"/>
                <w:b/>
                <w:bCs/>
                <w:color w:val="auto"/>
                <w:spacing w:val="0"/>
                <w:w w:val="100"/>
                <w:kern w:val="0"/>
                <w:position w:val="0"/>
                <w:sz w:val="24"/>
                <w:szCs w:val="24"/>
                <w:highlight w:val="none"/>
                <w:lang w:val="en-US" w:eastAsia="zh-CN" w:bidi="ar"/>
              </w:rPr>
              <w:t>所有响应竞争性磋商文件要求合格供应商的响应文件正本一套、副本一套及随文件同时递交的图纸、U盘等附件不予退回，其余响应文件副本均予评标结束后退回。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10</w:t>
            </w:r>
          </w:p>
        </w:tc>
        <w:tc>
          <w:tcPr>
            <w:tcW w:w="1421"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w:t>
            </w:r>
          </w:p>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装订要求</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供应商应按第六部分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响应文件格式的组成规定的顺序自编目录及页码，响应文件的“正本”、“副本”应当单独装订成册并标注页码，装订应牢固，不易拆散和换页，装订必须封装，不得活页装订，</w:t>
            </w:r>
            <w:r>
              <w:rPr>
                <w:rFonts w:hint="eastAsia" w:ascii="仿宋" w:hAnsi="仿宋" w:eastAsia="仿宋" w:cs="仿宋"/>
                <w:b/>
                <w:color w:val="auto"/>
                <w:sz w:val="24"/>
                <w:szCs w:val="24"/>
              </w:rPr>
              <w:t>否则视作无效响应</w:t>
            </w:r>
            <w:r>
              <w:rPr>
                <w:rFonts w:hint="eastAsia" w:ascii="仿宋" w:hAnsi="仿宋" w:eastAsia="仿宋" w:cs="仿宋"/>
                <w:color w:val="auto"/>
                <w:sz w:val="24"/>
                <w:szCs w:val="24"/>
              </w:rPr>
              <w:t>。封面应注明“正本”、“副本”字样，封面上写明项目名称、项目编号、采购代理机构、供应商名称。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11</w:t>
            </w:r>
          </w:p>
        </w:tc>
        <w:tc>
          <w:tcPr>
            <w:tcW w:w="1421"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响应文件包装、密封</w:t>
            </w:r>
          </w:p>
        </w:tc>
        <w:tc>
          <w:tcPr>
            <w:tcW w:w="7615" w:type="dxa"/>
            <w:vAlign w:val="center"/>
          </w:tcPr>
          <w:p>
            <w:pPr>
              <w:shd w:val="clear"/>
              <w:rPr>
                <w:color w:val="auto"/>
              </w:rPr>
            </w:pPr>
            <w:r>
              <w:rPr>
                <w:rFonts w:hint="eastAsia" w:ascii="仿宋" w:hAnsi="仿宋" w:eastAsia="仿宋" w:cs="仿宋"/>
                <w:color w:val="auto"/>
                <w:sz w:val="24"/>
                <w:szCs w:val="24"/>
              </w:rPr>
              <w:t>响应文件包装、密封：将响应文件“正本”、“副本”一并装入并密封在</w:t>
            </w:r>
            <w:r>
              <w:rPr>
                <w:rFonts w:hint="eastAsia" w:ascii="仿宋" w:hAnsi="仿宋" w:eastAsia="仿宋" w:cs="仿宋"/>
                <w:b/>
                <w:bCs/>
                <w:color w:val="auto"/>
                <w:sz w:val="24"/>
                <w:szCs w:val="24"/>
              </w:rPr>
              <w:t>一个响应文件袋（盒、箱）中</w:t>
            </w:r>
            <w:r>
              <w:rPr>
                <w:rFonts w:hint="eastAsia" w:ascii="仿宋" w:hAnsi="仿宋" w:eastAsia="仿宋" w:cs="仿宋"/>
                <w:color w:val="auto"/>
                <w:sz w:val="24"/>
                <w:szCs w:val="24"/>
              </w:rPr>
              <w:t>，并在密封处密封签章（公章或密封章或法定代表人或负责人或其授权委托代理人签字均可）。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12</w:t>
            </w:r>
          </w:p>
        </w:tc>
        <w:tc>
          <w:tcPr>
            <w:tcW w:w="1421"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响应文件包封袋上标记</w:t>
            </w:r>
          </w:p>
        </w:tc>
        <w:tc>
          <w:tcPr>
            <w:tcW w:w="7615" w:type="dxa"/>
            <w:vAlign w:val="center"/>
          </w:tcPr>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hd w:val="clea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p>
          <w:p>
            <w:pPr>
              <w:shd w:val="clear"/>
              <w:rPr>
                <w:rFonts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 月 日  时 分前不得开启(此处填写响应文件递交截止时间)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13</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供应商公章</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本竞争性磋商文件中描述供应商的“公章”是指根据我国对公章的管理规定，用供应商法定主体行为名称制作的印章，除本文件有特殊规定外，供应商的财务章、部门章、分公司章、工会章、合同章、磋商专用章、业务专用章及银行的转账章、现金收讫章、现金付讫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14</w:t>
            </w:r>
          </w:p>
        </w:tc>
        <w:tc>
          <w:tcPr>
            <w:tcW w:w="1421" w:type="dxa"/>
            <w:vAlign w:val="center"/>
          </w:tcPr>
          <w:p>
            <w:pPr>
              <w:shd w:val="clear"/>
              <w:jc w:val="center"/>
              <w:rPr>
                <w:rFonts w:ascii="仿宋" w:hAnsi="仿宋" w:eastAsia="仿宋" w:cs="仿宋"/>
                <w:color w:val="auto"/>
                <w:spacing w:val="-4"/>
                <w:sz w:val="24"/>
                <w:szCs w:val="24"/>
              </w:rPr>
            </w:pPr>
            <w:r>
              <w:rPr>
                <w:rFonts w:hint="eastAsia" w:ascii="仿宋" w:hAnsi="仿宋" w:eastAsia="仿宋" w:cs="仿宋"/>
                <w:color w:val="auto"/>
                <w:spacing w:val="-4"/>
                <w:sz w:val="24"/>
                <w:szCs w:val="24"/>
              </w:rPr>
              <w:t>响应文件递交截止时间</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15</w:t>
            </w:r>
          </w:p>
        </w:tc>
        <w:tc>
          <w:tcPr>
            <w:tcW w:w="1421" w:type="dxa"/>
            <w:vAlign w:val="center"/>
          </w:tcPr>
          <w:p>
            <w:pPr>
              <w:shd w:val="clear"/>
              <w:jc w:val="center"/>
              <w:rPr>
                <w:rFonts w:ascii="仿宋" w:hAnsi="仿宋" w:eastAsia="仿宋" w:cs="仿宋"/>
                <w:color w:val="auto"/>
                <w:position w:val="-2"/>
                <w:sz w:val="24"/>
                <w:szCs w:val="24"/>
              </w:rPr>
            </w:pPr>
            <w:r>
              <w:rPr>
                <w:rFonts w:hint="eastAsia" w:ascii="仿宋" w:hAnsi="仿宋" w:eastAsia="仿宋" w:cs="仿宋"/>
                <w:color w:val="auto"/>
                <w:position w:val="-2"/>
                <w:sz w:val="24"/>
                <w:szCs w:val="24"/>
              </w:rPr>
              <w:t>响应文件递交地点</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16</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position w:val="10"/>
                <w:sz w:val="24"/>
                <w:szCs w:val="24"/>
              </w:rPr>
              <w:t>磋商小组的组成</w:t>
            </w:r>
          </w:p>
        </w:tc>
        <w:tc>
          <w:tcPr>
            <w:tcW w:w="7615" w:type="dxa"/>
          </w:tcPr>
          <w:p>
            <w:pPr>
              <w:pStyle w:val="34"/>
              <w:shd w:val="clear"/>
              <w:spacing w:line="320" w:lineRule="exact"/>
              <w:rPr>
                <w:rFonts w:hint="default" w:ascii="仿宋" w:hAnsi="仿宋" w:eastAsia="仿宋" w:cs="仿宋"/>
                <w:color w:val="auto"/>
                <w:lang w:val="en-US"/>
              </w:rPr>
            </w:pPr>
            <w:r>
              <w:rPr>
                <w:rFonts w:hint="eastAsia" w:ascii="仿宋" w:hAnsi="仿宋" w:eastAsia="仿宋" w:cs="仿宋"/>
                <w:color w:val="auto"/>
              </w:rPr>
              <w:t>磋商小组构成：</w:t>
            </w:r>
            <w:r>
              <w:rPr>
                <w:rFonts w:hint="eastAsia" w:ascii="仿宋" w:hAnsi="仿宋" w:eastAsia="仿宋" w:cs="仿宋"/>
                <w:color w:val="auto"/>
                <w:lang w:val="en-US" w:eastAsia="zh-CN"/>
              </w:rPr>
              <w:t>磋商小组由采购人代表和评审专家共3</w:t>
            </w:r>
            <w:r>
              <w:rPr>
                <w:rFonts w:hint="eastAsia" w:ascii="仿宋" w:hAnsi="仿宋" w:eastAsia="仿宋" w:cs="仿宋"/>
                <w:color w:val="auto"/>
              </w:rPr>
              <w:t>人</w:t>
            </w:r>
            <w:r>
              <w:rPr>
                <w:rFonts w:hint="eastAsia" w:ascii="仿宋" w:hAnsi="仿宋" w:eastAsia="仿宋" w:cs="仿宋"/>
                <w:color w:val="auto"/>
                <w:lang w:val="en-US" w:eastAsia="zh-CN"/>
              </w:rPr>
              <w:t>以上单数组成</w:t>
            </w:r>
            <w:r>
              <w:rPr>
                <w:rFonts w:hint="eastAsia" w:ascii="仿宋" w:hAnsi="仿宋" w:eastAsia="仿宋" w:cs="仿宋"/>
                <w:color w:val="auto"/>
                <w:lang w:eastAsia="zh-CN"/>
              </w:rPr>
              <w:t>，</w:t>
            </w:r>
            <w:r>
              <w:rPr>
                <w:rFonts w:hint="eastAsia" w:ascii="仿宋" w:hAnsi="仿宋" w:eastAsia="仿宋" w:cs="仿宋"/>
                <w:color w:val="auto"/>
                <w:lang w:val="en-US" w:eastAsia="zh-CN"/>
              </w:rPr>
              <w:t>其中评审专家人数不得少于磋商小组成员总数的2/3。</w:t>
            </w:r>
          </w:p>
          <w:p>
            <w:pPr>
              <w:shd w:val="clear"/>
              <w:rPr>
                <w:rFonts w:ascii="仿宋" w:hAnsi="仿宋" w:eastAsia="仿宋" w:cs="仿宋"/>
                <w:color w:val="auto"/>
                <w:sz w:val="24"/>
                <w:szCs w:val="24"/>
              </w:rPr>
            </w:pPr>
            <w:r>
              <w:rPr>
                <w:rFonts w:hint="eastAsia" w:ascii="仿宋" w:hAnsi="仿宋" w:eastAsia="仿宋" w:cs="仿宋"/>
                <w:color w:val="auto"/>
                <w:sz w:val="24"/>
                <w:szCs w:val="24"/>
              </w:rPr>
              <w:t>磋商小组确定方式：随机抽取。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7</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磋商时间、地点、人员</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1、磋商时间：详见第一部分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p>
            <w:pPr>
              <w:shd w:val="clear"/>
              <w:rPr>
                <w:rFonts w:ascii="仿宋" w:hAnsi="仿宋" w:eastAsia="仿宋" w:cs="仿宋"/>
                <w:color w:val="auto"/>
                <w:sz w:val="24"/>
                <w:szCs w:val="24"/>
              </w:rPr>
            </w:pPr>
            <w:r>
              <w:rPr>
                <w:rFonts w:hint="eastAsia" w:ascii="仿宋" w:hAnsi="仿宋" w:eastAsia="仿宋" w:cs="仿宋"/>
                <w:color w:val="auto"/>
                <w:sz w:val="24"/>
                <w:szCs w:val="24"/>
              </w:rPr>
              <w:t>2、磋商地点：详见第一部分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p>
            <w:pPr>
              <w:shd w:val="clear"/>
              <w:rPr>
                <w:rFonts w:ascii="仿宋" w:hAnsi="仿宋" w:eastAsia="仿宋" w:cs="仿宋"/>
                <w:color w:val="auto"/>
                <w:sz w:val="24"/>
                <w:szCs w:val="24"/>
              </w:rPr>
            </w:pPr>
            <w:r>
              <w:rPr>
                <w:rFonts w:hint="eastAsia" w:ascii="仿宋" w:hAnsi="仿宋" w:eastAsia="仿宋" w:cs="仿宋"/>
                <w:color w:val="auto"/>
                <w:sz w:val="24"/>
                <w:szCs w:val="24"/>
              </w:rPr>
              <w:t>3、磋商参加人员：参加磋商的法定代表人(负责人)或委托代理人必须持有效证件[法定代表人(负责人)凭身份证或委托代理人凭授权委托书原件和身份证]按时到达指定地点等候当面磋商。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8</w:t>
            </w:r>
          </w:p>
        </w:tc>
        <w:tc>
          <w:tcPr>
            <w:tcW w:w="1421"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sz w:val="24"/>
                <w:szCs w:val="24"/>
              </w:rPr>
              <w:t>评审办法</w:t>
            </w:r>
          </w:p>
        </w:tc>
        <w:tc>
          <w:tcPr>
            <w:tcW w:w="7615" w:type="dxa"/>
            <w:vAlign w:val="center"/>
          </w:tcPr>
          <w:p>
            <w:pPr>
              <w:shd w:val="clear"/>
              <w:rPr>
                <w:rFonts w:hint="default" w:ascii="仿宋" w:hAnsi="仿宋" w:eastAsia="仿宋" w:cs="仿宋"/>
                <w:color w:val="auto"/>
                <w:sz w:val="24"/>
                <w:szCs w:val="24"/>
                <w:lang w:val="en-US"/>
              </w:rPr>
            </w:pPr>
            <w:r>
              <w:rPr>
                <w:rFonts w:hint="eastAsia" w:ascii="仿宋" w:hAnsi="仿宋" w:eastAsia="仿宋" w:cs="仿宋"/>
                <w:color w:val="auto"/>
                <w:sz w:val="24"/>
                <w:szCs w:val="24"/>
              </w:rPr>
              <w:t>综合评分法，具体评审内容及标准详见第四部分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磋商、评审、成</w:t>
            </w:r>
            <w:r>
              <w:rPr>
                <w:rFonts w:hint="eastAsia" w:ascii="仿宋" w:hAnsi="仿宋" w:eastAsia="仿宋" w:cs="仿宋"/>
                <w:color w:val="auto"/>
                <w:sz w:val="24"/>
                <w:szCs w:val="24"/>
                <w:lang w:val="en-US" w:eastAsia="zh-CN"/>
              </w:rPr>
              <w:t>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9</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成交公告</w:t>
            </w:r>
          </w:p>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及成交通知书</w:t>
            </w:r>
          </w:p>
        </w:tc>
        <w:tc>
          <w:tcPr>
            <w:tcW w:w="7615" w:type="dxa"/>
            <w:vAlign w:val="top"/>
          </w:tcPr>
          <w:p>
            <w:pPr>
              <w:shd w:val="clear"/>
              <w:tabs>
                <w:tab w:val="left" w:pos="455"/>
              </w:tabs>
              <w:jc w:val="both"/>
              <w:rPr>
                <w:rFonts w:ascii="仿宋" w:hAnsi="仿宋" w:eastAsia="仿宋" w:cs="仿宋"/>
                <w:color w:val="auto"/>
                <w:sz w:val="24"/>
                <w:szCs w:val="24"/>
              </w:rPr>
            </w:pPr>
            <w:r>
              <w:rPr>
                <w:rFonts w:hint="eastAsia" w:ascii="仿宋" w:hAnsi="仿宋" w:eastAsia="仿宋" w:cs="仿宋"/>
                <w:color w:val="auto"/>
                <w:sz w:val="24"/>
                <w:szCs w:val="24"/>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shd w:val="clear"/>
              <w:jc w:val="both"/>
              <w:rPr>
                <w:rFonts w:ascii="仿宋" w:hAnsi="仿宋" w:eastAsia="仿宋" w:cs="仿宋"/>
                <w:color w:val="auto"/>
                <w:sz w:val="24"/>
                <w:szCs w:val="24"/>
              </w:rPr>
            </w:pPr>
            <w:r>
              <w:rPr>
                <w:rFonts w:hint="eastAsia" w:ascii="仿宋" w:hAnsi="仿宋" w:eastAsia="仿宋" w:cs="仿宋"/>
                <w:color w:val="auto"/>
                <w:sz w:val="24"/>
                <w:szCs w:val="24"/>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20</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履约保证金</w:t>
            </w:r>
          </w:p>
        </w:tc>
        <w:tc>
          <w:tcPr>
            <w:tcW w:w="7615" w:type="dxa"/>
            <w:vAlign w:val="center"/>
          </w:tcPr>
          <w:p>
            <w:pPr>
              <w:pStyle w:val="34"/>
              <w:shd w:val="clear"/>
              <w:spacing w:line="320" w:lineRule="exact"/>
              <w:rPr>
                <w:rFonts w:hint="eastAsia" w:ascii="仿宋" w:hAnsi="仿宋" w:eastAsia="仿宋" w:cs="仿宋"/>
                <w:color w:val="auto"/>
                <w:lang w:eastAsia="zh-CN"/>
              </w:rPr>
            </w:pPr>
            <w:r>
              <w:rPr>
                <w:rFonts w:hint="eastAsia" w:ascii="仿宋" w:hAnsi="仿宋" w:eastAsia="仿宋" w:cs="仿宋"/>
                <w:color w:val="auto"/>
              </w:rPr>
              <w:t>履约保证金的金额：</w:t>
            </w:r>
            <w:r>
              <w:rPr>
                <w:rFonts w:hint="eastAsia" w:ascii="仿宋" w:hAnsi="仿宋" w:eastAsia="仿宋" w:cs="仿宋"/>
                <w:color w:val="auto"/>
                <w:lang w:val="en-US" w:eastAsia="zh-CN"/>
              </w:rPr>
              <w:t>/%</w:t>
            </w:r>
            <w:r>
              <w:rPr>
                <w:rFonts w:hint="eastAsia" w:ascii="仿宋" w:hAnsi="仿宋" w:eastAsia="仿宋" w:cs="仿宋"/>
                <w:color w:val="auto"/>
              </w:rPr>
              <w:t>。</w:t>
            </w:r>
          </w:p>
          <w:p>
            <w:pPr>
              <w:pStyle w:val="34"/>
              <w:shd w:val="clear"/>
              <w:spacing w:line="320" w:lineRule="exact"/>
              <w:rPr>
                <w:rFonts w:ascii="仿宋" w:hAnsi="仿宋" w:eastAsia="仿宋" w:cs="仿宋"/>
                <w:color w:val="auto"/>
              </w:rPr>
            </w:pPr>
            <w:r>
              <w:rPr>
                <w:rFonts w:hint="eastAsia" w:ascii="仿宋" w:hAnsi="仿宋" w:eastAsia="仿宋" w:cs="仿宋"/>
                <w:color w:val="auto"/>
              </w:rPr>
              <w:t>履约保证金的形式：转账或银行保函</w:t>
            </w:r>
          </w:p>
          <w:p>
            <w:pPr>
              <w:shd w:val="clear"/>
              <w:rPr>
                <w:rFonts w:ascii="仿宋" w:hAnsi="仿宋" w:eastAsia="仿宋" w:cs="仿宋"/>
                <w:color w:val="auto"/>
                <w:sz w:val="24"/>
                <w:szCs w:val="24"/>
              </w:rPr>
            </w:pPr>
            <w:r>
              <w:rPr>
                <w:rFonts w:hint="eastAsia" w:ascii="仿宋" w:hAnsi="仿宋" w:eastAsia="仿宋" w:cs="仿宋"/>
                <w:color w:val="auto"/>
                <w:sz w:val="24"/>
                <w:szCs w:val="24"/>
              </w:rPr>
              <w:t>履约保证金的缴纳方式：在收到</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通知书后，</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人须在</w:t>
            </w:r>
            <w:r>
              <w:rPr>
                <w:rFonts w:hint="eastAsia" w:ascii="仿宋" w:hAnsi="仿宋" w:eastAsia="仿宋" w:cs="仿宋"/>
                <w:color w:val="auto"/>
                <w:sz w:val="24"/>
                <w:szCs w:val="24"/>
                <w:lang w:val="en-US"/>
              </w:rPr>
              <w:t>7</w:t>
            </w:r>
            <w:r>
              <w:rPr>
                <w:rFonts w:hint="eastAsia" w:ascii="仿宋" w:hAnsi="仿宋" w:eastAsia="仿宋" w:cs="仿宋"/>
                <w:color w:val="auto"/>
                <w:sz w:val="24"/>
                <w:szCs w:val="24"/>
              </w:rPr>
              <w:t>个工作日内向</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人提交履约保证金，否则视为自动放弃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21</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签订合同时间</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成交通知书发出后</w:t>
            </w:r>
            <w:r>
              <w:rPr>
                <w:rFonts w:hint="eastAsia" w:ascii="仿宋" w:hAnsi="仿宋" w:eastAsia="仿宋" w:cs="仿宋"/>
                <w:color w:val="auto"/>
                <w:sz w:val="24"/>
                <w:szCs w:val="24"/>
                <w:lang w:val="en-US"/>
              </w:rPr>
              <w:t>30</w:t>
            </w:r>
            <w:r>
              <w:rPr>
                <w:rFonts w:hint="eastAsia" w:ascii="仿宋" w:hAnsi="仿宋" w:eastAsia="仿宋" w:cs="仿宋"/>
                <w:color w:val="auto"/>
                <w:sz w:val="24"/>
                <w:szCs w:val="24"/>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rPr>
              <w:t>2</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采购代理服务费金额、交纳方式和时限</w:t>
            </w:r>
          </w:p>
        </w:tc>
        <w:tc>
          <w:tcPr>
            <w:tcW w:w="7615" w:type="dxa"/>
            <w:vAlign w:val="center"/>
          </w:tcPr>
          <w:p>
            <w:pPr>
              <w:pStyle w:val="29"/>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采购代理服务费的标准与收取：成交供应商支付。</w:t>
            </w:r>
          </w:p>
          <w:p>
            <w:pPr>
              <w:pStyle w:val="29"/>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依据《中华人民共和国国家发展和改革委员会令》（第31号），执行《政府采购代理机构管理暂行办法》（财库[2018]2号）的规定。</w:t>
            </w:r>
            <w:r>
              <w:rPr>
                <w:rFonts w:hint="eastAsia" w:ascii="仿宋" w:hAnsi="仿宋" w:eastAsia="仿宋" w:cs="仿宋"/>
                <w:color w:val="auto"/>
                <w:sz w:val="24"/>
                <w:szCs w:val="24"/>
                <w:highlight w:val="none"/>
                <w:lang w:val="en-US" w:eastAsia="zh-CN"/>
              </w:rPr>
              <w:t>本项目采购代理服务收费</w:t>
            </w:r>
            <w:r>
              <w:rPr>
                <w:rFonts w:hint="eastAsia" w:ascii="仿宋" w:hAnsi="仿宋" w:eastAsia="仿宋" w:cs="仿宋"/>
                <w:color w:val="auto"/>
                <w:sz w:val="24"/>
                <w:szCs w:val="24"/>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29"/>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注：采购代理服务收费按差额定率累进法计算，不足3000元按3000元收取。</w:t>
            </w:r>
          </w:p>
          <w:p>
            <w:pPr>
              <w:pStyle w:val="29"/>
              <w:adjustRightInd w:val="0"/>
              <w:snapToGrid w:val="0"/>
              <w:spacing w:line="3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代理服务费银行账号：</w:t>
            </w:r>
          </w:p>
          <w:p>
            <w:pPr>
              <w:pStyle w:val="29"/>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收款单位：</w:t>
            </w:r>
            <w:r>
              <w:rPr>
                <w:rFonts w:hint="eastAsia" w:ascii="仿宋" w:hAnsi="仿宋" w:eastAsia="仿宋" w:cs="仿宋"/>
                <w:color w:val="auto"/>
                <w:spacing w:val="0"/>
                <w:w w:val="100"/>
                <w:kern w:val="0"/>
                <w:position w:val="0"/>
                <w:sz w:val="24"/>
                <w:szCs w:val="24"/>
                <w:lang w:val="en-US" w:eastAsia="zh-CN" w:bidi="ar"/>
              </w:rPr>
              <w:t>新疆华恒惠欣工程项目管理有限责任公司</w:t>
            </w:r>
            <w:r>
              <w:rPr>
                <w:rFonts w:hint="default" w:ascii="仿宋" w:hAnsi="仿宋" w:eastAsia="仿宋" w:cs="仿宋"/>
                <w:color w:val="auto"/>
                <w:sz w:val="24"/>
                <w:szCs w:val="24"/>
                <w:highlight w:val="none"/>
                <w:lang w:val="en-US" w:eastAsia="zh-CN"/>
              </w:rPr>
              <w:t xml:space="preserve"> </w:t>
            </w:r>
          </w:p>
          <w:p>
            <w:pPr>
              <w:pStyle w:val="29"/>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银行账号：65050161665000001758</w:t>
            </w:r>
          </w:p>
          <w:p>
            <w:pPr>
              <w:pStyle w:val="29"/>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开户行：中国建设银行股份有限公司乌鲁木齐经济技术开发区支行</w:t>
            </w:r>
          </w:p>
          <w:p>
            <w:pPr>
              <w:pStyle w:val="29"/>
              <w:adjustRightInd w:val="0"/>
              <w:snapToGrid w:val="0"/>
              <w:spacing w:line="360" w:lineRule="exact"/>
              <w:jc w:val="both"/>
              <w:rPr>
                <w:rFonts w:hint="default" w:eastAsia="仿宋"/>
                <w:lang w:val="en-US" w:eastAsia="zh-CN"/>
              </w:rPr>
            </w:pPr>
            <w:r>
              <w:rPr>
                <w:rFonts w:hint="default" w:ascii="仿宋" w:hAnsi="仿宋" w:eastAsia="仿宋" w:cs="仿宋"/>
                <w:color w:val="auto"/>
                <w:sz w:val="24"/>
                <w:szCs w:val="24"/>
                <w:highlight w:val="none"/>
                <w:lang w:val="en-US" w:eastAsia="zh-CN"/>
              </w:rPr>
              <w:t>开户行行号：</w:t>
            </w:r>
            <w:r>
              <w:rPr>
                <w:rFonts w:hint="eastAsia" w:ascii="仿宋" w:hAnsi="仿宋" w:eastAsia="仿宋" w:cs="仿宋"/>
                <w:color w:val="auto"/>
                <w:sz w:val="24"/>
                <w:szCs w:val="24"/>
                <w:highlight w:val="none"/>
                <w:lang w:val="en-US" w:eastAsia="zh-CN"/>
              </w:rPr>
              <w:t>105881000454</w:t>
            </w:r>
            <w:r>
              <w:rPr>
                <w:rFonts w:hint="default" w:ascii="仿宋" w:hAnsi="仿宋" w:eastAsia="仿宋" w:cs="仿宋"/>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23</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磋商现场</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需提供的证件原件</w:t>
            </w:r>
          </w:p>
        </w:tc>
        <w:tc>
          <w:tcPr>
            <w:tcW w:w="7615" w:type="dxa"/>
            <w:vAlign w:val="center"/>
          </w:tcPr>
          <w:p>
            <w:pPr>
              <w:pStyle w:val="29"/>
              <w:adjustRightInd w:val="0"/>
              <w:snapToGrid w:val="0"/>
              <w:spacing w:line="360" w:lineRule="exact"/>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磋商前，将由监标人员和采购人</w:t>
            </w:r>
            <w:r>
              <w:rPr>
                <w:rFonts w:hint="eastAsia" w:ascii="仿宋" w:hAnsi="仿宋" w:eastAsia="仿宋" w:cs="仿宋"/>
                <w:bCs/>
                <w:color w:val="auto"/>
                <w:sz w:val="24"/>
                <w:szCs w:val="24"/>
                <w:highlight w:val="none"/>
              </w:rPr>
              <w:t>审查</w:t>
            </w:r>
            <w:r>
              <w:rPr>
                <w:rFonts w:hint="eastAsia" w:ascii="仿宋" w:hAnsi="仿宋" w:eastAsia="仿宋" w:cs="仿宋"/>
                <w:bCs/>
                <w:color w:val="auto"/>
                <w:sz w:val="24"/>
                <w:szCs w:val="24"/>
                <w:highlight w:val="none"/>
                <w:lang w:val="en-US"/>
              </w:rPr>
              <w:t>供应商</w:t>
            </w:r>
            <w:r>
              <w:rPr>
                <w:rFonts w:hint="eastAsia" w:ascii="仿宋" w:hAnsi="仿宋" w:eastAsia="仿宋" w:cs="仿宋"/>
                <w:bCs/>
                <w:color w:val="auto"/>
                <w:sz w:val="24"/>
                <w:szCs w:val="24"/>
                <w:highlight w:val="none"/>
              </w:rPr>
              <w:t>下列资格证件原件：</w:t>
            </w:r>
          </w:p>
          <w:p>
            <w:pPr>
              <w:widowControl w:val="0"/>
              <w:autoSpaceDE w:val="0"/>
              <w:autoSpaceDN w:val="0"/>
              <w:adjustRightInd w:val="0"/>
              <w:snapToGrid w:val="0"/>
              <w:spacing w:before="0" w:after="0" w:line="360" w:lineRule="exact"/>
              <w:ind w:left="0" w:right="0"/>
              <w:jc w:val="both"/>
              <w:rPr>
                <w:rFonts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（1）企业法人营业执照副本原件（未办理三证合一的同时提供税务登记证和组织机构代码证原件）；</w:t>
            </w:r>
          </w:p>
          <w:p>
            <w:pPr>
              <w:widowControl w:val="0"/>
              <w:autoSpaceDE w:val="0"/>
              <w:autoSpaceDN w:val="0"/>
              <w:adjustRightInd w:val="0"/>
              <w:snapToGrid w:val="0"/>
              <w:spacing w:before="0" w:after="0" w:line="360" w:lineRule="exact"/>
              <w:ind w:left="0" w:right="0"/>
              <w:jc w:val="both"/>
              <w:rPr>
                <w:rFonts w:hint="default" w:ascii="仿宋" w:hAnsi="仿宋" w:eastAsia="仿宋" w:cs="仿宋"/>
                <w:bCs/>
                <w:color w:val="auto"/>
                <w:sz w:val="24"/>
                <w:szCs w:val="24"/>
                <w:highlight w:val="none"/>
                <w:lang w:val="en-US" w:eastAsia="zh-CN" w:bidi="zh-CN"/>
              </w:rPr>
            </w:pPr>
            <w:r>
              <w:rPr>
                <w:rFonts w:hint="eastAsia" w:ascii="仿宋" w:hAnsi="仿宋" w:eastAsia="仿宋" w:cs="仿宋"/>
                <w:bCs/>
                <w:color w:val="auto"/>
                <w:sz w:val="24"/>
                <w:szCs w:val="24"/>
                <w:highlight w:val="none"/>
                <w:lang w:val="zh-CN" w:eastAsia="zh-CN" w:bidi="zh-CN"/>
              </w:rPr>
              <w:t>（2）法人授权委托书原件和被授权人身份证原件（</w:t>
            </w:r>
            <w:r>
              <w:rPr>
                <w:rFonts w:hint="eastAsia" w:ascii="仿宋" w:hAnsi="仿宋" w:eastAsia="仿宋" w:cs="仿宋"/>
                <w:bCs/>
                <w:color w:val="auto"/>
                <w:sz w:val="24"/>
                <w:szCs w:val="24"/>
                <w:highlight w:val="none"/>
                <w:lang w:val="en-US" w:eastAsia="zh-CN" w:bidi="zh-CN"/>
              </w:rPr>
              <w:t>法定代表人到场的提供其身份证原件）；</w:t>
            </w:r>
          </w:p>
          <w:p>
            <w:pPr>
              <w:widowControl w:val="0"/>
              <w:shd w:val="clear" w:color="auto" w:fill="auto"/>
              <w:autoSpaceDE w:val="0"/>
              <w:autoSpaceDN w:val="0"/>
              <w:adjustRightInd w:val="0"/>
              <w:snapToGrid w:val="0"/>
              <w:spacing w:before="0" w:after="0" w:line="360" w:lineRule="exact"/>
              <w:ind w:left="0" w:right="0"/>
              <w:jc w:val="both"/>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w:t>
            </w:r>
            <w:r>
              <w:rPr>
                <w:rFonts w:hint="eastAsia" w:ascii="仿宋" w:hAnsi="仿宋" w:eastAsia="仿宋" w:cs="仿宋"/>
                <w:bCs/>
                <w:color w:val="auto"/>
                <w:sz w:val="24"/>
                <w:szCs w:val="24"/>
                <w:highlight w:val="none"/>
                <w:lang w:val="en-US" w:eastAsia="zh-CN" w:bidi="zh-CN"/>
              </w:rPr>
              <w:t>3</w:t>
            </w:r>
            <w:r>
              <w:rPr>
                <w:rFonts w:hint="eastAsia" w:ascii="仿宋" w:hAnsi="仿宋" w:eastAsia="仿宋" w:cs="仿宋"/>
                <w:bCs/>
                <w:color w:val="auto"/>
                <w:sz w:val="24"/>
                <w:szCs w:val="24"/>
                <w:highlight w:val="none"/>
                <w:lang w:val="zh-CN" w:eastAsia="zh-CN" w:bidi="zh-CN"/>
              </w:rPr>
              <w:t>）</w:t>
            </w:r>
            <w:r>
              <w:rPr>
                <w:rFonts w:hint="eastAsia" w:ascii="仿宋" w:hAnsi="仿宋" w:eastAsia="仿宋" w:cs="仿宋"/>
                <w:bCs/>
                <w:color w:val="auto"/>
                <w:sz w:val="24"/>
                <w:szCs w:val="24"/>
                <w:highlight w:val="none"/>
                <w:lang w:val="en-US" w:eastAsia="zh-CN" w:bidi="zh-CN"/>
              </w:rPr>
              <w:t>磋商</w:t>
            </w:r>
            <w:r>
              <w:rPr>
                <w:rFonts w:hint="eastAsia" w:ascii="仿宋" w:hAnsi="仿宋" w:eastAsia="仿宋" w:cs="仿宋"/>
                <w:bCs/>
                <w:color w:val="auto"/>
                <w:sz w:val="24"/>
                <w:szCs w:val="24"/>
                <w:highlight w:val="none"/>
                <w:lang w:val="zh-CN" w:eastAsia="zh-CN" w:bidi="zh-CN"/>
              </w:rPr>
              <w:t>保证金汇款凭证；</w:t>
            </w:r>
          </w:p>
          <w:p>
            <w:pPr>
              <w:shd w:val="clear"/>
              <w:rPr>
                <w:rFonts w:ascii="仿宋" w:hAnsi="仿宋" w:eastAsia="仿宋" w:cs="仿宋"/>
                <w:color w:val="auto"/>
                <w:sz w:val="24"/>
                <w:szCs w:val="24"/>
              </w:rPr>
            </w:pPr>
            <w:r>
              <w:rPr>
                <w:rFonts w:hint="eastAsia" w:ascii="仿宋" w:hAnsi="仿宋" w:eastAsia="仿宋" w:cs="仿宋"/>
                <w:b/>
                <w:bCs w:val="0"/>
                <w:color w:val="auto"/>
                <w:sz w:val="24"/>
                <w:szCs w:val="24"/>
                <w:highlight w:val="none"/>
              </w:rPr>
              <w:t>上述要求（1）--（</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rPr>
              <w:t>供应商</w:t>
            </w:r>
            <w:r>
              <w:rPr>
                <w:rFonts w:hint="eastAsia" w:ascii="仿宋" w:hAnsi="仿宋" w:eastAsia="仿宋" w:cs="仿宋"/>
                <w:b/>
                <w:bCs w:val="0"/>
                <w:color w:val="auto"/>
                <w:sz w:val="24"/>
                <w:szCs w:val="24"/>
                <w:highlight w:val="none"/>
              </w:rPr>
              <w:t>必须提供，否则</w:t>
            </w:r>
            <w:r>
              <w:rPr>
                <w:rFonts w:hint="eastAsia" w:ascii="仿宋" w:hAnsi="仿宋" w:eastAsia="仿宋" w:cs="仿宋"/>
                <w:b/>
                <w:bCs w:val="0"/>
                <w:color w:val="auto"/>
                <w:sz w:val="24"/>
                <w:szCs w:val="24"/>
                <w:highlight w:val="none"/>
                <w:lang w:val="en-US"/>
              </w:rPr>
              <w:t>响应</w:t>
            </w:r>
            <w:r>
              <w:rPr>
                <w:rFonts w:hint="eastAsia" w:ascii="仿宋" w:hAnsi="仿宋" w:eastAsia="仿宋" w:cs="仿宋"/>
                <w:b/>
                <w:bCs w:val="0"/>
                <w:color w:val="auto"/>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shd w:val="clea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421"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b/>
                <w:color w:val="auto"/>
                <w:spacing w:val="0"/>
                <w:w w:val="100"/>
                <w:position w:val="0"/>
                <w:sz w:val="24"/>
                <w:szCs w:val="24"/>
              </w:rPr>
              <w:t>本项目所属行业</w:t>
            </w:r>
          </w:p>
        </w:tc>
        <w:tc>
          <w:tcPr>
            <w:tcW w:w="7615" w:type="dxa"/>
            <w:vAlign w:val="center"/>
          </w:tcPr>
          <w:p>
            <w:pPr>
              <w:shd w:val="clear"/>
              <w:rPr>
                <w:rFonts w:hint="eastAsia" w:ascii="仿宋" w:hAnsi="仿宋" w:eastAsia="仿宋" w:cs="仿宋"/>
                <w:bCs/>
                <w:color w:val="auto"/>
                <w:sz w:val="24"/>
                <w:szCs w:val="24"/>
                <w:lang w:eastAsia="zh-CN"/>
              </w:rPr>
            </w:pPr>
            <w:r>
              <w:rPr>
                <w:rFonts w:hint="eastAsia" w:ascii="仿宋" w:hAnsi="仿宋" w:eastAsia="仿宋" w:cs="仿宋"/>
                <w:b/>
                <w:color w:val="auto"/>
                <w:spacing w:val="0"/>
                <w:w w:val="100"/>
                <w:position w:val="0"/>
                <w:sz w:val="24"/>
                <w:szCs w:val="24"/>
              </w:rPr>
              <w:t>本项目所属行业为：</w:t>
            </w:r>
            <w:r>
              <w:rPr>
                <w:rFonts w:hint="eastAsia" w:ascii="仿宋" w:hAnsi="仿宋" w:eastAsia="仿宋" w:cs="仿宋"/>
                <w:b/>
                <w:color w:val="auto"/>
                <w:spacing w:val="0"/>
                <w:w w:val="100"/>
                <w:position w:val="0"/>
                <w:sz w:val="24"/>
                <w:szCs w:val="24"/>
                <w:lang w:val="en-US" w:eastAsia="zh-CN"/>
              </w:rPr>
              <w:t>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09"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p>
        </w:tc>
        <w:tc>
          <w:tcPr>
            <w:tcW w:w="1421"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rPr>
              <w:t>支持中小</w:t>
            </w:r>
            <w:r>
              <w:rPr>
                <w:rFonts w:hint="eastAsia" w:ascii="仿宋" w:hAnsi="仿宋" w:eastAsia="仿宋" w:cs="仿宋"/>
                <w:color w:val="auto"/>
                <w:sz w:val="24"/>
                <w:szCs w:val="24"/>
                <w:lang w:val="en-US" w:eastAsia="zh-CN"/>
              </w:rPr>
              <w:t>微型</w:t>
            </w:r>
            <w:r>
              <w:rPr>
                <w:rFonts w:hint="eastAsia" w:ascii="仿宋" w:hAnsi="仿宋" w:eastAsia="仿宋" w:cs="仿宋"/>
                <w:color w:val="auto"/>
                <w:sz w:val="24"/>
                <w:szCs w:val="24"/>
              </w:rPr>
              <w:t>企业发展</w:t>
            </w:r>
          </w:p>
        </w:tc>
        <w:tc>
          <w:tcPr>
            <w:tcW w:w="7615" w:type="dxa"/>
            <w:vAlign w:val="center"/>
          </w:tcPr>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1.是否为专门面向中小企业采购：否</w:t>
            </w:r>
          </w:p>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2.是否为本项目面向中小企业采购预留份额：否；</w:t>
            </w:r>
          </w:p>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3.符合要求的中小型和微型企业扣除比例：</w:t>
            </w:r>
          </w:p>
          <w:p>
            <w:pPr>
              <w:shd w:val="clear"/>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对符合规定的小微企业报价给予 6%—10%（工程项目为 3%—5%）的扣除，用扣除后的价格参与评标，</w:t>
            </w:r>
            <w:r>
              <w:rPr>
                <w:rFonts w:hint="eastAsia" w:ascii="仿宋" w:hAnsi="仿宋" w:eastAsia="仿宋" w:cs="仿宋"/>
                <w:b/>
                <w:bCs/>
                <w:color w:val="auto"/>
                <w:kern w:val="2"/>
                <w:sz w:val="24"/>
                <w:szCs w:val="24"/>
                <w:highlight w:val="none"/>
                <w:lang w:val="en-US" w:eastAsia="zh-CN" w:bidi="ar-SA"/>
              </w:rPr>
              <w:t>本项目具体扣除比例为6%</w:t>
            </w:r>
            <w:r>
              <w:rPr>
                <w:rFonts w:hint="eastAsia" w:ascii="仿宋" w:hAnsi="仿宋" w:eastAsia="仿宋" w:cs="仿宋"/>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9" w:type="dxa"/>
            <w:vAlign w:val="center"/>
          </w:tcPr>
          <w:p>
            <w:pPr>
              <w:shd w:val="clea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rPr>
              <w:t>2</w:t>
            </w:r>
            <w:r>
              <w:rPr>
                <w:rFonts w:hint="eastAsia" w:ascii="仿宋" w:hAnsi="仿宋" w:eastAsia="仿宋" w:cs="仿宋"/>
                <w:color w:val="auto"/>
                <w:sz w:val="24"/>
                <w:szCs w:val="24"/>
                <w:lang w:val="en-US" w:eastAsia="zh-CN"/>
              </w:rPr>
              <w:t>6</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解释权</w:t>
            </w:r>
          </w:p>
        </w:tc>
        <w:tc>
          <w:tcPr>
            <w:tcW w:w="7615"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本竞争性磋商文件的解释权属于采购人。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9" w:type="dxa"/>
            <w:vAlign w:val="center"/>
          </w:tcPr>
          <w:p>
            <w:pPr>
              <w:shd w:val="clea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421"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其他</w:t>
            </w:r>
          </w:p>
        </w:tc>
        <w:tc>
          <w:tcPr>
            <w:tcW w:w="7615" w:type="dxa"/>
            <w:vAlign w:val="center"/>
          </w:tcPr>
          <w:p>
            <w:pPr>
              <w:shd w:val="clear"/>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项目执行过程中，所运用到的规范性文件均以国家或自治区颁布的最新文件为准。</w:t>
            </w:r>
            <w:r>
              <w:rPr>
                <w:rFonts w:hint="eastAsia" w:ascii="仿宋" w:hAnsi="仿宋" w:eastAsia="仿宋" w:cs="仿宋"/>
                <w:color w:val="auto"/>
                <w:sz w:val="24"/>
                <w:szCs w:val="24"/>
              </w:rPr>
              <w:t>本表是对“供应商须知”的具体补充和修改，如有矛盾，应以本表内容为准。</w:t>
            </w:r>
          </w:p>
        </w:tc>
      </w:tr>
    </w:tbl>
    <w:p>
      <w:pPr>
        <w:rPr>
          <w:rFonts w:hint="eastAsia" w:ascii="仿宋" w:hAnsi="仿宋" w:eastAsia="仿宋" w:cs="仿宋"/>
          <w:b/>
          <w:bCs/>
          <w:color w:val="auto"/>
          <w:sz w:val="24"/>
          <w:szCs w:val="24"/>
          <w:highlight w:val="none"/>
          <w:lang w:val="en-US"/>
        </w:rPr>
      </w:pPr>
      <w:bookmarkStart w:id="78" w:name="一、_报价费用说明"/>
      <w:bookmarkEnd w:id="78"/>
      <w:r>
        <w:rPr>
          <w:rFonts w:hint="eastAsia" w:ascii="仿宋" w:hAnsi="仿宋" w:eastAsia="仿宋" w:cs="仿宋"/>
          <w:b/>
          <w:bCs/>
          <w:color w:val="auto"/>
          <w:sz w:val="24"/>
          <w:szCs w:val="24"/>
          <w:highlight w:val="none"/>
          <w:lang w:val="en-US"/>
        </w:rPr>
        <w:br w:type="page"/>
      </w:r>
    </w:p>
    <w:p>
      <w:pPr>
        <w:shd w:val="clear" w:color="auto" w:fill="auto"/>
        <w:spacing w:line="480" w:lineRule="exact"/>
        <w:outlineLvl w:val="9"/>
        <w:rPr>
          <w:rFonts w:ascii="仿宋" w:hAnsi="仿宋" w:eastAsia="仿宋" w:cs="仿宋"/>
          <w:b/>
          <w:bCs/>
          <w:color w:val="auto"/>
          <w:sz w:val="24"/>
          <w:szCs w:val="24"/>
          <w:highlight w:val="none"/>
          <w:lang w:val="en-US"/>
        </w:rPr>
      </w:pPr>
      <w:bookmarkStart w:id="79" w:name="_Toc11730"/>
      <w:bookmarkStart w:id="80" w:name="_Toc11029"/>
      <w:bookmarkStart w:id="81" w:name="_Toc11201"/>
      <w:bookmarkStart w:id="82" w:name="_Toc24154"/>
      <w:r>
        <w:rPr>
          <w:rFonts w:hint="eastAsia" w:ascii="仿宋" w:hAnsi="仿宋" w:eastAsia="仿宋" w:cs="仿宋"/>
          <w:b/>
          <w:bCs/>
          <w:color w:val="auto"/>
          <w:sz w:val="24"/>
          <w:szCs w:val="24"/>
          <w:highlight w:val="none"/>
          <w:lang w:val="en-US"/>
        </w:rPr>
        <w:t>一、报价费用说明</w:t>
      </w:r>
      <w:bookmarkEnd w:id="79"/>
      <w:bookmarkEnd w:id="80"/>
      <w:bookmarkEnd w:id="81"/>
      <w:bookmarkEnd w:id="82"/>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1、供应商应承担所有与准备和参加报价有关的费用。不论报价的结果如何，采购代理机构和采购人均无义务和责任承担这些费用。</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2、成交供应商须向采购代理机构按如下标准和规定缴纳磋商代理服务费：</w:t>
      </w:r>
    </w:p>
    <w:p>
      <w:pPr>
        <w:pStyle w:val="2"/>
        <w:shd w:val="clear" w:color="auto" w:fill="auto"/>
        <w:spacing w:line="480" w:lineRule="exact"/>
        <w:ind w:firstLine="480" w:firstLineChars="200"/>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依据《中华人民共和国国家发展和改革委员会令》（第31号），执行《政府采购代理机构管理暂行办法》（财库[2018]2号）的规定。</w:t>
      </w:r>
      <w:r>
        <w:rPr>
          <w:rFonts w:hint="eastAsia" w:ascii="仿宋" w:hAnsi="仿宋" w:eastAsia="仿宋" w:cs="仿宋"/>
          <w:color w:val="auto"/>
          <w:sz w:val="24"/>
          <w:szCs w:val="24"/>
          <w:highlight w:val="none"/>
          <w:lang w:val="en-US" w:eastAsia="zh-CN"/>
        </w:rPr>
        <w:t>本项目采购代理服务收费</w:t>
      </w:r>
      <w:r>
        <w:rPr>
          <w:rFonts w:hint="eastAsia" w:ascii="仿宋" w:hAnsi="仿宋" w:eastAsia="仿宋" w:cs="仿宋"/>
          <w:color w:val="auto"/>
          <w:sz w:val="24"/>
          <w:szCs w:val="24"/>
          <w:highlight w:val="none"/>
          <w:lang w:val="en-US"/>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2"/>
        <w:shd w:val="clear" w:color="auto" w:fill="auto"/>
        <w:spacing w:line="480" w:lineRule="exact"/>
        <w:ind w:firstLine="482" w:firstLineChars="200"/>
        <w:outlineLvl w:val="9"/>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注：采购代理服务收费按差额定率累进法计算，不足3000元按3000元收取。</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3、磋商代理服务费的缴纳形式：</w:t>
      </w:r>
    </w:p>
    <w:p>
      <w:pPr>
        <w:pStyle w:val="2"/>
        <w:shd w:val="clear" w:color="auto" w:fill="auto"/>
        <w:spacing w:line="480" w:lineRule="exact"/>
        <w:ind w:firstLine="480" w:firstLineChars="200"/>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向采购代理机构直接缴纳磋商代理服务费。可用电汇或银行转账等付款方式；</w:t>
      </w:r>
    </w:p>
    <w:p>
      <w:pPr>
        <w:pStyle w:val="2"/>
        <w:shd w:val="clear" w:color="auto" w:fill="auto"/>
        <w:spacing w:line="48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代理服务费银行账号：</w:t>
      </w:r>
    </w:p>
    <w:p>
      <w:pPr>
        <w:pStyle w:val="2"/>
        <w:shd w:val="clear" w:color="auto" w:fill="auto"/>
        <w:spacing w:line="480" w:lineRule="exact"/>
        <w:ind w:firstLine="480" w:firstLineChars="200"/>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收款单位：</w:t>
      </w:r>
      <w:r>
        <w:rPr>
          <w:rFonts w:hint="eastAsia" w:ascii="仿宋" w:hAnsi="仿宋" w:eastAsia="仿宋" w:cs="仿宋"/>
          <w:color w:val="auto"/>
          <w:sz w:val="24"/>
          <w:szCs w:val="24"/>
          <w:highlight w:val="none"/>
          <w:lang w:val="en-US" w:eastAsia="zh-CN"/>
        </w:rPr>
        <w:t>新疆华恒惠欣工程项目管理有限责任公司</w:t>
      </w:r>
      <w:r>
        <w:rPr>
          <w:rFonts w:hint="default" w:ascii="仿宋" w:hAnsi="仿宋" w:eastAsia="仿宋" w:cs="仿宋"/>
          <w:color w:val="auto"/>
          <w:sz w:val="24"/>
          <w:szCs w:val="24"/>
          <w:highlight w:val="none"/>
          <w:lang w:val="en-US" w:eastAsia="zh-CN"/>
        </w:rPr>
        <w:t xml:space="preserve"> </w:t>
      </w:r>
    </w:p>
    <w:p>
      <w:pPr>
        <w:pStyle w:val="2"/>
        <w:shd w:val="clear" w:color="auto" w:fill="auto"/>
        <w:spacing w:line="480" w:lineRule="exact"/>
        <w:ind w:firstLine="480" w:firstLineChars="200"/>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银行账号：65050161665000001758</w:t>
      </w:r>
    </w:p>
    <w:p>
      <w:pPr>
        <w:pStyle w:val="2"/>
        <w:shd w:val="clear" w:color="auto" w:fill="auto"/>
        <w:spacing w:line="480" w:lineRule="exact"/>
        <w:ind w:firstLine="480" w:firstLineChars="200"/>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开 户 行：中国建设银行股份有限公司乌鲁木齐经济技术开发区支行  </w:t>
      </w:r>
    </w:p>
    <w:p>
      <w:pPr>
        <w:pStyle w:val="2"/>
        <w:shd w:val="clear" w:color="auto" w:fill="auto"/>
        <w:spacing w:line="480" w:lineRule="exact"/>
        <w:ind w:firstLine="480" w:firstLineChars="200"/>
        <w:outlineLvl w:val="9"/>
        <w:rPr>
          <w:rFonts w:hint="eastAsia"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开户行行号：</w:t>
      </w:r>
      <w:r>
        <w:rPr>
          <w:rFonts w:hint="eastAsia" w:ascii="仿宋" w:hAnsi="仿宋" w:eastAsia="仿宋" w:cs="仿宋"/>
          <w:color w:val="auto"/>
          <w:sz w:val="24"/>
          <w:szCs w:val="24"/>
          <w:highlight w:val="none"/>
          <w:lang w:val="en-US" w:eastAsia="zh-CN"/>
        </w:rPr>
        <w:t>105881000454</w:t>
      </w:r>
      <w:r>
        <w:rPr>
          <w:rFonts w:hint="default" w:ascii="仿宋" w:hAnsi="仿宋" w:eastAsia="仿宋" w:cs="仿宋"/>
          <w:color w:val="auto"/>
          <w:sz w:val="24"/>
          <w:szCs w:val="24"/>
          <w:highlight w:val="none"/>
          <w:lang w:val="en-US" w:eastAsia="zh-CN"/>
        </w:rPr>
        <w:t xml:space="preserve"> </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4、成交供应商须向采购代理机构交纳磋商代理服务费后，凭领取人身份证复印件并加盖公章领取《成交通知书》。如采用电汇或银行转账，须同时递交磋商代理服务费缴费凭证复印件并加盖公章。</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83" w:name="二、_响应有效期"/>
      <w:bookmarkEnd w:id="83"/>
      <w:bookmarkStart w:id="84" w:name="_Toc22388"/>
      <w:bookmarkStart w:id="85" w:name="_Toc18117"/>
      <w:bookmarkStart w:id="86" w:name="_Toc12659"/>
      <w:bookmarkStart w:id="87" w:name="_Toc10248"/>
      <w:r>
        <w:rPr>
          <w:rFonts w:hint="eastAsia" w:ascii="仿宋" w:hAnsi="仿宋" w:eastAsia="仿宋" w:cs="仿宋"/>
          <w:b/>
          <w:bCs/>
          <w:color w:val="auto"/>
          <w:sz w:val="24"/>
          <w:szCs w:val="24"/>
          <w:highlight w:val="none"/>
          <w:lang w:val="en-US"/>
        </w:rPr>
        <w:t>二、响应有效期</w:t>
      </w:r>
      <w:bookmarkEnd w:id="84"/>
      <w:bookmarkEnd w:id="85"/>
      <w:bookmarkEnd w:id="86"/>
      <w:bookmarkEnd w:id="87"/>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5、本项目响应有效期为报价截止日起至少</w:t>
      </w:r>
      <w:r>
        <w:rPr>
          <w:rFonts w:hint="eastAsia" w:ascii="仿宋" w:hAnsi="仿宋" w:eastAsia="仿宋" w:cs="仿宋"/>
          <w:color w:val="auto"/>
          <w:sz w:val="24"/>
          <w:szCs w:val="24"/>
          <w:highlight w:val="none"/>
          <w:lang w:val="en-US" w:eastAsia="zh-CN"/>
        </w:rPr>
        <w:t>60天</w:t>
      </w:r>
      <w:r>
        <w:rPr>
          <w:rFonts w:hint="eastAsia" w:ascii="仿宋" w:hAnsi="仿宋" w:eastAsia="仿宋" w:cs="仿宋"/>
          <w:color w:val="auto"/>
          <w:sz w:val="24"/>
          <w:szCs w:val="24"/>
          <w:highlight w:val="none"/>
          <w:lang w:val="en-US"/>
        </w:rPr>
        <w:t>。</w:t>
      </w:r>
      <w:bookmarkStart w:id="88" w:name="三、_磋商文件"/>
      <w:bookmarkEnd w:id="88"/>
    </w:p>
    <w:p>
      <w:pPr>
        <w:shd w:val="clear" w:color="auto" w:fill="auto"/>
        <w:spacing w:line="480" w:lineRule="exact"/>
        <w:outlineLvl w:val="9"/>
        <w:rPr>
          <w:rFonts w:ascii="仿宋" w:hAnsi="仿宋" w:eastAsia="仿宋" w:cs="仿宋"/>
          <w:b/>
          <w:bCs/>
          <w:color w:val="auto"/>
          <w:sz w:val="24"/>
          <w:szCs w:val="24"/>
          <w:highlight w:val="none"/>
          <w:lang w:val="en-US"/>
        </w:rPr>
      </w:pPr>
      <w:bookmarkStart w:id="89" w:name="_Toc17426"/>
      <w:bookmarkStart w:id="90" w:name="_Toc2676"/>
      <w:bookmarkStart w:id="91" w:name="_Toc594"/>
      <w:bookmarkStart w:id="92" w:name="_Toc15869"/>
      <w:r>
        <w:rPr>
          <w:rFonts w:hint="eastAsia" w:ascii="仿宋" w:hAnsi="仿宋" w:eastAsia="仿宋" w:cs="仿宋"/>
          <w:b/>
          <w:bCs/>
          <w:color w:val="auto"/>
          <w:sz w:val="24"/>
          <w:szCs w:val="24"/>
          <w:highlight w:val="none"/>
          <w:lang w:val="en-US"/>
        </w:rPr>
        <w:t>三、磋商文件</w:t>
      </w:r>
      <w:bookmarkEnd w:id="89"/>
      <w:bookmarkEnd w:id="90"/>
      <w:bookmarkEnd w:id="91"/>
      <w:bookmarkEnd w:id="92"/>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6、磋商文件的构成</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6.1磋商文件由下列文件以及在采购过程中发出的澄清更正文件组成：</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1）磋商邀请</w:t>
      </w:r>
    </w:p>
    <w:p>
      <w:pPr>
        <w:pStyle w:val="2"/>
        <w:shd w:val="clear" w:color="auto" w:fill="auto"/>
        <w:spacing w:line="48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采购需求</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3）供应商须知</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、评审、成交</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5）合同书格式</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6）响应文件格式</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7）在采购过程中由采购代理机构发出的澄清更正文件等</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7、磋商文件的澄清更正</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7.1采购代理机构对磋商文件进行必要的澄清更正的，澄清或者修改的内容可能影响响应文件编制的，于提交首次响应文件截止之日5日前在指定媒体上发布公告，并通知所有报名及购买磋商文件的供应商，报名及购买磋商文件的供应商在收到澄清更正通知后应按要求以书面形式（加盖单位公章，传真有效）予以确认，该澄清更正的内容为磋商文件的组成部分。</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7.2根据采购的具体情况，采购代理机构可延长响应文件递交截止时间和谈判时间，并将变更时间在指定媒体上发布公告及通知所有报名及购买磋商文件的供应商。</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93" w:name="四、_响应文件的编制和数量"/>
      <w:bookmarkEnd w:id="93"/>
      <w:bookmarkStart w:id="94" w:name="_Toc17250"/>
      <w:bookmarkStart w:id="95" w:name="_Toc19997"/>
      <w:bookmarkStart w:id="96" w:name="_Toc11588"/>
      <w:bookmarkStart w:id="97" w:name="_Toc17352"/>
      <w:r>
        <w:rPr>
          <w:rFonts w:hint="eastAsia" w:ascii="仿宋" w:hAnsi="仿宋" w:eastAsia="仿宋" w:cs="仿宋"/>
          <w:b/>
          <w:bCs/>
          <w:color w:val="auto"/>
          <w:sz w:val="24"/>
          <w:szCs w:val="24"/>
          <w:highlight w:val="none"/>
          <w:lang w:val="en-US"/>
        </w:rPr>
        <w:t>四、响应文件的编制和数量</w:t>
      </w:r>
      <w:bookmarkEnd w:id="94"/>
      <w:bookmarkEnd w:id="95"/>
      <w:bookmarkEnd w:id="96"/>
      <w:bookmarkEnd w:id="97"/>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8、报价的语言</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8.1供应商提交的响应文件以及供应商与采购代理机构就有关报价的所有来往函电均应使用中文。供应商提交的支持文件或印刷的资料可以用另一种语言，但相应内容应附有中文翻译本，两种语言不一致时以中文翻译本为准。</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9、响应文件编制</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9.1供应商应当对响应文件进行装订，对未经装订的响应文件可能发生的文件散落或缺损，由此产生的后果由供应商承担。</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报价没有对磋商文件在各方面都作出实质性响应是供应商的风险，有可能导致其报价被拒绝，或被认定为无效响应或被确定为报价无效。</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9.3供应商必须对响应文件所提供的全部资料的真实性承担法律责任，并无条件接受采购人或采购代理机构及政府采购监督管理部门等对其中任何资料进行核实的要求。</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9.4如果因为供应商响应文件填报的内容不详，或没有提供磋商文件中所要求的全部资料及数据，由此造成的后果，其责任由供应商承担。</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10、报价及计量</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10.1供应商所提供的货物和服务均应以人民币报价。</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10.2除非磋商文件的技术规格中另有规定，供应商在响应文件中及其与采购人和采购代理机构的所有往来文件中的计量单位均应采用中华人民共和国法定计量单位。</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11、磋商保证金</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11.1供应商应按磋商文件规定的金额和期限交纳磋商保证金，磋商保证金作为响应文件的组成部分。</w:t>
      </w:r>
    </w:p>
    <w:p>
      <w:pPr>
        <w:pStyle w:val="2"/>
        <w:shd w:val="clear" w:color="auto" w:fill="auto"/>
        <w:spacing w:line="480" w:lineRule="exact"/>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rPr>
        <w:t>11.2磋商保证金可以采用电汇或银行转账等形式提交。磋商保证金应在</w:t>
      </w:r>
      <w:r>
        <w:rPr>
          <w:rFonts w:hint="eastAsia" w:ascii="仿宋" w:hAnsi="仿宋" w:eastAsia="仿宋" w:cs="仿宋"/>
          <w:color w:val="auto"/>
          <w:sz w:val="24"/>
          <w:szCs w:val="24"/>
          <w:highlight w:val="none"/>
          <w:lang w:val="en-US" w:eastAsia="zh-CN"/>
        </w:rPr>
        <w:t>响应文件提交</w:t>
      </w:r>
      <w:r>
        <w:rPr>
          <w:rFonts w:hint="eastAsia" w:ascii="仿宋" w:hAnsi="仿宋" w:eastAsia="仿宋" w:cs="仿宋"/>
          <w:color w:val="auto"/>
          <w:sz w:val="24"/>
          <w:szCs w:val="24"/>
          <w:highlight w:val="none"/>
          <w:lang w:val="en-US"/>
        </w:rPr>
        <w:t>截止时间之前到达采购代理机构保证金账户。</w:t>
      </w:r>
      <w:r>
        <w:rPr>
          <w:rFonts w:hint="eastAsia" w:ascii="仿宋" w:hAnsi="仿宋" w:eastAsia="仿宋" w:cs="仿宋"/>
          <w:color w:val="auto"/>
          <w:sz w:val="24"/>
          <w:szCs w:val="24"/>
          <w:highlight w:val="none"/>
          <w:lang w:val="en-US" w:eastAsia="zh-CN"/>
        </w:rPr>
        <w:t>具体缴纳方式详见</w:t>
      </w:r>
      <w:r>
        <w:rPr>
          <w:rFonts w:hint="eastAsia" w:ascii="仿宋" w:hAnsi="仿宋" w:eastAsia="仿宋" w:cs="仿宋"/>
          <w:b/>
          <w:bCs/>
          <w:color w:val="auto"/>
          <w:sz w:val="24"/>
          <w:szCs w:val="24"/>
          <w:highlight w:val="none"/>
          <w:lang w:val="en-US"/>
        </w:rPr>
        <w:t>供应商须知前附表</w:t>
      </w:r>
      <w:r>
        <w:rPr>
          <w:rFonts w:hint="eastAsia" w:ascii="仿宋" w:hAnsi="仿宋" w:eastAsia="仿宋" w:cs="仿宋"/>
          <w:b/>
          <w:bCs/>
          <w:color w:val="auto"/>
          <w:sz w:val="24"/>
          <w:szCs w:val="24"/>
          <w:highlight w:val="none"/>
          <w:lang w:val="en-US" w:eastAsia="zh-CN"/>
        </w:rPr>
        <w:t>。</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11.3如无质疑或投诉，未成交的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保证金，在成交通知书发出后5个工作日内原额退还；如有质疑或投诉，将在质疑和投诉处理完毕后5个工作日内原额退还。</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11.4成交供应商的磋商保证金,在成交供应商与采购人签订采购合同后5个工作日内原额退还。</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11.5有下列情形之一的，磋商保证金将被依法不予退还：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（一）供应商在提交响应文件截止时间后撤回响应文件的；</w:t>
      </w:r>
    </w:p>
    <w:p>
      <w:pPr>
        <w:pStyle w:val="2"/>
        <w:keepNext w:val="0"/>
        <w:keepLines w:val="0"/>
        <w:pageBreakBefore w:val="0"/>
        <w:widowControl w:val="0"/>
        <w:tabs>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（二）供应商在响应文件中提供虚假材料的；</w:t>
      </w:r>
    </w:p>
    <w:p>
      <w:pPr>
        <w:pStyle w:val="2"/>
        <w:keepNext w:val="0"/>
        <w:keepLines w:val="0"/>
        <w:pageBreakBefore w:val="0"/>
        <w:widowControl w:val="0"/>
        <w:tabs>
          <w:tab w:val="left" w:pos="1021"/>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（三）除因不可抗力或谈判文件认可的情形以外，成交供应商不与采购人签订合同的；</w:t>
      </w:r>
    </w:p>
    <w:p>
      <w:pPr>
        <w:pStyle w:val="2"/>
        <w:keepNext w:val="0"/>
        <w:keepLines w:val="0"/>
        <w:pageBreakBefore w:val="0"/>
        <w:widowControl w:val="0"/>
        <w:tabs>
          <w:tab w:val="left" w:pos="580"/>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（四）供应商与采购人、其他供应商或者采购代理机构恶意串通的；</w:t>
      </w:r>
    </w:p>
    <w:p>
      <w:pPr>
        <w:pStyle w:val="2"/>
        <w:keepNext w:val="0"/>
        <w:keepLines w:val="0"/>
        <w:pageBreakBefore w:val="0"/>
        <w:widowControl w:val="0"/>
        <w:tabs>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pacing w:val="0"/>
          <w:w w:val="100"/>
          <w:position w:val="0"/>
          <w:sz w:val="24"/>
          <w:szCs w:val="24"/>
        </w:rPr>
        <w:t>（五）采购文件规定的其他情形。</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12、响应文件的数量和签署</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12.1</w:t>
      </w:r>
      <w:r>
        <w:rPr>
          <w:rFonts w:hint="eastAsia" w:ascii="仿宋" w:hAnsi="仿宋" w:eastAsia="仿宋" w:cs="仿宋"/>
          <w:color w:val="auto"/>
          <w:spacing w:val="0"/>
          <w:w w:val="100"/>
          <w:position w:val="0"/>
          <w:sz w:val="24"/>
          <w:szCs w:val="24"/>
          <w:lang w:val="en-US" w:eastAsia="zh-CN"/>
        </w:rPr>
        <w:t>供应商应按供应商须知前附表规定的份数准备响应文件</w:t>
      </w:r>
      <w:r>
        <w:rPr>
          <w:rFonts w:hint="eastAsia" w:ascii="仿宋" w:hAnsi="仿宋" w:eastAsia="仿宋" w:cs="仿宋"/>
          <w:color w:val="auto"/>
          <w:sz w:val="24"/>
          <w:szCs w:val="24"/>
          <w:highlight w:val="none"/>
          <w:lang w:val="en-US"/>
        </w:rPr>
        <w:t>，响应文件的副本可采用正本的复印件。每套响应文件须清楚地标明“正本”、“副本”。若副本与正本不符，以正本为准。响应文件的正、副本须逐页加盖供应商公章。</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12.2响应文件的正本需打印或用不褪色墨水书写，并由法定代表人或经其正式授权的代表签字。授权代表须出具书面授权证明，其《法定代表人授权书》应附在响应文件中并在</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现场单独准备一份。</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12.3响应文件的正本按竞争性磋商文件中已明示需要盖章、签名的，均必须由供应商法定代表人或其授权代表签名和盖章；响应文件中的任何重要的插字、涂改和增删，必须由法定代表人或经其正式授权的代表在旁边签章或签字才有效。</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12.4电子文件</w:t>
      </w:r>
      <w:r>
        <w:rPr>
          <w:rFonts w:hint="eastAsia" w:ascii="仿宋" w:hAnsi="仿宋" w:eastAsia="仿宋" w:cs="仿宋"/>
          <w:bCs/>
          <w:color w:val="auto"/>
          <w:sz w:val="24"/>
          <w:szCs w:val="24"/>
          <w:highlight w:val="none"/>
        </w:rPr>
        <w:t>为不可编辑，格式必须为PDF或JPEG（电子版可以将签字盖章部分扫描后插入响应文件电子文档后以PDF或JPEG格式输出生成）</w:t>
      </w:r>
      <w:r>
        <w:rPr>
          <w:rFonts w:hint="eastAsia" w:ascii="仿宋" w:hAnsi="仿宋" w:eastAsia="仿宋" w:cs="仿宋"/>
          <w:color w:val="auto"/>
          <w:sz w:val="24"/>
          <w:szCs w:val="24"/>
          <w:highlight w:val="none"/>
          <w:lang w:val="en-US"/>
        </w:rPr>
        <w:t>，电子文件必须与正本文件内容一致的所有文件。电子文件中还需</w:t>
      </w:r>
      <w:r>
        <w:rPr>
          <w:rFonts w:hint="eastAsia" w:ascii="仿宋" w:hAnsi="仿宋" w:eastAsia="仿宋" w:cs="仿宋"/>
          <w:bCs/>
          <w:color w:val="auto"/>
          <w:sz w:val="24"/>
          <w:szCs w:val="24"/>
          <w:highlight w:val="none"/>
        </w:rPr>
        <w:t>响应报价明细表电子版，格式为Word或Excel。</w:t>
      </w:r>
      <w:r>
        <w:rPr>
          <w:rFonts w:hint="eastAsia" w:ascii="仿宋" w:hAnsi="仿宋" w:eastAsia="仿宋" w:cs="仿宋"/>
          <w:color w:val="auto"/>
          <w:sz w:val="24"/>
          <w:szCs w:val="24"/>
          <w:highlight w:val="none"/>
          <w:lang w:val="en-US"/>
        </w:rPr>
        <w:t>电子文件由无毒U盘介质储存，文件名上注明供应商名称及项目名称、项目编号。</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13、响应文件的密封和标记</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13.1为方便</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供应商应将《单独密封》（具体内容详见磋商文件“第六部分响应文件格式目录”）一份单独密封提交，并在信封上清晰标明“单独密封”字样。供应商应将响应文件正本和所有的副本一同密封包装，另外电子文件单独密封提交，并在外包装上清晰标明“电子文件”字样。</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13.2信封或外包装上应当注明磋商项目名称、磋商项目编号和“</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lang w:val="en-US"/>
        </w:rPr>
        <w:t>（竞争性磋商文件中规定的响应截止时间）之前不得启封”的字样，封口处应加盖供应商印章。</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13.3如果未按要求密封和标记，采购人对误投或提前启封概不负责。</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98" w:name="_Toc26324"/>
      <w:bookmarkStart w:id="99" w:name="_Toc28866"/>
      <w:bookmarkStart w:id="100" w:name="_Toc20564"/>
      <w:bookmarkStart w:id="101" w:name="_Toc10734"/>
      <w:r>
        <w:rPr>
          <w:rFonts w:hint="eastAsia" w:ascii="仿宋" w:hAnsi="仿宋" w:eastAsia="仿宋" w:cs="仿宋"/>
          <w:b/>
          <w:bCs/>
          <w:color w:val="auto"/>
          <w:sz w:val="24"/>
          <w:szCs w:val="24"/>
          <w:highlight w:val="none"/>
          <w:lang w:val="en-US"/>
        </w:rPr>
        <w:t>五、响应文件的递交</w:t>
      </w:r>
      <w:bookmarkEnd w:id="98"/>
      <w:bookmarkEnd w:id="99"/>
      <w:bookmarkEnd w:id="100"/>
      <w:bookmarkEnd w:id="101"/>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14、响应文件的递交</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14.1响应文件的递交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rPr>
        <w:t>第一部分</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磋商邀请</w:t>
      </w:r>
      <w:r>
        <w:rPr>
          <w:rFonts w:hint="eastAsia" w:ascii="仿宋" w:hAnsi="仿宋" w:eastAsia="仿宋" w:cs="仿宋"/>
          <w:color w:val="auto"/>
          <w:sz w:val="24"/>
          <w:szCs w:val="24"/>
          <w:highlight w:val="none"/>
          <w:lang w:eastAsia="zh-CN"/>
        </w:rPr>
        <w:t>”为准</w:t>
      </w:r>
      <w:r>
        <w:rPr>
          <w:rFonts w:hint="eastAsia" w:ascii="仿宋" w:hAnsi="仿宋" w:eastAsia="仿宋" w:cs="仿宋"/>
          <w:color w:val="auto"/>
          <w:sz w:val="24"/>
          <w:szCs w:val="24"/>
          <w:highlight w:val="none"/>
        </w:rPr>
        <w:t>，超过截止时点后的响应为无效响应。</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14.2采购代理机构将拒绝以下情况的响应文件：</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1）迟于响应文件递交截止时间递交的；</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2）响应文件未密封的。</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14.3采购代理机构不接受邮寄、电报、电话、传真方式报价。</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15、响应文件的修改和撤回</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15.1供应商在响应文件递交截止时间前，可以对所递交的响应文件进行补充、修改或者撤回，并书面通知采购代理机构。补充、修改的内容应当按磋商文件要求签署、盖章、密封，并作为响应文件的组成部分。</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15.2</w:t>
      </w:r>
      <w:bookmarkStart w:id="102" w:name="六_、_磋商、评审、成交"/>
      <w:bookmarkEnd w:id="102"/>
      <w:r>
        <w:rPr>
          <w:rFonts w:hint="eastAsia" w:ascii="仿宋" w:hAnsi="仿宋" w:eastAsia="仿宋" w:cs="仿宋"/>
          <w:color w:val="auto"/>
          <w:sz w:val="24"/>
          <w:szCs w:val="24"/>
          <w:highlight w:val="none"/>
          <w:lang w:val="en-US"/>
        </w:rPr>
        <w:t>响应文件的退还：</w:t>
      </w:r>
      <w:r>
        <w:rPr>
          <w:rFonts w:hint="eastAsia" w:ascii="仿宋" w:hAnsi="仿宋" w:eastAsia="仿宋" w:cs="仿宋"/>
          <w:b/>
          <w:bCs/>
          <w:color w:val="auto"/>
          <w:sz w:val="24"/>
          <w:szCs w:val="24"/>
          <w:highlight w:val="none"/>
          <w:lang w:val="en-US"/>
        </w:rPr>
        <w:t>所有响应磋商文件要求合格供应商的响应文件正本一套、</w:t>
      </w:r>
      <w:r>
        <w:rPr>
          <w:rFonts w:hint="eastAsia" w:ascii="仿宋" w:hAnsi="仿宋" w:eastAsia="仿宋" w:cs="仿宋"/>
          <w:b/>
          <w:bCs/>
          <w:color w:val="auto"/>
          <w:sz w:val="24"/>
          <w:szCs w:val="24"/>
          <w:highlight w:val="none"/>
          <w:lang w:val="en-US" w:eastAsia="zh-CN"/>
        </w:rPr>
        <w:t>副本一套</w:t>
      </w:r>
      <w:r>
        <w:rPr>
          <w:rFonts w:hint="eastAsia" w:ascii="仿宋" w:hAnsi="仿宋" w:eastAsia="仿宋" w:cs="仿宋"/>
          <w:b/>
          <w:bCs/>
          <w:color w:val="auto"/>
          <w:sz w:val="24"/>
          <w:szCs w:val="24"/>
          <w:highlight w:val="none"/>
          <w:lang w:val="en-US"/>
        </w:rPr>
        <w:t>及随文件同时递交的图纸、U盘等附件不予退回，其余响应文件副本均予评标结束后退回</w:t>
      </w:r>
      <w:r>
        <w:rPr>
          <w:rFonts w:hint="eastAsia" w:ascii="仿宋" w:hAnsi="仿宋" w:eastAsia="仿宋" w:cs="仿宋"/>
          <w:color w:val="auto"/>
          <w:sz w:val="24"/>
          <w:szCs w:val="24"/>
          <w:highlight w:val="none"/>
          <w:lang w:val="en-US"/>
        </w:rPr>
        <w:t>。</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103" w:name="_Toc14664"/>
      <w:bookmarkStart w:id="104" w:name="_Toc12067"/>
      <w:bookmarkStart w:id="105" w:name="_Toc536"/>
      <w:bookmarkStart w:id="106" w:name="_Toc30944"/>
      <w:r>
        <w:rPr>
          <w:rFonts w:hint="eastAsia" w:ascii="仿宋" w:hAnsi="仿宋" w:eastAsia="仿宋" w:cs="仿宋"/>
          <w:b/>
          <w:bCs/>
          <w:color w:val="auto"/>
          <w:sz w:val="24"/>
          <w:szCs w:val="24"/>
          <w:highlight w:val="none"/>
          <w:lang w:val="en-US"/>
        </w:rPr>
        <w:t>六、磋商、评审、成交</w:t>
      </w:r>
      <w:bookmarkEnd w:id="103"/>
      <w:bookmarkEnd w:id="104"/>
      <w:bookmarkEnd w:id="105"/>
      <w:bookmarkEnd w:id="106"/>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见磋商文件第四部分。</w:t>
      </w:r>
      <w:bookmarkStart w:id="107" w:name="七、_询问、质疑、投诉"/>
      <w:bookmarkEnd w:id="107"/>
    </w:p>
    <w:p>
      <w:pPr>
        <w:shd w:val="clear" w:color="auto" w:fill="auto"/>
        <w:spacing w:line="480" w:lineRule="exact"/>
        <w:outlineLvl w:val="9"/>
        <w:rPr>
          <w:rFonts w:ascii="仿宋" w:hAnsi="仿宋" w:eastAsia="仿宋" w:cs="仿宋"/>
          <w:b/>
          <w:bCs/>
          <w:color w:val="auto"/>
          <w:sz w:val="24"/>
          <w:szCs w:val="24"/>
          <w:highlight w:val="none"/>
          <w:lang w:val="en-US"/>
        </w:rPr>
      </w:pPr>
      <w:bookmarkStart w:id="108" w:name="_Toc32264"/>
      <w:bookmarkStart w:id="109" w:name="_Toc29576"/>
      <w:bookmarkStart w:id="110" w:name="_Toc3713"/>
      <w:bookmarkStart w:id="111" w:name="_Toc13350"/>
      <w:r>
        <w:rPr>
          <w:rFonts w:hint="eastAsia" w:ascii="仿宋" w:hAnsi="仿宋" w:eastAsia="仿宋" w:cs="仿宋"/>
          <w:b/>
          <w:bCs/>
          <w:color w:val="auto"/>
          <w:sz w:val="24"/>
          <w:szCs w:val="24"/>
          <w:highlight w:val="none"/>
          <w:lang w:val="en-US"/>
        </w:rPr>
        <w:t>七、询问、质疑、投诉</w:t>
      </w:r>
      <w:bookmarkEnd w:id="108"/>
      <w:bookmarkEnd w:id="109"/>
      <w:bookmarkEnd w:id="110"/>
      <w:bookmarkEnd w:id="111"/>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16、询问</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16.1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中“采购人、采购代理机构的名称、地址和联系方式”。</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17、质疑</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17.1供应商认为磋商文件、采购过程和成交结果使自己的权益受到损害的，以书面形式向采购人或采购代理机构书面提出质疑：</w:t>
      </w:r>
    </w:p>
    <w:p>
      <w:pPr>
        <w:pStyle w:val="2"/>
        <w:numPr>
          <w:ilvl w:val="0"/>
          <w:numId w:val="1"/>
        </w:numPr>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磋商文件在指定的政府采购信息发布媒体上公示最少5个工作日；购买本磋商文件的供应商认为磋商文件的内容损害其权益的，可以自购买磋商文件之日起7个工作日内提出质疑，供应商质疑、投诉应当有明确的请求和必要的证明材料；</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采购人或采购代理机构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18、投诉</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18.1供应商对采购人或采购代理机构的质疑答复不满意或在规定时间内未得到答复的，可以在答复期满后15个工作日内，向政府采购监督管理机构投诉。</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112" w:name="_Toc31086"/>
      <w:bookmarkStart w:id="113" w:name="_Toc25902"/>
      <w:bookmarkStart w:id="114" w:name="_Toc26419"/>
      <w:bookmarkStart w:id="115" w:name="_Toc24647"/>
      <w:r>
        <w:rPr>
          <w:rFonts w:hint="eastAsia" w:ascii="仿宋" w:hAnsi="仿宋" w:eastAsia="仿宋" w:cs="仿宋"/>
          <w:b/>
          <w:bCs/>
          <w:color w:val="auto"/>
          <w:sz w:val="24"/>
          <w:szCs w:val="24"/>
          <w:highlight w:val="none"/>
          <w:lang w:val="en-US"/>
        </w:rPr>
        <w:t>八、合同的订立和履行</w:t>
      </w:r>
      <w:bookmarkEnd w:id="112"/>
      <w:bookmarkEnd w:id="113"/>
      <w:bookmarkEnd w:id="114"/>
      <w:bookmarkEnd w:id="115"/>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19、合同的订立</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19.1采购人与成交供应商自成交通知书发出之日起三十日内，按磋商文件要求和成交供应商响应文件承诺签订政府采购合同，但不得超出磋商文件和成交供应商响应文件的范围、也不得再行订立背离合同实质性内容的其他协议。</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19.2签订政府采购合同后7个工作日内，采购人应将政府采购合同副本报同级政府采购监督管理部门备案。</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20、合同的履行</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20.2政府采购合同履行中，采购人需追加与合同标的相同的货物、工程或者服务的，在不改变合同其他条款的前提下，可以与成交供应商签订补充合同，但所补充合同的采购金额不得超过原采购金额的10%，签订补充合同的必须按规定备案。</w:t>
      </w:r>
    </w:p>
    <w:p>
      <w:pPr>
        <w:shd w:val="clear" w:color="auto" w:fill="auto"/>
        <w:spacing w:line="480" w:lineRule="exact"/>
        <w:outlineLvl w:val="9"/>
        <w:rPr>
          <w:rFonts w:ascii="仿宋" w:hAnsi="仿宋" w:eastAsia="仿宋" w:cs="仿宋"/>
          <w:b/>
          <w:bCs/>
          <w:color w:val="auto"/>
          <w:sz w:val="24"/>
          <w:szCs w:val="24"/>
          <w:highlight w:val="none"/>
          <w:lang w:val="en-US"/>
        </w:rPr>
      </w:pPr>
      <w:bookmarkStart w:id="116" w:name="九、_适用_法律"/>
      <w:bookmarkEnd w:id="116"/>
      <w:bookmarkStart w:id="117" w:name="_Toc556"/>
      <w:bookmarkStart w:id="118" w:name="_Toc12688"/>
      <w:bookmarkStart w:id="119" w:name="_Toc22525"/>
      <w:bookmarkStart w:id="120" w:name="_Toc14699"/>
      <w:r>
        <w:rPr>
          <w:rFonts w:hint="eastAsia" w:ascii="仿宋" w:hAnsi="仿宋" w:eastAsia="仿宋" w:cs="仿宋"/>
          <w:b/>
          <w:bCs/>
          <w:color w:val="auto"/>
          <w:sz w:val="24"/>
          <w:szCs w:val="24"/>
          <w:highlight w:val="none"/>
          <w:lang w:val="en-US"/>
        </w:rPr>
        <w:t>九、适用法律</w:t>
      </w:r>
      <w:bookmarkEnd w:id="117"/>
      <w:bookmarkEnd w:id="118"/>
      <w:bookmarkEnd w:id="119"/>
      <w:bookmarkEnd w:id="120"/>
    </w:p>
    <w:p>
      <w:pPr>
        <w:pStyle w:val="2"/>
        <w:shd w:val="clear" w:color="auto" w:fill="auto"/>
        <w:spacing w:line="480" w:lineRule="exact"/>
        <w:ind w:firstLine="480" w:firstLineChars="200"/>
        <w:outlineLvl w:val="9"/>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21、适用《中华人民共和国政府采购法》及其实施条例，《政府采购竞争性磋商采购方式管理暂行办法》等相关法律、法规、规章、政策。</w:t>
      </w:r>
    </w:p>
    <w:p>
      <w:pPr>
        <w:shd w:val="clea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lang w:val="en-US" w:eastAsia="zh-CN"/>
        </w:rPr>
      </w:pPr>
      <w:bookmarkStart w:id="121" w:name="_Toc8848"/>
      <w:bookmarkStart w:id="122" w:name="_Toc15359"/>
      <w:bookmarkStart w:id="123" w:name="_Toc25497"/>
      <w:bookmarkStart w:id="124" w:name="_Toc9603"/>
      <w:bookmarkStart w:id="125" w:name="_Toc25854"/>
      <w:bookmarkStart w:id="126" w:name="_Toc31000"/>
      <w:r>
        <w:rPr>
          <w:rFonts w:hint="eastAsia" w:ascii="仿宋" w:hAnsi="仿宋" w:eastAsia="仿宋" w:cs="仿宋"/>
          <w:color w:val="auto"/>
          <w:sz w:val="36"/>
          <w:szCs w:val="36"/>
          <w:lang w:val="en-US" w:eastAsia="zh-CN"/>
        </w:rPr>
        <w:t>第四部分 磋商、评审、成交</w:t>
      </w:r>
      <w:bookmarkEnd w:id="121"/>
      <w:bookmarkEnd w:id="122"/>
      <w:bookmarkEnd w:id="123"/>
      <w:bookmarkEnd w:id="124"/>
      <w:bookmarkEnd w:id="125"/>
      <w:bookmarkEnd w:id="126"/>
    </w:p>
    <w:p>
      <w:pPr>
        <w:shd w:val="clear"/>
        <w:spacing w:line="480" w:lineRule="exact"/>
        <w:outlineLvl w:val="9"/>
        <w:rPr>
          <w:rFonts w:ascii="仿宋" w:hAnsi="仿宋" w:eastAsia="仿宋" w:cs="仿宋"/>
          <w:b/>
          <w:bCs/>
          <w:color w:val="auto"/>
          <w:sz w:val="24"/>
          <w:szCs w:val="24"/>
          <w:lang w:val="en-US"/>
        </w:rPr>
      </w:pPr>
      <w:bookmarkStart w:id="127" w:name="一、_评审方法"/>
      <w:bookmarkEnd w:id="127"/>
      <w:bookmarkStart w:id="128" w:name="_Toc18701"/>
      <w:bookmarkStart w:id="129" w:name="_Toc14249"/>
      <w:bookmarkStart w:id="130" w:name="_Toc712"/>
      <w:bookmarkStart w:id="131" w:name="_Toc31687"/>
      <w:r>
        <w:rPr>
          <w:rFonts w:hint="eastAsia" w:ascii="仿宋" w:hAnsi="仿宋" w:eastAsia="仿宋" w:cs="仿宋"/>
          <w:b/>
          <w:bCs/>
          <w:color w:val="auto"/>
          <w:sz w:val="24"/>
          <w:szCs w:val="24"/>
          <w:lang w:val="en-US"/>
        </w:rPr>
        <w:t>一、评审方法</w:t>
      </w:r>
      <w:bookmarkEnd w:id="128"/>
      <w:bookmarkEnd w:id="129"/>
      <w:bookmarkEnd w:id="130"/>
      <w:bookmarkEnd w:id="131"/>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1、评审方法采用综合评分法。</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2、通过资格性和符合性审查的有效供应商方有资格提交最终报价及进入综合评审。</w:t>
      </w:r>
      <w:bookmarkStart w:id="132" w:name="二、_磋商小组"/>
      <w:bookmarkEnd w:id="132"/>
    </w:p>
    <w:p>
      <w:pPr>
        <w:shd w:val="clear"/>
        <w:spacing w:line="480" w:lineRule="exact"/>
        <w:outlineLvl w:val="9"/>
        <w:rPr>
          <w:rFonts w:ascii="仿宋" w:hAnsi="仿宋" w:eastAsia="仿宋" w:cs="仿宋"/>
          <w:b/>
          <w:bCs/>
          <w:color w:val="auto"/>
          <w:sz w:val="24"/>
          <w:szCs w:val="24"/>
          <w:lang w:val="en-US"/>
        </w:rPr>
      </w:pPr>
      <w:bookmarkStart w:id="133" w:name="_Toc17766"/>
      <w:bookmarkStart w:id="134" w:name="_Toc8062"/>
      <w:bookmarkStart w:id="135" w:name="_Toc19849"/>
      <w:bookmarkStart w:id="136" w:name="_Toc16868"/>
      <w:r>
        <w:rPr>
          <w:rFonts w:hint="eastAsia" w:ascii="仿宋" w:hAnsi="仿宋" w:eastAsia="仿宋" w:cs="仿宋"/>
          <w:b/>
          <w:bCs/>
          <w:color w:val="auto"/>
          <w:sz w:val="24"/>
          <w:szCs w:val="24"/>
          <w:lang w:val="en-US"/>
        </w:rPr>
        <w:t>二、磋商小组</w:t>
      </w:r>
      <w:bookmarkEnd w:id="133"/>
      <w:bookmarkEnd w:id="134"/>
      <w:bookmarkEnd w:id="135"/>
      <w:bookmarkEnd w:id="136"/>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3、本次采购依法组建磋商小组。</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4、</w:t>
      </w:r>
      <w:r>
        <w:rPr>
          <w:rFonts w:hint="eastAsia" w:ascii="仿宋" w:hAnsi="仿宋" w:eastAsia="仿宋" w:cs="仿宋"/>
          <w:color w:val="auto"/>
          <w:sz w:val="24"/>
          <w:szCs w:val="24"/>
          <w:lang w:val="en-US" w:eastAsia="zh-CN"/>
        </w:rPr>
        <w:t>磋商小组将按照磋商文件规定的评审程序、评审方法和评审标准进行独立评审。</w:t>
      </w:r>
      <w:r>
        <w:rPr>
          <w:rFonts w:hint="eastAsia" w:ascii="仿宋" w:hAnsi="仿宋" w:eastAsia="仿宋" w:cs="仿宋"/>
          <w:color w:val="auto"/>
          <w:sz w:val="24"/>
          <w:szCs w:val="24"/>
          <w:lang w:val="en-US"/>
        </w:rPr>
        <w:t>对磋商文件中描述有歧义或前后不一致的地方，磋商小组有权按法律法规的规定进行评判，但对同一条款的评判应适用于每个供应商。</w:t>
      </w:r>
    </w:p>
    <w:p>
      <w:pPr>
        <w:shd w:val="clear"/>
        <w:spacing w:line="480" w:lineRule="exact"/>
        <w:outlineLvl w:val="9"/>
        <w:rPr>
          <w:rFonts w:ascii="仿宋" w:hAnsi="仿宋" w:eastAsia="仿宋" w:cs="仿宋"/>
          <w:b/>
          <w:bCs/>
          <w:color w:val="auto"/>
          <w:sz w:val="24"/>
          <w:szCs w:val="24"/>
          <w:lang w:val="en-US"/>
        </w:rPr>
      </w:pPr>
      <w:bookmarkStart w:id="137" w:name="三、_技术商务磋商"/>
      <w:bookmarkEnd w:id="137"/>
      <w:bookmarkStart w:id="138" w:name="_Toc23492"/>
      <w:bookmarkStart w:id="139" w:name="_Toc412"/>
      <w:bookmarkStart w:id="140" w:name="_Toc44"/>
      <w:bookmarkStart w:id="141" w:name="_Toc22449"/>
      <w:r>
        <w:rPr>
          <w:rFonts w:hint="eastAsia" w:ascii="仿宋" w:hAnsi="仿宋" w:eastAsia="仿宋" w:cs="仿宋"/>
          <w:b/>
          <w:bCs/>
          <w:color w:val="auto"/>
          <w:sz w:val="24"/>
          <w:szCs w:val="24"/>
          <w:lang w:val="en-US"/>
        </w:rPr>
        <w:t>三、技术商务磋商</w:t>
      </w:r>
      <w:bookmarkEnd w:id="138"/>
      <w:bookmarkEnd w:id="139"/>
      <w:bookmarkEnd w:id="140"/>
      <w:bookmarkEnd w:id="141"/>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5、磋商小组邀请所有供应商参加磋商，以供应商签到顺序对供应商进行磋商排序。</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6、磋商小组与供应商分别进行一轮或多轮的磋商。在磋商过程中，磋商小组应当严格遵循保密原则，未经供应商同意不得向任何人透露当事人技术、价格和其他重要信息。</w:t>
      </w:r>
    </w:p>
    <w:p>
      <w:pPr>
        <w:pStyle w:val="2"/>
        <w:shd w:val="clear"/>
        <w:spacing w:line="480" w:lineRule="exact"/>
        <w:ind w:firstLine="480" w:firstLineChars="200"/>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7、磋商文件的修正：磋商小组调整或修改采购需求内容时，应取得磋商小组的一致同意，并以书面形式通知所有参加磋商的供应商。但任何形式的决定须以符合公平、公正原则和有利于项目的顺利实施为前提。</w:t>
      </w:r>
      <w:bookmarkStart w:id="142" w:name="四、_资格性和符合性评审"/>
      <w:bookmarkEnd w:id="142"/>
    </w:p>
    <w:p>
      <w:pPr>
        <w:shd w:val="clear"/>
        <w:spacing w:line="480" w:lineRule="exact"/>
        <w:outlineLvl w:val="9"/>
        <w:rPr>
          <w:rFonts w:hint="eastAsia" w:ascii="仿宋" w:hAnsi="仿宋" w:eastAsia="仿宋" w:cs="仿宋"/>
          <w:b/>
          <w:bCs/>
          <w:color w:val="auto"/>
          <w:sz w:val="24"/>
          <w:szCs w:val="24"/>
          <w:lang w:val="en-US"/>
        </w:rPr>
      </w:pPr>
      <w:bookmarkStart w:id="143" w:name="_Toc24213"/>
      <w:bookmarkStart w:id="144" w:name="_Toc13259"/>
      <w:bookmarkStart w:id="145" w:name="_Toc1517"/>
      <w:bookmarkStart w:id="146" w:name="_Toc7551"/>
      <w:r>
        <w:rPr>
          <w:rFonts w:hint="eastAsia" w:ascii="仿宋" w:hAnsi="仿宋" w:eastAsia="仿宋" w:cs="仿宋"/>
          <w:b/>
          <w:bCs/>
          <w:color w:val="auto"/>
          <w:sz w:val="24"/>
          <w:szCs w:val="24"/>
          <w:lang w:val="en-US" w:eastAsia="zh-CN"/>
        </w:rPr>
        <w:t>四、政府采购政策要求</w:t>
      </w:r>
      <w:bookmarkEnd w:id="143"/>
      <w:bookmarkEnd w:id="144"/>
      <w:bookmarkEnd w:id="145"/>
      <w:bookmarkEnd w:id="146"/>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bookmarkStart w:id="147" w:name="_Toc30979"/>
      <w:bookmarkStart w:id="148" w:name="_Toc21120"/>
      <w:bookmarkStart w:id="149" w:name="_Toc14503"/>
      <w:r>
        <w:rPr>
          <w:rFonts w:hint="eastAsia" w:ascii="仿宋" w:hAnsi="仿宋" w:eastAsia="仿宋" w:cs="仿宋"/>
          <w:color w:val="auto"/>
          <w:sz w:val="24"/>
          <w:szCs w:val="24"/>
          <w:lang w:val="en-US" w:eastAsia="zh-CN"/>
        </w:rPr>
        <w:t>8.1 节约能源政策</w:t>
      </w:r>
      <w:bookmarkEnd w:id="147"/>
      <w:bookmarkEnd w:id="148"/>
      <w:bookmarkEnd w:id="149"/>
      <w:r>
        <w:rPr>
          <w:rFonts w:hint="eastAsia" w:ascii="仿宋" w:hAnsi="仿宋" w:eastAsia="仿宋" w:cs="仿宋"/>
          <w:color w:val="auto"/>
          <w:sz w:val="24"/>
          <w:szCs w:val="24"/>
          <w:lang w:val="en-US" w:eastAsia="zh-CN"/>
        </w:rPr>
        <w:t xml:space="preserve">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8.1.1 节能品目清单中的产品有效时间以国家确定的认证机构出具的、处于有效期之内的节能产品认证证书有效截止日期为准，超过认证证书有效截止日期的自动失效。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8.1.2 政府采购属于节能品目清单中产品时，在技术、服务等指标同等条件下，应当优先采购节能品目清单所列的节能产品。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bookmarkStart w:id="150" w:name="_Toc13408"/>
      <w:bookmarkStart w:id="151" w:name="_Toc294"/>
      <w:bookmarkStart w:id="152" w:name="_Toc10115"/>
      <w:r>
        <w:rPr>
          <w:rFonts w:hint="eastAsia" w:ascii="仿宋" w:hAnsi="仿宋" w:eastAsia="仿宋" w:cs="仿宋"/>
          <w:color w:val="auto"/>
          <w:sz w:val="24"/>
          <w:szCs w:val="24"/>
          <w:lang w:val="en-US" w:eastAsia="zh-CN"/>
        </w:rPr>
        <w:t>8.2 环境保护政策</w:t>
      </w:r>
      <w:bookmarkEnd w:id="150"/>
      <w:bookmarkEnd w:id="151"/>
      <w:bookmarkEnd w:id="152"/>
      <w:r>
        <w:rPr>
          <w:rFonts w:hint="eastAsia" w:ascii="仿宋" w:hAnsi="仿宋" w:eastAsia="仿宋" w:cs="仿宋"/>
          <w:color w:val="auto"/>
          <w:sz w:val="24"/>
          <w:szCs w:val="24"/>
          <w:lang w:val="en-US" w:eastAsia="zh-CN"/>
        </w:rPr>
        <w:t xml:space="preserve">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8.2.1 清单中的产品有效时间以国家确定的认证机构出具的、处于有效期之内的环境标志产品认证证书有效截止日期为准，超过认证证书有效截止日期的自动失效。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8.2.2 采购人采购的产品属于品目清单中的，在性能、技术、服务等指标同等条件下，应当优先采购环保品目清单中的产品。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bookmarkStart w:id="153" w:name="_Toc25162"/>
      <w:bookmarkStart w:id="154" w:name="_Toc27809"/>
      <w:bookmarkStart w:id="155" w:name="_Toc31587"/>
      <w:r>
        <w:rPr>
          <w:rFonts w:hint="eastAsia" w:ascii="仿宋" w:hAnsi="仿宋" w:eastAsia="仿宋" w:cs="仿宋"/>
          <w:color w:val="auto"/>
          <w:sz w:val="24"/>
          <w:szCs w:val="24"/>
          <w:lang w:val="en-US" w:eastAsia="zh-CN"/>
        </w:rPr>
        <w:t>8.3 促进中小企业发展政策</w:t>
      </w:r>
      <w:bookmarkEnd w:id="153"/>
      <w:bookmarkEnd w:id="154"/>
      <w:bookmarkEnd w:id="155"/>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中小企业，是指在中华人民共和国境内依法设立，依据《中小企业划分标准规定》（工信部联企业【2011】300 号）确定的中型企业、小型企业和微型企业，但与大企业的负责人为同一人，或者与大企业存在直接控股、管理关系的除外。符合中小企业划分标准的个体工商户，在政府采购活动中视同中小企业。</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标准，属于小型和微型企业的中国企业，应按照第六部分《响应文件格式》提交中小企业声明函。供应商应对提交的中小企业声明函的真实性负责。提交的中小企业声明函不真实的，应承担相应的法律责任。中小企业参加政府采购活动，应当出具《中小企业声明函》（见第六部分格式），否则不得享受相关中小企业扶持政策。</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供应商提供的货物、工程或者服务符合下列情形的，享受中小企业扶持政策：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（一）在货物采购项目中，货物由中小企业制造，即货物由中小企业生产且使用该中小企业商号或者注册商标；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（二）在工程采购项目中，工程由中小企业承建，即工程施工单位为中小企业；</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（三）在服务采购项目中，服务由中小企业承接，即提供服务的人员为中小企业依照《中华人民共和国劳动合同法》订立劳动合同的从业人员。</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供应商提供的货物既有中小企业制造货物，也有大型企业制造货物的，不享受本办法规定的中小企业扶持政策。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以联合体形式参加政府采购活动，联合体各方均为中小企业的，联合体视同中小企业。其中，联合体各方均为小微企业的，联合体视同小微企业。 （适合时使用）</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bookmarkStart w:id="156" w:name="_Toc12324"/>
      <w:bookmarkStart w:id="157" w:name="_Toc22053"/>
      <w:bookmarkStart w:id="158" w:name="_Toc3940"/>
      <w:r>
        <w:rPr>
          <w:rFonts w:hint="eastAsia" w:ascii="仿宋" w:hAnsi="仿宋" w:eastAsia="仿宋" w:cs="仿宋"/>
          <w:color w:val="auto"/>
          <w:sz w:val="24"/>
          <w:szCs w:val="24"/>
          <w:lang w:val="en-US" w:eastAsia="zh-CN"/>
        </w:rPr>
        <w:t>8.4 监狱企业扶持政策及残疾人扶持政策</w:t>
      </w:r>
      <w:bookmarkEnd w:id="156"/>
      <w:bookmarkEnd w:id="157"/>
      <w:bookmarkEnd w:id="158"/>
      <w:r>
        <w:rPr>
          <w:rFonts w:hint="eastAsia" w:ascii="仿宋" w:hAnsi="仿宋" w:eastAsia="仿宋" w:cs="仿宋"/>
          <w:color w:val="auto"/>
          <w:sz w:val="24"/>
          <w:szCs w:val="24"/>
          <w:lang w:val="en-US" w:eastAsia="zh-CN"/>
        </w:rPr>
        <w:t xml:space="preserve">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监狱企业视同小型、微型企业。供应商为监狱企业的，应提供由省级以上监狱管理局、戒毒管理局（含新疆生产建设兵团）出具的属于监狱企业的证明文件。供应商应对提交的属于监狱企业的证明文件的真实性负责。提交的监狱企业的证明文件不真实的，应承担相应的法律责任。 </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残疾人福利性单位视同小型、微型企业。符合条件的残疾人福利性单位应当提供《残疾人福利性单位声明函》（见第六部分《响应文件格式》）。供应商提供的《残疾人福利性单位声明函》与事实不符的，依照《政府采购法》第七十七条第一款的规定追究法律责任。 </w:t>
      </w:r>
    </w:p>
    <w:p>
      <w:pPr>
        <w:shd w:val="clear"/>
        <w:spacing w:line="480" w:lineRule="exact"/>
        <w:outlineLvl w:val="9"/>
        <w:rPr>
          <w:rFonts w:ascii="仿宋" w:hAnsi="仿宋" w:eastAsia="仿宋" w:cs="仿宋"/>
          <w:b/>
          <w:bCs/>
          <w:color w:val="auto"/>
          <w:sz w:val="24"/>
          <w:szCs w:val="24"/>
          <w:lang w:val="en-US"/>
        </w:rPr>
      </w:pPr>
      <w:bookmarkStart w:id="159" w:name="_Toc5487"/>
      <w:bookmarkStart w:id="160" w:name="_Toc5429"/>
      <w:bookmarkStart w:id="161" w:name="_Toc31898"/>
      <w:bookmarkStart w:id="162" w:name="_Toc7920"/>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val="en-US"/>
        </w:rPr>
        <w:t>、资格性和符合性评审</w:t>
      </w:r>
      <w:bookmarkEnd w:id="159"/>
      <w:bookmarkEnd w:id="160"/>
      <w:bookmarkEnd w:id="161"/>
      <w:bookmarkEnd w:id="162"/>
    </w:p>
    <w:p>
      <w:pPr>
        <w:pStyle w:val="2"/>
        <w:shd w:val="clear"/>
        <w:spacing w:line="480" w:lineRule="exact"/>
        <w:ind w:firstLine="480" w:firstLineChars="200"/>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en-US"/>
        </w:rPr>
        <w:t>、磋商小组根据《资格性和符合性审查表》（附表一）的内容逐条对响应文件进行评审，审查每份响应文件的技术、商务、合同条款等内容是否齐全有效。审查每份响应文件是否实质上响应了磋商文件的要求，只要不满足《资格性和符合性审查表》所列各项要求之一的，将被认定为无效响应。对响应有效性认定意见不一致的，磋商小组按</w:t>
      </w:r>
      <w:r>
        <w:rPr>
          <w:rFonts w:hint="eastAsia" w:ascii="仿宋" w:hAnsi="仿宋" w:eastAsia="仿宋" w:cs="仿宋"/>
          <w:color w:val="auto"/>
          <w:sz w:val="24"/>
          <w:szCs w:val="24"/>
          <w:lang w:val="en-US" w:eastAsia="zh-CN"/>
        </w:rPr>
        <w:t>少数服从多数投票原则</w:t>
      </w:r>
      <w:r>
        <w:rPr>
          <w:rFonts w:hint="eastAsia" w:ascii="仿宋" w:hAnsi="仿宋" w:eastAsia="仿宋" w:cs="仿宋"/>
          <w:color w:val="auto"/>
          <w:sz w:val="24"/>
          <w:szCs w:val="24"/>
          <w:lang w:val="en-US"/>
        </w:rPr>
        <w:t>表决决定。</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en-US"/>
        </w:rPr>
        <w:t>、磋商小组对各供应商进行资格性和符合性审查过程中，对初步被认定为初审不合格或无效响应者应实行及时告知，由磋商小组组长或采购人代表将集体意见现场及时告知该供应商，以让其核证、澄清事实。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rPr>
        <w:t>、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shd w:val="clear"/>
        <w:spacing w:line="480" w:lineRule="exact"/>
        <w:outlineLvl w:val="9"/>
        <w:rPr>
          <w:rFonts w:ascii="仿宋" w:hAnsi="仿宋" w:eastAsia="仿宋" w:cs="仿宋"/>
          <w:b/>
          <w:bCs/>
          <w:color w:val="auto"/>
          <w:sz w:val="24"/>
          <w:szCs w:val="24"/>
          <w:lang w:val="en-US"/>
        </w:rPr>
      </w:pPr>
      <w:bookmarkStart w:id="163" w:name="五、_技术、商务及价格评审"/>
      <w:bookmarkEnd w:id="163"/>
      <w:bookmarkStart w:id="164" w:name="_Toc1659"/>
      <w:bookmarkStart w:id="165" w:name="_Toc3091"/>
      <w:bookmarkStart w:id="166" w:name="_Toc24226"/>
      <w:bookmarkStart w:id="167" w:name="_Toc21104"/>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val="en-US"/>
        </w:rPr>
        <w:t>、技术、商务及价格评审</w:t>
      </w:r>
      <w:bookmarkEnd w:id="164"/>
      <w:bookmarkEnd w:id="165"/>
      <w:bookmarkEnd w:id="166"/>
      <w:bookmarkEnd w:id="167"/>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、评分总值最高为100分，评分分值分配如下：</w:t>
      </w:r>
    </w:p>
    <w:tbl>
      <w:tblPr>
        <w:tblStyle w:val="19"/>
        <w:tblW w:w="8259" w:type="dxa"/>
        <w:jc w:val="center"/>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
      <w:tblGrid>
        <w:gridCol w:w="1041"/>
        <w:gridCol w:w="1760"/>
        <w:gridCol w:w="1827"/>
        <w:gridCol w:w="1923"/>
        <w:gridCol w:w="1708"/>
      </w:tblGrid>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90" w:hRule="atLeast"/>
          <w:jc w:val="center"/>
        </w:trPr>
        <w:tc>
          <w:tcPr>
            <w:tcW w:w="1041" w:type="dxa"/>
            <w:tcBorders>
              <w:left w:val="single" w:color="000000" w:sz="4" w:space="0"/>
              <w:right w:val="single" w:color="000000" w:sz="4" w:space="0"/>
            </w:tcBorders>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760" w:type="dxa"/>
            <w:tcBorders>
              <w:left w:val="single" w:color="000000" w:sz="4" w:space="0"/>
            </w:tcBorders>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评分项目</w:t>
            </w:r>
          </w:p>
        </w:tc>
        <w:tc>
          <w:tcPr>
            <w:tcW w:w="1827" w:type="dxa"/>
            <w:vAlign w:val="center"/>
          </w:tcPr>
          <w:p>
            <w:pPr>
              <w:pStyle w:val="29"/>
              <w:shd w:val="clear"/>
              <w:spacing w:line="480" w:lineRule="exact"/>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商务评分</w:t>
            </w:r>
          </w:p>
        </w:tc>
        <w:tc>
          <w:tcPr>
            <w:tcW w:w="1923" w:type="dxa"/>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技术评分</w:t>
            </w:r>
          </w:p>
        </w:tc>
        <w:tc>
          <w:tcPr>
            <w:tcW w:w="1708" w:type="dxa"/>
            <w:vAlign w:val="center"/>
          </w:tcPr>
          <w:p>
            <w:pPr>
              <w:pStyle w:val="29"/>
              <w:shd w:val="clear"/>
              <w:spacing w:line="480" w:lineRule="exact"/>
              <w:jc w:val="center"/>
              <w:outlineLvl w:val="9"/>
              <w:rPr>
                <w:rFonts w:ascii="仿宋" w:hAnsi="仿宋" w:eastAsia="仿宋" w:cs="仿宋"/>
                <w:b/>
                <w:color w:val="auto"/>
                <w:sz w:val="24"/>
                <w:szCs w:val="24"/>
              </w:rPr>
            </w:pPr>
            <w:r>
              <w:rPr>
                <w:rFonts w:hint="eastAsia" w:ascii="仿宋" w:hAnsi="仿宋" w:eastAsia="仿宋" w:cs="仿宋"/>
                <w:b/>
                <w:color w:val="auto"/>
                <w:sz w:val="24"/>
                <w:szCs w:val="24"/>
              </w:rPr>
              <w:t>价格评分</w:t>
            </w:r>
          </w:p>
        </w:tc>
      </w:tr>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446" w:hRule="atLeast"/>
          <w:jc w:val="center"/>
        </w:trPr>
        <w:tc>
          <w:tcPr>
            <w:tcW w:w="1041" w:type="dxa"/>
            <w:tcBorders>
              <w:left w:val="single" w:color="000000" w:sz="4" w:space="0"/>
              <w:right w:val="single" w:color="000000" w:sz="4" w:space="0"/>
            </w:tcBorders>
            <w:vAlign w:val="center"/>
          </w:tcPr>
          <w:p>
            <w:pPr>
              <w:pStyle w:val="29"/>
              <w:shd w:val="clear"/>
              <w:spacing w:line="480" w:lineRule="exact"/>
              <w:jc w:val="center"/>
              <w:outlineLvl w:val="9"/>
              <w:rPr>
                <w:rFonts w:ascii="仿宋" w:hAnsi="仿宋" w:eastAsia="仿宋" w:cs="仿宋"/>
                <w:color w:val="auto"/>
                <w:sz w:val="24"/>
                <w:szCs w:val="24"/>
              </w:rPr>
            </w:pPr>
            <w:r>
              <w:rPr>
                <w:rFonts w:hint="eastAsia" w:ascii="仿宋" w:hAnsi="仿宋" w:eastAsia="仿宋" w:cs="仿宋"/>
                <w:color w:val="auto"/>
                <w:sz w:val="24"/>
                <w:szCs w:val="24"/>
                <w:lang w:val="en-US"/>
              </w:rPr>
              <w:t>1</w:t>
            </w:r>
          </w:p>
        </w:tc>
        <w:tc>
          <w:tcPr>
            <w:tcW w:w="1760" w:type="dxa"/>
            <w:tcBorders>
              <w:left w:val="single" w:color="000000" w:sz="4" w:space="0"/>
            </w:tcBorders>
            <w:vAlign w:val="center"/>
          </w:tcPr>
          <w:p>
            <w:pPr>
              <w:pStyle w:val="29"/>
              <w:shd w:val="clear"/>
              <w:spacing w:line="480" w:lineRule="exact"/>
              <w:jc w:val="center"/>
              <w:outlineLvl w:val="9"/>
              <w:rPr>
                <w:rFonts w:ascii="仿宋" w:hAnsi="仿宋" w:eastAsia="仿宋" w:cs="仿宋"/>
                <w:color w:val="auto"/>
                <w:sz w:val="24"/>
                <w:szCs w:val="24"/>
              </w:rPr>
            </w:pPr>
            <w:r>
              <w:rPr>
                <w:rFonts w:hint="eastAsia" w:ascii="仿宋" w:hAnsi="仿宋" w:eastAsia="仿宋" w:cs="仿宋"/>
                <w:color w:val="auto"/>
                <w:sz w:val="24"/>
                <w:szCs w:val="24"/>
              </w:rPr>
              <w:t>权重</w:t>
            </w:r>
          </w:p>
        </w:tc>
        <w:tc>
          <w:tcPr>
            <w:tcW w:w="1827" w:type="dxa"/>
            <w:vAlign w:val="center"/>
          </w:tcPr>
          <w:p>
            <w:pPr>
              <w:pStyle w:val="29"/>
              <w:shd w:val="clear"/>
              <w:spacing w:line="480" w:lineRule="exact"/>
              <w:jc w:val="center"/>
              <w:outlineLvl w:val="9"/>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w:t>
            </w:r>
          </w:p>
        </w:tc>
        <w:tc>
          <w:tcPr>
            <w:tcW w:w="1923" w:type="dxa"/>
            <w:vAlign w:val="center"/>
          </w:tcPr>
          <w:p>
            <w:pPr>
              <w:pStyle w:val="29"/>
              <w:shd w:val="clear"/>
              <w:spacing w:line="480" w:lineRule="exact"/>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lang w:val="en-US" w:eastAsia="zh-CN"/>
              </w:rPr>
              <w:t>75</w:t>
            </w:r>
            <w:r>
              <w:rPr>
                <w:rFonts w:hint="eastAsia" w:ascii="仿宋" w:hAnsi="仿宋" w:eastAsia="仿宋" w:cs="仿宋"/>
                <w:bCs/>
                <w:color w:val="auto"/>
                <w:sz w:val="24"/>
                <w:szCs w:val="24"/>
              </w:rPr>
              <w:t>%</w:t>
            </w:r>
          </w:p>
        </w:tc>
        <w:tc>
          <w:tcPr>
            <w:tcW w:w="1708" w:type="dxa"/>
            <w:vAlign w:val="center"/>
          </w:tcPr>
          <w:p>
            <w:pPr>
              <w:pStyle w:val="29"/>
              <w:shd w:val="clear"/>
              <w:spacing w:line="480" w:lineRule="exact"/>
              <w:jc w:val="center"/>
              <w:outlineLvl w:val="9"/>
              <w:rPr>
                <w:rFonts w:ascii="仿宋" w:hAnsi="仿宋" w:eastAsia="仿宋" w:cs="仿宋"/>
                <w:bCs/>
                <w:color w:val="auto"/>
                <w:sz w:val="24"/>
                <w:szCs w:val="24"/>
              </w:rPr>
            </w:pP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0%</w:t>
            </w:r>
          </w:p>
        </w:tc>
      </w:tr>
    </w:tbl>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rPr>
        <w:t>、商务、技术评审</w:t>
      </w:r>
    </w:p>
    <w:p>
      <w:pPr>
        <w:pStyle w:val="2"/>
        <w:shd w:val="clear"/>
        <w:spacing w:line="480" w:lineRule="exact"/>
        <w:ind w:firstLine="480" w:firstLineChars="200"/>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lang w:val="en-US"/>
        </w:rPr>
        <w:t>评分项明细及各单项所占权重详见附表二《商务评审表》；</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技术评分项明细及各单项所占权重详见附表</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《技术评审表》；</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、价格评审</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（1）最终报价：所有作出实质性响应的有效供应商应在规定的时间内集中密封提交最终报价（最终报价时间视磋商进程由磋商小组决定）。</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（2）报价的错误修正原则</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2）以上修正后的报价应当经供应商采用书面形式，并加盖公章，或者由法定代表人或其授权的代表签字确认，并对供应商产生约束力，供应商不确认的，其报价无效。</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（3）报价的缺项、单列项的处理</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1)对报价服务报价漏项的，作非实质性响应处理。</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（4）政府采购政策下的评审价计算：</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1）磋商供应商为小型或微型企业（包括成员全部为小型或微型企业的联合体）时，报价给予C1的价格扣除（C1的取值为6%），即：评审价＝核实价×(1－C1）；</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2）磋商供应商为大中型企业和其他自然人、法人或者其他组织与小型、微型企业组成的联合体，且联合体协议中约定小型、微型企业的协议合同金额（必须为本企业承担的服务）占到联合体协议合同总金额30%以上的，对联合体报价给予C2的价格扣除（C2的取值为2%），即：评审价＝核实价×(1－C2)；</w:t>
      </w:r>
      <w:r>
        <w:rPr>
          <w:rFonts w:hint="eastAsia" w:ascii="仿宋" w:hAnsi="仿宋" w:eastAsia="仿宋" w:cs="仿宋"/>
          <w:color w:val="auto"/>
          <w:sz w:val="24"/>
          <w:szCs w:val="24"/>
          <w:lang w:val="en-US" w:eastAsia="zh-CN"/>
        </w:rPr>
        <w:t>（适合时使用）</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3）本条款所称小型或微型企业应当符合以下条件：符合小型或微型企业划分标准，并且提供本企业承担的服务；</w:t>
      </w:r>
    </w:p>
    <w:p>
      <w:pPr>
        <w:pStyle w:val="2"/>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4）组成联合体的大中型企业和其他自然人、法人或者其他组织，与小型、微型企业之间不得存在投资关系；</w:t>
      </w:r>
      <w:r>
        <w:rPr>
          <w:rFonts w:hint="eastAsia" w:ascii="仿宋" w:hAnsi="仿宋" w:eastAsia="仿宋" w:cs="仿宋"/>
          <w:color w:val="auto"/>
          <w:sz w:val="24"/>
          <w:szCs w:val="24"/>
          <w:lang w:val="en-US" w:eastAsia="zh-CN"/>
        </w:rPr>
        <w:t>（适合时使用）</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5）供应商认为其为小型或微型企业的应提交《中小企业声明函》，并明确企业类型，并提供最近年度经审计的财务报表，否则评审时不能享受相应的价格扣除；</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6）监狱企业视同小型、微型企业，享受评审中价格扣除的政府采购政策。监狱企业参加政府采购活动时，应当提供由省级以上监狱管理局、戒毒管理局(含新疆生产建设兵团)出具的属于监狱企业的证明文件；</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7）残疾人福利单位视同小型、微型企业，享受评审中价格扣除的政府采购政策。残疾人福利单位参加政府采购活动时，应当提供《残疾人福利性单位声明函》。</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（5）评审价的确定：按上述条款的原则校核修正后的价格为评审价。</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（6）计算价格评分：详见附表</w:t>
      </w:r>
      <w:r>
        <w:rPr>
          <w:rFonts w:hint="eastAsia" w:ascii="仿宋" w:hAnsi="仿宋" w:eastAsia="仿宋" w:cs="仿宋"/>
          <w:color w:val="auto"/>
          <w:sz w:val="24"/>
          <w:szCs w:val="24"/>
          <w:lang w:val="en-US" w:eastAsia="zh-CN"/>
        </w:rPr>
        <w:t>四</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lang w:val="en-US" w:eastAsia="zh-CN"/>
        </w:rPr>
        <w:t>价格评审</w:t>
      </w:r>
      <w:r>
        <w:rPr>
          <w:rFonts w:hint="eastAsia" w:ascii="仿宋" w:hAnsi="仿宋" w:eastAsia="仿宋" w:cs="仿宋"/>
          <w:b/>
          <w:bCs/>
          <w:color w:val="auto"/>
          <w:sz w:val="24"/>
          <w:szCs w:val="24"/>
          <w:lang w:val="en-US"/>
        </w:rPr>
        <w:t>表》</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en-US"/>
        </w:rPr>
        <w:t>、评审总得分及统计：评审总得分等于各评审因素得分之和。</w:t>
      </w:r>
      <w:bookmarkStart w:id="168" w:name="六、_成交供应商的确定"/>
      <w:bookmarkEnd w:id="168"/>
    </w:p>
    <w:p>
      <w:pPr>
        <w:shd w:val="clear"/>
        <w:spacing w:line="480" w:lineRule="exact"/>
        <w:ind w:firstLine="482" w:firstLineChars="200"/>
        <w:outlineLvl w:val="9"/>
        <w:rPr>
          <w:rFonts w:ascii="仿宋" w:hAnsi="仿宋" w:eastAsia="仿宋" w:cs="仿宋"/>
          <w:b/>
          <w:bCs/>
          <w:color w:val="auto"/>
          <w:sz w:val="24"/>
          <w:szCs w:val="24"/>
          <w:lang w:val="en-US"/>
        </w:rPr>
      </w:pPr>
      <w:bookmarkStart w:id="169" w:name="_Toc24846"/>
      <w:bookmarkStart w:id="170" w:name="_Toc19962"/>
      <w:bookmarkStart w:id="171" w:name="_Toc16942"/>
      <w:bookmarkStart w:id="172" w:name="_Toc23928"/>
      <w:r>
        <w:rPr>
          <w:rFonts w:hint="eastAsia" w:ascii="仿宋" w:hAnsi="仿宋" w:eastAsia="仿宋" w:cs="仿宋"/>
          <w:b/>
          <w:bCs/>
          <w:color w:val="auto"/>
          <w:sz w:val="24"/>
          <w:szCs w:val="24"/>
          <w:lang w:val="en-US"/>
        </w:rPr>
        <w:t>六、成交供应商的确定</w:t>
      </w:r>
      <w:bookmarkEnd w:id="169"/>
      <w:bookmarkEnd w:id="170"/>
      <w:bookmarkEnd w:id="171"/>
      <w:bookmarkEnd w:id="172"/>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、确定成交人</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.1磋商小组按照竞争性磋商文件确定的评标方法、步骤、标准，对响应文件进行评审，提出书面评标报告，按照得分由高到低的顺序推荐成交候选人名单。</w:t>
      </w:r>
    </w:p>
    <w:p>
      <w:pPr>
        <w:pStyle w:val="2"/>
        <w:shd w:val="clear"/>
        <w:spacing w:line="480" w:lineRule="exact"/>
        <w:ind w:firstLine="480" w:firstLineChars="200"/>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.2采购人在收到评标报告后的法定时间内，按照评标报告中推荐的成交候选人确定成交人。</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.3成交人确定后，磋商采购单位将在政府采购监督管理部门指定的媒体上发布成交公告，公示期为1个工作日。公示结束后向成交人发出《成交通知书》，《成交通知书》对成交人和采购人具有同等法律效力。</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en-US"/>
        </w:rPr>
        <w:t>、替补候选人的设定与使用。根据《中华人民共和国政府采购法》办法第四十四条规定，成交供应商放弃成交或者成交资格被依法确认无效的，采购人可以按照排序从其他成交侯选供应商中确定成交供应商，没有其他成交侯选供应商的，应当重新组织采购活动。在合同签订前，磋商采购单位发现成交人的响应报价或供货范围有缺漏、实际应标产品或服务存在重大偏差、或响应材料存在欺诈行为时，将依法取消成交人资格，没收其响应保证金，且保留依法追究的权利。</w:t>
      </w:r>
    </w:p>
    <w:p>
      <w:pPr>
        <w:shd w:val="clear"/>
        <w:spacing w:line="480" w:lineRule="exact"/>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line="480" w:lineRule="exact"/>
        <w:ind w:firstLine="482" w:firstLineChars="200"/>
        <w:outlineLvl w:val="9"/>
        <w:rPr>
          <w:rFonts w:ascii="仿宋" w:hAnsi="仿宋" w:eastAsia="仿宋" w:cs="仿宋"/>
          <w:b/>
          <w:bCs/>
          <w:color w:val="auto"/>
          <w:sz w:val="24"/>
          <w:szCs w:val="24"/>
          <w:highlight w:val="none"/>
          <w:lang w:val="en-US"/>
        </w:rPr>
      </w:pPr>
      <w:bookmarkStart w:id="173" w:name="_Toc21833"/>
      <w:bookmarkStart w:id="174" w:name="_Toc29720"/>
      <w:bookmarkStart w:id="175" w:name="_Toc10228"/>
      <w:bookmarkStart w:id="176" w:name="_Toc6912"/>
      <w:r>
        <w:rPr>
          <w:rFonts w:hint="eastAsia" w:ascii="仿宋" w:hAnsi="仿宋" w:eastAsia="仿宋" w:cs="仿宋"/>
          <w:b/>
          <w:bCs/>
          <w:color w:val="auto"/>
          <w:sz w:val="24"/>
          <w:szCs w:val="24"/>
          <w:highlight w:val="none"/>
          <w:lang w:val="en-US"/>
        </w:rPr>
        <w:t>附表一：资格性和符合性审查表</w:t>
      </w:r>
      <w:bookmarkEnd w:id="173"/>
      <w:bookmarkEnd w:id="174"/>
      <w:bookmarkEnd w:id="175"/>
      <w:bookmarkEnd w:id="176"/>
    </w:p>
    <w:p>
      <w:pPr>
        <w:spacing w:line="480" w:lineRule="exact"/>
        <w:jc w:val="center"/>
        <w:outlineLvl w:val="9"/>
        <w:rPr>
          <w:color w:val="auto"/>
          <w:highlight w:val="none"/>
          <w:lang w:val="en-US"/>
        </w:rPr>
      </w:pPr>
      <w:r>
        <w:rPr>
          <w:rFonts w:hint="eastAsia" w:ascii="仿宋" w:hAnsi="仿宋" w:eastAsia="仿宋" w:cs="仿宋"/>
          <w:b/>
          <w:bCs/>
          <w:color w:val="auto"/>
          <w:sz w:val="24"/>
          <w:szCs w:val="24"/>
          <w:highlight w:val="none"/>
          <w:lang w:val="en-US"/>
        </w:rPr>
        <w:t>资格性检查表</w:t>
      </w:r>
    </w:p>
    <w:tbl>
      <w:tblPr>
        <w:tblStyle w:val="1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2657"/>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257" w:type="dxa"/>
            <w:gridSpan w:val="2"/>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检查因素</w:t>
            </w:r>
          </w:p>
        </w:tc>
        <w:tc>
          <w:tcPr>
            <w:tcW w:w="6127"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00" w:type="dxa"/>
            <w:vMerge w:val="restart"/>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符合《中华人民共和国政府采购法》第二十二条规定</w:t>
            </w:r>
          </w:p>
        </w:tc>
        <w:tc>
          <w:tcPr>
            <w:tcW w:w="2657" w:type="dxa"/>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color w:val="auto"/>
                <w:sz w:val="24"/>
                <w:szCs w:val="24"/>
                <w:highlight w:val="none"/>
              </w:rPr>
            </w:pPr>
            <w:r>
              <w:rPr>
                <w:rFonts w:hint="eastAsia" w:ascii="仿宋" w:hAnsi="仿宋" w:eastAsia="仿宋" w:cs="仿宋"/>
                <w:color w:val="auto"/>
                <w:sz w:val="24"/>
                <w:szCs w:val="24"/>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提供由会计师事务所出具的</w:t>
            </w:r>
            <w:r>
              <w:rPr>
                <w:rFonts w:hint="eastAsia" w:ascii="仿宋" w:hAnsi="仿宋" w:eastAsia="仿宋" w:cs="仿宋"/>
                <w:color w:val="auto"/>
                <w:kern w:val="2"/>
                <w:sz w:val="24"/>
                <w:szCs w:val="24"/>
                <w:highlight w:val="none"/>
                <w:lang w:val="en-US" w:eastAsia="zh-CN" w:bidi="ar-SA"/>
              </w:rPr>
              <w:t>上一</w:t>
            </w:r>
            <w:r>
              <w:rPr>
                <w:rFonts w:hint="default" w:ascii="仿宋" w:hAnsi="仿宋" w:eastAsia="仿宋" w:cs="仿宋"/>
                <w:color w:val="auto"/>
                <w:kern w:val="2"/>
                <w:sz w:val="24"/>
                <w:szCs w:val="24"/>
                <w:highlight w:val="none"/>
                <w:lang w:val="en-US" w:eastAsia="zh-CN" w:bidi="ar-SA"/>
              </w:rPr>
              <w:t>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（3）具有履行合同所必须的设备和专业技术能力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具备履行合同所必需的设备和专业技术能力的说明函（供应商自行出具，格式自拟，加盖公章）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开标日前6个月内（至少提供1个月）缴纳社会保险的凭据（专用收据或社会保险交纳清单）；供应商为其他组织或自然人的，也需要按此项规定提供缴纳税收的凭据和交纳社会保险的凭据。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（5）参加政府采购活动近3年内，在经营活动中没有重大违法记录</w:t>
            </w:r>
          </w:p>
        </w:tc>
        <w:tc>
          <w:tcPr>
            <w:tcW w:w="6127" w:type="dxa"/>
            <w:vAlign w:val="center"/>
          </w:tcPr>
          <w:p>
            <w:pPr>
              <w:widowControl w:val="0"/>
              <w:autoSpaceDE w:val="0"/>
              <w:autoSpaceDN w:val="0"/>
              <w:spacing w:before="0" w:after="0" w:line="240" w:lineRule="auto"/>
              <w:ind w:left="0" w:leftChars="0" w:right="0" w:firstLine="0" w:firstLine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供应商须提供供应商参加政府采购活动前3年内在经营活动中没有重大违法记录的书面声明（格式自拟）；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257" w:type="dxa"/>
            <w:gridSpan w:val="2"/>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shd w:val="clear" w:color="auto" w:fill="auto"/>
                <w:lang w:val="en-US" w:eastAsia="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257" w:type="dxa"/>
            <w:gridSpan w:val="2"/>
            <w:vAlign w:val="center"/>
          </w:tcPr>
          <w:p>
            <w:pPr>
              <w:spacing w:before="0" w:after="0" w:line="240" w:lineRule="auto"/>
              <w:ind w:left="0" w:leftChars="0" w:right="0" w:righ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限制行为</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257" w:type="dxa"/>
            <w:gridSpan w:val="2"/>
            <w:vAlign w:val="center"/>
          </w:tcPr>
          <w:p>
            <w:pPr>
              <w:spacing w:before="0" w:after="0" w:line="240" w:lineRule="auto"/>
              <w:ind w:left="0" w:leftChars="0" w:right="0" w:rightChars="0" w:firstLine="0" w:firstLineChars="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其他要求</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default"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供应商</w:t>
            </w:r>
            <w:r>
              <w:rPr>
                <w:rFonts w:hint="eastAsia" w:ascii="仿宋" w:hAnsi="仿宋" w:eastAsia="仿宋" w:cs="仿宋"/>
                <w:color w:val="auto"/>
                <w:sz w:val="24"/>
                <w:szCs w:val="24"/>
                <w:highlight w:val="none"/>
                <w:lang w:val="en-US" w:eastAsia="zh-CN" w:bidi="ar-SA"/>
              </w:rPr>
              <w:t>应</w:t>
            </w:r>
            <w:r>
              <w:rPr>
                <w:rFonts w:hint="default" w:ascii="仿宋" w:hAnsi="仿宋" w:eastAsia="仿宋" w:cs="仿宋"/>
                <w:color w:val="auto"/>
                <w:sz w:val="24"/>
                <w:szCs w:val="24"/>
                <w:highlight w:val="none"/>
                <w:lang w:val="en-US" w:eastAsia="zh-CN" w:bidi="ar-SA"/>
              </w:rPr>
              <w:t>具备</w:t>
            </w:r>
            <w:r>
              <w:rPr>
                <w:rFonts w:hint="eastAsia" w:ascii="仿宋" w:hAnsi="仿宋" w:eastAsia="仿宋" w:cs="仿宋"/>
                <w:color w:val="auto"/>
                <w:sz w:val="24"/>
                <w:szCs w:val="24"/>
                <w:highlight w:val="none"/>
                <w:lang w:val="en-US" w:eastAsia="zh-CN" w:bidi="ar-SA"/>
              </w:rPr>
              <w:t>有效的</w:t>
            </w:r>
            <w:r>
              <w:rPr>
                <w:rFonts w:hint="default" w:ascii="仿宋" w:hAnsi="仿宋" w:eastAsia="仿宋" w:cs="仿宋"/>
                <w:color w:val="auto"/>
                <w:sz w:val="24"/>
                <w:szCs w:val="24"/>
                <w:highlight w:val="none"/>
                <w:lang w:val="en-US" w:eastAsia="zh-CN" w:bidi="ar-SA"/>
              </w:rPr>
              <w:t>《食品经营许可证》或《食品生产许可证》或《食品流通许可证》</w:t>
            </w:r>
            <w:r>
              <w:rPr>
                <w:rFonts w:hint="eastAsia" w:ascii="仿宋" w:hAnsi="仿宋" w:eastAsia="仿宋" w:cs="仿宋"/>
                <w:color w:val="auto"/>
                <w:sz w:val="24"/>
                <w:szCs w:val="24"/>
                <w:highlight w:val="none"/>
                <w:lang w:val="en-US" w:eastAsia="zh-CN" w:bidi="ar-SA"/>
              </w:rPr>
              <w:t>：根据“新疆维吾尔自治区市场监督管理局关于食品经营备案（仅销售预包装食品）有关工作的通告”通知，自2021年7月1日之后成立的公司无需提供</w:t>
            </w:r>
            <w:r>
              <w:rPr>
                <w:rFonts w:hint="default" w:ascii="仿宋" w:hAnsi="仿宋" w:eastAsia="仿宋" w:cs="仿宋"/>
                <w:color w:val="auto"/>
                <w:sz w:val="24"/>
                <w:szCs w:val="24"/>
                <w:highlight w:val="none"/>
                <w:lang w:val="en-US" w:eastAsia="zh-CN" w:bidi="ar-SA"/>
              </w:rPr>
              <w:t>《食品经营许可证》</w:t>
            </w:r>
            <w:r>
              <w:rPr>
                <w:rFonts w:hint="eastAsia" w:ascii="仿宋" w:hAnsi="仿宋" w:eastAsia="仿宋" w:cs="仿宋"/>
                <w:color w:val="auto"/>
                <w:sz w:val="24"/>
                <w:szCs w:val="24"/>
                <w:highlight w:val="none"/>
                <w:lang w:val="en-US" w:eastAsia="zh-CN" w:bidi="ar-SA"/>
              </w:rPr>
              <w:t>,办理营业执照时经营范围选择“食品经营（仅销售预包装食品）”及可</w:t>
            </w:r>
          </w:p>
        </w:tc>
      </w:tr>
    </w:tbl>
    <w:p>
      <w:pPr>
        <w:spacing w:line="480" w:lineRule="exact"/>
        <w:jc w:val="center"/>
        <w:outlineLvl w:val="9"/>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符合性检查表</w:t>
      </w:r>
    </w:p>
    <w:tbl>
      <w:tblPr>
        <w:tblStyle w:val="1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1"/>
        <w:gridCol w:w="2197"/>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198" w:type="dxa"/>
            <w:gridSpan w:val="2"/>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评标因素</w:t>
            </w:r>
          </w:p>
        </w:tc>
        <w:tc>
          <w:tcPr>
            <w:tcW w:w="6151"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84" w:type="dxa"/>
            <w:vMerge w:val="restart"/>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01" w:type="dxa"/>
            <w:vMerge w:val="restart"/>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w:t>
            </w:r>
          </w:p>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审查</w:t>
            </w:r>
          </w:p>
        </w:tc>
        <w:tc>
          <w:tcPr>
            <w:tcW w:w="2197"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6151" w:type="dxa"/>
            <w:vAlign w:val="center"/>
          </w:tcPr>
          <w:p>
            <w:pPr>
              <w:spacing w:before="0" w:after="0" w:line="240" w:lineRule="auto"/>
              <w:ind w:left="0" w:right="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签署</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151" w:type="dxa"/>
            <w:vAlign w:val="center"/>
          </w:tcPr>
          <w:p>
            <w:pPr>
              <w:spacing w:before="0" w:after="0" w:line="240" w:lineRule="auto"/>
              <w:ind w:left="0" w:right="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val="zh-CN"/>
              </w:rPr>
              <w:t>方案</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其报价未超过采购预算金额，且</w:t>
            </w:r>
            <w:r>
              <w:rPr>
                <w:rFonts w:hint="eastAsia" w:ascii="仿宋" w:hAnsi="仿宋" w:eastAsia="仿宋" w:cs="仿宋"/>
                <w:color w:val="auto"/>
                <w:sz w:val="24"/>
                <w:szCs w:val="24"/>
                <w:highlight w:val="none"/>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p>
        </w:tc>
        <w:tc>
          <w:tcPr>
            <w:tcW w:w="6151" w:type="dxa"/>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按时、足额缴纳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001"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w:t>
            </w:r>
          </w:p>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审查</w:t>
            </w:r>
          </w:p>
        </w:tc>
        <w:tc>
          <w:tcPr>
            <w:tcW w:w="2197"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响应文件份数</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响应文件正本、副本、电子版数量符合竞争性磋商文件要求。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4" w:type="dxa"/>
            <w:vMerge w:val="restart"/>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001" w:type="dxa"/>
            <w:vMerge w:val="restart"/>
            <w:vAlign w:val="center"/>
          </w:tcPr>
          <w:p>
            <w:pPr>
              <w:spacing w:before="0" w:after="0" w:line="240" w:lineRule="auto"/>
              <w:ind w:left="0" w:right="0"/>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的响应程度审查</w:t>
            </w:r>
          </w:p>
        </w:tc>
        <w:tc>
          <w:tcPr>
            <w:tcW w:w="2197"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bookmarkStart w:id="177" w:name="OLE_LINK2"/>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范围</w:t>
            </w:r>
            <w:bookmarkEnd w:id="177"/>
          </w:p>
        </w:tc>
        <w:tc>
          <w:tcPr>
            <w:tcW w:w="6151" w:type="dxa"/>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对竞争性磋商文件规定的</w:t>
            </w:r>
            <w:r>
              <w:rPr>
                <w:rFonts w:hint="eastAsia" w:ascii="仿宋" w:hAnsi="仿宋" w:eastAsia="仿宋" w:cs="仿宋"/>
                <w:color w:val="auto"/>
                <w:kern w:val="0"/>
                <w:sz w:val="24"/>
                <w:szCs w:val="24"/>
                <w:highlight w:val="none"/>
                <w:lang w:val="en-US" w:eastAsia="zh-CN"/>
              </w:rPr>
              <w:t>供货</w:t>
            </w:r>
            <w:r>
              <w:rPr>
                <w:rFonts w:hint="eastAsia" w:ascii="仿宋" w:hAnsi="仿宋" w:eastAsia="仿宋" w:cs="仿宋"/>
                <w:color w:val="auto"/>
                <w:kern w:val="0"/>
                <w:sz w:val="24"/>
                <w:szCs w:val="24"/>
                <w:highlight w:val="none"/>
              </w:rPr>
              <w:t>范围</w:t>
            </w:r>
            <w:r>
              <w:rPr>
                <w:rFonts w:hint="eastAsia" w:ascii="仿宋" w:hAnsi="仿宋" w:eastAsia="仿宋" w:cs="仿宋"/>
                <w:color w:val="auto"/>
                <w:sz w:val="24"/>
                <w:szCs w:val="24"/>
                <w:highlight w:val="none"/>
                <w:lang w:val="zh-CN"/>
              </w:rPr>
              <w:t>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服务期限</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响应磋商</w:t>
            </w:r>
            <w:r>
              <w:rPr>
                <w:rFonts w:hint="eastAsia" w:ascii="仿宋" w:hAnsi="仿宋" w:eastAsia="仿宋" w:cs="仿宋"/>
                <w:color w:val="auto"/>
                <w:kern w:val="0"/>
                <w:sz w:val="24"/>
                <w:szCs w:val="24"/>
                <w:highlight w:val="none"/>
              </w:rPr>
              <w:t>有效期</w:t>
            </w:r>
          </w:p>
        </w:tc>
        <w:tc>
          <w:tcPr>
            <w:tcW w:w="6151" w:type="dxa"/>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4" w:type="dxa"/>
            <w:vMerge w:val="continue"/>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outlineLvl w:val="9"/>
              <w:rPr>
                <w:rFonts w:hint="eastAsia" w:ascii="仿宋" w:hAnsi="仿宋" w:eastAsia="仿宋" w:cs="仿宋"/>
                <w:color w:val="auto"/>
                <w:sz w:val="24"/>
                <w:szCs w:val="24"/>
                <w:highlight w:val="none"/>
                <w:lang w:val="zh-CN"/>
              </w:rPr>
            </w:pPr>
          </w:p>
        </w:tc>
        <w:tc>
          <w:tcPr>
            <w:tcW w:w="2197" w:type="dxa"/>
            <w:tcBorders>
              <w:bottom w:val="single" w:color="auto" w:sz="4" w:space="0"/>
            </w:tcBorders>
            <w:vAlign w:val="center"/>
          </w:tcPr>
          <w:p>
            <w:pPr>
              <w:spacing w:before="0" w:after="0" w:line="240" w:lineRule="auto"/>
              <w:ind w:left="0" w:right="0"/>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w:t>
            </w:r>
          </w:p>
        </w:tc>
        <w:tc>
          <w:tcPr>
            <w:tcW w:w="6151" w:type="dxa"/>
            <w:tcBorders>
              <w:bottom w:val="single" w:color="auto" w:sz="4" w:space="0"/>
            </w:tcBorders>
            <w:vAlign w:val="center"/>
          </w:tcPr>
          <w:p>
            <w:pPr>
              <w:spacing w:before="0" w:after="0" w:line="240" w:lineRule="auto"/>
              <w:ind w:left="0" w:right="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未附有采购人不能接受的附加条件及法律、法规和</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规定的其他无效情形。</w:t>
            </w:r>
          </w:p>
        </w:tc>
      </w:tr>
    </w:tbl>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注：1.本表与磋商文件中相关评审条款内容不一致的，以本表内容为准。</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2.每一项符合的打“O”，不符合的打“×”。</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3.“结论”一栏填写“通过”或“不通过”；任何一项出现“×”的，结论为不通过；不通过的为无效响应。</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4.汇总时出现不同意见的，磋商小组按</w:t>
      </w:r>
      <w:r>
        <w:rPr>
          <w:rFonts w:hint="eastAsia" w:ascii="仿宋" w:hAnsi="仿宋" w:eastAsia="仿宋" w:cs="仿宋"/>
          <w:color w:val="auto"/>
          <w:sz w:val="24"/>
          <w:szCs w:val="24"/>
          <w:lang w:val="en-US" w:eastAsia="zh-CN"/>
        </w:rPr>
        <w:t>少数服从多数</w:t>
      </w:r>
      <w:r>
        <w:rPr>
          <w:rFonts w:hint="eastAsia" w:ascii="仿宋" w:hAnsi="仿宋" w:eastAsia="仿宋" w:cs="仿宋"/>
          <w:color w:val="auto"/>
          <w:sz w:val="24"/>
          <w:szCs w:val="24"/>
          <w:lang w:val="en-US"/>
        </w:rPr>
        <w:t>原则表决决定。</w:t>
      </w:r>
    </w:p>
    <w:p>
      <w:pPr>
        <w:shd w:val="clear"/>
        <w:spacing w:line="480" w:lineRule="exact"/>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br w:type="page"/>
      </w:r>
    </w:p>
    <w:p>
      <w:pPr>
        <w:shd w:val="clear"/>
        <w:spacing w:line="480" w:lineRule="exact"/>
        <w:ind w:firstLine="482" w:firstLineChars="200"/>
        <w:outlineLvl w:val="9"/>
        <w:rPr>
          <w:rFonts w:hint="eastAsia" w:ascii="仿宋" w:hAnsi="仿宋" w:eastAsia="仿宋" w:cs="仿宋"/>
          <w:b/>
          <w:bCs/>
          <w:color w:val="auto"/>
          <w:sz w:val="24"/>
          <w:szCs w:val="24"/>
          <w:lang w:val="en-US"/>
        </w:rPr>
      </w:pPr>
      <w:bookmarkStart w:id="178" w:name="_Toc15978"/>
      <w:bookmarkStart w:id="179" w:name="_Toc3835"/>
      <w:bookmarkStart w:id="180" w:name="_Toc12597"/>
      <w:bookmarkStart w:id="181" w:name="_Toc32093"/>
      <w:r>
        <w:rPr>
          <w:rFonts w:hint="eastAsia" w:ascii="仿宋" w:hAnsi="仿宋" w:eastAsia="仿宋" w:cs="仿宋"/>
          <w:b/>
          <w:bCs/>
          <w:color w:val="auto"/>
          <w:sz w:val="24"/>
          <w:szCs w:val="24"/>
          <w:lang w:val="en-US"/>
        </w:rPr>
        <w:t>附表二：商务</w:t>
      </w:r>
      <w:r>
        <w:rPr>
          <w:rFonts w:hint="eastAsia" w:ascii="仿宋" w:hAnsi="仿宋" w:eastAsia="仿宋" w:cs="仿宋"/>
          <w:b/>
          <w:bCs/>
          <w:color w:val="auto"/>
          <w:sz w:val="24"/>
          <w:szCs w:val="24"/>
          <w:lang w:val="en-US" w:eastAsia="zh-CN"/>
        </w:rPr>
        <w:t>评审</w:t>
      </w:r>
      <w:r>
        <w:rPr>
          <w:rFonts w:hint="eastAsia" w:ascii="仿宋" w:hAnsi="仿宋" w:eastAsia="仿宋" w:cs="仿宋"/>
          <w:b/>
          <w:bCs/>
          <w:color w:val="auto"/>
          <w:sz w:val="24"/>
          <w:szCs w:val="24"/>
          <w:lang w:val="en-US"/>
        </w:rPr>
        <w:t>表</w:t>
      </w:r>
      <w:bookmarkEnd w:id="178"/>
      <w:bookmarkEnd w:id="179"/>
      <w:bookmarkEnd w:id="180"/>
      <w:bookmarkEnd w:id="181"/>
    </w:p>
    <w:tbl>
      <w:tblPr>
        <w:tblStyle w:val="20"/>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0"/>
        <w:gridCol w:w="705"/>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blHeader/>
          <w:jc w:val="center"/>
        </w:trPr>
        <w:tc>
          <w:tcPr>
            <w:tcW w:w="7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评审内容</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c>
          <w:tcPr>
            <w:tcW w:w="7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707" w:type="dxa"/>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outlineLvl w:val="9"/>
              <w:rPr>
                <w:rFonts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企业实力</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7分</w:t>
            </w:r>
          </w:p>
        </w:tc>
        <w:tc>
          <w:tcPr>
            <w:tcW w:w="7100"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根据供应商的单位信誉、产品的质量和口碑等等进行综合评审：</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1、单位信誉度高、产品质量和口碑好的，得7分；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2、单位信誉度较高、产品质量和口碑较好的，得5分；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3、单位信誉度一般、产品质量和口碑一般的，得3分。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4、单位信誉差、产品质量和口碑出现负面评价的，得0分。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注：服务点的营业执照或产权证明或租赁合同复印件，不提供不得分。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经营业绩</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100"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pacing w:line="320" w:lineRule="exac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以供应商提供近三年做过</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类似项目</w:t>
            </w:r>
            <w:r>
              <w:rPr>
                <w:rFonts w:hint="eastAsia" w:ascii="仿宋" w:hAnsi="仿宋" w:eastAsia="仿宋" w:cs="仿宋"/>
                <w:color w:val="auto"/>
                <w:sz w:val="24"/>
                <w:szCs w:val="24"/>
                <w:highlight w:val="none"/>
              </w:rPr>
              <w:t>业绩进行综合评审，每提供1个得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widowControl/>
              <w:spacing w:line="320" w:lineRule="exac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1、响应</w:t>
            </w:r>
            <w:r>
              <w:rPr>
                <w:rFonts w:hint="eastAsia" w:ascii="仿宋" w:hAnsi="仿宋" w:eastAsia="仿宋" w:cs="仿宋"/>
                <w:color w:val="auto"/>
                <w:sz w:val="24"/>
                <w:szCs w:val="24"/>
                <w:highlight w:val="none"/>
              </w:rPr>
              <w:t>文件中应提供</w:t>
            </w:r>
            <w:r>
              <w:rPr>
                <w:rFonts w:hint="eastAsia" w:ascii="仿宋" w:hAnsi="仿宋" w:eastAsia="仿宋" w:cs="仿宋"/>
                <w:color w:val="auto"/>
                <w:sz w:val="24"/>
                <w:szCs w:val="24"/>
                <w:highlight w:val="none"/>
                <w:lang w:val="en-US" w:eastAsia="zh-CN"/>
              </w:rPr>
              <w:t>有效的</w:t>
            </w:r>
            <w:r>
              <w:rPr>
                <w:rFonts w:hint="eastAsia" w:ascii="仿宋" w:hAnsi="仿宋" w:eastAsia="仿宋" w:cs="仿宋"/>
                <w:color w:val="auto"/>
                <w:sz w:val="24"/>
                <w:szCs w:val="24"/>
                <w:highlight w:val="none"/>
              </w:rPr>
              <w:t>合同复印件或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通知书复印件，并加盖公章，否则评标委员会不予认可</w:t>
            </w:r>
            <w:r>
              <w:rPr>
                <w:rFonts w:hint="eastAsia" w:ascii="仿宋" w:hAnsi="仿宋" w:eastAsia="仿宋" w:cs="仿宋"/>
                <w:color w:val="auto"/>
                <w:sz w:val="24"/>
                <w:szCs w:val="24"/>
                <w:highlight w:val="none"/>
                <w:lang w:eastAsia="zh-CN"/>
              </w:rPr>
              <w:t>；</w:t>
            </w:r>
          </w:p>
          <w:p>
            <w:pPr>
              <w:widowControl/>
              <w:spacing w:line="320" w:lineRule="exac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销售给经销商或代理商的销售业绩不予认可</w:t>
            </w:r>
            <w:r>
              <w:rPr>
                <w:rFonts w:hint="eastAsia" w:ascii="仿宋" w:hAnsi="仿宋" w:eastAsia="仿宋" w:cs="仿宋"/>
                <w:color w:val="auto"/>
                <w:sz w:val="24"/>
                <w:szCs w:val="24"/>
                <w:highlight w:val="none"/>
                <w:lang w:eastAsia="zh-CN"/>
              </w:rPr>
              <w:t>；</w:t>
            </w:r>
          </w:p>
          <w:p>
            <w:pPr>
              <w:widowControl/>
              <w:spacing w:line="320" w:lineRule="exact"/>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日期以合同签署日期为准，未注明合同签署日期的不予认可。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响应</w:t>
            </w:r>
            <w:r>
              <w:rPr>
                <w:rFonts w:hint="eastAsia" w:ascii="仿宋" w:hAnsi="仿宋" w:eastAsia="仿宋" w:cs="仿宋"/>
                <w:color w:val="auto"/>
                <w:sz w:val="24"/>
                <w:szCs w:val="24"/>
                <w:highlight w:val="none"/>
                <w:lang w:val="en-US" w:bidi="ar-SA"/>
              </w:rPr>
              <w:t>文件编制质量</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3分</w:t>
            </w:r>
          </w:p>
        </w:tc>
        <w:tc>
          <w:tcPr>
            <w:tcW w:w="7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1、响应文件有缺漏项但未导致实质性偏离的扣1分；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2、响应文件资料扫描不清晰的扣1分；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3、响应文件编排混乱的扣1分；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rPr>
              <w:t>4、无上述情况本项得3分。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67" w:type="dxa"/>
            <w:gridSpan w:val="2"/>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合计</w:t>
            </w:r>
          </w:p>
        </w:tc>
        <w:tc>
          <w:tcPr>
            <w:tcW w:w="7805" w:type="dxa"/>
            <w:gridSpan w:val="2"/>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15分</w:t>
            </w:r>
          </w:p>
        </w:tc>
      </w:tr>
    </w:tbl>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注：1.磋商文件要求提交的与评价指标体系相关的各类有效资料，供应商如未按要求提交的，该项评分为零分。</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所有评委评分分值的算术平均值（四舍五入后，小数点后保留两位有效数）。</w:t>
      </w:r>
    </w:p>
    <w:p>
      <w:pPr>
        <w:shd w:val="clear"/>
        <w:outlineLvl w:val="9"/>
        <w:rPr>
          <w:rFonts w:ascii="仿宋" w:hAnsi="仿宋" w:eastAsia="仿宋" w:cs="仿宋"/>
          <w:color w:val="auto"/>
          <w:sz w:val="24"/>
          <w:szCs w:val="24"/>
        </w:rPr>
      </w:pPr>
      <w:r>
        <w:rPr>
          <w:rFonts w:ascii="仿宋" w:hAnsi="仿宋" w:eastAsia="仿宋" w:cs="仿宋"/>
          <w:color w:val="auto"/>
          <w:sz w:val="24"/>
          <w:szCs w:val="24"/>
        </w:rPr>
        <w:br w:type="page"/>
      </w:r>
    </w:p>
    <w:p>
      <w:pPr>
        <w:shd w:val="clear"/>
        <w:spacing w:line="480" w:lineRule="exact"/>
        <w:ind w:firstLine="482" w:firstLineChars="200"/>
        <w:outlineLvl w:val="9"/>
        <w:rPr>
          <w:rFonts w:hint="eastAsia" w:ascii="仿宋" w:hAnsi="仿宋" w:eastAsia="仿宋" w:cs="仿宋"/>
          <w:b/>
          <w:bCs/>
          <w:color w:val="auto"/>
          <w:sz w:val="24"/>
          <w:szCs w:val="24"/>
          <w:lang w:val="en-US"/>
        </w:rPr>
      </w:pPr>
      <w:bookmarkStart w:id="182" w:name="_Toc31883"/>
      <w:bookmarkStart w:id="183" w:name="_Toc6406"/>
      <w:bookmarkStart w:id="184" w:name="_Toc27193"/>
      <w:bookmarkStart w:id="185" w:name="_Toc25722"/>
      <w:r>
        <w:rPr>
          <w:rFonts w:hint="eastAsia" w:ascii="仿宋" w:hAnsi="仿宋" w:eastAsia="仿宋" w:cs="仿宋"/>
          <w:b/>
          <w:bCs/>
          <w:color w:val="auto"/>
          <w:sz w:val="24"/>
          <w:szCs w:val="24"/>
          <w:lang w:val="en-US"/>
        </w:rPr>
        <w:t>附表</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lang w:val="en-US" w:eastAsia="zh-CN"/>
        </w:rPr>
        <w:t>技术评审</w:t>
      </w:r>
      <w:r>
        <w:rPr>
          <w:rFonts w:hint="eastAsia" w:ascii="仿宋" w:hAnsi="仿宋" w:eastAsia="仿宋" w:cs="仿宋"/>
          <w:b/>
          <w:bCs/>
          <w:color w:val="auto"/>
          <w:sz w:val="24"/>
          <w:szCs w:val="24"/>
          <w:lang w:val="en-US"/>
        </w:rPr>
        <w:t>表</w:t>
      </w:r>
      <w:bookmarkEnd w:id="182"/>
      <w:bookmarkEnd w:id="183"/>
      <w:bookmarkEnd w:id="184"/>
      <w:bookmarkEnd w:id="185"/>
    </w:p>
    <w:tbl>
      <w:tblPr>
        <w:tblStyle w:val="20"/>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0"/>
        <w:gridCol w:w="705"/>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blHeader/>
          <w:jc w:val="center"/>
        </w:trPr>
        <w:tc>
          <w:tcPr>
            <w:tcW w:w="7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评审内容</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07" w:type="dxa"/>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产品符合性响应</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top"/>
          </w:tcPr>
          <w:p>
            <w:pPr>
              <w:numPr>
                <w:ilvl w:val="0"/>
                <w:numId w:val="0"/>
              </w:numPr>
              <w:shd w:val="clear"/>
              <w:ind w:right="0" w:rightChars="0"/>
              <w:jc w:val="both"/>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1、供应商</w:t>
            </w:r>
            <w:r>
              <w:rPr>
                <w:rFonts w:hint="eastAsia" w:ascii="仿宋" w:hAnsi="仿宋" w:eastAsia="仿宋" w:cs="仿宋"/>
                <w:color w:val="auto"/>
                <w:kern w:val="0"/>
                <w:sz w:val="24"/>
                <w:szCs w:val="24"/>
                <w:highlight w:val="none"/>
              </w:rPr>
              <w:t>的产品规格、参数完全响应</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文件要求且优于采购人</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求的得</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2、供应商</w:t>
            </w:r>
            <w:r>
              <w:rPr>
                <w:rFonts w:hint="eastAsia" w:ascii="仿宋" w:hAnsi="仿宋" w:eastAsia="仿宋" w:cs="仿宋"/>
                <w:color w:val="auto"/>
                <w:kern w:val="0"/>
                <w:sz w:val="24"/>
                <w:szCs w:val="24"/>
                <w:highlight w:val="none"/>
              </w:rPr>
              <w:t>的产品规格、参数响应</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文件要求，无偏离，满足采购人</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求的得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少数</w:t>
            </w:r>
            <w:r>
              <w:rPr>
                <w:rFonts w:hint="eastAsia" w:ascii="仿宋" w:hAnsi="仿宋" w:eastAsia="仿宋" w:cs="仿宋"/>
                <w:color w:val="auto"/>
                <w:kern w:val="0"/>
                <w:sz w:val="24"/>
                <w:szCs w:val="24"/>
                <w:highlight w:val="none"/>
              </w:rPr>
              <w:t>产品规格、参数有偏离，基本满足采购人</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求的得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 xml:space="preserve">分。 </w:t>
            </w:r>
          </w:p>
          <w:p>
            <w:pPr>
              <w:pStyle w:val="25"/>
              <w:ind w:left="0" w:leftChars="0" w:firstLine="0" w:firstLineChars="0"/>
              <w:jc w:val="both"/>
              <w:rPr>
                <w:rFonts w:hint="eastAsia" w:eastAsia="仿宋"/>
                <w:lang w:val="en-US" w:eastAsia="zh-CN"/>
              </w:rPr>
            </w:pPr>
            <w:r>
              <w:rPr>
                <w:rFonts w:hint="eastAsia" w:ascii="仿宋" w:hAnsi="仿宋" w:eastAsia="仿宋" w:cs="仿宋"/>
                <w:color w:val="auto"/>
                <w:kern w:val="0"/>
                <w:sz w:val="24"/>
                <w:szCs w:val="24"/>
                <w:highlight w:val="none"/>
                <w:lang w:val="en-US" w:eastAsia="zh-CN"/>
              </w:rPr>
              <w:t>4、供应商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多数</w:t>
            </w:r>
            <w:r>
              <w:rPr>
                <w:rFonts w:hint="eastAsia" w:ascii="仿宋" w:hAnsi="仿宋" w:eastAsia="仿宋" w:cs="仿宋"/>
                <w:color w:val="auto"/>
                <w:kern w:val="0"/>
                <w:sz w:val="24"/>
                <w:szCs w:val="24"/>
                <w:highlight w:val="none"/>
              </w:rPr>
              <w:t>产品规格、参数有偏离，不满足采购人</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求的得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outlineLvl w:val="9"/>
              <w:rPr>
                <w:rFonts w:hint="eastAsia" w:ascii="宋体" w:hAnsi="宋体" w:eastAsia="宋体" w:cs="宋体"/>
                <w:color w:val="auto"/>
                <w:sz w:val="24"/>
                <w:szCs w:val="24"/>
                <w:lang w:val="en-US" w:eastAsia="zh-CN" w:bidi="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的产品规格、参数不满足采购人</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供货方案</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对供应商的供货措施及配送方案(包括送货时间、货物交接等)进行综合评价:</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1、充分结合项目特征，提出具有针对性的具体配送方案。送货时间客观合理，能够完全保障项目供货要求，货物交接环节科学严谨；且针对供货过程中各潜在风险点有可行的操作建议和解决方案得20分；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2、能够结合项目特征，提出有一定针对性的具体配送方案。送货时间基本客观合理，能够基本保障项目供货要求，货物交接环节较为严谨；针对供货过程中部分风险点有可行的操作建议和解决方案得15分；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3、能够结合项目基本特征，提出有一定针对性的配送方案。送货时间基本客观，能够保障项目基本供货要求，货物交接环节基本全面；针对少量风险点有操作建议和解决方案得12分；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4、不能充分结合项目特征，仅提出基本的配送方案。送货时间可能影响项目供货要求，货物交接环节较简略得8分；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5、不能结合项目特征，仅提出范本式的配送方案。无法确认送货时间是否满足采购人基本要求，货物交接环节粗略得5分；</w:t>
            </w:r>
          </w:p>
          <w:p>
            <w:pPr>
              <w:numPr>
                <w:ilvl w:val="0"/>
                <w:numId w:val="0"/>
              </w:numPr>
              <w:shd w:val="clear"/>
              <w:ind w:right="0" w:rightChars="0"/>
              <w:jc w:val="both"/>
              <w:outlineLvl w:val="9"/>
              <w:rPr>
                <w:rFonts w:ascii="仿宋" w:hAnsi="仿宋" w:eastAsia="仿宋" w:cs="仿宋"/>
                <w:color w:val="auto"/>
                <w:sz w:val="24"/>
                <w:szCs w:val="24"/>
                <w:highlight w:val="none"/>
                <w:lang w:val="zh-CN" w:eastAsia="zh-CN" w:bidi="zh-CN"/>
              </w:rPr>
            </w:pPr>
            <w:r>
              <w:rPr>
                <w:rFonts w:hint="eastAsia" w:ascii="仿宋" w:hAnsi="仿宋" w:eastAsia="仿宋" w:cs="仿宋"/>
                <w:color w:val="auto"/>
                <w:kern w:val="0"/>
                <w:sz w:val="24"/>
                <w:szCs w:val="24"/>
                <w:highlight w:val="none"/>
                <w:lang w:val="en-US" w:eastAsia="zh-CN"/>
              </w:rPr>
              <w:t>6、没有提供有针对性供货措施及配送方案得0分。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配送人员</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top"/>
          </w:tcPr>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对供应商的配送及验收方案进行综合评价:</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1、管理和执行本合同所配备的人员资历和经验情况人员配备完善合理，经验丰富得7分；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2、管理和执行本合同所配备的人员资历和经验情况人员配备较完善合理，经验较丰富得5分；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3、管理和执行本合同所配备的人员资历和经验情况人员配备一般，具有项目相关经验得2分；</w:t>
            </w:r>
          </w:p>
          <w:p>
            <w:pPr>
              <w:numPr>
                <w:ilvl w:val="0"/>
                <w:numId w:val="0"/>
              </w:numPr>
              <w:shd w:val="clear"/>
              <w:ind w:right="0" w:rightChars="0"/>
              <w:jc w:val="both"/>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4、其他或没有得0分。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验收方案</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top"/>
          </w:tcPr>
          <w:p>
            <w:pPr>
              <w:numPr>
                <w:ilvl w:val="0"/>
                <w:numId w:val="2"/>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根据本项目所供货物验收方案合理且充分为甲方考虑得6分；</w:t>
            </w:r>
          </w:p>
          <w:p>
            <w:pPr>
              <w:numPr>
                <w:ilvl w:val="0"/>
                <w:numId w:val="2"/>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根据本项目所供货物验收方案合理但未从甲方角度考虑得3分；</w:t>
            </w:r>
          </w:p>
          <w:p>
            <w:pPr>
              <w:numPr>
                <w:ilvl w:val="0"/>
                <w:numId w:val="2"/>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根据本项目所供货物验收方案不合理，有瑕疵得1分；</w:t>
            </w:r>
          </w:p>
          <w:p>
            <w:pPr>
              <w:pStyle w:val="15"/>
              <w:numPr>
                <w:ilvl w:val="0"/>
                <w:numId w:val="2"/>
              </w:numP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未提供验收方案得0分。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售后服务</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对供应商的提供售后服务方案的针对性、完整性及可行性(包括响应时间、服务负责人、质量问题退换货等情况)进行综合评价:</w:t>
            </w:r>
          </w:p>
          <w:p>
            <w:pPr>
              <w:numPr>
                <w:ilvl w:val="0"/>
                <w:numId w:val="3"/>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提出全面详细的售后方案，针对性强，可行性高；响应时间客观且及时，负责人明确且具备丰富类似工作经验的得8分；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2、提出有一定针对性的售后方案，具备可行性；响应时间基本客观合理，负责人明确得5分；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3、售后方案有重大遗漏，可行性差；响应时间合理性较差或较长；或负责人不明确得2分；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4、未提供具体售后服务方案得0分。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质量保证</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对所供货品确保质量的措施、变质货品的更换、对不合格货品、价格虚高的处理办法进行综合评价：</w:t>
            </w:r>
          </w:p>
          <w:p>
            <w:pPr>
              <w:numPr>
                <w:ilvl w:val="0"/>
                <w:numId w:val="4"/>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有完整详细合理的质量保证措施或承诺的得8分；</w:t>
            </w:r>
          </w:p>
          <w:p>
            <w:pPr>
              <w:numPr>
                <w:ilvl w:val="0"/>
                <w:numId w:val="4"/>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质量保证措施制定一般的得5分；</w:t>
            </w:r>
          </w:p>
          <w:p>
            <w:pPr>
              <w:numPr>
                <w:ilvl w:val="0"/>
                <w:numId w:val="4"/>
              </w:numPr>
              <w:shd w:val="clear"/>
              <w:ind w:right="0" w:right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质量保证措施不合理的得2分；</w:t>
            </w:r>
          </w:p>
          <w:p>
            <w:pPr>
              <w:pStyle w:val="26"/>
              <w:jc w:val="both"/>
              <w:outlineLvl w:val="9"/>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rPr>
              <w:t>4、不提供质量保证措施或承诺的得0分。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突发公共安全事件应急保供能力</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c>
          <w:tcPr>
            <w:tcW w:w="7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由于疫情等原因突发状况时供应商应急保供方案进行综合评价:</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1、应急保供方案全面细致、有完善应急保障体系、方案切实可行、有项目特点得6分；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2、应急保供方案基本符合需求、有应急保障体系、方案可行性一般、针对性一般得3分；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3、应急保供方案未能完全满足需求、有应急保障体系、方案可行性较差、不太具有针对性得1分；</w:t>
            </w:r>
          </w:p>
          <w:p>
            <w:pPr>
              <w:numPr>
                <w:ilvl w:val="0"/>
                <w:numId w:val="0"/>
              </w:numPr>
              <w:shd w:val="clear"/>
              <w:ind w:right="0" w:rightChars="0"/>
              <w:jc w:val="both"/>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4、未提供应急保供方案得0分。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67" w:type="dxa"/>
            <w:gridSpan w:val="2"/>
            <w:tcBorders>
              <w:left w:val="single" w:color="000000" w:sz="8" w:space="0"/>
              <w:right w:val="single" w:color="000000" w:sz="8" w:space="0"/>
            </w:tcBorders>
            <w:shd w:val="clear" w:color="auto" w:fill="FFFFFF"/>
            <w:vAlign w:val="center"/>
          </w:tcPr>
          <w:p>
            <w:pPr>
              <w:spacing w:before="0" w:after="0" w:line="240" w:lineRule="auto"/>
              <w:ind w:left="0" w:leftChars="0" w:right="0" w:rightChars="0" w:firstLine="0" w:firstLineChars="0"/>
              <w:jc w:val="center"/>
              <w:outlineLvl w:val="9"/>
              <w:rPr>
                <w:rFonts w:hint="eastAsia"/>
                <w:lang w:val="en-US" w:eastAsia="zh-CN"/>
              </w:rPr>
            </w:pPr>
            <w:r>
              <w:rPr>
                <w:rFonts w:hint="eastAsia" w:ascii="仿宋" w:hAnsi="仿宋" w:eastAsia="仿宋" w:cs="仿宋"/>
                <w:color w:val="auto"/>
                <w:sz w:val="24"/>
                <w:szCs w:val="24"/>
                <w:highlight w:val="none"/>
                <w:lang w:val="en-US" w:eastAsia="zh-CN" w:bidi="ar-SA"/>
              </w:rPr>
              <w:t>合计</w:t>
            </w:r>
          </w:p>
        </w:tc>
        <w:tc>
          <w:tcPr>
            <w:tcW w:w="7776" w:type="dxa"/>
            <w:gridSpan w:val="2"/>
            <w:tcBorders>
              <w:top w:val="single" w:color="000000" w:sz="8" w:space="0"/>
              <w:left w:val="single" w:color="000000" w:sz="8" w:space="0"/>
              <w:right w:val="single" w:color="000000" w:sz="8" w:space="0"/>
            </w:tcBorders>
            <w:shd w:val="clear" w:color="auto" w:fill="FFFFFF"/>
            <w:vAlign w:val="center"/>
          </w:tcPr>
          <w:p>
            <w:pPr>
              <w:spacing w:before="0" w:after="0" w:line="240" w:lineRule="auto"/>
              <w:ind w:left="0" w:right="0"/>
              <w:jc w:val="left"/>
              <w:outlineLvl w:val="9"/>
              <w:rPr>
                <w:rFonts w:hint="default"/>
                <w:lang w:val="en-US" w:eastAsia="zh-CN"/>
              </w:rPr>
            </w:pPr>
            <w:r>
              <w:rPr>
                <w:rFonts w:hint="eastAsia" w:ascii="仿宋" w:hAnsi="仿宋" w:eastAsia="仿宋" w:cs="仿宋"/>
                <w:lang w:val="en-US" w:eastAsia="zh-CN"/>
              </w:rPr>
              <w:t>75分</w:t>
            </w:r>
          </w:p>
        </w:tc>
      </w:tr>
    </w:tbl>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注：1.磋商文件要求提交的与评价指标体系相关的各类有效资料，供应商如未按要求提交的，该项评分为零分。</w:t>
      </w:r>
    </w:p>
    <w:p>
      <w:pPr>
        <w:pStyle w:val="2"/>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所有评委评分分值的算术平均值（四舍五入后，小数点后保留两位有效数）。</w:t>
      </w:r>
    </w:p>
    <w:p>
      <w:pPr>
        <w:rPr>
          <w:rFonts w:hint="eastAsia" w:ascii="仿宋" w:hAnsi="仿宋" w:eastAsia="仿宋" w:cs="仿宋"/>
          <w:b/>
          <w:bCs/>
          <w:color w:val="auto"/>
          <w:sz w:val="24"/>
          <w:szCs w:val="24"/>
          <w:lang w:val="en-US"/>
        </w:rPr>
      </w:pPr>
      <w:bookmarkStart w:id="186" w:name="_Toc6266"/>
      <w:bookmarkStart w:id="187" w:name="_Toc24006"/>
      <w:bookmarkStart w:id="188" w:name="_Toc19190"/>
      <w:bookmarkStart w:id="189" w:name="_Toc12678"/>
      <w:r>
        <w:rPr>
          <w:rFonts w:hint="eastAsia" w:ascii="仿宋" w:hAnsi="仿宋" w:eastAsia="仿宋" w:cs="仿宋"/>
          <w:b/>
          <w:bCs/>
          <w:color w:val="auto"/>
          <w:sz w:val="24"/>
          <w:szCs w:val="24"/>
          <w:lang w:val="en-US"/>
        </w:rPr>
        <w:br w:type="page"/>
      </w:r>
    </w:p>
    <w:p>
      <w:pPr>
        <w:shd w:val="clear"/>
        <w:spacing w:line="480" w:lineRule="exact"/>
        <w:outlineLvl w:val="9"/>
        <w:rPr>
          <w:rFonts w:hint="eastAsia" w:ascii="宋体" w:hAnsi="宋体" w:eastAsia="宋体" w:cs="宋体"/>
          <w:sz w:val="24"/>
          <w:szCs w:val="24"/>
        </w:rPr>
      </w:pPr>
      <w:r>
        <w:rPr>
          <w:rFonts w:hint="eastAsia" w:ascii="仿宋" w:hAnsi="仿宋" w:eastAsia="仿宋" w:cs="仿宋"/>
          <w:b/>
          <w:bCs/>
          <w:color w:val="auto"/>
          <w:sz w:val="24"/>
          <w:szCs w:val="24"/>
          <w:lang w:val="en-US"/>
        </w:rPr>
        <w:t>附表</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lang w:val="en-US" w:eastAsia="zh-CN"/>
        </w:rPr>
        <w:t>价格评审</w:t>
      </w:r>
      <w:r>
        <w:rPr>
          <w:rFonts w:hint="eastAsia" w:ascii="仿宋" w:hAnsi="仿宋" w:eastAsia="仿宋" w:cs="仿宋"/>
          <w:b/>
          <w:bCs/>
          <w:color w:val="auto"/>
          <w:sz w:val="24"/>
          <w:szCs w:val="24"/>
          <w:lang w:val="en-US"/>
        </w:rPr>
        <w:t>表</w:t>
      </w:r>
      <w:bookmarkEnd w:id="186"/>
      <w:bookmarkEnd w:id="187"/>
      <w:bookmarkEnd w:id="188"/>
      <w:bookmarkEnd w:id="189"/>
    </w:p>
    <w:tbl>
      <w:tblPr>
        <w:tblStyle w:val="1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59"/>
        <w:gridCol w:w="817"/>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rPr>
            </w:pPr>
            <w:r>
              <w:rPr>
                <w:rFonts w:hint="eastAsia" w:ascii="仿宋" w:hAnsi="仿宋" w:eastAsia="仿宋" w:cs="仿宋"/>
                <w:sz w:val="24"/>
                <w:szCs w:val="24"/>
              </w:rPr>
              <w:t>评标因素</w:t>
            </w:r>
          </w:p>
        </w:tc>
        <w:tc>
          <w:tcPr>
            <w:tcW w:w="817"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分值</w:t>
            </w:r>
          </w:p>
        </w:tc>
        <w:tc>
          <w:tcPr>
            <w:tcW w:w="6291"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rPr>
            </w:pPr>
            <w:r>
              <w:rPr>
                <w:rFonts w:hint="eastAsia" w:ascii="仿宋" w:hAnsi="仿宋" w:eastAsia="仿宋" w:cs="仿宋"/>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rPr>
              <w:t>价格</w:t>
            </w:r>
            <w:r>
              <w:rPr>
                <w:rFonts w:hint="eastAsia" w:ascii="仿宋" w:hAnsi="仿宋" w:eastAsia="仿宋" w:cs="仿宋"/>
                <w:sz w:val="24"/>
                <w:szCs w:val="24"/>
                <w:lang w:val="en-US" w:eastAsia="zh-CN"/>
              </w:rPr>
              <w:t>部分</w:t>
            </w:r>
          </w:p>
        </w:tc>
        <w:tc>
          <w:tcPr>
            <w:tcW w:w="817" w:type="dxa"/>
            <w:tcBorders>
              <w:top w:val="single" w:color="auto" w:sz="4" w:space="0"/>
              <w:left w:val="single" w:color="auto" w:sz="4" w:space="0"/>
              <w:bottom w:val="single" w:color="auto" w:sz="4" w:space="0"/>
              <w:right w:val="single" w:color="auto" w:sz="4" w:space="0"/>
            </w:tcBorders>
            <w:noWrap w:val="0"/>
            <w:vAlign w:val="center"/>
          </w:tcPr>
          <w:p>
            <w:pPr>
              <w:bidi w:val="0"/>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0</w:t>
            </w:r>
            <w:r>
              <w:rPr>
                <w:rFonts w:hint="eastAsia" w:ascii="仿宋" w:hAnsi="仿宋" w:eastAsia="仿宋" w:cs="仿宋"/>
                <w:sz w:val="24"/>
                <w:szCs w:val="24"/>
                <w:lang w:val="en-US" w:eastAsia="zh-CN"/>
              </w:rPr>
              <w:t>分</w:t>
            </w:r>
          </w:p>
        </w:tc>
        <w:tc>
          <w:tcPr>
            <w:tcW w:w="6291" w:type="dxa"/>
            <w:tcBorders>
              <w:top w:val="single" w:color="auto" w:sz="4" w:space="0"/>
              <w:left w:val="single" w:color="auto" w:sz="4" w:space="0"/>
              <w:bottom w:val="single" w:color="auto" w:sz="4" w:space="0"/>
              <w:right w:val="single" w:color="auto" w:sz="4" w:space="0"/>
            </w:tcBorders>
            <w:noWrap w:val="0"/>
            <w:vAlign w:val="center"/>
          </w:tcPr>
          <w:p>
            <w:pPr>
              <w:bidi w:val="0"/>
              <w:jc w:val="left"/>
              <w:outlineLvl w:val="9"/>
              <w:rPr>
                <w:rFonts w:hint="eastAsia" w:ascii="仿宋" w:hAnsi="仿宋" w:eastAsia="仿宋" w:cs="仿宋"/>
                <w:sz w:val="24"/>
                <w:szCs w:val="24"/>
              </w:rPr>
            </w:pPr>
            <w:r>
              <w:rPr>
                <w:rFonts w:hint="eastAsia" w:ascii="仿宋" w:hAnsi="仿宋" w:eastAsia="仿宋" w:cs="仿宋"/>
                <w:sz w:val="24"/>
                <w:szCs w:val="24"/>
              </w:rPr>
              <w:t>1.经初审合格的响应文件，其磋商报价为有效磋商</w:t>
            </w:r>
            <w:r>
              <w:rPr>
                <w:rFonts w:hint="eastAsia" w:ascii="仿宋" w:hAnsi="仿宋" w:eastAsia="仿宋" w:cs="仿宋"/>
                <w:sz w:val="24"/>
                <w:szCs w:val="24"/>
                <w:lang w:val="en-US" w:eastAsia="zh-CN"/>
              </w:rPr>
              <w:t>报</w:t>
            </w:r>
            <w:r>
              <w:rPr>
                <w:rFonts w:hint="eastAsia" w:ascii="仿宋" w:hAnsi="仿宋" w:eastAsia="仿宋" w:cs="仿宋"/>
                <w:sz w:val="24"/>
                <w:szCs w:val="24"/>
              </w:rPr>
              <w:t>价。</w:t>
            </w:r>
          </w:p>
          <w:p>
            <w:pPr>
              <w:bidi w:val="0"/>
              <w:jc w:val="left"/>
              <w:outlineLvl w:val="9"/>
              <w:rPr>
                <w:rFonts w:hint="eastAsia" w:ascii="仿宋" w:hAnsi="仿宋" w:eastAsia="仿宋" w:cs="仿宋"/>
                <w:sz w:val="24"/>
                <w:szCs w:val="24"/>
              </w:rPr>
            </w:pPr>
            <w:r>
              <w:rPr>
                <w:rFonts w:hint="eastAsia" w:ascii="仿宋" w:hAnsi="仿宋" w:eastAsia="仿宋" w:cs="仿宋"/>
                <w:sz w:val="24"/>
                <w:szCs w:val="24"/>
              </w:rPr>
              <w:t>2.满足磋商文件实质性要求且最终</w:t>
            </w:r>
            <w:r>
              <w:rPr>
                <w:rFonts w:hint="eastAsia" w:ascii="仿宋" w:hAnsi="仿宋" w:eastAsia="仿宋" w:cs="仿宋"/>
                <w:sz w:val="24"/>
                <w:szCs w:val="24"/>
                <w:lang w:val="en-US" w:eastAsia="zh-CN"/>
              </w:rPr>
              <w:t>磋商</w:t>
            </w:r>
            <w:r>
              <w:rPr>
                <w:rFonts w:hint="eastAsia" w:ascii="仿宋" w:hAnsi="仿宋" w:eastAsia="仿宋" w:cs="仿宋"/>
                <w:sz w:val="24"/>
                <w:szCs w:val="24"/>
              </w:rPr>
              <w:t>报价</w:t>
            </w:r>
            <w:r>
              <w:rPr>
                <w:rFonts w:hint="eastAsia" w:ascii="仿宋" w:hAnsi="仿宋" w:eastAsia="仿宋" w:cs="仿宋"/>
                <w:sz w:val="24"/>
                <w:szCs w:val="24"/>
                <w:lang w:val="en-US" w:eastAsia="zh-CN"/>
              </w:rPr>
              <w:t>折扣最低</w:t>
            </w:r>
            <w:r>
              <w:rPr>
                <w:rFonts w:hint="eastAsia" w:ascii="仿宋" w:hAnsi="仿宋" w:eastAsia="仿宋" w:cs="仿宋"/>
                <w:sz w:val="24"/>
                <w:szCs w:val="24"/>
              </w:rPr>
              <w:t>的价格为磋商基准价，其价格分为满分</w:t>
            </w:r>
            <w:r>
              <w:rPr>
                <w:rFonts w:hint="eastAsia" w:ascii="仿宋" w:hAnsi="仿宋" w:eastAsia="仿宋" w:cs="仿宋"/>
                <w:sz w:val="24"/>
                <w:szCs w:val="24"/>
                <w:lang w:val="en-US" w:eastAsia="zh-CN"/>
              </w:rPr>
              <w:t>1</w:t>
            </w:r>
            <w:r>
              <w:rPr>
                <w:rFonts w:hint="eastAsia" w:ascii="仿宋" w:hAnsi="仿宋" w:eastAsia="仿宋" w:cs="仿宋"/>
                <w:sz w:val="24"/>
                <w:szCs w:val="24"/>
              </w:rPr>
              <w:t>0分。</w:t>
            </w:r>
          </w:p>
          <w:p>
            <w:pPr>
              <w:bidi w:val="0"/>
              <w:jc w:val="left"/>
              <w:outlineLvl w:val="9"/>
              <w:rPr>
                <w:rFonts w:hint="eastAsia" w:ascii="仿宋" w:hAnsi="仿宋" w:eastAsia="仿宋" w:cs="仿宋"/>
                <w:sz w:val="24"/>
                <w:szCs w:val="24"/>
              </w:rPr>
            </w:pPr>
            <w:r>
              <w:rPr>
                <w:rFonts w:hint="eastAsia" w:ascii="仿宋" w:hAnsi="仿宋" w:eastAsia="仿宋" w:cs="仿宋"/>
                <w:sz w:val="24"/>
                <w:szCs w:val="24"/>
              </w:rPr>
              <w:t>3.磋商报价得分</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rPr>
              <w:t>磋商基准价/最终磋商报价</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0的公式计算得分。</w:t>
            </w:r>
          </w:p>
          <w:p>
            <w:pPr>
              <w:bidi w:val="0"/>
              <w:jc w:val="left"/>
              <w:outlineLvl w:val="9"/>
              <w:rPr>
                <w:rFonts w:hint="eastAsia" w:ascii="仿宋" w:hAnsi="仿宋" w:eastAsia="仿宋" w:cs="仿宋"/>
                <w:sz w:val="24"/>
                <w:szCs w:val="24"/>
              </w:rPr>
            </w:pPr>
            <w:r>
              <w:rPr>
                <w:rFonts w:hint="eastAsia" w:ascii="仿宋" w:hAnsi="仿宋" w:eastAsia="仿宋" w:cs="仿宋"/>
                <w:sz w:val="24"/>
                <w:szCs w:val="24"/>
              </w:rPr>
              <w:t>4.磋商报价不完整的，不进入基准价的计算，本项得0分。</w:t>
            </w:r>
          </w:p>
          <w:p>
            <w:pPr>
              <w:bidi w:val="0"/>
              <w:jc w:val="left"/>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对于经主管预算单位统筹后未预留份额专门面向中小企业采购的采购项目，以及预留份额项目中的非预留部分采购包，采购人、采购代理机构应当对符合本办法规定的小微企业报价给6%—10%（工程项目为3%—5%）的扣除，用扣除后的价格参加评审。本项目具体扣除比例为</w:t>
            </w:r>
            <w:r>
              <w:rPr>
                <w:rFonts w:hint="eastAsia" w:ascii="仿宋" w:hAnsi="仿宋" w:eastAsia="仿宋" w:cs="仿宋"/>
                <w:sz w:val="24"/>
                <w:szCs w:val="24"/>
                <w:lang w:val="en-US" w:eastAsia="zh-CN"/>
              </w:rPr>
              <w:t>6</w:t>
            </w:r>
            <w:r>
              <w:rPr>
                <w:rFonts w:hint="eastAsia" w:ascii="仿宋" w:hAnsi="仿宋" w:eastAsia="仿宋" w:cs="仿宋"/>
                <w:sz w:val="24"/>
                <w:szCs w:val="24"/>
              </w:rPr>
              <w:t>%。</w:t>
            </w:r>
          </w:p>
        </w:tc>
      </w:tr>
    </w:tbl>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注：1.根据《政府采购促进中小企业发展管理办法》（财库[2020]46号）</w:t>
      </w:r>
      <w:r>
        <w:rPr>
          <w:rFonts w:hint="eastAsia" w:ascii="仿宋" w:hAnsi="仿宋" w:eastAsia="仿宋" w:cs="仿宋"/>
          <w:sz w:val="24"/>
          <w:szCs w:val="24"/>
          <w:lang w:val="en-US" w:eastAsia="zh-CN"/>
        </w:rPr>
        <w:t>的规定</w:t>
      </w:r>
      <w:r>
        <w:rPr>
          <w:rFonts w:hint="eastAsia" w:ascii="仿宋" w:hAnsi="仿宋" w:eastAsia="仿宋" w:cs="仿宋"/>
          <w:sz w:val="24"/>
          <w:szCs w:val="24"/>
          <w:lang w:val="en-US"/>
        </w:rPr>
        <w:t>，对满足价格扣除条件且在</w:t>
      </w:r>
      <w:r>
        <w:rPr>
          <w:rFonts w:hint="eastAsia" w:ascii="仿宋" w:hAnsi="仿宋" w:eastAsia="仿宋" w:cs="仿宋"/>
          <w:sz w:val="24"/>
          <w:szCs w:val="24"/>
          <w:lang w:val="en-US" w:eastAsia="zh-CN"/>
        </w:rPr>
        <w:t>响应</w:t>
      </w:r>
      <w:r>
        <w:rPr>
          <w:rFonts w:hint="eastAsia" w:ascii="仿宋" w:hAnsi="仿宋" w:eastAsia="仿宋" w:cs="仿宋"/>
          <w:sz w:val="24"/>
          <w:szCs w:val="24"/>
          <w:lang w:val="en-US"/>
        </w:rPr>
        <w:t>文件中提交了《中小企业声明函》的</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，小微企业报价给予</w:t>
      </w:r>
      <w:r>
        <w:rPr>
          <w:rFonts w:hint="eastAsia" w:ascii="仿宋" w:hAnsi="仿宋" w:eastAsia="仿宋" w:cs="仿宋"/>
          <w:sz w:val="24"/>
          <w:szCs w:val="24"/>
          <w:lang w:val="en-US" w:eastAsia="zh-CN"/>
        </w:rPr>
        <w:t>6</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的折扣，用扣除后的价格参与评审</w:t>
      </w:r>
      <w:r>
        <w:rPr>
          <w:rFonts w:hint="eastAsia" w:ascii="仿宋" w:hAnsi="仿宋" w:eastAsia="仿宋" w:cs="仿宋"/>
          <w:sz w:val="24"/>
          <w:szCs w:val="24"/>
          <w:lang w:val="en-US"/>
        </w:rPr>
        <w:t>。专门面向中小企业采购或预留份额的情况不适用。</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2.</w:t>
      </w:r>
      <w:r>
        <w:rPr>
          <w:rFonts w:hint="eastAsia" w:ascii="仿宋" w:hAnsi="仿宋" w:eastAsia="仿宋" w:cs="仿宋"/>
          <w:sz w:val="24"/>
          <w:szCs w:val="24"/>
          <w:lang w:val="en-US" w:eastAsia="zh-CN"/>
        </w:rPr>
        <w:t>根据</w:t>
      </w:r>
      <w:r>
        <w:rPr>
          <w:rFonts w:hint="eastAsia" w:ascii="仿宋" w:hAnsi="仿宋" w:eastAsia="仿宋" w:cs="仿宋"/>
          <w:sz w:val="24"/>
          <w:szCs w:val="24"/>
          <w:lang w:val="en-US"/>
        </w:rPr>
        <w:t>《财政部 司法部关于政府采购支持监狱企业发展有关问题的通知》（财库〔2014〕68号）</w:t>
      </w:r>
      <w:r>
        <w:rPr>
          <w:rFonts w:hint="eastAsia" w:ascii="仿宋" w:hAnsi="仿宋" w:eastAsia="仿宋" w:cs="仿宋"/>
          <w:sz w:val="24"/>
          <w:szCs w:val="24"/>
          <w:lang w:val="en-US" w:eastAsia="zh-CN"/>
        </w:rPr>
        <w:t>和</w:t>
      </w:r>
      <w:r>
        <w:rPr>
          <w:rFonts w:hint="eastAsia" w:ascii="仿宋" w:hAnsi="仿宋" w:eastAsia="仿宋" w:cs="仿宋"/>
          <w:sz w:val="24"/>
          <w:szCs w:val="24"/>
          <w:lang w:val="en-US"/>
        </w:rPr>
        <w:t>《三部门联合发布关于促进残疾人就业政府采购政策的通知》（财库〔2017〕141号）</w:t>
      </w:r>
      <w:r>
        <w:rPr>
          <w:rFonts w:hint="eastAsia" w:ascii="仿宋" w:hAnsi="仿宋" w:eastAsia="仿宋" w:cs="仿宋"/>
          <w:sz w:val="24"/>
          <w:szCs w:val="24"/>
          <w:lang w:val="en-US" w:eastAsia="zh-CN"/>
        </w:rPr>
        <w:t>的规定</w:t>
      </w:r>
      <w:r>
        <w:rPr>
          <w:rFonts w:hint="eastAsia" w:ascii="仿宋" w:hAnsi="仿宋" w:eastAsia="仿宋" w:cs="仿宋"/>
          <w:sz w:val="24"/>
          <w:szCs w:val="24"/>
          <w:lang w:val="en-US"/>
        </w:rPr>
        <w:t>，对满足价格扣除条件且在</w:t>
      </w:r>
      <w:r>
        <w:rPr>
          <w:rFonts w:hint="eastAsia" w:ascii="仿宋" w:hAnsi="仿宋" w:eastAsia="仿宋" w:cs="仿宋"/>
          <w:sz w:val="24"/>
          <w:szCs w:val="24"/>
          <w:lang w:val="en-US" w:eastAsia="zh-CN"/>
        </w:rPr>
        <w:t>响应</w:t>
      </w:r>
      <w:r>
        <w:rPr>
          <w:rFonts w:hint="eastAsia" w:ascii="仿宋" w:hAnsi="仿宋" w:eastAsia="仿宋" w:cs="仿宋"/>
          <w:sz w:val="24"/>
          <w:szCs w:val="24"/>
          <w:lang w:val="en-US"/>
        </w:rPr>
        <w:t>文件中提交了《残疾人福利性单位声明函》或提交了</w:t>
      </w:r>
      <w:r>
        <w:rPr>
          <w:rFonts w:hint="eastAsia" w:ascii="仿宋" w:hAnsi="仿宋" w:eastAsia="仿宋" w:cs="仿宋"/>
          <w:sz w:val="24"/>
          <w:szCs w:val="24"/>
          <w:lang w:val="en-US" w:eastAsia="zh-CN"/>
        </w:rPr>
        <w:t>监狱企业声明函且提供了</w:t>
      </w:r>
      <w:r>
        <w:rPr>
          <w:rFonts w:hint="eastAsia" w:ascii="仿宋" w:hAnsi="仿宋" w:eastAsia="仿宋" w:cs="仿宋"/>
          <w:sz w:val="24"/>
          <w:szCs w:val="24"/>
          <w:lang w:val="en-US"/>
        </w:rPr>
        <w:t>省级以上监狱管理局、戒毒管理局（含新疆生产建设兵团）出具的属于监狱企业的证明文件的企业视同小型、微型企业，其报价部分按第1条的比例扣除后参与评审</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对于同时属于小微企业、监狱企业或残疾人福利性单位的，不重复进行</w:t>
      </w:r>
      <w:r>
        <w:rPr>
          <w:rFonts w:hint="eastAsia" w:ascii="仿宋" w:hAnsi="仿宋" w:eastAsia="仿宋" w:cs="仿宋"/>
          <w:sz w:val="24"/>
          <w:szCs w:val="24"/>
          <w:lang w:val="en-US" w:eastAsia="zh-CN"/>
        </w:rPr>
        <w:t>磋商</w:t>
      </w:r>
      <w:r>
        <w:rPr>
          <w:rFonts w:hint="eastAsia" w:ascii="仿宋" w:hAnsi="仿宋" w:eastAsia="仿宋" w:cs="仿宋"/>
          <w:sz w:val="24"/>
          <w:szCs w:val="24"/>
          <w:lang w:val="en-US"/>
        </w:rPr>
        <w:t>报价扣除。</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3.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联合体各方均为小型、微型企业和监狱企业的，联合体视同为小型、微型企业和监狱企业。</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如</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为代理商</w:t>
      </w:r>
      <w:r>
        <w:rPr>
          <w:rFonts w:hint="eastAsia" w:ascii="仿宋" w:hAnsi="仿宋" w:eastAsia="仿宋" w:cs="仿宋"/>
          <w:sz w:val="24"/>
          <w:szCs w:val="24"/>
          <w:lang w:val="en-US" w:eastAsia="zh-CN"/>
        </w:rPr>
        <w:t>的，</w:t>
      </w:r>
      <w:r>
        <w:rPr>
          <w:rFonts w:hint="eastAsia" w:ascii="仿宋" w:hAnsi="仿宋" w:eastAsia="仿宋" w:cs="仿宋"/>
          <w:sz w:val="24"/>
          <w:szCs w:val="24"/>
          <w:lang w:val="en-US"/>
        </w:rPr>
        <w:t>要求所投产品</w:t>
      </w:r>
      <w:r>
        <w:rPr>
          <w:rFonts w:hint="eastAsia" w:ascii="仿宋" w:hAnsi="仿宋" w:eastAsia="仿宋" w:cs="仿宋"/>
          <w:sz w:val="24"/>
          <w:szCs w:val="24"/>
          <w:lang w:val="en-US" w:eastAsia="zh-CN"/>
        </w:rPr>
        <w:t>全部</w:t>
      </w:r>
      <w:r>
        <w:rPr>
          <w:rFonts w:hint="eastAsia" w:ascii="仿宋" w:hAnsi="仿宋" w:eastAsia="仿宋" w:cs="仿宋"/>
          <w:sz w:val="24"/>
          <w:szCs w:val="24"/>
          <w:lang w:val="en-US"/>
        </w:rPr>
        <w:t>制造厂家同时满足上述条件，否则不予折扣。</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szCs w:val="24"/>
          <w:lang w:val="en-US" w:eastAsia="zh-CN"/>
        </w:rPr>
        <w:t>详见评分方法和标准</w:t>
      </w:r>
      <w:r>
        <w:rPr>
          <w:rFonts w:hint="eastAsia" w:ascii="仿宋" w:hAnsi="仿宋" w:eastAsia="仿宋" w:cs="仿宋"/>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.如采购人所采购产品为政府强制采购的节能产品，</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应提供</w:t>
      </w:r>
      <w:r>
        <w:rPr>
          <w:rFonts w:hint="eastAsia" w:ascii="仿宋" w:hAnsi="仿宋" w:eastAsia="仿宋" w:cs="仿宋"/>
          <w:sz w:val="24"/>
          <w:szCs w:val="24"/>
        </w:rPr>
        <w:t>有效期内产品</w:t>
      </w:r>
      <w:r>
        <w:rPr>
          <w:rFonts w:hint="eastAsia" w:ascii="仿宋" w:hAnsi="仿宋" w:eastAsia="仿宋" w:cs="仿宋"/>
          <w:sz w:val="24"/>
          <w:szCs w:val="24"/>
          <w:lang w:val="en-US" w:eastAsia="zh-CN"/>
        </w:rPr>
        <w:t>相关认证证书复印件加盖单位公章</w:t>
      </w:r>
      <w:r>
        <w:rPr>
          <w:rFonts w:hint="eastAsia" w:ascii="仿宋" w:hAnsi="仿宋" w:eastAsia="仿宋" w:cs="仿宋"/>
          <w:sz w:val="24"/>
          <w:szCs w:val="24"/>
        </w:rPr>
        <w:t>，否则其</w:t>
      </w:r>
      <w:r>
        <w:rPr>
          <w:rFonts w:hint="eastAsia" w:ascii="仿宋" w:hAnsi="仿宋" w:eastAsia="仿宋" w:cs="仿宋"/>
          <w:sz w:val="24"/>
          <w:szCs w:val="24"/>
          <w:lang w:eastAsia="zh-CN"/>
        </w:rPr>
        <w:t>响应</w:t>
      </w:r>
      <w:r>
        <w:rPr>
          <w:rFonts w:hint="eastAsia" w:ascii="仿宋" w:hAnsi="仿宋" w:eastAsia="仿宋" w:cs="仿宋"/>
          <w:sz w:val="24"/>
          <w:szCs w:val="24"/>
        </w:rPr>
        <w:t>将作为无效</w:t>
      </w:r>
      <w:r>
        <w:rPr>
          <w:rFonts w:hint="eastAsia" w:ascii="仿宋" w:hAnsi="仿宋" w:eastAsia="仿宋" w:cs="仿宋"/>
          <w:sz w:val="24"/>
          <w:szCs w:val="24"/>
          <w:lang w:eastAsia="zh-CN"/>
        </w:rPr>
        <w:t>响应</w:t>
      </w:r>
      <w:r>
        <w:rPr>
          <w:rFonts w:hint="eastAsia" w:ascii="仿宋" w:hAnsi="仿宋" w:eastAsia="仿宋" w:cs="仿宋"/>
          <w:sz w:val="24"/>
          <w:szCs w:val="24"/>
        </w:rPr>
        <w:t>被拒绝。</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.同品牌处理办法：</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如采用最低评标办法，则：提供相同品牌产品的不同</w:t>
      </w:r>
      <w:r>
        <w:rPr>
          <w:rFonts w:hint="eastAsia" w:ascii="仿宋" w:hAnsi="仿宋" w:eastAsia="仿宋" w:cs="仿宋"/>
          <w:sz w:val="24"/>
          <w:szCs w:val="24"/>
          <w:lang w:eastAsia="zh-CN"/>
        </w:rPr>
        <w:t>供应商</w:t>
      </w:r>
      <w:r>
        <w:rPr>
          <w:rFonts w:hint="eastAsia" w:ascii="仿宋" w:hAnsi="仿宋" w:eastAsia="仿宋" w:cs="仿宋"/>
          <w:sz w:val="24"/>
          <w:szCs w:val="24"/>
        </w:rPr>
        <w:t>参加同一合同项下</w:t>
      </w:r>
      <w:r>
        <w:rPr>
          <w:rFonts w:hint="eastAsia" w:ascii="仿宋" w:hAnsi="仿宋" w:eastAsia="仿宋" w:cs="仿宋"/>
          <w:sz w:val="24"/>
          <w:szCs w:val="24"/>
          <w:lang w:eastAsia="zh-CN"/>
        </w:rPr>
        <w:t>响应</w:t>
      </w:r>
      <w:r>
        <w:rPr>
          <w:rFonts w:hint="eastAsia" w:ascii="仿宋" w:hAnsi="仿宋" w:eastAsia="仿宋" w:cs="仿宋"/>
          <w:sz w:val="24"/>
          <w:szCs w:val="24"/>
        </w:rPr>
        <w:t>的，以其中通过资格审查、符合性审查且报价最低的参加评标；报价相同的，由采购人或者采购人委托评标委员会按照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文件规定的方式确定一个参加评标的</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文件未规定的采取随机抽取方式确定，其他</w:t>
      </w:r>
      <w:r>
        <w:rPr>
          <w:rFonts w:hint="eastAsia" w:ascii="仿宋" w:hAnsi="仿宋" w:eastAsia="仿宋" w:cs="仿宋"/>
          <w:sz w:val="24"/>
          <w:szCs w:val="24"/>
          <w:lang w:eastAsia="zh-CN"/>
        </w:rPr>
        <w:t>响应</w:t>
      </w:r>
      <w:r>
        <w:rPr>
          <w:rFonts w:hint="eastAsia" w:ascii="仿宋" w:hAnsi="仿宋" w:eastAsia="仿宋" w:cs="仿宋"/>
          <w:sz w:val="24"/>
          <w:szCs w:val="24"/>
        </w:rPr>
        <w:t>无效；</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如采用综合评标法，则：提供相同品牌产品且通过资格审查、符合性审查的不同</w:t>
      </w:r>
      <w:r>
        <w:rPr>
          <w:rFonts w:hint="eastAsia" w:ascii="仿宋" w:hAnsi="仿宋" w:eastAsia="仿宋" w:cs="仿宋"/>
          <w:sz w:val="24"/>
          <w:szCs w:val="24"/>
          <w:lang w:eastAsia="zh-CN"/>
        </w:rPr>
        <w:t>供应商</w:t>
      </w:r>
      <w:r>
        <w:rPr>
          <w:rFonts w:hint="eastAsia" w:ascii="仿宋" w:hAnsi="仿宋" w:eastAsia="仿宋" w:cs="仿宋"/>
          <w:sz w:val="24"/>
          <w:szCs w:val="24"/>
        </w:rPr>
        <w:t>参加同一合同项下</w:t>
      </w:r>
      <w:r>
        <w:rPr>
          <w:rFonts w:hint="eastAsia" w:ascii="仿宋" w:hAnsi="仿宋" w:eastAsia="仿宋" w:cs="仿宋"/>
          <w:sz w:val="24"/>
          <w:szCs w:val="24"/>
          <w:lang w:eastAsia="zh-CN"/>
        </w:rPr>
        <w:t>响应</w:t>
      </w:r>
      <w:r>
        <w:rPr>
          <w:rFonts w:hint="eastAsia" w:ascii="仿宋" w:hAnsi="仿宋" w:eastAsia="仿宋" w:cs="仿宋"/>
          <w:sz w:val="24"/>
          <w:szCs w:val="24"/>
        </w:rPr>
        <w:t>的，按一家</w:t>
      </w:r>
      <w:r>
        <w:rPr>
          <w:rFonts w:hint="eastAsia" w:ascii="仿宋" w:hAnsi="仿宋" w:eastAsia="仿宋" w:cs="仿宋"/>
          <w:sz w:val="24"/>
          <w:szCs w:val="24"/>
          <w:lang w:eastAsia="zh-CN"/>
        </w:rPr>
        <w:t>供应商</w:t>
      </w:r>
      <w:r>
        <w:rPr>
          <w:rFonts w:hint="eastAsia" w:ascii="仿宋" w:hAnsi="仿宋" w:eastAsia="仿宋" w:cs="仿宋"/>
          <w:sz w:val="24"/>
          <w:szCs w:val="24"/>
        </w:rPr>
        <w:t>计算，评审后得分最高的同品牌</w:t>
      </w:r>
      <w:r>
        <w:rPr>
          <w:rFonts w:hint="eastAsia" w:ascii="仿宋" w:hAnsi="仿宋" w:eastAsia="仿宋" w:cs="仿宋"/>
          <w:sz w:val="24"/>
          <w:szCs w:val="24"/>
          <w:lang w:eastAsia="zh-CN"/>
        </w:rPr>
        <w:t>供应商</w:t>
      </w:r>
      <w:r>
        <w:rPr>
          <w:rFonts w:hint="eastAsia" w:ascii="仿宋" w:hAnsi="仿宋" w:eastAsia="仿宋" w:cs="仿宋"/>
          <w:sz w:val="24"/>
          <w:szCs w:val="24"/>
        </w:rPr>
        <w:t>获得</w:t>
      </w:r>
      <w:r>
        <w:rPr>
          <w:rFonts w:hint="eastAsia" w:ascii="仿宋" w:hAnsi="仿宋" w:eastAsia="仿宋" w:cs="仿宋"/>
          <w:sz w:val="24"/>
          <w:szCs w:val="24"/>
          <w:lang w:eastAsia="zh-CN"/>
        </w:rPr>
        <w:t>成交</w:t>
      </w:r>
      <w:r>
        <w:rPr>
          <w:rFonts w:hint="eastAsia" w:ascii="仿宋" w:hAnsi="仿宋" w:eastAsia="仿宋" w:cs="仿宋"/>
          <w:sz w:val="24"/>
          <w:szCs w:val="24"/>
        </w:rPr>
        <w:t>人推荐资格；评审得分相同的，</w:t>
      </w:r>
      <w:r>
        <w:rPr>
          <w:rFonts w:hint="eastAsia" w:ascii="仿宋" w:hAnsi="仿宋" w:eastAsia="仿宋" w:cs="仿宋"/>
          <w:sz w:val="24"/>
          <w:szCs w:val="24"/>
          <w:lang w:eastAsia="zh-CN"/>
        </w:rPr>
        <w:t>磋商</w:t>
      </w:r>
      <w:r>
        <w:rPr>
          <w:rFonts w:hint="eastAsia" w:ascii="仿宋" w:hAnsi="仿宋" w:eastAsia="仿宋" w:cs="仿宋"/>
          <w:sz w:val="24"/>
          <w:szCs w:val="24"/>
        </w:rPr>
        <w:t>报价最低优先，如报价相同则技术部分得分最高优先，其他同品牌</w:t>
      </w:r>
      <w:r>
        <w:rPr>
          <w:rFonts w:hint="eastAsia" w:ascii="仿宋" w:hAnsi="仿宋" w:eastAsia="仿宋" w:cs="仿宋"/>
          <w:sz w:val="24"/>
          <w:szCs w:val="24"/>
          <w:lang w:eastAsia="zh-CN"/>
        </w:rPr>
        <w:t>供应商</w:t>
      </w:r>
      <w:r>
        <w:rPr>
          <w:rFonts w:hint="eastAsia" w:ascii="仿宋" w:hAnsi="仿宋" w:eastAsia="仿宋" w:cs="仿宋"/>
          <w:sz w:val="24"/>
          <w:szCs w:val="24"/>
        </w:rPr>
        <w:t>不作为</w:t>
      </w:r>
      <w:r>
        <w:rPr>
          <w:rFonts w:hint="eastAsia" w:ascii="仿宋" w:hAnsi="仿宋" w:eastAsia="仿宋" w:cs="仿宋"/>
          <w:sz w:val="24"/>
          <w:szCs w:val="24"/>
          <w:lang w:eastAsia="zh-CN"/>
        </w:rPr>
        <w:t>成交</w:t>
      </w:r>
      <w:r>
        <w:rPr>
          <w:rFonts w:hint="eastAsia" w:ascii="仿宋" w:hAnsi="仿宋" w:eastAsia="仿宋" w:cs="仿宋"/>
          <w:sz w:val="24"/>
          <w:szCs w:val="24"/>
        </w:rPr>
        <w:t xml:space="preserve">候选人。 </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7.3除了提供相同品牌产品且通过资格审查、符合性审查的供应商外，若其他通过</w:t>
      </w:r>
      <w:r>
        <w:rPr>
          <w:rFonts w:hint="eastAsia" w:ascii="仿宋" w:hAnsi="仿宋" w:eastAsia="仿宋" w:cs="仿宋"/>
          <w:sz w:val="24"/>
          <w:szCs w:val="24"/>
        </w:rPr>
        <w:t>资格审查、符合性审查</w:t>
      </w:r>
      <w:r>
        <w:rPr>
          <w:rFonts w:hint="eastAsia" w:ascii="仿宋" w:hAnsi="仿宋" w:eastAsia="仿宋" w:cs="仿宋"/>
          <w:sz w:val="24"/>
          <w:szCs w:val="24"/>
          <w:lang w:val="en-US" w:eastAsia="zh-CN"/>
        </w:rPr>
        <w:t>的供应商不足2家的，即对磋商文件做实质性响应的供应商不足三家，则将导致项目废标。</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成交</w:t>
      </w:r>
      <w:r>
        <w:rPr>
          <w:rFonts w:hint="eastAsia" w:ascii="仿宋" w:hAnsi="仿宋" w:eastAsia="仿宋" w:cs="仿宋"/>
          <w:sz w:val="24"/>
          <w:szCs w:val="24"/>
        </w:rPr>
        <w:t>候选人并列式时的处理方式：</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8.1</w:t>
      </w:r>
      <w:r>
        <w:rPr>
          <w:rFonts w:hint="eastAsia" w:ascii="仿宋" w:hAnsi="仿宋" w:eastAsia="仿宋" w:cs="仿宋"/>
          <w:sz w:val="24"/>
          <w:szCs w:val="24"/>
        </w:rPr>
        <w:t>如采用最低评标办法，则：由评标委员会现场采取随机抽取方式确定；</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8.2</w:t>
      </w:r>
      <w:r>
        <w:rPr>
          <w:rFonts w:hint="eastAsia" w:ascii="仿宋" w:hAnsi="仿宋" w:eastAsia="仿宋" w:cs="仿宋"/>
          <w:sz w:val="24"/>
          <w:szCs w:val="24"/>
        </w:rPr>
        <w:t>如采用综合评标法，则：</w:t>
      </w:r>
      <w:r>
        <w:rPr>
          <w:rFonts w:hint="eastAsia" w:ascii="仿宋" w:hAnsi="仿宋" w:eastAsia="仿宋" w:cs="仿宋"/>
          <w:sz w:val="24"/>
          <w:szCs w:val="24"/>
          <w:lang w:eastAsia="zh-CN"/>
        </w:rPr>
        <w:t>磋商</w:t>
      </w:r>
      <w:r>
        <w:rPr>
          <w:rFonts w:hint="eastAsia" w:ascii="仿宋" w:hAnsi="仿宋" w:eastAsia="仿宋" w:cs="仿宋"/>
          <w:sz w:val="24"/>
          <w:szCs w:val="24"/>
        </w:rPr>
        <w:t>报价最低优先</w:t>
      </w:r>
      <w:r>
        <w:rPr>
          <w:rFonts w:hint="eastAsia" w:ascii="仿宋" w:hAnsi="仿宋" w:eastAsia="仿宋" w:cs="仿宋"/>
          <w:sz w:val="24"/>
          <w:szCs w:val="24"/>
          <w:lang w:eastAsia="zh-CN"/>
        </w:rPr>
        <w:t>；</w:t>
      </w:r>
      <w:r>
        <w:rPr>
          <w:rFonts w:hint="eastAsia" w:ascii="仿宋" w:hAnsi="仿宋" w:eastAsia="仿宋" w:cs="仿宋"/>
          <w:sz w:val="24"/>
          <w:szCs w:val="24"/>
        </w:rPr>
        <w:t>如报价相同则技术部分得分最高优</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先</w:t>
      </w:r>
      <w:r>
        <w:rPr>
          <w:rFonts w:hint="eastAsia" w:ascii="仿宋" w:hAnsi="仿宋" w:eastAsia="仿宋" w:cs="仿宋"/>
          <w:sz w:val="24"/>
          <w:szCs w:val="24"/>
          <w:lang w:eastAsia="zh-CN"/>
        </w:rPr>
        <w:t>；磋商</w:t>
      </w:r>
      <w:r>
        <w:rPr>
          <w:rFonts w:hint="eastAsia" w:ascii="仿宋" w:hAnsi="仿宋" w:eastAsia="仿宋" w:cs="仿宋"/>
          <w:sz w:val="24"/>
          <w:szCs w:val="24"/>
        </w:rPr>
        <w:t>报价相同且技术部分得分也相同的，由评标委员会现场采取随机抽取方式确定。</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评标委员会认为</w:t>
      </w:r>
      <w:r>
        <w:rPr>
          <w:rFonts w:hint="eastAsia" w:ascii="仿宋" w:hAnsi="仿宋" w:eastAsia="仿宋" w:cs="仿宋"/>
          <w:sz w:val="24"/>
          <w:szCs w:val="24"/>
          <w:lang w:eastAsia="zh-CN"/>
        </w:rPr>
        <w:t>供应商</w:t>
      </w:r>
      <w:r>
        <w:rPr>
          <w:rFonts w:hint="eastAsia" w:ascii="仿宋" w:hAnsi="仿宋" w:eastAsia="仿宋" w:cs="仿宋"/>
          <w:sz w:val="24"/>
          <w:szCs w:val="24"/>
        </w:rPr>
        <w:t>的报价明显低于其他通过符合性审查</w:t>
      </w:r>
      <w:r>
        <w:rPr>
          <w:rFonts w:hint="eastAsia" w:ascii="仿宋" w:hAnsi="仿宋" w:eastAsia="仿宋" w:cs="仿宋"/>
          <w:sz w:val="24"/>
          <w:szCs w:val="24"/>
          <w:lang w:eastAsia="zh-CN"/>
        </w:rPr>
        <w:t>供应商</w:t>
      </w:r>
      <w:r>
        <w:rPr>
          <w:rFonts w:hint="eastAsia" w:ascii="仿宋" w:hAnsi="仿宋" w:eastAsia="仿宋" w:cs="仿宋"/>
          <w:sz w:val="24"/>
          <w:szCs w:val="24"/>
        </w:rPr>
        <w:t>的报价，有可</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能影响产品质量或者不能诚信履约的，应当要求其在评标现场合理的时间内提供书面说明，必要时提交相关证明材料；</w:t>
      </w:r>
      <w:r>
        <w:rPr>
          <w:rFonts w:hint="eastAsia" w:ascii="仿宋" w:hAnsi="仿宋" w:eastAsia="仿宋" w:cs="仿宋"/>
          <w:sz w:val="24"/>
          <w:szCs w:val="24"/>
          <w:lang w:eastAsia="zh-CN"/>
        </w:rPr>
        <w:t>供应商</w:t>
      </w:r>
      <w:r>
        <w:rPr>
          <w:rFonts w:hint="eastAsia" w:ascii="仿宋" w:hAnsi="仿宋" w:eastAsia="仿宋" w:cs="仿宋"/>
          <w:sz w:val="24"/>
          <w:szCs w:val="24"/>
        </w:rPr>
        <w:t>不能证明其报价合理性的，评标委员会应当将其作为无效</w:t>
      </w:r>
      <w:r>
        <w:rPr>
          <w:rFonts w:hint="eastAsia" w:ascii="仿宋" w:hAnsi="仿宋" w:eastAsia="仿宋" w:cs="仿宋"/>
          <w:sz w:val="24"/>
          <w:szCs w:val="24"/>
          <w:lang w:eastAsia="zh-CN"/>
        </w:rPr>
        <w:t>响应</w:t>
      </w:r>
      <w:r>
        <w:rPr>
          <w:rFonts w:hint="eastAsia" w:ascii="仿宋" w:hAnsi="仿宋" w:eastAsia="仿宋" w:cs="仿宋"/>
          <w:sz w:val="24"/>
          <w:szCs w:val="24"/>
        </w:rPr>
        <w:t>处理。</w:t>
      </w:r>
    </w:p>
    <w:p>
      <w:pPr>
        <w:pStyle w:val="2"/>
        <w:tabs>
          <w:tab w:val="left" w:pos="567"/>
        </w:tabs>
        <w:spacing w:line="360" w:lineRule="auto"/>
        <w:ind w:left="-189" w:leftChars="-86" w:firstLine="660" w:firstLineChars="275"/>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hd w:val="clear"/>
        <w:rPr>
          <w:rFonts w:hint="eastAsia" w:ascii="仿宋" w:hAnsi="仿宋" w:eastAsia="仿宋" w:cs="仿宋"/>
          <w:b/>
          <w:bCs/>
          <w:color w:val="auto"/>
          <w:sz w:val="32"/>
          <w:szCs w:val="32"/>
        </w:rPr>
      </w:pPr>
      <w:r>
        <w:rPr>
          <w:rFonts w:hint="eastAsia" w:ascii="仿宋" w:hAnsi="仿宋" w:eastAsia="仿宋" w:cs="仿宋"/>
          <w:sz w:val="24"/>
          <w:szCs w:val="24"/>
        </w:rPr>
        <w:br w:type="page"/>
      </w:r>
    </w:p>
    <w:p>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right="0" w:rightChars="0"/>
        <w:textAlignment w:val="auto"/>
        <w:rPr>
          <w:rFonts w:hint="eastAsia" w:ascii="仿宋" w:hAnsi="仿宋" w:eastAsia="仿宋" w:cs="仿宋"/>
          <w:color w:val="auto"/>
          <w:sz w:val="36"/>
          <w:szCs w:val="36"/>
          <w:lang w:val="en-US" w:eastAsia="zh-CN"/>
        </w:rPr>
      </w:pPr>
      <w:bookmarkStart w:id="190" w:name="_Toc29416"/>
      <w:bookmarkStart w:id="191" w:name="_Toc17955"/>
      <w:bookmarkStart w:id="192" w:name="_Toc23854"/>
      <w:bookmarkStart w:id="193" w:name="_Toc26317"/>
      <w:bookmarkStart w:id="194" w:name="_Toc28845"/>
      <w:bookmarkStart w:id="195" w:name="_Toc5704"/>
      <w:r>
        <w:rPr>
          <w:rFonts w:hint="eastAsia" w:ascii="仿宋" w:hAnsi="仿宋" w:eastAsia="仿宋" w:cs="仿宋"/>
          <w:color w:val="auto"/>
          <w:sz w:val="36"/>
          <w:szCs w:val="36"/>
          <w:lang w:val="en-US" w:eastAsia="zh-CN"/>
        </w:rPr>
        <w:t>第五部分 合同书格式</w:t>
      </w:r>
      <w:bookmarkEnd w:id="190"/>
      <w:bookmarkEnd w:id="191"/>
      <w:bookmarkEnd w:id="192"/>
      <w:bookmarkEnd w:id="193"/>
      <w:bookmarkEnd w:id="194"/>
      <w:bookmarkEnd w:id="195"/>
    </w:p>
    <w:p>
      <w:pPr>
        <w:shd w:val="clear"/>
        <w:jc w:val="center"/>
        <w:outlineLvl w:val="9"/>
        <w:rPr>
          <w:rFonts w:ascii="仿宋" w:hAnsi="仿宋" w:eastAsia="仿宋" w:cs="仿宋"/>
          <w:b/>
          <w:bCs/>
          <w:color w:val="auto"/>
          <w:sz w:val="28"/>
          <w:szCs w:val="28"/>
        </w:rPr>
      </w:pPr>
      <w:r>
        <w:rPr>
          <w:rFonts w:hint="eastAsia" w:ascii="仿宋" w:hAnsi="仿宋" w:eastAsia="仿宋" w:cs="仿宋"/>
          <w:b/>
          <w:bCs/>
          <w:color w:val="auto"/>
          <w:sz w:val="28"/>
          <w:szCs w:val="28"/>
        </w:rPr>
        <w:t>（以最终签订合同为准，本合同条款仅供参考）</w:t>
      </w:r>
    </w:p>
    <w:p>
      <w:pPr>
        <w:bidi w:val="0"/>
        <w:spacing w:before="0" w:after="0" w:line="240" w:lineRule="auto"/>
        <w:ind w:left="0" w:right="0"/>
        <w:jc w:val="left"/>
        <w:outlineLvl w:val="9"/>
        <w:rPr>
          <w:rFonts w:hint="eastAsia" w:ascii="仿宋" w:hAnsi="仿宋" w:eastAsia="仿宋" w:cs="仿宋"/>
          <w:color w:val="auto"/>
          <w:sz w:val="24"/>
          <w:szCs w:val="24"/>
          <w:highlight w:val="none"/>
        </w:rPr>
      </w:pPr>
    </w:p>
    <w:p>
      <w:pPr>
        <w:pStyle w:val="2"/>
        <w:shd w:val="clear"/>
        <w:spacing w:before="6"/>
        <w:outlineLvl w:val="9"/>
        <w:rPr>
          <w:rFonts w:hint="eastAsia" w:ascii="仿宋" w:hAnsi="仿宋" w:eastAsia="仿宋" w:cs="仿宋"/>
          <w:b/>
          <w:color w:val="auto"/>
          <w:sz w:val="49"/>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outlineLvl w:val="9"/>
        <w:rPr>
          <w:rFonts w:hint="eastAsia" w:ascii="仿宋" w:hAnsi="仿宋" w:eastAsia="仿宋" w:cs="仿宋"/>
          <w:b/>
          <w:sz w:val="84"/>
          <w:szCs w:val="84"/>
        </w:rPr>
      </w:pPr>
      <w:r>
        <w:rPr>
          <w:rFonts w:hint="eastAsia" w:ascii="仿宋" w:hAnsi="仿宋" w:eastAsia="仿宋" w:cs="仿宋"/>
          <w:b/>
          <w:sz w:val="84"/>
          <w:szCs w:val="84"/>
        </w:rPr>
        <w:t>政府采购合同书</w:t>
      </w:r>
    </w:p>
    <w:p>
      <w:pPr>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outlineLvl w:val="9"/>
        <w:rPr>
          <w:rFonts w:hint="eastAsia" w:ascii="仿宋" w:hAnsi="仿宋" w:eastAsia="仿宋" w:cs="仿宋"/>
          <w:b/>
          <w:sz w:val="44"/>
          <w:szCs w:val="44"/>
        </w:rPr>
      </w:pPr>
      <w:r>
        <w:rPr>
          <w:rFonts w:hint="eastAsia" w:ascii="仿宋" w:hAnsi="仿宋" w:eastAsia="仿宋" w:cs="仿宋"/>
          <w:b/>
          <w:sz w:val="44"/>
          <w:szCs w:val="44"/>
        </w:rPr>
        <w:t>（</w:t>
      </w:r>
      <w:r>
        <w:rPr>
          <w:rFonts w:hint="eastAsia" w:ascii="仿宋" w:hAnsi="仿宋" w:eastAsia="仿宋" w:cs="仿宋"/>
          <w:b/>
          <w:sz w:val="44"/>
          <w:szCs w:val="44"/>
          <w:lang w:val="en-US" w:eastAsia="zh-CN"/>
        </w:rPr>
        <w:t>供货合同</w:t>
      </w:r>
      <w:r>
        <w:rPr>
          <w:rFonts w:hint="eastAsia" w:ascii="仿宋" w:hAnsi="仿宋" w:eastAsia="仿宋" w:cs="仿宋"/>
          <w:b/>
          <w:sz w:val="44"/>
          <w:szCs w:val="44"/>
        </w:rPr>
        <w:t>）</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b/>
          <w:sz w:val="24"/>
          <w:szCs w:val="24"/>
        </w:rPr>
      </w:pPr>
    </w:p>
    <w:p>
      <w:pPr>
        <w:keepNext w:val="0"/>
        <w:keepLines w:val="0"/>
        <w:pageBreakBefore w:val="0"/>
        <w:widowControl w:val="0"/>
        <w:tabs>
          <w:tab w:val="left" w:pos="8327"/>
        </w:tabs>
        <w:kinsoku/>
        <w:wordWrap/>
        <w:overflowPunct/>
        <w:topLinePunct w:val="0"/>
        <w:autoSpaceDE w:val="0"/>
        <w:autoSpaceDN w:val="0"/>
        <w:bidi w:val="0"/>
        <w:adjustRightInd/>
        <w:snapToGrid/>
        <w:spacing w:before="0" w:after="0" w:line="480" w:lineRule="exact"/>
        <w:ind w:right="0"/>
        <w:jc w:val="left"/>
        <w:textAlignment w:val="auto"/>
        <w:outlineLvl w:val="9"/>
        <w:rPr>
          <w:rFonts w:hint="eastAsia" w:ascii="仿宋" w:hAnsi="仿宋" w:eastAsia="仿宋" w:cs="仿宋"/>
          <w:b/>
          <w:w w:val="95"/>
          <w:sz w:val="24"/>
          <w:szCs w:val="24"/>
        </w:rPr>
      </w:pPr>
    </w:p>
    <w:p>
      <w:pPr>
        <w:bidi w:val="0"/>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zh-CN" w:eastAsia="zh-CN"/>
        </w:rPr>
        <w:t>合同名称：</w:t>
      </w:r>
      <w:r>
        <w:rPr>
          <w:rFonts w:hint="eastAsia" w:ascii="仿宋" w:hAnsi="仿宋" w:eastAsia="仿宋" w:cs="仿宋"/>
          <w:sz w:val="28"/>
          <w:szCs w:val="28"/>
          <w:lang w:val="en-US" w:eastAsia="zh-CN"/>
        </w:rPr>
        <w:t xml:space="preserve">                                     </w:t>
      </w:r>
    </w:p>
    <w:p>
      <w:pPr>
        <w:bidi w:val="0"/>
        <w:rPr>
          <w:rFonts w:hint="eastAsia" w:ascii="仿宋" w:hAnsi="仿宋" w:eastAsia="仿宋" w:cs="仿宋"/>
          <w:sz w:val="28"/>
          <w:szCs w:val="28"/>
          <w:lang w:val="en-US" w:eastAsia="zh-CN"/>
        </w:rPr>
      </w:pPr>
    </w:p>
    <w:p>
      <w:pPr>
        <w:bidi w:val="0"/>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zh-CN" w:eastAsia="zh-CN"/>
        </w:rPr>
        <w:t>合同编号：</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br w:type="page"/>
      </w:r>
    </w:p>
    <w:p>
      <w:pPr>
        <w:spacing w:before="0" w:after="0" w:line="360" w:lineRule="auto"/>
        <w:ind w:left="0" w:right="0"/>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合同格式</w:t>
      </w:r>
    </w:p>
    <w:p>
      <w:pPr>
        <w:spacing w:before="0" w:after="0" w:line="36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rPr>
        <w:t>（最终合同以采购人最终审定版本为准）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供方（卖方）：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营业执照注册号：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联系电话：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通讯地址：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需方（买方）：</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传真: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通讯地址：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供需双方根据《</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》的有关规定，经双方</w:t>
      </w:r>
      <w:r>
        <w:rPr>
          <w:rFonts w:hint="eastAsia" w:ascii="仿宋" w:hAnsi="仿宋" w:eastAsia="仿宋" w:cs="仿宋"/>
          <w:color w:val="auto"/>
          <w:sz w:val="24"/>
          <w:szCs w:val="24"/>
          <w:lang w:val="en-US" w:eastAsia="zh-CN"/>
        </w:rPr>
        <w:t>协商</w:t>
      </w:r>
      <w:r>
        <w:rPr>
          <w:rFonts w:hint="eastAsia" w:ascii="仿宋" w:hAnsi="仿宋" w:eastAsia="仿宋" w:cs="仿宋"/>
          <w:color w:val="auto"/>
          <w:sz w:val="24"/>
          <w:szCs w:val="24"/>
        </w:rPr>
        <w:t>就供方向需方</w:t>
      </w:r>
      <w:r>
        <w:rPr>
          <w:rFonts w:hint="eastAsia" w:ascii="仿宋" w:hAnsi="仿宋" w:eastAsia="仿宋" w:cs="仿宋"/>
          <w:color w:val="auto"/>
          <w:sz w:val="24"/>
          <w:szCs w:val="24"/>
          <w:lang w:val="en-US" w:eastAsia="zh-CN"/>
        </w:rPr>
        <w:t>所供货物</w:t>
      </w:r>
      <w:r>
        <w:rPr>
          <w:rFonts w:hint="eastAsia" w:ascii="仿宋" w:hAnsi="仿宋" w:eastAsia="仿宋" w:cs="仿宋"/>
          <w:color w:val="auto"/>
          <w:sz w:val="24"/>
          <w:szCs w:val="24"/>
        </w:rPr>
        <w:t xml:space="preserve">事宜达成以下协议，为明确双方的责任、权利、义务，特签订本合同，以共同遵守执行：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一、所供货物</w:t>
      </w:r>
      <w:r>
        <w:rPr>
          <w:rFonts w:hint="eastAsia" w:ascii="仿宋" w:hAnsi="仿宋" w:eastAsia="仿宋" w:cs="仿宋"/>
          <w:color w:val="auto"/>
          <w:sz w:val="24"/>
          <w:szCs w:val="24"/>
        </w:rPr>
        <w:t>的名称、品种、数量及计量单位</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所供货物</w:t>
      </w:r>
      <w:r>
        <w:rPr>
          <w:rFonts w:hint="eastAsia" w:ascii="仿宋" w:hAnsi="仿宋" w:eastAsia="仿宋" w:cs="仿宋"/>
          <w:color w:val="auto"/>
          <w:sz w:val="24"/>
          <w:szCs w:val="24"/>
        </w:rPr>
        <w:t>名称和品种包括但不限于：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矿泉水</w:t>
      </w:r>
      <w:r>
        <w:rPr>
          <w:rFonts w:hint="eastAsia" w:ascii="仿宋" w:hAnsi="仿宋" w:eastAsia="仿宋" w:cs="仿宋"/>
          <w:color w:val="auto"/>
          <w:sz w:val="24"/>
          <w:szCs w:val="24"/>
        </w:rPr>
        <w:t>类：</w:t>
      </w:r>
    </w:p>
    <w:p>
      <w:pPr>
        <w:pStyle w:val="15"/>
        <w:keepNext w:val="0"/>
        <w:keepLines w:val="0"/>
        <w:pageBreakBefore w:val="0"/>
        <w:widowControl w:val="0"/>
        <w:kinsoku/>
        <w:wordWrap/>
        <w:overflowPunct/>
        <w:topLinePunct w:val="0"/>
        <w:autoSpaceDE w:val="0"/>
        <w:autoSpaceDN w:val="0"/>
        <w:bidi w:val="0"/>
        <w:adjustRightInd/>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饮料类：</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一次性用品</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2.货物</w:t>
      </w:r>
      <w:r>
        <w:rPr>
          <w:rFonts w:hint="eastAsia" w:ascii="仿宋" w:hAnsi="仿宋" w:eastAsia="仿宋" w:cs="仿宋"/>
          <w:color w:val="auto"/>
          <w:sz w:val="24"/>
          <w:szCs w:val="24"/>
        </w:rPr>
        <w:t>的计量单位：按箱、</w:t>
      </w:r>
      <w:r>
        <w:rPr>
          <w:rFonts w:hint="eastAsia" w:ascii="仿宋" w:hAnsi="仿宋" w:eastAsia="仿宋" w:cs="仿宋"/>
          <w:color w:val="auto"/>
          <w:sz w:val="24"/>
          <w:szCs w:val="24"/>
          <w:lang w:val="en-US" w:eastAsia="zh-CN"/>
        </w:rPr>
        <w:t>件、评、</w:t>
      </w:r>
      <w:r>
        <w:rPr>
          <w:rFonts w:hint="eastAsia" w:ascii="仿宋" w:hAnsi="仿宋" w:eastAsia="仿宋" w:cs="仿宋"/>
          <w:color w:val="auto"/>
          <w:sz w:val="24"/>
          <w:szCs w:val="24"/>
        </w:rPr>
        <w:t>公斤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包、袋</w:t>
      </w:r>
      <w:r>
        <w:rPr>
          <w:rFonts w:hint="eastAsia" w:ascii="仿宋" w:hAnsi="仿宋" w:eastAsia="仿宋" w:cs="仿宋"/>
          <w:color w:val="auto"/>
          <w:sz w:val="24"/>
          <w:szCs w:val="24"/>
        </w:rPr>
        <w:t>等计量，计量方式应在供方提供价格表时注明。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3、需方实际采购食品的种类、数量以需方发出的《采购明细单》为准。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 xml:space="preserve">质量与标准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供方提供的</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必须符合国家统一标准，标准包装原厂正品，供货渠道可追溯。具有食品检验合格证和卫生许可证，包装完好，足斤足两，生产日期打印清晰</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三、供方资质及能力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1、供方需持有国家法律规定的有效证件，如食品</w:t>
      </w:r>
      <w:r>
        <w:rPr>
          <w:rFonts w:hint="eastAsia" w:ascii="仿宋" w:hAnsi="仿宋" w:eastAsia="仿宋" w:cs="仿宋"/>
          <w:color w:val="auto"/>
          <w:sz w:val="24"/>
          <w:szCs w:val="24"/>
          <w:lang w:val="en-US" w:eastAsia="zh-CN"/>
        </w:rPr>
        <w:t>经营</w:t>
      </w:r>
      <w:r>
        <w:rPr>
          <w:rFonts w:hint="eastAsia" w:ascii="仿宋" w:hAnsi="仿宋" w:eastAsia="仿宋" w:cs="仿宋"/>
          <w:color w:val="auto"/>
          <w:sz w:val="24"/>
          <w:szCs w:val="24"/>
        </w:rPr>
        <w:t>许可证（必须在有效期内）、营业执照、产品质量保证书等，应确保</w:t>
      </w:r>
      <w:r>
        <w:rPr>
          <w:rFonts w:hint="eastAsia" w:ascii="仿宋" w:hAnsi="仿宋" w:eastAsia="仿宋" w:cs="仿宋"/>
          <w:color w:val="auto"/>
          <w:sz w:val="24"/>
          <w:szCs w:val="24"/>
          <w:lang w:val="en-US" w:eastAsia="zh-CN"/>
        </w:rPr>
        <w:t>所需货物</w:t>
      </w:r>
      <w:r>
        <w:rPr>
          <w:rFonts w:hint="eastAsia" w:ascii="仿宋" w:hAnsi="仿宋" w:eastAsia="仿宋" w:cs="仿宋"/>
          <w:color w:val="auto"/>
          <w:sz w:val="24"/>
          <w:szCs w:val="24"/>
        </w:rPr>
        <w:t>进货渠道可靠、规范，确保食品的质量和</w:t>
      </w:r>
      <w:r>
        <w:rPr>
          <w:rFonts w:hint="eastAsia" w:ascii="仿宋" w:hAnsi="仿宋" w:eastAsia="仿宋" w:cs="仿宋"/>
          <w:color w:val="auto"/>
          <w:sz w:val="24"/>
          <w:szCs w:val="24"/>
          <w:lang w:val="en-US" w:eastAsia="zh-CN"/>
        </w:rPr>
        <w:t>卫</w:t>
      </w:r>
      <w:r>
        <w:rPr>
          <w:rFonts w:hint="eastAsia" w:ascii="仿宋" w:hAnsi="仿宋" w:eastAsia="仿宋" w:cs="仿宋"/>
          <w:color w:val="auto"/>
          <w:sz w:val="24"/>
          <w:szCs w:val="24"/>
        </w:rPr>
        <w:t>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供方须保证聘用人员持健康证以及应具备相应的资质和能力。如供方聘用了无健康证的员工或不具有上岗资质和能力或被相关部门取消上岗资质或供方不依照需方要求，需方有权利不经供方事先同意立即无条件终止合同并不承担违约责任，如供方给需方造成损失的，供方须承担因此而给需方造成的全部损失，供方须承担因此而导致的全部法律责任。</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3、供方有稳定的产地或供货渠道，在行业内有竞争力，综合实力强，经营业绩突出，按需方实际供货需求、质量、及时供货。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4、供方需具有履行合同所必需的冷藏、仓储、场地等设施。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5、供方需具有同时为需方各食堂及时配送货物的专用交通工具和能力。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6、供方应具有履行合同所必须的财务能力和人力。</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 xml:space="preserve">的价格、货款的结算办法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价格按人民币计算，如本合同未作特别说明，均包括但不限于所订</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的品种、仓储、供应、包装、运输（含保险费）、税金、检测等验收前的一切费用。</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2、供方承诺</w:t>
      </w:r>
      <w:r>
        <w:rPr>
          <w:rFonts w:hint="eastAsia" w:ascii="仿宋" w:hAnsi="仿宋" w:eastAsia="仿宋" w:cs="仿宋"/>
          <w:color w:val="auto"/>
          <w:sz w:val="24"/>
          <w:szCs w:val="24"/>
          <w:lang w:val="en-US" w:eastAsia="zh-CN"/>
        </w:rPr>
        <w:t>矿泉水、饮料类产品</w:t>
      </w:r>
      <w:r>
        <w:rPr>
          <w:rFonts w:hint="eastAsia" w:ascii="仿宋" w:hAnsi="仿宋" w:eastAsia="仿宋" w:cs="仿宋"/>
          <w:color w:val="auto"/>
          <w:sz w:val="24"/>
          <w:szCs w:val="24"/>
        </w:rPr>
        <w:t>供货价格以</w:t>
      </w:r>
      <w:r>
        <w:rPr>
          <w:rFonts w:hint="eastAsia" w:ascii="仿宋" w:hAnsi="仿宋" w:eastAsia="仿宋" w:cs="仿宋"/>
          <w:color w:val="auto"/>
          <w:sz w:val="24"/>
          <w:szCs w:val="24"/>
          <w:lang w:val="en-US" w:eastAsia="zh-CN"/>
        </w:rPr>
        <w:t>周边大型商超零售</w:t>
      </w:r>
      <w:r>
        <w:rPr>
          <w:rFonts w:hint="eastAsia" w:ascii="仿宋" w:hAnsi="仿宋" w:eastAsia="仿宋" w:cs="仿宋"/>
          <w:color w:val="auto"/>
          <w:sz w:val="24"/>
          <w:szCs w:val="24"/>
        </w:rPr>
        <w:t>价格为基础价格，所报价格按中标承诺</w:t>
      </w:r>
      <w:r>
        <w:rPr>
          <w:rFonts w:hint="eastAsia" w:ascii="仿宋" w:hAnsi="仿宋" w:eastAsia="仿宋" w:cs="仿宋"/>
          <w:color w:val="auto"/>
          <w:sz w:val="24"/>
          <w:szCs w:val="24"/>
          <w:lang w:val="en-US" w:eastAsia="zh-CN"/>
        </w:rPr>
        <w:t>折扣率</w:t>
      </w:r>
      <w:r>
        <w:rPr>
          <w:rFonts w:hint="eastAsia" w:ascii="仿宋" w:hAnsi="仿宋" w:eastAsia="仿宋" w:cs="仿宋"/>
          <w:color w:val="auto"/>
          <w:sz w:val="24"/>
          <w:szCs w:val="24"/>
        </w:rPr>
        <w:t>进行供货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特价产品除外。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3、供方的市场供应价格以供需双方确认签名的《采购明细单》中的价格为准。《采购明细单》的价格应与本协议第四条 2 款的约定一致。《采购明细单》为本合同的一部分，具有与合同相同的法律效力。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4、在合同有效期内，如</w:t>
      </w:r>
      <w:r>
        <w:rPr>
          <w:rFonts w:hint="eastAsia" w:ascii="仿宋" w:hAnsi="仿宋" w:eastAsia="仿宋" w:cs="仿宋"/>
          <w:color w:val="auto"/>
          <w:sz w:val="24"/>
          <w:szCs w:val="24"/>
          <w:lang w:val="en-US" w:eastAsia="zh-CN"/>
        </w:rPr>
        <w:t>大型商超零售</w:t>
      </w:r>
      <w:r>
        <w:rPr>
          <w:rFonts w:hint="eastAsia" w:ascii="仿宋" w:hAnsi="仿宋" w:eastAsia="仿宋" w:cs="仿宋"/>
          <w:color w:val="auto"/>
          <w:sz w:val="24"/>
          <w:szCs w:val="24"/>
        </w:rPr>
        <w:t>价格或京东商城自营店不存在相应产品价格的情形或无法查询的，基准价格由供需双方共同寻找参考物标准，对该产品价格进行协商确定，双方签字确认价格。双方参考物标准包括但不限于：天猫、苏宁、1 号店等网上商店，若上述网上商店无法查询则可参照家乐福超市、物美超市等同类大型超市相应产品的价格（特价产品除外）。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5、货款按月结算，由需方在每月的 25 日（遇法定节假日顺延）对上一自然月的供货进行账目核对后，供方要向需方提供合法销售发票，需方于收到发票后按程序办理结账手续，报销后以支票方式结算。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6、需方对交付货物先做外观和数量生产日期的验收，之后在合理期限内对采购物做品质验收。供方应保证供货质量。验收合格后，需方对供货商提供的发票进行初步审核，与供货商提供的《供货清单》进行核实，确保准确无误后并入库。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7、需方审核无误后，履行签字审批手续次月 15 日后方可开具支票给供货方。</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五、送货时间、地点及验收方式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1、送货地点：</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2、如送货地点有变更，需方应在订货单上注明。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3、供方应使用必要的专用保鲜送货交通工具，确保运输及交货过程中产品质量符合要求，不发生变质。运输费用和运输风险由供方承担。</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4、合同期限内，需方每次订货时向供方发出《采购明细单》，供方在收到需方的《采购明细单》后_3_小时内予以回复确认。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供方应当按照采购明细单上的要求及时将食品送达。食品到货时，包装必须完整无缺且提供食品的食品检验合格证或化验单等食品质量证明。食品在交货验收合格前所有权不转移，遗失、损坏而导致的损失由供方承担。</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 xml:space="preserve">到达送货地点后，在需方指定地点卸货验收。需方有权对供方提供的货品的数量、质量和生产日期约定进行表面核对和检验。双方在此约定，交付货品的所有权自需方验收合格准许入库时（即约定交付时）转移。需方通过验收后，供需双方核实《采购明细单》与《供货清单》的符合性，核实无误后，供、需双方在《供货清单》上签名确认(《供货清单》一式两份，供、需双方各执一份)，作为结算的依据。《供货清单》注明：产品的规格、价格和数量。此外，需方验货入库后，如果对包装物在使用中发现货品质量不符合本协议的约定时，有权要求供方给予更换。供方接到需方的书面通知后 24 小时内应予响应，并在合理期限内备货发运给需方。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六、供方的违约责任</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1、如供方交货数量与需方所订数量不符时，少于需方所订数量，供方应按需方要求无条件免费补齐并承担延期交货违约责任，违约金为当批次货品总价款的 20%；如供方交货多于需方所订数量，如需方需要，可按实际数量收货，如需方不需要，需方有权拒收。供方须承担因此而导致的全部费用和损失。经需方确认数量或品种不达标三次（不含三次）以上的扣除当月货款 30%处罚，第五次需方有权无条件终止合同，并将此记录作为供货商诚信评价的重要依据；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2、除自然灾害或其它不可抗力的原因外，供方不能按时交货的，每延误_1_小时，供方须向需方支付应交产品货款总金额 20%的违约金。若延误超过 2 小时的，需方有权取消该次产品的交易， 供方须向需方支付应交产品货款总金额的_50_%的违约金。以此类推。因上述原因取消食品交易累积出现_3_次（含）以上的，需方有权单方无条件终止本合同，需方除收取供方违约金外，供方须承担因此而导致的全部费用和损失。如果供货商不按时送货到我方指定地点,并影响我方工作的， 我方有权从货款中扣除供货商当日提供货款的 3 倍作为违约金，并要求供货商承担相关损失；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3、供方不得以任何理由随意更换需方所订产品，如确需更换，须事前征得需方同意；否则， 需方有权拒收，供方须承担因此而导致的全部费用和损失。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4、如发现供方提供的货物中出现“三无”产品或假冒、伪劣及存在“三无”问题的食品，供方必须按需方要求无条件免费改正并承担交货违约责任，违约金为当批次货品总价款的 50%；经需方确认质量不合格每次扣除当月货款 50%处罚，不合格三次需方有权无条件终止合同，供方需承担本合同项下的违约责任并赔偿因此而给需方造成的全部损失，违约金为当批次货品总价款的 90%。需方并将此记录作为供货商诚信评价的重要依据；</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5、供方要诚实守信，注重食品质量。所交需方食品不得以假充真，以次充好，如因质量问题引起就餐员工恶心、呕吐、中毒或有其它引起人身损害事件的情形的，一经证实，供方将承担由质量问题而产生的全部责任，并赔偿因此而给需方造成的全部损失（包括但不限于需方医疗费、营养费、检验鉴定费、诉讼费等）需方有权无条件终止合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6、对高于中标承诺原则的报价，需方按周边市场价的半价结算，并做好相关记录，作为供货商诚信评价的重要依据。经抽查高于中标承诺原则报价三次（不含）以上的，扣除当月货款 50%作为处罚，第三次违约，需方有权无条件终止合同，供方需承担本合同下的违约责任并赔偿因此而给需方造成的全部损失，违约金为当批次货品总价款的 100%。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7、本合同所约定的违约金的数额如低于需方因供方违约所造成的损失时，供方应向需方补足损失数额与违约金数额之间的差额。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七、需方的违约责任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1、若供方按合同规定的数量和质量交货，需方无正当理由而拒收的，按拒收食品总金额的 50% 补偿给供方。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2、合同签订后需方必须在合同规定的时间内支付货款，需方迟延支付货款的，供方应当于迟延支付货款 5 日内提醒需方支付货款的事宜，并给予 10 日的宽限期。在该期间届满后需方仍未支付货款的，需方按应付货款及同期人民银行活期存款利率向供方赔偿迟延支付的损失。需方因资金审批导致的迟延支付货款免责。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八、合同变更或解除</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合同执行期内，如发生自然灾害或其它不可抗力的原因，致使一方不能履行、不能完全履行或不能适当履行合同，双方应尽力采取措施弥补损失，对不可抗力给对方造成的损失不负违约责任，如果在七天内，不可抗力情况未改变，双方可以变更或解除合同，以双方签字确认的书面协议为准。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2、供方聘用了患有危害食品安全疾病的员工或不具有招标要求资质或被相关部门取消资质或供方不依照需方要求，需方有权利不经供方事先同意立即无条件终止合同并不承担违约责任。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如供方交货数量与需方所订数量不符时，少于需方所订数量，经需方确认数量或品种不合格三次（含三次）以上需方有权无条件终止合同。如供方已报价但不能按需方要求及时供货两次（含两次）需方有权无条件终止合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4、如发现供方提供的货物中出现“三无”食品或假冒、伪劣及存在质量问题的食品，不合格三次（含）需方有权无条件终止合同。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如因质量问题引起就餐员工恶心、呕吐、中毒或有其它引起人身损害事件的情形的，一经证实，供方将承担由质量问题而产生的全部责任，并赔偿因此而给需方造成的全部损失（包括但不限于需方医疗费、营养费、检验鉴定费、诉讼费等）需方有权无条件终止合同</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6、对高于市场供应报价的，需方按原市场供应报价结算，要做好相关记录，作为供货商诚信评价的重要依据，累计违约三次（含）的，需方有权无条件终止合同。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九、合同期限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本合同有效期为 1 年（自 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年 月 日至 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年 月 日止）。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十、不可抗力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在合同履行过程中，任何一方由于不可抗力的原因不能履行合同时，应立即向对方书面通报因不可抗力而无法履行或者不能完全履行合同的具体情况，经双方协商后允许延期履行、部分履行、或不履行合同，并不因此承担违约责任。供方由于人力不可抗拒原因所造成的违约，在需方未确认之前不得解除其责任。但逾期履行过程中发生不可抗力情形的，任何一方均不得以不可抗力为理由不履行合同。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不可抗力是指不能预见、不能避免、不能克服的客观情况，包括地震等自然灾害，还包括双方认定的或法律规定的属不可抗力的其他情况。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十一、争议的解决的方法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双方在履行本合同的过程中，发生的一切争议首先通过友好协商解决。协商不成时，任何一方可向</w:t>
      </w:r>
      <w:r>
        <w:rPr>
          <w:rFonts w:hint="eastAsia" w:ascii="仿宋" w:hAnsi="仿宋" w:eastAsia="仿宋" w:cs="仿宋"/>
          <w:color w:val="auto"/>
          <w:sz w:val="24"/>
          <w:szCs w:val="24"/>
          <w:lang w:val="en-US" w:eastAsia="zh-CN"/>
        </w:rPr>
        <w:t>当地</w:t>
      </w:r>
      <w:r>
        <w:rPr>
          <w:rFonts w:hint="eastAsia" w:ascii="仿宋" w:hAnsi="仿宋" w:eastAsia="仿宋" w:cs="仿宋"/>
          <w:color w:val="auto"/>
          <w:sz w:val="24"/>
          <w:szCs w:val="24"/>
        </w:rPr>
        <w:t xml:space="preserve">人民法院起诉。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十二、其他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1、本合同项下，需方无最低购货量之义务，实际以需方的需求为准。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2、本合同附件</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 xml:space="preserve">文件、中标通知书为本合同的一部分，具有与本合同同等的法律效力。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3、本合同如有未尽事宜，须经供需双方共同协商，做出补充规定，补充规定与本合同具有同等效力。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4、本合同一式六份，供方执二份，需方执四份，具有同等法律效力。本合同自双方签字并盖章之日生效。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bookmarkStart w:id="196" w:name="_Toc10149"/>
      <w:bookmarkStart w:id="197" w:name="_Toc21600"/>
      <w:bookmarkStart w:id="198" w:name="_Toc22233"/>
      <w:r>
        <w:rPr>
          <w:rFonts w:hint="eastAsia" w:ascii="仿宋" w:hAnsi="仿宋" w:eastAsia="仿宋" w:cs="仿宋"/>
          <w:color w:val="auto"/>
          <w:sz w:val="24"/>
          <w:szCs w:val="24"/>
        </w:rPr>
        <w:t>附件一 《采购明细单》附件二《 供货清单》</w:t>
      </w:r>
      <w:bookmarkEnd w:id="196"/>
      <w:bookmarkEnd w:id="197"/>
      <w:bookmarkEnd w:id="198"/>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bookmarkStart w:id="199" w:name="_Toc12272"/>
      <w:bookmarkStart w:id="200" w:name="_Toc14338"/>
      <w:bookmarkStart w:id="201" w:name="_Toc21376"/>
      <w:bookmarkStart w:id="202" w:name="_Toc24630"/>
      <w:r>
        <w:rPr>
          <w:rFonts w:hint="eastAsia" w:ascii="仿宋" w:hAnsi="仿宋" w:eastAsia="仿宋" w:cs="仿宋"/>
          <w:color w:val="auto"/>
          <w:sz w:val="24"/>
          <w:szCs w:val="24"/>
        </w:rPr>
        <w:t>附件三 《食品安全承诺书》</w:t>
      </w:r>
      <w:bookmarkEnd w:id="199"/>
      <w:bookmarkEnd w:id="200"/>
      <w:bookmarkEnd w:id="201"/>
      <w:bookmarkEnd w:id="202"/>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 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需 方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 定 代 表 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法 定 代 表 人 ：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 托 代 理 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委 托 代 理 人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 字 日 期 ：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签 字 日 期 ： 年 月 日  </w:t>
      </w:r>
    </w:p>
    <w:p>
      <w:pPr>
        <w:spacing w:before="0" w:after="0" w:line="240" w:lineRule="auto"/>
        <w:ind w:left="0" w:right="0"/>
        <w:jc w:val="left"/>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bidi w:val="0"/>
        <w:spacing w:before="0" w:after="0" w:line="240" w:lineRule="auto"/>
        <w:ind w:left="0" w:right="0"/>
        <w:jc w:val="left"/>
        <w:outlineLvl w:val="9"/>
        <w:rPr>
          <w:rFonts w:hint="eastAsia" w:ascii="仿宋" w:hAnsi="仿宋" w:eastAsia="仿宋" w:cs="仿宋"/>
          <w:b/>
          <w:bCs/>
          <w:color w:val="auto"/>
          <w:sz w:val="24"/>
          <w:szCs w:val="24"/>
        </w:rPr>
      </w:pPr>
      <w:bookmarkStart w:id="203" w:name="_Toc28260"/>
      <w:bookmarkStart w:id="204" w:name="_Toc7434"/>
      <w:bookmarkStart w:id="205" w:name="_Toc6702"/>
      <w:bookmarkStart w:id="206" w:name="_Toc14872"/>
      <w:r>
        <w:rPr>
          <w:rFonts w:hint="eastAsia" w:ascii="仿宋" w:hAnsi="仿宋" w:eastAsia="仿宋" w:cs="仿宋"/>
          <w:b/>
          <w:bCs/>
          <w:color w:val="auto"/>
          <w:sz w:val="24"/>
          <w:szCs w:val="24"/>
        </w:rPr>
        <w:t>附件一 采购明细单</w:t>
      </w:r>
      <w:bookmarkEnd w:id="203"/>
      <w:bookmarkEnd w:id="204"/>
      <w:bookmarkEnd w:id="205"/>
      <w:bookmarkEnd w:id="206"/>
      <w:r>
        <w:rPr>
          <w:rFonts w:hint="eastAsia" w:ascii="仿宋" w:hAnsi="仿宋" w:eastAsia="仿宋" w:cs="仿宋"/>
          <w:b/>
          <w:bCs/>
          <w:color w:val="auto"/>
          <w:sz w:val="24"/>
          <w:szCs w:val="24"/>
        </w:rPr>
        <w:t xml:space="preserve">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单 位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p>
      <w:pPr>
        <w:bidi w:val="0"/>
        <w:spacing w:before="0" w:after="0" w:line="240" w:lineRule="auto"/>
        <w:ind w:left="0" w:right="0"/>
        <w:jc w:val="right"/>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编 号 </w:t>
      </w:r>
      <w:r>
        <w:rPr>
          <w:rFonts w:hint="eastAsia" w:ascii="仿宋" w:hAnsi="仿宋" w:eastAsia="仿宋" w:cs="仿宋"/>
          <w:color w:val="auto"/>
          <w:sz w:val="24"/>
          <w:szCs w:val="24"/>
          <w:lang w:val="en-US" w:eastAsia="zh-CN"/>
        </w:rPr>
        <w:t xml:space="preserve">                    </w:t>
      </w:r>
    </w:p>
    <w:tbl>
      <w:tblPr>
        <w:tblStyle w:val="19"/>
        <w:tblW w:w="9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2883"/>
        <w:gridCol w:w="1412"/>
        <w:gridCol w:w="1788"/>
        <w:gridCol w:w="1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品名</w:t>
            </w: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w:t>
            </w: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需求数量</w:t>
            </w: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691"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288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41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78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bl>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统计员：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库管员：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审核员：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供应商:(盖章签字)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bidi w:val="0"/>
        <w:spacing w:before="0" w:after="0" w:line="240" w:lineRule="auto"/>
        <w:ind w:left="0" w:right="0"/>
        <w:jc w:val="left"/>
        <w:outlineLvl w:val="9"/>
        <w:rPr>
          <w:rFonts w:hint="eastAsia" w:ascii="仿宋" w:hAnsi="仿宋" w:eastAsia="仿宋" w:cs="仿宋"/>
          <w:b/>
          <w:bCs/>
          <w:color w:val="auto"/>
          <w:sz w:val="24"/>
          <w:szCs w:val="24"/>
        </w:rPr>
      </w:pPr>
      <w:bookmarkStart w:id="207" w:name="_Toc28025"/>
      <w:bookmarkStart w:id="208" w:name="_Toc25671"/>
      <w:bookmarkStart w:id="209" w:name="_Toc25612"/>
      <w:bookmarkStart w:id="210" w:name="_Toc20505"/>
      <w:r>
        <w:rPr>
          <w:rFonts w:hint="eastAsia" w:ascii="仿宋" w:hAnsi="仿宋" w:eastAsia="仿宋" w:cs="仿宋"/>
          <w:b/>
          <w:bCs/>
          <w:color w:val="auto"/>
          <w:sz w:val="24"/>
          <w:szCs w:val="24"/>
        </w:rPr>
        <w:t>附件二 供货清单</w:t>
      </w:r>
      <w:bookmarkEnd w:id="207"/>
      <w:bookmarkEnd w:id="208"/>
      <w:bookmarkEnd w:id="209"/>
      <w:bookmarkEnd w:id="210"/>
      <w:r>
        <w:rPr>
          <w:rFonts w:hint="eastAsia" w:ascii="仿宋" w:hAnsi="仿宋" w:eastAsia="仿宋" w:cs="仿宋"/>
          <w:b/>
          <w:bCs/>
          <w:color w:val="auto"/>
          <w:sz w:val="24"/>
          <w:szCs w:val="24"/>
        </w:rPr>
        <w:t xml:space="preserve">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单 位 ： 年 月 日 </w:t>
      </w:r>
    </w:p>
    <w:p>
      <w:pPr>
        <w:wordWrap w:val="0"/>
        <w:bidi w:val="0"/>
        <w:spacing w:before="0" w:after="0" w:line="240" w:lineRule="auto"/>
        <w:ind w:left="0" w:right="0"/>
        <w:jc w:val="right"/>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编 号 ：</w:t>
      </w:r>
      <w:r>
        <w:rPr>
          <w:rFonts w:hint="eastAsia" w:ascii="仿宋" w:hAnsi="仿宋" w:eastAsia="仿宋" w:cs="仿宋"/>
          <w:color w:val="auto"/>
          <w:sz w:val="24"/>
          <w:szCs w:val="24"/>
          <w:lang w:val="en-US" w:eastAsia="zh-CN"/>
        </w:rPr>
        <w:t xml:space="preserve">              </w:t>
      </w:r>
    </w:p>
    <w:tbl>
      <w:tblPr>
        <w:tblStyle w:val="19"/>
        <w:tblW w:w="9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2"/>
        <w:gridCol w:w="1263"/>
        <w:gridCol w:w="1067"/>
        <w:gridCol w:w="1278"/>
        <w:gridCol w:w="1667"/>
        <w:gridCol w:w="1689"/>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品名</w:t>
            </w: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w:t>
            </w: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需求数量</w:t>
            </w: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实际供货数量</w:t>
            </w: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价格浮动比例</w:t>
            </w: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472"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63"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0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278"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6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689"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c>
          <w:tcPr>
            <w:tcW w:w="1537" w:type="dxa"/>
            <w:vAlign w:val="center"/>
          </w:tcPr>
          <w:p>
            <w:pPr>
              <w:bidi w:val="0"/>
              <w:spacing w:before="0" w:after="0" w:line="240" w:lineRule="auto"/>
              <w:ind w:left="0" w:right="0"/>
              <w:jc w:val="center"/>
              <w:outlineLvl w:val="9"/>
              <w:rPr>
                <w:rFonts w:hint="eastAsia" w:ascii="仿宋" w:hAnsi="仿宋" w:eastAsia="仿宋" w:cs="仿宋"/>
                <w:color w:val="auto"/>
                <w:sz w:val="24"/>
                <w:szCs w:val="24"/>
              </w:rPr>
            </w:pPr>
          </w:p>
        </w:tc>
      </w:tr>
    </w:tbl>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供货商（盖章签字）：    统计员：       库管员：      审核员：       </w:t>
      </w:r>
    </w:p>
    <w:p>
      <w:pPr>
        <w:bidi w:val="0"/>
        <w:spacing w:before="0" w:after="0" w:line="240" w:lineRule="auto"/>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rPr>
          <w:rFonts w:hint="eastAsia" w:ascii="仿宋" w:hAnsi="仿宋" w:eastAsia="仿宋" w:cs="仿宋"/>
          <w:b/>
          <w:bCs/>
          <w:color w:val="auto"/>
          <w:sz w:val="24"/>
          <w:szCs w:val="24"/>
        </w:rPr>
      </w:pPr>
      <w:bookmarkStart w:id="211" w:name="_Toc5977"/>
      <w:bookmarkStart w:id="212" w:name="_Toc12531"/>
      <w:bookmarkStart w:id="213" w:name="_Toc25160"/>
      <w:bookmarkStart w:id="214" w:name="_Toc30399"/>
      <w:r>
        <w:rPr>
          <w:rFonts w:hint="eastAsia" w:ascii="仿宋" w:hAnsi="仿宋" w:eastAsia="仿宋" w:cs="仿宋"/>
          <w:b/>
          <w:bCs/>
          <w:color w:val="auto"/>
          <w:sz w:val="24"/>
          <w:szCs w:val="24"/>
        </w:rPr>
        <w:br w:type="page"/>
      </w:r>
    </w:p>
    <w:p>
      <w:pPr>
        <w:bidi w:val="0"/>
        <w:spacing w:before="0" w:after="0" w:line="240" w:lineRule="auto"/>
        <w:ind w:left="0" w:right="0"/>
        <w:jc w:val="left"/>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附件三 食品安全承诺书</w:t>
      </w:r>
      <w:bookmarkEnd w:id="211"/>
      <w:bookmarkEnd w:id="212"/>
      <w:bookmarkEnd w:id="213"/>
      <w:bookmarkEnd w:id="214"/>
      <w:r>
        <w:rPr>
          <w:rFonts w:hint="eastAsia" w:ascii="仿宋" w:hAnsi="仿宋" w:eastAsia="仿宋" w:cs="仿宋"/>
          <w:b/>
          <w:bCs/>
          <w:color w:val="auto"/>
          <w:sz w:val="24"/>
          <w:szCs w:val="24"/>
        </w:rPr>
        <w:t xml:space="preserve"> </w:t>
      </w:r>
    </w:p>
    <w:p>
      <w:pPr>
        <w:bidi w:val="0"/>
        <w:spacing w:before="0" w:after="0" w:line="240" w:lineRule="auto"/>
        <w:ind w:left="0" w:right="0"/>
        <w:jc w:val="left"/>
        <w:outlineLvl w:val="9"/>
        <w:rPr>
          <w:rFonts w:hint="eastAsia" w:ascii="仿宋" w:hAnsi="仿宋" w:eastAsia="仿宋" w:cs="仿宋"/>
          <w:b/>
          <w:bCs/>
          <w:color w:val="auto"/>
          <w:sz w:val="24"/>
          <w:szCs w:val="24"/>
        </w:rPr>
      </w:pPr>
    </w:p>
    <w:p>
      <w:pPr>
        <w:bidi w:val="0"/>
        <w:spacing w:before="0" w:after="0" w:line="240" w:lineRule="auto"/>
        <w:ind w:left="0" w:right="0"/>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食品安全承诺书</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我公司郑重承诺，严格遵守《食品卫生法》、《动物检疫法》等相关规定，因产品质量问题发生的食物中毒等群体事故，由我公司承担经济赔偿责任及其他法律责任， 我公司承诺无条件退货、换货，并确保提供的食品原料不存在以下问题：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腐败变质、油脂酸败、霉变、生虫、污秽不洁、混有异物或者其他感官性状异常，对人体健康有害的；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含有毒、有害物质或者被有害物质污染，对人体健康有害的；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含有致病性寄生虫、微生物或者微生物含量超过国家限定标准的；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未经动物检疫部门检疫、检验或者检疫、检验不合格的肉类及其制品；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病死、毒死或者死因不明的禽、蓄、兽、水产动物等及其制品；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掺假、掺杂、伪造，影响营养、卫生的；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 xml:space="preserve">用非食品原料加工的，加入非食品用化学物质或者将非食品当作食品的；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超过保质期限的。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法定代表人或其授权代表（签字）：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p>
      <w:pPr>
        <w:bidi w:val="0"/>
        <w:spacing w:before="0" w:after="0" w:line="240" w:lineRule="auto"/>
        <w:ind w:left="0" w:right="0"/>
        <w:jc w:val="left"/>
        <w:rPr>
          <w:rFonts w:hint="eastAsia" w:ascii="仿宋" w:hAnsi="仿宋" w:eastAsia="仿宋" w:cs="仿宋"/>
          <w:color w:val="auto"/>
          <w:sz w:val="24"/>
          <w:szCs w:val="24"/>
        </w:rPr>
      </w:pPr>
    </w:p>
    <w:p>
      <w:pPr>
        <w:bidi w:val="0"/>
        <w:spacing w:before="0" w:after="0" w:line="240" w:lineRule="auto"/>
        <w:ind w:left="0" w:right="0"/>
        <w:jc w:val="left"/>
        <w:rPr>
          <w:rFonts w:hint="eastAsia" w:ascii="仿宋" w:hAnsi="仿宋" w:eastAsia="仿宋" w:cs="仿宋"/>
          <w:color w:val="auto"/>
          <w:sz w:val="24"/>
          <w:szCs w:val="24"/>
        </w:rPr>
      </w:pPr>
    </w:p>
    <w:p>
      <w:pPr>
        <w:bidi w:val="0"/>
        <w:spacing w:before="0" w:after="0" w:line="240" w:lineRule="auto"/>
        <w:ind w:left="0" w:right="0"/>
        <w:jc w:val="left"/>
        <w:rPr>
          <w:rFonts w:hint="eastAsia" w:ascii="仿宋" w:hAnsi="仿宋" w:eastAsia="仿宋" w:cs="仿宋"/>
          <w:color w:val="auto"/>
          <w:sz w:val="24"/>
          <w:szCs w:val="24"/>
        </w:rPr>
      </w:pPr>
    </w:p>
    <w:p>
      <w:pPr>
        <w:pageBreakBefore w:val="0"/>
        <w:kinsoku/>
        <w:wordWrap/>
        <w:overflowPunct/>
        <w:topLinePunct w:val="0"/>
        <w:bidi w:val="0"/>
        <w:spacing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br w:type="page"/>
      </w:r>
    </w:p>
    <w:p>
      <w:pPr>
        <w:pStyle w:val="3"/>
        <w:shd w:val="clear"/>
        <w:spacing w:before="0" w:line="480" w:lineRule="exact"/>
        <w:ind w:left="0" w:right="0"/>
        <w:rPr>
          <w:rFonts w:ascii="仿宋" w:hAnsi="仿宋" w:eastAsia="仿宋" w:cs="仿宋"/>
          <w:color w:val="auto"/>
          <w:sz w:val="32"/>
          <w:szCs w:val="32"/>
        </w:rPr>
      </w:pPr>
      <w:bookmarkStart w:id="215" w:name="_Toc26996"/>
      <w:bookmarkStart w:id="216" w:name="_Toc4161"/>
      <w:bookmarkStart w:id="217" w:name="_Toc9292"/>
      <w:bookmarkStart w:id="218" w:name="_Toc23170"/>
      <w:bookmarkStart w:id="219" w:name="_Toc30815"/>
      <w:bookmarkStart w:id="220" w:name="_Toc14773"/>
      <w:r>
        <w:rPr>
          <w:rFonts w:hint="eastAsia" w:ascii="仿宋" w:hAnsi="仿宋" w:eastAsia="仿宋" w:cs="仿宋"/>
          <w:color w:val="auto"/>
          <w:sz w:val="32"/>
          <w:szCs w:val="32"/>
        </w:rPr>
        <w:t>第六部分</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响应文件格式</w:t>
      </w:r>
      <w:bookmarkEnd w:id="215"/>
      <w:bookmarkEnd w:id="216"/>
      <w:bookmarkEnd w:id="217"/>
      <w:bookmarkEnd w:id="218"/>
      <w:bookmarkEnd w:id="219"/>
      <w:bookmarkEnd w:id="220"/>
    </w:p>
    <w:p>
      <w:pPr>
        <w:bidi w:val="0"/>
      </w:pPr>
    </w:p>
    <w:p>
      <w:pPr>
        <w:keepNext w:val="0"/>
        <w:keepLines w:val="0"/>
        <w:pageBreakBefore w:val="0"/>
        <w:widowControl w:val="0"/>
        <w:shd w:val="clear"/>
        <w:kinsoku/>
        <w:wordWrap/>
        <w:overflowPunct/>
        <w:topLinePunct w:val="0"/>
        <w:autoSpaceDE w:val="0"/>
        <w:autoSpaceDN w:val="0"/>
        <w:bidi w:val="0"/>
        <w:adjustRightInd/>
        <w:snapToGrid/>
        <w:spacing w:line="240" w:lineRule="auto"/>
        <w:jc w:val="center"/>
        <w:textAlignment w:val="auto"/>
        <w:outlineLvl w:val="9"/>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新疆维吾尔自治区第二济困医院(新疆维吾尔自治区第五人民医院)职工营养餐厅矿泉水、饮料类和一次性用品供货商采购项目</w:t>
      </w:r>
    </w:p>
    <w:p>
      <w:pPr>
        <w:keepNext w:val="0"/>
        <w:keepLines w:val="0"/>
        <w:pageBreakBefore w:val="0"/>
        <w:widowControl w:val="0"/>
        <w:shd w:val="clear"/>
        <w:kinsoku/>
        <w:wordWrap/>
        <w:overflowPunct/>
        <w:topLinePunct w:val="0"/>
        <w:autoSpaceDE w:val="0"/>
        <w:autoSpaceDN w:val="0"/>
        <w:bidi w:val="0"/>
        <w:adjustRightInd/>
        <w:snapToGrid/>
        <w:spacing w:line="240" w:lineRule="auto"/>
        <w:ind w:firstLine="1044" w:firstLineChars="200"/>
        <w:jc w:val="center"/>
        <w:textAlignment w:val="auto"/>
        <w:outlineLvl w:val="9"/>
        <w:rPr>
          <w:rFonts w:ascii="仿宋" w:hAnsi="仿宋" w:eastAsia="仿宋" w:cs="仿宋"/>
          <w:b/>
          <w:bCs/>
          <w:color w:val="auto"/>
          <w:sz w:val="52"/>
          <w:szCs w:val="52"/>
        </w:rPr>
      </w:pPr>
    </w:p>
    <w:p>
      <w:pPr>
        <w:pStyle w:val="7"/>
        <w:shd w:val="clear"/>
        <w:spacing w:line="480" w:lineRule="exact"/>
        <w:ind w:firstLine="720" w:firstLineChars="200"/>
        <w:outlineLvl w:val="9"/>
        <w:rPr>
          <w:rFonts w:ascii="仿宋" w:hAnsi="仿宋" w:eastAsia="仿宋" w:cs="仿宋"/>
          <w:color w:val="auto"/>
          <w:sz w:val="36"/>
          <w:szCs w:val="36"/>
        </w:rPr>
      </w:pPr>
    </w:p>
    <w:p>
      <w:pPr>
        <w:pStyle w:val="7"/>
        <w:shd w:val="clear"/>
        <w:spacing w:line="480" w:lineRule="exact"/>
        <w:ind w:firstLine="480" w:firstLineChars="200"/>
        <w:outlineLvl w:val="9"/>
        <w:rPr>
          <w:rFonts w:ascii="仿宋" w:hAnsi="仿宋" w:eastAsia="仿宋" w:cs="仿宋"/>
          <w:color w:val="auto"/>
          <w:sz w:val="24"/>
          <w:szCs w:val="24"/>
        </w:rPr>
      </w:pPr>
    </w:p>
    <w:p>
      <w:pPr>
        <w:bidi w:val="0"/>
      </w:pPr>
    </w:p>
    <w:p>
      <w:pPr>
        <w:keepNext w:val="0"/>
        <w:keepLines w:val="0"/>
        <w:pageBreakBefore w:val="0"/>
        <w:widowControl w:val="0"/>
        <w:shd w:val="clear"/>
        <w:kinsoku/>
        <w:wordWrap/>
        <w:overflowPunct/>
        <w:topLinePunct w:val="0"/>
        <w:autoSpaceDE w:val="0"/>
        <w:autoSpaceDN w:val="0"/>
        <w:bidi w:val="0"/>
        <w:adjustRightInd/>
        <w:snapToGrid/>
        <w:spacing w:line="240" w:lineRule="auto"/>
        <w:jc w:val="center"/>
        <w:textAlignment w:val="auto"/>
        <w:outlineLvl w:val="9"/>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响应文件</w:t>
      </w:r>
    </w:p>
    <w:p>
      <w:pPr>
        <w:keepNext w:val="0"/>
        <w:keepLines w:val="0"/>
        <w:pageBreakBefore w:val="0"/>
        <w:widowControl w:val="0"/>
        <w:kinsoku/>
        <w:wordWrap/>
        <w:overflowPunct/>
        <w:topLinePunct w:val="0"/>
        <w:autoSpaceDE w:val="0"/>
        <w:autoSpaceDN w:val="0"/>
        <w:bidi w:val="0"/>
        <w:adjustRightInd/>
        <w:snapToGrid/>
        <w:spacing w:before="212" w:after="0" w:line="240" w:lineRule="auto"/>
        <w:ind w:right="0"/>
        <w:jc w:val="center"/>
        <w:textAlignment w:val="auto"/>
        <w:outlineLvl w:val="9"/>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项目编号：Hhhx-2206-Dejk001</w:t>
      </w:r>
    </w:p>
    <w:p>
      <w:pPr>
        <w:pStyle w:val="7"/>
        <w:shd w:val="clear"/>
        <w:spacing w:line="480" w:lineRule="exact"/>
        <w:ind w:firstLine="480" w:firstLineChars="200"/>
        <w:outlineLvl w:val="9"/>
        <w:rPr>
          <w:rFonts w:ascii="仿宋" w:hAnsi="仿宋" w:eastAsia="仿宋" w:cs="仿宋"/>
          <w:color w:val="auto"/>
          <w:sz w:val="24"/>
          <w:szCs w:val="24"/>
        </w:rPr>
      </w:pPr>
    </w:p>
    <w:p>
      <w:pPr>
        <w:pStyle w:val="7"/>
        <w:shd w:val="clear"/>
        <w:spacing w:line="480" w:lineRule="exact"/>
        <w:ind w:firstLine="480" w:firstLineChars="200"/>
        <w:outlineLvl w:val="9"/>
        <w:rPr>
          <w:rFonts w:ascii="仿宋" w:hAnsi="仿宋" w:eastAsia="仿宋" w:cs="仿宋"/>
          <w:color w:val="auto"/>
          <w:sz w:val="24"/>
          <w:szCs w:val="24"/>
        </w:rPr>
      </w:pPr>
    </w:p>
    <w:p>
      <w:pPr>
        <w:pStyle w:val="7"/>
        <w:shd w:val="clear"/>
        <w:spacing w:line="480" w:lineRule="exact"/>
        <w:ind w:firstLine="480" w:firstLineChars="200"/>
        <w:outlineLvl w:val="9"/>
        <w:rPr>
          <w:rFonts w:ascii="仿宋" w:hAnsi="仿宋" w:eastAsia="仿宋" w:cs="仿宋"/>
          <w:color w:val="auto"/>
          <w:sz w:val="24"/>
          <w:szCs w:val="24"/>
        </w:rPr>
      </w:pPr>
    </w:p>
    <w:p>
      <w:pPr>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pStyle w:val="25"/>
        <w:rPr>
          <w:rFonts w:ascii="仿宋" w:hAnsi="仿宋" w:eastAsia="仿宋" w:cs="仿宋"/>
          <w:color w:val="auto"/>
          <w:sz w:val="24"/>
          <w:szCs w:val="24"/>
        </w:rPr>
      </w:pPr>
    </w:p>
    <w:p>
      <w:pPr>
        <w:bidi w:val="0"/>
      </w:pPr>
    </w:p>
    <w:p>
      <w:pPr>
        <w:bidi w:val="0"/>
      </w:pPr>
    </w:p>
    <w:p>
      <w:pPr>
        <w:bidi w:val="0"/>
        <w:spacing w:before="0" w:after="0" w:line="360" w:lineRule="auto"/>
        <w:ind w:left="880" w:leftChars="400" w:right="0"/>
        <w:jc w:val="left"/>
        <w:outlineLvl w:val="9"/>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投标人</w:t>
      </w:r>
      <w:r>
        <w:rPr>
          <w:rFonts w:hint="eastAsia" w:ascii="仿宋" w:hAnsi="仿宋" w:eastAsia="仿宋" w:cs="仿宋"/>
          <w:b/>
          <w:bCs/>
          <w:color w:val="auto"/>
          <w:sz w:val="30"/>
          <w:szCs w:val="30"/>
          <w:highlight w:val="none"/>
          <w:lang w:val="en-US" w:eastAsia="zh-CN"/>
        </w:rPr>
        <w:t>名称</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盖章</w:t>
      </w:r>
      <w:r>
        <w:rPr>
          <w:rFonts w:hint="eastAsia" w:ascii="仿宋" w:hAnsi="仿宋" w:eastAsia="仿宋" w:cs="仿宋"/>
          <w:b/>
          <w:bCs/>
          <w:color w:val="auto"/>
          <w:sz w:val="30"/>
          <w:szCs w:val="30"/>
          <w:highlight w:val="none"/>
          <w:lang w:eastAsia="zh-CN"/>
        </w:rPr>
        <w:t>）</w:t>
      </w:r>
    </w:p>
    <w:p>
      <w:pPr>
        <w:bidi w:val="0"/>
        <w:spacing w:before="0" w:after="0" w:line="360" w:lineRule="auto"/>
        <w:ind w:left="880" w:leftChars="400" w:right="0"/>
        <w:jc w:val="left"/>
        <w:outlineLvl w:val="9"/>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法定代表人或授权代表：</w:t>
      </w:r>
    </w:p>
    <w:p>
      <w:pPr>
        <w:pStyle w:val="15"/>
        <w:spacing w:before="0" w:after="0" w:line="360" w:lineRule="auto"/>
        <w:ind w:left="880" w:leftChars="400" w:right="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联系人：</w:t>
      </w:r>
    </w:p>
    <w:p>
      <w:pPr>
        <w:pStyle w:val="15"/>
        <w:spacing w:before="0" w:after="0" w:line="360" w:lineRule="auto"/>
        <w:ind w:left="880" w:leftChars="400" w:right="0"/>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电话：</w:t>
      </w:r>
    </w:p>
    <w:p>
      <w:pPr>
        <w:bidi w:val="0"/>
        <w:spacing w:before="0" w:after="0" w:line="360" w:lineRule="auto"/>
        <w:ind w:left="880" w:leftChars="400" w:right="0"/>
        <w:jc w:val="left"/>
        <w:outlineLvl w:val="9"/>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日期：</w:t>
      </w:r>
      <w:bookmarkStart w:id="221" w:name="_bookmark105"/>
      <w:bookmarkEnd w:id="221"/>
    </w:p>
    <w:p>
      <w:pPr>
        <w:shd w:val="clear"/>
        <w:spacing w:line="480" w:lineRule="exact"/>
        <w:outlineLvl w:val="9"/>
        <w:rPr>
          <w:rFonts w:ascii="仿宋" w:hAnsi="仿宋" w:eastAsia="仿宋" w:cs="仿宋"/>
          <w:color w:val="auto"/>
          <w:sz w:val="24"/>
          <w:szCs w:val="24"/>
        </w:rPr>
      </w:pPr>
      <w:r>
        <w:rPr>
          <w:rFonts w:hint="eastAsia" w:ascii="仿宋" w:hAnsi="仿宋" w:eastAsia="仿宋" w:cs="仿宋"/>
          <w:color w:val="auto"/>
          <w:sz w:val="24"/>
          <w:szCs w:val="24"/>
        </w:rPr>
        <w:br w:type="page"/>
      </w:r>
    </w:p>
    <w:p>
      <w:pPr>
        <w:keepNext w:val="0"/>
        <w:keepLines w:val="0"/>
        <w:widowControl/>
        <w:suppressLineNumbers w:val="0"/>
        <w:jc w:val="center"/>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目 录</w:t>
      </w:r>
    </w:p>
    <w:p>
      <w:pPr>
        <w:keepNext w:val="0"/>
        <w:keepLines w:val="0"/>
        <w:widowControl/>
        <w:suppressLineNumbers w:val="0"/>
        <w:jc w:val="left"/>
        <w:outlineLvl w:val="9"/>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 xml:space="preserve">根据评分标准编制：（以下为格式目录） </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函</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基本情况说明</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法定代表人证明书</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法定代表人授权书</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资格文件声明函</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附件6依法缴纳税收承诺书</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附件7无重大违法记录声明书</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8商务</w:t>
      </w:r>
      <w:r>
        <w:rPr>
          <w:rFonts w:hint="eastAsia" w:ascii="仿宋" w:hAnsi="仿宋" w:eastAsia="仿宋" w:cs="仿宋"/>
          <w:b w:val="0"/>
          <w:bCs/>
          <w:color w:val="auto"/>
          <w:sz w:val="24"/>
          <w:szCs w:val="24"/>
          <w:highlight w:val="none"/>
        </w:rPr>
        <w:t>条款响应表</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9采购需求响应表</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同类项目业绩情况一览表</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项目人员配备情况表</w:t>
      </w:r>
    </w:p>
    <w:p>
      <w:pPr>
        <w:pageBreakBefore w:val="0"/>
        <w:kinsoku/>
        <w:wordWrap/>
        <w:overflowPunct/>
        <w:topLinePunct w:val="0"/>
        <w:bidi w:val="0"/>
        <w:spacing w:line="480" w:lineRule="exact"/>
        <w:textAlignment w:val="auto"/>
        <w:outlineLvl w:val="9"/>
        <w:rPr>
          <w:rFonts w:hint="default"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2磋商报价表</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13优惠条件承诺书</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磋商保证金</w:t>
      </w:r>
      <w:r>
        <w:rPr>
          <w:rFonts w:hint="eastAsia" w:ascii="仿宋" w:hAnsi="仿宋" w:eastAsia="仿宋" w:cs="仿宋"/>
          <w:b w:val="0"/>
          <w:bCs/>
          <w:color w:val="auto"/>
          <w:sz w:val="24"/>
          <w:szCs w:val="24"/>
          <w:highlight w:val="none"/>
        </w:rPr>
        <w:t>缴纳凭证</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退还保证金说明函</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中小微企业声明函（中小微企业适用，不符合的无需提供）</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残疾人福利性单位声明函（残疾人福利性单位适用，不符合的无需提供）</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eastAsia="zh-CN"/>
        </w:rPr>
        <w:t>监狱企业证明材料</w:t>
      </w:r>
      <w:r>
        <w:rPr>
          <w:rFonts w:hint="eastAsia" w:ascii="仿宋" w:hAnsi="仿宋" w:eastAsia="仿宋" w:cs="仿宋"/>
          <w:b w:val="0"/>
          <w:bCs/>
          <w:color w:val="auto"/>
          <w:sz w:val="24"/>
          <w:szCs w:val="24"/>
          <w:highlight w:val="none"/>
        </w:rPr>
        <w:t>（不符合的无需提供）</w:t>
      </w:r>
    </w:p>
    <w:p>
      <w:pPr>
        <w:pageBreakBefore w:val="0"/>
        <w:kinsoku/>
        <w:wordWrap/>
        <w:overflowPunct/>
        <w:topLinePunct w:val="0"/>
        <w:bidi w:val="0"/>
        <w:spacing w:line="480" w:lineRule="exac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 xml:space="preserve">19供应商认为有必要提供的其他资料（格式自拟） </w:t>
      </w:r>
    </w:p>
    <w:p>
      <w:pPr>
        <w:pStyle w:val="25"/>
        <w:ind w:left="0" w:leftChars="0" w:firstLine="0" w:firstLineChars="0"/>
        <w:jc w:val="center"/>
        <w:outlineLvl w:val="9"/>
        <w:rPr>
          <w:rFonts w:hint="eastAsia" w:ascii="仿宋" w:hAnsi="仿宋" w:eastAsia="仿宋" w:cs="仿宋"/>
          <w:b/>
          <w:bCs/>
          <w:color w:val="auto"/>
          <w:sz w:val="32"/>
          <w:szCs w:val="32"/>
          <w:lang w:val="zh-CN" w:eastAsia="zh-CN" w:bidi="zh-CN"/>
        </w:rPr>
      </w:pPr>
    </w:p>
    <w:p>
      <w:pPr>
        <w:pStyle w:val="25"/>
        <w:ind w:left="0" w:leftChars="0" w:firstLine="0" w:firstLineChars="0"/>
        <w:jc w:val="center"/>
        <w:outlineLvl w:val="9"/>
        <w:rPr>
          <w:rFonts w:hint="eastAsia"/>
          <w:color w:val="auto"/>
        </w:rPr>
      </w:pPr>
    </w:p>
    <w:p>
      <w:pP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222" w:name="_Toc10093"/>
      <w:bookmarkStart w:id="223" w:name="_Toc8658"/>
      <w:bookmarkStart w:id="224" w:name="_Toc26830"/>
      <w:bookmarkStart w:id="225" w:name="_Toc24025"/>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 xml:space="preserve">1  </w:t>
      </w: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函</w:t>
      </w:r>
      <w:bookmarkEnd w:id="222"/>
      <w:bookmarkEnd w:id="223"/>
      <w:bookmarkEnd w:id="224"/>
      <w:bookmarkEnd w:id="225"/>
    </w:p>
    <w:p>
      <w:pPr>
        <w:pageBreakBefore w:val="0"/>
        <w:kinsoku/>
        <w:wordWrap/>
        <w:overflowPunct/>
        <w:topLinePunct w:val="0"/>
        <w:bidi w:val="0"/>
        <w:spacing w:line="480" w:lineRule="exac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致：（采购代理机构名称）</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我方已仔细阅读了贵方组织的</w:t>
      </w:r>
      <w:r>
        <w:rPr>
          <w:rFonts w:hint="eastAsia" w:ascii="仿宋" w:hAnsi="仿宋" w:eastAsia="仿宋" w:cs="仿宋"/>
          <w:b w:val="0"/>
          <w:bCs w:val="0"/>
          <w:color w:val="auto"/>
          <w:sz w:val="24"/>
          <w:szCs w:val="24"/>
          <w:highlight w:val="none"/>
          <w:u w:val="single"/>
          <w:lang w:val="en-US" w:eastAsia="zh-CN"/>
        </w:rPr>
        <w:t xml:space="preserve">      （项目名称）       </w:t>
      </w:r>
      <w:r>
        <w:rPr>
          <w:rFonts w:hint="eastAsia" w:ascii="仿宋" w:hAnsi="仿宋" w:eastAsia="仿宋" w:cs="仿宋"/>
          <w:b w:val="0"/>
          <w:bCs w:val="0"/>
          <w:color w:val="auto"/>
          <w:sz w:val="24"/>
          <w:szCs w:val="24"/>
          <w:highlight w:val="none"/>
          <w:lang w:val="en-US" w:eastAsia="zh-CN"/>
        </w:rPr>
        <w:t>项目（项目编号：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 xml:space="preserve">）的采购文件的全部内容，现正式递交下述文件参加贵方组织的采购活动： </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1.响应函</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2.法定代表人授权书</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3.磋商报价表</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4.商务条款、采购需求偏离表</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5.资格证明文件</w:t>
      </w:r>
    </w:p>
    <w:p>
      <w:pPr>
        <w:pageBreakBefore w:val="0"/>
        <w:kinsoku/>
        <w:wordWrap/>
        <w:overflowPunct/>
        <w:topLinePunct w:val="0"/>
        <w:bidi w:val="0"/>
        <w:spacing w:line="480" w:lineRule="exact"/>
        <w:ind w:firstLine="960" w:firstLineChars="400"/>
        <w:textAlignment w:val="auto"/>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6.供货方案</w:t>
      </w:r>
      <w:bookmarkStart w:id="319" w:name="_GoBack"/>
      <w:bookmarkEnd w:id="319"/>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7.磋商保证金证明文件</w:t>
      </w:r>
    </w:p>
    <w:p>
      <w:pPr>
        <w:pageBreakBefore w:val="0"/>
        <w:kinsoku/>
        <w:wordWrap/>
        <w:overflowPunct/>
        <w:topLinePunct w:val="0"/>
        <w:bidi w:val="0"/>
        <w:spacing w:line="480" w:lineRule="exact"/>
        <w:ind w:firstLine="960" w:firstLineChars="4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8.其他。</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据此函，签字人兹宣布：</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1、我方愿意以最终报价，提供本项目采购文件中的采购内容。</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2、我方同意自本项目采购文件“供应商须知”规定的截止时间起遵循本响应函，并承诺在“供应商须知”规定的响应文件有效期</w:t>
      </w:r>
      <w:r>
        <w:rPr>
          <w:rFonts w:hint="eastAsia" w:ascii="仿宋" w:hAnsi="仿宋" w:eastAsia="仿宋" w:cs="仿宋"/>
          <w:b w:val="0"/>
          <w:bCs w:val="0"/>
          <w:color w:val="auto"/>
          <w:sz w:val="24"/>
          <w:szCs w:val="24"/>
          <w:highlight w:val="none"/>
          <w:u w:val="single"/>
          <w:lang w:val="en-US" w:eastAsia="zh-CN"/>
        </w:rPr>
        <w:t>60天</w:t>
      </w:r>
      <w:r>
        <w:rPr>
          <w:rFonts w:hint="eastAsia" w:ascii="仿宋" w:hAnsi="仿宋" w:eastAsia="仿宋" w:cs="仿宋"/>
          <w:b w:val="0"/>
          <w:bCs w:val="0"/>
          <w:color w:val="auto"/>
          <w:sz w:val="24"/>
          <w:szCs w:val="24"/>
          <w:highlight w:val="none"/>
          <w:lang w:val="en-US" w:eastAsia="zh-CN"/>
        </w:rPr>
        <w:t>内不修改、撤销响应文件。</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3、我方在此声明，所递交的响应文件及有关资料内容完整、真实和准确。</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4、我方承诺未被列入失信被执行人、重大税收违法案件当事人名单、政府采购严重违法失信行为记录名单，并已经具备《中华人民共和国政府采购法》中规定的参加政府采购活动的供应商应当具备的条件：</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（1）具有独立承担民事责任的能力；</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（2）具有良好的商业信誉和健全的财务会计制度；</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（3）具有履行合同所必需的设备和专业技术能力；</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（4）有依法缴纳税收和社会保障资金的良好记录；</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（5）参加政府采购活动前三年内，在经营活动中没有重大违法记录；</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（6）法律、行政法规规定的其他条件。</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5、如本项目采购内容涉及须符合国家强制规定的，我方承诺我方本次报价（包括资格条件和所投产品）均符合国家有关强制规定。</w:t>
      </w:r>
    </w:p>
    <w:p>
      <w:pPr>
        <w:pBdr>
          <w:top w:val="none" w:color="auto" w:sz="0" w:space="0"/>
          <w:left w:val="none" w:color="auto" w:sz="0" w:space="0"/>
          <w:bottom w:val="none" w:color="auto" w:sz="0" w:space="0"/>
          <w:right w:val="none" w:color="auto" w:sz="0" w:space="0"/>
          <w:between w:val="none" w:color="auto" w:sz="0" w:space="0"/>
        </w:pBdr>
        <w:bidi w:val="0"/>
        <w:jc w:val="center"/>
        <w:outlineLvl w:val="9"/>
        <w:rPr>
          <w:rFonts w:hint="eastAsia" w:ascii="宋体" w:hAnsi="宋体" w:eastAsia="宋体" w:cs="宋体"/>
          <w:color w:val="auto"/>
          <w:sz w:val="22"/>
          <w:szCs w:val="22"/>
          <w:highlight w:val="none"/>
          <w:lang w:val="en-US" w:eastAsia="zh-CN" w:bidi="zh-CN"/>
        </w:rPr>
      </w:pP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如我方成交，我方承诺在收到成交通知书后，在成交通知书规定的期限内，根据采购文件、我方的磋商响应文件及有关澄清承诺书的要求按要求与采购人订立书面合同，并按照合同约定时间按时交货，并承担完成合同的责任和义务。</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7、我方已详细审核采购文件，我方知道必须放弃提出含糊不清或误解问题的权利。</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8、我方同意应贵方要求提供与本竞标有关的任何数据或资料。若贵方需要，我方愿意提供我方作出的一切承诺的证明材料。</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9、我方完全理解贵方不一定接受报价最低的供应商为成交供应商的行为。</w:t>
      </w:r>
    </w:p>
    <w:p>
      <w:pPr>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10、我方及由本人担任法定代表人的其他机构最近三年内被处罚的违法行为有： </w:t>
      </w:r>
    </w:p>
    <w:p>
      <w:pPr>
        <w:pageBreakBefore w:val="0"/>
        <w:kinsoku/>
        <w:wordWrap/>
        <w:overflowPunct/>
        <w:topLinePunct w:val="0"/>
        <w:bidi w:val="0"/>
        <w:spacing w:line="480" w:lineRule="exac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法定代表人或其委托代理人：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地址：</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传真：</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邮政编码：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银行账号：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年    月    日</w:t>
      </w:r>
    </w:p>
    <w:p>
      <w:pPr>
        <w:pageBreakBefore w:val="0"/>
        <w:kinsoku/>
        <w:wordWrap/>
        <w:overflowPunct/>
        <w:topLinePunct w:val="0"/>
        <w:bidi w:val="0"/>
        <w:spacing w:line="480" w:lineRule="exact"/>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4"/>
          <w:szCs w:val="24"/>
          <w:highlight w:val="none"/>
          <w:lang w:val="en-US" w:eastAsia="zh-CN"/>
        </w:rPr>
        <w:br w:type="page"/>
      </w:r>
      <w:bookmarkStart w:id="226" w:name="_Toc13887"/>
      <w:bookmarkStart w:id="227" w:name="_Toc29774"/>
      <w:bookmarkStart w:id="228" w:name="_Toc6675"/>
      <w:bookmarkStart w:id="229" w:name="_Toc3757"/>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 xml:space="preserve">2  </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基本情况说明</w:t>
      </w:r>
      <w:bookmarkEnd w:id="226"/>
      <w:bookmarkEnd w:id="227"/>
      <w:bookmarkEnd w:id="228"/>
      <w:bookmarkEnd w:id="229"/>
    </w:p>
    <w:p>
      <w:pPr>
        <w:pStyle w:val="2"/>
        <w:pageBreakBefore w:val="0"/>
        <w:kinsoku/>
        <w:wordWrap/>
        <w:overflowPunct/>
        <w:topLinePunct w:val="0"/>
        <w:bidi w:val="0"/>
        <w:spacing w:before="139" w:line="240" w:lineRule="auto"/>
        <w:ind w:right="274"/>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一、公司基本情况</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公司名称：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电话号码：</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址：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传</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真：</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注册资金：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经济性质：</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公司开户银行名称及账号：</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营业注册执照号（统一社会信息用代码）：</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公司简介</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文字描述：发展历程、经营规模及服务理念、技术力量、财务状况、管理水平等方面进行阐述。图片描述：经营场所及服务流程等。</w:t>
      </w:r>
    </w:p>
    <w:p>
      <w:pPr>
        <w:pStyle w:val="2"/>
        <w:pageBreakBefore w:val="0"/>
        <w:kinsoku/>
        <w:wordWrap/>
        <w:overflowPunct/>
        <w:topLinePunct w:val="0"/>
        <w:bidi w:val="0"/>
        <w:spacing w:before="139" w:line="240" w:lineRule="auto"/>
        <w:ind w:right="274"/>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二、供应商获得国家有关部门颁发的资质</w:t>
      </w:r>
    </w:p>
    <w:tbl>
      <w:tblPr>
        <w:tblStyle w:val="19"/>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证书等级</w:t>
            </w:r>
          </w:p>
        </w:tc>
        <w:tc>
          <w:tcPr>
            <w:tcW w:w="2344" w:type="dxa"/>
            <w:tcBorders>
              <w:left w:val="single" w:color="000000" w:sz="4" w:space="0"/>
              <w:bottom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2344" w:type="dxa"/>
            <w:tcBorders>
              <w:top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2344" w:type="dxa"/>
            <w:tcBorders>
              <w:top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仿宋" w:hAnsi="仿宋" w:eastAsia="仿宋" w:cs="仿宋"/>
                <w:color w:val="auto"/>
                <w:sz w:val="24"/>
                <w:szCs w:val="24"/>
                <w:highlight w:val="none"/>
              </w:rPr>
            </w:pPr>
          </w:p>
        </w:tc>
      </w:tr>
    </w:tbl>
    <w:p>
      <w:pPr>
        <w:pStyle w:val="2"/>
        <w:pageBreakBefore w:val="0"/>
        <w:kinsoku/>
        <w:wordWrap/>
        <w:overflowPunct/>
        <w:topLinePunct w:val="0"/>
        <w:bidi w:val="0"/>
        <w:spacing w:before="139" w:line="240" w:lineRule="auto"/>
        <w:ind w:right="274"/>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三、主要股东或出资人信息</w:t>
      </w:r>
    </w:p>
    <w:tbl>
      <w:tblPr>
        <w:tblStyle w:val="19"/>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统一社会信息用代码</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出资额</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出资方式</w:t>
            </w:r>
          </w:p>
        </w:tc>
        <w:tc>
          <w:tcPr>
            <w:tcW w:w="1235" w:type="dxa"/>
            <w:tcBorders>
              <w:left w:val="single" w:color="000000" w:sz="6" w:space="0"/>
              <w:bottom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right w:val="single" w:color="000000" w:sz="4"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仿宋" w:hAnsi="仿宋" w:eastAsia="仿宋" w:cs="仿宋"/>
                <w:color w:val="auto"/>
                <w:sz w:val="24"/>
                <w:szCs w:val="24"/>
                <w:highlight w:val="none"/>
              </w:rPr>
            </w:pPr>
          </w:p>
        </w:tc>
      </w:tr>
    </w:tbl>
    <w:p>
      <w:pPr>
        <w:pageBreakBefore w:val="0"/>
        <w:numPr>
          <w:ilvl w:val="0"/>
          <w:numId w:val="5"/>
        </w:numPr>
        <w:tabs>
          <w:tab w:val="left" w:pos="2707"/>
        </w:tabs>
        <w:kinsoku/>
        <w:wordWrap/>
        <w:overflowPunct/>
        <w:topLinePunct w:val="0"/>
        <w:bidi w:val="0"/>
        <w:spacing w:before="122" w:line="240" w:lineRule="auto"/>
        <w:ind w:right="2650" w:rightChars="0"/>
        <w:jc w:val="left"/>
        <w:textAlignment w:val="auto"/>
        <w:outlineLvl w:val="9"/>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1、主要股东或出资人为法人的，填写法人全称及统一社会信息用代码（尚未办理三证合一的填写组织机构代码）；为自然人的，填写自然人姓名和身份证号。</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2、出资方式填写：货币、实物、工艺产权和非专利技术、土地使用权等。</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2"/>
        <w:pageBreakBefore w:val="0"/>
        <w:kinsoku/>
        <w:wordWrap/>
        <w:overflowPunct/>
        <w:topLinePunct w:val="0"/>
        <w:bidi w:val="0"/>
        <w:spacing w:before="139" w:line="240" w:lineRule="auto"/>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4、兹证明上述声明是真实、正确的，并提供了全部能提供的资料和数据，我们同意遵照贵方要求出示有关证明文件。</w:t>
      </w:r>
    </w:p>
    <w:p>
      <w:pPr>
        <w:pStyle w:val="2"/>
        <w:pageBreakBefore w:val="0"/>
        <w:tabs>
          <w:tab w:val="left" w:pos="3603"/>
          <w:tab w:val="left" w:pos="7700"/>
        </w:tabs>
        <w:kinsoku/>
        <w:wordWrap/>
        <w:overflowPunct/>
        <w:topLinePunct w:val="0"/>
        <w:bidi w:val="0"/>
        <w:spacing w:before="70" w:line="240" w:lineRule="auto"/>
        <w:ind w:left="298" w:right="-90" w:rightChars="0"/>
        <w:textAlignment w:val="auto"/>
        <w:outlineLvl w:val="9"/>
        <w:rPr>
          <w:rFonts w:hint="eastAsia" w:ascii="仿宋" w:hAnsi="仿宋" w:eastAsia="仿宋" w:cs="仿宋"/>
          <w:color w:val="auto"/>
          <w:sz w:val="24"/>
          <w:szCs w:val="24"/>
          <w:highlight w:val="none"/>
          <w:lang w:val="zh-CN" w:eastAsia="zh-CN" w:bidi="zh-CN"/>
        </w:rPr>
      </w:pPr>
      <w:bookmarkStart w:id="230" w:name="附件5 法定代表人授权书"/>
      <w:bookmarkEnd w:id="230"/>
      <w:bookmarkStart w:id="231" w:name="_bookmark18"/>
      <w:bookmarkEnd w:id="231"/>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240" w:lineRule="auto"/>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240" w:lineRule="auto"/>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line="480" w:lineRule="exact"/>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4"/>
          <w:szCs w:val="24"/>
          <w:highlight w:val="none"/>
        </w:rPr>
        <w:br w:type="page"/>
      </w:r>
      <w:bookmarkStart w:id="232" w:name="_Toc25206"/>
      <w:bookmarkStart w:id="233" w:name="_Toc1888"/>
      <w:bookmarkStart w:id="234" w:name="_Toc2679"/>
      <w:bookmarkStart w:id="235" w:name="_Toc222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 xml:space="preserve">3  </w:t>
      </w:r>
      <w:r>
        <w:rPr>
          <w:rFonts w:hint="eastAsia" w:ascii="仿宋" w:hAnsi="仿宋" w:eastAsia="仿宋" w:cs="仿宋"/>
          <w:b/>
          <w:color w:val="auto"/>
          <w:sz w:val="28"/>
          <w:szCs w:val="28"/>
          <w:highlight w:val="none"/>
        </w:rPr>
        <w:t>法定代表人证明书</w:t>
      </w:r>
      <w:bookmarkEnd w:id="232"/>
      <w:bookmarkEnd w:id="233"/>
      <w:bookmarkEnd w:id="234"/>
      <w:bookmarkEnd w:id="235"/>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致：</w:t>
      </w:r>
    </w:p>
    <w:p>
      <w:pPr>
        <w:pStyle w:val="2"/>
        <w:pageBreakBefore w:val="0"/>
        <w:kinsoku/>
        <w:wordWrap/>
        <w:overflowPunct/>
        <w:topLinePunct w:val="0"/>
        <w:bidi w:val="0"/>
        <w:spacing w:before="139" w:line="480" w:lineRule="exact"/>
        <w:ind w:left="298" w:right="274" w:firstLine="696" w:firstLineChars="29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同志，现任我单位</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职务，为法定代表人，特此证明。有效日期与本公司响应文件成交注的响应有效期相同，签发日期：</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营业执照（注册号）：</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经济性质：</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主营（产）：</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兼营（产）：</w:t>
      </w: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spacing w:before="1"/>
        <w:ind w:left="285" w:right="267" w:firstLine="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1" locked="0" layoutInCell="1" allowOverlap="1">
                <wp:simplePos x="0" y="0"/>
                <wp:positionH relativeFrom="page">
                  <wp:posOffset>1880235</wp:posOffset>
                </wp:positionH>
                <wp:positionV relativeFrom="paragraph">
                  <wp:posOffset>75565</wp:posOffset>
                </wp:positionV>
                <wp:extent cx="3895725" cy="1968500"/>
                <wp:effectExtent l="0" t="0" r="9525" b="12700"/>
                <wp:wrapTopAndBottom/>
                <wp:docPr id="8" name="组合 8"/>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2"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sz w:val="24"/>
                                </w:rPr>
                              </w:pPr>
                              <w:r>
                                <w:rPr>
                                  <w:sz w:val="24"/>
                                </w:rPr>
                                <w:t>法定代表人身份证复印件贴于此处</w:t>
                              </w:r>
                            </w:p>
                          </w:txbxContent>
                        </wps:txbx>
                        <wps:bodyPr lIns="0" tIns="0" rIns="0" bIns="0" upright="1"/>
                      </wps:wsp>
                      <wps:wsp>
                        <wps:cNvPr id="3" name="文本框 11"/>
                        <wps:cNvSpPr txBox="1"/>
                        <wps:spPr>
                          <a:xfrm>
                            <a:off x="5097" y="1849"/>
                            <a:ext cx="5830" cy="569"/>
                          </a:xfrm>
                          <a:prstGeom prst="rect">
                            <a:avLst/>
                          </a:prstGeom>
                          <a:noFill/>
                          <a:ln>
                            <a:noFill/>
                          </a:ln>
                          <a:effectLst/>
                        </wps:spPr>
                        <wps:txbx>
                          <w:txbxContent>
                            <w:p>
                              <w:pPr>
                                <w:spacing w:before="1"/>
                                <w:ind w:right="267"/>
                                <w:jc w:val="center"/>
                                <w:rPr>
                                  <w:b/>
                                  <w:sz w:val="24"/>
                                </w:rPr>
                              </w:pPr>
                              <w:r>
                                <w:rPr>
                                  <w:b/>
                                  <w:sz w:val="24"/>
                                </w:rPr>
                                <w:t>(为避免废标，请供应商务必提供本人身份证印件)</w:t>
                              </w:r>
                            </w:p>
                            <w:p/>
                          </w:txbxContent>
                        </wps:txbx>
                        <wps:bodyPr lIns="0" tIns="0" rIns="0" bIns="0" upright="1"/>
                      </wps:wsp>
                    </wpg:wgp>
                  </a:graphicData>
                </a:graphic>
              </wp:anchor>
            </w:drawing>
          </mc:Choice>
          <mc:Fallback>
            <w:pict>
              <v:group id="_x0000_s1026" o:spid="_x0000_s1026" o:spt="203" style="position:absolute;left:0pt;margin-left:148.05pt;margin-top:5.95pt;height:155pt;width:306.75pt;mso-position-horizontal-relative:page;mso-wrap-distance-bottom:0pt;mso-wrap-distance-top:0pt;z-index:-251656192;mso-width-relative:page;mso-height-relative:page;" coordorigin="4830,285" coordsize="6135,3100" o:gfxdata="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EoVYfHZAAAACgEAAA8A&#10;AAAAAAAAAQAgAAAAIgAAAGRycy9kb3ducmV2LnhtbFBLAQIUABQAAAAIAIdO4kB688wxcAsAADNB&#10;AAAOAAAAAAAAAAEAIAAAACgBAABkcnMvZTJvRG9jLnhtbFBLBQYAAAAABgAGAFkBAAAKDwAAAAA=&#10;">
                <o:lock v:ext="edit" aspectratio="f"/>
                <v:shape id="任意多边形 9" o:spid="_x0000_s1026" o:spt="100" style="position:absolute;left:4830;top:285;height:3100;width:6135;" fillcolor="#000000" filled="t" stroked="f" coordsize="6135,3100" o:gfxdata="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sOCy2AAAA2g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sz w:val="24"/>
                          </w:rPr>
                          <w:t>法定代表人身份证复印件贴于此处</w:t>
                        </w:r>
                      </w:p>
                    </w:txbxContent>
                  </v:textbox>
                </v:shape>
                <v:shape id="文本框 11" o:spid="_x0000_s1026" o:spt="202" type="#_x0000_t202" style="position:absolute;left:5097;top:1849;height:569;width:58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
                          <w:ind w:right="267"/>
                          <w:jc w:val="center"/>
                          <w:rPr>
                            <w:b/>
                            <w:sz w:val="24"/>
                          </w:rPr>
                        </w:pPr>
                        <w:r>
                          <w:rPr>
                            <w:b/>
                            <w:sz w:val="24"/>
                          </w:rPr>
                          <w:t>(为避免废标，请供应商务必提供本人身份证印件)</w:t>
                        </w:r>
                      </w:p>
                      <w:p/>
                    </w:txbxContent>
                  </v:textbox>
                </v:shape>
                <w10:wrap type="topAndBottom"/>
              </v:group>
            </w:pict>
          </mc:Fallback>
        </mc:AlternateContent>
      </w:r>
    </w:p>
    <w:p>
      <w:pPr>
        <w:pStyle w:val="2"/>
        <w:pageBreakBefore w:val="0"/>
        <w:kinsoku/>
        <w:wordWrap/>
        <w:overflowPunct/>
        <w:topLinePunct w:val="0"/>
        <w:bidi w:val="0"/>
        <w:spacing w:before="8"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供应商名称（公章）：</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pPr>
        <w:pStyle w:val="2"/>
        <w:pageBreakBefore w:val="0"/>
        <w:kinsoku/>
        <w:wordWrap/>
        <w:overflowPunct/>
        <w:topLinePunct w:val="0"/>
        <w:bidi w:val="0"/>
        <w:spacing w:before="139" w:line="480" w:lineRule="exact"/>
        <w:ind w:left="298" w:right="274"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日</w:t>
      </w:r>
      <w:bookmarkStart w:id="236" w:name="_bookmark19"/>
      <w:bookmarkEnd w:id="236"/>
    </w:p>
    <w:p>
      <w:pPr>
        <w:pageBreakBefore w:val="0"/>
        <w:kinsoku/>
        <w:wordWrap/>
        <w:overflowPunct/>
        <w:topLinePunct w:val="0"/>
        <w:bidi w:val="0"/>
        <w:spacing w:line="480" w:lineRule="exact"/>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val="en-US" w:eastAsia="zh-CN"/>
        </w:rPr>
        <w:br w:type="page"/>
      </w:r>
      <w:bookmarkStart w:id="237" w:name="_Toc24080"/>
      <w:bookmarkStart w:id="238" w:name="_Toc22042"/>
      <w:bookmarkStart w:id="239" w:name="_Toc20156"/>
      <w:bookmarkStart w:id="240" w:name="_Toc15212"/>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 xml:space="preserve">4  </w:t>
      </w:r>
      <w:r>
        <w:rPr>
          <w:rFonts w:hint="eastAsia" w:ascii="仿宋" w:hAnsi="仿宋" w:eastAsia="仿宋" w:cs="仿宋"/>
          <w:b/>
          <w:color w:val="auto"/>
          <w:sz w:val="28"/>
          <w:szCs w:val="28"/>
          <w:highlight w:val="none"/>
        </w:rPr>
        <w:t>法定代表人授权书</w:t>
      </w:r>
      <w:bookmarkEnd w:id="237"/>
      <w:bookmarkEnd w:id="238"/>
      <w:bookmarkEnd w:id="239"/>
      <w:bookmarkEnd w:id="240"/>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法定代表人授权书</w:t>
      </w:r>
    </w:p>
    <w:p>
      <w:pPr>
        <w:pageBreakBefore w:val="0"/>
        <w:kinsoku/>
        <w:wordWrap/>
        <w:overflowPunct/>
        <w:topLinePunct w:val="0"/>
        <w:bidi w:val="0"/>
        <w:spacing w:before="159" w:line="480" w:lineRule="exact"/>
        <w:ind w:left="298" w:right="0" w:firstLine="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致：</w:t>
      </w:r>
    </w:p>
    <w:p>
      <w:pPr>
        <w:pStyle w:val="2"/>
        <w:pageBreakBefore w:val="0"/>
        <w:tabs>
          <w:tab w:val="left" w:pos="3221"/>
        </w:tabs>
        <w:kinsoku/>
        <w:wordWrap/>
        <w:overflowPunct/>
        <w:topLinePunct w:val="0"/>
        <w:bidi w:val="0"/>
        <w:spacing w:before="139" w:line="480" w:lineRule="exact"/>
        <w:ind w:left="298" w:right="343" w:firstLine="42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（委托代理人姓名）为我方委托代理人，其权限是：办理“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106"/>
          <w:sz w:val="24"/>
          <w:szCs w:val="24"/>
          <w:highlight w:val="none"/>
          <w:u w:val="single"/>
        </w:rPr>
        <w:t>”</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项目编号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u w:val="singl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事宜</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本授权书有效期与本公司</w:t>
      </w:r>
      <w:r>
        <w:rPr>
          <w:rFonts w:hint="eastAsia" w:ascii="仿宋" w:hAnsi="仿宋" w:eastAsia="仿宋" w:cs="仿宋"/>
          <w:color w:val="auto"/>
          <w:sz w:val="24"/>
          <w:szCs w:val="24"/>
          <w:highlight w:val="none"/>
          <w:lang w:eastAsia="zh-CN"/>
        </w:rPr>
        <w:t>响应文件成交</w:t>
      </w:r>
      <w:r>
        <w:rPr>
          <w:rFonts w:hint="eastAsia" w:ascii="仿宋" w:hAnsi="仿宋" w:eastAsia="仿宋" w:cs="仿宋"/>
          <w:color w:val="auto"/>
          <w:sz w:val="24"/>
          <w:szCs w:val="24"/>
          <w:highlight w:val="none"/>
        </w:rPr>
        <w:t>注的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有效期相同，自法定代表人签字之日起生效。</w:t>
      </w:r>
    </w:p>
    <w:p>
      <w:pPr>
        <w:pStyle w:val="2"/>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附：代理人性别：</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职务：</w:t>
      </w:r>
    </w:p>
    <w:p>
      <w:pPr>
        <w:pStyle w:val="2"/>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
        <w:pageBreakBefore w:val="0"/>
        <w:tabs>
          <w:tab w:val="left" w:pos="5389"/>
        </w:tabs>
        <w:kinsoku/>
        <w:wordWrap/>
        <w:overflowPunct/>
        <w:topLinePunct w:val="0"/>
        <w:bidi w:val="0"/>
        <w:spacing w:line="480" w:lineRule="exact"/>
        <w:ind w:right="4635"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（营业执照等）注册号码：</w:t>
      </w:r>
      <w:r>
        <w:rPr>
          <w:rFonts w:hint="eastAsia" w:ascii="仿宋" w:hAnsi="仿宋" w:eastAsia="仿宋" w:cs="仿宋"/>
          <w:color w:val="auto"/>
          <w:w w:val="95"/>
          <w:sz w:val="24"/>
          <w:szCs w:val="24"/>
          <w:highlight w:val="none"/>
          <w:u w:val="single"/>
        </w:rPr>
        <w:tab/>
      </w:r>
      <w:r>
        <w:rPr>
          <w:rFonts w:hint="eastAsia" w:ascii="仿宋" w:hAnsi="仿宋" w:eastAsia="仿宋" w:cs="仿宋"/>
          <w:color w:val="auto"/>
          <w:sz w:val="24"/>
          <w:szCs w:val="24"/>
          <w:highlight w:val="none"/>
        </w:rPr>
        <w:t>法定代表人（负责人）：（签字或盖章）</w:t>
      </w:r>
    </w:p>
    <w:p>
      <w:pPr>
        <w:pStyle w:val="26"/>
        <w:outlineLvl w:val="9"/>
        <w:rPr>
          <w:rFonts w:hint="eastAsia"/>
          <w:color w:val="auto"/>
          <w:highlight w:val="none"/>
        </w:rPr>
      </w:pPr>
    </w:p>
    <w:p>
      <w:pPr>
        <w:pStyle w:val="2"/>
        <w:pageBreakBefore w:val="0"/>
        <w:tabs>
          <w:tab w:val="left" w:pos="5389"/>
        </w:tabs>
        <w:kinsoku/>
        <w:wordWrap/>
        <w:overflowPunct/>
        <w:topLinePunct w:val="0"/>
        <w:bidi w:val="0"/>
        <w:spacing w:line="480" w:lineRule="exact"/>
        <w:ind w:right="463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授权单位（单位公章）：</w:t>
      </w:r>
    </w:p>
    <w:p>
      <w:pPr>
        <w:pStyle w:val="26"/>
        <w:outlineLvl w:val="9"/>
        <w:rPr>
          <w:rFonts w:hint="eastAsia"/>
          <w:color w:val="auto"/>
          <w:highlight w:val="none"/>
        </w:rPr>
      </w:pPr>
    </w:p>
    <w:p>
      <w:pPr>
        <w:pStyle w:val="2"/>
        <w:pageBreakBefore w:val="0"/>
        <w:tabs>
          <w:tab w:val="left" w:pos="5389"/>
        </w:tabs>
        <w:kinsoku/>
        <w:wordWrap/>
        <w:overflowPunct/>
        <w:topLinePunct w:val="0"/>
        <w:bidi w:val="0"/>
        <w:spacing w:line="480" w:lineRule="exact"/>
        <w:ind w:right="463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p>
    <w:p>
      <w:pPr>
        <w:pStyle w:val="2"/>
        <w:pageBreakBefore w:val="0"/>
        <w:kinsoku/>
        <w:wordWrap/>
        <w:overflowPunct/>
        <w:topLinePunct w:val="0"/>
        <w:bidi w:val="0"/>
        <w:spacing w:before="1"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1633855</wp:posOffset>
                </wp:positionH>
                <wp:positionV relativeFrom="paragraph">
                  <wp:posOffset>144145</wp:posOffset>
                </wp:positionV>
                <wp:extent cx="3895725" cy="1993900"/>
                <wp:effectExtent l="635" t="635" r="8890" b="5715"/>
                <wp:wrapTopAndBottom/>
                <wp:docPr id="9" name="组合 9"/>
                <wp:cNvGraphicFramePr/>
                <a:graphic xmlns:a="http://schemas.openxmlformats.org/drawingml/2006/main">
                  <a:graphicData uri="http://schemas.microsoft.com/office/word/2010/wordprocessingGroup">
                    <wpg:wgp>
                      <wpg:cNvGrpSpPr/>
                      <wpg:grpSpPr>
                        <a:xfrm>
                          <a:off x="0" y="0"/>
                          <a:ext cx="3895725" cy="1993900"/>
                          <a:chOff x="4906" y="220"/>
                          <a:chExt cx="6135" cy="3140"/>
                        </a:xfrm>
                        <a:effectLst/>
                      </wpg:grpSpPr>
                      <wps:wsp>
                        <wps:cNvPr id="5" name="任意多边形 13"/>
                        <wps:cNvSpPr/>
                        <wps:spPr>
                          <a:xfrm>
                            <a:off x="4905" y="219"/>
                            <a:ext cx="6135" cy="3140"/>
                          </a:xfrm>
                          <a:custGeom>
                            <a:avLst/>
                            <a:gdLst/>
                            <a:ahLst/>
                            <a:cxnLst/>
                            <a:pathLst>
                              <a:path w="6135" h="3140">
                                <a:moveTo>
                                  <a:pt x="450" y="20"/>
                                </a:moveTo>
                                <a:lnTo>
                                  <a:pt x="384" y="20"/>
                                </a:lnTo>
                                <a:lnTo>
                                  <a:pt x="396" y="0"/>
                                </a:lnTo>
                                <a:lnTo>
                                  <a:pt x="463" y="0"/>
                                </a:lnTo>
                                <a:lnTo>
                                  <a:pt x="450" y="20"/>
                                </a:lnTo>
                                <a:close/>
                                <a:moveTo>
                                  <a:pt x="5750" y="20"/>
                                </a:moveTo>
                                <a:lnTo>
                                  <a:pt x="5684" y="20"/>
                                </a:lnTo>
                                <a:lnTo>
                                  <a:pt x="5671" y="0"/>
                                </a:lnTo>
                                <a:lnTo>
                                  <a:pt x="5737" y="0"/>
                                </a:lnTo>
                                <a:lnTo>
                                  <a:pt x="5750" y="20"/>
                                </a:lnTo>
                                <a:close/>
                                <a:moveTo>
                                  <a:pt x="364" y="40"/>
                                </a:moveTo>
                                <a:lnTo>
                                  <a:pt x="323" y="40"/>
                                </a:lnTo>
                                <a:lnTo>
                                  <a:pt x="335" y="20"/>
                                </a:lnTo>
                                <a:lnTo>
                                  <a:pt x="376" y="20"/>
                                </a:lnTo>
                                <a:lnTo>
                                  <a:pt x="364" y="40"/>
                                </a:lnTo>
                                <a:close/>
                                <a:moveTo>
                                  <a:pt x="5811" y="40"/>
                                </a:moveTo>
                                <a:lnTo>
                                  <a:pt x="5770" y="40"/>
                                </a:lnTo>
                                <a:lnTo>
                                  <a:pt x="5758" y="20"/>
                                </a:lnTo>
                                <a:lnTo>
                                  <a:pt x="5799" y="20"/>
                                </a:lnTo>
                                <a:lnTo>
                                  <a:pt x="5811" y="40"/>
                                </a:lnTo>
                                <a:close/>
                                <a:moveTo>
                                  <a:pt x="317" y="60"/>
                                </a:moveTo>
                                <a:lnTo>
                                  <a:pt x="276" y="60"/>
                                </a:lnTo>
                                <a:lnTo>
                                  <a:pt x="288" y="40"/>
                                </a:lnTo>
                                <a:lnTo>
                                  <a:pt x="329" y="40"/>
                                </a:lnTo>
                                <a:lnTo>
                                  <a:pt x="317" y="60"/>
                                </a:lnTo>
                                <a:close/>
                                <a:moveTo>
                                  <a:pt x="5857" y="60"/>
                                </a:moveTo>
                                <a:lnTo>
                                  <a:pt x="5817" y="60"/>
                                </a:lnTo>
                                <a:lnTo>
                                  <a:pt x="5805" y="40"/>
                                </a:lnTo>
                                <a:lnTo>
                                  <a:pt x="5846" y="40"/>
                                </a:lnTo>
                                <a:lnTo>
                                  <a:pt x="5857" y="60"/>
                                </a:lnTo>
                                <a:close/>
                                <a:moveTo>
                                  <a:pt x="273" y="80"/>
                                </a:moveTo>
                                <a:lnTo>
                                  <a:pt x="243" y="80"/>
                                </a:lnTo>
                                <a:lnTo>
                                  <a:pt x="254" y="60"/>
                                </a:lnTo>
                                <a:lnTo>
                                  <a:pt x="284" y="60"/>
                                </a:lnTo>
                                <a:lnTo>
                                  <a:pt x="273" y="80"/>
                                </a:lnTo>
                                <a:close/>
                                <a:moveTo>
                                  <a:pt x="5890" y="80"/>
                                </a:moveTo>
                                <a:lnTo>
                                  <a:pt x="5861" y="80"/>
                                </a:lnTo>
                                <a:lnTo>
                                  <a:pt x="5850" y="60"/>
                                </a:lnTo>
                                <a:lnTo>
                                  <a:pt x="5880" y="60"/>
                                </a:lnTo>
                                <a:lnTo>
                                  <a:pt x="5890" y="80"/>
                                </a:lnTo>
                                <a:close/>
                                <a:moveTo>
                                  <a:pt x="241" y="100"/>
                                </a:moveTo>
                                <a:lnTo>
                                  <a:pt x="212" y="100"/>
                                </a:lnTo>
                                <a:lnTo>
                                  <a:pt x="222" y="80"/>
                                </a:lnTo>
                                <a:lnTo>
                                  <a:pt x="252" y="80"/>
                                </a:lnTo>
                                <a:lnTo>
                                  <a:pt x="241" y="100"/>
                                </a:lnTo>
                                <a:close/>
                                <a:moveTo>
                                  <a:pt x="5922" y="100"/>
                                </a:moveTo>
                                <a:lnTo>
                                  <a:pt x="5893" y="100"/>
                                </a:lnTo>
                                <a:lnTo>
                                  <a:pt x="5882" y="80"/>
                                </a:lnTo>
                                <a:lnTo>
                                  <a:pt x="5912" y="80"/>
                                </a:lnTo>
                                <a:lnTo>
                                  <a:pt x="5922" y="100"/>
                                </a:lnTo>
                                <a:close/>
                                <a:moveTo>
                                  <a:pt x="211" y="120"/>
                                </a:moveTo>
                                <a:lnTo>
                                  <a:pt x="192" y="120"/>
                                </a:lnTo>
                                <a:lnTo>
                                  <a:pt x="202" y="100"/>
                                </a:lnTo>
                                <a:lnTo>
                                  <a:pt x="221" y="100"/>
                                </a:lnTo>
                                <a:lnTo>
                                  <a:pt x="211" y="120"/>
                                </a:lnTo>
                                <a:close/>
                                <a:moveTo>
                                  <a:pt x="5942" y="120"/>
                                </a:moveTo>
                                <a:lnTo>
                                  <a:pt x="5923" y="120"/>
                                </a:lnTo>
                                <a:lnTo>
                                  <a:pt x="5913" y="100"/>
                                </a:lnTo>
                                <a:lnTo>
                                  <a:pt x="5932" y="100"/>
                                </a:lnTo>
                                <a:lnTo>
                                  <a:pt x="5942" y="120"/>
                                </a:lnTo>
                                <a:close/>
                                <a:moveTo>
                                  <a:pt x="192" y="140"/>
                                </a:moveTo>
                                <a:lnTo>
                                  <a:pt x="164" y="140"/>
                                </a:lnTo>
                                <a:lnTo>
                                  <a:pt x="173" y="120"/>
                                </a:lnTo>
                                <a:lnTo>
                                  <a:pt x="202" y="120"/>
                                </a:lnTo>
                                <a:lnTo>
                                  <a:pt x="192" y="140"/>
                                </a:lnTo>
                                <a:close/>
                                <a:moveTo>
                                  <a:pt x="5970" y="140"/>
                                </a:moveTo>
                                <a:lnTo>
                                  <a:pt x="5942" y="140"/>
                                </a:lnTo>
                                <a:lnTo>
                                  <a:pt x="5932" y="120"/>
                                </a:lnTo>
                                <a:lnTo>
                                  <a:pt x="5961" y="120"/>
                                </a:lnTo>
                                <a:lnTo>
                                  <a:pt x="5970" y="140"/>
                                </a:lnTo>
                                <a:close/>
                                <a:moveTo>
                                  <a:pt x="165" y="160"/>
                                </a:moveTo>
                                <a:lnTo>
                                  <a:pt x="146" y="160"/>
                                </a:lnTo>
                                <a:lnTo>
                                  <a:pt x="154" y="140"/>
                                </a:lnTo>
                                <a:lnTo>
                                  <a:pt x="174" y="140"/>
                                </a:lnTo>
                                <a:lnTo>
                                  <a:pt x="165" y="160"/>
                                </a:lnTo>
                                <a:close/>
                                <a:moveTo>
                                  <a:pt x="5988" y="160"/>
                                </a:moveTo>
                                <a:lnTo>
                                  <a:pt x="5969" y="160"/>
                                </a:lnTo>
                                <a:lnTo>
                                  <a:pt x="5960" y="140"/>
                                </a:lnTo>
                                <a:lnTo>
                                  <a:pt x="5979" y="140"/>
                                </a:lnTo>
                                <a:lnTo>
                                  <a:pt x="5988" y="160"/>
                                </a:lnTo>
                                <a:close/>
                                <a:moveTo>
                                  <a:pt x="148" y="180"/>
                                </a:moveTo>
                                <a:lnTo>
                                  <a:pt x="129" y="180"/>
                                </a:lnTo>
                                <a:lnTo>
                                  <a:pt x="137" y="160"/>
                                </a:lnTo>
                                <a:lnTo>
                                  <a:pt x="157" y="160"/>
                                </a:lnTo>
                                <a:lnTo>
                                  <a:pt x="148" y="180"/>
                                </a:lnTo>
                                <a:close/>
                                <a:moveTo>
                                  <a:pt x="6005" y="180"/>
                                </a:moveTo>
                                <a:lnTo>
                                  <a:pt x="5986" y="180"/>
                                </a:lnTo>
                                <a:lnTo>
                                  <a:pt x="5977" y="160"/>
                                </a:lnTo>
                                <a:lnTo>
                                  <a:pt x="5997" y="160"/>
                                </a:lnTo>
                                <a:lnTo>
                                  <a:pt x="6005" y="180"/>
                                </a:lnTo>
                                <a:close/>
                                <a:moveTo>
                                  <a:pt x="132" y="200"/>
                                </a:moveTo>
                                <a:lnTo>
                                  <a:pt x="112" y="200"/>
                                </a:lnTo>
                                <a:lnTo>
                                  <a:pt x="120" y="180"/>
                                </a:lnTo>
                                <a:lnTo>
                                  <a:pt x="140" y="180"/>
                                </a:lnTo>
                                <a:lnTo>
                                  <a:pt x="132" y="200"/>
                                </a:lnTo>
                                <a:close/>
                                <a:moveTo>
                                  <a:pt x="6021" y="200"/>
                                </a:moveTo>
                                <a:lnTo>
                                  <a:pt x="6002" y="200"/>
                                </a:lnTo>
                                <a:lnTo>
                                  <a:pt x="5994" y="180"/>
                                </a:lnTo>
                                <a:lnTo>
                                  <a:pt x="6014" y="180"/>
                                </a:lnTo>
                                <a:lnTo>
                                  <a:pt x="6021" y="200"/>
                                </a:lnTo>
                                <a:close/>
                                <a:moveTo>
                                  <a:pt x="117" y="220"/>
                                </a:moveTo>
                                <a:lnTo>
                                  <a:pt x="97" y="220"/>
                                </a:lnTo>
                                <a:lnTo>
                                  <a:pt x="105" y="200"/>
                                </a:lnTo>
                                <a:lnTo>
                                  <a:pt x="124" y="200"/>
                                </a:lnTo>
                                <a:lnTo>
                                  <a:pt x="117" y="220"/>
                                </a:lnTo>
                                <a:close/>
                                <a:moveTo>
                                  <a:pt x="6037" y="220"/>
                                </a:moveTo>
                                <a:lnTo>
                                  <a:pt x="6017" y="220"/>
                                </a:lnTo>
                                <a:lnTo>
                                  <a:pt x="6010" y="200"/>
                                </a:lnTo>
                                <a:lnTo>
                                  <a:pt x="6029" y="200"/>
                                </a:lnTo>
                                <a:lnTo>
                                  <a:pt x="6037" y="220"/>
                                </a:lnTo>
                                <a:close/>
                                <a:moveTo>
                                  <a:pt x="102" y="240"/>
                                </a:moveTo>
                                <a:lnTo>
                                  <a:pt x="83" y="240"/>
                                </a:lnTo>
                                <a:lnTo>
                                  <a:pt x="90" y="220"/>
                                </a:lnTo>
                                <a:lnTo>
                                  <a:pt x="109" y="220"/>
                                </a:lnTo>
                                <a:lnTo>
                                  <a:pt x="102" y="240"/>
                                </a:lnTo>
                                <a:close/>
                                <a:moveTo>
                                  <a:pt x="6051" y="240"/>
                                </a:moveTo>
                                <a:lnTo>
                                  <a:pt x="6032" y="240"/>
                                </a:lnTo>
                                <a:lnTo>
                                  <a:pt x="6024" y="220"/>
                                </a:lnTo>
                                <a:lnTo>
                                  <a:pt x="6044" y="220"/>
                                </a:lnTo>
                                <a:lnTo>
                                  <a:pt x="6051" y="240"/>
                                </a:lnTo>
                                <a:close/>
                                <a:moveTo>
                                  <a:pt x="89" y="260"/>
                                </a:moveTo>
                                <a:lnTo>
                                  <a:pt x="70" y="260"/>
                                </a:lnTo>
                                <a:lnTo>
                                  <a:pt x="76" y="240"/>
                                </a:lnTo>
                                <a:lnTo>
                                  <a:pt x="96" y="240"/>
                                </a:lnTo>
                                <a:lnTo>
                                  <a:pt x="89" y="260"/>
                                </a:lnTo>
                                <a:close/>
                                <a:moveTo>
                                  <a:pt x="6064" y="260"/>
                                </a:moveTo>
                                <a:lnTo>
                                  <a:pt x="6045" y="260"/>
                                </a:lnTo>
                                <a:lnTo>
                                  <a:pt x="6038" y="240"/>
                                </a:lnTo>
                                <a:lnTo>
                                  <a:pt x="6058" y="240"/>
                                </a:lnTo>
                                <a:lnTo>
                                  <a:pt x="6064" y="260"/>
                                </a:lnTo>
                                <a:close/>
                                <a:moveTo>
                                  <a:pt x="76" y="280"/>
                                </a:moveTo>
                                <a:lnTo>
                                  <a:pt x="57" y="280"/>
                                </a:lnTo>
                                <a:lnTo>
                                  <a:pt x="63" y="260"/>
                                </a:lnTo>
                                <a:lnTo>
                                  <a:pt x="83" y="260"/>
                                </a:lnTo>
                                <a:lnTo>
                                  <a:pt x="76" y="280"/>
                                </a:lnTo>
                                <a:close/>
                                <a:moveTo>
                                  <a:pt x="6076" y="280"/>
                                </a:moveTo>
                                <a:lnTo>
                                  <a:pt x="6057" y="280"/>
                                </a:lnTo>
                                <a:lnTo>
                                  <a:pt x="6051" y="260"/>
                                </a:lnTo>
                                <a:lnTo>
                                  <a:pt x="6070" y="260"/>
                                </a:lnTo>
                                <a:lnTo>
                                  <a:pt x="6076" y="280"/>
                                </a:lnTo>
                                <a:close/>
                                <a:moveTo>
                                  <a:pt x="55" y="320"/>
                                </a:moveTo>
                                <a:lnTo>
                                  <a:pt x="41" y="320"/>
                                </a:lnTo>
                                <a:lnTo>
                                  <a:pt x="46" y="300"/>
                                </a:lnTo>
                                <a:lnTo>
                                  <a:pt x="52" y="280"/>
                                </a:lnTo>
                                <a:lnTo>
                                  <a:pt x="71" y="280"/>
                                </a:lnTo>
                                <a:lnTo>
                                  <a:pt x="65" y="300"/>
                                </a:lnTo>
                                <a:lnTo>
                                  <a:pt x="60" y="300"/>
                                </a:lnTo>
                                <a:lnTo>
                                  <a:pt x="55" y="320"/>
                                </a:lnTo>
                                <a:close/>
                                <a:moveTo>
                                  <a:pt x="6093" y="320"/>
                                </a:moveTo>
                                <a:lnTo>
                                  <a:pt x="6079" y="320"/>
                                </a:lnTo>
                                <a:lnTo>
                                  <a:pt x="6074" y="300"/>
                                </a:lnTo>
                                <a:lnTo>
                                  <a:pt x="6069" y="300"/>
                                </a:lnTo>
                                <a:lnTo>
                                  <a:pt x="6063" y="280"/>
                                </a:lnTo>
                                <a:lnTo>
                                  <a:pt x="6082" y="280"/>
                                </a:lnTo>
                                <a:lnTo>
                                  <a:pt x="6088" y="300"/>
                                </a:lnTo>
                                <a:lnTo>
                                  <a:pt x="6093" y="320"/>
                                </a:lnTo>
                                <a:close/>
                                <a:moveTo>
                                  <a:pt x="50" y="340"/>
                                </a:moveTo>
                                <a:lnTo>
                                  <a:pt x="32" y="340"/>
                                </a:lnTo>
                                <a:lnTo>
                                  <a:pt x="36" y="320"/>
                                </a:lnTo>
                                <a:lnTo>
                                  <a:pt x="55" y="320"/>
                                </a:lnTo>
                                <a:lnTo>
                                  <a:pt x="50" y="340"/>
                                </a:lnTo>
                                <a:close/>
                                <a:moveTo>
                                  <a:pt x="6102" y="340"/>
                                </a:moveTo>
                                <a:lnTo>
                                  <a:pt x="6084" y="340"/>
                                </a:lnTo>
                                <a:lnTo>
                                  <a:pt x="6079" y="320"/>
                                </a:lnTo>
                                <a:lnTo>
                                  <a:pt x="6098" y="320"/>
                                </a:lnTo>
                                <a:lnTo>
                                  <a:pt x="6102" y="340"/>
                                </a:lnTo>
                                <a:close/>
                                <a:moveTo>
                                  <a:pt x="34" y="380"/>
                                </a:moveTo>
                                <a:lnTo>
                                  <a:pt x="20" y="380"/>
                                </a:lnTo>
                                <a:lnTo>
                                  <a:pt x="23" y="360"/>
                                </a:lnTo>
                                <a:lnTo>
                                  <a:pt x="27" y="340"/>
                                </a:lnTo>
                                <a:lnTo>
                                  <a:pt x="46" y="340"/>
                                </a:lnTo>
                                <a:lnTo>
                                  <a:pt x="41" y="360"/>
                                </a:lnTo>
                                <a:lnTo>
                                  <a:pt x="38" y="360"/>
                                </a:lnTo>
                                <a:lnTo>
                                  <a:pt x="34" y="380"/>
                                </a:lnTo>
                                <a:close/>
                                <a:moveTo>
                                  <a:pt x="6114" y="380"/>
                                </a:moveTo>
                                <a:lnTo>
                                  <a:pt x="6100" y="380"/>
                                </a:lnTo>
                                <a:lnTo>
                                  <a:pt x="6096" y="360"/>
                                </a:lnTo>
                                <a:lnTo>
                                  <a:pt x="6092" y="360"/>
                                </a:lnTo>
                                <a:lnTo>
                                  <a:pt x="6088" y="340"/>
                                </a:lnTo>
                                <a:lnTo>
                                  <a:pt x="6107" y="340"/>
                                </a:lnTo>
                                <a:lnTo>
                                  <a:pt x="6111" y="360"/>
                                </a:lnTo>
                                <a:lnTo>
                                  <a:pt x="6114" y="380"/>
                                </a:lnTo>
                                <a:close/>
                                <a:moveTo>
                                  <a:pt x="25" y="420"/>
                                </a:moveTo>
                                <a:lnTo>
                                  <a:pt x="10" y="420"/>
                                </a:lnTo>
                                <a:lnTo>
                                  <a:pt x="13" y="400"/>
                                </a:lnTo>
                                <a:lnTo>
                                  <a:pt x="16" y="380"/>
                                </a:lnTo>
                                <a:lnTo>
                                  <a:pt x="34" y="380"/>
                                </a:lnTo>
                                <a:lnTo>
                                  <a:pt x="31" y="400"/>
                                </a:lnTo>
                                <a:lnTo>
                                  <a:pt x="28" y="400"/>
                                </a:lnTo>
                                <a:lnTo>
                                  <a:pt x="25" y="420"/>
                                </a:lnTo>
                                <a:close/>
                                <a:moveTo>
                                  <a:pt x="6124" y="420"/>
                                </a:moveTo>
                                <a:lnTo>
                                  <a:pt x="6109" y="420"/>
                                </a:lnTo>
                                <a:lnTo>
                                  <a:pt x="6106" y="400"/>
                                </a:lnTo>
                                <a:lnTo>
                                  <a:pt x="6103" y="400"/>
                                </a:lnTo>
                                <a:lnTo>
                                  <a:pt x="6100" y="380"/>
                                </a:lnTo>
                                <a:lnTo>
                                  <a:pt x="6118" y="380"/>
                                </a:lnTo>
                                <a:lnTo>
                                  <a:pt x="6121" y="400"/>
                                </a:lnTo>
                                <a:lnTo>
                                  <a:pt x="6124" y="420"/>
                                </a:lnTo>
                                <a:close/>
                                <a:moveTo>
                                  <a:pt x="19" y="460"/>
                                </a:moveTo>
                                <a:lnTo>
                                  <a:pt x="4" y="460"/>
                                </a:lnTo>
                                <a:lnTo>
                                  <a:pt x="6" y="440"/>
                                </a:lnTo>
                                <a:lnTo>
                                  <a:pt x="8" y="420"/>
                                </a:lnTo>
                                <a:lnTo>
                                  <a:pt x="23" y="420"/>
                                </a:lnTo>
                                <a:lnTo>
                                  <a:pt x="20" y="440"/>
                                </a:lnTo>
                                <a:lnTo>
                                  <a:pt x="20" y="440"/>
                                </a:lnTo>
                                <a:lnTo>
                                  <a:pt x="19" y="460"/>
                                </a:lnTo>
                                <a:close/>
                                <a:moveTo>
                                  <a:pt x="6130" y="460"/>
                                </a:moveTo>
                                <a:lnTo>
                                  <a:pt x="6115" y="460"/>
                                </a:lnTo>
                                <a:lnTo>
                                  <a:pt x="6113" y="440"/>
                                </a:lnTo>
                                <a:lnTo>
                                  <a:pt x="6113" y="440"/>
                                </a:lnTo>
                                <a:lnTo>
                                  <a:pt x="6111" y="420"/>
                                </a:lnTo>
                                <a:lnTo>
                                  <a:pt x="6126" y="420"/>
                                </a:lnTo>
                                <a:lnTo>
                                  <a:pt x="6128" y="440"/>
                                </a:lnTo>
                                <a:lnTo>
                                  <a:pt x="6130" y="460"/>
                                </a:lnTo>
                                <a:close/>
                                <a:moveTo>
                                  <a:pt x="15" y="500"/>
                                </a:moveTo>
                                <a:lnTo>
                                  <a:pt x="0" y="500"/>
                                </a:lnTo>
                                <a:lnTo>
                                  <a:pt x="1" y="480"/>
                                </a:lnTo>
                                <a:lnTo>
                                  <a:pt x="2" y="460"/>
                                </a:lnTo>
                                <a:lnTo>
                                  <a:pt x="17" y="460"/>
                                </a:lnTo>
                                <a:lnTo>
                                  <a:pt x="16" y="480"/>
                                </a:lnTo>
                                <a:lnTo>
                                  <a:pt x="15" y="500"/>
                                </a:lnTo>
                                <a:close/>
                                <a:moveTo>
                                  <a:pt x="6134" y="500"/>
                                </a:moveTo>
                                <a:lnTo>
                                  <a:pt x="6119" y="500"/>
                                </a:lnTo>
                                <a:lnTo>
                                  <a:pt x="6118" y="480"/>
                                </a:lnTo>
                                <a:lnTo>
                                  <a:pt x="6118" y="480"/>
                                </a:lnTo>
                                <a:lnTo>
                                  <a:pt x="6117" y="460"/>
                                </a:lnTo>
                                <a:lnTo>
                                  <a:pt x="6132" y="460"/>
                                </a:lnTo>
                                <a:lnTo>
                                  <a:pt x="6133" y="480"/>
                                </a:lnTo>
                                <a:lnTo>
                                  <a:pt x="6134" y="500"/>
                                </a:lnTo>
                                <a:close/>
                                <a:moveTo>
                                  <a:pt x="15" y="2640"/>
                                </a:moveTo>
                                <a:lnTo>
                                  <a:pt x="0" y="2640"/>
                                </a:lnTo>
                                <a:lnTo>
                                  <a:pt x="0" y="2620"/>
                                </a:lnTo>
                                <a:lnTo>
                                  <a:pt x="0" y="500"/>
                                </a:lnTo>
                                <a:lnTo>
                                  <a:pt x="15" y="500"/>
                                </a:lnTo>
                                <a:lnTo>
                                  <a:pt x="15" y="2620"/>
                                </a:lnTo>
                                <a:lnTo>
                                  <a:pt x="15" y="2640"/>
                                </a:lnTo>
                                <a:close/>
                                <a:moveTo>
                                  <a:pt x="6134" y="2640"/>
                                </a:moveTo>
                                <a:lnTo>
                                  <a:pt x="6119" y="2640"/>
                                </a:lnTo>
                                <a:lnTo>
                                  <a:pt x="6119" y="2620"/>
                                </a:lnTo>
                                <a:lnTo>
                                  <a:pt x="6119" y="500"/>
                                </a:lnTo>
                                <a:lnTo>
                                  <a:pt x="6134" y="500"/>
                                </a:lnTo>
                                <a:lnTo>
                                  <a:pt x="6134" y="2620"/>
                                </a:lnTo>
                                <a:lnTo>
                                  <a:pt x="6134" y="2640"/>
                                </a:lnTo>
                                <a:close/>
                                <a:moveTo>
                                  <a:pt x="19" y="2680"/>
                                </a:moveTo>
                                <a:lnTo>
                                  <a:pt x="4" y="2680"/>
                                </a:lnTo>
                                <a:lnTo>
                                  <a:pt x="2" y="2660"/>
                                </a:lnTo>
                                <a:lnTo>
                                  <a:pt x="1" y="2640"/>
                                </a:lnTo>
                                <a:lnTo>
                                  <a:pt x="16" y="2640"/>
                                </a:lnTo>
                                <a:lnTo>
                                  <a:pt x="17" y="2660"/>
                                </a:lnTo>
                                <a:lnTo>
                                  <a:pt x="17" y="2660"/>
                                </a:lnTo>
                                <a:lnTo>
                                  <a:pt x="19" y="2680"/>
                                </a:lnTo>
                                <a:close/>
                                <a:moveTo>
                                  <a:pt x="6130" y="2680"/>
                                </a:moveTo>
                                <a:lnTo>
                                  <a:pt x="6115" y="2680"/>
                                </a:lnTo>
                                <a:lnTo>
                                  <a:pt x="6117" y="2660"/>
                                </a:lnTo>
                                <a:lnTo>
                                  <a:pt x="6117" y="2660"/>
                                </a:lnTo>
                                <a:lnTo>
                                  <a:pt x="6118" y="2640"/>
                                </a:lnTo>
                                <a:lnTo>
                                  <a:pt x="6133" y="2640"/>
                                </a:lnTo>
                                <a:lnTo>
                                  <a:pt x="6132" y="2660"/>
                                </a:lnTo>
                                <a:lnTo>
                                  <a:pt x="6130" y="2680"/>
                                </a:lnTo>
                                <a:close/>
                                <a:moveTo>
                                  <a:pt x="28" y="2720"/>
                                </a:moveTo>
                                <a:lnTo>
                                  <a:pt x="10" y="2720"/>
                                </a:lnTo>
                                <a:lnTo>
                                  <a:pt x="8" y="2700"/>
                                </a:lnTo>
                                <a:lnTo>
                                  <a:pt x="6" y="2680"/>
                                </a:lnTo>
                                <a:lnTo>
                                  <a:pt x="20" y="2680"/>
                                </a:lnTo>
                                <a:lnTo>
                                  <a:pt x="23" y="2700"/>
                                </a:lnTo>
                                <a:lnTo>
                                  <a:pt x="25" y="2700"/>
                                </a:lnTo>
                                <a:lnTo>
                                  <a:pt x="28" y="2720"/>
                                </a:lnTo>
                                <a:close/>
                                <a:moveTo>
                                  <a:pt x="6124" y="2720"/>
                                </a:moveTo>
                                <a:lnTo>
                                  <a:pt x="6106" y="2720"/>
                                </a:lnTo>
                                <a:lnTo>
                                  <a:pt x="6109" y="2700"/>
                                </a:lnTo>
                                <a:lnTo>
                                  <a:pt x="6111" y="2700"/>
                                </a:lnTo>
                                <a:lnTo>
                                  <a:pt x="6113" y="2680"/>
                                </a:lnTo>
                                <a:lnTo>
                                  <a:pt x="6128" y="2680"/>
                                </a:lnTo>
                                <a:lnTo>
                                  <a:pt x="6126" y="2700"/>
                                </a:lnTo>
                                <a:lnTo>
                                  <a:pt x="6124" y="2720"/>
                                </a:lnTo>
                                <a:close/>
                                <a:moveTo>
                                  <a:pt x="38" y="2760"/>
                                </a:moveTo>
                                <a:lnTo>
                                  <a:pt x="20" y="2760"/>
                                </a:lnTo>
                                <a:lnTo>
                                  <a:pt x="16" y="2740"/>
                                </a:lnTo>
                                <a:lnTo>
                                  <a:pt x="13" y="2720"/>
                                </a:lnTo>
                                <a:lnTo>
                                  <a:pt x="28" y="2720"/>
                                </a:lnTo>
                                <a:lnTo>
                                  <a:pt x="31" y="2740"/>
                                </a:lnTo>
                                <a:lnTo>
                                  <a:pt x="34" y="2740"/>
                                </a:lnTo>
                                <a:lnTo>
                                  <a:pt x="38" y="2760"/>
                                </a:lnTo>
                                <a:close/>
                                <a:moveTo>
                                  <a:pt x="6114" y="2760"/>
                                </a:moveTo>
                                <a:lnTo>
                                  <a:pt x="6096" y="2760"/>
                                </a:lnTo>
                                <a:lnTo>
                                  <a:pt x="6100" y="2740"/>
                                </a:lnTo>
                                <a:lnTo>
                                  <a:pt x="6103" y="2740"/>
                                </a:lnTo>
                                <a:lnTo>
                                  <a:pt x="6106" y="2720"/>
                                </a:lnTo>
                                <a:lnTo>
                                  <a:pt x="6121" y="2720"/>
                                </a:lnTo>
                                <a:lnTo>
                                  <a:pt x="6118" y="2740"/>
                                </a:lnTo>
                                <a:lnTo>
                                  <a:pt x="6114" y="2760"/>
                                </a:lnTo>
                                <a:close/>
                                <a:moveTo>
                                  <a:pt x="42" y="2780"/>
                                </a:moveTo>
                                <a:lnTo>
                                  <a:pt x="27" y="2780"/>
                                </a:lnTo>
                                <a:lnTo>
                                  <a:pt x="23" y="2760"/>
                                </a:lnTo>
                                <a:lnTo>
                                  <a:pt x="38" y="2760"/>
                                </a:lnTo>
                                <a:lnTo>
                                  <a:pt x="42" y="2780"/>
                                </a:lnTo>
                                <a:close/>
                                <a:moveTo>
                                  <a:pt x="6107" y="2780"/>
                                </a:moveTo>
                                <a:lnTo>
                                  <a:pt x="6092" y="2780"/>
                                </a:lnTo>
                                <a:lnTo>
                                  <a:pt x="6096" y="2760"/>
                                </a:lnTo>
                                <a:lnTo>
                                  <a:pt x="6111" y="2760"/>
                                </a:lnTo>
                                <a:lnTo>
                                  <a:pt x="6107" y="2780"/>
                                </a:lnTo>
                                <a:close/>
                                <a:moveTo>
                                  <a:pt x="60" y="2820"/>
                                </a:moveTo>
                                <a:lnTo>
                                  <a:pt x="41" y="2820"/>
                                </a:lnTo>
                                <a:lnTo>
                                  <a:pt x="36" y="2800"/>
                                </a:lnTo>
                                <a:lnTo>
                                  <a:pt x="32" y="2780"/>
                                </a:lnTo>
                                <a:lnTo>
                                  <a:pt x="46" y="2780"/>
                                </a:lnTo>
                                <a:lnTo>
                                  <a:pt x="50" y="2800"/>
                                </a:lnTo>
                                <a:lnTo>
                                  <a:pt x="55" y="2800"/>
                                </a:lnTo>
                                <a:lnTo>
                                  <a:pt x="60" y="2820"/>
                                </a:lnTo>
                                <a:close/>
                                <a:moveTo>
                                  <a:pt x="6093" y="2820"/>
                                </a:moveTo>
                                <a:lnTo>
                                  <a:pt x="6074" y="2820"/>
                                </a:lnTo>
                                <a:lnTo>
                                  <a:pt x="6079" y="2800"/>
                                </a:lnTo>
                                <a:lnTo>
                                  <a:pt x="6084" y="2800"/>
                                </a:lnTo>
                                <a:lnTo>
                                  <a:pt x="6088" y="2780"/>
                                </a:lnTo>
                                <a:lnTo>
                                  <a:pt x="6102" y="2780"/>
                                </a:lnTo>
                                <a:lnTo>
                                  <a:pt x="6098" y="2800"/>
                                </a:lnTo>
                                <a:lnTo>
                                  <a:pt x="6093" y="2820"/>
                                </a:lnTo>
                                <a:close/>
                                <a:moveTo>
                                  <a:pt x="71" y="2840"/>
                                </a:moveTo>
                                <a:lnTo>
                                  <a:pt x="52" y="2840"/>
                                </a:lnTo>
                                <a:lnTo>
                                  <a:pt x="46" y="2820"/>
                                </a:lnTo>
                                <a:lnTo>
                                  <a:pt x="65" y="2820"/>
                                </a:lnTo>
                                <a:lnTo>
                                  <a:pt x="71" y="2840"/>
                                </a:lnTo>
                                <a:close/>
                                <a:moveTo>
                                  <a:pt x="6082" y="2840"/>
                                </a:moveTo>
                                <a:lnTo>
                                  <a:pt x="6063" y="2840"/>
                                </a:lnTo>
                                <a:lnTo>
                                  <a:pt x="6069" y="2820"/>
                                </a:lnTo>
                                <a:lnTo>
                                  <a:pt x="6088" y="2820"/>
                                </a:lnTo>
                                <a:lnTo>
                                  <a:pt x="6082" y="2840"/>
                                </a:lnTo>
                                <a:close/>
                                <a:moveTo>
                                  <a:pt x="77" y="2860"/>
                                </a:moveTo>
                                <a:lnTo>
                                  <a:pt x="63" y="2860"/>
                                </a:lnTo>
                                <a:lnTo>
                                  <a:pt x="57" y="2840"/>
                                </a:lnTo>
                                <a:lnTo>
                                  <a:pt x="71" y="2840"/>
                                </a:lnTo>
                                <a:lnTo>
                                  <a:pt x="77" y="2860"/>
                                </a:lnTo>
                                <a:close/>
                                <a:moveTo>
                                  <a:pt x="6070" y="2860"/>
                                </a:moveTo>
                                <a:lnTo>
                                  <a:pt x="6057" y="2860"/>
                                </a:lnTo>
                                <a:lnTo>
                                  <a:pt x="6063" y="2840"/>
                                </a:lnTo>
                                <a:lnTo>
                                  <a:pt x="6076" y="2840"/>
                                </a:lnTo>
                                <a:lnTo>
                                  <a:pt x="6070" y="2860"/>
                                </a:lnTo>
                                <a:close/>
                                <a:moveTo>
                                  <a:pt x="102" y="2900"/>
                                </a:moveTo>
                                <a:lnTo>
                                  <a:pt x="83" y="2900"/>
                                </a:lnTo>
                                <a:lnTo>
                                  <a:pt x="76" y="2880"/>
                                </a:lnTo>
                                <a:lnTo>
                                  <a:pt x="70" y="2860"/>
                                </a:lnTo>
                                <a:lnTo>
                                  <a:pt x="83" y="2860"/>
                                </a:lnTo>
                                <a:lnTo>
                                  <a:pt x="89" y="2880"/>
                                </a:lnTo>
                                <a:lnTo>
                                  <a:pt x="95" y="2880"/>
                                </a:lnTo>
                                <a:lnTo>
                                  <a:pt x="102" y="2900"/>
                                </a:lnTo>
                                <a:close/>
                                <a:moveTo>
                                  <a:pt x="6051" y="2900"/>
                                </a:moveTo>
                                <a:lnTo>
                                  <a:pt x="6032" y="2900"/>
                                </a:lnTo>
                                <a:lnTo>
                                  <a:pt x="6038" y="2880"/>
                                </a:lnTo>
                                <a:lnTo>
                                  <a:pt x="6045" y="2880"/>
                                </a:lnTo>
                                <a:lnTo>
                                  <a:pt x="6051" y="2860"/>
                                </a:lnTo>
                                <a:lnTo>
                                  <a:pt x="6064" y="2860"/>
                                </a:lnTo>
                                <a:lnTo>
                                  <a:pt x="6058" y="2880"/>
                                </a:lnTo>
                                <a:lnTo>
                                  <a:pt x="6051" y="2900"/>
                                </a:lnTo>
                                <a:close/>
                                <a:moveTo>
                                  <a:pt x="117" y="2920"/>
                                </a:moveTo>
                                <a:lnTo>
                                  <a:pt x="97" y="2920"/>
                                </a:lnTo>
                                <a:lnTo>
                                  <a:pt x="90" y="2900"/>
                                </a:lnTo>
                                <a:lnTo>
                                  <a:pt x="109" y="2900"/>
                                </a:lnTo>
                                <a:lnTo>
                                  <a:pt x="117" y="2920"/>
                                </a:lnTo>
                                <a:close/>
                                <a:moveTo>
                                  <a:pt x="6037" y="2920"/>
                                </a:moveTo>
                                <a:lnTo>
                                  <a:pt x="6017" y="2920"/>
                                </a:lnTo>
                                <a:lnTo>
                                  <a:pt x="6025" y="2900"/>
                                </a:lnTo>
                                <a:lnTo>
                                  <a:pt x="6044" y="2900"/>
                                </a:lnTo>
                                <a:lnTo>
                                  <a:pt x="6037" y="2920"/>
                                </a:lnTo>
                                <a:close/>
                                <a:moveTo>
                                  <a:pt x="132" y="2940"/>
                                </a:moveTo>
                                <a:lnTo>
                                  <a:pt x="112" y="2940"/>
                                </a:lnTo>
                                <a:lnTo>
                                  <a:pt x="105" y="2920"/>
                                </a:lnTo>
                                <a:lnTo>
                                  <a:pt x="124" y="2920"/>
                                </a:lnTo>
                                <a:lnTo>
                                  <a:pt x="132" y="2940"/>
                                </a:lnTo>
                                <a:close/>
                                <a:moveTo>
                                  <a:pt x="6021" y="2940"/>
                                </a:moveTo>
                                <a:lnTo>
                                  <a:pt x="6002" y="2940"/>
                                </a:lnTo>
                                <a:lnTo>
                                  <a:pt x="6010" y="2920"/>
                                </a:lnTo>
                                <a:lnTo>
                                  <a:pt x="6029" y="2920"/>
                                </a:lnTo>
                                <a:lnTo>
                                  <a:pt x="6021" y="2940"/>
                                </a:lnTo>
                                <a:close/>
                                <a:moveTo>
                                  <a:pt x="148" y="2960"/>
                                </a:moveTo>
                                <a:lnTo>
                                  <a:pt x="129" y="2960"/>
                                </a:lnTo>
                                <a:lnTo>
                                  <a:pt x="120" y="2940"/>
                                </a:lnTo>
                                <a:lnTo>
                                  <a:pt x="140" y="2940"/>
                                </a:lnTo>
                                <a:lnTo>
                                  <a:pt x="148" y="2960"/>
                                </a:lnTo>
                                <a:close/>
                                <a:moveTo>
                                  <a:pt x="6005" y="2960"/>
                                </a:moveTo>
                                <a:lnTo>
                                  <a:pt x="5986" y="2960"/>
                                </a:lnTo>
                                <a:lnTo>
                                  <a:pt x="5994" y="2940"/>
                                </a:lnTo>
                                <a:lnTo>
                                  <a:pt x="6014" y="2940"/>
                                </a:lnTo>
                                <a:lnTo>
                                  <a:pt x="6005" y="2960"/>
                                </a:lnTo>
                                <a:close/>
                                <a:moveTo>
                                  <a:pt x="174" y="2980"/>
                                </a:moveTo>
                                <a:lnTo>
                                  <a:pt x="146" y="2980"/>
                                </a:lnTo>
                                <a:lnTo>
                                  <a:pt x="137" y="2960"/>
                                </a:lnTo>
                                <a:lnTo>
                                  <a:pt x="165" y="2960"/>
                                </a:lnTo>
                                <a:lnTo>
                                  <a:pt x="174" y="2980"/>
                                </a:lnTo>
                                <a:close/>
                                <a:moveTo>
                                  <a:pt x="5988" y="2980"/>
                                </a:moveTo>
                                <a:lnTo>
                                  <a:pt x="5960" y="2980"/>
                                </a:lnTo>
                                <a:lnTo>
                                  <a:pt x="5969" y="2960"/>
                                </a:lnTo>
                                <a:lnTo>
                                  <a:pt x="5997" y="2960"/>
                                </a:lnTo>
                                <a:lnTo>
                                  <a:pt x="5988" y="2980"/>
                                </a:lnTo>
                                <a:close/>
                                <a:moveTo>
                                  <a:pt x="192" y="3000"/>
                                </a:moveTo>
                                <a:lnTo>
                                  <a:pt x="173" y="3000"/>
                                </a:lnTo>
                                <a:lnTo>
                                  <a:pt x="164" y="2980"/>
                                </a:lnTo>
                                <a:lnTo>
                                  <a:pt x="183" y="2980"/>
                                </a:lnTo>
                                <a:lnTo>
                                  <a:pt x="192" y="3000"/>
                                </a:lnTo>
                                <a:close/>
                                <a:moveTo>
                                  <a:pt x="5961" y="3000"/>
                                </a:moveTo>
                                <a:lnTo>
                                  <a:pt x="5942" y="3000"/>
                                </a:lnTo>
                                <a:lnTo>
                                  <a:pt x="5951" y="2980"/>
                                </a:lnTo>
                                <a:lnTo>
                                  <a:pt x="5970" y="2980"/>
                                </a:lnTo>
                                <a:lnTo>
                                  <a:pt x="5961" y="3000"/>
                                </a:lnTo>
                                <a:close/>
                                <a:moveTo>
                                  <a:pt x="211" y="3020"/>
                                </a:moveTo>
                                <a:lnTo>
                                  <a:pt x="192" y="3020"/>
                                </a:lnTo>
                                <a:lnTo>
                                  <a:pt x="182" y="3000"/>
                                </a:lnTo>
                                <a:lnTo>
                                  <a:pt x="202" y="3000"/>
                                </a:lnTo>
                                <a:lnTo>
                                  <a:pt x="211" y="3020"/>
                                </a:lnTo>
                                <a:close/>
                                <a:moveTo>
                                  <a:pt x="5942" y="3020"/>
                                </a:moveTo>
                                <a:lnTo>
                                  <a:pt x="5923" y="3020"/>
                                </a:lnTo>
                                <a:lnTo>
                                  <a:pt x="5932" y="3000"/>
                                </a:lnTo>
                                <a:lnTo>
                                  <a:pt x="5951" y="3000"/>
                                </a:lnTo>
                                <a:lnTo>
                                  <a:pt x="5942" y="3020"/>
                                </a:lnTo>
                                <a:close/>
                                <a:moveTo>
                                  <a:pt x="241" y="3040"/>
                                </a:moveTo>
                                <a:lnTo>
                                  <a:pt x="222" y="3040"/>
                                </a:lnTo>
                                <a:lnTo>
                                  <a:pt x="212" y="3020"/>
                                </a:lnTo>
                                <a:lnTo>
                                  <a:pt x="231" y="3020"/>
                                </a:lnTo>
                                <a:lnTo>
                                  <a:pt x="241" y="3040"/>
                                </a:lnTo>
                                <a:close/>
                                <a:moveTo>
                                  <a:pt x="5912" y="3040"/>
                                </a:moveTo>
                                <a:lnTo>
                                  <a:pt x="5893" y="3040"/>
                                </a:lnTo>
                                <a:lnTo>
                                  <a:pt x="5903" y="3020"/>
                                </a:lnTo>
                                <a:lnTo>
                                  <a:pt x="5922" y="3020"/>
                                </a:lnTo>
                                <a:lnTo>
                                  <a:pt x="5912" y="3040"/>
                                </a:lnTo>
                                <a:close/>
                                <a:moveTo>
                                  <a:pt x="273" y="3060"/>
                                </a:moveTo>
                                <a:lnTo>
                                  <a:pt x="243" y="3060"/>
                                </a:lnTo>
                                <a:lnTo>
                                  <a:pt x="233" y="3040"/>
                                </a:lnTo>
                                <a:lnTo>
                                  <a:pt x="262" y="3040"/>
                                </a:lnTo>
                                <a:lnTo>
                                  <a:pt x="273" y="3060"/>
                                </a:lnTo>
                                <a:close/>
                                <a:moveTo>
                                  <a:pt x="5890" y="3060"/>
                                </a:moveTo>
                                <a:lnTo>
                                  <a:pt x="5861" y="3060"/>
                                </a:lnTo>
                                <a:lnTo>
                                  <a:pt x="5872" y="3040"/>
                                </a:lnTo>
                                <a:lnTo>
                                  <a:pt x="5901" y="3040"/>
                                </a:lnTo>
                                <a:lnTo>
                                  <a:pt x="5890" y="3060"/>
                                </a:lnTo>
                                <a:close/>
                                <a:moveTo>
                                  <a:pt x="317" y="3080"/>
                                </a:moveTo>
                                <a:lnTo>
                                  <a:pt x="276" y="3080"/>
                                </a:lnTo>
                                <a:lnTo>
                                  <a:pt x="265" y="3060"/>
                                </a:lnTo>
                                <a:lnTo>
                                  <a:pt x="306" y="3060"/>
                                </a:lnTo>
                                <a:lnTo>
                                  <a:pt x="317" y="3080"/>
                                </a:lnTo>
                                <a:close/>
                                <a:moveTo>
                                  <a:pt x="5857" y="3080"/>
                                </a:moveTo>
                                <a:lnTo>
                                  <a:pt x="5817" y="3080"/>
                                </a:lnTo>
                                <a:lnTo>
                                  <a:pt x="5828" y="3060"/>
                                </a:lnTo>
                                <a:lnTo>
                                  <a:pt x="5869" y="3060"/>
                                </a:lnTo>
                                <a:lnTo>
                                  <a:pt x="5857" y="3080"/>
                                </a:lnTo>
                                <a:close/>
                                <a:moveTo>
                                  <a:pt x="364" y="3100"/>
                                </a:moveTo>
                                <a:lnTo>
                                  <a:pt x="323" y="3100"/>
                                </a:lnTo>
                                <a:lnTo>
                                  <a:pt x="311" y="3080"/>
                                </a:lnTo>
                                <a:lnTo>
                                  <a:pt x="352" y="3080"/>
                                </a:lnTo>
                                <a:lnTo>
                                  <a:pt x="364" y="3100"/>
                                </a:lnTo>
                                <a:close/>
                                <a:moveTo>
                                  <a:pt x="5811" y="3100"/>
                                </a:moveTo>
                                <a:lnTo>
                                  <a:pt x="5770" y="3100"/>
                                </a:lnTo>
                                <a:lnTo>
                                  <a:pt x="5782" y="3080"/>
                                </a:lnTo>
                                <a:lnTo>
                                  <a:pt x="5823" y="3080"/>
                                </a:lnTo>
                                <a:lnTo>
                                  <a:pt x="5811" y="3100"/>
                                </a:lnTo>
                                <a:close/>
                                <a:moveTo>
                                  <a:pt x="438" y="3120"/>
                                </a:moveTo>
                                <a:lnTo>
                                  <a:pt x="371" y="3120"/>
                                </a:lnTo>
                                <a:lnTo>
                                  <a:pt x="359" y="3100"/>
                                </a:lnTo>
                                <a:lnTo>
                                  <a:pt x="425" y="3100"/>
                                </a:lnTo>
                                <a:lnTo>
                                  <a:pt x="438" y="3120"/>
                                </a:lnTo>
                                <a:close/>
                                <a:moveTo>
                                  <a:pt x="5763" y="3120"/>
                                </a:moveTo>
                                <a:lnTo>
                                  <a:pt x="5696" y="3120"/>
                                </a:lnTo>
                                <a:lnTo>
                                  <a:pt x="5709" y="3100"/>
                                </a:lnTo>
                                <a:lnTo>
                                  <a:pt x="5775" y="3100"/>
                                </a:lnTo>
                                <a:lnTo>
                                  <a:pt x="5763" y="3120"/>
                                </a:lnTo>
                                <a:close/>
                                <a:moveTo>
                                  <a:pt x="5673" y="3140"/>
                                </a:moveTo>
                                <a:lnTo>
                                  <a:pt x="461" y="3140"/>
                                </a:lnTo>
                                <a:lnTo>
                                  <a:pt x="448" y="3120"/>
                                </a:lnTo>
                                <a:lnTo>
                                  <a:pt x="5686" y="3120"/>
                                </a:lnTo>
                                <a:lnTo>
                                  <a:pt x="5673" y="3140"/>
                                </a:lnTo>
                                <a:close/>
                              </a:path>
                            </a:pathLst>
                          </a:custGeom>
                          <a:solidFill>
                            <a:srgbClr val="000000"/>
                          </a:solidFill>
                          <a:ln>
                            <a:noFill/>
                          </a:ln>
                          <a:effectLst/>
                        </wps:spPr>
                        <wps:bodyPr upright="1"/>
                      </wps:wsp>
                      <wps:wsp>
                        <wps:cNvPr id="6" name="文本框 14"/>
                        <wps:cNvSpPr txBox="1"/>
                        <wps:spPr>
                          <a:xfrm>
                            <a:off x="4905" y="219"/>
                            <a:ext cx="6135" cy="3140"/>
                          </a:xfrm>
                          <a:prstGeom prst="rect">
                            <a:avLst/>
                          </a:prstGeom>
                          <a:noFill/>
                          <a:ln>
                            <a:noFill/>
                          </a:ln>
                          <a:effectLst/>
                        </wps:spPr>
                        <wps:txbx>
                          <w:txbxContent>
                            <w:p>
                              <w:pPr>
                                <w:spacing w:before="0" w:line="240" w:lineRule="auto"/>
                                <w:rPr>
                                  <w:sz w:val="24"/>
                                </w:rPr>
                              </w:pPr>
                            </w:p>
                            <w:p>
                              <w:pPr>
                                <w:spacing w:before="0" w:line="240" w:lineRule="auto"/>
                                <w:rPr>
                                  <w:sz w:val="24"/>
                                </w:rPr>
                              </w:pPr>
                            </w:p>
                            <w:p>
                              <w:pPr>
                                <w:spacing w:before="170"/>
                                <w:ind w:left="267" w:right="267" w:firstLine="0"/>
                                <w:jc w:val="center"/>
                                <w:rPr>
                                  <w:sz w:val="24"/>
                                </w:rPr>
                              </w:pPr>
                              <w:r>
                                <w:rPr>
                                  <w:sz w:val="24"/>
                                </w:rPr>
                                <w:t>被授权人身份证</w:t>
                              </w:r>
                              <w:r>
                                <w:rPr>
                                  <w:rFonts w:hint="eastAsia"/>
                                  <w:sz w:val="24"/>
                                  <w:lang w:eastAsia="zh-CN"/>
                                </w:rPr>
                                <w:t>及法人代表身份证</w:t>
                              </w:r>
                              <w:r>
                                <w:rPr>
                                  <w:sz w:val="24"/>
                                </w:rPr>
                                <w:t>复印件贴于此处</w:t>
                              </w:r>
                            </w:p>
                            <w:p>
                              <w:pPr>
                                <w:spacing w:before="6" w:line="240" w:lineRule="auto"/>
                                <w:rPr>
                                  <w:sz w:val="24"/>
                                </w:rPr>
                              </w:pPr>
                            </w:p>
                            <w:p>
                              <w:pPr>
                                <w:spacing w:before="1"/>
                                <w:ind w:left="285" w:right="267" w:firstLine="0"/>
                                <w:jc w:val="center"/>
                                <w:rPr>
                                  <w:b/>
                                  <w:sz w:val="24"/>
                                </w:rPr>
                              </w:pPr>
                              <w:r>
                                <w:rPr>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28.65pt;margin-top:11.35pt;height:157pt;width:306.75pt;mso-position-horizontal-relative:page;mso-wrap-distance-bottom:0pt;mso-wrap-distance-top:0pt;z-index:-251655168;mso-width-relative:page;mso-height-relative:page;" coordorigin="4906,220" coordsize="6135,3140" o:gfxdata="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">
                <o:lock v:ext="edit" aspectratio="f"/>
                <v:shape id="任意多边形 13" o:spid="_x0000_s1026" o:spt="100" style="position:absolute;left:4905;top:219;height:3140;width:6135;" fillcolor="#000000" filled="t" stroked="f" coordsize="6135,3140" o:gfxdata="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NCNEugAAANoA&#10;AAAPAAAAAAAAAAEAIAAAACIAAABkcnMvZG93bnJldi54bWxQSwECFAAUAAAACACHTuJAMy8FnjsA&#10;AAA5AAAAEAAAAAAAAAABACAAAAAJAQAAZHJzL3NoYXBleG1sLnhtbFBLBQYAAAAABgAGAFsBAACz&#10;AwAAAAA=&#10;" path="m450,20l384,20,396,0,463,0,450,20xm5750,20l5684,20,5671,0,5737,0,5750,20xm364,40l323,40,335,20,376,20,364,40xm5811,40l5770,40,5758,20,5799,20,5811,40xm317,60l276,60,288,40,329,40,317,60xm5857,60l5817,60,5805,40,5846,40,5857,60xm273,80l243,80,254,60,284,60,273,80xm5890,80l5861,80,5850,60,5880,60,5890,80xm241,100l212,100,222,80,252,80,241,100xm5922,100l5893,100,5882,80,5912,80,5922,100xm211,120l192,120,202,100,221,100,211,120xm5942,120l5923,120,5913,100,5932,100,5942,120xm192,140l164,140,173,120,202,120,192,140xm5970,140l5942,140,5932,120,5961,120,5970,140xm165,160l146,160,154,140,174,140,165,160xm5988,160l5969,160,5960,140,5979,140,5988,160xm148,180l129,180,137,160,157,160,148,180xm6005,180l5986,180,5977,160,5997,160,6005,180xm132,200l112,200,120,180,140,180,132,200xm6021,200l6002,200,5994,180,6014,180,6021,200xm117,220l97,220,105,200,124,200,117,220xm6037,220l6017,220,6010,200,6029,200,6037,220xm102,240l83,240,90,220,109,220,102,240xm6051,240l6032,240,6024,220,6044,220,6051,240xm89,260l70,260,76,240,96,240,89,260xm6064,260l6045,260,6038,240,6058,240,6064,260xm76,280l57,280,63,260,83,260,76,280xm6076,280l6057,280,6051,260,6070,260,6076,280xm55,320l41,320,46,300,52,280,71,280,65,300,60,300,55,320xm6093,320l6079,320,6074,300,6069,300,6063,280,6082,280,6088,300,6093,320xm50,340l32,340,36,320,55,320,50,340xm6102,340l6084,340,6079,320,6098,320,6102,340xm34,380l20,380,23,360,27,340,46,340,41,360,38,360,34,380xm6114,380l6100,380,6096,360,6092,360,6088,340,6107,340,6111,360,6114,380xm25,420l10,420,13,400,16,380,34,380,31,400,28,400,25,420xm6124,420l6109,420,6106,400,6103,400,6100,380,6118,380,6121,400,6124,420xm19,460l4,460,6,440,8,420,23,420,20,440,20,440,19,460xm6130,460l6115,460,6113,440,6113,440,6111,420,6126,420,6128,440,6130,460xm15,500l0,500,1,480,2,460,17,460,16,480,15,500xm6134,500l6119,500,6118,480,6118,480,6117,460,6132,460,6133,480,6134,500xm15,2640l0,2640,0,2620,0,500,15,500,15,2620,15,2640xm6134,2640l6119,2640,6119,2620,6119,500,6134,500,6134,2620,6134,2640xm19,2680l4,2680,2,2660,1,2640,16,2640,17,2660,17,2660,19,2680xm6130,2680l6115,2680,6117,2660,6117,2660,6118,2640,6133,2640,6132,2660,6130,2680xm28,2720l10,2720,8,2700,6,2680,20,2680,23,2700,25,2700,28,2720xm6124,2720l6106,2720,6109,2700,6111,2700,6113,2680,6128,2680,6126,2700,6124,2720xm38,2760l20,2760,16,2740,13,2720,28,2720,31,2740,34,2740,38,2760xm6114,2760l6096,2760,6100,2740,6103,2740,6106,2720,6121,2720,6118,2740,6114,2760xm42,2780l27,2780,23,2760,38,2760,42,2780xm6107,2780l6092,2780,6096,2760,6111,2760,6107,2780xm60,2820l41,2820,36,2800,32,2780,46,2780,50,2800,55,2800,60,2820xm6093,2820l6074,2820,6079,2800,6084,2800,6088,2780,6102,2780,6098,2800,6093,2820xm71,2840l52,2840,46,2820,65,2820,71,2840xm6082,2840l6063,2840,6069,2820,6088,2820,6082,2840xm77,2860l63,2860,57,2840,71,2840,77,2860xm6070,2860l6057,2860,6063,2840,6076,2840,6070,2860xm102,2900l83,2900,76,2880,70,2860,83,2860,89,2880,95,2880,102,2900xm6051,2900l6032,2900,6038,2880,6045,2880,6051,2860,6064,2860,6058,2880,6051,2900xm117,2920l97,2920,90,2900,109,2900,117,2920xm6037,2920l6017,2920,6025,2900,6044,2900,6037,2920xm132,2940l112,2940,105,2920,124,2920,132,2940xm6021,2940l6002,2940,6010,2920,6029,2920,6021,2940xm148,2960l129,2960,120,2940,140,2940,148,2960xm6005,2960l5986,2960,5994,2940,6014,2940,6005,2960xm174,2980l146,2980,137,2960,165,2960,174,2980xm5988,2980l5960,2980,5969,2960,5997,2960,5988,2980xm192,3000l173,3000,164,2980,183,2980,192,3000xm5961,3000l5942,3000,5951,2980,5970,2980,5961,3000xm211,3020l192,3020,182,3000,202,3000,211,3020xm5942,3020l5923,3020,5932,3000,5951,3000,5942,3020xm241,3040l222,3040,212,3020,231,3020,241,3040xm5912,3040l5893,3040,5903,3020,5922,3020,5912,3040xm273,3060l243,3060,233,3040,262,3040,273,3060xm5890,3060l5861,3060,5872,3040,5901,3040,5890,3060xm317,3080l276,3080,265,3060,306,3060,317,3080xm5857,3080l5817,3080,5828,3060,5869,3060,5857,3080xm364,3100l323,3100,311,3080,352,3080,364,3100xm5811,3100l5770,3100,5782,3080,5823,3080,5811,3100xm438,3120l371,3120,359,3100,425,3100,438,3120xm5763,3120l5696,3120,5709,3100,5775,3100,5763,3120xm5673,3140l461,3140,448,3120,5686,3120,5673,3140xe">
                  <v:fill on="t" focussize="0,0"/>
                  <v:stroke on="f"/>
                  <v:imagedata o:title=""/>
                  <o:lock v:ext="edit" aspectratio="f"/>
                </v:shape>
                <v:shape id="文本框 14" o:spid="_x0000_s1026" o:spt="202" type="#_x0000_t202" style="position:absolute;left:4905;top:219;height:3140;width:613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4"/>
                          </w:rPr>
                        </w:pPr>
                      </w:p>
                      <w:p>
                        <w:pPr>
                          <w:spacing w:before="0" w:line="240" w:lineRule="auto"/>
                          <w:rPr>
                            <w:sz w:val="24"/>
                          </w:rPr>
                        </w:pPr>
                      </w:p>
                      <w:p>
                        <w:pPr>
                          <w:spacing w:before="170"/>
                          <w:ind w:left="267" w:right="267" w:firstLine="0"/>
                          <w:jc w:val="center"/>
                          <w:rPr>
                            <w:sz w:val="24"/>
                          </w:rPr>
                        </w:pPr>
                        <w:r>
                          <w:rPr>
                            <w:sz w:val="24"/>
                          </w:rPr>
                          <w:t>被授权人身份证</w:t>
                        </w:r>
                        <w:r>
                          <w:rPr>
                            <w:rFonts w:hint="eastAsia"/>
                            <w:sz w:val="24"/>
                            <w:lang w:eastAsia="zh-CN"/>
                          </w:rPr>
                          <w:t>及法人代表身份证</w:t>
                        </w:r>
                        <w:r>
                          <w:rPr>
                            <w:sz w:val="24"/>
                          </w:rPr>
                          <w:t>复印件贴于此处</w:t>
                        </w:r>
                      </w:p>
                      <w:p>
                        <w:pPr>
                          <w:spacing w:before="6" w:line="240" w:lineRule="auto"/>
                          <w:rPr>
                            <w:sz w:val="24"/>
                          </w:rPr>
                        </w:pPr>
                      </w:p>
                      <w:p>
                        <w:pPr>
                          <w:spacing w:before="1"/>
                          <w:ind w:left="285" w:right="267" w:firstLine="0"/>
                          <w:jc w:val="center"/>
                          <w:rPr>
                            <w:b/>
                            <w:sz w:val="24"/>
                          </w:rPr>
                        </w:pPr>
                        <w:r>
                          <w:rPr>
                            <w:b/>
                            <w:sz w:val="24"/>
                          </w:rPr>
                          <w:t>(为避免废标，请供应商务必提供本人身份证复印件)</w:t>
                        </w:r>
                      </w:p>
                    </w:txbxContent>
                  </v:textbox>
                </v:shape>
                <w10:wrap type="topAndBottom"/>
              </v:group>
            </w:pict>
          </mc:Fallback>
        </mc:AlternateContent>
      </w:r>
    </w:p>
    <w:p>
      <w:pPr>
        <w:pStyle w:val="2"/>
        <w:pageBreakBefore w:val="0"/>
        <w:tabs>
          <w:tab w:val="left" w:pos="734"/>
          <w:tab w:val="left" w:pos="1259"/>
          <w:tab w:val="left" w:pos="1783"/>
        </w:tabs>
        <w:kinsoku/>
        <w:wordWrap/>
        <w:overflowPunct/>
        <w:topLinePunct w:val="0"/>
        <w:bidi w:val="0"/>
        <w:spacing w:before="1" w:line="480" w:lineRule="exact"/>
        <w:ind w:right="346"/>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w w:val="95"/>
          <w:sz w:val="24"/>
          <w:szCs w:val="24"/>
          <w:highlight w:val="none"/>
        </w:rPr>
        <w:t>日</w:t>
      </w: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line="480" w:lineRule="exact"/>
        <w:ind w:left="84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签字代表为法定代表人，则本表不需提交）</w:t>
      </w:r>
    </w:p>
    <w:p>
      <w:pPr>
        <w:outlineLvl w:val="9"/>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br w:type="page"/>
      </w:r>
      <w:bookmarkStart w:id="241" w:name="附件7 合同响应一览表"/>
      <w:bookmarkEnd w:id="241"/>
      <w:bookmarkStart w:id="242" w:name="_bookmark20"/>
      <w:bookmarkEnd w:id="242"/>
      <w:bookmarkStart w:id="243" w:name="附件6 资格文件声明函"/>
      <w:bookmarkEnd w:id="243"/>
      <w:bookmarkStart w:id="244" w:name="_Toc2146"/>
      <w:bookmarkStart w:id="245" w:name="_Toc12452"/>
      <w:bookmarkStart w:id="246" w:name="_Toc16283"/>
      <w:bookmarkStart w:id="247" w:name="_Toc30967"/>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 xml:space="preserve">5  </w:t>
      </w:r>
      <w:r>
        <w:rPr>
          <w:rFonts w:hint="eastAsia" w:ascii="仿宋" w:hAnsi="仿宋" w:eastAsia="仿宋" w:cs="仿宋"/>
          <w:b/>
          <w:color w:val="auto"/>
          <w:sz w:val="28"/>
          <w:szCs w:val="28"/>
          <w:highlight w:val="none"/>
        </w:rPr>
        <w:t>资格文件声明函</w:t>
      </w:r>
      <w:bookmarkEnd w:id="244"/>
      <w:bookmarkEnd w:id="245"/>
      <w:bookmarkEnd w:id="246"/>
      <w:bookmarkEnd w:id="247"/>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资格文件声明函</w:t>
      </w:r>
    </w:p>
    <w:p>
      <w:pPr>
        <w:pageBreakBefore w:val="0"/>
        <w:kinsoku/>
        <w:wordWrap/>
        <w:overflowPunct/>
        <w:topLinePunct w:val="0"/>
        <w:bidi w:val="0"/>
        <w:spacing w:before="159" w:line="480" w:lineRule="exact"/>
        <w:ind w:left="298" w:right="0" w:firstLine="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关于贵方采购项目名称：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邀请，本签字人愿意参加</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，并声明：</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一、本公司（企业）具备《中华人民共和国政府采购法》第二十二条规定的条件：</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（五）参加政府采购活动前三年内，在经营活动中没有重大违法记录；</w:t>
      </w:r>
    </w:p>
    <w:p>
      <w:pPr>
        <w:pStyle w:val="2"/>
        <w:pageBreakBefore w:val="0"/>
        <w:kinsoku/>
        <w:wordWrap/>
        <w:overflowPunct/>
        <w:topLinePunct w:val="0"/>
        <w:bidi w:val="0"/>
        <w:spacing w:line="480" w:lineRule="exact"/>
        <w:ind w:left="581"/>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pPr>
        <w:pStyle w:val="2"/>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本公司（企业）的单位负责人与所参投的本采购项目包组的其他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的单位负责人不为同一人且与其他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之间不存在直接控股、管理关系。</w:t>
      </w:r>
    </w:p>
    <w:p>
      <w:pPr>
        <w:pStyle w:val="2"/>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2"/>
        <w:pageBreakBefore w:val="0"/>
        <w:kinsoku/>
        <w:wordWrap/>
        <w:overflowPunct/>
        <w:topLinePunct w:val="0"/>
        <w:bidi w:val="0"/>
        <w:spacing w:line="48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本公司（企业）承诺在本次</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采购活动中，如有违法、违规、弄虚作假行为，所造成的损失、不良后果及法律责任，一律由我公司（企业）承担。</w:t>
      </w:r>
    </w:p>
    <w:p>
      <w:pPr>
        <w:pageBreakBefore w:val="0"/>
        <w:kinsoku/>
        <w:wordWrap/>
        <w:overflowPunct/>
        <w:topLinePunct w:val="0"/>
        <w:bidi w:val="0"/>
        <w:spacing w:before="0" w:line="480" w:lineRule="exact"/>
        <w:ind w:left="708" w:right="7390" w:rightChars="0" w:firstLine="9"/>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ageBreakBefore w:val="0"/>
        <w:kinsoku/>
        <w:wordWrap/>
        <w:overflowPunct/>
        <w:topLinePunct w:val="0"/>
        <w:bidi w:val="0"/>
        <w:spacing w:before="0" w:line="480" w:lineRule="exact"/>
        <w:ind w:left="708" w:right="8256" w:firstLine="9"/>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p>
      <w:pPr>
        <w:pStyle w:val="28"/>
        <w:pageBreakBefore w:val="0"/>
        <w:numPr>
          <w:ilvl w:val="1"/>
          <w:numId w:val="6"/>
        </w:numPr>
        <w:tabs>
          <w:tab w:val="left" w:pos="928"/>
        </w:tabs>
        <w:kinsoku/>
        <w:wordWrap/>
        <w:overflowPunct/>
        <w:topLinePunct w:val="0"/>
        <w:bidi w:val="0"/>
        <w:spacing w:before="0" w:after="0" w:line="480" w:lineRule="exact"/>
        <w:ind w:left="927" w:right="0" w:hanging="217"/>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本声明函必须提供且内容不得擅自删改，否则视为无效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pStyle w:val="28"/>
        <w:pageBreakBefore w:val="0"/>
        <w:numPr>
          <w:ilvl w:val="1"/>
          <w:numId w:val="6"/>
        </w:numPr>
        <w:tabs>
          <w:tab w:val="left" w:pos="928"/>
        </w:tabs>
        <w:kinsoku/>
        <w:wordWrap/>
        <w:overflowPunct/>
        <w:topLinePunct w:val="0"/>
        <w:bidi w:val="0"/>
        <w:spacing w:before="137" w:after="0" w:line="480" w:lineRule="exact"/>
        <w:ind w:left="927" w:right="0" w:hanging="217"/>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本声明函如有虚假或与事实不符的，作无效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处理。</w:t>
      </w: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tabs>
          <w:tab w:val="left" w:pos="3603"/>
          <w:tab w:val="left" w:pos="7700"/>
        </w:tabs>
        <w:kinsoku/>
        <w:wordWrap/>
        <w:overflowPunct/>
        <w:topLinePunct w:val="0"/>
        <w:bidi w:val="0"/>
        <w:spacing w:before="70" w:line="240" w:lineRule="auto"/>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240" w:lineRule="auto"/>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240" w:lineRule="auto"/>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after="0" w:line="480" w:lineRule="exact"/>
        <w:textAlignment w:val="auto"/>
        <w:outlineLvl w:val="9"/>
        <w:rPr>
          <w:rFonts w:hint="eastAsia" w:ascii="仿宋" w:hAnsi="仿宋" w:eastAsia="仿宋" w:cs="仿宋"/>
          <w:color w:val="auto"/>
          <w:sz w:val="24"/>
          <w:szCs w:val="24"/>
          <w:highlight w:val="none"/>
        </w:rPr>
      </w:pPr>
    </w:p>
    <w:p>
      <w:pPr>
        <w:rPr>
          <w:rFonts w:hint="eastAsia"/>
        </w:rPr>
      </w:pPr>
      <w:r>
        <w:rPr>
          <w:rFonts w:hint="eastAsia"/>
        </w:rPr>
        <w:br w:type="page"/>
      </w:r>
    </w:p>
    <w:p>
      <w:pPr>
        <w:outlineLvl w:val="9"/>
        <w:rPr>
          <w:rFonts w:hint="eastAsia" w:ascii="仿宋" w:hAnsi="仿宋" w:eastAsia="仿宋" w:cs="仿宋"/>
          <w:b/>
          <w:color w:val="auto"/>
          <w:sz w:val="28"/>
          <w:szCs w:val="28"/>
          <w:highlight w:val="none"/>
        </w:rPr>
      </w:pPr>
      <w:bookmarkStart w:id="248" w:name="_bookmark21"/>
      <w:bookmarkEnd w:id="248"/>
      <w:bookmarkStart w:id="249" w:name="_Toc14675"/>
      <w:bookmarkStart w:id="250" w:name="_Toc8031"/>
      <w:bookmarkStart w:id="251" w:name="_Toc3942"/>
      <w:bookmarkStart w:id="252" w:name="_Toc29321"/>
      <w:r>
        <w:rPr>
          <w:rFonts w:hint="eastAsia" w:ascii="仿宋" w:hAnsi="仿宋" w:eastAsia="仿宋" w:cs="仿宋"/>
          <w:b/>
          <w:color w:val="auto"/>
          <w:sz w:val="28"/>
          <w:szCs w:val="28"/>
          <w:highlight w:val="none"/>
          <w:lang w:val="en-US" w:eastAsia="zh-CN"/>
        </w:rPr>
        <w:t>附件6  依法缴纳税收承诺书</w:t>
      </w:r>
      <w:bookmarkEnd w:id="249"/>
      <w:bookmarkEnd w:id="250"/>
      <w:bookmarkEnd w:id="251"/>
      <w:bookmarkEnd w:id="252"/>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lang w:val="en-US" w:eastAsia="zh-CN"/>
        </w:rPr>
      </w:pPr>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依法缴纳税收承诺书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 xml:space="preserve"> （采购人）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我单位已依法足额缴纳各项税款，符合《中华人民共和国政府采购法》第二十二条中第四项依法缴纳税收的规定。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我单位保证以上陈述真实，如有不符，视为提供虚假资料谋取成交，我单位愿承担相应法律责任。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特此承诺。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lang w:val="en-US" w:eastAsia="zh-CN"/>
        </w:rPr>
      </w:pP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承诺人（公章）：</w:t>
      </w:r>
      <w:r>
        <w:rPr>
          <w:rFonts w:hint="eastAsia" w:ascii="仿宋" w:hAnsi="仿宋" w:eastAsia="仿宋" w:cs="仿宋"/>
          <w:color w:val="auto"/>
          <w:sz w:val="24"/>
          <w:szCs w:val="24"/>
          <w:highlight w:val="none"/>
          <w:u w:val="single"/>
          <w:lang w:val="en-US" w:eastAsia="zh-CN"/>
        </w:rPr>
        <w:t xml:space="preserve"> （供应商全称）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年 月 日 </w:t>
      </w:r>
    </w:p>
    <w:p>
      <w:pPr>
        <w:keepNext w:val="0"/>
        <w:keepLines w:val="0"/>
        <w:widowControl/>
        <w:suppressLineNumbers w:val="0"/>
        <w:jc w:val="left"/>
        <w:outlineLvl w:val="9"/>
        <w:rPr>
          <w:color w:val="auto"/>
        </w:rPr>
      </w:pPr>
      <w:r>
        <w:rPr>
          <w:rFonts w:hint="eastAsia" w:ascii="仿宋" w:hAnsi="仿宋" w:eastAsia="仿宋" w:cs="仿宋"/>
          <w:b/>
          <w:color w:val="auto"/>
          <w:sz w:val="28"/>
          <w:szCs w:val="28"/>
          <w:highlight w:val="none"/>
        </w:rPr>
        <w:br w:type="page"/>
      </w:r>
      <w:bookmarkStart w:id="253" w:name="_Toc23629"/>
      <w:bookmarkStart w:id="254" w:name="_Toc24122"/>
      <w:bookmarkStart w:id="255" w:name="_Toc29975"/>
      <w:bookmarkStart w:id="256" w:name="_Toc27727"/>
      <w:r>
        <w:rPr>
          <w:rFonts w:hint="eastAsia" w:ascii="仿宋" w:hAnsi="仿宋" w:eastAsia="仿宋" w:cs="仿宋"/>
          <w:b/>
          <w:color w:val="auto"/>
          <w:sz w:val="28"/>
          <w:szCs w:val="28"/>
          <w:highlight w:val="none"/>
          <w:lang w:val="en-US" w:eastAsia="zh-CN"/>
        </w:rPr>
        <w:t>附件7  无重大违法记录声明书</w:t>
      </w:r>
      <w:bookmarkEnd w:id="253"/>
      <w:bookmarkEnd w:id="254"/>
      <w:bookmarkEnd w:id="255"/>
      <w:bookmarkEnd w:id="256"/>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lang w:val="en-US" w:eastAsia="zh-CN"/>
        </w:rPr>
      </w:pPr>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无重大违法记录声明书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（采购人） </w:t>
      </w:r>
      <w:r>
        <w:rPr>
          <w:rFonts w:hint="eastAsia" w:ascii="仿宋" w:hAnsi="仿宋" w:eastAsia="仿宋" w:cs="仿宋"/>
          <w:color w:val="auto"/>
          <w:sz w:val="24"/>
          <w:szCs w:val="24"/>
          <w:highlight w:val="none"/>
          <w:lang w:val="en-US" w:eastAsia="zh-CN"/>
        </w:rPr>
        <w:t xml:space="preserve">：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我公司参与 （项目名称、采购项目编号）磋商活动，本公司郑重声明，我方参加本项目政府采购活动前三年内无重大违法记录，符合《政府采购法》规定的供应商条件。若贵方在本项目磋商过程中发现我方在政府采购活动前三年内有重大违法记录，我公司将无条件退出本项目的响应，并承担因此引起的一切后果。我方对此声明负全部法律责任。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pPr>
        <w:pStyle w:val="2"/>
        <w:pageBreakBefore w:val="0"/>
        <w:kinsoku/>
        <w:wordWrap/>
        <w:overflowPunct/>
        <w:topLinePunct w:val="0"/>
        <w:bidi w:val="0"/>
        <w:spacing w:before="139" w:line="480" w:lineRule="exact"/>
        <w:ind w:left="298" w:right="346" w:firstLine="420"/>
        <w:textAlignment w:val="auto"/>
        <w:outlineLvl w:val="9"/>
        <w:rPr>
          <w:rFonts w:hint="eastAsia" w:ascii="仿宋" w:hAnsi="仿宋" w:eastAsia="仿宋" w:cs="仿宋"/>
          <w:color w:val="auto"/>
          <w:sz w:val="24"/>
          <w:szCs w:val="24"/>
          <w:highlight w:val="none"/>
          <w:lang w:val="en-US" w:eastAsia="zh-CN"/>
        </w:rPr>
      </w:pP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供应商名称（公章）：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法定代表人（签字或盖章）：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被授权代理人（签字）： </w:t>
      </w:r>
    </w:p>
    <w:p>
      <w:pPr>
        <w:pStyle w:val="2"/>
        <w:pageBreakBefore w:val="0"/>
        <w:kinsoku/>
        <w:wordWrap/>
        <w:overflowPunct/>
        <w:topLinePunct w:val="0"/>
        <w:bidi w:val="0"/>
        <w:spacing w:before="139" w:line="480" w:lineRule="exact"/>
        <w:ind w:right="346"/>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日期：年月日 </w:t>
      </w:r>
    </w:p>
    <w:p>
      <w:pPr>
        <w:pStyle w:val="2"/>
        <w:pageBreakBefore w:val="0"/>
        <w:kinsoku/>
        <w:wordWrap/>
        <w:overflowPunct/>
        <w:topLinePunct w:val="0"/>
        <w:bidi w:val="0"/>
        <w:spacing w:before="139" w:line="480" w:lineRule="exact"/>
        <w:ind w:right="346"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注：[近三年：指成立三年以上的，为提交首次磋商响应文件截止时间前三年内；成立不足三年的，为实际时间。] </w:t>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257" w:name="_bookmark22"/>
      <w:bookmarkEnd w:id="257"/>
      <w:bookmarkStart w:id="258" w:name="附件8 实质性条款（“★”项）响应表"/>
      <w:bookmarkEnd w:id="258"/>
      <w:bookmarkStart w:id="259" w:name="附件9 采购项目内容响应表"/>
      <w:bookmarkEnd w:id="259"/>
      <w:bookmarkStart w:id="260" w:name="_Toc27246"/>
      <w:bookmarkStart w:id="261" w:name="_Toc18044"/>
      <w:bookmarkStart w:id="262" w:name="_Toc1315"/>
      <w:bookmarkStart w:id="263" w:name="_Toc7620"/>
      <w:r>
        <w:rPr>
          <w:rFonts w:hint="eastAsia" w:ascii="仿宋" w:hAnsi="仿宋" w:eastAsia="仿宋" w:cs="仿宋"/>
          <w:b/>
          <w:color w:val="auto"/>
          <w:sz w:val="28"/>
          <w:szCs w:val="28"/>
          <w:highlight w:val="none"/>
          <w:lang w:val="en-US" w:eastAsia="zh-CN"/>
        </w:rPr>
        <w:t>附件8  商务条款响应表</w:t>
      </w:r>
      <w:bookmarkEnd w:id="260"/>
      <w:bookmarkEnd w:id="261"/>
      <w:bookmarkEnd w:id="262"/>
      <w:bookmarkEnd w:id="263"/>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商务</w:t>
      </w:r>
      <w:r>
        <w:rPr>
          <w:rFonts w:hint="eastAsia" w:ascii="仿宋" w:hAnsi="仿宋" w:eastAsia="仿宋" w:cs="仿宋"/>
          <w:b/>
          <w:color w:val="auto"/>
          <w:sz w:val="28"/>
          <w:szCs w:val="28"/>
          <w:highlight w:val="none"/>
        </w:rPr>
        <w:t>条款响应表</w:t>
      </w: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9"/>
        <w:tblW w:w="936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6"/>
        <w:gridCol w:w="5391"/>
        <w:gridCol w:w="1415"/>
        <w:gridCol w:w="1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4" w:hRule="atLeast"/>
        </w:trPr>
        <w:tc>
          <w:tcPr>
            <w:tcW w:w="706" w:type="dxa"/>
            <w:tcBorders>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391"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pacing w:val="1"/>
                <w:w w:val="99"/>
                <w:sz w:val="24"/>
                <w:szCs w:val="24"/>
                <w:highlight w:val="none"/>
                <w:lang w:val="en-US" w:eastAsia="zh-CN"/>
              </w:rPr>
              <w:t>商务</w:t>
            </w:r>
            <w:r>
              <w:rPr>
                <w:rFonts w:hint="eastAsia" w:ascii="仿宋" w:hAnsi="仿宋" w:eastAsia="仿宋" w:cs="仿宋"/>
                <w:b/>
                <w:color w:val="auto"/>
                <w:spacing w:val="1"/>
                <w:w w:val="99"/>
                <w:sz w:val="24"/>
                <w:szCs w:val="24"/>
                <w:highlight w:val="none"/>
              </w:rPr>
              <w:t>条款要求</w:t>
            </w:r>
          </w:p>
        </w:tc>
        <w:tc>
          <w:tcPr>
            <w:tcW w:w="1415"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是否响应</w:t>
            </w:r>
          </w:p>
        </w:tc>
        <w:tc>
          <w:tcPr>
            <w:tcW w:w="1848" w:type="dxa"/>
            <w:tcBorders>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706"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1</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2</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3</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06"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4</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6"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5</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trPr>
        <w:tc>
          <w:tcPr>
            <w:tcW w:w="706" w:type="dxa"/>
            <w:tcBorders>
              <w:top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391"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15"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121" w:line="480" w:lineRule="exact"/>
        <w:ind w:left="298" w:right="0" w:firstLine="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lang w:val="en-US" w:eastAsia="zh-CN"/>
        </w:rPr>
        <w:tab/>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1、供应商对竞争性磋商文件商务部分有任何负偏离，则必须在该表中全部列明。若对竞争性磋商文件无商务偏离，请在第一行只填写“对竞争性磋商文件全部商务条款响应无商务偏离”即可。</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2、除以上“偏离说明”栏中列明的“不满足”或“优于”项外，视为供应商无条件满足并接受竞争性磋商文件规定的所有其它商务条款。</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3、如不列出，视为供应商无条件满足并接受竞争性磋商文件规定的所有商务条款。</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4、本表应包括对合同条款的偏离说明。</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lang w:val="en-US" w:eastAsia="zh-CN"/>
        </w:rPr>
      </w:pPr>
      <w:bookmarkStart w:id="264" w:name="_bookmark23"/>
      <w:bookmarkEnd w:id="264"/>
      <w:bookmarkStart w:id="265" w:name="附件10 同类项目业绩情况一览表"/>
      <w:bookmarkEnd w:id="265"/>
      <w:bookmarkStart w:id="266" w:name="_bookmark24"/>
      <w:bookmarkEnd w:id="266"/>
      <w:bookmarkStart w:id="267" w:name="附件11 项目人员配备情况表"/>
      <w:bookmarkEnd w:id="267"/>
      <w:bookmarkStart w:id="268" w:name="_Toc28747"/>
      <w:bookmarkStart w:id="269" w:name="_Toc14575"/>
      <w:bookmarkStart w:id="270" w:name="_Toc2501"/>
      <w:bookmarkStart w:id="271" w:name="_Toc13010"/>
      <w:r>
        <w:rPr>
          <w:rFonts w:hint="eastAsia" w:ascii="仿宋" w:hAnsi="仿宋" w:eastAsia="仿宋" w:cs="仿宋"/>
          <w:b/>
          <w:color w:val="auto"/>
          <w:sz w:val="28"/>
          <w:szCs w:val="28"/>
          <w:highlight w:val="none"/>
          <w:lang w:val="en-US" w:eastAsia="zh-CN"/>
        </w:rPr>
        <w:t>附件9  采购需求响应表</w:t>
      </w:r>
      <w:bookmarkEnd w:id="268"/>
      <w:bookmarkEnd w:id="269"/>
      <w:bookmarkEnd w:id="270"/>
      <w:bookmarkEnd w:id="271"/>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采购需求响应表</w:t>
      </w: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pStyle w:val="2"/>
        <w:pageBreakBefore w:val="0"/>
        <w:kinsoku/>
        <w:wordWrap/>
        <w:overflowPunct/>
        <w:topLinePunct w:val="0"/>
        <w:bidi w:val="0"/>
        <w:spacing w:before="159" w:line="480" w:lineRule="exact"/>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应对照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中第二部分《</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》的条款的内容逐条响应。</w:t>
      </w:r>
    </w:p>
    <w:tbl>
      <w:tblPr>
        <w:tblStyle w:val="19"/>
        <w:tblW w:w="928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2"/>
        <w:gridCol w:w="1485"/>
        <w:gridCol w:w="3321"/>
        <w:gridCol w:w="216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6" w:hRule="atLeast"/>
          <w:jc w:val="center"/>
        </w:trPr>
        <w:tc>
          <w:tcPr>
            <w:tcW w:w="1062" w:type="dxa"/>
            <w:tcBorders>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85"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采购需求</w:t>
            </w:r>
          </w:p>
        </w:tc>
        <w:tc>
          <w:tcPr>
            <w:tcW w:w="3321"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响应描述</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应按实际情况填写如需提供证明文件，请附在表后)</w:t>
            </w:r>
          </w:p>
        </w:tc>
        <w:tc>
          <w:tcPr>
            <w:tcW w:w="2161"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w w:val="95"/>
                <w:sz w:val="24"/>
                <w:szCs w:val="24"/>
                <w:highlight w:val="none"/>
              </w:rPr>
              <w:t>响应情况</w:t>
            </w:r>
          </w:p>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（正偏离/完全响应</w:t>
            </w:r>
            <w:r>
              <w:rPr>
                <w:rFonts w:hint="eastAsia" w:ascii="仿宋" w:hAnsi="仿宋" w:eastAsia="仿宋" w:cs="仿宋"/>
                <w:b/>
                <w:color w:val="auto"/>
                <w:spacing w:val="-15"/>
                <w:sz w:val="24"/>
                <w:szCs w:val="24"/>
                <w:highlight w:val="none"/>
              </w:rPr>
              <w:t>/</w:t>
            </w:r>
            <w:r>
              <w:rPr>
                <w:rFonts w:hint="eastAsia" w:ascii="仿宋" w:hAnsi="仿宋" w:eastAsia="仿宋" w:cs="仿宋"/>
                <w:b/>
                <w:color w:val="auto"/>
                <w:sz w:val="24"/>
                <w:szCs w:val="24"/>
                <w:highlight w:val="none"/>
              </w:rPr>
              <w:t>负偏离）</w:t>
            </w:r>
          </w:p>
        </w:tc>
        <w:tc>
          <w:tcPr>
            <w:tcW w:w="1260" w:type="dxa"/>
            <w:tcBorders>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所在</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123" w:line="480" w:lineRule="exact"/>
        <w:ind w:left="298" w:right="0" w:firstLine="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lang w:val="en-US" w:eastAsia="zh-CN"/>
        </w:rPr>
        <w:tab/>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1、供应商如果对竞争性磋商文件第三章“采购需求”中的条款的响应有任何偏离，请在本表中详细列明填写；满足的条款不必列出，并请在第一行填写“对竞争性磋商文件采购需求全部条款响应无偏离”即可。</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2、除以上“偏离说明”栏中列明的“不满足”或“优于”项外，视为供应商无条件满足并接受竞争性磋商文件规定的所有其它采购需求。</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3、如不列出，视为供应商无条件满足并接受竞争性磋商文件规定的所有供货需求。</w:t>
      </w:r>
    </w:p>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p>
    <w:p>
      <w:pPr>
        <w:pStyle w:val="2"/>
        <w:pageBreakBefore w:val="0"/>
        <w:kinsoku/>
        <w:wordWrap/>
        <w:overflowPunct/>
        <w:topLinePunct w:val="0"/>
        <w:bidi w:val="0"/>
        <w:spacing w:before="3" w:line="480" w:lineRule="exact"/>
        <w:textAlignment w:val="auto"/>
        <w:outlineLvl w:val="9"/>
        <w:rPr>
          <w:rFonts w:hint="eastAsia" w:ascii="仿宋" w:hAnsi="仿宋" w:eastAsia="仿宋" w:cs="仿宋"/>
          <w:b/>
          <w:color w:val="auto"/>
          <w:sz w:val="24"/>
          <w:szCs w:val="24"/>
          <w:highlight w:val="none"/>
        </w:rPr>
      </w:pP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lang w:val="en-US" w:eastAsia="zh-CN"/>
        </w:rPr>
      </w:pPr>
      <w:bookmarkStart w:id="272" w:name="_Toc21620"/>
      <w:bookmarkStart w:id="273" w:name="_Toc27428"/>
      <w:bookmarkStart w:id="274" w:name="_Toc19900"/>
      <w:bookmarkStart w:id="275" w:name="_Toc28290"/>
      <w:r>
        <w:rPr>
          <w:rFonts w:hint="eastAsia" w:ascii="仿宋" w:hAnsi="仿宋" w:eastAsia="仿宋" w:cs="仿宋"/>
          <w:b/>
          <w:color w:val="auto"/>
          <w:sz w:val="28"/>
          <w:szCs w:val="28"/>
          <w:highlight w:val="none"/>
          <w:lang w:val="en-US" w:eastAsia="zh-CN"/>
        </w:rPr>
        <w:t>附件10  同类项目业绩情况一览表</w:t>
      </w:r>
      <w:bookmarkEnd w:id="272"/>
      <w:bookmarkEnd w:id="273"/>
      <w:bookmarkEnd w:id="274"/>
      <w:bookmarkEnd w:id="275"/>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同类项目业绩情况一览表</w:t>
      </w: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19"/>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62336;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19"/>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2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2"/>
                      </w:pPr>
                    </w:p>
                  </w:txbxContent>
                </v:textbox>
              </v:shape>
            </w:pict>
          </mc:Fallback>
        </mc:AlternateContent>
      </w: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6"/>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6"/>
        <w:pageBreakBefore w:val="0"/>
        <w:kinsoku/>
        <w:wordWrap/>
        <w:overflowPunct/>
        <w:topLinePunct w:val="0"/>
        <w:bidi w:val="0"/>
        <w:spacing w:line="480" w:lineRule="exact"/>
        <w:textAlignment w:val="auto"/>
        <w:outlineLvl w:val="9"/>
        <w:rPr>
          <w:rFonts w:hint="eastAsia" w:ascii="仿宋" w:hAnsi="仿宋" w:eastAsia="仿宋" w:cs="仿宋"/>
          <w:color w:val="auto"/>
          <w:sz w:val="24"/>
          <w:szCs w:val="24"/>
          <w:highlight w:val="none"/>
        </w:rPr>
      </w:pPr>
    </w:p>
    <w:p>
      <w:pPr>
        <w:pStyle w:val="2"/>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eastAsia" w:ascii="仿宋" w:hAnsi="仿宋" w:eastAsia="仿宋" w:cs="仿宋"/>
          <w:b/>
          <w:color w:val="auto"/>
          <w:w w:val="95"/>
          <w:sz w:val="24"/>
          <w:szCs w:val="24"/>
          <w:highlight w:val="none"/>
        </w:rPr>
      </w:pPr>
      <w:r>
        <w:rPr>
          <w:rFonts w:hint="eastAsia" w:ascii="仿宋" w:hAnsi="仿宋" w:eastAsia="仿宋" w:cs="仿宋"/>
          <w:b/>
          <w:color w:val="auto"/>
          <w:w w:val="95"/>
          <w:sz w:val="24"/>
          <w:szCs w:val="24"/>
          <w:highlight w:val="none"/>
        </w:rPr>
        <w:t>备注：提供同类项目经验（按采购项目内容或评分表要求为准提供有效的证明文件）。</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2"/>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lang w:val="en-US" w:eastAsia="zh-CN"/>
        </w:rPr>
      </w:pPr>
      <w:bookmarkStart w:id="276" w:name="附件12 开标一览表"/>
      <w:bookmarkEnd w:id="276"/>
      <w:bookmarkStart w:id="277" w:name="_bookmark25"/>
      <w:bookmarkEnd w:id="277"/>
      <w:bookmarkStart w:id="278" w:name="_Toc22060"/>
      <w:bookmarkStart w:id="279" w:name="_Toc25364"/>
      <w:bookmarkStart w:id="280" w:name="_Toc22591"/>
      <w:bookmarkStart w:id="281" w:name="_Toc22850"/>
      <w:r>
        <w:rPr>
          <w:rFonts w:hint="eastAsia" w:ascii="仿宋" w:hAnsi="仿宋" w:eastAsia="仿宋" w:cs="仿宋"/>
          <w:b/>
          <w:color w:val="auto"/>
          <w:sz w:val="28"/>
          <w:szCs w:val="28"/>
          <w:highlight w:val="none"/>
          <w:lang w:val="en-US" w:eastAsia="zh-CN"/>
        </w:rPr>
        <w:t>附件11  项目人员配备情况表</w:t>
      </w:r>
      <w:bookmarkEnd w:id="278"/>
      <w:bookmarkEnd w:id="279"/>
      <w:bookmarkEnd w:id="280"/>
      <w:bookmarkEnd w:id="281"/>
    </w:p>
    <w:p>
      <w:pPr>
        <w:pageBreakBefore w:val="0"/>
        <w:kinsoku/>
        <w:wordWrap/>
        <w:overflowPunct/>
        <w:topLinePunct w:val="0"/>
        <w:bidi w:val="0"/>
        <w:spacing w:before="140" w:line="240" w:lineRule="auto"/>
        <w:ind w:left="0" w:right="31" w:firstLine="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项目人员配备情况表</w:t>
      </w: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9"/>
        <w:tblW w:w="9287"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姓名</w:t>
            </w: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联系方式</w:t>
            </w: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本项目中拟任岗位</w:t>
            </w: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相关资质认证</w:t>
            </w: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outlineLvl w:val="9"/>
              <w:rPr>
                <w:rFonts w:hint="eastAsia" w:ascii="仿宋" w:hAnsi="仿宋" w:eastAsia="仿宋" w:cs="仿宋"/>
                <w:color w:val="auto"/>
                <w:spacing w:val="0"/>
                <w:w w:val="100"/>
                <w:position w:val="0"/>
                <w:sz w:val="24"/>
                <w:szCs w:val="22"/>
                <w:highlight w:val="none"/>
                <w:lang w:val="zh-CN" w:eastAsia="zh-CN" w:bidi="zh-CN"/>
              </w:rPr>
            </w:pPr>
          </w:p>
        </w:tc>
      </w:tr>
    </w:tbl>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1）供应商必须如实填写此表格，并提供近相关证书等复印件证明文件。</w:t>
      </w:r>
    </w:p>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pPr>
        <w:pStyle w:val="2"/>
        <w:pageBreakBefore w:val="0"/>
        <w:kinsoku/>
        <w:wordWrap/>
        <w:overflowPunct/>
        <w:topLinePunct w:val="0"/>
        <w:bidi w:val="0"/>
        <w:spacing w:line="480" w:lineRule="exact"/>
        <w:textAlignment w:val="auto"/>
        <w:outlineLvl w:val="9"/>
        <w:rPr>
          <w:rFonts w:hint="eastAsia" w:ascii="仿宋" w:hAnsi="仿宋" w:eastAsia="仿宋" w:cs="仿宋"/>
          <w:b/>
          <w:color w:val="auto"/>
          <w:sz w:val="24"/>
          <w:szCs w:val="24"/>
          <w:highlight w:val="none"/>
        </w:rPr>
      </w:pPr>
    </w:p>
    <w:p>
      <w:pPr>
        <w:pStyle w:val="2"/>
        <w:pageBreakBefore w:val="0"/>
        <w:kinsoku/>
        <w:wordWrap/>
        <w:overflowPunct/>
        <w:topLinePunct w:val="0"/>
        <w:bidi w:val="0"/>
        <w:spacing w:before="11" w:line="480" w:lineRule="exact"/>
        <w:textAlignment w:val="auto"/>
        <w:outlineLvl w:val="9"/>
        <w:rPr>
          <w:rFonts w:hint="eastAsia" w:ascii="仿宋" w:hAnsi="仿宋" w:eastAsia="仿宋" w:cs="仿宋"/>
          <w:b/>
          <w:color w:val="auto"/>
          <w:sz w:val="24"/>
          <w:szCs w:val="24"/>
          <w:highlight w:val="none"/>
        </w:rPr>
      </w:pP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default" w:ascii="仿宋" w:hAnsi="仿宋" w:eastAsia="仿宋" w:cs="仿宋"/>
          <w:b/>
          <w:color w:val="auto"/>
          <w:sz w:val="28"/>
          <w:szCs w:val="28"/>
          <w:highlight w:val="none"/>
          <w:lang w:val="en-US" w:eastAsia="zh-CN"/>
        </w:rPr>
      </w:pPr>
      <w:bookmarkStart w:id="282" w:name="_bookmark26"/>
      <w:bookmarkEnd w:id="282"/>
      <w:bookmarkStart w:id="283" w:name="附件13 投标明细报价表"/>
      <w:bookmarkEnd w:id="283"/>
      <w:bookmarkStart w:id="284" w:name="_Toc14419"/>
      <w:bookmarkStart w:id="285" w:name="_Toc9806"/>
      <w:bookmarkStart w:id="286" w:name="_Toc4300"/>
      <w:bookmarkStart w:id="287" w:name="_Toc23709"/>
      <w:r>
        <w:rPr>
          <w:rFonts w:hint="eastAsia" w:ascii="仿宋" w:hAnsi="仿宋" w:eastAsia="仿宋" w:cs="仿宋"/>
          <w:b/>
          <w:color w:val="auto"/>
          <w:sz w:val="28"/>
          <w:szCs w:val="28"/>
          <w:highlight w:val="none"/>
          <w:lang w:val="en-US" w:eastAsia="zh-CN"/>
        </w:rPr>
        <w:t>附件12  磋商报价表</w:t>
      </w:r>
      <w:bookmarkEnd w:id="284"/>
      <w:bookmarkEnd w:id="285"/>
      <w:bookmarkEnd w:id="286"/>
      <w:bookmarkEnd w:id="287"/>
    </w:p>
    <w:p>
      <w:pPr>
        <w:pStyle w:val="2"/>
        <w:shd w:val="clear"/>
        <w:spacing w:before="159"/>
        <w:ind w:right="-90"/>
        <w:jc w:val="center"/>
        <w:outlineLvl w:val="9"/>
        <w:rPr>
          <w:rFonts w:hint="eastAsia" w:ascii="仿宋" w:hAnsi="仿宋" w:eastAsia="仿宋" w:cs="仿宋"/>
          <w:b/>
          <w:color w:val="auto"/>
          <w:sz w:val="32"/>
          <w:szCs w:val="32"/>
          <w:lang w:val="zh-CN" w:eastAsia="zh-CN" w:bidi="zh-CN"/>
        </w:rPr>
      </w:pPr>
      <w:bookmarkStart w:id="288" w:name="_bookmark28"/>
      <w:bookmarkEnd w:id="288"/>
      <w:bookmarkStart w:id="289" w:name="附件15 中小微企业声明函（中小微企业适用，不符合的无需提供）"/>
      <w:bookmarkEnd w:id="289"/>
      <w:r>
        <w:rPr>
          <w:rFonts w:hint="eastAsia" w:ascii="仿宋" w:hAnsi="仿宋" w:eastAsia="仿宋" w:cs="仿宋"/>
          <w:b/>
          <w:color w:val="auto"/>
          <w:sz w:val="32"/>
          <w:szCs w:val="32"/>
          <w:lang w:val="en-US" w:eastAsia="zh-CN" w:bidi="zh-CN"/>
        </w:rPr>
        <w:t>磋商报价表</w:t>
      </w:r>
    </w:p>
    <w:p>
      <w:pPr>
        <w:widowControl w:val="0"/>
        <w:autoSpaceDE w:val="0"/>
        <w:autoSpaceDN w:val="0"/>
        <w:spacing w:before="0"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highlight w:val="none"/>
          <w:lang w:val="en-US" w:eastAsia="zh-CN" w:bidi="zh-CN"/>
        </w:rPr>
        <w:t>供应商</w:t>
      </w:r>
      <w:r>
        <w:rPr>
          <w:rFonts w:hint="default" w:ascii="仿宋" w:hAnsi="仿宋" w:eastAsia="仿宋" w:cs="仿宋"/>
          <w:color w:val="auto"/>
          <w:spacing w:val="0"/>
          <w:w w:val="100"/>
          <w:position w:val="0"/>
          <w:sz w:val="24"/>
          <w:szCs w:val="24"/>
          <w:highlight w:val="none"/>
          <w:lang w:val="en-US" w:eastAsia="zh-CN" w:bidi="zh-CN"/>
        </w:rPr>
        <w:t>名称</w:t>
      </w:r>
      <w:r>
        <w:rPr>
          <w:rFonts w:hint="eastAsia" w:ascii="仿宋" w:hAnsi="仿宋" w:eastAsia="仿宋" w:cs="仿宋"/>
          <w:color w:val="auto"/>
          <w:spacing w:val="0"/>
          <w:w w:val="100"/>
          <w:position w:val="0"/>
          <w:sz w:val="24"/>
          <w:szCs w:val="24"/>
          <w:highlight w:val="none"/>
          <w:lang w:val="en-US" w:eastAsia="zh-CN" w:bidi="zh-CN"/>
        </w:rPr>
        <w:t>：</w:t>
      </w:r>
    </w:p>
    <w:tbl>
      <w:tblPr>
        <w:tblStyle w:val="19"/>
        <w:tblW w:w="97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5"/>
        <w:gridCol w:w="3015"/>
        <w:gridCol w:w="2103"/>
        <w:gridCol w:w="1672"/>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1765"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品类</w:t>
            </w:r>
          </w:p>
        </w:tc>
        <w:tc>
          <w:tcPr>
            <w:tcW w:w="3015"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磋商报价</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折扣率</w:t>
            </w:r>
            <w:r>
              <w:rPr>
                <w:rFonts w:hint="eastAsia" w:ascii="仿宋" w:hAnsi="仿宋" w:eastAsia="仿宋" w:cs="仿宋"/>
                <w:color w:val="auto"/>
                <w:sz w:val="24"/>
                <w:szCs w:val="24"/>
              </w:rPr>
              <w:t>）</w:t>
            </w:r>
          </w:p>
        </w:tc>
        <w:tc>
          <w:tcPr>
            <w:tcW w:w="2103"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保证金</w:t>
            </w:r>
          </w:p>
        </w:tc>
        <w:tc>
          <w:tcPr>
            <w:tcW w:w="1672" w:type="dxa"/>
            <w:vAlign w:val="center"/>
          </w:tcPr>
          <w:p>
            <w:pPr>
              <w:widowControl w:val="0"/>
              <w:shd w:val="clear"/>
              <w:autoSpaceDE w:val="0"/>
              <w:autoSpaceDN w:val="0"/>
              <w:spacing w:before="139"/>
              <w:ind w:left="0" w:leftChars="0" w:right="0" w:rightChars="0" w:firstLine="0" w:firstLineChars="0"/>
              <w:jc w:val="center"/>
              <w:rPr>
                <w:rFonts w:hint="default" w:ascii="仿宋" w:hAnsi="仿宋" w:eastAsia="仿宋" w:cs="仿宋"/>
                <w:color w:val="auto"/>
                <w:sz w:val="24"/>
                <w:szCs w:val="24"/>
                <w:highlight w:val="none"/>
                <w:shd w:val="clear" w:color="auto" w:fill="auto"/>
                <w:lang w:val="en-US" w:eastAsia="zh-CN" w:bidi="zh-CN"/>
              </w:rPr>
            </w:pPr>
            <w:r>
              <w:rPr>
                <w:rFonts w:hint="eastAsia" w:ascii="仿宋" w:hAnsi="仿宋" w:eastAsia="仿宋" w:cs="仿宋"/>
                <w:color w:val="auto"/>
                <w:sz w:val="24"/>
                <w:szCs w:val="24"/>
                <w:highlight w:val="none"/>
                <w:shd w:val="clear" w:color="auto" w:fill="auto"/>
                <w:lang w:val="en-US" w:eastAsia="zh-CN" w:bidi="zh-CN"/>
              </w:rPr>
              <w:t>服务期</w:t>
            </w:r>
          </w:p>
        </w:tc>
        <w:tc>
          <w:tcPr>
            <w:tcW w:w="1173"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1765"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矿泉水、</w:t>
            </w:r>
          </w:p>
          <w:p>
            <w:pPr>
              <w:pStyle w:val="2"/>
              <w:shd w:val="clear"/>
              <w:spacing w:before="139"/>
              <w:ind w:left="0" w:leftChars="0" w:right="0" w:rightChars="0" w:firstLine="0" w:firstLineChars="0"/>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饮料类和一次性用品</w:t>
            </w:r>
          </w:p>
        </w:tc>
        <w:tc>
          <w:tcPr>
            <w:tcW w:w="3015" w:type="dxa"/>
            <w:vAlign w:val="center"/>
          </w:tcPr>
          <w:p>
            <w:pPr>
              <w:pStyle w:val="2"/>
              <w:shd w:val="clear"/>
              <w:spacing w:before="139"/>
              <w:ind w:left="0" w:leftChars="0" w:right="0" w:rightChars="0" w:firstLine="0" w:firstLineChars="0"/>
              <w:jc w:val="lef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小写：</w:t>
            </w:r>
          </w:p>
          <w:p>
            <w:pPr>
              <w:pStyle w:val="26"/>
              <w:outlineLvl w:val="9"/>
              <w:rPr>
                <w:rFonts w:hint="eastAsia"/>
                <w:lang w:val="en-US" w:eastAsia="zh-CN"/>
              </w:rPr>
            </w:pPr>
          </w:p>
          <w:p>
            <w:pPr>
              <w:pStyle w:val="26"/>
              <w:outlineLvl w:val="9"/>
              <w:rPr>
                <w:rFonts w:hint="default"/>
                <w:lang w:val="en-US" w:eastAsia="zh-CN"/>
              </w:rPr>
            </w:pPr>
            <w:r>
              <w:rPr>
                <w:rFonts w:hint="eastAsia" w:ascii="仿宋" w:hAnsi="仿宋" w:eastAsia="仿宋" w:cs="仿宋"/>
                <w:color w:val="auto"/>
                <w:sz w:val="24"/>
                <w:szCs w:val="24"/>
                <w:lang w:val="en-US" w:eastAsia="zh-CN"/>
              </w:rPr>
              <w:t>大写：</w:t>
            </w:r>
          </w:p>
        </w:tc>
        <w:tc>
          <w:tcPr>
            <w:tcW w:w="2103"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【保证金金额及形式，例如“XX 元， 电汇” 】</w:t>
            </w:r>
          </w:p>
        </w:tc>
        <w:tc>
          <w:tcPr>
            <w:tcW w:w="1672" w:type="dxa"/>
            <w:vAlign w:val="center"/>
          </w:tcPr>
          <w:p>
            <w:pPr>
              <w:widowControl w:val="0"/>
              <w:shd w:val="clear"/>
              <w:autoSpaceDE w:val="0"/>
              <w:autoSpaceDN w:val="0"/>
              <w:spacing w:before="139"/>
              <w:ind w:left="0" w:leftChars="0" w:right="0" w:rightChars="0" w:firstLine="0" w:firstLineChars="0"/>
              <w:jc w:val="center"/>
              <w:rPr>
                <w:rFonts w:hint="eastAsia" w:ascii="仿宋" w:hAnsi="仿宋" w:eastAsia="仿宋" w:cs="仿宋"/>
                <w:color w:val="auto"/>
                <w:sz w:val="24"/>
                <w:szCs w:val="24"/>
                <w:highlight w:val="none"/>
                <w:shd w:val="clear" w:color="auto" w:fill="auto"/>
                <w:lang w:val="zh-CN" w:eastAsia="zh-CN" w:bidi="zh-CN"/>
              </w:rPr>
            </w:pPr>
            <w:r>
              <w:rPr>
                <w:rFonts w:hint="eastAsia" w:ascii="仿宋" w:hAnsi="仿宋" w:eastAsia="仿宋" w:cs="仿宋"/>
                <w:color w:val="auto"/>
                <w:sz w:val="24"/>
                <w:szCs w:val="24"/>
                <w:highlight w:val="none"/>
                <w:shd w:val="clear" w:color="auto" w:fill="auto"/>
                <w:lang w:val="zh-CN" w:eastAsia="zh-CN" w:bidi="zh-CN"/>
              </w:rPr>
              <w:t>【是/否满足</w:t>
            </w:r>
            <w:r>
              <w:rPr>
                <w:rFonts w:hint="eastAsia" w:ascii="仿宋" w:hAnsi="仿宋" w:eastAsia="仿宋" w:cs="仿宋"/>
                <w:color w:val="auto"/>
                <w:sz w:val="24"/>
                <w:szCs w:val="24"/>
                <w:highlight w:val="none"/>
                <w:shd w:val="clear" w:color="auto" w:fill="auto"/>
                <w:lang w:val="en-US" w:eastAsia="zh-CN" w:bidi="zh-CN"/>
              </w:rPr>
              <w:t>磋商</w:t>
            </w:r>
            <w:r>
              <w:rPr>
                <w:rFonts w:hint="eastAsia" w:ascii="仿宋" w:hAnsi="仿宋" w:eastAsia="仿宋" w:cs="仿宋"/>
                <w:color w:val="auto"/>
                <w:sz w:val="24"/>
                <w:szCs w:val="24"/>
                <w:highlight w:val="none"/>
                <w:shd w:val="clear" w:color="auto" w:fill="auto"/>
                <w:lang w:val="zh-CN" w:eastAsia="zh-CN" w:bidi="zh-CN"/>
              </w:rPr>
              <w:t>文件要求】</w:t>
            </w:r>
          </w:p>
        </w:tc>
        <w:tc>
          <w:tcPr>
            <w:tcW w:w="1173"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p>
        </w:tc>
      </w:tr>
    </w:tbl>
    <w:p>
      <w:pPr>
        <w:pStyle w:val="59"/>
        <w:keepNext w:val="0"/>
        <w:keepLines w:val="0"/>
        <w:pageBreakBefore w:val="0"/>
        <w:widowControl w:val="0"/>
        <w:kinsoku/>
        <w:overflowPunct/>
        <w:topLinePunct w:val="0"/>
        <w:autoSpaceDE w:val="0"/>
        <w:autoSpaceDN w:val="0"/>
        <w:bidi w:val="0"/>
        <w:adjustRightInd w:val="0"/>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pPr>
        <w:pStyle w:val="59"/>
        <w:keepNext w:val="0"/>
        <w:keepLines w:val="0"/>
        <w:pageBreakBefore w:val="0"/>
        <w:widowControl w:val="0"/>
        <w:kinsoku/>
        <w:overflowPunct/>
        <w:topLinePunct w:val="0"/>
        <w:autoSpaceDE w:val="0"/>
        <w:autoSpaceDN w:val="0"/>
        <w:bidi w:val="0"/>
        <w:adjustRightInd w:val="0"/>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1.供应商应按“采购需求”的要求进行报价。本表内的磋商报价为最终报价，响应文件内不得含有任何对本报价进行修改的其他说明，否则将被视为无效响应； </w:t>
      </w:r>
    </w:p>
    <w:p>
      <w:pPr>
        <w:pStyle w:val="59"/>
        <w:keepNext w:val="0"/>
        <w:keepLines w:val="0"/>
        <w:pageBreakBefore w:val="0"/>
        <w:widowControl w:val="0"/>
        <w:kinsoku/>
        <w:wordWrap w:val="0"/>
        <w:overflowPunct/>
        <w:topLinePunct w:val="0"/>
        <w:autoSpaceDE w:val="0"/>
        <w:autoSpaceDN w:val="0"/>
        <w:bidi w:val="0"/>
        <w:adjustRightInd w:val="0"/>
        <w:snapToGrid/>
        <w:spacing w:line="360" w:lineRule="auto"/>
        <w:ind w:firstLine="0" w:firstLineChars="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val="0"/>
          <w:color w:val="auto"/>
          <w:kern w:val="2"/>
          <w:sz w:val="24"/>
          <w:szCs w:val="24"/>
          <w:highlight w:val="none"/>
          <w:lang w:val="en-US" w:eastAsia="zh-CN" w:bidi="ar-SA"/>
        </w:rPr>
        <w:t>供货价格</w:t>
      </w:r>
      <w:r>
        <w:rPr>
          <w:rFonts w:hint="eastAsia" w:ascii="仿宋" w:hAnsi="仿宋" w:eastAsia="仿宋" w:cs="仿宋"/>
          <w:color w:val="auto"/>
          <w:kern w:val="2"/>
          <w:sz w:val="24"/>
          <w:szCs w:val="24"/>
          <w:lang w:val="en-US" w:eastAsia="zh-CN" w:bidi="ar-SA"/>
        </w:rPr>
        <w:t>以服务期限内附近</w:t>
      </w:r>
      <w:r>
        <w:rPr>
          <w:rFonts w:hint="eastAsia" w:ascii="仿宋" w:hAnsi="仿宋" w:eastAsia="仿宋" w:cs="仿宋"/>
          <w:b w:val="0"/>
          <w:bCs w:val="0"/>
          <w:color w:val="auto"/>
          <w:kern w:val="2"/>
          <w:sz w:val="24"/>
          <w:szCs w:val="24"/>
          <w:highlight w:val="none"/>
          <w:lang w:val="en-US" w:eastAsia="zh-CN" w:bidi="ar-SA"/>
        </w:rPr>
        <w:t>各大商超（本市内友好、华润万家等）的正常零售价（特价商品除外）为</w:t>
      </w:r>
      <w:r>
        <w:rPr>
          <w:rFonts w:hint="eastAsia" w:ascii="仿宋" w:hAnsi="仿宋" w:eastAsia="仿宋" w:cs="仿宋"/>
          <w:color w:val="auto"/>
          <w:kern w:val="2"/>
          <w:sz w:val="24"/>
          <w:szCs w:val="24"/>
          <w:lang w:val="en-US" w:eastAsia="zh-CN" w:bidi="ar-SA"/>
        </w:rPr>
        <w:t>基础价格报出折扣率。</w:t>
      </w:r>
    </w:p>
    <w:p>
      <w:pPr>
        <w:pStyle w:val="59"/>
        <w:keepNext w:val="0"/>
        <w:keepLines w:val="0"/>
        <w:pageBreakBefore w:val="0"/>
        <w:widowControl w:val="0"/>
        <w:kinsoku/>
        <w:overflowPunct/>
        <w:topLinePunct w:val="0"/>
        <w:autoSpaceDE w:val="0"/>
        <w:autoSpaceDN w:val="0"/>
        <w:bidi w:val="0"/>
        <w:adjustRightInd w:val="0"/>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3.磋商报价折扣率的报价均应包含国家规定的税费。 </w:t>
      </w:r>
    </w:p>
    <w:p>
      <w:pPr>
        <w:pStyle w:val="59"/>
        <w:keepNext w:val="0"/>
        <w:keepLines w:val="0"/>
        <w:pageBreakBefore w:val="0"/>
        <w:widowControl w:val="0"/>
        <w:kinsoku/>
        <w:overflowPunct/>
        <w:topLinePunct w:val="0"/>
        <w:autoSpaceDE w:val="0"/>
        <w:autoSpaceDN w:val="0"/>
        <w:bidi w:val="0"/>
        <w:adjustRightInd w:val="0"/>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4.本项目不接受有选择性的磋商报价，只允许报一个折扣率，且所报的折扣率应当适用于该类别所有产品单品。 </w:t>
      </w:r>
    </w:p>
    <w:p>
      <w:pPr>
        <w:pStyle w:val="59"/>
        <w:keepNext w:val="0"/>
        <w:keepLines w:val="0"/>
        <w:pageBreakBefore w:val="0"/>
        <w:widowControl w:val="0"/>
        <w:kinsoku/>
        <w:overflowPunct/>
        <w:topLinePunct w:val="0"/>
        <w:autoSpaceDE w:val="0"/>
        <w:autoSpaceDN w:val="0"/>
        <w:bidi w:val="0"/>
        <w:adjustRightInd w:val="0"/>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5.本项目磋商报价为折扣率报价【如磋商报价折扣率报价为X折，则所有物品的结算金额＝各项采购内容的单价×X%×实际供货量】，</w:t>
      </w:r>
      <w:r>
        <w:rPr>
          <w:rFonts w:hint="eastAsia" w:ascii="仿宋" w:hAnsi="仿宋" w:eastAsia="仿宋" w:cs="仿宋"/>
          <w:b/>
          <w:bCs/>
          <w:color w:val="auto"/>
          <w:sz w:val="24"/>
          <w:szCs w:val="24"/>
          <w:highlight w:val="none"/>
          <w:lang w:val="en-US" w:eastAsia="zh-CN"/>
        </w:rPr>
        <w:t>折扣率写法，如果报价是8折，小写：80，大写：捌折；如果报价是75折，小写：75，大写：柒伍折；</w:t>
      </w:r>
    </w:p>
    <w:p>
      <w:pPr>
        <w:pStyle w:val="59"/>
        <w:keepNext w:val="0"/>
        <w:keepLines w:val="0"/>
        <w:pageBreakBefore w:val="0"/>
        <w:widowControl w:val="0"/>
        <w:kinsoku/>
        <w:overflowPunct/>
        <w:topLinePunct w:val="0"/>
        <w:autoSpaceDE w:val="0"/>
        <w:autoSpaceDN w:val="0"/>
        <w:bidi w:val="0"/>
        <w:adjustRightInd w:val="0"/>
        <w:snapToGrid/>
        <w:spacing w:line="360" w:lineRule="auto"/>
        <w:ind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6.本表格须附在正副的响应文件中，并另封装一份在 “磋商报价表”内。</w:t>
      </w:r>
    </w:p>
    <w:p>
      <w:pPr>
        <w:pStyle w:val="2"/>
        <w:keepNext w:val="0"/>
        <w:keepLines w:val="0"/>
        <w:pageBreakBefore w:val="0"/>
        <w:widowControl w:val="0"/>
        <w:shd w:val="clear"/>
        <w:kinsoku/>
        <w:overflowPunct/>
        <w:topLinePunct w:val="0"/>
        <w:autoSpaceDE w:val="0"/>
        <w:autoSpaceDN w:val="0"/>
        <w:bidi w:val="0"/>
        <w:snapToGrid/>
        <w:spacing w:line="360" w:lineRule="auto"/>
        <w:ind w:firstLine="0" w:firstLineChars="0"/>
        <w:textAlignment w:val="auto"/>
        <w:outlineLvl w:val="9"/>
        <w:rPr>
          <w:rFonts w:ascii="仿宋" w:hAnsi="仿宋" w:eastAsia="仿宋" w:cs="仿宋"/>
          <w:color w:val="auto"/>
          <w:sz w:val="24"/>
          <w:szCs w:val="24"/>
        </w:rPr>
      </w:pP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2"/>
        <w:shd w:val="clear"/>
        <w:tabs>
          <w:tab w:val="left" w:pos="718"/>
          <w:tab w:val="left" w:pos="1767"/>
          <w:tab w:val="left" w:pos="2398"/>
          <w:tab w:val="left" w:pos="3027"/>
        </w:tabs>
        <w:spacing w:line="360" w:lineRule="auto"/>
        <w:ind w:left="298"/>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jc w:val="center"/>
        <w:outlineLvl w:val="9"/>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报价</w:t>
      </w:r>
      <w:r>
        <w:rPr>
          <w:rFonts w:hint="eastAsia" w:ascii="仿宋" w:hAnsi="仿宋" w:eastAsia="仿宋" w:cs="仿宋"/>
          <w:b/>
          <w:color w:val="auto"/>
          <w:sz w:val="32"/>
          <w:szCs w:val="32"/>
          <w:lang w:eastAsia="zh-CN"/>
        </w:rPr>
        <w:t>明细表</w:t>
      </w: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349"/>
        <w:gridCol w:w="1343"/>
        <w:gridCol w:w="1532"/>
        <w:gridCol w:w="1075"/>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序号</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名称</w:t>
            </w:r>
          </w:p>
        </w:tc>
        <w:tc>
          <w:tcPr>
            <w:tcW w:w="1343"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品牌</w:t>
            </w:r>
          </w:p>
        </w:tc>
        <w:tc>
          <w:tcPr>
            <w:tcW w:w="1532"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型号和规格</w:t>
            </w:r>
          </w:p>
        </w:tc>
        <w:tc>
          <w:tcPr>
            <w:tcW w:w="1075"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产地</w:t>
            </w:r>
          </w:p>
        </w:tc>
        <w:tc>
          <w:tcPr>
            <w:tcW w:w="115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1</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2</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lang w:eastAsia="zh-CN"/>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3</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4</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5</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6</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7</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1"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r>
              <w:rPr>
                <w:rFonts w:hint="eastAsia" w:ascii="仿宋" w:hAnsi="仿宋" w:eastAsia="仿宋" w:cs="仿宋"/>
                <w:i w:val="0"/>
                <w:iCs w:val="0"/>
                <w:color w:val="auto"/>
                <w:sz w:val="24"/>
              </w:rPr>
              <w:t>8</w:t>
            </w:r>
          </w:p>
        </w:tc>
        <w:tc>
          <w:tcPr>
            <w:tcW w:w="3349" w:type="dxa"/>
            <w:noWrap w:val="0"/>
            <w:vAlign w:val="center"/>
          </w:tcPr>
          <w:p>
            <w:pPr>
              <w:pStyle w:val="11"/>
              <w:pageBreakBefore w:val="0"/>
              <w:kinsoku/>
              <w:wordWrap/>
              <w:overflowPunct/>
              <w:topLinePunct w:val="0"/>
              <w:bidi w:val="0"/>
              <w:snapToGrid/>
              <w:spacing w:line="240" w:lineRule="auto"/>
              <w:jc w:val="center"/>
              <w:textAlignment w:val="auto"/>
              <w:outlineLvl w:val="9"/>
              <w:rPr>
                <w:rFonts w:hint="eastAsia" w:ascii="仿宋" w:hAnsi="仿宋" w:eastAsia="仿宋" w:cs="仿宋"/>
                <w:i w:val="0"/>
                <w:iCs w:val="0"/>
                <w:color w:val="auto"/>
                <w:sz w:val="24"/>
              </w:rPr>
            </w:pPr>
          </w:p>
        </w:tc>
        <w:tc>
          <w:tcPr>
            <w:tcW w:w="1343" w:type="dxa"/>
            <w:noWrap w:val="0"/>
            <w:vAlign w:val="top"/>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532"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075"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c>
          <w:tcPr>
            <w:tcW w:w="1151" w:type="dxa"/>
            <w:noWrap w:val="0"/>
            <w:vAlign w:val="center"/>
          </w:tcPr>
          <w:p>
            <w:pPr>
              <w:pStyle w:val="11"/>
              <w:pageBreakBefore w:val="0"/>
              <w:kinsoku/>
              <w:wordWrap/>
              <w:overflowPunct/>
              <w:topLinePunct w:val="0"/>
              <w:bidi w:val="0"/>
              <w:snapToGrid/>
              <w:spacing w:line="240" w:lineRule="auto"/>
              <w:ind w:left="1105" w:leftChars="257" w:hanging="540"/>
              <w:jc w:val="center"/>
              <w:textAlignment w:val="auto"/>
              <w:outlineLvl w:val="9"/>
              <w:rPr>
                <w:rFonts w:hint="eastAsia" w:ascii="仿宋" w:hAnsi="仿宋" w:eastAsia="仿宋" w:cs="仿宋"/>
                <w:i w:val="0"/>
                <w:iCs w:val="0"/>
                <w:color w:val="auto"/>
                <w:sz w:val="24"/>
              </w:rPr>
            </w:pPr>
          </w:p>
        </w:tc>
      </w:tr>
    </w:tbl>
    <w:p>
      <w:pPr>
        <w:shd w:val="clear"/>
        <w:spacing w:before="121" w:line="360" w:lineRule="auto"/>
        <w:ind w:left="298"/>
        <w:outlineLvl w:val="9"/>
        <w:rPr>
          <w:rFonts w:ascii="仿宋" w:hAnsi="仿宋" w:eastAsia="仿宋" w:cs="仿宋"/>
          <w:b/>
          <w:color w:val="auto"/>
          <w:sz w:val="24"/>
          <w:szCs w:val="24"/>
        </w:rPr>
      </w:pPr>
      <w:r>
        <w:rPr>
          <w:rFonts w:hint="eastAsia" w:ascii="仿宋" w:hAnsi="仿宋" w:eastAsia="仿宋" w:cs="仿宋"/>
          <w:b/>
          <w:color w:val="auto"/>
          <w:sz w:val="24"/>
          <w:szCs w:val="24"/>
        </w:rPr>
        <w:t>备注：</w:t>
      </w:r>
    </w:p>
    <w:p>
      <w:pPr>
        <w:pStyle w:val="2"/>
        <w:shd w:val="clear"/>
        <w:spacing w:line="360" w:lineRule="auto"/>
        <w:ind w:firstLine="480" w:firstLineChars="200"/>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.上述各项的详细分项报价，可另页描述。</w:t>
      </w:r>
    </w:p>
    <w:p>
      <w:pPr>
        <w:pStyle w:val="2"/>
        <w:shd w:val="clear"/>
        <w:spacing w:before="3" w:line="360" w:lineRule="auto"/>
        <w:outlineLvl w:val="9"/>
        <w:rPr>
          <w:rFonts w:ascii="仿宋" w:hAnsi="仿宋" w:eastAsia="仿宋" w:cs="仿宋"/>
          <w:b/>
          <w:color w:val="auto"/>
          <w:sz w:val="24"/>
          <w:szCs w:val="24"/>
        </w:rPr>
      </w:pP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2"/>
        <w:shd w:val="clear"/>
        <w:tabs>
          <w:tab w:val="left" w:pos="718"/>
          <w:tab w:val="left" w:pos="1767"/>
          <w:tab w:val="left" w:pos="2398"/>
          <w:tab w:val="left" w:pos="3027"/>
        </w:tabs>
        <w:spacing w:line="360" w:lineRule="auto"/>
        <w:ind w:left="298"/>
        <w:outlineLvl w:val="9"/>
        <w:rPr>
          <w:rFonts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rPr>
          <w:rFonts w:ascii="仿宋" w:hAnsi="仿宋" w:eastAsia="仿宋" w:cs="仿宋"/>
          <w:color w:val="auto"/>
          <w:sz w:val="24"/>
          <w:szCs w:val="24"/>
        </w:rPr>
      </w:pPr>
      <w:r>
        <w:rPr>
          <w:rFonts w:ascii="仿宋" w:hAnsi="仿宋" w:eastAsia="仿宋" w:cs="仿宋"/>
          <w:color w:val="auto"/>
          <w:sz w:val="24"/>
          <w:szCs w:val="24"/>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lang w:val="en-US" w:eastAsia="zh-CN"/>
        </w:rPr>
      </w:pPr>
      <w:bookmarkStart w:id="290" w:name="_Toc29245"/>
      <w:bookmarkStart w:id="291" w:name="_Toc3749"/>
      <w:bookmarkStart w:id="292" w:name="_Toc11892"/>
      <w:bookmarkStart w:id="293" w:name="_Toc11192"/>
      <w:r>
        <w:rPr>
          <w:rFonts w:hint="eastAsia" w:ascii="仿宋" w:hAnsi="仿宋" w:eastAsia="仿宋" w:cs="仿宋"/>
          <w:b/>
          <w:color w:val="auto"/>
          <w:sz w:val="28"/>
          <w:szCs w:val="28"/>
          <w:highlight w:val="none"/>
          <w:lang w:val="en-US" w:eastAsia="zh-CN"/>
        </w:rPr>
        <w:t>附件13  优惠条件承诺书</w:t>
      </w:r>
      <w:bookmarkEnd w:id="290"/>
      <w:bookmarkEnd w:id="291"/>
      <w:bookmarkEnd w:id="292"/>
      <w:bookmarkEnd w:id="293"/>
    </w:p>
    <w:p>
      <w:pPr>
        <w:spacing w:line="360" w:lineRule="auto"/>
        <w:jc w:val="center"/>
        <w:outlineLvl w:val="9"/>
        <w:rPr>
          <w:rFonts w:hint="eastAsia" w:ascii="仿宋" w:hAnsi="仿宋" w:eastAsia="仿宋" w:cs="仿宋"/>
          <w:b/>
          <w:color w:val="auto"/>
          <w:sz w:val="32"/>
          <w:szCs w:val="32"/>
        </w:rPr>
      </w:pPr>
      <w:bookmarkStart w:id="294" w:name="_Toc400536598"/>
      <w:bookmarkStart w:id="295" w:name="_Toc258923315"/>
      <w:r>
        <w:rPr>
          <w:rFonts w:hint="eastAsia" w:ascii="仿宋" w:hAnsi="仿宋" w:eastAsia="仿宋" w:cs="仿宋"/>
          <w:b/>
          <w:color w:val="auto"/>
          <w:sz w:val="32"/>
          <w:szCs w:val="32"/>
        </w:rPr>
        <w:t>优惠条件承诺书</w:t>
      </w:r>
      <w:bookmarkEnd w:id="294"/>
      <w:bookmarkEnd w:id="295"/>
    </w:p>
    <w:p>
      <w:pPr>
        <w:spacing w:line="360" w:lineRule="auto"/>
        <w:jc w:val="center"/>
        <w:outlineLvl w:val="9"/>
        <w:rPr>
          <w:rFonts w:hint="eastAsia" w:ascii="仿宋" w:hAnsi="仿宋" w:eastAsia="仿宋" w:cs="仿宋"/>
          <w:b/>
          <w:color w:val="auto"/>
          <w:sz w:val="30"/>
          <w:szCs w:val="30"/>
        </w:rPr>
      </w:pPr>
    </w:p>
    <w:p>
      <w:pPr>
        <w:spacing w:line="360" w:lineRule="auto"/>
        <w:outlineLvl w:val="9"/>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                              </w:t>
      </w:r>
    </w:p>
    <w:p>
      <w:pPr>
        <w:spacing w:line="360" w:lineRule="auto"/>
        <w:ind w:firstLine="480" w:firstLineChars="200"/>
        <w:textAlignment w:val="baseline"/>
        <w:outlineLvl w:val="9"/>
        <w:rPr>
          <w:rFonts w:hint="eastAsia" w:ascii="仿宋" w:hAnsi="仿宋" w:eastAsia="仿宋" w:cs="仿宋"/>
          <w:color w:val="auto"/>
          <w:sz w:val="24"/>
        </w:rPr>
      </w:pPr>
      <w:r>
        <w:rPr>
          <w:rFonts w:hint="eastAsia" w:ascii="仿宋" w:hAnsi="仿宋" w:eastAsia="仿宋" w:cs="仿宋"/>
          <w:color w:val="auto"/>
          <w:sz w:val="24"/>
        </w:rPr>
        <w:t>经仔细阅读你们的磋商文件，对所</w:t>
      </w:r>
      <w:r>
        <w:rPr>
          <w:rFonts w:hint="eastAsia" w:ascii="仿宋" w:hAnsi="仿宋" w:eastAsia="仿宋" w:cs="仿宋"/>
          <w:color w:val="auto"/>
          <w:sz w:val="24"/>
          <w:lang w:eastAsia="zh-CN"/>
        </w:rPr>
        <w:t>磋商</w:t>
      </w:r>
      <w:r>
        <w:rPr>
          <w:rFonts w:hint="eastAsia" w:ascii="仿宋" w:hAnsi="仿宋" w:eastAsia="仿宋" w:cs="仿宋"/>
          <w:color w:val="auto"/>
          <w:sz w:val="24"/>
        </w:rPr>
        <w:t>项目向贵单位特作如下优惠条件承诺：</w:t>
      </w:r>
    </w:p>
    <w:p>
      <w:pPr>
        <w:spacing w:line="360" w:lineRule="auto"/>
        <w:ind w:firstLine="360" w:firstLineChars="150"/>
        <w:textAlignment w:val="baseline"/>
        <w:outlineLvl w:val="9"/>
        <w:rPr>
          <w:rFonts w:hint="eastAsia" w:ascii="仿宋" w:hAnsi="仿宋" w:eastAsia="仿宋" w:cs="仿宋"/>
          <w:color w:val="auto"/>
          <w:sz w:val="24"/>
        </w:rPr>
      </w:pPr>
      <w:r>
        <w:rPr>
          <w:rFonts w:hint="eastAsia" w:ascii="仿宋" w:hAnsi="仿宋" w:eastAsia="仿宋" w:cs="仿宋"/>
          <w:color w:val="auto"/>
          <w:sz w:val="24"/>
        </w:rPr>
        <w:t>（1）．．．．．．</w:t>
      </w:r>
    </w:p>
    <w:p>
      <w:pPr>
        <w:spacing w:line="360" w:lineRule="auto"/>
        <w:ind w:firstLine="360" w:firstLineChars="150"/>
        <w:textAlignment w:val="baseline"/>
        <w:outlineLvl w:val="9"/>
        <w:rPr>
          <w:rFonts w:hint="eastAsia" w:ascii="仿宋" w:hAnsi="仿宋" w:eastAsia="仿宋" w:cs="仿宋"/>
          <w:color w:val="auto"/>
          <w:sz w:val="24"/>
        </w:rPr>
      </w:pPr>
      <w:r>
        <w:rPr>
          <w:rFonts w:hint="eastAsia" w:ascii="仿宋" w:hAnsi="仿宋" w:eastAsia="仿宋" w:cs="仿宋"/>
          <w:color w:val="auto"/>
          <w:sz w:val="24"/>
        </w:rPr>
        <w:t>（2）．．．．．．</w:t>
      </w:r>
    </w:p>
    <w:p>
      <w:pPr>
        <w:spacing w:line="360" w:lineRule="auto"/>
        <w:ind w:firstLine="360" w:firstLineChars="150"/>
        <w:textAlignment w:val="baseline"/>
        <w:outlineLvl w:val="9"/>
        <w:rPr>
          <w:rFonts w:hint="eastAsia" w:ascii="仿宋" w:hAnsi="仿宋" w:eastAsia="仿宋" w:cs="仿宋"/>
          <w:color w:val="auto"/>
          <w:sz w:val="24"/>
        </w:rPr>
      </w:pPr>
      <w:r>
        <w:rPr>
          <w:rFonts w:hint="eastAsia" w:ascii="仿宋" w:hAnsi="仿宋" w:eastAsia="仿宋" w:cs="仿宋"/>
          <w:color w:val="auto"/>
          <w:sz w:val="24"/>
        </w:rPr>
        <w:t>（3）．．．．．．</w:t>
      </w:r>
    </w:p>
    <w:p>
      <w:pPr>
        <w:spacing w:line="360" w:lineRule="auto"/>
        <w:ind w:firstLine="480" w:firstLineChars="200"/>
        <w:textAlignment w:val="baseline"/>
        <w:outlineLvl w:val="9"/>
        <w:rPr>
          <w:rFonts w:hint="eastAsia" w:ascii="仿宋" w:hAnsi="仿宋" w:eastAsia="仿宋" w:cs="仿宋"/>
          <w:color w:val="auto"/>
          <w:sz w:val="24"/>
        </w:rPr>
      </w:pPr>
      <w:r>
        <w:rPr>
          <w:rFonts w:hint="eastAsia" w:ascii="仿宋" w:hAnsi="仿宋" w:eastAsia="仿宋" w:cs="仿宋"/>
          <w:color w:val="auto"/>
          <w:sz w:val="24"/>
        </w:rPr>
        <w:t>．．．．．．</w:t>
      </w:r>
    </w:p>
    <w:p>
      <w:pPr>
        <w:spacing w:line="360" w:lineRule="auto"/>
        <w:textAlignment w:val="baseline"/>
        <w:outlineLvl w:val="9"/>
        <w:rPr>
          <w:rFonts w:hint="eastAsia" w:ascii="仿宋" w:hAnsi="仿宋" w:eastAsia="仿宋" w:cs="仿宋"/>
          <w:color w:val="auto"/>
          <w:sz w:val="24"/>
        </w:rPr>
      </w:pPr>
      <w:r>
        <w:rPr>
          <w:rFonts w:hint="eastAsia" w:ascii="仿宋" w:hAnsi="仿宋" w:eastAsia="仿宋" w:cs="仿宋"/>
          <w:color w:val="auto"/>
          <w:sz w:val="24"/>
        </w:rPr>
        <w:t>特此承诺！</w:t>
      </w:r>
    </w:p>
    <w:p>
      <w:pPr>
        <w:spacing w:line="360" w:lineRule="auto"/>
        <w:textAlignment w:val="baseline"/>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u w:val="single"/>
        </w:rPr>
      </w:pPr>
      <w:r>
        <w:rPr>
          <w:rFonts w:hint="eastAsia" w:ascii="仿宋" w:hAnsi="仿宋" w:eastAsia="仿宋" w:cs="仿宋"/>
          <w:color w:val="auto"/>
          <w:sz w:val="24"/>
        </w:rPr>
        <w:t>供应商名称（公章）：</w:t>
      </w:r>
      <w:r>
        <w:rPr>
          <w:rFonts w:hint="eastAsia" w:ascii="仿宋" w:hAnsi="仿宋" w:eastAsia="仿宋" w:cs="仿宋"/>
          <w:color w:val="auto"/>
          <w:sz w:val="24"/>
          <w:u w:val="single"/>
        </w:rPr>
        <w:t xml:space="preserve">                         </w:t>
      </w:r>
    </w:p>
    <w:p>
      <w:pPr>
        <w:spacing w:line="360" w:lineRule="auto"/>
        <w:outlineLvl w:val="9"/>
        <w:rPr>
          <w:rFonts w:hint="eastAsia" w:ascii="仿宋" w:hAnsi="仿宋" w:eastAsia="仿宋" w:cs="仿宋"/>
          <w:color w:val="auto"/>
          <w:sz w:val="24"/>
        </w:rPr>
      </w:pPr>
      <w:r>
        <w:rPr>
          <w:rFonts w:hint="eastAsia" w:ascii="仿宋" w:hAnsi="仿宋" w:eastAsia="仿宋" w:cs="仿宋"/>
          <w:bCs/>
          <w:color w:val="auto"/>
          <w:sz w:val="24"/>
        </w:rPr>
        <w:t>法定代表人或授权代表人（签字</w:t>
      </w:r>
      <w:r>
        <w:rPr>
          <w:rFonts w:hint="eastAsia" w:ascii="仿宋" w:hAnsi="仿宋" w:eastAsia="仿宋" w:cs="仿宋"/>
          <w:bCs/>
          <w:color w:val="auto"/>
          <w:sz w:val="24"/>
          <w:lang w:val="en-US" w:eastAsia="zh-CN"/>
        </w:rPr>
        <w:t>或盖章</w:t>
      </w:r>
      <w:r>
        <w:rPr>
          <w:rFonts w:hint="eastAsia" w:ascii="仿宋" w:hAnsi="仿宋" w:eastAsia="仿宋" w:cs="仿宋"/>
          <w:bCs/>
          <w:color w:val="auto"/>
          <w:sz w:val="24"/>
        </w:rPr>
        <w:t>）：</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outlineLvl w:val="9"/>
        <w:rPr>
          <w:rFonts w:hint="eastAsia" w:ascii="仿宋" w:hAnsi="仿宋" w:eastAsia="仿宋" w:cs="仿宋"/>
          <w:color w:val="auto"/>
          <w:sz w:val="24"/>
          <w:u w:val="single"/>
        </w:rPr>
      </w:pPr>
      <w:r>
        <w:rPr>
          <w:rFonts w:hint="eastAsia" w:ascii="仿宋" w:hAnsi="仿宋" w:eastAsia="仿宋" w:cs="仿宋"/>
          <w:color w:val="auto"/>
          <w:sz w:val="24"/>
        </w:rPr>
        <w:t>传真：</w:t>
      </w:r>
      <w:r>
        <w:rPr>
          <w:rFonts w:hint="eastAsia" w:ascii="仿宋" w:hAnsi="仿宋" w:eastAsia="仿宋" w:cs="仿宋"/>
          <w:color w:val="auto"/>
          <w:sz w:val="24"/>
          <w:u w:val="single"/>
        </w:rPr>
        <w:t xml:space="preserve">                                      </w:t>
      </w:r>
    </w:p>
    <w:p>
      <w:pPr>
        <w:spacing w:line="360" w:lineRule="auto"/>
        <w:ind w:right="480"/>
        <w:outlineLvl w:val="9"/>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
        <w:keepNext w:val="0"/>
        <w:keepLines w:val="0"/>
        <w:pageBreakBefore w:val="0"/>
        <w:widowControl w:val="0"/>
        <w:kinsoku/>
        <w:wordWrap/>
        <w:overflowPunct/>
        <w:topLinePunct w:val="0"/>
        <w:autoSpaceDE w:val="0"/>
        <w:autoSpaceDN w:val="0"/>
        <w:bidi w:val="0"/>
        <w:adjustRightInd/>
        <w:snapToGrid/>
        <w:spacing w:line="240" w:lineRule="auto"/>
        <w:jc w:val="left"/>
        <w:textAlignment w:val="auto"/>
        <w:outlineLvl w:val="9"/>
        <w:rPr>
          <w:b/>
          <w:bCs/>
          <w:color w:val="auto"/>
          <w:sz w:val="28"/>
          <w:szCs w:val="28"/>
          <w:highlight w:val="none"/>
        </w:rPr>
      </w:pPr>
      <w:r>
        <w:rPr>
          <w:rFonts w:hint="eastAsia" w:ascii="仿宋" w:hAnsi="仿宋" w:eastAsia="仿宋" w:cs="仿宋"/>
          <w:b/>
          <w:color w:val="auto"/>
          <w:sz w:val="28"/>
          <w:szCs w:val="28"/>
          <w:highlight w:val="none"/>
        </w:rPr>
        <w:br w:type="page"/>
      </w:r>
      <w:bookmarkStart w:id="296" w:name="_Toc28940"/>
      <w:bookmarkStart w:id="297" w:name="_Toc191"/>
      <w:bookmarkStart w:id="298" w:name="_Toc1998"/>
      <w:bookmarkStart w:id="299" w:name="_Toc25804"/>
      <w:r>
        <w:rPr>
          <w:rFonts w:hint="eastAsia" w:ascii="仿宋" w:hAnsi="仿宋" w:eastAsia="仿宋" w:cs="仿宋"/>
          <w:b/>
          <w:color w:val="auto"/>
          <w:sz w:val="28"/>
          <w:szCs w:val="28"/>
          <w:highlight w:val="none"/>
          <w:lang w:val="en-US" w:eastAsia="zh-CN" w:bidi="zh-CN"/>
        </w:rPr>
        <w:t xml:space="preserve">附件14  </w:t>
      </w:r>
      <w:r>
        <w:rPr>
          <w:rFonts w:hint="eastAsia" w:ascii="仿宋" w:hAnsi="仿宋" w:eastAsia="仿宋" w:cs="仿宋"/>
          <w:b/>
          <w:color w:val="auto"/>
          <w:sz w:val="28"/>
          <w:szCs w:val="28"/>
          <w:highlight w:val="none"/>
          <w:lang w:val="zh-CN" w:eastAsia="zh-CN" w:bidi="zh-CN"/>
        </w:rPr>
        <w:t>磋商保证金缴纳凭证</w:t>
      </w:r>
      <w:bookmarkEnd w:id="296"/>
      <w:bookmarkEnd w:id="297"/>
      <w:bookmarkEnd w:id="298"/>
      <w:bookmarkEnd w:id="299"/>
    </w:p>
    <w:p>
      <w:pPr>
        <w:pStyle w:val="2"/>
        <w:spacing w:line="480" w:lineRule="exact"/>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eastAsia="zh-CN"/>
        </w:rPr>
        <w:t>磋商</w:t>
      </w:r>
      <w:r>
        <w:rPr>
          <w:rFonts w:hint="eastAsia" w:ascii="仿宋" w:hAnsi="仿宋" w:eastAsia="仿宋" w:cs="仿宋"/>
          <w:bCs/>
          <w:color w:val="auto"/>
          <w:sz w:val="24"/>
          <w:szCs w:val="24"/>
          <w:highlight w:val="none"/>
          <w:u w:val="single"/>
        </w:rPr>
        <w:t>代理公司）</w:t>
      </w:r>
    </w:p>
    <w:p>
      <w:pPr>
        <w:pStyle w:val="2"/>
        <w:spacing w:line="48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我方于</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rPr>
        <w:t xml:space="preserve"> 日参加</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u w:val="single"/>
        </w:rPr>
        <w:t xml:space="preserve">（项目名称）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lang w:eastAsia="zh-CN"/>
        </w:rPr>
        <w:t>磋商</w:t>
      </w:r>
      <w:r>
        <w:rPr>
          <w:rFonts w:hint="eastAsia" w:ascii="仿宋" w:hAnsi="仿宋" w:eastAsia="仿宋" w:cs="仿宋"/>
          <w:bCs/>
          <w:color w:val="auto"/>
          <w:sz w:val="24"/>
          <w:highlight w:val="none"/>
        </w:rPr>
        <w:t>，现保证：我方在规定的</w:t>
      </w:r>
      <w:r>
        <w:rPr>
          <w:rFonts w:hint="eastAsia" w:ascii="仿宋" w:hAnsi="仿宋" w:eastAsia="仿宋" w:cs="仿宋"/>
          <w:bCs/>
          <w:color w:val="auto"/>
          <w:sz w:val="24"/>
          <w:highlight w:val="none"/>
          <w:lang w:eastAsia="zh-CN"/>
        </w:rPr>
        <w:t>磋商</w:t>
      </w:r>
      <w:r>
        <w:rPr>
          <w:rFonts w:hint="eastAsia" w:ascii="仿宋" w:hAnsi="仿宋" w:eastAsia="仿宋" w:cs="仿宋"/>
          <w:bCs/>
          <w:color w:val="auto"/>
          <w:sz w:val="24"/>
          <w:highlight w:val="none"/>
        </w:rPr>
        <w:t>有效期内撤销或修改</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的，或者在收到成交通知书后无正当理由拒签合同或拒交规定履约担保的，</w:t>
      </w:r>
      <w:r>
        <w:rPr>
          <w:rFonts w:hint="eastAsia" w:ascii="仿宋" w:hAnsi="仿宋" w:eastAsia="仿宋" w:cs="仿宋"/>
          <w:bCs/>
          <w:color w:val="auto"/>
          <w:sz w:val="24"/>
          <w:highlight w:val="none"/>
          <w:lang w:eastAsia="zh-CN"/>
        </w:rPr>
        <w:t>磋商保证金</w:t>
      </w:r>
      <w:r>
        <w:rPr>
          <w:rFonts w:hint="eastAsia" w:ascii="仿宋" w:hAnsi="仿宋" w:eastAsia="仿宋" w:cs="仿宋"/>
          <w:bCs/>
          <w:color w:val="auto"/>
          <w:sz w:val="24"/>
          <w:highlight w:val="none"/>
        </w:rPr>
        <w:t>不予退还。</w:t>
      </w:r>
    </w:p>
    <w:p>
      <w:pPr>
        <w:pStyle w:val="2"/>
        <w:spacing w:line="480" w:lineRule="exact"/>
        <w:ind w:firstLine="480" w:firstLineChars="200"/>
        <w:outlineLvl w:val="9"/>
        <w:rPr>
          <w:rFonts w:hint="eastAsia" w:ascii="仿宋" w:hAnsi="仿宋" w:eastAsia="仿宋" w:cs="仿宋"/>
          <w:bCs/>
          <w:color w:val="auto"/>
          <w:sz w:val="24"/>
          <w:highlight w:val="none"/>
        </w:rPr>
      </w:pPr>
    </w:p>
    <w:p>
      <w:pPr>
        <w:pStyle w:val="2"/>
        <w:spacing w:line="480" w:lineRule="exact"/>
        <w:ind w:firstLine="480" w:firstLineChars="200"/>
        <w:outlineLvl w:val="9"/>
        <w:rPr>
          <w:rFonts w:hint="eastAsia" w:ascii="仿宋" w:hAnsi="仿宋" w:eastAsia="仿宋" w:cs="仿宋"/>
          <w:bCs/>
          <w:color w:val="auto"/>
          <w:sz w:val="24"/>
          <w:highlight w:val="none"/>
        </w:rPr>
      </w:pPr>
    </w:p>
    <w:p>
      <w:pPr>
        <w:pStyle w:val="2"/>
        <w:spacing w:line="480" w:lineRule="exact"/>
        <w:outlineLvl w:val="9"/>
        <w:rPr>
          <w:rFonts w:hint="eastAsia" w:ascii="仿宋" w:hAnsi="仿宋" w:eastAsia="仿宋" w:cs="仿宋"/>
          <w:bCs/>
          <w:color w:val="auto"/>
          <w:sz w:val="24"/>
          <w:highlight w:val="none"/>
        </w:rPr>
      </w:pPr>
    </w:p>
    <w:p>
      <w:pPr>
        <w:pStyle w:val="2"/>
        <w:spacing w:line="480" w:lineRule="exact"/>
        <w:outlineLvl w:val="9"/>
        <w:rPr>
          <w:rFonts w:hint="eastAsia" w:ascii="仿宋" w:hAnsi="仿宋" w:eastAsia="仿宋" w:cs="仿宋"/>
          <w:bCs/>
          <w:color w:val="auto"/>
          <w:sz w:val="24"/>
          <w:highlight w:val="none"/>
        </w:rPr>
      </w:pPr>
    </w:p>
    <w:p>
      <w:pPr>
        <w:pStyle w:val="2"/>
        <w:spacing w:line="480" w:lineRule="exact"/>
        <w:outlineLvl w:val="9"/>
        <w:rPr>
          <w:rFonts w:hint="eastAsia" w:ascii="仿宋" w:hAnsi="仿宋" w:eastAsia="仿宋" w:cs="仿宋"/>
          <w:bCs/>
          <w:color w:val="auto"/>
          <w:sz w:val="24"/>
          <w:highlight w:val="none"/>
        </w:rPr>
      </w:pPr>
    </w:p>
    <w:p>
      <w:pPr>
        <w:pStyle w:val="2"/>
        <w:spacing w:line="480" w:lineRule="exact"/>
        <w:jc w:val="center"/>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缴费回单（复印件应附在</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中）</w:t>
      </w:r>
    </w:p>
    <w:p>
      <w:pPr>
        <w:pStyle w:val="2"/>
        <w:spacing w:line="480" w:lineRule="exact"/>
        <w:outlineLvl w:val="9"/>
        <w:rPr>
          <w:rFonts w:hint="eastAsia" w:ascii="仿宋" w:hAnsi="仿宋" w:eastAsia="仿宋" w:cs="仿宋"/>
          <w:bCs/>
          <w:color w:val="auto"/>
          <w:sz w:val="24"/>
          <w:highlight w:val="none"/>
        </w:rPr>
      </w:pPr>
    </w:p>
    <w:p>
      <w:pPr>
        <w:pStyle w:val="2"/>
        <w:spacing w:line="480" w:lineRule="exact"/>
        <w:outlineLvl w:val="9"/>
        <w:rPr>
          <w:rFonts w:hint="eastAsia" w:ascii="宋体" w:hAnsi="宋体" w:eastAsia="宋体" w:cs="宋体"/>
          <w:bCs/>
          <w:color w:val="auto"/>
          <w:sz w:val="24"/>
          <w:highlight w:val="none"/>
        </w:rPr>
      </w:pPr>
    </w:p>
    <w:p>
      <w:pPr>
        <w:pStyle w:val="2"/>
        <w:spacing w:line="480" w:lineRule="exact"/>
        <w:outlineLvl w:val="9"/>
        <w:rPr>
          <w:rFonts w:hint="eastAsia" w:ascii="宋体" w:hAnsi="宋体" w:eastAsia="宋体" w:cs="宋体"/>
          <w:bCs/>
          <w:color w:val="auto"/>
          <w:sz w:val="24"/>
          <w:highlight w:val="none"/>
        </w:rPr>
      </w:pPr>
    </w:p>
    <w:p>
      <w:pPr>
        <w:pStyle w:val="2"/>
        <w:spacing w:line="48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mc:AlternateContent>
          <mc:Choice Requires="wpg">
            <w:drawing>
              <wp:inline distT="0" distB="0" distL="114300" distR="114300">
                <wp:extent cx="5753100" cy="2279650"/>
                <wp:effectExtent l="0" t="0" r="0" b="0"/>
                <wp:docPr id="504" name="组合 504"/>
                <wp:cNvGraphicFramePr/>
                <a:graphic xmlns:a="http://schemas.openxmlformats.org/drawingml/2006/main">
                  <a:graphicData uri="http://schemas.microsoft.com/office/word/2010/wordprocessingGroup">
                    <wpg:wgp>
                      <wpg:cNvGrpSpPr/>
                      <wpg:grpSpPr>
                        <a:xfrm>
                          <a:off x="0" y="0"/>
                          <a:ext cx="5753100" cy="2279650"/>
                          <a:chOff x="0" y="0"/>
                          <a:chExt cx="7425" cy="5060203"/>
                        </a:xfrm>
                      </wpg:grpSpPr>
                      <wpg:grpSp>
                        <wpg:cNvPr id="503" name="组合 503"/>
                        <wpg:cNvGrpSpPr/>
                        <wpg:grpSpPr>
                          <a:xfrm>
                            <a:off x="0" y="0"/>
                            <a:ext cx="7425" cy="5060"/>
                            <a:chOff x="0" y="0"/>
                            <a:chExt cx="7425" cy="5060203"/>
                          </a:xfrm>
                        </wpg:grpSpPr>
                        <wps:wsp>
                          <wps:cNvPr id="424" name="任意多边形 424"/>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25" name="任意多边形 425"/>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26" name="任意多边形 426"/>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27" name="任意多边形 427"/>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428" name="任意多边形 428"/>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429" name="任意多边形 429"/>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430" name="任意多边形 430"/>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431" name="任意多边形 431"/>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432" name="任意多边形 432"/>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433" name="任意多边形 433"/>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434" name="任意多边形 434"/>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435" name="任意多边形 435"/>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436" name="任意多边形 436"/>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437" name="任意多边形 437"/>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438" name="任意多边形 438"/>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439" name="任意多边形 439"/>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440" name="任意多边形 440"/>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441" name="任意多边形 441"/>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442" name="任意多边形 442"/>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443" name="任意多边形 443"/>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444" name="任意多边形 444"/>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445" name="任意多边形 445"/>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446" name="任意多边形 446"/>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447" name="任意多边形 447"/>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448" name="任意多边形 448"/>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449" name="任意多边形 449"/>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450" name="任意多边形 450"/>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451" name="任意多边形 451"/>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452" name="任意多边形 452"/>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453" name="任意多边形 453"/>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454" name="任意多边形 454"/>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455" name="任意多边形 455"/>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456" name="任意多边形 456"/>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457" name="任意多边形 457"/>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458" name="任意多边形 458"/>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459" name="任意多边形 459"/>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460" name="任意多边形 460"/>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461" name="任意多边形 461"/>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462" name="任意多边形 462"/>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63" name="任意多边形 463"/>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64" name="任意多边形 464"/>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65" name="任意多边形 465"/>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66" name="任意多边形 466"/>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67" name="任意多边形 467"/>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68" name="任意多边形 468"/>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9" name="任意多边形 469"/>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0" name="任意多边形 470"/>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71" name="任意多边形 471"/>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72" name="任意多边形 472"/>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473" name="任意多边形 473"/>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474" name="任意多边形 474"/>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475" name="任意多边形 475"/>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476" name="任意多边形 476"/>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477" name="任意多边形 477"/>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478" name="任意多边形 478"/>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479" name="任意多边形 479"/>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480" name="任意多边形 480"/>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481" name="任意多边形 481"/>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482" name="任意多边形 482"/>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483" name="任意多边形 483"/>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484" name="任意多边形 484"/>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485" name="任意多边形 485"/>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486" name="任意多边形 486"/>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487" name="任意多边形 487"/>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488" name="任意多边形 488"/>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489" name="任意多边形 489"/>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490" name="任意多边形 490"/>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491" name="任意多边形 491"/>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492" name="任意多边形 492"/>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493" name="任意多边形 493"/>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494" name="任意多边形 494"/>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495" name="任意多边形 495"/>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496" name="任意多边形 496"/>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497" name="任意多边形 497"/>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498" name="任意多边形 498"/>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499" name="任意多边形 499"/>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500" name="任意多边形 500"/>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501" name="任意多边形 501"/>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502" name="任意多边形 502"/>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179.5pt;width:453pt;" coordsize="7425,5060203" o:gfxdata="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">
                <o:lock v:ext="edit" aspectratio="f"/>
                <v:group id="_x0000_s1026" o:spid="_x0000_s1026" o:spt="203" style="position:absolute;left:0;top:0;height:5060;width:7425;" coordsize="7425,5060203" o:gfxdata="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mx6+/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5060;width:7425;" fillcolor="#000000" filled="t" stroked="f" coordsize="7425,5060" o:gfxdata="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crayvQAA&#10;ANwAAAAPAAAAAAAAAAEAIAAAACIAAABkcnMvZG93bnJldi54bWxQSwECFAAUAAAACACHTuJAMy8F&#10;njsAAAA5AAAAEAAAAAAAAAABACAAAAAMAQAAZHJzL3NoYXBleG1sLnhtbFBLBQYAAAAABgAGAFsB&#10;AAC2Aw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4TKb0AAADc&#10;AAAADwAAAGRycy9kb3ducmV2LnhtbEWPT4vCMBTE78J+h/AEL6KpRUW6RpEFwUNFrLv3R/O2LTYv&#10;oYl/dj+9EQSPw8z8hlmu76YVV+p8Y1nBZJyAIC6tbrhS8H3ajhYgfEDW2FomBX/kYb366C0x0/bG&#10;R7oWoRIRwj5DBXUILpPSlzUZ9GPriKP3azuDIcqukrrDW4SbVqZJMpcGG44LNTr6qqk8Fxej4KfI&#10;83+3Hbrd/pD64PPNfEYbpQb9SfIJItA9vMOv9k4rmKY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hMpvQAA&#10;ANw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NXr4AAADc&#10;AAAADwAAAGRycy9kb3ducmV2LnhtbEWPT2vCQBTE74V+h+UVeilmY7ChRFcRQfAQkUZ7f2SfSTD7&#10;dsmuf9pP3xUEj8PM/IaZLW6mFxcafGdZwThJQRDXVnfcKDjs16MvED4ga+wtk4Jf8rCYv77MsND2&#10;yt90qUIjIoR9gQraEFwhpa9bMugT64ijd7SDwRDl0Eg94DXCTS+zNM2lwY7jQouOVi3Vp+psFPxU&#10;Zfnn1h9us91lPvhymX/SUqn3t3E6BRHoFp7hR3ujFUyyH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NXr4A&#10;AADcAAAADwAAAAAAAAABACAAAAAiAAAAZHJzL2Rvd25yZXYueG1sUEsBAhQAFAAAAAgAh07iQDMv&#10;BZ47AAAAOQAAABAAAAAAAAAAAQAgAAAADQEAAGRycy9zaGFwZXhtbC54bWxQSwUGAAAAAAYABgBb&#10;AQAAtw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Aoxb4AAADc&#10;AAAADwAAAGRycy9kb3ducmV2LnhtbEWPT4vCMBTE7wv7HcJb8LJoalFXukYRQfDQRazr/dE827LN&#10;S2ji30+/EQSPw8z8hpktrqYVZ+p8Y1nBcJCAIC6tbrhS8Ltf96cgfEDW2FomBTfysJi/v80w0/bC&#10;OzoXoRIRwj5DBXUILpPSlzUZ9APriKN3tJ3BEGVXSd3hJcJNK9MkmUiDDceFGh2tair/ipNRcCjy&#10;/O7Wn27zs0198PlyMqalUr2PYfINItA1vMLP9kYrGKVf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Aoxb4A&#10;AADcAAAADwAAAAAAAAABACAAAAAiAAAAZHJzL2Rvd25yZXYueG1sUEsBAhQAFAAAAAgAh07iQDMv&#10;BZ47AAAAOQAAABAAAAAAAAAAAQAgAAAADQEAAGRycy9zaGFwZXhtbC54bWxQSwUGAAAAAAYABgBb&#10;AQAAtw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8t7sAAADc&#10;AAAADwAAAGRycy9kb3ducmV2LnhtbEVPy4rCMBTdC/MP4QpuRFPLWKQaRQYEFxWxzuwvzbUtNjeh&#10;iY+ZrzeLAZeH815tnqYTd+p9a1nBbJqAIK6sbrlW8H3eTRYgfEDW2FkmBb/kYbP+GKww1/bBJ7qX&#10;oRYxhH2OCpoQXC6lrxoy6KfWEUfuYnuDIcK+lrrHRww3nUyTJJMGW44NDTr6aqi6ljej4Kcsij+3&#10;G7v94Zj64IttNqetUqPhLFmCCPQMb/G/e68VfKZxbTw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j+8t7sAAADc&#10;AAAADwAAAAAAAAABACAAAAAiAAAAZHJzL2Rvd25yZXYueG1sUEsBAhQAFAAAAAgAh07iQDMvBZ47&#10;AAAAOQAAABAAAAAAAAAAAQAgAAAACgEAAGRycy9zaGFwZXhtbC54bWxQSwUGAAAAAAYABgBbAQAA&#10;tAM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MZLL4AAADc&#10;AAAADwAAAGRycy9kb3ducmV2LnhtbEWPT4vCMBTE7wv7HcJb8LJoalFZu0YRQfDQRazr/dE827LN&#10;S2ji30+/EQSPw8z8hpktrqYVZ+p8Y1nBcJCAIC6tbrhS8Ltf979A+ICssbVMCm7kYTF/f5thpu2F&#10;d3QuQiUihH2GCuoQXCalL2sy6AfWEUfvaDuDIcqukrrDS4SbVqZJMpEGG44LNTpa1VT+FSej4FDk&#10;+d2tP93mZ5v64PPlZExLpXofw+QbRKBreIWf7Y1WMEqn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MZLL4A&#10;AADcAAAADwAAAAAAAAABACAAAAAiAAAAZHJzL2Rvd25yZXYueG1sUEsBAhQAFAAAAAgAh07iQDMv&#10;BZ47AAAAOQAAABAAAAAAAAAAAQAgAAAADQEAAGRycy9zaGFwZXhtbC54bWxQSwUGAAAAAAYABgBb&#10;AQAAtwM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AmbLwAAADc&#10;AAAADwAAAGRycy9kb3ducmV2LnhtbEVPy2rCQBTdF/yH4QpuipnEtiIxo4SC4CKlNOr+krkmwcyd&#10;ITP10a/vLApdHs672N7NIK40+t6ygixJQRA3VvfcKjgedvMVCB+QNQ6WScGDPGw3k6cCc21v/EXX&#10;OrQihrDPUUEXgsul9E1HBn1iHXHkznY0GCIcW6lHvMVwM8hFmi6lwZ5jQ4eO3jtqLvW3UXCqq+rH&#10;7Z7d/uNz4YOvyuUblUrNplm6BhHoHv7Ff+69VvD6EufH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QJmy8AAAA&#10;3A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yD978AAADc&#10;AAAADwAAAGRycy9kb3ducmV2LnhtbEWPT2vCQBTE74V+h+UJXkrdxNYg0VWkIHiIiLHeH9lnEsy+&#10;XbLrn/bTdwWhx2FmfsPMl3fTiSv1vrWsIB0lIIgrq1uuFXwf1u9TED4ga+wsk4If8rBcvL7MMdf2&#10;xnu6lqEWEcI+RwVNCC6X0lcNGfQj64ijd7K9wRBlX0vd4y3CTSfHSZJJgy3HhQYdfTVUncuLUXAs&#10;i+LXrd/cZrsb++CLVTahlVLDQZrMQAS6h//ws73RCj4/Unic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cg/e/&#10;AAAA3AAAAA8AAAAAAAAAAQAgAAAAIgAAAGRycy9kb3ducmV2LnhtbFBLAQIUABQAAAAIAIdO4kAz&#10;LwWeOwAAADkAAAAQAAAAAAAAAAEAIAAAAA4BAABkcnMvc2hhcGV4bWwueG1sUEsFBgAAAAAGAAYA&#10;WwEAALg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4dgL8AAADc&#10;AAAADwAAAGRycy9kb3ducmV2LnhtbEWPT2vCQBTE74LfYXmFXkQ3xj+U1E0QQfCQUoz2/si+JqHZ&#10;t0t2q7af3i0UPA4z8xtmU9xMLy40+M6ygvksAUFcW91xo+B82k9fQPiArLG3TAp+yEORj0cbzLS9&#10;8pEuVWhEhLDPUEEbgsuk9HVLBv3MOuLofdrBYIhyaKQe8BrhppdpkqylwY7jQouOdi3VX9W3UfBR&#10;leWv20/c4e099cGX2/WKtko9P82TVxCBbuER/m8ftILlIoW/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OHYC/&#10;AAAA3AAAAA8AAAAAAAAAAQAgAAAAIgAAAGRycy9kb3ducmV2LnhtbFBLAQIUABQAAAAIAIdO4kAz&#10;LwWeOwAAADkAAAAQAAAAAAAAAAEAIAAAAA4BAABkcnMvc2hhcGV4bWwueG1sUEsFBgAAAAAGAAYA&#10;WwEAALg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K4G78AAADc&#10;AAAADwAAAGRycy9kb3ducmV2LnhtbEWPQWvCQBSE7wX/w/IEL6VujK2U6CoiCB5SSqO9P7KvSTD7&#10;dsmuSeyv7xYKPQ4z8w2z2Y2mFT11vrGsYDFPQBCXVjdcKbicj0+vIHxA1thaJgV38rDbTh42mGk7&#10;8Af1RahEhLDPUEEdgsuk9GVNBv3cOuLofdnOYIiyq6TucIhw08o0SVbSYMNxoUZHh5rKa3EzCj6L&#10;PP92x0d3entPffD5fvVCe6Vm00WyBhFoDP/hv/ZJK3heLuH3TDw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CuBu/&#10;AAAA3AAAAA8AAAAAAAAAAQAgAAAAIgAAAGRycy9kb3ducmV2LnhtbFBLAQIUABQAAAAIAIdO4kAz&#10;LwWeOwAAADkAAAAQAAAAAAAAAAEAIAAAAA4BAABkcnMvc2hhcGV4bWwueG1sUEsFBgAAAAAGAAYA&#10;WwEAALgDA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sgb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B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qyBvvQAA&#10;ANwAAAAPAAAAAAAAAAEAIAAAACIAAABkcnMvZG93bnJldi54bWxQSwECFAAUAAAACACHTuJAMy8F&#10;njsAAAA5AAAAEAAAAAAAAAABACAAAAAMAQAAZHJzL3NoYXBleG1sLnhtbFBLBQYAAAAABgAGAFsB&#10;AAC2Aw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eF9L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F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54X0vQAA&#10;ANwAAAAPAAAAAAAAAAEAIAAAACIAAABkcnMvZG93bnJldi54bWxQSwECFAAUAAAACACHTuJAMy8F&#10;njsAAAA5AAAAEAAAAAAAAAABACAAAAAMAQAAZHJzL3NoYXBleG1sLnhtbFBLBQYAAAAABgAGAFsB&#10;AAC2Aw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Ubg78AAADc&#10;AAAADwAAAGRycy9kb3ducmV2LnhtbEWPS2vDMBCE74H8B7GFXkIi51FTXMshBAI5uJS46X2xtrap&#10;tRKWmtevjwqFHIeZ+YbJ1xfTixMNvrOsYD5LQBDXVnfcKDh+7qavIHxA1thbJgVX8rAuxqMcM23P&#10;fKBTFRoRIewzVNCG4DIpfd2SQT+zjjh633YwGKIcGqkHPEe46eUiSVJpsOO40KKjbUv1T/VrFHxV&#10;ZXlzu4nbv38sfPDlJn2hjVLPT/PkDUSgS3iE/9t7rWC1TO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1G4O/&#10;AAAA3AAAAA8AAAAAAAAAAQAgAAAAIgAAAGRycy9kb3ducmV2LnhtbFBLAQIUABQAAAAIAIdO4kAz&#10;LwWeOwAAADkAAAAQAAAAAAAAAAEAIAAAAA4BAABkcnMvc2hhcGV4bWwueG1sUEsFBgAAAAAGAAYA&#10;WwEAALgD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m+GL8AAADc&#10;AAAADwAAAGRycy9kb3ducmV2LnhtbEWPT2vCQBTE70K/w/IKXkQ3aqslZiNSEDyklKZ6f2Rfk2D2&#10;7ZLd+u/TdwuCx2FmfsNk64vpxIl631pWMJ0kIIgrq1uuFey/t+M3ED4ga+wsk4IreVjnT4MMU23P&#10;/EWnMtQiQtinqKAJwaVS+qohg35iHXH0fmxvMETZ11L3eI5w08lZkiykwZbjQoOO3huqjuWvUXAo&#10;i+LmtiO3+/ic+eCLzeKVNkoNn6fJCkSgS3iE7+2dVvAyX8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5vhi/&#10;AAAA3AAAAA8AAAAAAAAAAQAgAAAAIgAAAGRycy9kb3ducmV2LnhtbFBLAQIUABQAAAAIAIdO4kAz&#10;LwWeOwAAADkAAAAQAAAAAAAAAAEAIAAAAA4BAABkcnMvc2hhcGV4bWwueG1sUEsFBgAAAAAGAAYA&#10;WwEAALgD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YqarwAAADc&#10;AAAADwAAAGRycy9kb3ducmV2LnhtbEVPy2rCQBTdF/yH4QpuipnEtiIxo4SC4CKlNOr+krkmwcyd&#10;ITP10a/vLApdHs672N7NIK40+t6ygixJQRA3VvfcKjgedvMVCB+QNQ6WScGDPGw3k6cCc21v/EXX&#10;OrQihrDPUUEXgsul9E1HBn1iHXHkznY0GCIcW6lHvMVwM8hFmi6lwZ5jQ4eO3jtqLvW3UXCqq+rH&#10;7Z7d/uNz4YOvyuUblUrNplm6BhHoHv7Ff+69VvD6EtfG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mKmq8AAAA&#10;3AAAAA8AAAAAAAAAAQAgAAAAIgAAAGRycy9kb3ducmV2LnhtbFBLAQIUABQAAAAIAIdO4kAzLwWe&#10;OwAAADkAAAAQAAAAAAAAAAEAIAAAAAsBAABkcnMvc2hhcGV4bWwueG1sUEsFBgAAAAAGAAYAWwEA&#10;ALUDA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qP8b8AAADc&#10;AAAADwAAAGRycy9kb3ducmV2LnhtbEWPT2vCQBTE70K/w/IKXkQ3ais2ZiNSEDyklKZ6f2Rfk2D2&#10;7ZLd+u/TdwuCx2FmfsNk64vpxIl631pWMJ0kIIgrq1uuFey/t+MlCB+QNXaWScGVPKzzp0GGqbZn&#10;/qJTGWoRIexTVNCE4FIpfdWQQT+xjjh6P7Y3GKLsa6l7PEe46eQsSRbSYMtxoUFH7w1Vx/LXKDiU&#10;RXFz25HbfXzOfPDFZvFKG6WGz9NkBSLQJTzC9/ZOK3iZv8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qj/G/&#10;AAAA3AAAAA8AAAAAAAAAAQAgAAAAIgAAAGRycy9kb3ducmV2LnhtbFBLAQIUABQAAAAIAIdO4kAz&#10;LwWeOwAAADkAAAAQAAAAAAAAAAEAIAAAAA4BAABkcnMvc2hhcGV4bWwueG1sUEsFBgAAAAAGAAYA&#10;WwEAALgD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ZVEbkAAADc&#10;AAAADwAAAGRycy9kb3ducmV2LnhtbEVPy4rCMBTdC/5DuIIbGVNFRTpGEUFwURGr7i/NnbZMcxOa&#10;+Px6sxBcHs57sXqYRtyo9bVlBaNhAoK4sLrmUsH5tP2Zg/ABWWNjmRQ8ycNq2e0sMNX2zke65aEU&#10;MYR9igqqEFwqpS8qMuiH1hFH7s+2BkOEbSl1i/cYbho5TpKZNFhzbKjQ0aai4j+/GgWXPMtebjtw&#10;u/1h7IPP1rMprZXq90bJL4hAj/AVf9w7rWAyifP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WVRG5AAAA3A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rwir0AAADc&#10;AAAADwAAAGRycy9kb3ducmV2LnhtbEWPT4vCMBTE7wt+h/AWvCxrWnFlqUYRQfBQka16fzTPtmzz&#10;Epr499MbQfA4zMxvmOn8alpxps43lhWkgwQEcWl1w5WC/W71/QvCB2SNrWVScCMP81nvY4qZthf+&#10;o3MRKhEh7DNUUIfgMil9WZNBP7COOHpH2xkMUXaV1B1eIty0cpgkY2mw4bhQo6NlTeV/cTIKDkWe&#10;393qy60326EPPl+Mf2ihVP8zTSYgAl3DO/xqr7WC0SiF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2vCKvQAA&#10;ANwAAAAPAAAAAAAAAAEAIAAAACIAAABkcnMvZG93bnJldi54bWxQSwECFAAUAAAACACHTuJAMy8F&#10;njsAAAA5AAAAEAAAAAAAAAABACAAAAAMAQAAZHJzL3NoYXBleG1sLnhtbFBLBQYAAAAABgAGAFsB&#10;AAC2Aw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hu/b0AAADc&#10;AAAADwAAAGRycy9kb3ducmV2LnhtbEWPT4vCMBTE78J+h/AEL6KpRUW6RpEFwUNlse7eH83btti8&#10;hCb+/fRmQfA4zMxvmOX6Zlpxoc43lhVMxgkI4tLqhisFP8ftaAHCB2SNrWVScCcP69VHb4mZtlc+&#10;0KUIlYgQ9hkqqENwmZS+rMmgH1tHHL0/2xkMUXaV1B1eI9y0Mk2SuTTYcFyo0dFXTeWpOBsFv0We&#10;P9x26Hb779QHn2/mM9ooNehPkk8QgW7hHX61d1rBdJr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G79vQAA&#10;ANwAAAAPAAAAAAAAAAEAIAAAACIAAABkcnMvZG93bnJldi54bWxQSwECFAAUAAAACACHTuJAMy8F&#10;njsAAAA5AAAAEAAAAAAAAAABACAAAAAMAQAAZHJzL3NoYXBleG1sLnhtbFBLBQYAAAAABgAGAFsB&#10;AAC2Aw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TLZr0AAADc&#10;AAAADwAAAGRycy9kb3ducmV2LnhtbEWPW4vCMBSE34X9D+Es+CKaekW6RhFB8KGL2F3fD82xLduc&#10;hCZef/1GEHwcZuYbZrG6mUZcqPW1ZQXDQQKCuLC65lLB78+2PwfhA7LGxjIpuJOH1fKjs8BU2ysf&#10;6JKHUkQI+xQVVCG4VEpfVGTQD6wjjt7JtgZDlG0pdYvXCDeNHCXJTBqsOS5U6GhTUfGXn42CY55l&#10;D7ftud33fuSDz9azKa2V6n4Oky8QgW7hHX61d1rBZDK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RMtmvQAA&#10;ANwAAAAPAAAAAAAAAAEAIAAAACIAAABkcnMvZG93bnJldi54bWxQSwECFAAUAAAACACHTuJAMy8F&#10;njsAAAA5AAAAEAAAAAAAAAABACAAAAAMAQAAZHJzL3NoYXBleG1sLnhtbFBLBQYAAAAABgAGAFsB&#10;AAC2Aw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1TEr0AAADc&#10;AAAADwAAAGRycy9kb3ducmV2LnhtbEWPT4vCMBTE78J+h/AEL6KpUkW6RpEFwUNFrLv3R/O2LTYv&#10;oYl/dj+9EQSPw8z8hlmu76YVV+p8Y1nBZJyAIC6tbrhS8H3ajhYgfEDW2FomBX/kYb366C0x0/bG&#10;R7oWoRIRwj5DBXUILpPSlzUZ9GPriKP3azuDIcqukrrDW4SbVk6TZC4NNhwXanT0VVN5Li5GwU+R&#10;5/9uO3S7/WHqg8838xltlBr0J8kniED38A6/2jutIE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VMSvQAA&#10;ANw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H2ib4AAADc&#10;AAAADwAAAGRycy9kb3ducmV2LnhtbEWPQWvCQBSE7wX/w/IEL0U3SiISXUUEwUNKaVrvj+xrEpp9&#10;u2TXRPvru4VCj8PMfMPsDnfTiYF631pWsFwkIIgrq1uuFXy8n+cbED4ga+wsk4IHeTjsJ087zLUd&#10;+Y2GMtQiQtjnqKAJweVS+qohg35hHXH0Pm1vMETZ11L3OEa46eQqSdbSYMtxoUFHp4aqr/JmFFzL&#10;ovh252d3eXld+eCL4zqjo1Kz6TLZggh0D//hv/ZFK0jTD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H2ib4A&#10;AADcAAAADwAAAAAAAAABACAAAAAiAAAAZHJzL2Rvd25yZXYueG1sUEsBAhQAFAAAAAgAh07iQDMv&#10;BZ47AAAAOQAAABAAAAAAAAAAAQAgAAAADQEAAGRycy9zaGFwZXhtbC54bWxQSwUGAAAAAAYABgBb&#10;AQAAtwM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No/r0AAADc&#10;AAAADwAAAGRycy9kb3ducmV2LnhtbEWPT4vCMBTE78J+h/AEL6KpokW6RpEFwUNlse7eH83btti8&#10;hCb+/fRmQfA4zMxvmOX6Zlpxoc43lhVMxgkI4tLqhisFP8ftaAHCB2SNrWVScCcP69VHb4mZtlc+&#10;0KUIlYgQ9hkqqENwmZS+rMmgH1tHHL0/2xkMUXaV1B1eI9y0cpokqTTYcFyo0dFXTeWpOBsFv0We&#10;P9x26Hb776kPPt+kc9ooNehPkk8QgW7hHX61d1rBbJb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M2j+vQAA&#10;ANwAAAAPAAAAAAAAAAEAIAAAACIAAABkcnMvZG93bnJldi54bWxQSwECFAAUAAAACACHTuJAMy8F&#10;njsAAAA5AAAAEAAAAAAAAAABACAAAAAMAQAAZHJzL3NoYXBleG1sLnhtbFBLBQYAAAAABgAGAFsB&#10;AAC2Aw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NZb8AAADc&#10;AAAADwAAAGRycy9kb3ducmV2LnhtbEWPzWrDMBCE74G+g9hCLyGRY/JT3CghFAI+OIS67X2xtrap&#10;tRKW6rh9+igQ6HGYmW+Y7X40nRio961lBYt5AoK4srrlWsHH+3H2DMIHZI2dZVLwSx72u4fJFjNt&#10;L/xGQxlqESHsM1TQhOAyKX3VkEE/t444el+2Nxii7Gupe7xEuOlkmiRrabDluNCgo9eGqu/yxyj4&#10;LIvizx2nLj+dUx98cViv6KDU0+MieQERaAz/4Xs71wqWyw3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zWW/&#10;AAAA3AAAAA8AAAAAAAAAAQAgAAAAIgAAAGRycy9kb3ducmV2LnhtbFBLAQIUABQAAAAIAIdO4kAz&#10;LwWeOwAAADkAAAAQAAAAAAAAAAEAIAAAAA4BAABkcnMvc2hhcGV4bWwueG1sUEsFBgAAAAAGAAYA&#10;WwEAALg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ZF7kAAADc&#10;AAAADwAAAGRycy9kb3ducmV2LnhtbEVPy4rCMBTdC/5DuIIbGVNFRTpGEUFwURGr7i/NnbZMcxOa&#10;+Px6sxBcHs57sXqYRtyo9bVlBaNhAoK4sLrmUsH5tP2Zg/ABWWNjmRQ8ycNq2e0sMNX2zke65aEU&#10;MYR9igqqEFwqpS8qMuiH1hFH7s+2BkOEbSl1i/cYbho5TpKZNFhzbKjQ0aai4j+/GgWXPMtebjtw&#10;u/1h7IPP1rMprZXq90bJL4hAj/AVf9w7rWAyiWv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gWRe5AAAA3AAA&#10;AA8AAAAAAAAAAQAgAAAAIgAAAGRycy9kb3ducmV2LnhtbFBLAQIUABQAAAAIAIdO4kAzLwWeOwAA&#10;ADkAAAAQAAAAAAAAAAEAIAAAAAgBAABkcnMvc2hhcGV4bWwueG1sUEsFBgAAAAAGAAYAWwEAALID&#10;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z8jL8AAADc&#10;AAAADwAAAGRycy9kb3ducmV2LnhtbEWPQWvCQBSE70L/w/IKvYhuDCo2dRUpCDlEpGl7f2Rfk9Ds&#10;2yW7jWl/vSsIPQ4z8w2z3Y+mEwP1vrWsYDFPQBBXVrdcK/h4P842IHxA1thZJgW/5GG/e5hsMdP2&#10;wm80lKEWEcI+QwVNCC6T0lcNGfRz64ij92V7gyHKvpa6x0uEm06mSbKWBluOCw06em2o+i5/jILP&#10;sij+3HHq8tM59cEXh/WKDko9PS6SFxCBxvAfvrdzrWC5fIb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s/Iy/&#10;AAAA3AAAAA8AAAAAAAAAAQAgAAAAIgAAAGRycy9kb3ducmV2LnhtbFBLAQIUABQAAAAIAIdO4kAz&#10;LwWeOwAAADkAAAAQAAAAAAAAAAEAIAAAAA4BAABkcnMvc2hhcGV4bWwueG1sUEsFBgAAAAAGAAYA&#10;WwEAALg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DzLwAAADc&#10;AAAADwAAAGRycy9kb3ducmV2LnhtbEVPz2vCMBS+D/wfwhN2GZpapoxqWmQg9NAx1m33R/Nsi81L&#10;aLLW+debw2DHj+/3obiaQUw0+t6ygs06AUHcWN1zq+Dr87R6AeEDssbBMin4JQ9Fvng4YKbtzB80&#10;1aEVMYR9hgq6EFwmpW86MujX1hFH7mxHgyHCsZV6xDmGm0GmSbKTBnuODR06eu2oudQ/RsF3XVU3&#10;d3py5dt76oOvjrstHZV6XG6SPYhA1/Av/nOXWsHzNs6P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Pw8y8AAAA&#10;3AAAAA8AAAAAAAAAAQAgAAAAIgAAAGRycy9kb3ducmV2LnhtbFBLAQIUABQAAAAIAIdO4kAzLwWe&#10;OwAAADkAAAAQAAAAAAAAAAEAIAAAAAsBAABkcnMvc2hhcGV4bWwueG1sUEsFBgAAAAAGAAYAWwEA&#10;ALUDA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NmV78AAADc&#10;AAAADwAAAGRycy9kb3ducmV2LnhtbEWPQWvCQBSE7wX/w/IKvZS6SahSoqsEQfCQUhr1/sg+k9Ds&#10;2yW7TdRf3y0Uehxm5htmvb2aXow0+M6ygnSegCCure64UXA67l/eQPiArLG3TApu5GG7mT2sMdd2&#10;4k8aq9CICGGfo4I2BJdL6euWDPq5dcTRu9jBYIhyaKQecIpw08ssSZbSYMdxoUVHu5bqr+rbKDhX&#10;ZXl3+2d3eP/IfPBlsVxQodTTY5qsQAS6hv/wX/ugFbwuUv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DZle/&#10;AAAA3AAAAA8AAAAAAAAAAQAgAAAAIgAAAGRycy9kb3ducmV2LnhtbFBLAQIUABQAAAAIAIdO4kAz&#10;LwWeOwAAADkAAAAQAAAAAAAAAAEAIAAAAA4BAABkcnMvc2hhcGV4bWwueG1sUEsFBgAAAAAGAAYA&#10;WwEAALgDA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H4IL0AAADc&#10;AAAADwAAAGRycy9kb3ducmV2LnhtbEWPT4vCMBTE78J+h/AEL6KpRUW6RpEFwUNFrLv3R/O2LTYv&#10;oYl/dj+9EQSPw8z8hlmu76YVV+p8Y1nBZJyAIC6tbrhS8H3ajhYgfEDW2FomBX/kYb366C0x0/bG&#10;R7oWoRIRwj5DBXUILpPSlzUZ9GPriKP3azuDIcqukrrDW4SbVqZJMpcGG44LNTr6qqk8Fxej4KfI&#10;83+3Hbrd/pD64PPNfEYbpQb9SfIJItA9vMOv9k4rmM5S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fggvQAA&#10;ANwAAAAPAAAAAAAAAAEAIAAAACIAAABkcnMvZG93bnJldi54bWxQSwECFAAUAAAACACHTuJAMy8F&#10;njsAAAA5AAAAEAAAAAAAAAABACAAAAAMAQAAZHJzL3NoYXBleG1sLnhtbFBLBQYAAAAABgAGAFsB&#10;AAC2Aw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1du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q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nV27vQAA&#10;ANw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TFz74AAADc&#10;AAAADwAAAGRycy9kb3ducmV2LnhtbEWPQWvCQBSE7wX/w/IEL0U3SiISXUUEwUNKaVrvj+xrEpp9&#10;u2TXRPvru4VCj8PMfMPsDnfTiYF631pWsFwkIIgrq1uuFXy8n+cbED4ga+wsk4IHeTjsJ087zLUd&#10;+Y2GMtQiQtjnqKAJweVS+qohg35hHXH0Pm1vMETZ11L3OEa46eQqSdbSYMtxoUFHp4aqr/JmFFzL&#10;ovh252d3eXld+eCL4zqjo1Kz6TLZggh0D//hv/ZFK0izF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TFz74A&#10;AADc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hgVL0AAADc&#10;AAAADwAAAGRycy9kb3ducmV2LnhtbEWPT4vCMBTE78J+h/AEL6KpYkW6RpEFwUNFrLv3R/O2LTYv&#10;oYl/dj+9EQSPw8z8hlmu76YVV+p8Y1nBZJyAIC6tbrhS8H3ajhYgfEDW2FomBX/kYb366C0x0/bG&#10;R7oWoRIRwj5DBXUILpPSlzUZ9GPriKP3azuDIcqukrrDW4SbVk6TZC4NNhwXanT0VVN5Li5GwU+R&#10;5/9uO3S7/WHqg88385Q2Sg36k+QTRKB7eIdf7Z1WMEt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OGBUvQAA&#10;ANwAAAAPAAAAAAAAAAEAIAAAACIAAABkcnMvZG93bnJldi54bWxQSwECFAAUAAAACACHTuJAMy8F&#10;njsAAAA5AAAAEAAAAAAAAAABACAAAAAMAQAAZHJzL3NoYXBleG1sLnhtbFBLBQYAAAAABgAGAFsB&#10;AAC2Aw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r+I70AAADc&#10;AAAADwAAAGRycy9kb3ducmV2LnhtbEWPT4vCMBTE78J+h/AEL6KpokW6RpEFwUNFrLv3R/O2LTYv&#10;oYl/dj+9EQSPw8z8hlmu76YVV+p8Y1nBZJyAIC6tbrhS8H3ajhYgfEDW2FomBX/kYb366C0x0/bG&#10;R7oWoRIRwj5DBXUILpPSlzUZ9GPriKP3azuDIcqukrrDW4SbVk6TJJUGG44LNTr6qqk8Fxej4KfI&#10;83+3Hbrd/jD1weebdE4bpQb9SfIJItA9vMOv9k4rmM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6v4jvQAA&#10;ANwAAAAPAAAAAAAAAAEAIAAAACIAAABkcnMvZG93bnJldi54bWxQSwECFAAUAAAACACHTuJAMy8F&#10;njsAAAA5AAAAEAAAAAAAAAABACAAAAAMAQAAZHJzL3NoYXBleG1sLnhtbFBLBQYAAAAABgAGAFsB&#10;AAC2Aw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ZbuL8AAADc&#10;AAAADwAAAGRycy9kb3ducmV2LnhtbEWPzWrDMBCE74W8g9hALyWRY5of3CghBAI+uJQ6yX2xtraJ&#10;tRKW6rh9+qpQ6HGYmW+Y7X40nRio961lBYt5AoK4srrlWsHlfJptQPiArLGzTAq+yMN+N3nYYqbt&#10;nd9pKEMtIoR9hgqaEFwmpa8aMujn1hFH78P2BkOUfS11j/cIN51Mk2QlDbYcFxp0dGyoupWfRsG1&#10;LIpvd3py+etb6oMvDqslHZR6nC6SFxCBxvAf/mvnWsHzcg2/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W7i/&#10;AAAA3AAAAA8AAAAAAAAAAQAgAAAAIgAAAGRycy9kb3ducmV2LnhtbFBLAQIUABQAAAAIAIdO4kAz&#10;LwWeOwAAADkAAAAQAAAAAAAAAAEAIAAAAA4BAABkcnMvc2hhcGV4bWwueG1sUEsFBgAAAAAGAAYA&#10;WwEAALgDA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nPyrwAAADc&#10;AAAADwAAAGRycy9kb3ducmV2LnhtbEVPz2vCMBS+D/wfwhN2GZpapoxqWmQg9NAx1m33R/Nsi81L&#10;aLLW+debw2DHj+/3obiaQUw0+t6ygs06AUHcWN1zq+Dr87R6AeEDssbBMin4JQ9Fvng4YKbtzB80&#10;1aEVMYR9hgq6EFwmpW86MujX1hFH7mxHgyHCsZV6xDmGm0GmSbKTBnuODR06eu2oudQ/RsF3XVU3&#10;d3py5dt76oOvjrstHZV6XG6SPYhA1/Av/nOXWsHzNq6N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5z8q8AAAA&#10;3A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VqUb8AAADc&#10;AAAADwAAAGRycy9kb3ducmV2LnhtbEWPQWvCQBSE7wX/w/KEXopuDFU0dRURhBxSSqPeH9nXJJh9&#10;u2S3Me2v7xYKPQ4z8w2z3Y+mEwP1vrWsYDFPQBBXVrdcK7icT7M1CB+QNXaWScEXedjvJg9bzLS9&#10;8zsNZahFhLDPUEETgsuk9FVDBv3cOuLofdjeYIiyr6Xu8R7hppNpkqykwZbjQoOOjg1Vt/LTKLiW&#10;RfHtTk8uf31LffDFYbWkg1KP00XyAiLQGP7Df+1cK3hebuD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1alG/&#10;AAAA3AAAAA8AAAAAAAAAAQAgAAAAIgAAAGRycy9kb3ducmV2LnhtbFBLAQIUABQAAAAIAIdO4kAz&#10;LwWeOwAAADkAAAAQAAAAAAAAAAEAIAAAAA4BAABkcnMvc2hhcGV4bWwueG1sUEsFBgAAAAAGAAYA&#10;WwEAALg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MJcbsAAADc&#10;AAAADwAAAGRycy9kb3ducmV2LnhtbEVPy4rCMBTdC/MP4QpuRFNlLFKNIgMFFxWxzuwvzbUtNjeh&#10;iY+ZrzeLAZeH815vn6YTd+p9a1nBbJqAIK6sbrlW8H3OJ0sQPiBr7CyTgl/ysN18DNaYafvgE93L&#10;UIsYwj5DBU0ILpPSVw0Z9FPriCN3sb3BEGFfS93jI4abTs6TJJUGW44NDTr6aqi6ljej4Kcsij+X&#10;j93+cJz74ItduqCdUqPhLFmBCPQMb/G/e68VfKZxfj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MJcbsAAADc&#10;AAAADwAAAAAAAAABACAAAAAiAAAAZHJzL2Rvd25yZXYueG1sUEsBAhQAFAAAAAgAh07iQDMvBZ47&#10;AAAAOQAAABAAAAAAAAAAAQAgAAAACgEAAGRycy9zaGFwZXhtbC54bWxQSwUGAAAAAAYABgBbAQAA&#10;tA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s6r8AAADc&#10;AAAADwAAAGRycy9kb3ducmV2LnhtbEWPQWvCQBSE70L/w/IKvYhuIjWU6CZIIeAhpZi290f2mQSz&#10;b5fsVm1/fbcgeBxm5htmW17NKM40+cGygnSZgCBurR64U/D5US1eQPiArHG0TAp+yENZPMy2mGt7&#10;4QOdm9CJCGGfo4I+BJdL6dueDPqldcTRO9rJYIhy6qSe8BLhZpSrJMmkwYHjQo+OXntqT823UfDV&#10;1PWvq+Zu//a+8sHXu2xNO6WeHtNkAyLQNdzDt/ZeK3jOUvg/E4+AL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vrOq/&#10;AAAA3AAAAA8AAAAAAAAAAQAgAAAAIgAAAGRycy9kb3ducmV2LnhtbFBLAQIUABQAAAAIAIdO4kAz&#10;LwWeOwAAADkAAAAQAAAAAAAAAAEAIAAAAA4BAABkcnMvc2hhcGV4bWwueG1sUEsFBgAAAAAGAAYA&#10;WwEAALgD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0ynb4AAADc&#10;AAAADwAAAGRycy9kb3ducmV2LnhtbEWPT2vCQBTE74V+h+UVeilmY7ChRFcRQfAQkUZ7f2SfSTD7&#10;dsmuf9pP3xUEj8PM/IaZLW6mFxcafGdZwThJQRDXVnfcKDjs16MvED4ga+wtk4Jf8rCYv77MsND2&#10;yt90qUIjIoR9gQraEFwhpa9bMugT64ijd7SDwRDl0Eg94DXCTS+zNM2lwY7jQouOVi3Vp+psFPxU&#10;Zfnn1h9us91lPvhymX/SUqn3t3E6BRHoFp7hR3ujFUzyD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0ynb4A&#10;AADc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GXBr8AAADc&#10;AAAADwAAAGRycy9kb3ducmV2LnhtbEWPS2vDMBCE74H8B7GFXkIi51FTXMshBAI5uJS46X2xtrap&#10;tRKWmtevjwqFHIeZ+YbJ1xfTixMNvrOsYD5LQBDXVnfcKDh+7qavIHxA1thbJgVX8rAuxqMcM23P&#10;fKBTFRoRIewzVNCG4DIpfd2SQT+zjjh633YwGKIcGqkHPEe46eUiSVJpsOO40KKjbUv1T/VrFHxV&#10;ZXlzu4nbv38sfPDlJn2hjVLPT/PkDUSgS3iE/9t7rWCVLu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xlwa/&#10;AAAA3AAAAA8AAAAAAAAAAQAgAAAAIgAAAGRycy9kb3ducmV2LnhtbFBLAQIUABQAAAAIAIdO4kAz&#10;LwWeOwAAADkAAAAQAAAAAAAAAAEAIAAAAA4BAABkcnMvc2hhcGV4bWwueG1sUEsFBgAAAAAGAAYA&#10;WwEAALgD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gPcr0AAADc&#10;AAAADwAAAGRycy9kb3ducmV2LnhtbEWPT4vCMBTE78J+h/AEL6KpokW6RpEFwUNlse7eH83btti8&#10;hCb+/fRmQfA4zMxvmOX6Zlpxoc43lhVMxgkI4tLqhisFP8ftaAHCB2SNrWVScCcP69VHb4mZtlc+&#10;0KUIlYgQ9hkqqENwmZS+rMmgH1tHHL0/2xkMUXaV1B1eI9y0cpokqTTYcFyo0dFXTeWpOBsFv0We&#10;P9x26Hb776kPPt+kc9ooNehPkk8QgW7hHX61d1rBLJ3B/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A9yvQAA&#10;ANw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Sq6b0AAADc&#10;AAAADwAAAGRycy9kb3ducmV2LnhtbEWPT4vCMBTE78J+h/AEL6KpokW6RpEFwUNFrLv3R/O2LTYv&#10;oYl/dj+9EQSPw8z8hlmu76YVV+p8Y1nBZJyAIC6tbrhS8H3ajhYgfEDW2FomBX/kYb366C0x0/bG&#10;R7oWoRIRwj5DBXUILpPSlzUZ9GPriKP3azuDIcqukrrDW4SbVk6TJJUGG44LNTr6qqk8Fxej4KfI&#10;83+3Hbrd/jD1weebdE4bpQb9SfIJItA9vMOv9k4rmKV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KrpvQAA&#10;ANwAAAAPAAAAAAAAAAEAIAAAACIAAABkcnMvZG93bnJldi54bWxQSwECFAAUAAAACACHTuJAMy8F&#10;njsAAAA5AAAAEAAAAAAAAAABACAAAAAMAQAAZHJzL3NoYXBleG1sLnhtbFBLBQYAAAAABgAGAFsB&#10;AAC2Aw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Y0nr0AAADc&#10;AAAADwAAAGRycy9kb3ducmV2LnhtbEWPT4vCMBTE78J+h/AWvIimipalGkUWBA8Vsbr3R/Nsi81L&#10;aLL+2U+/EQSPw8z8hlms7qYVV+p8Y1nBeJSAIC6tbrhScDpuhl8gfEDW2FomBQ/ysFp+9BaYaXvj&#10;A12LUIkIYZ+hgjoEl0npy5oM+pF1xNE7285giLKrpO7wFuGmlZMkSaXBhuNCjY6+ayovxa9R8FPk&#10;+Z/bDNx2t5/44PN1OqO1Uv3PcTIHEege3uFXe6sVTNM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hjSevQAA&#10;ANwAAAAPAAAAAAAAAAEAIAAAACIAAABkcnMvZG93bnJldi54bWxQSwECFAAUAAAACACHTuJAMy8F&#10;njsAAAA5AAAAEAAAAAAAAAABACAAAAAMAQAAZHJzL3NoYXBleG1sLnhtbFBLBQYAAAAABgAGAFsB&#10;AAC2Aw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qRBb4AAADc&#10;AAAADwAAAGRycy9kb3ducmV2LnhtbEWPT2vCQBTE70K/w/IKXqTZKBpL6ipSEDxEpKm9P7KvSWj2&#10;7ZLd+u/Tu4LgcZiZ3zCL1dl04ki9by0rGCcpCOLK6pZrBYfvzds7CB+QNXaWScGFPKyWL4MF5tqe&#10;+IuOZahFhLDPUUETgsul9FVDBn1iHXH0fm1vMETZ11L3eIpw08lJmmbSYMtxoUFHnw1Vf+W/UfBT&#10;FsXVbUZuu9tPfPDFOpvRWqnh6zj9ABHoHJ7hR3urFUyzO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qRBb4A&#10;AADc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UFd7sAAADc&#10;AAAADwAAAGRycy9kb3ducmV2LnhtbEVPy4rCMBTdC/MP4QpuRFNlLFKNIgMFFxWxzuwvzbUtNjeh&#10;iY+ZrzeLAZeH815vn6YTd+p9a1nBbJqAIK6sbrlW8H3OJ0sQPiBr7CyTgl/ysN18DNaYafvgE93L&#10;UIsYwj5DBU0ILpPSVw0Z9FPriCN3sb3BEGFfS93jI4abTs6TJJUGW44NDTr6aqi6ljej4Kcsij+X&#10;j93+cJz74ItduqCdUqPhLFmBCPQMb/G/e68VfKZxbT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UFd7sAAADc&#10;AAAADwAAAAAAAAABACAAAAAiAAAAZHJzL2Rvd25yZXYueG1sUEsBAhQAFAAAAAgAh07iQDMvBZ47&#10;AAAAOQAAABAAAAAAAAAAAQAgAAAACgEAAGRycy9zaGFwZXhtbC54bWxQSwUGAAAAAAYABgBbAQAA&#10;tAM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mg7L4AAADc&#10;AAAADwAAAGRycy9kb3ducmV2LnhtbEWPT2vCQBTE70K/w/IKXqTZKBps6ipSEDxEpKm9P7KvSWj2&#10;7ZLd+u/Tu4LgcZiZ3zCL1dl04ki9by0rGCcpCOLK6pZrBYfvzdschA/IGjvLpOBCHlbLl8ECc21P&#10;/EXHMtQiQtjnqKAJweVS+qohgz6xjjh6v7Y3GKLsa6l7PEW46eQkTTNpsOW40KCjz4aqv/LfKPgp&#10;i+LqNiO33e0nPvhinc1ordTwdZx+gAh0Ds/wo73VCqbZO9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mg7L4A&#10;AADcAAAADwAAAAAAAAABACAAAAAiAAAAZHJzL2Rvd25yZXYueG1sUEsBAhQAFAAAAAgAh07iQDMv&#10;BZ47AAAAOQAAABAAAAAAAAAAAQAgAAAADQEAAGRycy9zaGFwZXhtbC54bWxQSwUGAAAAAAYABgBb&#10;AQAAtw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qfrLwAAADc&#10;AAAADwAAAGRycy9kb3ducmV2LnhtbEVPy2rCQBTdF/yH4QpuiplEWpWYUUJBcJFSmur+krkmwcyd&#10;ITP10a/vLApdHs672N3NIK40+t6ygixJQRA3VvfcKjh+7edrED4gaxwsk4IHedhtJ08F5tre+JOu&#10;dWhFDGGfo4IuBJdL6ZuODPrEOuLIne1oMEQ4tlKPeIvhZpCLNF1Kgz3Hhg4dvXXUXOpvo+BUV9WP&#10;2z+7w/vHwgdflctXKpWaTbN0AyLQPfyL/9wHreBlF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6n6y8AAAA&#10;3A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LY6N74AAADc&#10;AAAADwAAAGRycy9kb3ducmV2LnhtbEWPQWvCQBSE7wX/w/KEXopuIq2VmI1IQfAQKcZ6f2SfSTD7&#10;dslu1fbXu4WCx2FmvmHy1c304kKD7ywrSKcJCOLa6o4bBV+HzWQBwgdkjb1lUvBDHlbF6CnHTNsr&#10;7+lShUZECPsMFbQhuExKX7dk0E+tI47eyQ4GQ5RDI/WA1wg3vZwlyVwa7DgutOjoo6X6XH0bBceq&#10;LH/d5sVtd58zH3y5nr/RWqnncZosQQS6hUf4v73VCl7fU/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6N74A&#10;AADc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GSkQL4AAADc&#10;AAAADwAAAGRycy9kb3ducmV2LnhtbEWPT4vCMBTE7wv7HcJb8LJoalFXukYRQfDQRazr/dE827LN&#10;S2ji30+/EQSPw8z8hpktrqYVZ+p8Y1nBcJCAIC6tbrhS8Ltf96cgfEDW2FomBTfysJi/v80w0/bC&#10;OzoXoRIRwj5DBXUILpPSlzUZ9APriKN3tJ3BEGVXSd3hJcJNK9MkmUiDDceFGh2tair/ipNRcCjy&#10;/O7Wn27zs0198PlyMqalUr2PYfINItA1vMLP9kYrGH2l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SkQL4A&#10;AADcAAAADwAAAAAAAAABACAAAAAiAAAAZHJzL2Rvd25yZXYueG1sUEsBAhQAFAAAAAgAh07iQDMv&#10;BZ47AAAAOQAAABAAAAAAAAAAAQAgAAAADQEAAGRycy9zaGFwZXhtbC54bWxQSwUGAAAAAAYABgBb&#10;AQAAtwM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gB278AAADc&#10;AAAADwAAAGRycy9kb3ducmV2LnhtbEWPT2vCQBTE70K/w/IKXkQ3aqslZiNSEDyklKZ6f2Rfk2D2&#10;7ZLd+u/TdwuCx2FmfsNk64vpxIl631pWMJ0kIIgrq1uuFey/t+M3ED4ga+wsk4IreVjnT4MMU23P&#10;/EWnMtQiQtinqKAJwaVS+qohg35iHXH0fmxvMETZ11L3eI5w08lZkiykwZbjQoOO3huqjuWvUXAo&#10;i+LmtiO3+/ic+eCLzeKVNkoNn6fJCkSgS3iE7+2dVvCynM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Adu/&#10;AAAA3AAAAA8AAAAAAAAAAQAgAAAAIgAAAGRycy9kb3ducmV2LnhtbFBLAQIUABQAAAAIAIdO4kAz&#10;LwWeOwAAADkAAAAQAAAAAAAAAAEAIAAAAA4BAABkcnMvc2hhcGV4bWwueG1sUEsFBgAAAAAGAAYA&#10;WwEAALgD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MGZr78AAADc&#10;AAAADwAAAGRycy9kb3ducmV2LnhtbEWPzWrDMBCE74G+g9hCLyGRY/JT3CghFAI+OIS67X2xtrap&#10;tRKW6rh9+igQ6HGYmW+Y7X40nRio961lBYt5AoK4srrlWsHH+3H2DMIHZI2dZVLwSx72u4fJFjNt&#10;L/xGQxlqESHsM1TQhOAyKX3VkEE/t444el+2Nxii7Gupe7xEuOlkmiRrabDluNCgo9eGqu/yxyj4&#10;LIvizx2nLj+dUx98cViv6KDU0+MieQERaAz/4Xs71wqWmyX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ma+/&#10;AAAA3AAAAA8AAAAAAAAAAQAgAAAAIgAAAGRycy9kb3ducmV2LnhtbFBLAQIUABQAAAAIAIdO4kAz&#10;LwWeOwAAADkAAAAQAAAAAAAAAAEAIAAAAA4BAABkcnMvc2hhcGV4bWwueG1sUEsFBgAAAAAGAAYA&#10;WwEAALgDA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408NL8AAADc&#10;AAAADwAAAGRycy9kb3ducmV2LnhtbEWPzWrDMBCE74W8g9hALyWRY5of3CghBAI+uJQ6yX2xtraJ&#10;tRKW6rh9+qpQ6HGYmW+Y7X40nRio961lBYt5AoK4srrlWsHlfJptQPiArLGzTAq+yMN+N3nYYqbt&#10;nd9pKEMtIoR9hgqaEFwmpa8aMujn1hFH78P2BkOUfS11j/cIN51Mk2QlDbYcFxp0dGyoupWfRsG1&#10;LIpvd3py+etb6oMvDqslHZR6nC6SFxCBxvAf/mvnWsHzegm/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NPDS/&#10;AAAA3AAAAA8AAAAAAAAAAQAgAAAAIgAAAGRycy9kb3ducmV2LnhtbFBLAQIUABQAAAAIAIdO4kAz&#10;LwWeOwAAADkAAAAQAAAAAAAAAAEAIAAAAA4BAABkcnMvc2hhcGV4bWwueG1sUEsFBgAAAAAGAAYA&#10;WwEAALg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1+iQ74AAADc&#10;AAAADwAAAGRycy9kb3ducmV2LnhtbEWPT2vCQBTE70K/w/IKXqTZKBpL6ipSEDxEpKm9P7KvSWj2&#10;7ZLd+u/Tu4LgcZiZ3zCL1dl04ki9by0rGCcpCOLK6pZrBYfvzds7CB+QNXaWScGFPKyWL4MF5tqe&#10;+IuOZahFhLDPUUETgsul9FVDBn1iHXH0fm1vMETZ11L3eIpw08lJmmbSYMtxoUFHnw1Vf+W/UfBT&#10;FsXVbUZuu9tPfPDFOpvRWqnh6zj9ABHoHJ7hR3urFUzn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1+iQ74A&#10;AADcAAAADwAAAAAAAAABACAAAAAiAAAAZHJzL2Rvd25yZXYueG1sUEsBAhQAFAAAAAgAh07iQDMv&#10;BZ47AAAAOQAAABAAAAAAAAAAAQAgAAAADQEAAGRycy9zaGFwZXhtbC54bWxQSwUGAAAAAAYABgBb&#10;AQAAtwM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BMH2L0AAADc&#10;AAAADwAAAGRycy9kb3ducmV2LnhtbEWPW4vCMBSE34X9D+Es+CKaKt7oGkUEwYcuYnd9PzTHtmxz&#10;Epp4/fUbQfBxmJlvmMXqZhpxodbXlhUMBwkI4sLqmksFvz/b/hyED8gaG8uk4E4eVsuPzgJTba98&#10;oEseShEh7FNUUIXgUil9UZFBP7COOHon2xoMUbal1C1eI9w0cpQkU2mw5rhQoaNNRcVffjYKjnmW&#10;Pdy253bf+5EPPltPJ7RWqvs5TL5ABLqFd/jV3mkF49kM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wfYvQAA&#10;ANwAAAAPAAAAAAAAAAEAIAAAACIAAABkcnMvZG93bnJldi54bWxQSwECFAAUAAAACACHTuJAMy8F&#10;njsAAAA5AAAAEAAAAAAAAAABACAAAAAMAQAAZHJzL3NoYXBleG1sLnhtbFBLBQYAAAAABgAGAFsB&#10;AAC2Aw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YyTqrwAAADc&#10;AAAADwAAAGRycy9kb3ducmV2LnhtbEVPy2rCQBTdF/yH4QpuiplEWpWYUUJBcJFSmur+krkmwcyd&#10;ITP10a/vLApdHs672N3NIK40+t6ygixJQRA3VvfcKjh+7edrED4gaxwsk4IHedhtJ08F5tre+JOu&#10;dWhFDGGfo4IuBJdL6ZuODPrEOuLIne1oMEQ4tlKPeIvhZpCLNF1Kgz3Hhg4dvXXUXOpvo+BUV9WP&#10;2z+7w/vHwgdflctXKpWaTbN0AyLQPfyL/9wHreBlF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Mk6q8AAAA&#10;3A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sA2Mb8AAADc&#10;AAAADwAAAGRycy9kb3ducmV2LnhtbEWPT2vCQBTE70K/w/IKXkQ3irU2ZiNSEDyklKZ6f2Rfk2D2&#10;7ZLd+u/TdwuCx2FmfsNk64vpxIl631pWMJ0kIIgrq1uuFey/t+MlCB+QNXaWScGVPKzzp0GGqbZn&#10;/qJTGWoRIexTVNCE4FIpfdWQQT+xjjh6P7Y3GKLsa6l7PEe46eQsSRbSYMtxoUFH7w1Vx/LXKDiU&#10;RXFz25HbfXzOfPDFZvFCG6WGz9NkBSLQJTzC9/ZOK5i/vs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ANjG/&#10;AAAA3AAAAA8AAAAAAAAAAQAgAAAAIgAAAGRycy9kb3ducmV2LnhtbFBLAQIUABQAAAAIAIdO4kAz&#10;LwWeOwAAADkAAAAQAAAAAAAAAAEAIAAAAA4BAABkcnMvc2hhcGV4bWwueG1sUEsFBgAAAAAGAAYA&#10;WwEAALg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i/vi7kAAADc&#10;AAAADwAAAGRycy9kb3ducmV2LnhtbEVPy4rCMBTdD/gP4QpuBk0VFalGEUFw0UGsur8017bY3IQm&#10;Pr9+shBcHs57sXqaRtyp9bVlBcNBAoK4sLrmUsHpuO3PQPiArLGxTApe5GG17PwsMNX2wQe656EU&#10;MYR9igqqEFwqpS8qMugH1hFH7mJbgyHCtpS6xUcMN40cJclUGqw5NlToaFNRcc1vRsE5z7K32/66&#10;3d9+5IPP1tMJrZXqdYfJHESgZ/iKP+6dVjCexfn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4v74u5AAAA3AAA&#10;AA8AAAAAAAAAAQAgAAAAIgAAAGRycy9kb3ducmV2LnhtbFBLAQIUABQAAAAIAIdO4kAzLwWeOwAA&#10;ADkAAAAQAAAAAAAAAAEAIAAAAAgBAABkcnMvc2hhcGV4bWwueG1sUEsFBgAAAAAGAAYAWwEAALID&#10;A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NKEL0AAADc&#10;AAAADwAAAGRycy9kb3ducmV2LnhtbEWPT4vCMBTE78J+h/AWvMiaVlSkaxRZEDxUxKr3R/Nsi81L&#10;aLL+2U+/EQSPw8z8hpkv76YVV+p8Y1lBOkxAEJdWN1wpOB7WXzMQPiBrbC2Tggd5WC4+enPMtL3x&#10;nq5FqESEsM9QQR2Cy6T0ZU0G/dA64uidbWcwRNlVUnd4i3DTylGSTKXBhuNCjY5+aiovxa9RcCry&#10;/M+tB26z3Y188PlqOqGVUv3PNPkGEege3uFXe6MVjGcpPM/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Y0oQvQAA&#10;ANwAAAAPAAAAAAAAAAEAIAAAACIAAABkcnMvZG93bnJldi54bWxQSwECFAAUAAAACACHTuJAMy8F&#10;njsAAAA5AAAAEAAAAAAAAAABACAAAAAMAQAAZHJzL3NoYXBleG1sLnhtbFBLBQYAAAAABgAGAFsB&#10;AAC2Aw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HUZ70AAADc&#10;AAAADwAAAGRycy9kb3ducmV2LnhtbEWPT4vCMBTE7wt+h/CEvSyaWlSkGkUEwUNFrHp/NG/bss1L&#10;aOKf9dMbYWGPw8z8hlmsHqYVN+p8Y1nBaJiAIC6tbrhScD5tBzMQPiBrbC2Tgl/ysFr2PhaYaXvn&#10;I92KUIkIYZ+hgjoEl0npy5oM+qF1xNH7tp3BEGVXSd3hPcJNK9MkmUqDDceFGh1taip/iqtRcCny&#10;/Om2X263P6Q++Hw9ndBaqc/+KJmDCPQI/+G/9k4rGM9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sdRnvQAA&#10;ANwAAAAPAAAAAAAAAAEAIAAAACIAAABkcnMvZG93bnJldi54bWxQSwECFAAUAAAACACHTuJAMy8F&#10;njsAAAA5AAAAEAAAAAAAAAABACAAAAAMAQAAZHJzL3NoYXBleG1sLnhtbFBLBQYAAAAABgAGAFsB&#10;AAC2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v1x/L8AAADc&#10;AAAADwAAAGRycy9kb3ducmV2LnhtbEWPQWvCQBSE7wX/w/KEXopujK1I6ioiBDyklEa9P7KvSTD7&#10;dsluE9tf7xYKPQ4z8w2z2d1MJwbqfWtZwWKegCCurG65VnA+5bM1CB+QNXaWScE3edhtJw8bzLQd&#10;+YOGMtQiQthnqKAJwWVS+qohg35uHXH0Pm1vMETZ11L3OEa46WSaJCtpsOW40KCjQ0PVtfwyCi5l&#10;Ufy4/Mkd395TH3yxX73QXqnH6SJ5BRHoFv7Df+2jVvC8XsLvmXgE5P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9cfy/&#10;AAAA3AAAAA8AAAAAAAAAAQAgAAAAIgAAAGRycy9kb3ducmV2LnhtbFBLAQIUABQAAAAIAIdO4kAz&#10;LwWeOwAAADkAAAAQAAAAAAAAAAEAIAAAAA4BAABkcnMvc2hhcGV4bWwueG1sUEsFBgAAAAAGAAYA&#10;WwEAALg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TpiL8AAADc&#10;AAAADwAAAGRycy9kb3ducmV2LnhtbEWPQWvCQBSE70L/w/IKvUjdGDRIdBUpCDmkFKO9P7LPJDT7&#10;dsluE9tf3y0Uehxm5htmd7ibXow0+M6yguUiAUFcW91xo+B6OT1vQPiArLG3TAq+yMNh/zDbYa7t&#10;xGcaq9CICGGfo4I2BJdL6euWDPqFdcTRu9nBYIhyaKQecIpw08s0STJpsOO40KKjl5bqj+rTKHiv&#10;yvLbneaueH1LffDlMVvTUamnx2WyBRHoHv7Df+1CK1htVvB7Jh4Bu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U6Yi/&#10;AAAA3AAAAA8AAAAAAAAAAQAgAAAAIgAAAGRycy9kb3ducmV2LnhtbFBLAQIUABQAAAAIAIdO4kAz&#10;LwWeOwAAADkAAAAQAAAAAAAAAAEAIAAAAA4BAABkcnMvc2hhcGV4bWwueG1sUEsFBgAAAAAGAAYA&#10;WwEAALg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lhME74AAADc&#10;AAAADwAAAGRycy9kb3ducmV2LnhtbEWPQWvCQBSE7wX/w/KEXopulCohuooIgRxSStN6f2SfSTD7&#10;dslujfrru4VCj8PMfMNs9zfTiysNvrOsYDFPQBDXVnfcKPj6zGcpCB+QNfaWScGdPOx3k6ctZtqO&#10;/EHXKjQiQthnqKANwWVS+rolg35uHXH0znYwGKIcGqkHHCPc9HKZJGtpsOO40KKjY0v1pfo2Ck5V&#10;WT5c/uKKt/elD748rFd0UOp5ukg2IALdwn/4r11oBa/p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hME74A&#10;AADcAAAADwAAAAAAAAABACAAAAAiAAAAZHJzL2Rvd25yZXYueG1sUEsBAhQAFAAAAAgAh07iQDMv&#10;BZ47AAAAOQAAABAAAAAAAAAAAQAgAAAADQEAAGRycy9zaGFwZXhtbC54bWxQSwUGAAAAAAYABgBb&#10;AQAAtwM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orSZL0AAADc&#10;AAAADwAAAGRycy9kb3ducmV2LnhtbEWPT4vCMBTE7wt+h/CEvSyaKlqkGkUEwUNFrHp/NG/bss1L&#10;aOKf9dMbYWGPw8z8hlmsHqYVN+p8Y1nBaJiAIC6tbrhScD5tBzMQPiBrbC2Tgl/ysFr2PhaYaXvn&#10;I92KUIkIYZ+hgjoEl0npy5oM+qF1xNH7tp3BEGVXSd3hPcJNK8dJkkqDDceFGh1taip/iqtRcCny&#10;/Om2X263P4x98Pk6ndJaqc/+KJmDCPQI/+G/9k4rmMx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itJkvQAA&#10;ANwAAAAPAAAAAAAAAAEAIAAAACIAAABkcnMvZG93bnJldi54bWxQSwECFAAUAAAACACHTuJAMy8F&#10;njsAAAA5AAAAEAAAAAAAAAABACAAAAAMAQAAZHJzL3NoYXBleG1sLnhtbFBLBQYAAAAABgAGAFsB&#10;AAC2Aw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cZ3/78AAADc&#10;AAAADwAAAGRycy9kb3ducmV2LnhtbEWPQWvCQBSE70L/w/IKXqRuDNVK6ipSEDykiGl7f2Rfk9Ds&#10;2yW7TWJ/fVcQPA4z8w2z2Y2mFT11vrGsYDFPQBCXVjdcKfj8ODytQfiArLG1TAou5GG3fZhsMNN2&#10;4DP1RahEhLDPUEEdgsuk9GVNBv3cOuLofdvOYIiyq6TucIhw08o0SVbSYMNxoUZHbzWVP8WvUfBV&#10;5PmfO8zc8f2U+uDz/WpJe6Wmj4vkFUSgMdzDt/ZRK3hev8D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Gd/+/&#10;AAAA3AAAAA8AAAAAAAAAAQAgAAAAIgAAAGRycy9kb3ducmV2LnhtbFBLAQIUABQAAAAIAIdO4kAz&#10;LwWeOwAAADkAAAAQAAAAAAAAAAEAIAAAAA4BAABkcnMvc2hhcGV4bWwueG1sUEsFBgAAAAAGAAYA&#10;WwEAALg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FnjjbkAAADc&#10;AAAADwAAAGRycy9kb3ducmV2LnhtbEVPy4rCMBTdD/gP4QpuBk0VFalGEUFw0UGsur8017bY3IQm&#10;Pr9+shBcHs57sXqaRtyp9bVlBcNBAoK4sLrmUsHpuO3PQPiArLGxTApe5GG17PwsMNX2wQe656EU&#10;MYR9igqqEFwqpS8qMugH1hFH7mJbgyHCtpS6xUcMN40cJclUGqw5NlToaFNRcc1vRsE5z7K32/66&#10;3d9+5IPP1tMJrZXqdYfJHESgZ/iKP+6dVjCexbX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4425AAAA3AAA&#10;AA8AAAAAAAAAAQAgAAAAIgAAAGRycy9kb3ducmV2LnhtbFBLAQIUABQAAAAIAIdO4kAzLwWeOwAA&#10;ADkAAAAQAAAAAAAAAAEAIAAAAAgBAABkcnMvc2hhcGV4bWwueG1sUEsFBgAAAAAGAAYAWwEAALID&#10;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VGFr0AAADc&#10;AAAADwAAAGRycy9kb3ducmV2LnhtbEWPT4vCMBTE78J+h/AWvIimiop2jSKC4KGL2F3vj+bZlm1e&#10;QhP/fvqNIHgcZuY3zGJ1M424UOtrywqGgwQEcWF1zaWC359tfwbCB2SNjWVScCcPq+VHZ4Gptlc+&#10;0CUPpYgQ9ikqqEJwqZS+qMigH1hHHL2TbQ2GKNtS6havEW4aOUqSqTRYc1yo0NGmouIvPxsFxzzL&#10;Hm7bc7vv/cgHn62nE1or1f0cJl8gAt3CO/xq77SC8WwOzzPx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UYWvQAA&#10;ANw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Z5VrwAAADc&#10;AAAADwAAAGRycy9kb3ducmV2LnhtbEVPy2rCQBTdF/yH4QpuiplEWtGYUUJBcJFSmur+krkmwcyd&#10;ITP10a/vLApdHs672N3NIK40+t6ygixJQRA3VvfcKjh+7ecrED4gaxwsk4IHedhtJ08F5tre+JOu&#10;dWhFDGGfo4IuBJdL6ZuODPrEOuLIne1oMEQ4tlKPeIvhZpCLNF1Kgz3Hhg4dvXXUXOpvo+BUV9WP&#10;2z+7w/vHwgdflctXKpWaTbN0AyLQPfyL/9wHreBlH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2eVa8AAAA&#10;3AAAAA8AAAAAAAAAAQAgAAAAIgAAAGRycy9kb3ducmV2LnhtbFBLAQIUABQAAAAIAIdO4kAzLwWe&#10;OwAAADkAAAAQAAAAAAAAAAEAIAAAAAsBAABkcnMvc2hhcGV4bWwueG1sUEsFBgAAAAAGAAYAWwEA&#10;ALU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Lrczb4AAADc&#10;AAAADwAAAGRycy9kb3ducmV2LnhtbEWPQWvCQBSE7wX/w/KEXopuIq3UmI1IQfAQKcZ6f2SfSTD7&#10;dslu1fbXu4WCx2FmvmHy1c304kKD7ywrSKcJCOLa6o4bBV+HzeQdhA/IGnvLpOCHPKyK0VOOmbZX&#10;3tOlCo2IEPYZKmhDcJmUvm7JoJ9aRxy9kx0MhiiHRuoBrxFuejlLkrk02HFcaNHRR0v1ufo2Co5V&#10;Wf66zYvb7j5nPvhyPX+jtVLP4zRZggh0C4/wf3urFbwuUv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rczb4A&#10;AADcAAAADwAAAAAAAAABACAAAAAiAAAAZHJzL2Rvd25yZXYueG1sUEsBAhQAFAAAAAgAh07iQDMv&#10;BZ47AAAAOQAAABAAAAAAAAAAAQAgAAAADQEAAGRycy9zaGFwZXhtbC54bWxQSwUGAAAAAAYABgBb&#10;AQAAtw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GhCur4AAADc&#10;AAAADwAAAGRycy9kb3ducmV2LnhtbEWPT4vCMBTE7wv7HcJb8LJoalFZu0YRQfDQRazr/dE827LN&#10;S2ji30+/EQSPw8z8hpktrqYVZ+p8Y1nBcJCAIC6tbrhS8Ltf979A+ICssbVMCm7kYTF/f5thpu2F&#10;d3QuQiUihH2GCuoQXCalL2sy6AfWEUfvaDuDIcqukrrDS4SbVqZJMpEGG44LNTpa1VT+FSej4FDk&#10;+d2tP93mZ5v64PPlZExLpXofw+QbRKBreIWf7Y1WMJqm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hCur4A&#10;AADc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yTnIb8AAADc&#10;AAAADwAAAGRycy9kb3ducmV2LnhtbEWPT2vCQBTE70K/w/IKXkQ3ais2ZiNSEDyklKZ6f2Rfk2D2&#10;7ZLd+u/TdwuCx2FmfsNk64vpxIl631pWMJ0kIIgrq1uuFey/t+MlCB+QNXaWScGVPKzzp0GGqbZn&#10;/qJTGWoRIexTVNCE4FIpfdWQQT+xjjh6P7Y3GKLsa6l7PEe46eQsSRbSYMtxoUFH7w1Vx/LXKDiU&#10;RXFz25HbfXzOfPDFZvFKG6WGz9NkBSLQJTzC9/ZOK3h5m8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5yG/&#10;AAAA3AAAAA8AAAAAAAAAAQAgAAAAIgAAAGRycy9kb3ducmV2LnhtbFBLAQIUABQAAAAIAIdO4kAz&#10;LwWeOwAAADkAAAAQAAAAAAAAAAEAIAAAAA4BAABkcnMvc2hhcGV4bWwueG1sUEsFBgAAAAAGAAYA&#10;WwEAALgDA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M1/Vb8AAADc&#10;AAAADwAAAGRycy9kb3ducmV2LnhtbEWPQWvCQBSE70L/w/IKvYhuDCo2dRUpCDlEpGl7f2Rfk9Ds&#10;2yW7jWl/vSsIPQ4z8w2z3Y+mEwP1vrWsYDFPQBBXVrdcK/h4P842IHxA1thZJgW/5GG/e5hsMdP2&#10;wm80lKEWEcI+QwVNCC6T0lcNGfRz64ij92V7gyHKvpa6x0uEm06mSbKWBluOCw06em2o+i5/jILP&#10;sij+3HHq8tM59cEXh/WKDko9PS6SFxCBxvAfvrdzrWD5vIT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f1W/&#10;AAAA3AAAAA8AAAAAAAAAAQAgAAAAIgAAAGRycy9kb3ducmV2LnhtbFBLAQIUABQAAAAIAIdO4kAz&#10;LwWeOwAAADkAAAAQAAAAAAAAAAEAIAAAAA4BAABkcnMvc2hhcGV4bWwueG1sUEsFBgAAAAAGAAYA&#10;WwEAALg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Hazr8AAADc&#10;AAAADwAAAGRycy9kb3ducmV2LnhtbEWPQWvCQBSE7wX/w/KEXopuDFU0dRURhBxSSqPeH9nXJJh9&#10;u2S3Me2v7xYKPQ4z8w2z3Y+mEwP1vrWsYDFPQBBXVrdcK7icT7M1CB+QNXaWScEXedjvJg9bzLS9&#10;8zsNZahFhLDPUEETgsuk9FVDBv3cOuLofdjeYIiyr6Xu8R7hppNpkqykwZbjQoOOjg1Vt/LTKLiW&#10;RfHtTk8uf31LffDFYbWkg1KP00XyAiLQGP7Df+1cK3jeLO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B2s6/&#10;AAAA3AAAAA8AAAAAAAAAAQAgAAAAIgAAAGRycy9kb3ducmV2LnhtbFBLAQIUABQAAAAIAIdO4kAz&#10;LwWeOwAAADkAAAAQAAAAAAAAAAEAIAAAAA4BAABkcnMvc2hhcGV4bWwueG1sUEsFBgAAAAAGAAYA&#10;WwEAALgDA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1NEub4AAADc&#10;AAAADwAAAGRycy9kb3ducmV2LnhtbEWPT2vCQBTE70K/w/IKXqTZKBps6ipSEDxEpKm9P7KvSWj2&#10;7ZLd+u/Tu4LgcZiZ3zCL1dl04ki9by0rGCcpCOLK6pZrBYfvzdschA/IGjvLpOBCHlbLl8ECc21P&#10;/EXHMtQiQtjnqKAJweVS+qohgz6xjjh6v7Y3GKLsa6l7PEW46eQkTTNpsOW40KCjz4aqv/LfKPgp&#10;i+LqNiO33e0nPvhinc1ordTwdZx+gAh0Ds/wo73VCqbv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NEub4A&#10;AADcAAAADwAAAAAAAAABACAAAAAiAAAAZHJzL2Rvd25yZXYueG1sUEsBAhQAFAAAAAgAh07iQDMv&#10;BZ47AAAAOQAAABAAAAAAAAAAAQAgAAAADQEAAGRycy9zaGFwZXhtbC54bWxQSwUGAAAAAAYABgBb&#10;AQAAtwM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B/hIr8AAADc&#10;AAAADwAAAGRycy9kb3ducmV2LnhtbEWPT2vCQBTE70K/w/IKXkQ3irU2ZiNSEDyklKZ6f2Rfk2D2&#10;7ZLd+u/TdwuCx2FmfsNk64vpxIl631pWMJ0kIIgrq1uuFey/t+MlCB+QNXaWScGVPKzzp0GGqbZn&#10;/qJTGWoRIexTVNCE4FIpfdWQQT+xjjh6P7Y3GKLsa6l7PEe46eQsSRbSYMtxoUFH7w1Vx/LXKDiU&#10;RXFz25HbfXzOfPDFZvFCG6WGz9NkBSLQJTzC9/ZOK5i/vc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f4SK/&#10;AAAA3AAAAA8AAAAAAAAAAQAgAAAAIgAAAGRycy9kb3ducmV2LnhtbFBLAQIUABQAAAAIAIdO4kAz&#10;LwWeOwAAADkAAAAQAAAAAAAAAAEAIAAAAA4BAABkcnMvc2hhcGV4bWwueG1sUEsFBgAAAAAGAAYA&#10;WwEAALg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B1ULwAAADc&#10;AAAADwAAAGRycy9kb3ducmV2LnhtbEVPy2rCQBTdF/yH4QpuiplEWtGYUUJBcJFSmur+krkmwcyd&#10;ITP10a/vLApdHs672N3NIK40+t6ygixJQRA3VvfcKjh+7ecrED4gaxwsk4IHedhtJ08F5tre+JOu&#10;dWhFDGGfo4IuBJdL6ZuODPrEOuLIne1oMEQ4tlKPeIvhZpCLNF1Kgz3Hhg4dvXXUXOpvo+BUV9WP&#10;2z+7w/vHwgdflctXKpWaTbN0AyLQPfyL/9wHreBlH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AdVC8AAAA&#10;3AAAAA8AAAAAAAAAAQAgAAAAIgAAAGRycy9kb3ducmV2LnhtbFBLAQIUABQAAAAIAIdO4kAzLwWe&#10;OwAAADkAAAAQAAAAAAAAAAEAIAAAAAsBAABkcnMvc2hhcGV4bWwueG1sUEsFBgAAAAAGAAYAWwEA&#10;ALUDA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szQy78AAADc&#10;AAAADwAAAGRycy9kb3ducmV2LnhtbEWPQWvCQBSE70L/w/IKXqRuDFVq6ipSEDykiGl7f2Rfk9Ds&#10;2yW7TWJ/fVcQPA4z8w2z2Y2mFT11vrGsYDFPQBCXVjdcKfj8ODy9gPABWWNrmRRcyMNu+zDZYKbt&#10;wGfqi1CJCGGfoYI6BJdJ6cuaDPq5dcTR+7adwRBlV0nd4RDhppVpkqykwYbjQo2O3moqf4pfo+Cr&#10;yPM/d5i54/sp9cHn+9WS9kpNHxfJK4hAY7iHb+2jVvC8XsP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M0Mu/&#10;AAAA3AAAAA8AAAAAAAAAAQAgAAAAIgAAAGRycy9kb3ducmV2LnhtbFBLAQIUABQAAAAIAIdO4kAz&#10;LwWeOwAAADkAAAAQAAAAAAAAAAEAIAAAAA4BAABkcnMvc2hhcGV4bWwueG1sUEsFBgAAAAAGAAYA&#10;WwEAALgD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R3jTLoAAADc&#10;AAAADwAAAGRycy9kb3ducmV2LnhtbEVPTYvCMBC9C/sfwix4EU0UlKUaRRYEDxWxrvehGduyzSQ0&#10;sbr7681B8Ph436vNw7aipy40jjVMJwoEcelMw5WGn/Nu/AUiRGSDrWPS8EcBNuuPwQoz4+58or6I&#10;lUghHDLUUMfoMylDWZPFMHGeOHFX11mMCXaVNB3eU7ht5UyphbTYcGqo0dN3TeVvcbMaLkWe//vd&#10;yO8Px1mIId8u5rTVevg5VUsQkR7xLX6590bDXKX56Uw6An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HeNMugAAANwA&#10;AAAPAAAAAAAAAAEAIAAAACIAAABkcnMvZG93bnJldi54bWxQSwECFAAUAAAACACHTuJAMy8FnjsA&#10;AAA5AAAAEAAAAAAAAAABACAAAAAJAQAAZHJzL3NoYXBleG1sLnhtbFBLBQYAAAAABgAGAFsBAACz&#10;Aw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lFG170AAADc&#10;AAAADwAAAGRycy9kb3ducmV2LnhtbEWPQWsCMRSE74X+h/AKXoomKyhlNYoIgoct0tXeH5vX3aWb&#10;l7CJq/bXG0HocZiZb5jl+mo7MVAfWscasokCQVw503Kt4XTcjT9AhIhssHNMGm4UYL16fVlibtyF&#10;v2goYy0ShEOOGpoYfS5lqBqyGCbOEyfvx/UWY5J9LU2PlwS3nZwqNZcWW04LDXraNlT9lmer4bss&#10;ij+/e/f7z8M0xFBs5jPaaD16y9QCRKRr/A8/23ujYaYyeJx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UbXvQAA&#10;ANwAAAAPAAAAAAAAAAEAIAAAACIAAABkcnMvZG93bnJldi54bWxQSwECFAAUAAAACACHTuJAMy8F&#10;njsAAAA5AAAAEAAAAAAAAAABACAAAAAMAQAAZHJzL3NoYXBleG1sLnhtbFBLBQYAAAAABgAGAFsB&#10;AAC2Aw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oPYoL4AAADc&#10;AAAADwAAAGRycy9kb3ducmV2LnhtbEWPT2sCMRTE74V+h/AKXkpNXFDK1igiCHvYIl3t/bF57i5u&#10;XsIm/uunN4LQ4zAzv2Hmy6vtxZmG0DnWMBkrEMS1Mx03Gva7zccniBCRDfaOScONAiwXry9zzI27&#10;8A+dq9iIBOGQo4Y2Rp9LGeqWLIax88TJO7jBYkxyaKQZ8JLgtpeZUjNpseO00KKndUv1sTpZDb9V&#10;Wf75zbsvvrdZiKFczaa00nr0NlFfICJd43/42S6MhqnK4HEmHQG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PYoL4A&#10;AADcAAAADwAAAAAAAAABACAAAAAiAAAAZHJzL2Rvd25yZXYueG1sUEsBAhQAFAAAAAgAh07iQDMv&#10;BZ47AAAAOQAAABAAAAAAAAAAAQAgAAAADQEAAGRycy9zaGFwZXhtbC54bWxQSwUGAAAAAAYABgBb&#10;AQAAtwMAAAAA&#10;" path="m6956,5059l467,5059,453,5039,6970,5039,6956,5059xe">
                    <v:fill on="t" focussize="0,0"/>
                    <v:stroke on="f"/>
                    <v:imagedata o:title=""/>
                    <o:lock v:ext="edit" aspectratio="f"/>
                  </v:shape>
                </v:group>
                <w10:wrap type="none"/>
                <w10:anchorlock/>
              </v:group>
            </w:pict>
          </mc:Fallback>
        </mc:AlternateContent>
      </w:r>
    </w:p>
    <w:p>
      <w:pPr>
        <w:pStyle w:val="2"/>
        <w:spacing w:line="480" w:lineRule="exact"/>
        <w:outlineLvl w:val="9"/>
        <w:rPr>
          <w:rFonts w:hint="eastAsia" w:ascii="宋体" w:hAnsi="宋体" w:eastAsia="宋体" w:cs="宋体"/>
          <w:bCs/>
          <w:color w:val="auto"/>
          <w:sz w:val="24"/>
          <w:highlight w:val="none"/>
        </w:rPr>
      </w:pPr>
    </w:p>
    <w:p>
      <w:pPr>
        <w:pStyle w:val="2"/>
        <w:spacing w:line="480" w:lineRule="exact"/>
        <w:outlineLvl w:val="9"/>
        <w:rPr>
          <w:rFonts w:hint="eastAsia" w:ascii="宋体" w:hAnsi="宋体" w:eastAsia="宋体" w:cs="宋体"/>
          <w:bCs/>
          <w:color w:val="auto"/>
          <w:sz w:val="24"/>
          <w:highlight w:val="none"/>
        </w:rPr>
      </w:pPr>
    </w:p>
    <w:p>
      <w:pPr>
        <w:pStyle w:val="2"/>
        <w:spacing w:line="480" w:lineRule="exact"/>
        <w:outlineLvl w:val="9"/>
        <w:rPr>
          <w:rFonts w:hint="eastAsia" w:ascii="宋体" w:hAnsi="宋体" w:eastAsia="宋体" w:cs="宋体"/>
          <w:bCs/>
          <w:color w:val="auto"/>
          <w:sz w:val="24"/>
          <w:highlight w:val="none"/>
        </w:rPr>
      </w:pP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2"/>
        <w:shd w:val="clear"/>
        <w:tabs>
          <w:tab w:val="left" w:pos="718"/>
          <w:tab w:val="left" w:pos="1767"/>
          <w:tab w:val="left" w:pos="2398"/>
          <w:tab w:val="left" w:pos="3027"/>
        </w:tabs>
        <w:spacing w:line="360" w:lineRule="auto"/>
        <w:ind w:left="298"/>
        <w:outlineLvl w:val="9"/>
        <w:rPr>
          <w:rFonts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
        <w:spacing w:line="480" w:lineRule="exact"/>
        <w:outlineLvl w:val="9"/>
        <w:rPr>
          <w:rFonts w:ascii="仿宋" w:hAnsi="仿宋" w:eastAsia="仿宋" w:cs="仿宋"/>
          <w:bCs/>
          <w:color w:val="auto"/>
          <w:highlight w:val="none"/>
        </w:rPr>
      </w:pP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*备注：磋商保证金缴费回单复印件加盖公章</w:t>
      </w:r>
    </w:p>
    <w:p>
      <w:pPr>
        <w:pStyle w:val="59"/>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磋商保证金提交方式为银行电汇或其他方式缴纳，电汇须从供应商基本帐户转出，磋商保证金必须在磋商截止时间前到指定的帐户，并在汇款单上注明所投项目名称。未领取采购文件、缴纳保证金的供应商不得参与磋商，磋商保证金以其他方式递交未按规定时间到账的，由供应商自行承担。</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outlineLvl w:val="9"/>
        <w:rPr>
          <w:rFonts w:hint="eastAsia" w:ascii="仿宋" w:hAnsi="仿宋" w:eastAsia="仿宋" w:cs="仿宋"/>
          <w:b/>
          <w:color w:val="auto"/>
          <w:sz w:val="28"/>
          <w:szCs w:val="28"/>
          <w:highlight w:val="none"/>
          <w:lang w:val="en-US" w:eastAsia="zh-CN" w:bidi="zh-CN"/>
        </w:rPr>
      </w:pPr>
      <w:bookmarkStart w:id="300" w:name="_Toc16920"/>
      <w:bookmarkStart w:id="301" w:name="_Toc15796"/>
      <w:bookmarkStart w:id="302" w:name="_Toc25575"/>
      <w:bookmarkStart w:id="303" w:name="_Toc1146"/>
      <w:r>
        <w:rPr>
          <w:rFonts w:hint="eastAsia" w:ascii="仿宋" w:hAnsi="仿宋" w:eastAsia="仿宋" w:cs="仿宋"/>
          <w:b/>
          <w:color w:val="auto"/>
          <w:sz w:val="28"/>
          <w:szCs w:val="28"/>
          <w:highlight w:val="none"/>
          <w:lang w:val="en-US" w:eastAsia="zh-CN" w:bidi="zh-CN"/>
        </w:rPr>
        <w:t>附件1</w:t>
      </w:r>
      <w:bookmarkStart w:id="304" w:name="_bookmark29"/>
      <w:bookmarkEnd w:id="304"/>
      <w:bookmarkStart w:id="305" w:name="附件16 残疾人福利性单位声明函（残疾人福利性单位适用，不符合的无需提供）"/>
      <w:bookmarkEnd w:id="305"/>
      <w:r>
        <w:rPr>
          <w:rFonts w:hint="eastAsia" w:ascii="仿宋" w:hAnsi="仿宋" w:eastAsia="仿宋" w:cs="仿宋"/>
          <w:b/>
          <w:color w:val="auto"/>
          <w:sz w:val="28"/>
          <w:szCs w:val="28"/>
          <w:highlight w:val="none"/>
          <w:lang w:val="en-US" w:eastAsia="zh-CN" w:bidi="zh-CN"/>
        </w:rPr>
        <w:t>5  退还保证金说明函</w:t>
      </w:r>
      <w:bookmarkEnd w:id="300"/>
      <w:bookmarkEnd w:id="301"/>
      <w:bookmarkEnd w:id="302"/>
      <w:bookmarkEnd w:id="303"/>
    </w:p>
    <w:p>
      <w:pPr>
        <w:pStyle w:val="2"/>
        <w:pageBreakBefore w:val="0"/>
        <w:kinsoku/>
        <w:wordWrap/>
        <w:overflowPunct/>
        <w:topLinePunct w:val="0"/>
        <w:bidi w:val="0"/>
        <w:spacing w:before="0" w:line="48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eastAsia="zh-CN"/>
        </w:rPr>
        <w:t>磋商</w:t>
      </w:r>
      <w:r>
        <w:rPr>
          <w:rFonts w:hint="eastAsia" w:ascii="仿宋" w:hAnsi="仿宋" w:eastAsia="仿宋" w:cs="仿宋"/>
          <w:bCs/>
          <w:color w:val="auto"/>
          <w:sz w:val="24"/>
          <w:szCs w:val="24"/>
          <w:highlight w:val="none"/>
          <w:u w:val="single"/>
        </w:rPr>
        <w:t>代理公司）</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我单位已按项目（项目号：）的</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要求，提交的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u w:val="single"/>
        </w:rPr>
        <w:t>大写金额</w:t>
      </w:r>
      <w:r>
        <w:rPr>
          <w:rFonts w:hint="eastAsia" w:ascii="仿宋" w:hAnsi="仿宋" w:eastAsia="仿宋" w:cs="仿宋"/>
          <w:color w:val="auto"/>
          <w:sz w:val="24"/>
          <w:szCs w:val="24"/>
          <w:highlight w:val="none"/>
        </w:rPr>
        <w:t>）元，请贵公司退还时划到以下帐户：</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收款单位地址：</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（联系人和电话请填写财务人员，以便我公司财务人员核实退还保证金账户正确性）</w:t>
      </w:r>
    </w:p>
    <w:p>
      <w:pPr>
        <w:pStyle w:val="2"/>
        <w:pageBreakBefore w:val="0"/>
        <w:kinsoku/>
        <w:wordWrap/>
        <w:overflowPunct/>
        <w:topLinePunct w:val="0"/>
        <w:bidi w:val="0"/>
        <w:spacing w:before="0" w:line="480" w:lineRule="exact"/>
        <w:ind w:left="0" w:firstLine="480" w:firstLineChars="200"/>
        <w:textAlignment w:val="auto"/>
        <w:outlineLvl w:val="9"/>
        <w:rPr>
          <w:rFonts w:hint="eastAsia" w:ascii="仿宋" w:hAnsi="仿宋" w:eastAsia="仿宋" w:cs="仿宋"/>
          <w:color w:val="auto"/>
          <w:sz w:val="24"/>
          <w:szCs w:val="24"/>
          <w:highlight w:val="none"/>
        </w:rPr>
      </w:pPr>
    </w:p>
    <w:p>
      <w:pPr>
        <w:pStyle w:val="2"/>
        <w:pageBreakBefore w:val="0"/>
        <w:kinsoku/>
        <w:wordWrap/>
        <w:overflowPunct/>
        <w:topLinePunct w:val="0"/>
        <w:bidi w:val="0"/>
        <w:spacing w:before="0" w:line="480" w:lineRule="exact"/>
        <w:ind w:left="0" w:firstLine="480" w:firstLineChars="200"/>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（公章）</w:t>
      </w:r>
    </w:p>
    <w:p>
      <w:pPr>
        <w:pStyle w:val="2"/>
        <w:pageBreakBefore w:val="0"/>
        <w:kinsoku/>
        <w:wordWrap/>
        <w:overflowPunct/>
        <w:topLinePunct w:val="0"/>
        <w:bidi w:val="0"/>
        <w:spacing w:before="0" w:line="480" w:lineRule="exact"/>
        <w:ind w:left="0" w:firstLine="480" w:firstLineChars="200"/>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ageBreakBefore w:val="0"/>
        <w:kinsoku/>
        <w:wordWrap/>
        <w:overflowPunct/>
        <w:topLinePunct w:val="0"/>
        <w:bidi w:val="0"/>
        <w:spacing w:before="60" w:line="480" w:lineRule="exact"/>
        <w:ind w:left="298" w:right="0" w:firstLine="0"/>
        <w:jc w:val="right"/>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spacing w:before="212"/>
        <w:ind w:left="0" w:right="113" w:firstLine="0"/>
        <w:jc w:val="center"/>
        <w:outlineLvl w:val="9"/>
        <w:rPr>
          <w:rFonts w:hint="eastAsia" w:ascii="仿宋" w:hAnsi="仿宋" w:eastAsia="仿宋" w:cs="仿宋"/>
          <w:b/>
          <w:spacing w:val="0"/>
          <w:w w:val="100"/>
          <w:position w:val="0"/>
          <w:sz w:val="32"/>
        </w:rPr>
      </w:pPr>
      <w:r>
        <w:rPr>
          <w:rFonts w:hint="eastAsia" w:ascii="仿宋" w:hAnsi="仿宋" w:eastAsia="仿宋" w:cs="仿宋"/>
          <w:b/>
          <w:color w:val="auto"/>
          <w:sz w:val="24"/>
          <w:szCs w:val="24"/>
          <w:highlight w:val="none"/>
        </w:rPr>
        <w:br w:type="page"/>
      </w:r>
      <w:r>
        <w:rPr>
          <w:rFonts w:hint="eastAsia" w:ascii="仿宋" w:hAnsi="仿宋" w:eastAsia="仿宋" w:cs="仿宋"/>
          <w:b/>
          <w:spacing w:val="0"/>
          <w:w w:val="100"/>
          <w:position w:val="0"/>
          <w:sz w:val="32"/>
        </w:rPr>
        <w:t>开票信息表格式</w:t>
      </w:r>
    </w:p>
    <w:p>
      <w:pPr>
        <w:pStyle w:val="2"/>
        <w:tabs>
          <w:tab w:val="left" w:pos="4843"/>
        </w:tabs>
        <w:spacing w:before="213" w:line="302" w:lineRule="auto"/>
        <w:ind w:left="228" w:right="5142"/>
        <w:outlineLvl w:val="9"/>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项目名称：</w:t>
      </w:r>
      <w:r>
        <w:rPr>
          <w:rFonts w:hint="eastAsia" w:ascii="仿宋" w:hAnsi="仿宋" w:eastAsia="仿宋" w:cs="仿宋"/>
          <w:spacing w:val="0"/>
          <w:w w:val="100"/>
          <w:position w:val="0"/>
          <w:sz w:val="24"/>
          <w:szCs w:val="24"/>
          <w:u w:val="single"/>
        </w:rPr>
        <w:t xml:space="preserve">                           </w:t>
      </w:r>
    </w:p>
    <w:p>
      <w:pPr>
        <w:pStyle w:val="2"/>
        <w:tabs>
          <w:tab w:val="left" w:pos="4843"/>
        </w:tabs>
        <w:spacing w:before="213" w:line="302" w:lineRule="auto"/>
        <w:ind w:left="228" w:right="5142"/>
        <w:outlineLvl w:val="9"/>
        <w:rPr>
          <w:rFonts w:hint="default" w:ascii="仿宋" w:hAnsi="仿宋" w:eastAsia="仿宋" w:cs="仿宋"/>
          <w:spacing w:val="0"/>
          <w:w w:val="100"/>
          <w:position w:val="0"/>
          <w:sz w:val="24"/>
          <w:szCs w:val="24"/>
          <w:lang w:val="en-US" w:eastAsia="zh-CN"/>
        </w:rPr>
      </w:pPr>
      <w:r>
        <w:rPr>
          <w:rFonts w:hint="eastAsia" w:ascii="仿宋" w:hAnsi="仿宋" w:eastAsia="仿宋" w:cs="仿宋"/>
          <w:spacing w:val="0"/>
          <w:w w:val="100"/>
          <w:position w:val="0"/>
          <w:sz w:val="24"/>
          <w:szCs w:val="24"/>
        </w:rPr>
        <w:t>项目编号：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lang w:val="en-US" w:eastAsia="zh-CN"/>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spacing w:val="0"/>
          <w:w w:val="100"/>
          <w:position w:val="0"/>
          <w:sz w:val="24"/>
          <w:szCs w:val="24"/>
          <w:u w:val="singl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如果我单位中标/成交，请贵单位开具服务费发票：</w:t>
      </w:r>
    </w:p>
    <w:p>
      <w:pPr>
        <w:pStyle w:val="2"/>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我单位开票信息为：</w:t>
      </w:r>
    </w:p>
    <w:p>
      <w:pPr>
        <w:pStyle w:val="2"/>
        <w:keepNext w:val="0"/>
        <w:keepLines w:val="0"/>
        <w:pageBreakBefore w:val="0"/>
        <w:widowControl w:val="0"/>
        <w:tabs>
          <w:tab w:val="left" w:pos="532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单位全称：</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2"/>
        <w:keepNext w:val="0"/>
        <w:keepLines w:val="0"/>
        <w:pageBreakBefore w:val="0"/>
        <w:widowControl w:val="0"/>
        <w:tabs>
          <w:tab w:val="left" w:pos="580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纳税人识别号：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2"/>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地址：</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r>
        <w:rPr>
          <w:rFonts w:hint="eastAsia" w:ascii="仿宋" w:hAnsi="仿宋" w:eastAsia="仿宋" w:cs="仿宋"/>
          <w:spacing w:val="0"/>
          <w:w w:val="100"/>
          <w:position w:val="0"/>
          <w:sz w:val="24"/>
          <w:szCs w:val="24"/>
          <w:u w:val="single"/>
        </w:rPr>
        <w:t xml:space="preserve"> </w:t>
      </w:r>
    </w:p>
    <w:p>
      <w:pPr>
        <w:pStyle w:val="2"/>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电话：</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2"/>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开户行名称：</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r>
        <w:rPr>
          <w:rFonts w:hint="eastAsia" w:ascii="仿宋" w:hAnsi="仿宋" w:eastAsia="仿宋" w:cs="仿宋"/>
          <w:spacing w:val="0"/>
          <w:w w:val="100"/>
          <w:position w:val="0"/>
          <w:sz w:val="24"/>
          <w:szCs w:val="24"/>
          <w:u w:val="single"/>
        </w:rPr>
        <w:t xml:space="preserve"> </w:t>
      </w:r>
    </w:p>
    <w:p>
      <w:pPr>
        <w:pStyle w:val="2"/>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80" w:firstLineChars="200"/>
        <w:textAlignment w:val="auto"/>
        <w:outlineLvl w:val="9"/>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开户行账号：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2"/>
        <w:spacing w:before="3" w:line="360" w:lineRule="auto"/>
        <w:ind w:firstLine="960" w:firstLineChars="400"/>
        <w:outlineLvl w:val="9"/>
        <w:rPr>
          <w:rFonts w:hint="eastAsia" w:ascii="仿宋" w:hAnsi="仿宋" w:eastAsia="仿宋" w:cs="仿宋"/>
          <w:spacing w:val="0"/>
          <w:w w:val="100"/>
          <w:position w:val="0"/>
          <w:sz w:val="24"/>
          <w:szCs w:val="24"/>
          <w:lang w:val="en-US" w:eastAsia="zh-CN"/>
        </w:rPr>
      </w:pPr>
    </w:p>
    <w:p>
      <w:pPr>
        <w:pStyle w:val="2"/>
        <w:spacing w:before="3" w:line="360" w:lineRule="auto"/>
        <w:ind w:firstLine="960" w:firstLineChars="400"/>
        <w:outlineLvl w:val="9"/>
        <w:rPr>
          <w:rFonts w:hint="default" w:ascii="仿宋" w:hAnsi="仿宋" w:eastAsia="仿宋" w:cs="仿宋"/>
          <w:spacing w:val="0"/>
          <w:w w:val="100"/>
          <w:position w:val="0"/>
          <w:sz w:val="24"/>
          <w:szCs w:val="24"/>
          <w:u w:val="single"/>
          <w:lang w:val="en-US" w:eastAsia="zh-CN"/>
        </w:rPr>
      </w:pPr>
      <w:r>
        <w:rPr>
          <w:rFonts w:hint="eastAsia" w:ascii="仿宋" w:hAnsi="仿宋" w:eastAsia="仿宋" w:cs="仿宋"/>
          <w:spacing w:val="0"/>
          <w:w w:val="100"/>
          <w:position w:val="0"/>
          <w:sz w:val="24"/>
          <w:szCs w:val="24"/>
          <w:lang w:val="en-US" w:eastAsia="zh-CN"/>
        </w:rPr>
        <w:t>发票接收邮箱：</w:t>
      </w:r>
      <w:r>
        <w:rPr>
          <w:rFonts w:hint="eastAsia" w:ascii="仿宋" w:hAnsi="仿宋" w:eastAsia="仿宋" w:cs="仿宋"/>
          <w:spacing w:val="0"/>
          <w:w w:val="100"/>
          <w:position w:val="0"/>
          <w:sz w:val="24"/>
          <w:szCs w:val="24"/>
          <w:u w:val="single"/>
          <w:lang w:val="en-US" w:eastAsia="zh-CN"/>
        </w:rPr>
        <w:t xml:space="preserve">                                      </w:t>
      </w:r>
    </w:p>
    <w:p>
      <w:pPr>
        <w:pStyle w:val="59"/>
        <w:spacing w:line="520" w:lineRule="exact"/>
        <w:ind w:leftChars="20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pPr>
        <w:pStyle w:val="59"/>
        <w:spacing w:line="520" w:lineRule="exact"/>
        <w:ind w:leftChars="20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我单位将发票开出后，会发至邮箱。</w:t>
      </w:r>
    </w:p>
    <w:p>
      <w:pPr>
        <w:pStyle w:val="59"/>
        <w:spacing w:line="520" w:lineRule="exact"/>
        <w:ind w:leftChars="200" w:firstLine="480" w:firstLineChars="200"/>
        <w:outlineLvl w:val="9"/>
        <w:rPr>
          <w:rFonts w:hint="eastAsia" w:ascii="仿宋" w:hAnsi="仿宋" w:eastAsia="仿宋" w:cs="仿宋"/>
          <w:color w:val="auto"/>
          <w:sz w:val="24"/>
          <w:szCs w:val="24"/>
          <w:highlight w:val="none"/>
          <w:lang w:val="en-US" w:eastAsia="zh-CN"/>
        </w:rPr>
      </w:pPr>
    </w:p>
    <w:p>
      <w:pPr>
        <w:pStyle w:val="59"/>
        <w:spacing w:line="520" w:lineRule="exact"/>
        <w:ind w:leftChars="20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供应商名称（公章）：</w:t>
      </w:r>
      <w:r>
        <w:rPr>
          <w:rFonts w:hint="eastAsia" w:ascii="仿宋" w:hAnsi="仿宋" w:eastAsia="仿宋" w:cs="仿宋"/>
          <w:color w:val="auto"/>
          <w:sz w:val="24"/>
          <w:szCs w:val="24"/>
          <w:highlight w:val="none"/>
          <w:u w:val="single"/>
          <w:lang w:val="en-US" w:eastAsia="zh-CN"/>
        </w:rPr>
        <w:t xml:space="preserve">                            </w:t>
      </w:r>
    </w:p>
    <w:p>
      <w:pPr>
        <w:pStyle w:val="59"/>
        <w:spacing w:line="520" w:lineRule="exact"/>
        <w:ind w:leftChars="20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法定代表人签署或被授权人</w:t>
      </w:r>
      <w:r>
        <w:rPr>
          <w:rFonts w:hint="eastAsia" w:ascii="仿宋" w:hAnsi="仿宋" w:eastAsia="仿宋" w:cs="仿宋"/>
          <w:spacing w:val="0"/>
          <w:w w:val="100"/>
          <w:position w:val="0"/>
          <w:sz w:val="24"/>
          <w:lang w:val="en-US" w:eastAsia="zh-CN"/>
        </w:rPr>
        <w:t>（签字或盖章）</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p>
    <w:p>
      <w:pPr>
        <w:pStyle w:val="59"/>
        <w:spacing w:line="520" w:lineRule="exact"/>
        <w:ind w:leftChars="200" w:firstLine="480" w:firstLineChars="200"/>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日期 ：</w:t>
      </w:r>
      <w:r>
        <w:rPr>
          <w:rFonts w:hint="eastAsia" w:ascii="仿宋" w:hAnsi="仿宋" w:eastAsia="仿宋" w:cs="仿宋"/>
          <w:color w:val="auto"/>
          <w:sz w:val="24"/>
          <w:szCs w:val="24"/>
          <w:highlight w:val="none"/>
          <w:u w:val="single"/>
          <w:lang w:val="en-US" w:eastAsia="zh-CN"/>
        </w:rPr>
        <w:t xml:space="preserve">                             </w:t>
      </w:r>
    </w:p>
    <w:p>
      <w:pPr>
        <w:pStyle w:val="2"/>
        <w:outlineLvl w:val="9"/>
        <w:rPr>
          <w:rFonts w:hint="eastAsia" w:ascii="仿宋" w:hAnsi="仿宋" w:eastAsia="仿宋" w:cs="仿宋"/>
          <w:spacing w:val="0"/>
          <w:w w:val="100"/>
          <w:position w:val="0"/>
          <w:sz w:val="19"/>
        </w:rPr>
      </w:pPr>
    </w:p>
    <w:p>
      <w:pPr>
        <w:rPr>
          <w:rFonts w:hint="eastAsia"/>
        </w:rPr>
      </w:pPr>
      <w:r>
        <w:rPr>
          <w:rFonts w:hint="eastAsia"/>
        </w:rPr>
        <w:br w:type="page"/>
      </w:r>
    </w:p>
    <w:p>
      <w:pPr>
        <w:pageBreakBefore w:val="0"/>
        <w:kinsoku/>
        <w:wordWrap/>
        <w:overflowPunct/>
        <w:topLinePunct w:val="0"/>
        <w:bidi w:val="0"/>
        <w:spacing w:line="240" w:lineRule="auto"/>
        <w:textAlignment w:val="auto"/>
        <w:outlineLvl w:val="9"/>
        <w:rPr>
          <w:rFonts w:hint="eastAsia" w:ascii="仿宋" w:hAnsi="仿宋" w:eastAsia="仿宋" w:cs="仿宋"/>
          <w:b/>
          <w:color w:val="auto"/>
          <w:sz w:val="28"/>
          <w:szCs w:val="28"/>
          <w:highlight w:val="none"/>
        </w:rPr>
      </w:pPr>
      <w:bookmarkStart w:id="306" w:name="_Toc2664"/>
      <w:bookmarkStart w:id="307" w:name="_Toc1292"/>
      <w:bookmarkStart w:id="308" w:name="_Toc231"/>
      <w:bookmarkStart w:id="309" w:name="_Toc4107"/>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 xml:space="preserve">6  </w:t>
      </w:r>
      <w:r>
        <w:rPr>
          <w:rFonts w:hint="eastAsia" w:ascii="仿宋" w:hAnsi="仿宋" w:eastAsia="仿宋" w:cs="仿宋"/>
          <w:b/>
          <w:color w:val="auto"/>
          <w:sz w:val="28"/>
          <w:szCs w:val="28"/>
          <w:highlight w:val="none"/>
        </w:rPr>
        <w:t>中小微企业声明函（中小微企业适用，不符合的无需提供）</w:t>
      </w:r>
      <w:bookmarkEnd w:id="306"/>
      <w:bookmarkEnd w:id="307"/>
      <w:bookmarkEnd w:id="308"/>
      <w:bookmarkEnd w:id="309"/>
    </w:p>
    <w:p>
      <w:pPr>
        <w:spacing w:before="1"/>
        <w:ind w:left="2249" w:right="2487" w:firstLine="0"/>
        <w:jc w:val="center"/>
        <w:outlineLvl w:val="9"/>
        <w:rPr>
          <w:rFonts w:hint="eastAsia" w:ascii="仿宋" w:hAnsi="仿宋" w:eastAsia="仿宋" w:cs="仿宋"/>
          <w:color w:val="auto"/>
          <w:spacing w:val="0"/>
          <w:w w:val="100"/>
          <w:position w:val="0"/>
          <w:sz w:val="36"/>
        </w:rPr>
      </w:pP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b/>
          <w:color w:val="auto"/>
          <w:spacing w:val="0"/>
          <w:w w:val="100"/>
          <w:position w:val="0"/>
          <w:sz w:val="32"/>
          <w:szCs w:val="32"/>
        </w:rPr>
      </w:pPr>
      <w:r>
        <w:rPr>
          <w:rFonts w:hint="eastAsia" w:ascii="仿宋" w:hAnsi="仿宋" w:eastAsia="仿宋" w:cs="仿宋"/>
          <w:b/>
          <w:color w:val="auto"/>
          <w:spacing w:val="0"/>
          <w:w w:val="100"/>
          <w:position w:val="0"/>
          <w:sz w:val="32"/>
          <w:szCs w:val="32"/>
        </w:rPr>
        <w:t>中小企业声明函（服务）</w:t>
      </w:r>
    </w:p>
    <w:p>
      <w:pPr>
        <w:pStyle w:val="26"/>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本公司（联合体）郑重声明，根据《政府采购促进中小企业发展管理办法》（财库﹝2020﹞46 号）的规定，本公司</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（联合体）参加</w:t>
      </w:r>
      <w:r>
        <w:rPr>
          <w:rFonts w:hint="eastAsia" w:ascii="仿宋" w:hAnsi="仿宋" w:eastAsia="仿宋" w:cs="仿宋"/>
          <w:i/>
          <w:color w:val="auto"/>
          <w:spacing w:val="0"/>
          <w:w w:val="100"/>
          <w:position w:val="0"/>
          <w:sz w:val="24"/>
          <w:szCs w:val="24"/>
          <w:u w:val="single"/>
        </w:rPr>
        <w:t>（单位名称）</w:t>
      </w:r>
      <w:r>
        <w:rPr>
          <w:rFonts w:hint="eastAsia" w:ascii="仿宋" w:hAnsi="仿宋" w:eastAsia="仿宋" w:cs="仿宋"/>
          <w:color w:val="auto"/>
          <w:spacing w:val="0"/>
          <w:w w:val="100"/>
          <w:position w:val="0"/>
          <w:sz w:val="24"/>
          <w:szCs w:val="24"/>
        </w:rPr>
        <w:t>的</w:t>
      </w:r>
      <w:r>
        <w:rPr>
          <w:rFonts w:hint="eastAsia" w:ascii="仿宋" w:hAnsi="仿宋" w:eastAsia="仿宋" w:cs="仿宋"/>
          <w:i/>
          <w:color w:val="auto"/>
          <w:spacing w:val="0"/>
          <w:w w:val="100"/>
          <w:position w:val="0"/>
          <w:sz w:val="24"/>
          <w:szCs w:val="24"/>
          <w:u w:val="single"/>
        </w:rPr>
        <w:t>（项目名称）</w:t>
      </w:r>
      <w:r>
        <w:rPr>
          <w:rFonts w:hint="eastAsia" w:ascii="仿宋" w:hAnsi="仿宋" w:eastAsia="仿宋" w:cs="仿宋"/>
          <w:color w:val="auto"/>
          <w:spacing w:val="0"/>
          <w:w w:val="100"/>
          <w:position w:val="0"/>
          <w:sz w:val="24"/>
          <w:szCs w:val="24"/>
        </w:rPr>
        <w:t>采购活动，工     程的施工单位全部为符合政策要求的中小企业（或者：服务全部由符合政策要求的中小企业承接）。相关企业（含联合 体中的中小企业、签订分包意向协议的中小企业）的具体情况如下：</w:t>
      </w:r>
    </w:p>
    <w:p>
      <w:pPr>
        <w:pStyle w:val="28"/>
        <w:keepNext w:val="0"/>
        <w:keepLines w:val="0"/>
        <w:pageBreakBefore w:val="0"/>
        <w:widowControl w:val="0"/>
        <w:numPr>
          <w:ilvl w:val="0"/>
          <w:numId w:val="7"/>
        </w:numPr>
        <w:tabs>
          <w:tab w:val="left" w:pos="1143"/>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i/>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u w:val="none"/>
        </w:rPr>
        <w:t>，属于</w:t>
      </w:r>
      <w:r>
        <w:rPr>
          <w:rFonts w:hint="eastAsia" w:ascii="仿宋" w:hAnsi="仿宋" w:eastAsia="仿宋" w:cs="仿宋"/>
          <w:i/>
          <w:color w:val="auto"/>
          <w:spacing w:val="0"/>
          <w:w w:val="100"/>
          <w:position w:val="0"/>
          <w:sz w:val="24"/>
          <w:szCs w:val="24"/>
          <w:u w:val="none"/>
        </w:rPr>
        <w:t>（</w:t>
      </w:r>
      <w:r>
        <w:rPr>
          <w:rFonts w:hint="eastAsia" w:ascii="仿宋" w:hAnsi="仿宋" w:eastAsia="仿宋" w:cs="仿宋"/>
          <w:i/>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u w:val="none"/>
        </w:rPr>
        <w:t>；</w:t>
      </w:r>
      <w:r>
        <w:rPr>
          <w:rFonts w:hint="eastAsia" w:ascii="仿宋" w:hAnsi="仿宋" w:eastAsia="仿宋" w:cs="仿宋"/>
          <w:color w:val="auto"/>
          <w:spacing w:val="0"/>
          <w:w w:val="100"/>
          <w:position w:val="0"/>
          <w:sz w:val="24"/>
          <w:szCs w:val="24"/>
        </w:rPr>
        <w:t>承建（承接）企业为</w:t>
      </w:r>
      <w:r>
        <w:rPr>
          <w:rFonts w:hint="eastAsia" w:ascii="仿宋" w:hAnsi="仿宋" w:eastAsia="仿宋" w:cs="仿宋"/>
          <w:i/>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人，营业收入为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w:t>
      </w:r>
      <w:r>
        <w:rPr>
          <w:rFonts w:hint="eastAsia" w:ascii="仿宋" w:hAnsi="仿宋" w:eastAsia="仿宋" w:cs="仿宋"/>
          <w:color w:val="auto"/>
          <w:spacing w:val="0"/>
          <w:w w:val="100"/>
          <w:position w:val="0"/>
          <w:sz w:val="24"/>
          <w:szCs w:val="24"/>
        </w:rPr>
        <w:fldChar w:fldCharType="begin"/>
      </w:r>
      <w:r>
        <w:rPr>
          <w:rFonts w:hint="eastAsia" w:ascii="仿宋" w:hAnsi="仿宋" w:eastAsia="仿宋" w:cs="仿宋"/>
          <w:color w:val="auto"/>
          <w:spacing w:val="0"/>
          <w:w w:val="100"/>
          <w:position w:val="0"/>
          <w:sz w:val="24"/>
          <w:szCs w:val="24"/>
        </w:rPr>
        <w:instrText xml:space="preserve"> HYPERLINK \l "_bookmark0" </w:instrText>
      </w:r>
      <w:r>
        <w:rPr>
          <w:rFonts w:hint="eastAsia" w:ascii="仿宋" w:hAnsi="仿宋" w:eastAsia="仿宋" w:cs="仿宋"/>
          <w:color w:val="auto"/>
          <w:spacing w:val="0"/>
          <w:w w:val="100"/>
          <w:position w:val="0"/>
          <w:sz w:val="24"/>
          <w:szCs w:val="24"/>
        </w:rPr>
        <w:fldChar w:fldCharType="separate"/>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rPr>
        <w:fldChar w:fldCharType="end"/>
      </w:r>
      <w:r>
        <w:rPr>
          <w:rFonts w:hint="eastAsia" w:ascii="仿宋" w:hAnsi="仿宋" w:eastAsia="仿宋" w:cs="仿宋"/>
          <w:color w:val="auto"/>
          <w:spacing w:val="0"/>
          <w:w w:val="100"/>
          <w:position w:val="0"/>
          <w:sz w:val="24"/>
          <w:szCs w:val="24"/>
        </w:rPr>
        <w:t>，属于</w:t>
      </w:r>
      <w:r>
        <w:rPr>
          <w:rFonts w:hint="eastAsia" w:ascii="仿宋" w:hAnsi="仿宋" w:eastAsia="仿宋" w:cs="仿宋"/>
          <w:i/>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pStyle w:val="28"/>
        <w:keepNext w:val="0"/>
        <w:keepLines w:val="0"/>
        <w:pageBreakBefore w:val="0"/>
        <w:widowControl w:val="0"/>
        <w:numPr>
          <w:ilvl w:val="0"/>
          <w:numId w:val="7"/>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仿宋" w:hAnsi="仿宋" w:eastAsia="仿宋" w:cs="仿宋"/>
          <w:color w:val="auto"/>
          <w:spacing w:val="0"/>
          <w:w w:val="100"/>
          <w:position w:val="0"/>
          <w:sz w:val="24"/>
          <w:szCs w:val="24"/>
          <w:u w:val="none"/>
        </w:rPr>
      </w:pPr>
      <w:r>
        <w:rPr>
          <w:rFonts w:hint="eastAsia" w:ascii="仿宋" w:hAnsi="仿宋" w:eastAsia="仿宋" w:cs="仿宋"/>
          <w:i/>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u w:val="none"/>
        </w:rPr>
        <w:t>，属于</w:t>
      </w:r>
      <w:r>
        <w:rPr>
          <w:rFonts w:hint="eastAsia" w:ascii="仿宋" w:hAnsi="仿宋" w:eastAsia="仿宋" w:cs="仿宋"/>
          <w:i/>
          <w:color w:val="auto"/>
          <w:spacing w:val="0"/>
          <w:w w:val="100"/>
          <w:position w:val="0"/>
          <w:sz w:val="24"/>
          <w:szCs w:val="24"/>
          <w:u w:val="none"/>
        </w:rPr>
        <w:t>（</w:t>
      </w:r>
      <w:r>
        <w:rPr>
          <w:rFonts w:hint="eastAsia" w:ascii="仿宋" w:hAnsi="仿宋" w:eastAsia="仿宋" w:cs="仿宋"/>
          <w:i/>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u w:val="none"/>
        </w:rPr>
        <w:t>；承建（承接）企业为</w:t>
      </w:r>
      <w:r>
        <w:rPr>
          <w:rFonts w:hint="eastAsia" w:ascii="仿宋" w:hAnsi="仿宋" w:eastAsia="仿宋" w:cs="仿宋"/>
          <w:i/>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u w:val="none"/>
        </w:rPr>
        <w:t>，从业人员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none"/>
        </w:rPr>
        <w:t>人，营业收入为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none"/>
        </w:rPr>
        <w:t>万元，资产总额为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none"/>
        </w:rPr>
        <w:t>万元，属于</w:t>
      </w:r>
      <w:r>
        <w:rPr>
          <w:rFonts w:hint="eastAsia" w:ascii="仿宋" w:hAnsi="仿宋" w:eastAsia="仿宋" w:cs="仿宋"/>
          <w:i/>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u w:val="none"/>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本企业对上述声明内容的真实性负责。如有虚假，将依法承担相应责任。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4178" w:leftChars="1899" w:right="0" w:firstLine="439" w:firstLineChars="183"/>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企业名称（盖章）：</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4178" w:leftChars="1899" w:right="0" w:firstLine="439" w:firstLineChars="183"/>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日期：</w:t>
      </w:r>
    </w:p>
    <w:p>
      <w:pPr>
        <w:pStyle w:val="2"/>
        <w:outlineLvl w:val="9"/>
        <w:rPr>
          <w:rFonts w:hint="eastAsia" w:ascii="仿宋" w:hAnsi="仿宋" w:eastAsia="仿宋" w:cs="仿宋"/>
          <w:color w:val="auto"/>
          <w:spacing w:val="0"/>
          <w:w w:val="100"/>
          <w:position w:val="0"/>
          <w:sz w:val="20"/>
        </w:rPr>
      </w:pPr>
    </w:p>
    <w:p>
      <w:pPr>
        <w:pStyle w:val="2"/>
        <w:outlineLvl w:val="9"/>
        <w:rPr>
          <w:rFonts w:hint="eastAsia" w:ascii="仿宋" w:hAnsi="仿宋" w:eastAsia="仿宋" w:cs="仿宋"/>
          <w:color w:val="auto"/>
          <w:spacing w:val="0"/>
          <w:w w:val="100"/>
          <w:position w:val="0"/>
          <w:sz w:val="20"/>
        </w:rPr>
      </w:pPr>
    </w:p>
    <w:p>
      <w:pPr>
        <w:pStyle w:val="2"/>
        <w:outlineLvl w:val="9"/>
        <w:rPr>
          <w:rFonts w:hint="eastAsia" w:ascii="仿宋" w:hAnsi="仿宋" w:eastAsia="仿宋" w:cs="仿宋"/>
          <w:color w:val="auto"/>
          <w:spacing w:val="0"/>
          <w:w w:val="100"/>
          <w:position w:val="0"/>
          <w:sz w:val="20"/>
        </w:rPr>
      </w:pPr>
    </w:p>
    <w:p>
      <w:pPr>
        <w:spacing w:before="65"/>
        <w:ind w:left="320" w:right="0" w:firstLine="0"/>
        <w:jc w:val="left"/>
        <w:outlineLvl w:val="9"/>
        <w:rPr>
          <w:rFonts w:hint="eastAsia" w:ascii="仿宋" w:hAnsi="仿宋" w:eastAsia="仿宋" w:cs="仿宋"/>
          <w:color w:val="auto"/>
          <w:spacing w:val="0"/>
          <w:w w:val="100"/>
          <w:position w:val="0"/>
          <w:sz w:val="21"/>
          <w:szCs w:val="21"/>
          <w:vertAlign w:val="superscript"/>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jc w:val="left"/>
        <w:textAlignment w:val="auto"/>
        <w:outlineLvl w:val="9"/>
        <w:rPr>
          <w:rFonts w:hint="eastAsia" w:ascii="仿宋" w:hAnsi="仿宋" w:eastAsia="仿宋" w:cs="仿宋"/>
          <w:color w:val="auto"/>
          <w:spacing w:val="0"/>
          <w:w w:val="100"/>
          <w:position w:val="0"/>
          <w:sz w:val="18"/>
        </w:rPr>
      </w:pPr>
      <w:r>
        <w:rPr>
          <w:rFonts w:hint="eastAsia" w:ascii="仿宋" w:hAnsi="仿宋" w:eastAsia="仿宋" w:cs="仿宋"/>
          <w:color w:val="auto"/>
          <w:spacing w:val="0"/>
          <w:w w:val="100"/>
          <w:position w:val="0"/>
          <w:sz w:val="21"/>
          <w:szCs w:val="21"/>
          <w:vertAlign w:val="superscript"/>
        </w:rPr>
        <w:t>1</w:t>
      </w:r>
      <w:r>
        <w:rPr>
          <w:rFonts w:hint="eastAsia" w:ascii="仿宋" w:hAnsi="仿宋" w:eastAsia="仿宋" w:cs="仿宋"/>
          <w:color w:val="auto"/>
          <w:spacing w:val="0"/>
          <w:w w:val="100"/>
          <w:position w:val="0"/>
          <w:sz w:val="21"/>
          <w:szCs w:val="21"/>
        </w:rPr>
        <w:t xml:space="preserve"> 从业人员、营业收入、资产总额填报上一年度数据，无上一年度数据的新成立企业可不填报。</w:t>
      </w:r>
    </w:p>
    <w:p>
      <w:pPr>
        <w:spacing w:before="65"/>
        <w:ind w:left="320" w:right="0" w:firstLine="0"/>
        <w:jc w:val="left"/>
        <w:outlineLvl w:val="9"/>
        <w:rPr>
          <w:rFonts w:hint="eastAsia" w:ascii="仿宋" w:hAnsi="仿宋" w:eastAsia="仿宋" w:cs="仿宋"/>
          <w:color w:val="auto"/>
          <w:spacing w:val="0"/>
          <w:w w:val="100"/>
          <w:position w:val="0"/>
          <w:sz w:val="21"/>
          <w:szCs w:val="21"/>
        </w:rPr>
      </w:pPr>
    </w:p>
    <w:p>
      <w:pPr>
        <w:rPr>
          <w:rFonts w:hint="eastAsia" w:ascii="仿宋" w:hAnsi="仿宋" w:eastAsia="仿宋" w:cs="仿宋"/>
          <w:color w:val="auto"/>
          <w:spacing w:val="0"/>
          <w:w w:val="100"/>
          <w:position w:val="0"/>
          <w:sz w:val="15"/>
        </w:rPr>
      </w:pPr>
      <w:r>
        <w:rPr>
          <w:rFonts w:hint="eastAsia" w:ascii="仿宋" w:hAnsi="仿宋" w:eastAsia="仿宋" w:cs="仿宋"/>
          <w:color w:val="auto"/>
          <w:spacing w:val="0"/>
          <w:w w:val="100"/>
          <w:position w:val="0"/>
          <w:sz w:val="15"/>
        </w:rPr>
        <w:br w:type="page"/>
      </w:r>
    </w:p>
    <w:p>
      <w:pPr>
        <w:pageBreakBefore w:val="0"/>
        <w:kinsoku/>
        <w:wordWrap/>
        <w:overflowPunct/>
        <w:topLinePunct w:val="0"/>
        <w:bidi w:val="0"/>
        <w:spacing w:line="240" w:lineRule="auto"/>
        <w:textAlignment w:val="auto"/>
        <w:outlineLvl w:val="9"/>
        <w:rPr>
          <w:rFonts w:hint="eastAsia" w:ascii="仿宋" w:hAnsi="仿宋" w:eastAsia="仿宋" w:cs="仿宋"/>
          <w:b/>
          <w:color w:val="auto"/>
          <w:sz w:val="28"/>
          <w:szCs w:val="28"/>
          <w:highlight w:val="none"/>
        </w:rPr>
      </w:pPr>
      <w:bookmarkStart w:id="310" w:name="_Toc7357"/>
      <w:bookmarkStart w:id="311" w:name="_Toc12934"/>
      <w:bookmarkStart w:id="312" w:name="_Toc31609"/>
      <w:bookmarkStart w:id="313" w:name="_Toc31059"/>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 xml:space="preserve">7  </w:t>
      </w:r>
      <w:r>
        <w:rPr>
          <w:rFonts w:hint="eastAsia" w:ascii="仿宋" w:hAnsi="仿宋" w:eastAsia="仿宋" w:cs="仿宋"/>
          <w:b/>
          <w:color w:val="auto"/>
          <w:sz w:val="28"/>
          <w:szCs w:val="28"/>
          <w:highlight w:val="none"/>
        </w:rPr>
        <w:t>残疾人福利性单位声明函（残疾人福利性单位适用，不符合的无需提供）</w:t>
      </w:r>
      <w:bookmarkEnd w:id="310"/>
      <w:bookmarkEnd w:id="311"/>
      <w:bookmarkEnd w:id="312"/>
      <w:bookmarkEnd w:id="313"/>
    </w:p>
    <w:p>
      <w:pPr>
        <w:pStyle w:val="2"/>
        <w:spacing w:before="161"/>
        <w:ind w:right="463"/>
        <w:jc w:val="both"/>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供应商所报产品中有残疾人福利单位制造的货物的，应同时提交下列文件：</w:t>
      </w:r>
    </w:p>
    <w:p>
      <w:pPr>
        <w:pStyle w:val="2"/>
        <w:spacing w:before="158"/>
        <w:ind w:right="462"/>
        <w:jc w:val="right"/>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①供应商盖章的中小企业声明函，②产品制造商盖章的残疾人服务单位声明函。</w:t>
      </w:r>
    </w:p>
    <w:p>
      <w:pPr>
        <w:pStyle w:val="2"/>
        <w:outlineLvl w:val="9"/>
        <w:rPr>
          <w:rFonts w:hint="eastAsia" w:ascii="仿宋" w:hAnsi="仿宋" w:eastAsia="仿宋" w:cs="仿宋"/>
          <w:color w:val="auto"/>
          <w:spacing w:val="0"/>
          <w:w w:val="100"/>
          <w:position w:val="0"/>
          <w:sz w:val="24"/>
          <w:szCs w:val="24"/>
        </w:rPr>
      </w:pPr>
    </w:p>
    <w:p>
      <w:pPr>
        <w:pStyle w:val="2"/>
        <w:spacing w:before="9"/>
        <w:outlineLvl w:val="9"/>
        <w:rPr>
          <w:rFonts w:hint="eastAsia" w:ascii="仿宋" w:hAnsi="仿宋" w:eastAsia="仿宋" w:cs="仿宋"/>
          <w:color w:val="auto"/>
          <w:spacing w:val="0"/>
          <w:w w:val="100"/>
          <w:position w:val="0"/>
          <w:sz w:val="24"/>
          <w:szCs w:val="24"/>
        </w:rPr>
      </w:pPr>
    </w:p>
    <w:p>
      <w:pPr>
        <w:spacing w:before="0" w:line="364" w:lineRule="auto"/>
        <w:ind w:left="320" w:right="552" w:firstLine="482"/>
        <w:jc w:val="both"/>
        <w:outlineLvl w:val="9"/>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根据《财政部 民政部 中国残疾人联合会关于促进残疾人就业政府采购政策的通知》提交的声明函</w:t>
      </w:r>
    </w:p>
    <w:p>
      <w:pPr>
        <w:pStyle w:val="2"/>
        <w:outlineLvl w:val="9"/>
        <w:rPr>
          <w:rFonts w:hint="eastAsia" w:ascii="仿宋" w:hAnsi="仿宋" w:eastAsia="仿宋" w:cs="仿宋"/>
          <w:b/>
          <w:color w:val="auto"/>
          <w:spacing w:val="0"/>
          <w:w w:val="100"/>
          <w:position w:val="0"/>
        </w:rPr>
      </w:pPr>
    </w:p>
    <w:p>
      <w:pPr>
        <w:pStyle w:val="2"/>
        <w:outlineLvl w:val="9"/>
        <w:rPr>
          <w:rFonts w:hint="eastAsia" w:ascii="仿宋" w:hAnsi="仿宋" w:eastAsia="仿宋" w:cs="仿宋"/>
          <w:b/>
          <w:color w:val="auto"/>
          <w:spacing w:val="0"/>
          <w:w w:val="100"/>
          <w:position w:val="0"/>
        </w:rPr>
      </w:pPr>
    </w:p>
    <w:p>
      <w:pPr>
        <w:spacing w:before="160"/>
        <w:ind w:left="2237" w:right="2487" w:firstLine="0"/>
        <w:jc w:val="center"/>
        <w:outlineLvl w:val="9"/>
        <w:rPr>
          <w:rFonts w:hint="eastAsia" w:ascii="仿宋" w:hAnsi="仿宋" w:eastAsia="仿宋" w:cs="仿宋"/>
          <w:b/>
          <w:color w:val="auto"/>
          <w:spacing w:val="0"/>
          <w:w w:val="100"/>
          <w:position w:val="0"/>
          <w:sz w:val="28"/>
        </w:rPr>
      </w:pPr>
      <w:r>
        <w:rPr>
          <w:rFonts w:hint="eastAsia" w:ascii="仿宋" w:hAnsi="仿宋" w:eastAsia="仿宋" w:cs="仿宋"/>
          <w:b/>
          <w:color w:val="auto"/>
          <w:spacing w:val="0"/>
          <w:w w:val="100"/>
          <w:position w:val="0"/>
          <w:sz w:val="28"/>
        </w:rPr>
        <w:t>残疾人福利性单位声明函</w:t>
      </w:r>
    </w:p>
    <w:p>
      <w:pPr>
        <w:pStyle w:val="2"/>
        <w:outlineLvl w:val="9"/>
        <w:rPr>
          <w:rFonts w:hint="eastAsia" w:ascii="仿宋" w:hAnsi="仿宋" w:eastAsia="仿宋" w:cs="仿宋"/>
          <w:b/>
          <w:color w:val="auto"/>
          <w:spacing w:val="0"/>
          <w:w w:val="100"/>
          <w:position w:val="0"/>
          <w:sz w:val="28"/>
        </w:rPr>
      </w:pPr>
    </w:p>
    <w:p>
      <w:pPr>
        <w:pStyle w:val="2"/>
        <w:spacing w:before="12"/>
        <w:outlineLvl w:val="9"/>
        <w:rPr>
          <w:rFonts w:hint="eastAsia" w:ascii="仿宋" w:hAnsi="仿宋" w:eastAsia="仿宋" w:cs="仿宋"/>
          <w:b/>
          <w:color w:val="auto"/>
          <w:spacing w:val="0"/>
          <w:w w:val="100"/>
          <w:position w:val="0"/>
          <w:sz w:val="24"/>
          <w:szCs w:val="24"/>
        </w:rPr>
      </w:pPr>
    </w:p>
    <w:p>
      <w:pPr>
        <w:pStyle w:val="2"/>
        <w:tabs>
          <w:tab w:val="left" w:leader="underscore" w:pos="7370"/>
        </w:tabs>
        <w:spacing w:line="458" w:lineRule="auto"/>
        <w:ind w:left="320" w:right="553" w:firstLine="503"/>
        <w:jc w:val="both"/>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本单位郑重声明，根据《财政部 民政部 中国残疾人联合会关于促进残疾人就业政府采购政策的通知》（财库〔2017〕 141 号）的规定，本单位为符合条件的残疾人福利性单位，且本单位参加______单位的</w:t>
      </w:r>
      <w:r>
        <w:rPr>
          <w:rFonts w:hint="eastAsia" w:ascii="仿宋" w:hAnsi="仿宋" w:eastAsia="仿宋" w:cs="仿宋"/>
          <w:color w:val="auto"/>
          <w:spacing w:val="0"/>
          <w:w w:val="100"/>
          <w:position w:val="0"/>
          <w:sz w:val="24"/>
          <w:szCs w:val="24"/>
        </w:rPr>
        <w:tab/>
      </w:r>
      <w:r>
        <w:rPr>
          <w:rFonts w:hint="eastAsia" w:ascii="仿宋" w:hAnsi="仿宋" w:eastAsia="仿宋" w:cs="仿宋"/>
          <w:color w:val="auto"/>
          <w:spacing w:val="0"/>
          <w:w w:val="100"/>
          <w:position w:val="0"/>
          <w:sz w:val="24"/>
          <w:szCs w:val="24"/>
        </w:rPr>
        <w:t>项目采购活</w:t>
      </w:r>
    </w:p>
    <w:p>
      <w:pPr>
        <w:pStyle w:val="2"/>
        <w:spacing w:before="2" w:line="458" w:lineRule="auto"/>
        <w:ind w:left="320" w:right="557"/>
        <w:jc w:val="both"/>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动提供本单位制造的货物（由本单位承担工程/提供服务），或者提供其他残疾人福利性单位制造的货物（不包括使用非残疾人福利性单位注册商标的货物）。</w:t>
      </w:r>
    </w:p>
    <w:p>
      <w:pPr>
        <w:pStyle w:val="2"/>
        <w:spacing w:before="3"/>
        <w:ind w:left="824"/>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本单位对上述声明的真实性负责。如有虚假，将依法承担相应责任。</w:t>
      </w:r>
    </w:p>
    <w:p>
      <w:pPr>
        <w:pStyle w:val="2"/>
        <w:outlineLvl w:val="9"/>
        <w:rPr>
          <w:rFonts w:hint="eastAsia" w:ascii="仿宋" w:hAnsi="仿宋" w:eastAsia="仿宋" w:cs="仿宋"/>
          <w:color w:val="auto"/>
          <w:spacing w:val="0"/>
          <w:w w:val="100"/>
          <w:position w:val="0"/>
          <w:sz w:val="24"/>
          <w:szCs w:val="24"/>
        </w:rPr>
      </w:pPr>
    </w:p>
    <w:p>
      <w:pPr>
        <w:pStyle w:val="2"/>
        <w:outlineLvl w:val="9"/>
        <w:rPr>
          <w:rFonts w:hint="eastAsia" w:ascii="仿宋" w:hAnsi="仿宋" w:eastAsia="仿宋" w:cs="仿宋"/>
          <w:color w:val="auto"/>
          <w:spacing w:val="0"/>
          <w:w w:val="100"/>
          <w:position w:val="0"/>
          <w:sz w:val="24"/>
          <w:szCs w:val="24"/>
        </w:rPr>
      </w:pPr>
    </w:p>
    <w:p>
      <w:pPr>
        <w:pStyle w:val="2"/>
        <w:outlineLvl w:val="9"/>
        <w:rPr>
          <w:rFonts w:hint="eastAsia" w:ascii="仿宋" w:hAnsi="仿宋" w:eastAsia="仿宋" w:cs="仿宋"/>
          <w:color w:val="auto"/>
          <w:spacing w:val="0"/>
          <w:w w:val="100"/>
          <w:position w:val="0"/>
          <w:sz w:val="24"/>
          <w:szCs w:val="24"/>
        </w:rPr>
      </w:pPr>
    </w:p>
    <w:p>
      <w:pPr>
        <w:pStyle w:val="2"/>
        <w:outlineLvl w:val="9"/>
        <w:rPr>
          <w:rFonts w:hint="eastAsia" w:ascii="仿宋" w:hAnsi="仿宋" w:eastAsia="仿宋" w:cs="仿宋"/>
          <w:color w:val="auto"/>
          <w:spacing w:val="0"/>
          <w:w w:val="100"/>
          <w:position w:val="0"/>
          <w:sz w:val="24"/>
          <w:szCs w:val="24"/>
        </w:rPr>
      </w:pPr>
    </w:p>
    <w:p>
      <w:pPr>
        <w:pStyle w:val="2"/>
        <w:spacing w:before="8"/>
        <w:outlineLvl w:val="9"/>
        <w:rPr>
          <w:rFonts w:hint="eastAsia" w:ascii="仿宋" w:hAnsi="仿宋" w:eastAsia="仿宋" w:cs="仿宋"/>
          <w:color w:val="auto"/>
          <w:spacing w:val="0"/>
          <w:w w:val="100"/>
          <w:position w:val="0"/>
          <w:sz w:val="24"/>
          <w:szCs w:val="24"/>
        </w:rPr>
      </w:pPr>
    </w:p>
    <w:p>
      <w:pPr>
        <w:pStyle w:val="2"/>
        <w:tabs>
          <w:tab w:val="left" w:pos="4773"/>
        </w:tabs>
        <w:spacing w:line="280" w:lineRule="auto"/>
        <w:ind w:left="4257" w:right="3191" w:hanging="394"/>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单位名称（盖章）：</w:t>
      </w:r>
    </w:p>
    <w:p>
      <w:pPr>
        <w:pStyle w:val="2"/>
        <w:tabs>
          <w:tab w:val="left" w:pos="4773"/>
        </w:tabs>
        <w:spacing w:line="280" w:lineRule="auto"/>
        <w:ind w:left="4257" w:right="3191" w:hanging="394"/>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日</w:t>
      </w:r>
      <w:r>
        <w:rPr>
          <w:rFonts w:hint="eastAsia" w:ascii="仿宋" w:hAnsi="仿宋" w:eastAsia="仿宋" w:cs="仿宋"/>
          <w:color w:val="auto"/>
          <w:spacing w:val="0"/>
          <w:w w:val="100"/>
          <w:position w:val="0"/>
          <w:sz w:val="24"/>
          <w:szCs w:val="24"/>
        </w:rPr>
        <w:tab/>
      </w:r>
      <w:r>
        <w:rPr>
          <w:rFonts w:hint="eastAsia" w:ascii="仿宋" w:hAnsi="仿宋" w:eastAsia="仿宋" w:cs="仿宋"/>
          <w:color w:val="auto"/>
          <w:spacing w:val="0"/>
          <w:w w:val="100"/>
          <w:position w:val="0"/>
          <w:sz w:val="24"/>
          <w:szCs w:val="24"/>
        </w:rPr>
        <w:t>期：</w:t>
      </w:r>
    </w:p>
    <w:p>
      <w:pPr>
        <w:rPr>
          <w:rFonts w:hint="eastAsia" w:ascii="仿宋" w:hAnsi="仿宋" w:eastAsia="仿宋" w:cs="仿宋"/>
          <w:color w:val="auto"/>
          <w:spacing w:val="0"/>
          <w:w w:val="100"/>
          <w:position w:val="0"/>
        </w:rPr>
      </w:pPr>
      <w:r>
        <w:rPr>
          <w:rFonts w:hint="eastAsia" w:ascii="仿宋" w:hAnsi="仿宋" w:eastAsia="仿宋" w:cs="仿宋"/>
          <w:color w:val="auto"/>
          <w:spacing w:val="0"/>
          <w:w w:val="100"/>
          <w:position w:val="0"/>
        </w:rPr>
        <w:br w:type="page"/>
      </w:r>
    </w:p>
    <w:p>
      <w:pPr>
        <w:pageBreakBefore w:val="0"/>
        <w:kinsoku/>
        <w:wordWrap/>
        <w:overflowPunct/>
        <w:topLinePunct w:val="0"/>
        <w:bidi w:val="0"/>
        <w:spacing w:line="240" w:lineRule="auto"/>
        <w:textAlignment w:val="auto"/>
        <w:outlineLvl w:val="9"/>
        <w:rPr>
          <w:rFonts w:hint="eastAsia" w:ascii="仿宋" w:hAnsi="仿宋" w:eastAsia="仿宋" w:cs="仿宋"/>
          <w:b/>
          <w:color w:val="auto"/>
          <w:sz w:val="28"/>
          <w:szCs w:val="28"/>
          <w:highlight w:val="none"/>
        </w:rPr>
      </w:pPr>
      <w:bookmarkStart w:id="314" w:name="_Toc20857"/>
      <w:bookmarkStart w:id="315" w:name="_Toc1193"/>
      <w:bookmarkStart w:id="316" w:name="_Toc25855"/>
      <w:bookmarkStart w:id="317" w:name="_Toc20988"/>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8  监狱企业证明材料</w:t>
      </w:r>
      <w:r>
        <w:rPr>
          <w:rFonts w:hint="eastAsia" w:ascii="仿宋" w:hAnsi="仿宋" w:eastAsia="仿宋" w:cs="仿宋"/>
          <w:b/>
          <w:color w:val="auto"/>
          <w:sz w:val="28"/>
          <w:szCs w:val="28"/>
          <w:highlight w:val="none"/>
        </w:rPr>
        <w:t>（不符合的无需提供）</w:t>
      </w:r>
      <w:bookmarkEnd w:id="314"/>
      <w:bookmarkEnd w:id="315"/>
      <w:bookmarkEnd w:id="316"/>
      <w:bookmarkEnd w:id="317"/>
    </w:p>
    <w:p>
      <w:pPr>
        <w:pStyle w:val="2"/>
        <w:spacing w:before="161" w:line="362" w:lineRule="auto"/>
        <w:ind w:right="558"/>
        <w:outlineLvl w:val="9"/>
        <w:rPr>
          <w:rFonts w:hint="eastAsia" w:ascii="仿宋" w:hAnsi="仿宋" w:eastAsia="仿宋" w:cs="仿宋"/>
          <w:color w:val="auto"/>
          <w:spacing w:val="0"/>
          <w:w w:val="100"/>
          <w:position w:val="0"/>
          <w:sz w:val="24"/>
          <w:szCs w:val="24"/>
        </w:rPr>
      </w:pPr>
      <w:bookmarkStart w:id="318" w:name="附件18 评审现场原件备查证明材料汇总表（若招标文件未要求的，可不交此表格）"/>
      <w:bookmarkEnd w:id="318"/>
      <w:r>
        <w:rPr>
          <w:rFonts w:hint="eastAsia" w:ascii="仿宋" w:hAnsi="仿宋" w:eastAsia="仿宋" w:cs="仿宋"/>
          <w:color w:val="auto"/>
          <w:spacing w:val="0"/>
          <w:w w:val="100"/>
          <w:position w:val="0"/>
          <w:sz w:val="24"/>
          <w:szCs w:val="24"/>
        </w:rPr>
        <w:t>供应商所报产品中有监狱企业制造的货物的，应同时提交下列文件：</w:t>
      </w:r>
    </w:p>
    <w:p>
      <w:pPr>
        <w:pStyle w:val="2"/>
        <w:spacing w:before="161" w:line="362" w:lineRule="auto"/>
        <w:ind w:left="320" w:right="558" w:firstLine="479"/>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①供应商盖章的中小企业声明函，②产品制造商盖章的监狱企业证明材料。</w:t>
      </w:r>
    </w:p>
    <w:p>
      <w:pPr>
        <w:pStyle w:val="2"/>
        <w:spacing w:before="7"/>
        <w:outlineLvl w:val="9"/>
        <w:rPr>
          <w:rFonts w:hint="eastAsia" w:ascii="仿宋" w:hAnsi="仿宋" w:eastAsia="仿宋" w:cs="仿宋"/>
          <w:color w:val="auto"/>
          <w:spacing w:val="0"/>
          <w:w w:val="100"/>
          <w:position w:val="0"/>
          <w:sz w:val="24"/>
          <w:szCs w:val="24"/>
        </w:rPr>
      </w:pPr>
    </w:p>
    <w:p>
      <w:pPr>
        <w:pStyle w:val="2"/>
        <w:spacing w:line="364" w:lineRule="auto"/>
        <w:ind w:left="320" w:right="563" w:firstLine="479"/>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根据《财政部 司法部关于政府采购支持监狱企业发展有关问题的通知（财库[2014]68 号）》的规定提交有关部门出具的证明材料。</w:t>
      </w:r>
    </w:p>
    <w:p>
      <w:pPr>
        <w:spacing w:before="160"/>
        <w:ind w:left="2237" w:right="2487" w:firstLine="0"/>
        <w:jc w:val="center"/>
        <w:outlineLvl w:val="9"/>
        <w:rPr>
          <w:rFonts w:hint="eastAsia" w:ascii="仿宋" w:hAnsi="仿宋" w:eastAsia="仿宋" w:cs="仿宋"/>
          <w:b/>
          <w:color w:val="auto"/>
          <w:spacing w:val="0"/>
          <w:w w:val="100"/>
          <w:position w:val="0"/>
          <w:sz w:val="28"/>
        </w:rPr>
      </w:pPr>
      <w:r>
        <w:rPr>
          <w:rFonts w:hint="eastAsia" w:ascii="仿宋" w:hAnsi="仿宋" w:eastAsia="仿宋" w:cs="仿宋"/>
          <w:b/>
          <w:color w:val="auto"/>
          <w:spacing w:val="0"/>
          <w:w w:val="100"/>
          <w:position w:val="0"/>
          <w:sz w:val="28"/>
        </w:rPr>
        <w:t>监狱企业声明函</w:t>
      </w:r>
    </w:p>
    <w:p>
      <w:pPr>
        <w:pStyle w:val="18"/>
        <w:outlineLvl w:val="9"/>
        <w:rPr>
          <w:rFonts w:hint="eastAsia"/>
        </w:rPr>
      </w:pP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本单位郑重声明，本单位在参加</w:t>
      </w:r>
      <w:r>
        <w:rPr>
          <w:rFonts w:hint="eastAsia" w:ascii="仿宋" w:hAnsi="仿宋" w:eastAsia="仿宋" w:cs="仿宋"/>
          <w:color w:val="auto"/>
          <w:kern w:val="0"/>
          <w:sz w:val="24"/>
          <w:u w:val="single"/>
        </w:rPr>
        <w:t>（采购人名称）</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eastAsia="zh-CN"/>
        </w:rPr>
        <w:t>磋商</w:t>
      </w:r>
      <w:r>
        <w:rPr>
          <w:rFonts w:hint="eastAsia" w:ascii="仿宋" w:hAnsi="仿宋" w:eastAsia="仿宋" w:cs="仿宋"/>
          <w:color w:val="auto"/>
          <w:kern w:val="0"/>
          <w:sz w:val="24"/>
          <w:u w:val="single"/>
        </w:rPr>
        <w:t>项目名称）</w:t>
      </w:r>
      <w:r>
        <w:rPr>
          <w:rFonts w:hint="eastAsia" w:ascii="仿宋" w:hAnsi="仿宋" w:eastAsia="仿宋" w:cs="仿宋"/>
          <w:color w:val="auto"/>
          <w:kern w:val="0"/>
          <w:sz w:val="24"/>
        </w:rPr>
        <w:t>项目</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本单位□是/□否属于</w:t>
      </w:r>
      <w:r>
        <w:rPr>
          <w:rFonts w:hint="eastAsia" w:ascii="仿宋" w:hAnsi="仿宋" w:eastAsia="仿宋" w:cs="仿宋"/>
          <w:color w:val="auto"/>
          <w:kern w:val="0"/>
          <w:sz w:val="24"/>
        </w:rPr>
        <w:t>监狱企业，后附省级以上监狱管理局、戒毒管理局（含新疆生产建设兵团）出具的属于监狱企业的证明文件</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采购活动提供以下监狱企业制造的货物（或监狱企业承担的工程、或监狱企业承接的服务），具体情况如下：（按照实际情况勾选或填空）</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60" w:firstLineChars="15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2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属于监狱企业并作为联合体一方，其提供协议合同金额占到共同投标协议合同总金额的比例为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2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属于监狱企业并作为分包方，其提供协议合同金额占到分包意向协议合同总金额的比例为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　　本单位对上述声明的真实性负责。如有虚假，将依法承担相应责任。</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hanging="540"/>
        <w:jc w:val="center"/>
        <w:textAlignment w:val="auto"/>
        <w:outlineLvl w:val="9"/>
        <w:rPr>
          <w:rFonts w:hint="eastAsia" w:ascii="仿宋" w:hAnsi="仿宋" w:eastAsia="仿宋" w:cs="仿宋"/>
          <w:b/>
          <w:color w:val="auto"/>
          <w:kern w:val="0"/>
          <w:sz w:val="24"/>
          <w:szCs w:val="20"/>
        </w:rPr>
      </w:pPr>
      <w:r>
        <w:rPr>
          <w:rFonts w:hint="eastAsia" w:ascii="仿宋" w:hAnsi="仿宋" w:eastAsia="仿宋" w:cs="仿宋"/>
          <w:b/>
          <w:color w:val="auto"/>
          <w:kern w:val="0"/>
          <w:sz w:val="24"/>
          <w:szCs w:val="20"/>
        </w:rPr>
        <w:t>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textAlignment w:val="auto"/>
        <w:outlineLvl w:val="9"/>
        <w:rPr>
          <w:rFonts w:hint="eastAsia" w:ascii="仿宋" w:hAnsi="仿宋" w:eastAsia="仿宋" w:cs="仿宋"/>
          <w:b/>
          <w:color w:val="auto"/>
          <w:sz w:val="24"/>
        </w:rPr>
      </w:pP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960" w:firstLineChars="165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单位名称（盖章）：</w:t>
      </w:r>
      <w:r>
        <w:rPr>
          <w:rFonts w:hint="eastAsia" w:ascii="仿宋" w:hAnsi="仿宋" w:eastAsia="仿宋" w:cs="仿宋"/>
          <w:color w:val="auto"/>
          <w:kern w:val="0"/>
          <w:sz w:val="24"/>
          <w:u w:val="single"/>
        </w:rPr>
        <w:t xml:space="preserve">             </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720" w:firstLineChars="1550"/>
        <w:jc w:val="left"/>
        <w:textAlignment w:val="auto"/>
        <w:outlineLvl w:val="9"/>
        <w:rPr>
          <w:rFonts w:hint="eastAsia"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rPr>
          <w:rFonts w:hint="eastAsia"/>
        </w:rPr>
      </w:pPr>
      <w:r>
        <w:rPr>
          <w:rFonts w:hint="eastAsia"/>
        </w:rPr>
        <w:br w:type="page"/>
      </w:r>
    </w:p>
    <w:p>
      <w:pPr>
        <w:pStyle w:val="2"/>
        <w:shd w:val="clear"/>
        <w:spacing w:before="159"/>
        <w:ind w:right="-90"/>
        <w:jc w:val="center"/>
        <w:outlineLvl w:val="9"/>
        <w:rPr>
          <w:rFonts w:hint="eastAsia" w:ascii="仿宋" w:hAnsi="仿宋" w:eastAsia="仿宋" w:cs="仿宋"/>
          <w:b/>
          <w:color w:val="auto"/>
          <w:sz w:val="32"/>
          <w:szCs w:val="32"/>
          <w:lang w:val="en-US" w:eastAsia="zh-CN" w:bidi="zh-CN"/>
        </w:rPr>
      </w:pPr>
      <w:r>
        <w:rPr>
          <w:rFonts w:hint="eastAsia" w:ascii="仿宋" w:hAnsi="仿宋" w:eastAsia="仿宋" w:cs="仿宋"/>
          <w:b/>
          <w:color w:val="auto"/>
          <w:sz w:val="32"/>
          <w:szCs w:val="32"/>
          <w:lang w:val="en-US" w:eastAsia="zh-CN" w:bidi="zh-CN"/>
        </w:rPr>
        <w:t>磋商报价表</w:t>
      </w:r>
    </w:p>
    <w:p>
      <w:pPr>
        <w:outlineLvl w:val="9"/>
        <w:rPr>
          <w:rFonts w:hint="eastAsia" w:ascii="仿宋" w:hAnsi="仿宋" w:eastAsia="仿宋" w:cs="仿宋"/>
          <w:b w:val="0"/>
          <w:bCs/>
          <w:color w:val="auto"/>
          <w:sz w:val="24"/>
          <w:szCs w:val="24"/>
          <w:lang w:val="en-US" w:eastAsia="zh-CN" w:bidi="zh-CN"/>
        </w:rPr>
      </w:pPr>
      <w:r>
        <w:rPr>
          <w:rFonts w:hint="eastAsia" w:ascii="仿宋" w:hAnsi="仿宋" w:eastAsia="仿宋" w:cs="仿宋"/>
          <w:b/>
          <w:color w:val="auto"/>
          <w:sz w:val="32"/>
          <w:szCs w:val="32"/>
          <w:lang w:val="en-US" w:eastAsia="zh-CN" w:bidi="zh-CN"/>
        </w:rPr>
        <w:t xml:space="preserve">                   </w:t>
      </w:r>
      <w:r>
        <w:rPr>
          <w:rFonts w:hint="eastAsia" w:ascii="仿宋" w:hAnsi="仿宋" w:eastAsia="仿宋" w:cs="仿宋"/>
          <w:b w:val="0"/>
          <w:bCs/>
          <w:color w:val="auto"/>
          <w:sz w:val="28"/>
          <w:szCs w:val="28"/>
          <w:lang w:val="en-US" w:eastAsia="zh-CN" w:bidi="zh-CN"/>
        </w:rPr>
        <w:t xml:space="preserve">     </w:t>
      </w:r>
      <w:r>
        <w:rPr>
          <w:rFonts w:hint="eastAsia" w:ascii="仿宋" w:hAnsi="仿宋" w:eastAsia="仿宋" w:cs="仿宋"/>
          <w:b w:val="0"/>
          <w:bCs/>
          <w:color w:val="auto"/>
          <w:sz w:val="24"/>
          <w:szCs w:val="24"/>
          <w:lang w:val="en-US" w:eastAsia="zh-CN" w:bidi="zh-CN"/>
        </w:rPr>
        <w:t xml:space="preserve">   （二次报价表）</w:t>
      </w:r>
    </w:p>
    <w:p>
      <w:pPr>
        <w:pStyle w:val="2"/>
        <w:outlineLvl w:val="9"/>
        <w:rPr>
          <w:rFonts w:hint="default"/>
          <w:lang w:val="en-US" w:eastAsia="zh-CN"/>
        </w:rPr>
      </w:pPr>
    </w:p>
    <w:p>
      <w:pPr>
        <w:widowControl w:val="0"/>
        <w:autoSpaceDE w:val="0"/>
        <w:autoSpaceDN w:val="0"/>
        <w:spacing w:before="0" w:after="0" w:line="240" w:lineRule="auto"/>
        <w:ind w:left="400" w:right="0"/>
        <w:jc w:val="left"/>
        <w:outlineLvl w:val="9"/>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outlineLvl w:val="9"/>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p>
    <w:tbl>
      <w:tblPr>
        <w:tblStyle w:val="19"/>
        <w:tblpPr w:leftFromText="180" w:rightFromText="180" w:vertAnchor="text" w:horzAnchor="page" w:tblpX="1895" w:tblpY="1175"/>
        <w:tblOverlap w:val="never"/>
        <w:tblW w:w="80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5"/>
        <w:gridCol w:w="4008"/>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hRule="atLeast"/>
          <w:jc w:val="center"/>
        </w:trPr>
        <w:tc>
          <w:tcPr>
            <w:tcW w:w="2445"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品类</w:t>
            </w:r>
          </w:p>
        </w:tc>
        <w:tc>
          <w:tcPr>
            <w:tcW w:w="4008"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磋商报价</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折扣率</w:t>
            </w:r>
            <w:r>
              <w:rPr>
                <w:rFonts w:hint="eastAsia" w:ascii="仿宋" w:hAnsi="仿宋" w:eastAsia="仿宋" w:cs="仿宋"/>
                <w:color w:val="auto"/>
                <w:sz w:val="24"/>
                <w:szCs w:val="24"/>
              </w:rPr>
              <w:t>）</w:t>
            </w:r>
          </w:p>
        </w:tc>
        <w:tc>
          <w:tcPr>
            <w:tcW w:w="1638"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jc w:val="center"/>
        </w:trPr>
        <w:tc>
          <w:tcPr>
            <w:tcW w:w="2445"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矿泉水、饮料类和一次性用品</w:t>
            </w:r>
          </w:p>
        </w:tc>
        <w:tc>
          <w:tcPr>
            <w:tcW w:w="4008" w:type="dxa"/>
            <w:vAlign w:val="center"/>
          </w:tcPr>
          <w:p>
            <w:pPr>
              <w:pStyle w:val="2"/>
              <w:shd w:val="clear"/>
              <w:spacing w:before="139"/>
              <w:ind w:left="0" w:leftChars="0" w:right="0" w:rightChars="0" w:firstLine="0" w:firstLineChars="0"/>
              <w:jc w:val="lef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小写：</w:t>
            </w:r>
          </w:p>
          <w:p>
            <w:pPr>
              <w:pStyle w:val="26"/>
              <w:outlineLvl w:val="9"/>
              <w:rPr>
                <w:rFonts w:hint="eastAsia"/>
                <w:lang w:val="en-US" w:eastAsia="zh-CN"/>
              </w:rPr>
            </w:pPr>
          </w:p>
          <w:p>
            <w:pPr>
              <w:pStyle w:val="26"/>
              <w:outlineLvl w:val="9"/>
              <w:rPr>
                <w:rFonts w:hint="default"/>
                <w:lang w:val="en-US" w:eastAsia="zh-CN"/>
              </w:rPr>
            </w:pPr>
            <w:r>
              <w:rPr>
                <w:rFonts w:hint="eastAsia" w:ascii="仿宋" w:hAnsi="仿宋" w:eastAsia="仿宋" w:cs="仿宋"/>
                <w:color w:val="auto"/>
                <w:sz w:val="24"/>
                <w:szCs w:val="24"/>
                <w:lang w:val="en-US" w:eastAsia="zh-CN"/>
              </w:rPr>
              <w:t>大写：</w:t>
            </w:r>
          </w:p>
        </w:tc>
        <w:tc>
          <w:tcPr>
            <w:tcW w:w="1638" w:type="dxa"/>
            <w:vAlign w:val="center"/>
          </w:tcPr>
          <w:p>
            <w:pPr>
              <w:pStyle w:val="2"/>
              <w:shd w:val="clear"/>
              <w:spacing w:before="139"/>
              <w:ind w:left="0" w:leftChars="0" w:right="0" w:rightChars="0" w:firstLine="0" w:firstLineChars="0"/>
              <w:jc w:val="center"/>
              <w:outlineLvl w:val="9"/>
              <w:rPr>
                <w:rFonts w:hint="eastAsia" w:ascii="仿宋" w:hAnsi="仿宋" w:eastAsia="仿宋" w:cs="仿宋"/>
                <w:color w:val="auto"/>
                <w:sz w:val="24"/>
                <w:szCs w:val="24"/>
              </w:rPr>
            </w:pPr>
          </w:p>
        </w:tc>
      </w:tr>
    </w:tbl>
    <w:p>
      <w:pPr>
        <w:widowControl w:val="0"/>
        <w:tabs>
          <w:tab w:val="left" w:pos="4961"/>
        </w:tabs>
        <w:autoSpaceDE w:val="0"/>
        <w:autoSpaceDN w:val="0"/>
        <w:spacing w:before="158" w:after="0" w:line="240" w:lineRule="auto"/>
        <w:ind w:left="400" w:right="0"/>
        <w:jc w:val="left"/>
        <w:outlineLvl w:val="9"/>
        <w:rPr>
          <w:rFonts w:hint="eastAsia"/>
        </w:rPr>
      </w:pPr>
      <w:r>
        <w:rPr>
          <w:rFonts w:hint="eastAsia" w:ascii="仿宋" w:hAnsi="仿宋" w:eastAsia="仿宋" w:cs="仿宋"/>
          <w:color w:val="auto"/>
          <w:spacing w:val="0"/>
          <w:w w:val="100"/>
          <w:position w:val="0"/>
          <w:sz w:val="24"/>
          <w:szCs w:val="24"/>
          <w:highlight w:val="none"/>
          <w:lang w:val="en-US" w:eastAsia="zh-CN" w:bidi="zh-CN"/>
        </w:rPr>
        <w:t>供应商</w:t>
      </w:r>
      <w:r>
        <w:rPr>
          <w:rFonts w:hint="default" w:ascii="仿宋" w:hAnsi="仿宋" w:eastAsia="仿宋" w:cs="仿宋"/>
          <w:color w:val="auto"/>
          <w:spacing w:val="0"/>
          <w:w w:val="100"/>
          <w:position w:val="0"/>
          <w:sz w:val="24"/>
          <w:szCs w:val="24"/>
          <w:highlight w:val="none"/>
          <w:lang w:val="en-US" w:eastAsia="zh-CN" w:bidi="zh-CN"/>
        </w:rPr>
        <w:t>名称</w:t>
      </w:r>
      <w:r>
        <w:rPr>
          <w:rFonts w:hint="eastAsia" w:ascii="仿宋" w:hAnsi="仿宋" w:eastAsia="仿宋" w:cs="仿宋"/>
          <w:color w:val="auto"/>
          <w:spacing w:val="0"/>
          <w:w w:val="100"/>
          <w:position w:val="0"/>
          <w:sz w:val="24"/>
          <w:szCs w:val="24"/>
          <w:highlight w:val="none"/>
          <w:lang w:val="en-US" w:eastAsia="zh-CN" w:bidi="zh-CN"/>
        </w:rPr>
        <w:t>：</w:t>
      </w:r>
    </w:p>
    <w:p>
      <w:pPr>
        <w:pStyle w:val="2"/>
        <w:rPr>
          <w:rFonts w:hint="eastAsia"/>
        </w:rPr>
      </w:pPr>
    </w:p>
    <w:p>
      <w:pPr>
        <w:shd w:val="clear"/>
        <w:spacing w:before="123" w:line="360" w:lineRule="auto"/>
        <w:ind w:left="298" w:firstLine="482" w:firstLineChars="200"/>
        <w:outlineLvl w:val="9"/>
        <w:rPr>
          <w:rFonts w:ascii="仿宋" w:hAnsi="仿宋" w:eastAsia="仿宋" w:cs="仿宋"/>
          <w:b/>
          <w:color w:val="auto"/>
          <w:sz w:val="24"/>
          <w:szCs w:val="24"/>
        </w:rPr>
      </w:pPr>
      <w:r>
        <w:rPr>
          <w:rFonts w:hint="eastAsia" w:ascii="仿宋" w:hAnsi="仿宋" w:eastAsia="仿宋" w:cs="仿宋"/>
          <w:b/>
          <w:color w:val="auto"/>
          <w:sz w:val="24"/>
          <w:szCs w:val="24"/>
        </w:rPr>
        <w:t>备</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注：</w:t>
      </w:r>
    </w:p>
    <w:p>
      <w:pPr>
        <w:pStyle w:val="28"/>
        <w:numPr>
          <w:ilvl w:val="0"/>
          <w:numId w:val="8"/>
        </w:numPr>
        <w:shd w:val="clear"/>
        <w:tabs>
          <w:tab w:val="left" w:pos="614"/>
        </w:tabs>
        <w:spacing w:line="360" w:lineRule="auto"/>
        <w:ind w:left="614" w:hanging="316"/>
        <w:outlineLvl w:val="9"/>
        <w:rPr>
          <w:rFonts w:ascii="仿宋" w:hAnsi="仿宋" w:eastAsia="仿宋" w:cs="仿宋"/>
          <w:color w:val="auto"/>
          <w:sz w:val="24"/>
          <w:szCs w:val="24"/>
        </w:rPr>
      </w:pPr>
      <w:r>
        <w:rPr>
          <w:rFonts w:ascii="仿宋" w:hAnsi="仿宋" w:eastAsia="仿宋" w:cs="仿宋"/>
          <w:color w:val="auto"/>
          <w:sz w:val="24"/>
          <w:szCs w:val="24"/>
        </w:rPr>
        <w:t>响应供应商须按要求填写所有信息，不得随意更改本表格式。</w:t>
      </w:r>
    </w:p>
    <w:p>
      <w:pPr>
        <w:pStyle w:val="28"/>
        <w:numPr>
          <w:ilvl w:val="0"/>
          <w:numId w:val="8"/>
        </w:numPr>
        <w:shd w:val="clear"/>
        <w:tabs>
          <w:tab w:val="left" w:pos="614"/>
        </w:tabs>
        <w:spacing w:line="360" w:lineRule="auto"/>
        <w:ind w:left="614" w:hanging="316"/>
        <w:outlineLvl w:val="9"/>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此表</w:t>
      </w:r>
      <w:r>
        <w:rPr>
          <w:rFonts w:hint="eastAsia" w:ascii="仿宋" w:hAnsi="仿宋" w:eastAsia="仿宋" w:cs="仿宋"/>
          <w:b w:val="0"/>
          <w:bCs w:val="0"/>
          <w:color w:val="auto"/>
          <w:sz w:val="24"/>
          <w:szCs w:val="24"/>
          <w:lang w:val="en-US" w:eastAsia="zh-CN"/>
        </w:rPr>
        <w:t>用于二次报价</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折扣率写法，如果报价是8折，小写：80，大写：捌折；如果报价是75折，小写：75，大写：柒伍折。</w:t>
      </w:r>
    </w:p>
    <w:p>
      <w:pPr>
        <w:pStyle w:val="28"/>
        <w:numPr>
          <w:ilvl w:val="0"/>
          <w:numId w:val="8"/>
        </w:numPr>
        <w:shd w:val="clear"/>
        <w:tabs>
          <w:tab w:val="left" w:pos="614"/>
        </w:tabs>
        <w:spacing w:line="360" w:lineRule="auto"/>
        <w:ind w:left="614" w:hanging="316"/>
        <w:outlineLvl w:val="9"/>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温馨提示：</w:t>
      </w:r>
      <w:r>
        <w:rPr>
          <w:rFonts w:hint="eastAsia" w:ascii="仿宋" w:hAnsi="仿宋" w:eastAsia="仿宋" w:cs="仿宋"/>
          <w:color w:val="auto"/>
          <w:kern w:val="0"/>
          <w:sz w:val="24"/>
          <w:szCs w:val="24"/>
          <w:lang w:val="en-US" w:eastAsia="zh-CN" w:bidi="ar"/>
        </w:rPr>
        <w:t>中文大写金额用汉字表述，如壹、贰、叁、肆、伍、陆、柒、捌、玖、拾、佰、仟、万、亿、元、角、分、零、整（正）等。</w:t>
      </w:r>
    </w:p>
    <w:p>
      <w:pPr>
        <w:pStyle w:val="28"/>
        <w:numPr>
          <w:ilvl w:val="0"/>
          <w:numId w:val="0"/>
        </w:numPr>
        <w:shd w:val="clear"/>
        <w:tabs>
          <w:tab w:val="left" w:pos="614"/>
        </w:tabs>
        <w:spacing w:line="360" w:lineRule="auto"/>
        <w:ind w:left="298" w:leftChars="0"/>
        <w:outlineLvl w:val="9"/>
        <w:rPr>
          <w:rFonts w:ascii="仿宋" w:hAnsi="仿宋" w:eastAsia="仿宋" w:cs="仿宋"/>
          <w:color w:val="auto"/>
          <w:sz w:val="24"/>
          <w:szCs w:val="24"/>
        </w:rPr>
      </w:pPr>
    </w:p>
    <w:p>
      <w:pPr>
        <w:pStyle w:val="2"/>
        <w:shd w:val="clear"/>
        <w:spacing w:line="360" w:lineRule="auto"/>
        <w:outlineLvl w:val="9"/>
        <w:rPr>
          <w:rFonts w:ascii="仿宋" w:hAnsi="仿宋" w:eastAsia="仿宋" w:cs="仿宋"/>
          <w:color w:val="auto"/>
          <w:sz w:val="24"/>
          <w:szCs w:val="24"/>
        </w:rPr>
      </w:pPr>
    </w:p>
    <w:p>
      <w:pPr>
        <w:pStyle w:val="2"/>
        <w:shd w:val="clear"/>
        <w:tabs>
          <w:tab w:val="left" w:pos="3603"/>
          <w:tab w:val="left" w:pos="6229"/>
        </w:tabs>
        <w:spacing w:before="70" w:line="360" w:lineRule="auto"/>
        <w:ind w:left="298" w:right="3795"/>
        <w:outlineLvl w:val="9"/>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2"/>
        <w:shd w:val="clear"/>
        <w:tabs>
          <w:tab w:val="left" w:pos="718"/>
          <w:tab w:val="left" w:pos="1767"/>
          <w:tab w:val="left" w:pos="2398"/>
          <w:tab w:val="left" w:pos="3027"/>
        </w:tabs>
        <w:spacing w:line="360" w:lineRule="auto"/>
        <w:ind w:left="298"/>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outlineLvl w:val="9"/>
        <w:rPr>
          <w:rFonts w:hint="eastAsia" w:ascii="仿宋" w:hAnsi="仿宋" w:eastAsia="仿宋" w:cs="仿宋"/>
          <w:color w:val="auto"/>
          <w:w w:val="95"/>
          <w:sz w:val="24"/>
          <w:szCs w:val="24"/>
          <w:lang w:eastAsia="zh-CN"/>
        </w:rPr>
      </w:pPr>
    </w:p>
    <w:sectPr>
      <w:footerReference r:id="rId9"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line="240"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line="240"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center"/>
      <w:rPr>
        <w:rFonts w:hint="default" w:ascii="仿宋" w:hAnsi="仿宋" w:eastAsia="仿宋" w:cs="仿宋"/>
        <w:sz w:val="24"/>
        <w:szCs w:val="3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center"/>
      <w:rPr>
        <w:rFonts w:hint="default" w:ascii="仿宋" w:hAnsi="仿宋" w:eastAsia="仿宋" w:cs="仿宋"/>
        <w:sz w:val="24"/>
        <w:szCs w:val="36"/>
        <w:lang w:val="en-US"/>
      </w:rPr>
    </w:pPr>
    <w:r>
      <w:rPr>
        <w:rFonts w:hint="eastAsia" w:ascii="仿宋" w:hAnsi="仿宋" w:eastAsia="仿宋" w:cs="仿宋"/>
        <w:sz w:val="24"/>
        <w:szCs w:val="24"/>
        <w:lang w:val="en-US" w:eastAsia="zh-CN"/>
      </w:rPr>
      <w:t>新疆华恒惠欣工程项目管理有限责任公司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1D9A9"/>
    <w:multiLevelType w:val="singleLevel"/>
    <w:tmpl w:val="8021D9A9"/>
    <w:lvl w:ilvl="0" w:tentative="0">
      <w:start w:val="1"/>
      <w:numFmt w:val="decimal"/>
      <w:suff w:val="nothing"/>
      <w:lvlText w:val="%1）"/>
      <w:lvlJc w:val="left"/>
    </w:lvl>
  </w:abstractNum>
  <w:abstractNum w:abstractNumId="1">
    <w:nsid w:val="91995D4F"/>
    <w:multiLevelType w:val="multilevel"/>
    <w:tmpl w:val="91995D4F"/>
    <w:lvl w:ilvl="0" w:tentative="0">
      <w:start w:val="1"/>
      <w:numFmt w:val="decimal"/>
      <w:lvlText w:val="%1."/>
      <w:lvlJc w:val="left"/>
      <w:pPr>
        <w:ind w:left="6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2">
    <w:nsid w:val="BCBC28FE"/>
    <w:multiLevelType w:val="singleLevel"/>
    <w:tmpl w:val="BCBC28FE"/>
    <w:lvl w:ilvl="0" w:tentative="0">
      <w:start w:val="1"/>
      <w:numFmt w:val="decimal"/>
      <w:suff w:val="nothing"/>
      <w:lvlText w:val="%1、"/>
      <w:lvlJc w:val="left"/>
    </w:lvl>
  </w:abstractNum>
  <w:abstractNum w:abstractNumId="3">
    <w:nsid w:val="CD8B8130"/>
    <w:multiLevelType w:val="singleLevel"/>
    <w:tmpl w:val="CD8B8130"/>
    <w:lvl w:ilvl="0" w:tentative="0">
      <w:start w:val="4"/>
      <w:numFmt w:val="chineseCounting"/>
      <w:suff w:val="space"/>
      <w:lvlText w:val="%1、"/>
      <w:lvlJc w:val="left"/>
      <w:rPr>
        <w:rFonts w:hint="eastAsia"/>
      </w:rPr>
    </w:lvl>
  </w:abstractNum>
  <w:abstractNum w:abstractNumId="4">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5">
    <w:nsid w:val="0540FEF5"/>
    <w:multiLevelType w:val="singleLevel"/>
    <w:tmpl w:val="0540FEF5"/>
    <w:lvl w:ilvl="0" w:tentative="0">
      <w:start w:val="1"/>
      <w:numFmt w:val="decimal"/>
      <w:suff w:val="nothing"/>
      <w:lvlText w:val="%1、"/>
      <w:lvlJc w:val="left"/>
    </w:lvl>
  </w:abstractNum>
  <w:abstractNum w:abstractNumId="6">
    <w:nsid w:val="24D55C73"/>
    <w:multiLevelType w:val="singleLevel"/>
    <w:tmpl w:val="24D55C73"/>
    <w:lvl w:ilvl="0" w:tentative="0">
      <w:start w:val="1"/>
      <w:numFmt w:val="decimal"/>
      <w:suff w:val="nothing"/>
      <w:lvlText w:val="%1、"/>
      <w:lvlJc w:val="left"/>
    </w:lvl>
  </w:abstractNum>
  <w:abstractNum w:abstractNumId="7">
    <w:nsid w:val="5E29AB5A"/>
    <w:multiLevelType w:val="multilevel"/>
    <w:tmpl w:val="5E29AB5A"/>
    <w:lvl w:ilvl="0" w:tentative="0">
      <w:start w:val="1"/>
      <w:numFmt w:val="decimal"/>
      <w:lvlText w:val="%1)"/>
      <w:lvlJc w:val="left"/>
      <w:pPr>
        <w:ind w:left="220"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315"/>
      </w:pPr>
      <w:rPr>
        <w:rFonts w:hint="default"/>
        <w:lang w:val="zh-CN" w:eastAsia="zh-CN" w:bidi="zh-CN"/>
      </w:rPr>
    </w:lvl>
    <w:lvl w:ilvl="2" w:tentative="0">
      <w:start w:val="0"/>
      <w:numFmt w:val="bullet"/>
      <w:lvlText w:val="•"/>
      <w:lvlJc w:val="left"/>
      <w:pPr>
        <w:ind w:left="2213" w:hanging="315"/>
      </w:pPr>
      <w:rPr>
        <w:rFonts w:hint="default"/>
        <w:lang w:val="zh-CN" w:eastAsia="zh-CN" w:bidi="zh-CN"/>
      </w:rPr>
    </w:lvl>
    <w:lvl w:ilvl="3" w:tentative="0">
      <w:start w:val="0"/>
      <w:numFmt w:val="bullet"/>
      <w:lvlText w:val="•"/>
      <w:lvlJc w:val="left"/>
      <w:pPr>
        <w:ind w:left="3209" w:hanging="315"/>
      </w:pPr>
      <w:rPr>
        <w:rFonts w:hint="default"/>
        <w:lang w:val="zh-CN" w:eastAsia="zh-CN" w:bidi="zh-CN"/>
      </w:rPr>
    </w:lvl>
    <w:lvl w:ilvl="4" w:tentative="0">
      <w:start w:val="0"/>
      <w:numFmt w:val="bullet"/>
      <w:lvlText w:val="•"/>
      <w:lvlJc w:val="left"/>
      <w:pPr>
        <w:ind w:left="4206" w:hanging="315"/>
      </w:pPr>
      <w:rPr>
        <w:rFonts w:hint="default"/>
        <w:lang w:val="zh-CN" w:eastAsia="zh-CN" w:bidi="zh-CN"/>
      </w:rPr>
    </w:lvl>
    <w:lvl w:ilvl="5" w:tentative="0">
      <w:start w:val="0"/>
      <w:numFmt w:val="bullet"/>
      <w:lvlText w:val="•"/>
      <w:lvlJc w:val="left"/>
      <w:pPr>
        <w:ind w:left="5203" w:hanging="315"/>
      </w:pPr>
      <w:rPr>
        <w:rFonts w:hint="default"/>
        <w:lang w:val="zh-CN" w:eastAsia="zh-CN" w:bidi="zh-CN"/>
      </w:rPr>
    </w:lvl>
    <w:lvl w:ilvl="6" w:tentative="0">
      <w:start w:val="0"/>
      <w:numFmt w:val="bullet"/>
      <w:lvlText w:val="•"/>
      <w:lvlJc w:val="left"/>
      <w:pPr>
        <w:ind w:left="6199" w:hanging="315"/>
      </w:pPr>
      <w:rPr>
        <w:rFonts w:hint="default"/>
        <w:lang w:val="zh-CN" w:eastAsia="zh-CN" w:bidi="zh-CN"/>
      </w:rPr>
    </w:lvl>
    <w:lvl w:ilvl="7" w:tentative="0">
      <w:start w:val="0"/>
      <w:numFmt w:val="bullet"/>
      <w:lvlText w:val="•"/>
      <w:lvlJc w:val="left"/>
      <w:pPr>
        <w:ind w:left="7196" w:hanging="315"/>
      </w:pPr>
      <w:rPr>
        <w:rFonts w:hint="default"/>
        <w:lang w:val="zh-CN" w:eastAsia="zh-CN" w:bidi="zh-CN"/>
      </w:rPr>
    </w:lvl>
    <w:lvl w:ilvl="8" w:tentative="0">
      <w:start w:val="0"/>
      <w:numFmt w:val="bullet"/>
      <w:lvlText w:val="•"/>
      <w:lvlJc w:val="left"/>
      <w:pPr>
        <w:ind w:left="8192" w:hanging="315"/>
      </w:pPr>
      <w:rPr>
        <w:rFonts w:hint="default"/>
        <w:lang w:val="zh-CN" w:eastAsia="zh-CN" w:bidi="zh-CN"/>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F4"/>
    <w:rsid w:val="00020F38"/>
    <w:rsid w:val="00191D1B"/>
    <w:rsid w:val="0026239C"/>
    <w:rsid w:val="00284E8E"/>
    <w:rsid w:val="002C6D59"/>
    <w:rsid w:val="00446CDB"/>
    <w:rsid w:val="005F2623"/>
    <w:rsid w:val="00815F16"/>
    <w:rsid w:val="00923D48"/>
    <w:rsid w:val="00B34B3D"/>
    <w:rsid w:val="00D91CB3"/>
    <w:rsid w:val="00E04EF4"/>
    <w:rsid w:val="00F50229"/>
    <w:rsid w:val="01160EA3"/>
    <w:rsid w:val="012A0989"/>
    <w:rsid w:val="013412A0"/>
    <w:rsid w:val="013730A5"/>
    <w:rsid w:val="01513954"/>
    <w:rsid w:val="01527921"/>
    <w:rsid w:val="016120FE"/>
    <w:rsid w:val="017442FA"/>
    <w:rsid w:val="019460D1"/>
    <w:rsid w:val="01AC5842"/>
    <w:rsid w:val="01AE3368"/>
    <w:rsid w:val="01C77236"/>
    <w:rsid w:val="01DE0D5B"/>
    <w:rsid w:val="02554B69"/>
    <w:rsid w:val="025739FF"/>
    <w:rsid w:val="02661E94"/>
    <w:rsid w:val="02A209F3"/>
    <w:rsid w:val="02A255CF"/>
    <w:rsid w:val="02A76493"/>
    <w:rsid w:val="02BD7840"/>
    <w:rsid w:val="02CC2AF3"/>
    <w:rsid w:val="02FA47F7"/>
    <w:rsid w:val="02FC0103"/>
    <w:rsid w:val="030374C3"/>
    <w:rsid w:val="03391357"/>
    <w:rsid w:val="03397774"/>
    <w:rsid w:val="03424699"/>
    <w:rsid w:val="03450828"/>
    <w:rsid w:val="034F222C"/>
    <w:rsid w:val="035148F2"/>
    <w:rsid w:val="036F19F7"/>
    <w:rsid w:val="03703371"/>
    <w:rsid w:val="03AD735B"/>
    <w:rsid w:val="03FA61DB"/>
    <w:rsid w:val="03FF60FC"/>
    <w:rsid w:val="040041CB"/>
    <w:rsid w:val="04463D2B"/>
    <w:rsid w:val="044E0E32"/>
    <w:rsid w:val="045126D0"/>
    <w:rsid w:val="047F797B"/>
    <w:rsid w:val="04806B11"/>
    <w:rsid w:val="04992949"/>
    <w:rsid w:val="04AB4024"/>
    <w:rsid w:val="04F95C85"/>
    <w:rsid w:val="051060E7"/>
    <w:rsid w:val="0517621F"/>
    <w:rsid w:val="051A66FF"/>
    <w:rsid w:val="05252AFA"/>
    <w:rsid w:val="052A5231"/>
    <w:rsid w:val="05382349"/>
    <w:rsid w:val="05422DC6"/>
    <w:rsid w:val="05526700"/>
    <w:rsid w:val="056B79E4"/>
    <w:rsid w:val="058F3BFB"/>
    <w:rsid w:val="05B0013D"/>
    <w:rsid w:val="05E04B79"/>
    <w:rsid w:val="05EC3954"/>
    <w:rsid w:val="06080D86"/>
    <w:rsid w:val="064B35FA"/>
    <w:rsid w:val="06594ED7"/>
    <w:rsid w:val="06776DF7"/>
    <w:rsid w:val="06823121"/>
    <w:rsid w:val="06A64E52"/>
    <w:rsid w:val="06FD4543"/>
    <w:rsid w:val="070B6B66"/>
    <w:rsid w:val="0721638A"/>
    <w:rsid w:val="074A3B33"/>
    <w:rsid w:val="074D6351"/>
    <w:rsid w:val="07512FFD"/>
    <w:rsid w:val="07B02294"/>
    <w:rsid w:val="07BB058C"/>
    <w:rsid w:val="080635AD"/>
    <w:rsid w:val="08251EAA"/>
    <w:rsid w:val="082C1681"/>
    <w:rsid w:val="08370860"/>
    <w:rsid w:val="084F112E"/>
    <w:rsid w:val="08550DD4"/>
    <w:rsid w:val="086E3851"/>
    <w:rsid w:val="08901A19"/>
    <w:rsid w:val="08A902D4"/>
    <w:rsid w:val="08BF794D"/>
    <w:rsid w:val="08CB22BD"/>
    <w:rsid w:val="08DF02AB"/>
    <w:rsid w:val="08F33D56"/>
    <w:rsid w:val="092A3856"/>
    <w:rsid w:val="094D6820"/>
    <w:rsid w:val="094E5A0C"/>
    <w:rsid w:val="09655DD5"/>
    <w:rsid w:val="0A2E33DD"/>
    <w:rsid w:val="0A3463D4"/>
    <w:rsid w:val="0A41453F"/>
    <w:rsid w:val="0A7F7F97"/>
    <w:rsid w:val="0AA03A6A"/>
    <w:rsid w:val="0ADF4FE4"/>
    <w:rsid w:val="0AEB36BA"/>
    <w:rsid w:val="0B116715"/>
    <w:rsid w:val="0B472283"/>
    <w:rsid w:val="0B4B0D7C"/>
    <w:rsid w:val="0B550248"/>
    <w:rsid w:val="0B796AAB"/>
    <w:rsid w:val="0B865355"/>
    <w:rsid w:val="0BA24760"/>
    <w:rsid w:val="0C1240EA"/>
    <w:rsid w:val="0C281F69"/>
    <w:rsid w:val="0C2D2D0D"/>
    <w:rsid w:val="0C350433"/>
    <w:rsid w:val="0C396BCF"/>
    <w:rsid w:val="0C4043DF"/>
    <w:rsid w:val="0C427989"/>
    <w:rsid w:val="0C5745FC"/>
    <w:rsid w:val="0C601702"/>
    <w:rsid w:val="0C677C5B"/>
    <w:rsid w:val="0CD81BE1"/>
    <w:rsid w:val="0CD97582"/>
    <w:rsid w:val="0CE45F64"/>
    <w:rsid w:val="0D05510F"/>
    <w:rsid w:val="0D0C7C66"/>
    <w:rsid w:val="0D0D4EF6"/>
    <w:rsid w:val="0D1B19F6"/>
    <w:rsid w:val="0D425042"/>
    <w:rsid w:val="0D7F305A"/>
    <w:rsid w:val="0DF470F6"/>
    <w:rsid w:val="0DF62D8D"/>
    <w:rsid w:val="0E0B7D94"/>
    <w:rsid w:val="0E1924B1"/>
    <w:rsid w:val="0E2F5189"/>
    <w:rsid w:val="0E8004E8"/>
    <w:rsid w:val="0E904057"/>
    <w:rsid w:val="0E9A1130"/>
    <w:rsid w:val="0EAA60E0"/>
    <w:rsid w:val="0ECA08A8"/>
    <w:rsid w:val="0EE673BA"/>
    <w:rsid w:val="0EF1454A"/>
    <w:rsid w:val="0EF55A09"/>
    <w:rsid w:val="0F003921"/>
    <w:rsid w:val="0F270324"/>
    <w:rsid w:val="0F2904D1"/>
    <w:rsid w:val="0F3A1724"/>
    <w:rsid w:val="0F6C6610"/>
    <w:rsid w:val="0F847DFE"/>
    <w:rsid w:val="102D322F"/>
    <w:rsid w:val="103709CC"/>
    <w:rsid w:val="105F5D30"/>
    <w:rsid w:val="1068375D"/>
    <w:rsid w:val="10702130"/>
    <w:rsid w:val="10771710"/>
    <w:rsid w:val="1085413C"/>
    <w:rsid w:val="108928D1"/>
    <w:rsid w:val="108D1336"/>
    <w:rsid w:val="10E2302E"/>
    <w:rsid w:val="113C6E99"/>
    <w:rsid w:val="113E4CBE"/>
    <w:rsid w:val="114B4BFE"/>
    <w:rsid w:val="114E2471"/>
    <w:rsid w:val="116C0B49"/>
    <w:rsid w:val="119414E9"/>
    <w:rsid w:val="11CC15E8"/>
    <w:rsid w:val="11D7042B"/>
    <w:rsid w:val="11DA2994"/>
    <w:rsid w:val="11E42DD6"/>
    <w:rsid w:val="12032ECD"/>
    <w:rsid w:val="12130C68"/>
    <w:rsid w:val="12481006"/>
    <w:rsid w:val="12531FA2"/>
    <w:rsid w:val="12675F01"/>
    <w:rsid w:val="12C0739F"/>
    <w:rsid w:val="12DB706A"/>
    <w:rsid w:val="12F06675"/>
    <w:rsid w:val="132A0CBC"/>
    <w:rsid w:val="139D57FD"/>
    <w:rsid w:val="13CC3B21"/>
    <w:rsid w:val="14011A1D"/>
    <w:rsid w:val="140137CB"/>
    <w:rsid w:val="14025795"/>
    <w:rsid w:val="141512C5"/>
    <w:rsid w:val="142605C8"/>
    <w:rsid w:val="143B213D"/>
    <w:rsid w:val="1460539F"/>
    <w:rsid w:val="14756348"/>
    <w:rsid w:val="147F0B94"/>
    <w:rsid w:val="149805C7"/>
    <w:rsid w:val="14A15FB8"/>
    <w:rsid w:val="14B13A11"/>
    <w:rsid w:val="14B60A59"/>
    <w:rsid w:val="151C682B"/>
    <w:rsid w:val="15212DD7"/>
    <w:rsid w:val="155F2D8B"/>
    <w:rsid w:val="15761F97"/>
    <w:rsid w:val="15916DD0"/>
    <w:rsid w:val="15C43FAF"/>
    <w:rsid w:val="15C727F2"/>
    <w:rsid w:val="160E6673"/>
    <w:rsid w:val="1615708D"/>
    <w:rsid w:val="16247C45"/>
    <w:rsid w:val="163D7F60"/>
    <w:rsid w:val="165A600B"/>
    <w:rsid w:val="166F5EEF"/>
    <w:rsid w:val="16A455C8"/>
    <w:rsid w:val="16A8410F"/>
    <w:rsid w:val="16BE74A7"/>
    <w:rsid w:val="16C108F3"/>
    <w:rsid w:val="16D96DB2"/>
    <w:rsid w:val="16F73983"/>
    <w:rsid w:val="17013AE2"/>
    <w:rsid w:val="172704C4"/>
    <w:rsid w:val="17451C21"/>
    <w:rsid w:val="174F519C"/>
    <w:rsid w:val="175D4E3E"/>
    <w:rsid w:val="17A17F47"/>
    <w:rsid w:val="17A942DF"/>
    <w:rsid w:val="17CF3BE0"/>
    <w:rsid w:val="17F92A0B"/>
    <w:rsid w:val="18057602"/>
    <w:rsid w:val="182444FB"/>
    <w:rsid w:val="183C1F29"/>
    <w:rsid w:val="183F48C2"/>
    <w:rsid w:val="1845703E"/>
    <w:rsid w:val="1864257A"/>
    <w:rsid w:val="187F7EE5"/>
    <w:rsid w:val="1881137E"/>
    <w:rsid w:val="18956752"/>
    <w:rsid w:val="18A41204"/>
    <w:rsid w:val="18A67734"/>
    <w:rsid w:val="18A72CDE"/>
    <w:rsid w:val="18A82C9A"/>
    <w:rsid w:val="18AB1F57"/>
    <w:rsid w:val="18B444D8"/>
    <w:rsid w:val="18E5610C"/>
    <w:rsid w:val="18EF5891"/>
    <w:rsid w:val="1901426D"/>
    <w:rsid w:val="1910297D"/>
    <w:rsid w:val="191C27E3"/>
    <w:rsid w:val="192F4936"/>
    <w:rsid w:val="1937214D"/>
    <w:rsid w:val="19504BC4"/>
    <w:rsid w:val="19610A74"/>
    <w:rsid w:val="197D7D98"/>
    <w:rsid w:val="199572E2"/>
    <w:rsid w:val="19C455E3"/>
    <w:rsid w:val="1A0219C8"/>
    <w:rsid w:val="1A051B3B"/>
    <w:rsid w:val="1A7B12E8"/>
    <w:rsid w:val="1A930EF5"/>
    <w:rsid w:val="1ABA0087"/>
    <w:rsid w:val="1ADD1DBA"/>
    <w:rsid w:val="1AF35E37"/>
    <w:rsid w:val="1B1B26AB"/>
    <w:rsid w:val="1B391A9C"/>
    <w:rsid w:val="1B3B6807"/>
    <w:rsid w:val="1B4F5C2F"/>
    <w:rsid w:val="1B585AC1"/>
    <w:rsid w:val="1B9F6489"/>
    <w:rsid w:val="1BC11F07"/>
    <w:rsid w:val="1BD9300C"/>
    <w:rsid w:val="1C024584"/>
    <w:rsid w:val="1C393D1E"/>
    <w:rsid w:val="1C401441"/>
    <w:rsid w:val="1C576BB8"/>
    <w:rsid w:val="1C5B18F4"/>
    <w:rsid w:val="1C845FEA"/>
    <w:rsid w:val="1C942349"/>
    <w:rsid w:val="1CB86ED0"/>
    <w:rsid w:val="1CCD17D4"/>
    <w:rsid w:val="1CE460CF"/>
    <w:rsid w:val="1CF71CB5"/>
    <w:rsid w:val="1CF9347E"/>
    <w:rsid w:val="1D2852F7"/>
    <w:rsid w:val="1D416A04"/>
    <w:rsid w:val="1D4C468D"/>
    <w:rsid w:val="1D664362"/>
    <w:rsid w:val="1D684461"/>
    <w:rsid w:val="1D70376F"/>
    <w:rsid w:val="1D8611E5"/>
    <w:rsid w:val="1D9C4564"/>
    <w:rsid w:val="1DAD1939"/>
    <w:rsid w:val="1DC07CF2"/>
    <w:rsid w:val="1DC318FA"/>
    <w:rsid w:val="1DCD471E"/>
    <w:rsid w:val="1DDE3BBE"/>
    <w:rsid w:val="1DEA11A3"/>
    <w:rsid w:val="1E0D5462"/>
    <w:rsid w:val="1E532470"/>
    <w:rsid w:val="1E5953A1"/>
    <w:rsid w:val="1E7A072E"/>
    <w:rsid w:val="1EA20220"/>
    <w:rsid w:val="1EA53B24"/>
    <w:rsid w:val="1EAC6551"/>
    <w:rsid w:val="1EB34BDE"/>
    <w:rsid w:val="1ED01837"/>
    <w:rsid w:val="1F117A7B"/>
    <w:rsid w:val="1F7F4149"/>
    <w:rsid w:val="1F8679CA"/>
    <w:rsid w:val="1F9803AC"/>
    <w:rsid w:val="1FBE6A14"/>
    <w:rsid w:val="1FE03E2B"/>
    <w:rsid w:val="1FE34525"/>
    <w:rsid w:val="20033708"/>
    <w:rsid w:val="20033EA9"/>
    <w:rsid w:val="20184554"/>
    <w:rsid w:val="20436616"/>
    <w:rsid w:val="20871918"/>
    <w:rsid w:val="20926BCA"/>
    <w:rsid w:val="20943AB3"/>
    <w:rsid w:val="20994D8B"/>
    <w:rsid w:val="20FA0C45"/>
    <w:rsid w:val="211919B6"/>
    <w:rsid w:val="21CF0835"/>
    <w:rsid w:val="21EF3C27"/>
    <w:rsid w:val="220E63EE"/>
    <w:rsid w:val="221338AA"/>
    <w:rsid w:val="224156DA"/>
    <w:rsid w:val="22550926"/>
    <w:rsid w:val="226715E5"/>
    <w:rsid w:val="227A3EE0"/>
    <w:rsid w:val="228C2DF9"/>
    <w:rsid w:val="22AE5A6F"/>
    <w:rsid w:val="22CB660A"/>
    <w:rsid w:val="22CD065A"/>
    <w:rsid w:val="22F65758"/>
    <w:rsid w:val="230371D1"/>
    <w:rsid w:val="230B2E21"/>
    <w:rsid w:val="231440DD"/>
    <w:rsid w:val="23186143"/>
    <w:rsid w:val="23583210"/>
    <w:rsid w:val="236329DA"/>
    <w:rsid w:val="23696C6E"/>
    <w:rsid w:val="23702A92"/>
    <w:rsid w:val="23977F36"/>
    <w:rsid w:val="23C46255"/>
    <w:rsid w:val="23D762F6"/>
    <w:rsid w:val="23F24EDE"/>
    <w:rsid w:val="241035B6"/>
    <w:rsid w:val="24152B6D"/>
    <w:rsid w:val="244A7C7D"/>
    <w:rsid w:val="244D7AC7"/>
    <w:rsid w:val="24577437"/>
    <w:rsid w:val="245C5FE8"/>
    <w:rsid w:val="249A4004"/>
    <w:rsid w:val="249A4DA6"/>
    <w:rsid w:val="24A7216D"/>
    <w:rsid w:val="24AB32DF"/>
    <w:rsid w:val="24C3614C"/>
    <w:rsid w:val="24DF0BCC"/>
    <w:rsid w:val="24F46A34"/>
    <w:rsid w:val="25302410"/>
    <w:rsid w:val="25422C06"/>
    <w:rsid w:val="25706A02"/>
    <w:rsid w:val="258C3048"/>
    <w:rsid w:val="25A378E9"/>
    <w:rsid w:val="25C71179"/>
    <w:rsid w:val="2604714B"/>
    <w:rsid w:val="26167F3A"/>
    <w:rsid w:val="2629095F"/>
    <w:rsid w:val="26404627"/>
    <w:rsid w:val="268822AF"/>
    <w:rsid w:val="26AB5818"/>
    <w:rsid w:val="26BE554B"/>
    <w:rsid w:val="26C90797"/>
    <w:rsid w:val="26F00865"/>
    <w:rsid w:val="272270D4"/>
    <w:rsid w:val="2742674D"/>
    <w:rsid w:val="27475541"/>
    <w:rsid w:val="27895B59"/>
    <w:rsid w:val="278B529D"/>
    <w:rsid w:val="279203CA"/>
    <w:rsid w:val="27952750"/>
    <w:rsid w:val="279938C3"/>
    <w:rsid w:val="27BA11F6"/>
    <w:rsid w:val="27C2106B"/>
    <w:rsid w:val="27D41601"/>
    <w:rsid w:val="27D51034"/>
    <w:rsid w:val="27E40FE2"/>
    <w:rsid w:val="27E73DE2"/>
    <w:rsid w:val="280B2817"/>
    <w:rsid w:val="28154A9C"/>
    <w:rsid w:val="28235E4A"/>
    <w:rsid w:val="282A633B"/>
    <w:rsid w:val="288F53DA"/>
    <w:rsid w:val="2899001E"/>
    <w:rsid w:val="28CB17DC"/>
    <w:rsid w:val="29376617"/>
    <w:rsid w:val="295C60A7"/>
    <w:rsid w:val="297B2A06"/>
    <w:rsid w:val="29983CC2"/>
    <w:rsid w:val="29AF14FB"/>
    <w:rsid w:val="29C309BE"/>
    <w:rsid w:val="29CB53B3"/>
    <w:rsid w:val="2A0070CB"/>
    <w:rsid w:val="2A2C2AC9"/>
    <w:rsid w:val="2A413222"/>
    <w:rsid w:val="2A494B11"/>
    <w:rsid w:val="2A4B446B"/>
    <w:rsid w:val="2A6323EC"/>
    <w:rsid w:val="2A6A4B42"/>
    <w:rsid w:val="2AA42B61"/>
    <w:rsid w:val="2ABD3737"/>
    <w:rsid w:val="2AD417E1"/>
    <w:rsid w:val="2ADA66CC"/>
    <w:rsid w:val="2ADC7C82"/>
    <w:rsid w:val="2B0D718F"/>
    <w:rsid w:val="2B177920"/>
    <w:rsid w:val="2B1E1A20"/>
    <w:rsid w:val="2B2A174E"/>
    <w:rsid w:val="2B533633"/>
    <w:rsid w:val="2B5603E5"/>
    <w:rsid w:val="2B9131C1"/>
    <w:rsid w:val="2BA967CA"/>
    <w:rsid w:val="2BCA178F"/>
    <w:rsid w:val="2C0E2AD1"/>
    <w:rsid w:val="2C17640B"/>
    <w:rsid w:val="2C1A1476"/>
    <w:rsid w:val="2C1F4644"/>
    <w:rsid w:val="2C2C635C"/>
    <w:rsid w:val="2C3971FB"/>
    <w:rsid w:val="2C475FD8"/>
    <w:rsid w:val="2C8376C6"/>
    <w:rsid w:val="2C8764FD"/>
    <w:rsid w:val="2D031781"/>
    <w:rsid w:val="2D0E2AF2"/>
    <w:rsid w:val="2D104A12"/>
    <w:rsid w:val="2D2E3032"/>
    <w:rsid w:val="2D636E4D"/>
    <w:rsid w:val="2D776F5F"/>
    <w:rsid w:val="2DB93136"/>
    <w:rsid w:val="2E0B0E16"/>
    <w:rsid w:val="2E222864"/>
    <w:rsid w:val="2E5D1AEE"/>
    <w:rsid w:val="2E817C7F"/>
    <w:rsid w:val="2E8D23D3"/>
    <w:rsid w:val="2E954DE4"/>
    <w:rsid w:val="2E9B5BAC"/>
    <w:rsid w:val="2EA458B8"/>
    <w:rsid w:val="2EA519E8"/>
    <w:rsid w:val="2EE56E6C"/>
    <w:rsid w:val="2EE77AA1"/>
    <w:rsid w:val="2EEF6BEA"/>
    <w:rsid w:val="2F10090E"/>
    <w:rsid w:val="2F3577EF"/>
    <w:rsid w:val="2F474BDC"/>
    <w:rsid w:val="2F587352"/>
    <w:rsid w:val="2F6B1FE9"/>
    <w:rsid w:val="2F843E14"/>
    <w:rsid w:val="2F856F4C"/>
    <w:rsid w:val="2FB322F1"/>
    <w:rsid w:val="2FC36E4D"/>
    <w:rsid w:val="2FFA25A8"/>
    <w:rsid w:val="30BD4E03"/>
    <w:rsid w:val="30C84419"/>
    <w:rsid w:val="31A35241"/>
    <w:rsid w:val="31F74931"/>
    <w:rsid w:val="3240775C"/>
    <w:rsid w:val="324B2107"/>
    <w:rsid w:val="3251056C"/>
    <w:rsid w:val="32574900"/>
    <w:rsid w:val="3263654A"/>
    <w:rsid w:val="32677C99"/>
    <w:rsid w:val="32790947"/>
    <w:rsid w:val="32911D66"/>
    <w:rsid w:val="32B06C61"/>
    <w:rsid w:val="32B82756"/>
    <w:rsid w:val="32E371EF"/>
    <w:rsid w:val="32F756F3"/>
    <w:rsid w:val="32FB3F24"/>
    <w:rsid w:val="32FB65EC"/>
    <w:rsid w:val="32FF1798"/>
    <w:rsid w:val="33557238"/>
    <w:rsid w:val="335A484E"/>
    <w:rsid w:val="338545F1"/>
    <w:rsid w:val="338C3013"/>
    <w:rsid w:val="338C4524"/>
    <w:rsid w:val="339C09C3"/>
    <w:rsid w:val="33A37ABD"/>
    <w:rsid w:val="33CD06B4"/>
    <w:rsid w:val="33E2478D"/>
    <w:rsid w:val="33E719DA"/>
    <w:rsid w:val="33E81E5A"/>
    <w:rsid w:val="34014CC9"/>
    <w:rsid w:val="3402116D"/>
    <w:rsid w:val="34267FA6"/>
    <w:rsid w:val="344414BA"/>
    <w:rsid w:val="344E7CCF"/>
    <w:rsid w:val="34550A3F"/>
    <w:rsid w:val="34567134"/>
    <w:rsid w:val="348C6C89"/>
    <w:rsid w:val="34AC14B2"/>
    <w:rsid w:val="34B306BA"/>
    <w:rsid w:val="35337323"/>
    <w:rsid w:val="35386E11"/>
    <w:rsid w:val="35390152"/>
    <w:rsid w:val="35530252"/>
    <w:rsid w:val="356B15A6"/>
    <w:rsid w:val="35AA12F6"/>
    <w:rsid w:val="35E11256"/>
    <w:rsid w:val="365E6090"/>
    <w:rsid w:val="36645B20"/>
    <w:rsid w:val="36701A9A"/>
    <w:rsid w:val="367C4B66"/>
    <w:rsid w:val="369342FF"/>
    <w:rsid w:val="36973645"/>
    <w:rsid w:val="36CB0F82"/>
    <w:rsid w:val="36F43F1A"/>
    <w:rsid w:val="371177BA"/>
    <w:rsid w:val="37147C9D"/>
    <w:rsid w:val="37375C91"/>
    <w:rsid w:val="376736AE"/>
    <w:rsid w:val="37757B22"/>
    <w:rsid w:val="377E6663"/>
    <w:rsid w:val="37DB7650"/>
    <w:rsid w:val="38245E2B"/>
    <w:rsid w:val="382A26EE"/>
    <w:rsid w:val="383A6D0C"/>
    <w:rsid w:val="384C4620"/>
    <w:rsid w:val="384F7AA2"/>
    <w:rsid w:val="386F38F1"/>
    <w:rsid w:val="38AB0B8C"/>
    <w:rsid w:val="38D91DC5"/>
    <w:rsid w:val="38EE6FA4"/>
    <w:rsid w:val="3951224F"/>
    <w:rsid w:val="39825D37"/>
    <w:rsid w:val="39897C3B"/>
    <w:rsid w:val="39BF540B"/>
    <w:rsid w:val="39CB63B0"/>
    <w:rsid w:val="39D24225"/>
    <w:rsid w:val="39DC420F"/>
    <w:rsid w:val="39F3315D"/>
    <w:rsid w:val="39F36E55"/>
    <w:rsid w:val="39F66ADF"/>
    <w:rsid w:val="3A424802"/>
    <w:rsid w:val="3A5E0468"/>
    <w:rsid w:val="3A6D23B6"/>
    <w:rsid w:val="3A8E3939"/>
    <w:rsid w:val="3A9E4D47"/>
    <w:rsid w:val="3AA7281E"/>
    <w:rsid w:val="3ACC4CE8"/>
    <w:rsid w:val="3AE53B01"/>
    <w:rsid w:val="3AFD61EB"/>
    <w:rsid w:val="3B085695"/>
    <w:rsid w:val="3B3D74CD"/>
    <w:rsid w:val="3B450DF0"/>
    <w:rsid w:val="3B5B4297"/>
    <w:rsid w:val="3B66470A"/>
    <w:rsid w:val="3B7E7E1C"/>
    <w:rsid w:val="3B8844D9"/>
    <w:rsid w:val="3B9265C6"/>
    <w:rsid w:val="3B931CD9"/>
    <w:rsid w:val="3B934DA6"/>
    <w:rsid w:val="3BA40D5C"/>
    <w:rsid w:val="3BE74A70"/>
    <w:rsid w:val="3BF13876"/>
    <w:rsid w:val="3C282694"/>
    <w:rsid w:val="3C650A77"/>
    <w:rsid w:val="3C8C7789"/>
    <w:rsid w:val="3C925F0B"/>
    <w:rsid w:val="3CF35863"/>
    <w:rsid w:val="3DC478D4"/>
    <w:rsid w:val="3DD05E38"/>
    <w:rsid w:val="3DF530B2"/>
    <w:rsid w:val="3DFF3A68"/>
    <w:rsid w:val="3E0F3C31"/>
    <w:rsid w:val="3E2E2B5F"/>
    <w:rsid w:val="3E315B3B"/>
    <w:rsid w:val="3EE15E23"/>
    <w:rsid w:val="3EE956B8"/>
    <w:rsid w:val="3EEB1561"/>
    <w:rsid w:val="3F2C52F0"/>
    <w:rsid w:val="3F460161"/>
    <w:rsid w:val="3F614818"/>
    <w:rsid w:val="3FD341E0"/>
    <w:rsid w:val="3FDF0963"/>
    <w:rsid w:val="3FFC330D"/>
    <w:rsid w:val="401B60B3"/>
    <w:rsid w:val="401D2DFB"/>
    <w:rsid w:val="40454764"/>
    <w:rsid w:val="40861D3B"/>
    <w:rsid w:val="409A4DCC"/>
    <w:rsid w:val="40AD2461"/>
    <w:rsid w:val="40CA08CD"/>
    <w:rsid w:val="40DA0B7A"/>
    <w:rsid w:val="40E82922"/>
    <w:rsid w:val="40F151C3"/>
    <w:rsid w:val="40F7192E"/>
    <w:rsid w:val="41076015"/>
    <w:rsid w:val="41390199"/>
    <w:rsid w:val="41512A54"/>
    <w:rsid w:val="41545805"/>
    <w:rsid w:val="415D20D1"/>
    <w:rsid w:val="416074D3"/>
    <w:rsid w:val="418856A8"/>
    <w:rsid w:val="41A344AA"/>
    <w:rsid w:val="41F84D9D"/>
    <w:rsid w:val="42073DF3"/>
    <w:rsid w:val="42162288"/>
    <w:rsid w:val="424C5D66"/>
    <w:rsid w:val="428A0B79"/>
    <w:rsid w:val="42BF647C"/>
    <w:rsid w:val="42D27715"/>
    <w:rsid w:val="42F51E9D"/>
    <w:rsid w:val="4308395E"/>
    <w:rsid w:val="430A1DED"/>
    <w:rsid w:val="4335274E"/>
    <w:rsid w:val="434133E6"/>
    <w:rsid w:val="434E24C7"/>
    <w:rsid w:val="435968D0"/>
    <w:rsid w:val="43601A0D"/>
    <w:rsid w:val="43996CCD"/>
    <w:rsid w:val="43AF43F9"/>
    <w:rsid w:val="43E26BF6"/>
    <w:rsid w:val="440C2553"/>
    <w:rsid w:val="44184095"/>
    <w:rsid w:val="442D137C"/>
    <w:rsid w:val="44354C4C"/>
    <w:rsid w:val="444A6219"/>
    <w:rsid w:val="446328A7"/>
    <w:rsid w:val="44A1408B"/>
    <w:rsid w:val="44AB315B"/>
    <w:rsid w:val="44C55957"/>
    <w:rsid w:val="44C93BF6"/>
    <w:rsid w:val="44F53117"/>
    <w:rsid w:val="44FE14DD"/>
    <w:rsid w:val="4502438F"/>
    <w:rsid w:val="451778F2"/>
    <w:rsid w:val="4531366C"/>
    <w:rsid w:val="456513DC"/>
    <w:rsid w:val="459D3A5F"/>
    <w:rsid w:val="45C51FFB"/>
    <w:rsid w:val="45DC1AF6"/>
    <w:rsid w:val="45F16A41"/>
    <w:rsid w:val="46B21DE3"/>
    <w:rsid w:val="46B9177E"/>
    <w:rsid w:val="471C7942"/>
    <w:rsid w:val="474433F3"/>
    <w:rsid w:val="475F1C0D"/>
    <w:rsid w:val="477A4760"/>
    <w:rsid w:val="479D0D23"/>
    <w:rsid w:val="47AC5480"/>
    <w:rsid w:val="47B2686E"/>
    <w:rsid w:val="47B66D47"/>
    <w:rsid w:val="47F15B06"/>
    <w:rsid w:val="47F94765"/>
    <w:rsid w:val="4800556C"/>
    <w:rsid w:val="482F1BEA"/>
    <w:rsid w:val="483A2895"/>
    <w:rsid w:val="48431FD3"/>
    <w:rsid w:val="485D29BF"/>
    <w:rsid w:val="48763A80"/>
    <w:rsid w:val="488717E9"/>
    <w:rsid w:val="48BA11FA"/>
    <w:rsid w:val="48E4346F"/>
    <w:rsid w:val="4934257B"/>
    <w:rsid w:val="49496A9F"/>
    <w:rsid w:val="494D7E4B"/>
    <w:rsid w:val="49514554"/>
    <w:rsid w:val="49555444"/>
    <w:rsid w:val="49A2641C"/>
    <w:rsid w:val="4A0368E5"/>
    <w:rsid w:val="4A201EF6"/>
    <w:rsid w:val="4A2A68D0"/>
    <w:rsid w:val="4A3E6D77"/>
    <w:rsid w:val="4A407EA2"/>
    <w:rsid w:val="4A450ECD"/>
    <w:rsid w:val="4A62000B"/>
    <w:rsid w:val="4A7A27F3"/>
    <w:rsid w:val="4ABC6C25"/>
    <w:rsid w:val="4B375AE8"/>
    <w:rsid w:val="4B567DA4"/>
    <w:rsid w:val="4B7160BE"/>
    <w:rsid w:val="4B756271"/>
    <w:rsid w:val="4B8C1A37"/>
    <w:rsid w:val="4BA10E14"/>
    <w:rsid w:val="4BAD2A5E"/>
    <w:rsid w:val="4BB46D99"/>
    <w:rsid w:val="4BC549DF"/>
    <w:rsid w:val="4BC92119"/>
    <w:rsid w:val="4BD84307"/>
    <w:rsid w:val="4BF74ED8"/>
    <w:rsid w:val="4BFF5B3B"/>
    <w:rsid w:val="4C0F3706"/>
    <w:rsid w:val="4C2F01CE"/>
    <w:rsid w:val="4C67288A"/>
    <w:rsid w:val="4C7A60F2"/>
    <w:rsid w:val="4C8E2159"/>
    <w:rsid w:val="4CAC4CB6"/>
    <w:rsid w:val="4D244F88"/>
    <w:rsid w:val="4D3A55F0"/>
    <w:rsid w:val="4D5B7B1B"/>
    <w:rsid w:val="4D5D6FBD"/>
    <w:rsid w:val="4D8F0B3B"/>
    <w:rsid w:val="4D974C71"/>
    <w:rsid w:val="4DA0290C"/>
    <w:rsid w:val="4DAD6A16"/>
    <w:rsid w:val="4DB12E65"/>
    <w:rsid w:val="4DD74341"/>
    <w:rsid w:val="4E0F36DC"/>
    <w:rsid w:val="4E1702C1"/>
    <w:rsid w:val="4E243254"/>
    <w:rsid w:val="4E2A4DE6"/>
    <w:rsid w:val="4E2D1186"/>
    <w:rsid w:val="4E924DAA"/>
    <w:rsid w:val="4EAA5D9A"/>
    <w:rsid w:val="4EB92C92"/>
    <w:rsid w:val="4EE74D90"/>
    <w:rsid w:val="4EF80446"/>
    <w:rsid w:val="4F066C7F"/>
    <w:rsid w:val="4F255CDD"/>
    <w:rsid w:val="4F442CA7"/>
    <w:rsid w:val="4F4F0AED"/>
    <w:rsid w:val="4F6D556D"/>
    <w:rsid w:val="4F9842DC"/>
    <w:rsid w:val="4F9F1EE8"/>
    <w:rsid w:val="4FAA3DCA"/>
    <w:rsid w:val="4FBD405B"/>
    <w:rsid w:val="501D2D40"/>
    <w:rsid w:val="503F0BFC"/>
    <w:rsid w:val="5066262C"/>
    <w:rsid w:val="50667606"/>
    <w:rsid w:val="50A223A6"/>
    <w:rsid w:val="50A460DA"/>
    <w:rsid w:val="50AD2009"/>
    <w:rsid w:val="50B22CEC"/>
    <w:rsid w:val="50C96E6B"/>
    <w:rsid w:val="50D56370"/>
    <w:rsid w:val="50DD469C"/>
    <w:rsid w:val="50F421B5"/>
    <w:rsid w:val="50F51483"/>
    <w:rsid w:val="510B1E2B"/>
    <w:rsid w:val="512A1E11"/>
    <w:rsid w:val="512E4689"/>
    <w:rsid w:val="51361FFF"/>
    <w:rsid w:val="515C5019"/>
    <w:rsid w:val="515F522B"/>
    <w:rsid w:val="5168330D"/>
    <w:rsid w:val="516E1E1B"/>
    <w:rsid w:val="51AC6706"/>
    <w:rsid w:val="51BC0756"/>
    <w:rsid w:val="51BD728B"/>
    <w:rsid w:val="520D51E4"/>
    <w:rsid w:val="521508F5"/>
    <w:rsid w:val="521D7747"/>
    <w:rsid w:val="52EC3A00"/>
    <w:rsid w:val="53407165"/>
    <w:rsid w:val="536E79FA"/>
    <w:rsid w:val="53B86DB7"/>
    <w:rsid w:val="53DC2107"/>
    <w:rsid w:val="541A5C08"/>
    <w:rsid w:val="541F7DC9"/>
    <w:rsid w:val="54382BD6"/>
    <w:rsid w:val="546E671C"/>
    <w:rsid w:val="5474356A"/>
    <w:rsid w:val="548C143E"/>
    <w:rsid w:val="54D14B9D"/>
    <w:rsid w:val="550617C5"/>
    <w:rsid w:val="55082460"/>
    <w:rsid w:val="551D5F9C"/>
    <w:rsid w:val="55472D0A"/>
    <w:rsid w:val="5549410A"/>
    <w:rsid w:val="5563028F"/>
    <w:rsid w:val="55852F63"/>
    <w:rsid w:val="55A0213D"/>
    <w:rsid w:val="55A83F38"/>
    <w:rsid w:val="55AD03B6"/>
    <w:rsid w:val="55C555DE"/>
    <w:rsid w:val="55CD23BA"/>
    <w:rsid w:val="55DB4F23"/>
    <w:rsid w:val="55E00181"/>
    <w:rsid w:val="55EB2621"/>
    <w:rsid w:val="55EE2EA8"/>
    <w:rsid w:val="56156B4C"/>
    <w:rsid w:val="56194E0A"/>
    <w:rsid w:val="563746C9"/>
    <w:rsid w:val="56872567"/>
    <w:rsid w:val="56A6133A"/>
    <w:rsid w:val="56AA234E"/>
    <w:rsid w:val="56BC646B"/>
    <w:rsid w:val="56F7741B"/>
    <w:rsid w:val="56FE0D2B"/>
    <w:rsid w:val="56FF6BD8"/>
    <w:rsid w:val="578A3224"/>
    <w:rsid w:val="57B40121"/>
    <w:rsid w:val="57BB14B0"/>
    <w:rsid w:val="57BD7DDC"/>
    <w:rsid w:val="57C9597B"/>
    <w:rsid w:val="57ED31CE"/>
    <w:rsid w:val="580A71A2"/>
    <w:rsid w:val="580D34A3"/>
    <w:rsid w:val="58530828"/>
    <w:rsid w:val="58577DBC"/>
    <w:rsid w:val="585C7EA5"/>
    <w:rsid w:val="587753D7"/>
    <w:rsid w:val="58A055C2"/>
    <w:rsid w:val="58A91308"/>
    <w:rsid w:val="58AD7B78"/>
    <w:rsid w:val="58AF6F99"/>
    <w:rsid w:val="58E6430A"/>
    <w:rsid w:val="592861E8"/>
    <w:rsid w:val="594144B9"/>
    <w:rsid w:val="5993453B"/>
    <w:rsid w:val="59A10B1D"/>
    <w:rsid w:val="59C02DAD"/>
    <w:rsid w:val="59F857F8"/>
    <w:rsid w:val="5A0232F7"/>
    <w:rsid w:val="5A0540E5"/>
    <w:rsid w:val="5A1A1AF5"/>
    <w:rsid w:val="5A204414"/>
    <w:rsid w:val="5A4B64D3"/>
    <w:rsid w:val="5A66533D"/>
    <w:rsid w:val="5A736072"/>
    <w:rsid w:val="5A9A1850"/>
    <w:rsid w:val="5AB3577D"/>
    <w:rsid w:val="5ACB37B8"/>
    <w:rsid w:val="5AEB5C08"/>
    <w:rsid w:val="5AFE4CAF"/>
    <w:rsid w:val="5B3E6680"/>
    <w:rsid w:val="5B771D0D"/>
    <w:rsid w:val="5B955B74"/>
    <w:rsid w:val="5BD54554"/>
    <w:rsid w:val="5BE508A9"/>
    <w:rsid w:val="5C193E9D"/>
    <w:rsid w:val="5C595157"/>
    <w:rsid w:val="5C7D31D8"/>
    <w:rsid w:val="5C7D6D34"/>
    <w:rsid w:val="5CC42B0C"/>
    <w:rsid w:val="5CF90ED0"/>
    <w:rsid w:val="5CFA27ED"/>
    <w:rsid w:val="5D1C654D"/>
    <w:rsid w:val="5D2660B2"/>
    <w:rsid w:val="5D36579F"/>
    <w:rsid w:val="5D441D7E"/>
    <w:rsid w:val="5D62310E"/>
    <w:rsid w:val="5D774498"/>
    <w:rsid w:val="5D8943F9"/>
    <w:rsid w:val="5D9C2610"/>
    <w:rsid w:val="5DAE5B99"/>
    <w:rsid w:val="5DD723F7"/>
    <w:rsid w:val="5DFD6560"/>
    <w:rsid w:val="5E547F68"/>
    <w:rsid w:val="5E824AD5"/>
    <w:rsid w:val="5E8A6832"/>
    <w:rsid w:val="5EBC058C"/>
    <w:rsid w:val="5F58316E"/>
    <w:rsid w:val="5F6D12E1"/>
    <w:rsid w:val="5F926365"/>
    <w:rsid w:val="5F9F5213"/>
    <w:rsid w:val="5FA004A7"/>
    <w:rsid w:val="5FA16A85"/>
    <w:rsid w:val="5FBC460A"/>
    <w:rsid w:val="5FCA04E2"/>
    <w:rsid w:val="5FF61882"/>
    <w:rsid w:val="60462B68"/>
    <w:rsid w:val="6097151C"/>
    <w:rsid w:val="60C25E1E"/>
    <w:rsid w:val="61014440"/>
    <w:rsid w:val="61564BE3"/>
    <w:rsid w:val="6161193C"/>
    <w:rsid w:val="61987143"/>
    <w:rsid w:val="61AC2F8F"/>
    <w:rsid w:val="61CB252E"/>
    <w:rsid w:val="61D61CCC"/>
    <w:rsid w:val="61EE4B59"/>
    <w:rsid w:val="6200468F"/>
    <w:rsid w:val="62060013"/>
    <w:rsid w:val="625F48ED"/>
    <w:rsid w:val="626E0956"/>
    <w:rsid w:val="629628FD"/>
    <w:rsid w:val="62CC27C3"/>
    <w:rsid w:val="62D022B3"/>
    <w:rsid w:val="62E87F15"/>
    <w:rsid w:val="62E95123"/>
    <w:rsid w:val="63092C6E"/>
    <w:rsid w:val="631D6B7A"/>
    <w:rsid w:val="63406ADD"/>
    <w:rsid w:val="634C3904"/>
    <w:rsid w:val="63621233"/>
    <w:rsid w:val="63754C08"/>
    <w:rsid w:val="63C244C2"/>
    <w:rsid w:val="63D63DC8"/>
    <w:rsid w:val="63DC0465"/>
    <w:rsid w:val="63FF760E"/>
    <w:rsid w:val="64184044"/>
    <w:rsid w:val="641A130C"/>
    <w:rsid w:val="642F0ED7"/>
    <w:rsid w:val="644D348F"/>
    <w:rsid w:val="64555349"/>
    <w:rsid w:val="64833355"/>
    <w:rsid w:val="64862C4A"/>
    <w:rsid w:val="6489496A"/>
    <w:rsid w:val="648D7814"/>
    <w:rsid w:val="64B957DA"/>
    <w:rsid w:val="64FD6C64"/>
    <w:rsid w:val="64FF0C2E"/>
    <w:rsid w:val="652C579B"/>
    <w:rsid w:val="652E308B"/>
    <w:rsid w:val="6556303D"/>
    <w:rsid w:val="655B2F90"/>
    <w:rsid w:val="656C7B86"/>
    <w:rsid w:val="657F1D6E"/>
    <w:rsid w:val="65C27003"/>
    <w:rsid w:val="65D33DA4"/>
    <w:rsid w:val="65E25E59"/>
    <w:rsid w:val="6600130C"/>
    <w:rsid w:val="66083B12"/>
    <w:rsid w:val="661772B4"/>
    <w:rsid w:val="66246F5B"/>
    <w:rsid w:val="663A5C95"/>
    <w:rsid w:val="66506A97"/>
    <w:rsid w:val="666777CC"/>
    <w:rsid w:val="66764EE4"/>
    <w:rsid w:val="667C346D"/>
    <w:rsid w:val="66B477F6"/>
    <w:rsid w:val="66BF7318"/>
    <w:rsid w:val="66C74FFD"/>
    <w:rsid w:val="67362901"/>
    <w:rsid w:val="6784273E"/>
    <w:rsid w:val="67960696"/>
    <w:rsid w:val="67A92D9E"/>
    <w:rsid w:val="67E04030"/>
    <w:rsid w:val="67E45EB9"/>
    <w:rsid w:val="67EA5FD6"/>
    <w:rsid w:val="68102765"/>
    <w:rsid w:val="68285861"/>
    <w:rsid w:val="6837771F"/>
    <w:rsid w:val="68784C4A"/>
    <w:rsid w:val="68A17D5B"/>
    <w:rsid w:val="68A35467"/>
    <w:rsid w:val="68AF16FD"/>
    <w:rsid w:val="68B91D64"/>
    <w:rsid w:val="68D75A1D"/>
    <w:rsid w:val="68F30B42"/>
    <w:rsid w:val="69280C21"/>
    <w:rsid w:val="693E34DA"/>
    <w:rsid w:val="693E3CEF"/>
    <w:rsid w:val="69BD4C13"/>
    <w:rsid w:val="69C647F3"/>
    <w:rsid w:val="69F66377"/>
    <w:rsid w:val="6A107439"/>
    <w:rsid w:val="6A193DF4"/>
    <w:rsid w:val="6A24656A"/>
    <w:rsid w:val="6A327E6B"/>
    <w:rsid w:val="6A62230C"/>
    <w:rsid w:val="6A7A16B8"/>
    <w:rsid w:val="6A974E2E"/>
    <w:rsid w:val="6A980FE8"/>
    <w:rsid w:val="6AAE5AD7"/>
    <w:rsid w:val="6ADF73D5"/>
    <w:rsid w:val="6AFE06AD"/>
    <w:rsid w:val="6AFE3DEE"/>
    <w:rsid w:val="6B217424"/>
    <w:rsid w:val="6B625A72"/>
    <w:rsid w:val="6B835759"/>
    <w:rsid w:val="6C0152DA"/>
    <w:rsid w:val="6C0B4F1D"/>
    <w:rsid w:val="6C337F2A"/>
    <w:rsid w:val="6C3E20D6"/>
    <w:rsid w:val="6C884079"/>
    <w:rsid w:val="6CAC45C6"/>
    <w:rsid w:val="6CC22541"/>
    <w:rsid w:val="6CE56281"/>
    <w:rsid w:val="6D4332A9"/>
    <w:rsid w:val="6D506EB3"/>
    <w:rsid w:val="6D5E59A6"/>
    <w:rsid w:val="6D6358BB"/>
    <w:rsid w:val="6D793547"/>
    <w:rsid w:val="6D8606F4"/>
    <w:rsid w:val="6D874FEA"/>
    <w:rsid w:val="6D9A699A"/>
    <w:rsid w:val="6DBE61CD"/>
    <w:rsid w:val="6DE035C6"/>
    <w:rsid w:val="6E0A212F"/>
    <w:rsid w:val="6E2F3C06"/>
    <w:rsid w:val="6E325787"/>
    <w:rsid w:val="6E510E51"/>
    <w:rsid w:val="6E9323E7"/>
    <w:rsid w:val="6EC407F2"/>
    <w:rsid w:val="6ED1759D"/>
    <w:rsid w:val="6F1F65C5"/>
    <w:rsid w:val="6F545774"/>
    <w:rsid w:val="6F594EFB"/>
    <w:rsid w:val="6F7E37CB"/>
    <w:rsid w:val="6F9700FD"/>
    <w:rsid w:val="6FEE2012"/>
    <w:rsid w:val="6FEE6861"/>
    <w:rsid w:val="70046BA3"/>
    <w:rsid w:val="70590E1E"/>
    <w:rsid w:val="70614476"/>
    <w:rsid w:val="70CB7237"/>
    <w:rsid w:val="70DB6A9F"/>
    <w:rsid w:val="71016B89"/>
    <w:rsid w:val="7105497D"/>
    <w:rsid w:val="713559D7"/>
    <w:rsid w:val="714E262D"/>
    <w:rsid w:val="71502811"/>
    <w:rsid w:val="71515ECC"/>
    <w:rsid w:val="71B473C7"/>
    <w:rsid w:val="72077373"/>
    <w:rsid w:val="722D66AE"/>
    <w:rsid w:val="725F60ED"/>
    <w:rsid w:val="72674DC3"/>
    <w:rsid w:val="72901CD2"/>
    <w:rsid w:val="72CD505D"/>
    <w:rsid w:val="72FB055A"/>
    <w:rsid w:val="73083FF0"/>
    <w:rsid w:val="73193FAB"/>
    <w:rsid w:val="73245D03"/>
    <w:rsid w:val="732637EC"/>
    <w:rsid w:val="732857F3"/>
    <w:rsid w:val="734238E3"/>
    <w:rsid w:val="735437C6"/>
    <w:rsid w:val="73552361"/>
    <w:rsid w:val="737A608E"/>
    <w:rsid w:val="7386076C"/>
    <w:rsid w:val="73966C01"/>
    <w:rsid w:val="73AF4CE8"/>
    <w:rsid w:val="73BA2913"/>
    <w:rsid w:val="740873D3"/>
    <w:rsid w:val="741B2C62"/>
    <w:rsid w:val="746D092B"/>
    <w:rsid w:val="74985842"/>
    <w:rsid w:val="74B242E7"/>
    <w:rsid w:val="751F41C9"/>
    <w:rsid w:val="752316E6"/>
    <w:rsid w:val="75A126BB"/>
    <w:rsid w:val="75E11C8A"/>
    <w:rsid w:val="761756AB"/>
    <w:rsid w:val="762D5ADA"/>
    <w:rsid w:val="7684222B"/>
    <w:rsid w:val="768F7938"/>
    <w:rsid w:val="76A944F7"/>
    <w:rsid w:val="76BC296D"/>
    <w:rsid w:val="76C25ACB"/>
    <w:rsid w:val="76D359B0"/>
    <w:rsid w:val="76E25411"/>
    <w:rsid w:val="770D1E4E"/>
    <w:rsid w:val="77424DF3"/>
    <w:rsid w:val="775363BC"/>
    <w:rsid w:val="777004B1"/>
    <w:rsid w:val="77A80B64"/>
    <w:rsid w:val="77C33D3D"/>
    <w:rsid w:val="77D216CE"/>
    <w:rsid w:val="77E3618D"/>
    <w:rsid w:val="77E92B6B"/>
    <w:rsid w:val="78283BA0"/>
    <w:rsid w:val="78533A73"/>
    <w:rsid w:val="785D5F3F"/>
    <w:rsid w:val="78921D1A"/>
    <w:rsid w:val="789D614A"/>
    <w:rsid w:val="78AC47D1"/>
    <w:rsid w:val="78C637F0"/>
    <w:rsid w:val="78F35128"/>
    <w:rsid w:val="793B7903"/>
    <w:rsid w:val="79463331"/>
    <w:rsid w:val="797A7C8F"/>
    <w:rsid w:val="79A42464"/>
    <w:rsid w:val="79CB6ED9"/>
    <w:rsid w:val="79CE51E9"/>
    <w:rsid w:val="79D94C5A"/>
    <w:rsid w:val="79E54F49"/>
    <w:rsid w:val="7A3C5021"/>
    <w:rsid w:val="7A6F36CC"/>
    <w:rsid w:val="7A8F6158"/>
    <w:rsid w:val="7AB14C34"/>
    <w:rsid w:val="7AC03508"/>
    <w:rsid w:val="7AC70977"/>
    <w:rsid w:val="7ACA29CE"/>
    <w:rsid w:val="7AF45644"/>
    <w:rsid w:val="7B1522B5"/>
    <w:rsid w:val="7B203504"/>
    <w:rsid w:val="7B2745E3"/>
    <w:rsid w:val="7B3F62EE"/>
    <w:rsid w:val="7B4038F6"/>
    <w:rsid w:val="7B42141C"/>
    <w:rsid w:val="7B4374FD"/>
    <w:rsid w:val="7B4B046A"/>
    <w:rsid w:val="7B5829EE"/>
    <w:rsid w:val="7B777075"/>
    <w:rsid w:val="7B7961B8"/>
    <w:rsid w:val="7B7E4B68"/>
    <w:rsid w:val="7B9F23CB"/>
    <w:rsid w:val="7BBA0E06"/>
    <w:rsid w:val="7BC11B5C"/>
    <w:rsid w:val="7BE05889"/>
    <w:rsid w:val="7BF001E1"/>
    <w:rsid w:val="7C59706D"/>
    <w:rsid w:val="7C7C5100"/>
    <w:rsid w:val="7C8A2567"/>
    <w:rsid w:val="7C8C7562"/>
    <w:rsid w:val="7C940558"/>
    <w:rsid w:val="7CAD084D"/>
    <w:rsid w:val="7CD44C34"/>
    <w:rsid w:val="7CD67231"/>
    <w:rsid w:val="7CE80533"/>
    <w:rsid w:val="7CEF1129"/>
    <w:rsid w:val="7D127197"/>
    <w:rsid w:val="7D413846"/>
    <w:rsid w:val="7D60202E"/>
    <w:rsid w:val="7D686295"/>
    <w:rsid w:val="7D6872AF"/>
    <w:rsid w:val="7D841228"/>
    <w:rsid w:val="7D851A94"/>
    <w:rsid w:val="7DF51A30"/>
    <w:rsid w:val="7E5A0332"/>
    <w:rsid w:val="7E7452BB"/>
    <w:rsid w:val="7E952C57"/>
    <w:rsid w:val="7E9E6A41"/>
    <w:rsid w:val="7EA47CF8"/>
    <w:rsid w:val="7EE04732"/>
    <w:rsid w:val="7EE22F44"/>
    <w:rsid w:val="7EE23591"/>
    <w:rsid w:val="7EE24F72"/>
    <w:rsid w:val="7F060F50"/>
    <w:rsid w:val="7F0864D9"/>
    <w:rsid w:val="7F58120E"/>
    <w:rsid w:val="7F7F7177"/>
    <w:rsid w:val="7FB23171"/>
    <w:rsid w:val="7FDA715F"/>
    <w:rsid w:val="7FF8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b/>
      <w:bCs/>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5">
    <w:name w:val="heading 3"/>
    <w:basedOn w:val="1"/>
    <w:next w:val="1"/>
    <w:qFormat/>
    <w:uiPriority w:val="1"/>
    <w:pPr>
      <w:ind w:left="220"/>
      <w:outlineLvl w:val="2"/>
    </w:pPr>
    <w:rPr>
      <w:b/>
      <w:bCs/>
      <w:sz w:val="21"/>
      <w:szCs w:val="21"/>
    </w:rPr>
  </w:style>
  <w:style w:type="paragraph" w:styleId="6">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7">
    <w:name w:val="Normal Indent"/>
    <w:basedOn w:val="1"/>
    <w:next w:val="1"/>
    <w:qFormat/>
    <w:uiPriority w:val="0"/>
    <w:pPr>
      <w:ind w:firstLine="420"/>
    </w:pPr>
    <w:rPr>
      <w:sz w:val="20"/>
    </w:r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style>
  <w:style w:type="paragraph" w:styleId="10">
    <w:name w:val="toc 3"/>
    <w:basedOn w:val="1"/>
    <w:next w:val="1"/>
    <w:qFormat/>
    <w:uiPriority w:val="0"/>
    <w:pPr>
      <w:ind w:left="840" w:leftChars="400"/>
    </w:pPr>
  </w:style>
  <w:style w:type="paragraph" w:styleId="11">
    <w:name w:val="Plain Text"/>
    <w:basedOn w:val="1"/>
    <w:qFormat/>
    <w:uiPriority w:val="0"/>
    <w:rPr>
      <w:rFonts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14"/>
      <w:ind w:left="220"/>
    </w:pPr>
    <w:rPr>
      <w:b/>
      <w:bCs/>
      <w:sz w:val="32"/>
      <w:szCs w:val="32"/>
    </w:rPr>
  </w:style>
  <w:style w:type="paragraph" w:styleId="15">
    <w:name w:val="footnote text"/>
    <w:basedOn w:val="1"/>
    <w:unhideWhenUsed/>
    <w:qFormat/>
    <w:uiPriority w:val="99"/>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99"/>
    <w:pPr>
      <w:widowControl/>
    </w:pPr>
    <w:rPr>
      <w:sz w:val="24"/>
      <w:szCs w:val="24"/>
    </w:rPr>
  </w:style>
  <w:style w:type="paragraph" w:styleId="18">
    <w:name w:val="Body Text First Indent"/>
    <w:basedOn w:val="2"/>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TML Sample"/>
    <w:basedOn w:val="21"/>
    <w:qFormat/>
    <w:uiPriority w:val="0"/>
    <w:rPr>
      <w:rFonts w:ascii="Courier New" w:hAnsi="Courier New"/>
    </w:rPr>
  </w:style>
  <w:style w:type="paragraph" w:customStyle="1" w:styleId="25">
    <w:name w:val="正文缩进1"/>
    <w:basedOn w:val="1"/>
    <w:qFormat/>
    <w:uiPriority w:val="0"/>
    <w:pPr>
      <w:ind w:firstLine="420" w:firstLineChars="200"/>
    </w:pPr>
  </w:style>
  <w:style w:type="paragraph" w:customStyle="1" w:styleId="2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20"/>
    </w:pPr>
  </w:style>
  <w:style w:type="paragraph" w:customStyle="1" w:styleId="29">
    <w:name w:val="Table Paragraph"/>
    <w:basedOn w:val="1"/>
    <w:qFormat/>
    <w:uiPriority w:val="1"/>
  </w:style>
  <w:style w:type="paragraph" w:customStyle="1" w:styleId="30">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font01"/>
    <w:basedOn w:val="21"/>
    <w:qFormat/>
    <w:uiPriority w:val="0"/>
    <w:rPr>
      <w:rFonts w:hint="eastAsia" w:ascii="宋体" w:hAnsi="宋体" w:eastAsia="宋体" w:cs="宋体"/>
      <w:b/>
      <w:color w:val="000000"/>
      <w:sz w:val="28"/>
      <w:szCs w:val="28"/>
      <w:u w:val="none"/>
    </w:rPr>
  </w:style>
  <w:style w:type="character" w:customStyle="1" w:styleId="37">
    <w:name w:val="font91"/>
    <w:basedOn w:val="21"/>
    <w:qFormat/>
    <w:uiPriority w:val="0"/>
    <w:rPr>
      <w:rFonts w:hint="default" w:ascii="Times New Roman" w:hAnsi="Times New Roman" w:cs="Times New Roman"/>
      <w:b/>
      <w:color w:val="000000"/>
      <w:sz w:val="28"/>
      <w:szCs w:val="28"/>
      <w:u w:val="none"/>
    </w:rPr>
  </w:style>
  <w:style w:type="character" w:customStyle="1" w:styleId="38">
    <w:name w:val="font141"/>
    <w:basedOn w:val="21"/>
    <w:qFormat/>
    <w:uiPriority w:val="0"/>
    <w:rPr>
      <w:rFonts w:hint="eastAsia" w:ascii="宋体" w:hAnsi="宋体" w:eastAsia="宋体" w:cs="宋体"/>
      <w:b/>
      <w:color w:val="000000"/>
      <w:sz w:val="20"/>
      <w:szCs w:val="20"/>
      <w:u w:val="none"/>
    </w:rPr>
  </w:style>
  <w:style w:type="character" w:customStyle="1" w:styleId="39">
    <w:name w:val="font31"/>
    <w:basedOn w:val="21"/>
    <w:qFormat/>
    <w:uiPriority w:val="0"/>
    <w:rPr>
      <w:rFonts w:hint="default" w:ascii="Times New Roman" w:hAnsi="Times New Roman" w:cs="Times New Roman"/>
      <w:b/>
      <w:color w:val="000000"/>
      <w:sz w:val="20"/>
      <w:szCs w:val="20"/>
      <w:u w:val="none"/>
    </w:rPr>
  </w:style>
  <w:style w:type="character" w:customStyle="1" w:styleId="40">
    <w:name w:val="font101"/>
    <w:basedOn w:val="21"/>
    <w:qFormat/>
    <w:uiPriority w:val="0"/>
    <w:rPr>
      <w:rFonts w:hint="default" w:ascii="Times New Roman" w:hAnsi="Times New Roman" w:cs="Times New Roman"/>
      <w:b/>
      <w:color w:val="000000"/>
      <w:sz w:val="20"/>
      <w:szCs w:val="20"/>
      <w:u w:val="none"/>
    </w:rPr>
  </w:style>
  <w:style w:type="character" w:customStyle="1" w:styleId="41">
    <w:name w:val="font112"/>
    <w:basedOn w:val="21"/>
    <w:qFormat/>
    <w:uiPriority w:val="0"/>
    <w:rPr>
      <w:rFonts w:hint="eastAsia" w:ascii="宋体" w:hAnsi="宋体" w:eastAsia="宋体" w:cs="宋体"/>
      <w:color w:val="000000"/>
      <w:sz w:val="18"/>
      <w:szCs w:val="18"/>
      <w:u w:val="none"/>
    </w:rPr>
  </w:style>
  <w:style w:type="character" w:customStyle="1" w:styleId="42">
    <w:name w:val="font121"/>
    <w:basedOn w:val="21"/>
    <w:qFormat/>
    <w:uiPriority w:val="0"/>
    <w:rPr>
      <w:rFonts w:hint="default" w:ascii="Times New Roman" w:hAnsi="Times New Roman" w:cs="Times New Roman"/>
      <w:color w:val="000000"/>
      <w:sz w:val="18"/>
      <w:szCs w:val="18"/>
      <w:u w:val="none"/>
    </w:rPr>
  </w:style>
  <w:style w:type="character" w:customStyle="1" w:styleId="43">
    <w:name w:val="font51"/>
    <w:basedOn w:val="21"/>
    <w:qFormat/>
    <w:uiPriority w:val="0"/>
    <w:rPr>
      <w:rFonts w:hint="default" w:ascii="Times New Roman" w:hAnsi="Times New Roman" w:cs="Times New Roman"/>
      <w:color w:val="000000"/>
      <w:sz w:val="18"/>
      <w:szCs w:val="18"/>
      <w:u w:val="none"/>
    </w:rPr>
  </w:style>
  <w:style w:type="character" w:customStyle="1" w:styleId="44">
    <w:name w:val="font161"/>
    <w:basedOn w:val="21"/>
    <w:qFormat/>
    <w:uiPriority w:val="0"/>
    <w:rPr>
      <w:rFonts w:hint="default" w:ascii="Times New Roman" w:hAnsi="Times New Roman" w:cs="Times New Roman"/>
      <w:color w:val="000000"/>
      <w:sz w:val="18"/>
      <w:szCs w:val="18"/>
      <w:u w:val="none"/>
      <w:vertAlign w:val="subscript"/>
    </w:rPr>
  </w:style>
  <w:style w:type="character" w:customStyle="1" w:styleId="45">
    <w:name w:val="font171"/>
    <w:basedOn w:val="21"/>
    <w:qFormat/>
    <w:uiPriority w:val="0"/>
    <w:rPr>
      <w:rFonts w:hint="default" w:ascii="Times New Roman" w:hAnsi="Times New Roman" w:cs="Times New Roman"/>
      <w:color w:val="000000"/>
      <w:sz w:val="18"/>
      <w:szCs w:val="18"/>
      <w:u w:val="none"/>
      <w:vertAlign w:val="subscript"/>
    </w:rPr>
  </w:style>
  <w:style w:type="character" w:customStyle="1" w:styleId="46">
    <w:name w:val="font151"/>
    <w:basedOn w:val="21"/>
    <w:qFormat/>
    <w:uiPriority w:val="0"/>
    <w:rPr>
      <w:rFonts w:ascii="宋体" w:hAnsi="宋体" w:eastAsia="宋体" w:cs="宋体"/>
      <w:color w:val="000000"/>
      <w:sz w:val="18"/>
      <w:szCs w:val="18"/>
      <w:u w:val="none"/>
    </w:rPr>
  </w:style>
  <w:style w:type="paragraph" w:customStyle="1" w:styleId="47">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48">
    <w:name w:val="font41"/>
    <w:basedOn w:val="21"/>
    <w:qFormat/>
    <w:uiPriority w:val="0"/>
    <w:rPr>
      <w:rFonts w:hint="default" w:ascii="Times New Roman" w:hAnsi="Times New Roman" w:cs="Times New Roman"/>
      <w:b/>
      <w:color w:val="000000"/>
      <w:sz w:val="20"/>
      <w:szCs w:val="20"/>
      <w:u w:val="none"/>
    </w:rPr>
  </w:style>
  <w:style w:type="character" w:customStyle="1" w:styleId="49">
    <w:name w:val="font61"/>
    <w:basedOn w:val="21"/>
    <w:qFormat/>
    <w:uiPriority w:val="0"/>
    <w:rPr>
      <w:rFonts w:hint="default" w:ascii="Times New Roman" w:hAnsi="Times New Roman" w:cs="Times New Roman"/>
      <w:b/>
      <w:color w:val="000000"/>
      <w:sz w:val="20"/>
      <w:szCs w:val="20"/>
      <w:u w:val="none"/>
    </w:rPr>
  </w:style>
  <w:style w:type="character" w:customStyle="1" w:styleId="50">
    <w:name w:val="font131"/>
    <w:basedOn w:val="21"/>
    <w:qFormat/>
    <w:uiPriority w:val="0"/>
    <w:rPr>
      <w:rFonts w:hint="eastAsia" w:ascii="宋体" w:hAnsi="宋体" w:eastAsia="宋体" w:cs="宋体"/>
      <w:color w:val="000000"/>
      <w:sz w:val="18"/>
      <w:szCs w:val="18"/>
      <w:u w:val="none"/>
    </w:rPr>
  </w:style>
  <w:style w:type="character" w:customStyle="1" w:styleId="51">
    <w:name w:val="font71"/>
    <w:basedOn w:val="21"/>
    <w:qFormat/>
    <w:uiPriority w:val="0"/>
    <w:rPr>
      <w:rFonts w:hint="default" w:ascii="Times New Roman" w:hAnsi="Times New Roman" w:cs="Times New Roman"/>
      <w:color w:val="000000"/>
      <w:sz w:val="18"/>
      <w:szCs w:val="18"/>
      <w:u w:val="none"/>
    </w:rPr>
  </w:style>
  <w:style w:type="character" w:customStyle="1" w:styleId="52">
    <w:name w:val="font81"/>
    <w:basedOn w:val="21"/>
    <w:qFormat/>
    <w:uiPriority w:val="0"/>
    <w:rPr>
      <w:rFonts w:hint="default" w:ascii="Times New Roman" w:hAnsi="Times New Roman" w:cs="Times New Roman"/>
      <w:color w:val="000000"/>
      <w:sz w:val="18"/>
      <w:szCs w:val="18"/>
      <w:u w:val="none"/>
    </w:rPr>
  </w:style>
  <w:style w:type="character" w:customStyle="1" w:styleId="53">
    <w:name w:val="font181"/>
    <w:basedOn w:val="21"/>
    <w:qFormat/>
    <w:uiPriority w:val="0"/>
    <w:rPr>
      <w:rFonts w:hint="eastAsia" w:ascii="宋体" w:hAnsi="宋体" w:eastAsia="宋体" w:cs="宋体"/>
      <w:b/>
      <w:color w:val="000000"/>
      <w:sz w:val="24"/>
      <w:szCs w:val="24"/>
      <w:u w:val="none"/>
    </w:rPr>
  </w:style>
  <w:style w:type="character" w:customStyle="1" w:styleId="54">
    <w:name w:val="font191"/>
    <w:basedOn w:val="21"/>
    <w:qFormat/>
    <w:uiPriority w:val="0"/>
    <w:rPr>
      <w:rFonts w:hint="default" w:ascii="Times New Roman" w:hAnsi="Times New Roman" w:cs="Times New Roman"/>
      <w:color w:val="000000"/>
      <w:sz w:val="18"/>
      <w:szCs w:val="18"/>
      <w:u w:val="none"/>
      <w:vertAlign w:val="subscript"/>
    </w:rPr>
  </w:style>
  <w:style w:type="character" w:customStyle="1" w:styleId="55">
    <w:name w:val="font211"/>
    <w:basedOn w:val="21"/>
    <w:qFormat/>
    <w:uiPriority w:val="0"/>
    <w:rPr>
      <w:rFonts w:hint="eastAsia" w:ascii="宋体" w:hAnsi="宋体" w:eastAsia="宋体" w:cs="宋体"/>
      <w:b/>
      <w:color w:val="000000"/>
      <w:sz w:val="24"/>
      <w:szCs w:val="24"/>
      <w:u w:val="none"/>
    </w:rPr>
  </w:style>
  <w:style w:type="character" w:customStyle="1" w:styleId="56">
    <w:name w:val="font11"/>
    <w:basedOn w:val="21"/>
    <w:qFormat/>
    <w:uiPriority w:val="0"/>
    <w:rPr>
      <w:rFonts w:hint="default" w:ascii="Times New Roman" w:hAnsi="Times New Roman" w:cs="Times New Roman"/>
      <w:color w:val="000000"/>
      <w:sz w:val="18"/>
      <w:szCs w:val="18"/>
      <w:u w:val="none"/>
    </w:rPr>
  </w:style>
  <w:style w:type="character" w:customStyle="1" w:styleId="57">
    <w:name w:val="font13"/>
    <w:basedOn w:val="21"/>
    <w:qFormat/>
    <w:uiPriority w:val="0"/>
    <w:rPr>
      <w:rFonts w:hint="eastAsia" w:ascii="宋体" w:hAnsi="宋体" w:eastAsia="宋体" w:cs="宋体"/>
      <w:color w:val="000000"/>
      <w:sz w:val="20"/>
      <w:szCs w:val="20"/>
      <w:u w:val="none"/>
    </w:rPr>
  </w:style>
  <w:style w:type="character" w:customStyle="1" w:styleId="58">
    <w:name w:val="font111"/>
    <w:basedOn w:val="21"/>
    <w:qFormat/>
    <w:uiPriority w:val="0"/>
    <w:rPr>
      <w:rFonts w:hint="default" w:ascii="Times New Roman" w:hAnsi="Times New Roman" w:cs="Times New Roman"/>
      <w:color w:val="000000"/>
      <w:sz w:val="20"/>
      <w:szCs w:val="20"/>
      <w:u w:val="none"/>
    </w:rPr>
  </w:style>
  <w:style w:type="paragraph" w:customStyle="1" w:styleId="59">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60">
    <w:name w:val="NormalCharacter"/>
    <w:qFormat/>
    <w:uiPriority w:val="0"/>
  </w:style>
  <w:style w:type="character" w:customStyle="1" w:styleId="61">
    <w:name w:val="font2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37187</Words>
  <Characters>39134</Characters>
  <Lines>197</Lines>
  <Paragraphs>55</Paragraphs>
  <TotalTime>16</TotalTime>
  <ScaleCrop>false</ScaleCrop>
  <LinksUpToDate>false</LinksUpToDate>
  <CharactersWithSpaces>41684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2020-07-04T09:24:00Z</dcterms:created>
  <dc:creator>llsxx</dc:creator>
  <cp:lastModifiedBy>幸福芳儿</cp:lastModifiedBy>
  <cp:lastPrinted>2021-10-20T04:57:00Z</cp:lastPrinted>
  <dcterms:modified xsi:type="dcterms:W3CDTF">2022-03-23T09:13:42Z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2052-11.1.0.11365</vt:lpwstr>
  </property>
  <property fmtid="{D5CDD505-2E9C-101B-9397-08002B2CF9AE}" pid="6" name="ICV">
    <vt:lpwstr>8CD24DCC0FE1494A9E2E1399EA0E1798</vt:lpwstr>
  </property>
</Properties>
</file>