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3FA48">
      <w:pPr>
        <w:pageBreakBefore w:val="0"/>
        <w:kinsoku/>
        <w:wordWrap/>
        <w:overflowPunct/>
        <w:topLinePunct w:val="0"/>
        <w:bidi w:val="0"/>
        <w:spacing w:line="360" w:lineRule="auto"/>
        <w:rPr>
          <w:rFonts w:hint="eastAsia" w:ascii="宋体" w:hAnsi="宋体" w:eastAsia="宋体" w:cs="宋体"/>
          <w:color w:val="auto"/>
          <w:highlight w:val="none"/>
        </w:rPr>
      </w:pPr>
      <w:bookmarkStart w:id="0" w:name="_Hlk83600134"/>
      <w:bookmarkEnd w:id="0"/>
    </w:p>
    <w:p w14:paraId="521DDA7C">
      <w:pPr>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color w:val="auto"/>
          <w:highlight w:val="none"/>
        </w:rPr>
        <w:drawing>
          <wp:anchor distT="0" distB="0" distL="114300" distR="114300" simplePos="0" relativeHeight="251661312" behindDoc="0" locked="0" layoutInCell="1" allowOverlap="1">
            <wp:simplePos x="0" y="0"/>
            <wp:positionH relativeFrom="column">
              <wp:posOffset>2189480</wp:posOffset>
            </wp:positionH>
            <wp:positionV relativeFrom="paragraph">
              <wp:posOffset>359410</wp:posOffset>
            </wp:positionV>
            <wp:extent cx="1350010" cy="1701165"/>
            <wp:effectExtent l="0" t="0" r="6350" b="5715"/>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1350010" cy="1701165"/>
                    </a:xfrm>
                    <a:prstGeom prst="rect">
                      <a:avLst/>
                    </a:prstGeom>
                    <a:noFill/>
                    <a:ln w="12700">
                      <a:noFill/>
                    </a:ln>
                  </pic:spPr>
                </pic:pic>
              </a:graphicData>
            </a:graphic>
          </wp:anchor>
        </w:drawing>
      </w:r>
    </w:p>
    <w:p w14:paraId="5F585AAD">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27BDD2E2">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5B1892EE">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014574FA">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lang w:val="en-US" w:eastAsia="zh-CN"/>
        </w:rPr>
        <w:t>竞争性磋商</w:t>
      </w:r>
      <w:r>
        <w:rPr>
          <w:rFonts w:hint="eastAsia" w:ascii="宋体" w:hAnsi="宋体" w:eastAsia="宋体" w:cs="宋体"/>
          <w:b/>
          <w:color w:val="auto"/>
          <w:sz w:val="72"/>
          <w:highlight w:val="none"/>
        </w:rPr>
        <w:t>文件</w:t>
      </w:r>
      <w:r>
        <w:rPr>
          <w:rFonts w:hint="eastAsia" w:ascii="宋体" w:hAnsi="宋体" w:eastAsia="宋体" w:cs="宋体"/>
          <w:b/>
          <w:color w:val="auto"/>
          <w:sz w:val="72"/>
          <w:highlight w:val="none"/>
        </w:rPr>
        <w:br w:type="textWrapping"/>
      </w:r>
    </w:p>
    <w:p w14:paraId="03388704">
      <w:pPr>
        <w:pStyle w:val="7"/>
        <w:rPr>
          <w:rFonts w:hint="eastAsia" w:ascii="宋体" w:hAnsi="宋体" w:eastAsia="宋体" w:cs="宋体"/>
          <w:color w:val="auto"/>
          <w:highlight w:val="none"/>
        </w:rPr>
      </w:pPr>
    </w:p>
    <w:p w14:paraId="6FFE29DA">
      <w:pPr>
        <w:rPr>
          <w:rFonts w:hint="eastAsia" w:ascii="宋体" w:hAnsi="宋体" w:eastAsia="宋体" w:cs="宋体"/>
          <w:color w:val="auto"/>
          <w:highlight w:val="none"/>
        </w:rPr>
      </w:pPr>
    </w:p>
    <w:p w14:paraId="6E818CBD">
      <w:pPr>
        <w:widowControl w:val="0"/>
        <w:adjustRightInd w:val="0"/>
        <w:snapToGrid w:val="0"/>
        <w:spacing w:line="480" w:lineRule="auto"/>
        <w:ind w:left="2092" w:leftChars="104" w:right="-361" w:rightChars="-172" w:hanging="1874" w:hangingChars="778"/>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项目编号：TC259H0CF</w:t>
      </w:r>
    </w:p>
    <w:p w14:paraId="6BC05323">
      <w:pPr>
        <w:widowControl w:val="0"/>
        <w:adjustRightInd w:val="0"/>
        <w:snapToGrid w:val="0"/>
        <w:spacing w:line="480" w:lineRule="auto"/>
        <w:ind w:left="2092" w:leftChars="104" w:right="-361" w:rightChars="-172" w:hanging="1874" w:hangingChars="778"/>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项目名称:新疆医科大学2025雪莲山山体绿化养护服务项目</w:t>
      </w:r>
    </w:p>
    <w:p w14:paraId="5FE38E76">
      <w:pPr>
        <w:widowControl w:val="0"/>
        <w:adjustRightInd w:val="0"/>
        <w:snapToGrid w:val="0"/>
        <w:spacing w:line="480" w:lineRule="auto"/>
        <w:ind w:left="2092" w:leftChars="104" w:right="-361"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采 购 人（盖章）：新疆医科大学</w:t>
      </w:r>
    </w:p>
    <w:p w14:paraId="00AFCAF4">
      <w:pPr>
        <w:widowControl w:val="0"/>
        <w:adjustRightInd w:val="0"/>
        <w:snapToGrid w:val="0"/>
        <w:spacing w:line="480" w:lineRule="auto"/>
        <w:ind w:left="2092" w:leftChars="104" w:right="-361" w:rightChars="-172" w:hanging="1874" w:hangingChars="778"/>
        <w:rPr>
          <w:rFonts w:hint="default" w:ascii="宋体" w:hAnsi="宋体" w:eastAsia="宋体" w:cs="宋体"/>
          <w:b/>
          <w:bCs/>
          <w:color w:val="auto"/>
          <w:sz w:val="24"/>
          <w:highlight w:val="none"/>
          <w:u w:val="single"/>
          <w:lang w:val="en-US"/>
        </w:rPr>
      </w:pPr>
      <w:r>
        <w:rPr>
          <w:rFonts w:hint="eastAsia" w:ascii="宋体" w:hAnsi="宋体" w:eastAsia="宋体" w:cs="宋体"/>
          <w:b/>
          <w:bCs/>
          <w:color w:val="auto"/>
          <w:sz w:val="24"/>
          <w:highlight w:val="none"/>
        </w:rPr>
        <w:t>联 系 人：</w:t>
      </w:r>
      <w:r>
        <w:rPr>
          <w:rFonts w:hint="eastAsia" w:ascii="宋体" w:hAnsi="宋体" w:eastAsia="宋体" w:cs="宋体"/>
          <w:b/>
          <w:bCs/>
          <w:color w:val="auto"/>
          <w:sz w:val="24"/>
          <w:highlight w:val="none"/>
          <w:lang w:val="en-US" w:eastAsia="zh-CN"/>
        </w:rPr>
        <w:t>董家正</w:t>
      </w:r>
    </w:p>
    <w:p w14:paraId="7F229F9F">
      <w:pPr>
        <w:widowControl w:val="0"/>
        <w:adjustRightInd w:val="0"/>
        <w:snapToGrid w:val="0"/>
        <w:spacing w:line="480" w:lineRule="auto"/>
        <w:ind w:left="2092" w:leftChars="104" w:hanging="1874" w:hangingChars="778"/>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电    话：</w:t>
      </w:r>
      <w:r>
        <w:rPr>
          <w:rFonts w:hint="eastAsia" w:ascii="宋体" w:hAnsi="宋体" w:eastAsia="宋体" w:cs="宋体"/>
          <w:b/>
          <w:bCs/>
          <w:color w:val="auto"/>
          <w:sz w:val="24"/>
          <w:highlight w:val="none"/>
          <w:lang w:val="en-US" w:eastAsia="zh-CN"/>
        </w:rPr>
        <w:t>18609001412</w:t>
      </w:r>
    </w:p>
    <w:p w14:paraId="48C76391">
      <w:pPr>
        <w:widowControl w:val="0"/>
        <w:adjustRightInd w:val="0"/>
        <w:snapToGrid w:val="0"/>
        <w:spacing w:line="480" w:lineRule="auto"/>
        <w:ind w:left="2092" w:leftChars="104" w:right="-361"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94615</wp:posOffset>
                </wp:positionH>
                <wp:positionV relativeFrom="paragraph">
                  <wp:posOffset>93345</wp:posOffset>
                </wp:positionV>
                <wp:extent cx="5626735"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60288;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wOvA0wAAAAgBAAAPAAAAAAAAAAEAIAAAACIAAABkcnMvZG93bnJldi54bWxQSwEC&#10;FAAUAAAACACHTuJApBKxovkBAADmAwAADgAAAAAAAAABACAAAAAiAQAAZHJzL2Uyb0RvYy54bWxQ&#10;SwUGAAAAAAYABgBZAQAAjQUAAAAA&#10;">
                <v:fill on="f" focussize="0,0"/>
                <v:stroke weight="1pt" color="#000000" joinstyle="round" dashstyle="1 1"/>
                <v:imagedata o:title=""/>
                <o:lock v:ext="edit" aspectratio="f"/>
              </v:line>
            </w:pict>
          </mc:Fallback>
        </mc:AlternateContent>
      </w:r>
    </w:p>
    <w:p w14:paraId="23EC7B34">
      <w:pPr>
        <w:widowControl w:val="0"/>
        <w:adjustRightInd w:val="0"/>
        <w:snapToGrid w:val="0"/>
        <w:spacing w:line="480" w:lineRule="auto"/>
        <w:ind w:left="2092" w:leftChars="104" w:right="-361"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采购代理机构（盖章）：</w:t>
      </w:r>
      <w:r>
        <w:rPr>
          <w:rFonts w:hint="eastAsia" w:ascii="宋体" w:hAnsi="宋体" w:eastAsia="宋体" w:cs="宋体"/>
          <w:b/>
          <w:bCs/>
          <w:color w:val="auto"/>
          <w:sz w:val="24"/>
          <w:highlight w:val="none"/>
          <w:lang w:val="en-US" w:eastAsia="zh-CN"/>
        </w:rPr>
        <w:t>中招国际招标有限公司</w:t>
      </w:r>
    </w:p>
    <w:p w14:paraId="6C2BC573">
      <w:pPr>
        <w:widowControl w:val="0"/>
        <w:adjustRightInd w:val="0"/>
        <w:snapToGrid w:val="0"/>
        <w:spacing w:line="480" w:lineRule="auto"/>
        <w:ind w:left="2092" w:leftChars="104" w:right="-361"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项目联系人：</w:t>
      </w:r>
      <w:r>
        <w:rPr>
          <w:rFonts w:hint="eastAsia" w:ascii="宋体" w:hAnsi="宋体" w:eastAsia="宋体" w:cs="宋体"/>
          <w:b/>
          <w:bCs/>
          <w:color w:val="auto"/>
          <w:sz w:val="24"/>
          <w:highlight w:val="none"/>
          <w:lang w:val="en-US" w:eastAsia="zh-CN"/>
        </w:rPr>
        <w:t>程建军、师翠婷、</w:t>
      </w:r>
      <w:r>
        <w:rPr>
          <w:rFonts w:hint="eastAsia" w:ascii="宋体" w:hAnsi="宋体" w:eastAsia="宋体" w:cs="宋体"/>
          <w:b/>
          <w:bCs/>
          <w:color w:val="auto"/>
          <w:sz w:val="24"/>
          <w:highlight w:val="none"/>
          <w:lang w:eastAsia="zh-CN"/>
        </w:rPr>
        <w:t>张辉、</w:t>
      </w:r>
      <w:r>
        <w:rPr>
          <w:rFonts w:hint="eastAsia" w:ascii="宋体" w:hAnsi="宋体" w:eastAsia="宋体" w:cs="宋体"/>
          <w:b/>
          <w:bCs/>
          <w:color w:val="auto"/>
          <w:sz w:val="24"/>
          <w:highlight w:val="none"/>
          <w:lang w:val="en-US" w:eastAsia="zh-CN"/>
        </w:rPr>
        <w:t>徐中凤</w:t>
      </w:r>
    </w:p>
    <w:p w14:paraId="1D1DA9AD">
      <w:pPr>
        <w:widowControl w:val="0"/>
        <w:adjustRightInd w:val="0"/>
        <w:snapToGrid w:val="0"/>
        <w:spacing w:line="480" w:lineRule="auto"/>
        <w:ind w:left="2092" w:leftChars="104" w:right="-361" w:rightChars="-172" w:hanging="1874" w:hangingChars="778"/>
        <w:rPr>
          <w:rFonts w:hint="default" w:ascii="宋体" w:hAnsi="宋体" w:eastAsia="宋体" w:cs="宋体"/>
          <w:b/>
          <w:bCs/>
          <w:color w:val="auto"/>
          <w:sz w:val="24"/>
          <w:highlight w:val="none"/>
          <w:lang w:val="en-US"/>
        </w:rPr>
      </w:pPr>
      <w:r>
        <w:rPr>
          <w:rFonts w:hint="eastAsia" w:ascii="宋体" w:hAnsi="宋体" w:eastAsia="宋体" w:cs="宋体"/>
          <w:b/>
          <w:bCs/>
          <w:color w:val="auto"/>
          <w:sz w:val="24"/>
          <w:highlight w:val="none"/>
          <w:lang w:val="en-US" w:eastAsia="zh-CN"/>
        </w:rPr>
        <w:t>联系方式：</w:t>
      </w: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lang w:val="en-US" w:eastAsia="zh-CN"/>
        </w:rPr>
        <w:t>5699108282</w:t>
      </w:r>
    </w:p>
    <w:p w14:paraId="2C562BA9">
      <w:pPr>
        <w:widowControl w:val="0"/>
        <w:adjustRightInd w:val="0"/>
        <w:snapToGrid w:val="0"/>
        <w:spacing w:line="480" w:lineRule="auto"/>
        <w:ind w:left="2092" w:leftChars="104" w:right="-361"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详细地址：乌鲁木齐市水磨沟区南湖北路486号南湖明珠大厦南区8楼</w:t>
      </w:r>
    </w:p>
    <w:p w14:paraId="42FA63FD">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41AA11E9">
      <w:pPr>
        <w:pStyle w:val="7"/>
        <w:rPr>
          <w:rFonts w:hint="eastAsia" w:ascii="宋体" w:hAnsi="宋体" w:eastAsia="宋体" w:cs="宋体"/>
          <w:color w:val="auto"/>
          <w:highlight w:val="none"/>
        </w:rPr>
      </w:pPr>
    </w:p>
    <w:p w14:paraId="70FB4DFD">
      <w:pPr>
        <w:jc w:val="center"/>
        <w:rPr>
          <w:rFonts w:hint="eastAsia" w:ascii="宋体" w:hAnsi="宋体" w:eastAsia="宋体" w:cs="宋体"/>
          <w:b/>
          <w:bCs/>
          <w:color w:val="auto"/>
          <w:sz w:val="32"/>
          <w:szCs w:val="32"/>
          <w:highlight w:val="none"/>
        </w:rPr>
      </w:pPr>
    </w:p>
    <w:p w14:paraId="16D4D03E">
      <w:pPr>
        <w:jc w:val="center"/>
        <w:rPr>
          <w:rFonts w:hint="eastAsia" w:ascii="宋体" w:hAnsi="宋体" w:eastAsia="宋体" w:cs="宋体"/>
          <w:b/>
          <w:bCs/>
          <w:color w:val="auto"/>
          <w:sz w:val="32"/>
          <w:szCs w:val="32"/>
          <w:highlight w:val="none"/>
        </w:rPr>
        <w:sectPr>
          <w:headerReference r:id="rId3" w:type="default"/>
          <w:pgSz w:w="11906" w:h="16838"/>
          <w:pgMar w:top="1440" w:right="1106" w:bottom="1440" w:left="1800" w:header="851" w:footer="752" w:gutter="0"/>
          <w:pgNumType w:fmt="numberInDash"/>
          <w:cols w:space="720" w:num="1"/>
          <w:docGrid w:type="lines" w:linePitch="312" w:charSpace="0"/>
        </w:sectPr>
      </w:pPr>
    </w:p>
    <w:p w14:paraId="466EBC73">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14:paraId="33787B92">
      <w:pPr>
        <w:pStyle w:val="36"/>
        <w:rPr>
          <w:rFonts w:hint="eastAsia" w:ascii="宋体" w:hAnsi="宋体" w:eastAsia="宋体" w:cs="宋体"/>
          <w:color w:val="auto"/>
          <w:highlight w:val="none"/>
        </w:rPr>
      </w:pPr>
    </w:p>
    <w:p w14:paraId="51A80BE7">
      <w:pPr>
        <w:pStyle w:val="16"/>
        <w:tabs>
          <w:tab w:val="right" w:leader="dot" w:pos="9000"/>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"1-3" \h \z \u</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_Toc18505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_Toc18505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F91D94E">
      <w:pPr>
        <w:pStyle w:val="16"/>
        <w:tabs>
          <w:tab w:val="right" w:leader="dot" w:pos="9000"/>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_Toc5674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_Toc5674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7E7FAFF">
      <w:pPr>
        <w:pStyle w:val="19"/>
        <w:tabs>
          <w:tab w:val="right" w:leader="dot" w:pos="9000"/>
        </w:tabs>
        <w:spacing w:line="560" w:lineRule="exact"/>
        <w:ind w:left="0" w:left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_Toc24799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pacing w:val="6"/>
          <w:sz w:val="28"/>
          <w:szCs w:val="28"/>
          <w:highlight w:val="none"/>
        </w:rPr>
        <w:t>第三章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_Toc24799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1DCB610">
      <w:pPr>
        <w:pStyle w:val="16"/>
        <w:tabs>
          <w:tab w:val="right" w:leader="dot" w:pos="9000"/>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_Toc27504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第四章 合同条款</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_Toc27504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9EEC599">
      <w:pPr>
        <w:pStyle w:val="19"/>
        <w:tabs>
          <w:tab w:val="right" w:leader="dot" w:pos="9000"/>
        </w:tabs>
        <w:spacing w:line="560" w:lineRule="exact"/>
        <w:ind w:left="0" w:left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_Toc28125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评审办法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8</w:t>
      </w:r>
    </w:p>
    <w:p w14:paraId="1F099BD3">
      <w:pPr>
        <w:pStyle w:val="19"/>
        <w:tabs>
          <w:tab w:val="right" w:leader="dot" w:pos="9000"/>
        </w:tabs>
        <w:spacing w:line="560" w:lineRule="exact"/>
        <w:ind w:left="0" w:left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_Toc28603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pacing w:val="6"/>
          <w:sz w:val="28"/>
          <w:szCs w:val="28"/>
          <w:highlight w:val="none"/>
        </w:rPr>
        <w:t>第六章 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_Toc28603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93847CE">
      <w:pPr>
        <w:pStyle w:val="16"/>
        <w:tabs>
          <w:tab w:val="right" w:leader="dot" w:pos="9000"/>
        </w:tabs>
        <w:spacing w:line="560" w:lineRule="exact"/>
        <w:ind w:left="420" w:leftChars="200"/>
        <w:rPr>
          <w:rFonts w:hint="eastAsia" w:ascii="宋体" w:hAnsi="宋体" w:eastAsia="宋体" w:cs="宋体"/>
          <w:color w:val="auto"/>
          <w:sz w:val="28"/>
          <w:szCs w:val="28"/>
          <w:highlight w:val="none"/>
        </w:rPr>
      </w:pPr>
    </w:p>
    <w:p w14:paraId="421B26A3">
      <w:pPr>
        <w:pStyle w:val="38"/>
        <w:tabs>
          <w:tab w:val="right" w:leader="dot" w:pos="9016"/>
        </w:tabs>
        <w:spacing w:line="560" w:lineRule="exact"/>
        <w:ind w:lef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end"/>
      </w:r>
    </w:p>
    <w:p w14:paraId="2F797060">
      <w:pPr>
        <w:pStyle w:val="38"/>
        <w:tabs>
          <w:tab w:val="right" w:leader="dot" w:pos="9016"/>
        </w:tabs>
        <w:spacing w:line="600" w:lineRule="exact"/>
        <w:ind w:left="0"/>
        <w:rPr>
          <w:rFonts w:hint="eastAsia" w:ascii="宋体" w:hAnsi="宋体" w:eastAsia="宋体" w:cs="宋体"/>
          <w:color w:val="auto"/>
          <w:highlight w:val="none"/>
        </w:rPr>
        <w:sectPr>
          <w:footerReference r:id="rId4" w:type="default"/>
          <w:pgSz w:w="11906" w:h="16838"/>
          <w:pgMar w:top="1440" w:right="1106" w:bottom="1440" w:left="1800" w:header="851" w:footer="752" w:gutter="0"/>
          <w:pgNumType w:fmt="decimal" w:start="1"/>
          <w:cols w:space="720" w:num="1"/>
          <w:docGrid w:type="lines" w:linePitch="312" w:charSpace="0"/>
        </w:sectPr>
      </w:pPr>
    </w:p>
    <w:p w14:paraId="6D717B3F">
      <w:pPr>
        <w:rPr>
          <w:rFonts w:hint="eastAsia" w:ascii="宋体" w:hAnsi="宋体" w:eastAsia="宋体" w:cs="宋体"/>
          <w:color w:val="auto"/>
          <w:highlight w:val="none"/>
        </w:rPr>
      </w:pPr>
    </w:p>
    <w:p w14:paraId="5664220B">
      <w:pPr>
        <w:widowControl/>
        <w:numPr>
          <w:ilvl w:val="0"/>
          <w:numId w:val="4"/>
        </w:numPr>
        <w:spacing w:line="480" w:lineRule="exact"/>
        <w:jc w:val="center"/>
        <w:outlineLvl w:val="0"/>
        <w:rPr>
          <w:rStyle w:val="39"/>
          <w:rFonts w:hint="eastAsia" w:ascii="宋体" w:hAnsi="宋体" w:eastAsia="宋体" w:cs="宋体"/>
          <w:color w:val="auto"/>
          <w:sz w:val="24"/>
          <w:szCs w:val="24"/>
          <w:highlight w:val="none"/>
        </w:rPr>
      </w:pPr>
      <w:bookmarkStart w:id="1" w:name="_Toc18505"/>
      <w:r>
        <w:rPr>
          <w:rStyle w:val="39"/>
          <w:rFonts w:hint="eastAsia" w:ascii="宋体" w:hAnsi="宋体" w:eastAsia="宋体" w:cs="宋体"/>
          <w:color w:val="auto"/>
          <w:sz w:val="24"/>
          <w:szCs w:val="24"/>
          <w:highlight w:val="none"/>
        </w:rPr>
        <w:t xml:space="preserve"> 竞争性磋商公告</w:t>
      </w:r>
      <w:bookmarkEnd w:id="1"/>
    </w:p>
    <w:p w14:paraId="310CA559">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46B79272">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新疆医科大学2025雪莲山山体绿化养护服务项目</w:t>
      </w:r>
      <w:r>
        <w:rPr>
          <w:rFonts w:hint="eastAsia" w:ascii="宋体" w:hAnsi="宋体" w:eastAsia="宋体" w:cs="宋体"/>
          <w:color w:val="auto"/>
          <w:sz w:val="24"/>
          <w:szCs w:val="24"/>
          <w:highlight w:val="none"/>
        </w:rPr>
        <w:t>的潜在供应商应在政采云平台https://www.zcygov.cn/线上获取获取采购文件，并于202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shd w:val="clear"/>
          <w:lang w:val="en-US" w:eastAsia="zh-CN"/>
        </w:rPr>
        <w:t>04月21日</w:t>
      </w:r>
      <w:r>
        <w:rPr>
          <w:rFonts w:hint="eastAsia" w:ascii="宋体" w:hAnsi="宋体" w:eastAsia="宋体" w:cs="宋体"/>
          <w:color w:val="auto"/>
          <w:sz w:val="24"/>
          <w:szCs w:val="24"/>
          <w:highlight w:val="none"/>
          <w:lang w:val="en-US" w:eastAsia="zh-CN"/>
        </w:rPr>
        <w:t>11:00</w:t>
      </w:r>
      <w:r>
        <w:rPr>
          <w:rFonts w:hint="eastAsia" w:ascii="宋体" w:hAnsi="宋体" w:eastAsia="宋体" w:cs="宋体"/>
          <w:color w:val="auto"/>
          <w:sz w:val="24"/>
          <w:szCs w:val="24"/>
          <w:highlight w:val="none"/>
        </w:rPr>
        <w:t>（北京时间）前提交响应文件。</w:t>
      </w:r>
    </w:p>
    <w:p w14:paraId="431572C6">
      <w:pPr>
        <w:pStyle w:val="3"/>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color w:val="auto"/>
          <w:sz w:val="24"/>
          <w:szCs w:val="24"/>
          <w:highlight w:val="none"/>
        </w:rPr>
      </w:pPr>
      <w:bookmarkStart w:id="2" w:name="_Toc69378860"/>
      <w:bookmarkStart w:id="3" w:name="_Toc906292974"/>
      <w:r>
        <w:rPr>
          <w:rFonts w:hint="eastAsia" w:ascii="宋体" w:hAnsi="宋体" w:eastAsia="宋体" w:cs="宋体"/>
          <w:b w:val="0"/>
          <w:color w:val="auto"/>
          <w:sz w:val="24"/>
          <w:szCs w:val="24"/>
          <w:highlight w:val="none"/>
          <w:lang w:val="en-US" w:eastAsia="zh-CN"/>
        </w:rPr>
        <w:t>一、</w:t>
      </w:r>
      <w:r>
        <w:rPr>
          <w:rFonts w:hint="eastAsia" w:ascii="宋体" w:hAnsi="宋体" w:eastAsia="宋体" w:cs="宋体"/>
          <w:b w:val="0"/>
          <w:color w:val="auto"/>
          <w:sz w:val="24"/>
          <w:szCs w:val="24"/>
          <w:highlight w:val="none"/>
        </w:rPr>
        <w:t>项目基本情况</w:t>
      </w:r>
      <w:bookmarkEnd w:id="2"/>
      <w:bookmarkEnd w:id="3"/>
    </w:p>
    <w:p w14:paraId="34BCCB7E">
      <w:pPr>
        <w:pageBreakBefore w:val="0"/>
        <w:widowControl w:val="0"/>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项目编号：TC259H0CF</w:t>
      </w:r>
    </w:p>
    <w:p w14:paraId="57044CCA">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新疆医科大学2025雪莲山山体绿化养护服务项目</w:t>
      </w:r>
    </w:p>
    <w:p w14:paraId="0B96BDFF">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采购方式：竞争性磋商</w:t>
      </w:r>
    </w:p>
    <w:p w14:paraId="3E7D3A73">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1000000.00</w:t>
      </w:r>
    </w:p>
    <w:p w14:paraId="5D4E18D9">
      <w:pPr>
        <w:pageBreakBefore w:val="0"/>
        <w:widowControl w:val="0"/>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1000000.00</w:t>
      </w:r>
    </w:p>
    <w:p w14:paraId="3964F937">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采购需求：新疆医科大学雪莲山山体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养护面积约36.78万平方米，包括山体</w:t>
      </w:r>
      <w:r>
        <w:rPr>
          <w:rFonts w:hint="eastAsia" w:ascii="宋体" w:hAnsi="宋体" w:eastAsia="宋体" w:cs="宋体"/>
          <w:color w:val="auto"/>
          <w:sz w:val="24"/>
          <w:szCs w:val="24"/>
          <w:highlight w:val="none"/>
        </w:rPr>
        <w:t>上的乔木、灌木、各类花卉、草坪等绿化养护、验收及售后服务等，详见采购文件及技术参数要求</w:t>
      </w:r>
      <w:r>
        <w:rPr>
          <w:rFonts w:hint="eastAsia" w:ascii="宋体" w:hAnsi="宋体" w:eastAsia="宋体" w:cs="宋体"/>
          <w:color w:val="auto"/>
          <w:sz w:val="24"/>
          <w:szCs w:val="24"/>
          <w:highlight w:val="none"/>
          <w:lang w:eastAsia="zh-CN"/>
        </w:rPr>
        <w:t>。</w:t>
      </w:r>
    </w:p>
    <w:p w14:paraId="33487234">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期限：自合同签订后至</w:t>
      </w:r>
      <w:r>
        <w:rPr>
          <w:rFonts w:hint="eastAsia" w:ascii="宋体" w:hAnsi="宋体" w:eastAsia="宋体" w:cs="宋体"/>
          <w:color w:val="auto"/>
          <w:sz w:val="24"/>
          <w:szCs w:val="24"/>
          <w:highlight w:val="none"/>
          <w:lang w:val="en-US" w:eastAsia="zh-CN"/>
        </w:rPr>
        <w:t>2025年11月15日</w:t>
      </w:r>
      <w:r>
        <w:rPr>
          <w:rFonts w:hint="eastAsia" w:ascii="宋体" w:hAnsi="宋体" w:eastAsia="宋体" w:cs="宋体"/>
          <w:color w:val="auto"/>
          <w:sz w:val="24"/>
          <w:szCs w:val="24"/>
          <w:highlight w:val="none"/>
          <w:lang w:eastAsia="zh-CN"/>
        </w:rPr>
        <w:t>。</w:t>
      </w:r>
    </w:p>
    <w:p w14:paraId="19B88EF8">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w:t>
      </w:r>
      <w:r>
        <w:rPr>
          <w:rFonts w:hint="eastAsia" w:ascii="宋体" w:hAnsi="宋体" w:eastAsia="宋体" w:cs="宋体"/>
          <w:i/>
          <w:color w:val="auto"/>
          <w:sz w:val="24"/>
          <w:szCs w:val="24"/>
          <w:highlight w:val="none"/>
        </w:rPr>
        <w:t>是/否</w:t>
      </w:r>
      <w:r>
        <w:rPr>
          <w:rFonts w:hint="eastAsia" w:ascii="宋体" w:hAnsi="宋体" w:eastAsia="宋体" w:cs="宋体"/>
          <w:color w:val="auto"/>
          <w:sz w:val="24"/>
          <w:szCs w:val="24"/>
          <w:highlight w:val="none"/>
        </w:rPr>
        <w:t>）接受联合体投标：否</w:t>
      </w:r>
      <w:r>
        <w:rPr>
          <w:rFonts w:hint="eastAsia" w:ascii="宋体" w:hAnsi="宋体" w:eastAsia="宋体" w:cs="宋体"/>
          <w:color w:val="auto"/>
          <w:sz w:val="24"/>
          <w:szCs w:val="24"/>
          <w:highlight w:val="none"/>
          <w:lang w:eastAsia="zh-CN"/>
        </w:rPr>
        <w:t>。</w:t>
      </w:r>
    </w:p>
    <w:p w14:paraId="08E6E9DA">
      <w:pPr>
        <w:pStyle w:val="3"/>
        <w:pageBreakBefore w:val="0"/>
        <w:widowControl w:val="0"/>
        <w:numPr>
          <w:ilvl w:val="0"/>
          <w:numId w:val="0"/>
        </w:numPr>
        <w:kinsoku/>
        <w:wordWrap/>
        <w:overflowPunct/>
        <w:topLinePunct w:val="0"/>
        <w:autoSpaceDE/>
        <w:autoSpaceDN/>
        <w:bidi w:val="0"/>
        <w:adjustRightInd/>
        <w:spacing w:line="360" w:lineRule="auto"/>
        <w:ind w:left="240"/>
        <w:textAlignment w:val="auto"/>
        <w:rPr>
          <w:rFonts w:hint="eastAsia" w:ascii="宋体" w:hAnsi="宋体" w:eastAsia="宋体" w:cs="宋体"/>
          <w:b w:val="0"/>
          <w:color w:val="auto"/>
          <w:sz w:val="24"/>
          <w:szCs w:val="24"/>
          <w:highlight w:val="none"/>
        </w:rPr>
      </w:pPr>
      <w:bookmarkStart w:id="4" w:name="_Toc2111989494"/>
      <w:bookmarkStart w:id="5" w:name="_Toc69378861"/>
      <w:r>
        <w:rPr>
          <w:rFonts w:hint="eastAsia" w:ascii="宋体" w:hAnsi="宋体" w:eastAsia="宋体" w:cs="宋体"/>
          <w:b w:val="0"/>
          <w:color w:val="auto"/>
          <w:sz w:val="24"/>
          <w:szCs w:val="24"/>
          <w:highlight w:val="none"/>
        </w:rPr>
        <w:t>二、申请人的资格要求</w:t>
      </w:r>
      <w:bookmarkEnd w:id="4"/>
      <w:bookmarkEnd w:id="5"/>
    </w:p>
    <w:p w14:paraId="0A8D396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5C97DF4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2.落实政府采购政策需满足的资格要求：本项目专门面向小微企业</w:t>
      </w:r>
      <w:r>
        <w:rPr>
          <w:rFonts w:hint="eastAsia" w:ascii="宋体" w:hAnsi="宋体" w:eastAsia="宋体" w:cs="宋体"/>
          <w:sz w:val="24"/>
          <w:szCs w:val="24"/>
          <w:highlight w:val="none"/>
        </w:rPr>
        <w:t>；</w:t>
      </w:r>
    </w:p>
    <w:p w14:paraId="05666C3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64C6AA6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供应商近三年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投标活动。（2）其他说明：（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94411F8">
      <w:pPr>
        <w:pageBreakBefore w:val="0"/>
        <w:widowControl w:val="0"/>
        <w:kinsoku/>
        <w:wordWrap/>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i/>
          <w:color w:val="auto"/>
          <w:sz w:val="24"/>
          <w:szCs w:val="24"/>
          <w:highlight w:val="none"/>
          <w:u w:val="single"/>
        </w:rPr>
      </w:pPr>
      <w:bookmarkStart w:id="6" w:name="_Toc69378862"/>
      <w:bookmarkStart w:id="7" w:name="_Toc450224395"/>
      <w:r>
        <w:rPr>
          <w:rFonts w:hint="eastAsia" w:ascii="宋体" w:hAnsi="宋体" w:eastAsia="宋体" w:cs="宋体"/>
          <w:b/>
          <w:color w:val="auto"/>
          <w:sz w:val="24"/>
          <w:szCs w:val="24"/>
          <w:highlight w:val="none"/>
        </w:rPr>
        <w:t>三、获取</w:t>
      </w:r>
      <w:r>
        <w:rPr>
          <w:rFonts w:hint="eastAsia" w:ascii="宋体" w:hAnsi="宋体" w:eastAsia="宋体" w:cs="宋体"/>
          <w:b/>
          <w:color w:val="auto"/>
          <w:sz w:val="24"/>
          <w:szCs w:val="24"/>
          <w:highlight w:val="none"/>
          <w:lang w:val="en-US" w:eastAsia="zh-CN"/>
        </w:rPr>
        <w:t>采购</w:t>
      </w:r>
      <w:r>
        <w:rPr>
          <w:rFonts w:hint="eastAsia" w:ascii="宋体" w:hAnsi="宋体" w:eastAsia="宋体" w:cs="宋体"/>
          <w:b/>
          <w:color w:val="auto"/>
          <w:sz w:val="24"/>
          <w:szCs w:val="24"/>
          <w:highlight w:val="none"/>
        </w:rPr>
        <w:t>文件</w:t>
      </w:r>
      <w:bookmarkEnd w:id="6"/>
      <w:bookmarkEnd w:id="7"/>
    </w:p>
    <w:p w14:paraId="11E3FFB6">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bookmarkStart w:id="8" w:name="_Toc69378863"/>
      <w:bookmarkStart w:id="9" w:name="_Toc1336518384"/>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：2025年04月09日至2025年04月15日，每天上午00:00至12:00，下午12:00至23:59（北京时间，法定节假日除外）</w:t>
      </w:r>
    </w:p>
    <w:p w14:paraId="1BDF27BD">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地点：政采云平台https://www.zcygov.cn/线上获取 </w:t>
      </w:r>
    </w:p>
    <w:p w14:paraId="50E8EA61">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67CE6D37">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售价（元）： 0 </w:t>
      </w:r>
    </w:p>
    <w:p w14:paraId="4B5D6A91">
      <w:pPr>
        <w:pageBreakBefore w:val="0"/>
        <w:widowControl w:val="0"/>
        <w:kinsoku/>
        <w:wordWrap/>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四、</w:t>
      </w:r>
      <w:bookmarkEnd w:id="8"/>
      <w:bookmarkEnd w:id="9"/>
      <w:r>
        <w:rPr>
          <w:rFonts w:hint="eastAsia" w:ascii="宋体" w:hAnsi="宋体" w:eastAsia="宋体" w:cs="宋体"/>
          <w:b/>
          <w:color w:val="auto"/>
          <w:sz w:val="24"/>
          <w:szCs w:val="24"/>
          <w:highlight w:val="none"/>
          <w:lang w:val="en-US" w:eastAsia="zh-CN"/>
        </w:rPr>
        <w:t>响应文件提交</w:t>
      </w:r>
    </w:p>
    <w:p w14:paraId="701AAD5D">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highlight w:val="none"/>
        </w:rPr>
      </w:pPr>
      <w:bookmarkStart w:id="10" w:name="_Toc69378864"/>
      <w:bookmarkStart w:id="11" w:name="_Toc185532268"/>
      <w:r>
        <w:rPr>
          <w:rFonts w:hint="eastAsia" w:ascii="宋体" w:hAnsi="宋体" w:eastAsia="宋体" w:cs="宋体"/>
          <w:color w:val="auto"/>
          <w:kern w:val="0"/>
          <w:sz w:val="24"/>
          <w:szCs w:val="24"/>
          <w:highlight w:val="none"/>
        </w:rPr>
        <w:t>截止时间：</w:t>
      </w:r>
      <w:r>
        <w:rPr>
          <w:rFonts w:hint="eastAsia" w:ascii="宋体" w:hAnsi="宋体" w:eastAsia="宋体" w:cs="宋体"/>
          <w:color w:val="auto"/>
          <w:kern w:val="0"/>
          <w:sz w:val="24"/>
          <w:szCs w:val="24"/>
          <w:highlight w:val="none"/>
          <w:lang w:val="en-US" w:eastAsia="zh-CN"/>
        </w:rPr>
        <w:t>2025年</w:t>
      </w:r>
      <w:r>
        <w:rPr>
          <w:rFonts w:hint="eastAsia" w:ascii="宋体" w:hAnsi="宋体" w:eastAsia="宋体" w:cs="宋体"/>
          <w:color w:val="auto"/>
          <w:sz w:val="24"/>
          <w:szCs w:val="24"/>
          <w:highlight w:val="none"/>
          <w:lang w:val="en-US" w:eastAsia="zh-CN"/>
        </w:rPr>
        <w:t>04月21日11:00</w:t>
      </w:r>
      <w:r>
        <w:rPr>
          <w:rFonts w:hint="eastAsia" w:ascii="宋体" w:hAnsi="宋体" w:eastAsia="宋体" w:cs="宋体"/>
          <w:color w:val="auto"/>
          <w:kern w:val="0"/>
          <w:sz w:val="24"/>
          <w:szCs w:val="24"/>
          <w:highlight w:val="none"/>
        </w:rPr>
        <w:t>（北京时间）</w:t>
      </w:r>
    </w:p>
    <w:p w14:paraId="12D05C6E">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地点：请登录政采云平台线上投标</w:t>
      </w:r>
      <w:r>
        <w:rPr>
          <w:rFonts w:hint="eastAsia" w:ascii="宋体" w:hAnsi="宋体" w:eastAsia="宋体" w:cs="宋体"/>
          <w:b/>
          <w:color w:val="auto"/>
          <w:sz w:val="24"/>
          <w:szCs w:val="24"/>
          <w:highlight w:val="none"/>
        </w:rPr>
        <w:t xml:space="preserve"> </w:t>
      </w:r>
    </w:p>
    <w:p w14:paraId="45F76D32">
      <w:pPr>
        <w:pageBreakBefore w:val="0"/>
        <w:widowControl w:val="0"/>
        <w:kinsoku/>
        <w:wordWrap/>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五、响应文件开启 </w:t>
      </w:r>
    </w:p>
    <w:p w14:paraId="22EF0252">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开启时间：2025年</w:t>
      </w:r>
      <w:r>
        <w:rPr>
          <w:rFonts w:hint="eastAsia" w:ascii="宋体" w:hAnsi="宋体" w:eastAsia="宋体" w:cs="宋体"/>
          <w:color w:val="auto"/>
          <w:sz w:val="24"/>
          <w:szCs w:val="24"/>
          <w:highlight w:val="none"/>
          <w:lang w:val="en-US" w:eastAsia="zh-CN"/>
        </w:rPr>
        <w:t>04月21日11:00</w:t>
      </w:r>
      <w:r>
        <w:rPr>
          <w:rFonts w:hint="eastAsia" w:ascii="宋体" w:hAnsi="宋体" w:eastAsia="宋体" w:cs="宋体"/>
          <w:color w:val="auto"/>
          <w:kern w:val="0"/>
          <w:sz w:val="24"/>
          <w:szCs w:val="24"/>
          <w:highlight w:val="none"/>
        </w:rPr>
        <w:t>（北京时间）</w:t>
      </w:r>
    </w:p>
    <w:p w14:paraId="086B0EF8">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地点：供应商登录政采云平台https://www.zcygov.cn/，进入“项目采购-开标评标-右边选择对应项目点击“进入项目”进入开标大厅。</w:t>
      </w:r>
    </w:p>
    <w:p w14:paraId="5E23BAEA">
      <w:pPr>
        <w:pageBreakBefore w:val="0"/>
        <w:widowControl w:val="0"/>
        <w:kinsoku/>
        <w:wordWrap/>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、公告期限</w:t>
      </w:r>
      <w:bookmarkEnd w:id="10"/>
      <w:bookmarkEnd w:id="11"/>
    </w:p>
    <w:p w14:paraId="2FF0483B">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w:t>
      </w:r>
    </w:p>
    <w:p w14:paraId="4B5B2E12">
      <w:pPr>
        <w:pageBreakBefore w:val="0"/>
        <w:widowControl w:val="0"/>
        <w:kinsoku/>
        <w:wordWrap/>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szCs w:val="24"/>
          <w:highlight w:val="none"/>
        </w:rPr>
      </w:pPr>
      <w:bookmarkStart w:id="12" w:name="_Toc69378865"/>
      <w:bookmarkStart w:id="13" w:name="_Toc94572832"/>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、其他补充事宜</w:t>
      </w:r>
      <w:bookmarkEnd w:id="12"/>
      <w:bookmarkEnd w:id="13"/>
    </w:p>
    <w:p w14:paraId="22A8ABE4">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1、本项目公告期限为</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14:paraId="038F5400">
      <w:pPr>
        <w:pStyle w:val="36"/>
        <w:spacing w:line="360" w:lineRule="auto"/>
        <w:rPr>
          <w:rFonts w:hint="eastAsia" w:ascii="宋体" w:hAnsi="宋体" w:eastAsia="宋体" w:cs="宋体"/>
          <w:color w:val="auto"/>
          <w:spacing w:val="0"/>
          <w:sz w:val="24"/>
          <w:szCs w:val="24"/>
          <w:highlight w:val="none"/>
        </w:rPr>
      </w:pPr>
      <w:bookmarkStart w:id="14" w:name="_Toc347688644"/>
      <w:bookmarkStart w:id="15" w:name="_Toc69378866"/>
      <w:r>
        <w:rPr>
          <w:rFonts w:hint="eastAsia" w:ascii="宋体" w:hAnsi="宋体" w:eastAsia="宋体" w:cs="宋体"/>
          <w:color w:val="auto"/>
          <w:spacing w:val="0"/>
          <w:sz w:val="24"/>
          <w:szCs w:val="24"/>
          <w:highlight w:val="none"/>
        </w:rPr>
        <w:t>2、供应商须注意事项：</w:t>
      </w:r>
    </w:p>
    <w:p w14:paraId="3F51997D">
      <w:pPr>
        <w:pStyle w:val="86"/>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1、本项目实行电子招投标，供应商须登录</w:t>
      </w:r>
      <w:r>
        <w:rPr>
          <w:rFonts w:hint="eastAsia" w:ascii="宋体" w:hAnsi="宋体" w:eastAsia="宋体" w:cs="宋体"/>
          <w:color w:val="auto"/>
          <w:sz w:val="24"/>
          <w:szCs w:val="24"/>
          <w:highlight w:val="none"/>
        </w:rPr>
        <w:t>政采云平台https://www.zcygov.cn/</w:t>
      </w:r>
      <w:r>
        <w:rPr>
          <w:rFonts w:hint="eastAsia" w:ascii="宋体" w:hAnsi="宋体" w:eastAsia="宋体" w:cs="宋体"/>
          <w:bCs/>
          <w:color w:val="auto"/>
          <w:kern w:val="0"/>
          <w:sz w:val="24"/>
          <w:szCs w:val="24"/>
          <w:highlight w:val="none"/>
        </w:rPr>
        <w:t>申请获取采购文件，并通过政采云电子投标客户端制作响应文件，同时自行承担与投标有关的一切费用。</w:t>
      </w:r>
    </w:p>
    <w:p w14:paraId="66161F14">
      <w:pPr>
        <w:pStyle w:val="86"/>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2、各供应商应在开标前确保成为</w:t>
      </w:r>
      <w:r>
        <w:rPr>
          <w:rFonts w:hint="eastAsia" w:ascii="宋体" w:hAnsi="宋体" w:eastAsia="宋体" w:cs="宋体"/>
          <w:bCs/>
          <w:color w:val="auto"/>
          <w:kern w:val="0"/>
          <w:sz w:val="24"/>
          <w:szCs w:val="24"/>
          <w:highlight w:val="none"/>
          <w:lang w:val="en-US" w:eastAsia="zh-CN"/>
        </w:rPr>
        <w:t>新疆</w:t>
      </w:r>
      <w:r>
        <w:rPr>
          <w:rFonts w:hint="eastAsia" w:ascii="宋体" w:hAnsi="宋体" w:eastAsia="宋体" w:cs="宋体"/>
          <w:bCs/>
          <w:color w:val="auto"/>
          <w:kern w:val="0"/>
          <w:sz w:val="24"/>
          <w:szCs w:val="24"/>
          <w:highlight w:val="none"/>
        </w:rPr>
        <w:t>政府采购网正式注册入库供应商，并完成CA数字证书申领（符合国密标准）。因未注册入库、未办理CA数字证书等原因造成无法投标或投标失败等后果由供应商自行承担。</w:t>
      </w:r>
    </w:p>
    <w:p w14:paraId="33D02F42">
      <w:pPr>
        <w:pStyle w:val="86"/>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w:t>
      </w:r>
    </w:p>
    <w:p w14:paraId="3637A3E3">
      <w:pPr>
        <w:pStyle w:val="86"/>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4、供应商将政采云电子交易客户端下载、安装完成后，可通过账号密码或CA登录客户端进行响应文件的制作。在使用政采云投标客户端时，建议使用WIN7及以上操作系统。客户端请至</w:t>
      </w:r>
      <w:r>
        <w:rPr>
          <w:rFonts w:hint="eastAsia" w:ascii="宋体" w:hAnsi="宋体" w:eastAsia="宋体" w:cs="宋体"/>
          <w:color w:val="auto"/>
          <w:sz w:val="24"/>
          <w:szCs w:val="24"/>
          <w:highlight w:val="none"/>
        </w:rPr>
        <w:t>政采云平台https://www.zcygov.cn/</w:t>
      </w:r>
      <w:r>
        <w:rPr>
          <w:rFonts w:hint="eastAsia" w:ascii="宋体" w:hAnsi="宋体" w:eastAsia="宋体" w:cs="宋体"/>
          <w:bCs/>
          <w:color w:val="auto"/>
          <w:kern w:val="0"/>
          <w:sz w:val="24"/>
          <w:szCs w:val="24"/>
          <w:highlight w:val="none"/>
        </w:rPr>
        <w:t>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w:t>
      </w:r>
    </w:p>
    <w:p w14:paraId="37440081">
      <w:pPr>
        <w:pStyle w:val="86"/>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p>
    <w:p w14:paraId="1AC7FA51">
      <w:pPr>
        <w:pStyle w:val="3"/>
        <w:numPr>
          <w:ilvl w:val="0"/>
          <w:numId w:val="0"/>
        </w:numPr>
        <w:spacing w:line="360" w:lineRule="auto"/>
        <w:ind w:left="24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七、</w:t>
      </w:r>
      <w:bookmarkEnd w:id="14"/>
      <w:bookmarkEnd w:id="15"/>
      <w:r>
        <w:rPr>
          <w:rFonts w:hint="eastAsia" w:ascii="宋体" w:hAnsi="宋体" w:eastAsia="宋体" w:cs="宋体"/>
          <w:b w:val="0"/>
          <w:color w:val="auto"/>
          <w:sz w:val="24"/>
          <w:szCs w:val="24"/>
          <w:highlight w:val="none"/>
        </w:rPr>
        <w:t>凡对本次招标提出询问，请按以下方式联系</w:t>
      </w:r>
    </w:p>
    <w:p w14:paraId="54B4D97A">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1.采购人信息</w:t>
      </w:r>
    </w:p>
    <w:p w14:paraId="6CC3CE6E">
      <w:pPr>
        <w:spacing w:line="360" w:lineRule="auto"/>
        <w:ind w:left="1079" w:leftChars="371" w:hanging="300" w:hangingChars="125"/>
        <w:jc w:val="left"/>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名 称：</w:t>
      </w:r>
      <w:r>
        <w:rPr>
          <w:rFonts w:hint="eastAsia" w:ascii="宋体" w:hAnsi="宋体" w:eastAsia="宋体" w:cs="宋体"/>
          <w:color w:val="auto"/>
          <w:sz w:val="24"/>
          <w:szCs w:val="24"/>
          <w:highlight w:val="none"/>
          <w:u w:val="none"/>
          <w:lang w:eastAsia="zh-CN"/>
        </w:rPr>
        <w:t>新疆医科大学</w:t>
      </w:r>
    </w:p>
    <w:p w14:paraId="44F8FD9B">
      <w:pPr>
        <w:spacing w:line="360" w:lineRule="auto"/>
        <w:ind w:left="1079" w:leftChars="371" w:hanging="300" w:hangingChars="125"/>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址：</w:t>
      </w:r>
      <w:r>
        <w:rPr>
          <w:rFonts w:hint="eastAsia" w:ascii="宋体" w:hAnsi="宋体" w:eastAsia="宋体" w:cs="宋体"/>
          <w:color w:val="auto"/>
          <w:sz w:val="24"/>
          <w:szCs w:val="24"/>
          <w:highlight w:val="none"/>
          <w:u w:val="none"/>
          <w:lang w:val="en-US" w:eastAsia="zh-CN"/>
        </w:rPr>
        <w:t>新疆乌鲁木齐市水磨沟区新疆医科大学雪莲山校区</w:t>
      </w:r>
    </w:p>
    <w:p w14:paraId="79E4E82D">
      <w:pPr>
        <w:spacing w:line="360" w:lineRule="auto"/>
        <w:ind w:left="1079" w:leftChars="371" w:hanging="300" w:hangingChars="125"/>
        <w:jc w:val="left"/>
        <w:rPr>
          <w:rFonts w:hint="default"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eastAsia="zh-CN"/>
        </w:rPr>
        <w:t>联系人：董家正</w:t>
      </w:r>
    </w:p>
    <w:p w14:paraId="613DB87A">
      <w:pPr>
        <w:spacing w:line="360" w:lineRule="auto"/>
        <w:ind w:left="1079" w:leftChars="371" w:hanging="300" w:hangingChars="125"/>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联系方式：</w:t>
      </w:r>
      <w:r>
        <w:rPr>
          <w:rFonts w:hint="eastAsia" w:ascii="宋体" w:hAnsi="宋体" w:eastAsia="宋体" w:cs="宋体"/>
          <w:color w:val="auto"/>
          <w:sz w:val="24"/>
          <w:szCs w:val="24"/>
          <w:highlight w:val="none"/>
          <w:u w:val="none"/>
          <w:lang w:val="en-US" w:eastAsia="zh-CN"/>
        </w:rPr>
        <w:t>18609001412</w:t>
      </w:r>
    </w:p>
    <w:p w14:paraId="2D275580">
      <w:pPr>
        <w:spacing w:line="360" w:lineRule="auto"/>
        <w:ind w:left="1079" w:leftChars="371" w:hanging="300" w:hangingChars="1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1BD1D48E">
      <w:pPr>
        <w:spacing w:line="360" w:lineRule="auto"/>
        <w:ind w:firstLine="720" w:firstLineChars="3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 xml:space="preserve">名 </w:t>
      </w:r>
      <w:r>
        <w:rPr>
          <w:rFonts w:hint="eastAsia" w:ascii="宋体" w:hAnsi="宋体" w:eastAsia="宋体" w:cs="宋体"/>
          <w:color w:val="auto"/>
          <w:sz w:val="24"/>
          <w:szCs w:val="24"/>
          <w:highlight w:val="none"/>
          <w:u w:val="none"/>
        </w:rPr>
        <w:t>称：中招国际招标有限公司</w:t>
      </w:r>
    </w:p>
    <w:p w14:paraId="2F504C7F">
      <w:pPr>
        <w:spacing w:line="360" w:lineRule="auto"/>
        <w:ind w:firstLine="720" w:firstLineChars="3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  址: 新疆乌鲁木齐市486号</w:t>
      </w:r>
      <w:r>
        <w:rPr>
          <w:rFonts w:hint="eastAsia" w:ascii="宋体" w:hAnsi="宋体" w:eastAsia="宋体" w:cs="宋体"/>
          <w:color w:val="auto"/>
          <w:sz w:val="24"/>
          <w:szCs w:val="24"/>
          <w:highlight w:val="none"/>
          <w:u w:val="none"/>
          <w:lang w:eastAsia="zh-CN"/>
        </w:rPr>
        <w:t>南湖明珠二期大厦南区8楼</w:t>
      </w:r>
    </w:p>
    <w:p w14:paraId="5F057410">
      <w:pPr>
        <w:pStyle w:val="13"/>
        <w:spacing w:line="360" w:lineRule="auto"/>
        <w:ind w:firstLine="720" w:firstLineChars="3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项目联系人：</w:t>
      </w:r>
      <w:r>
        <w:rPr>
          <w:rFonts w:hint="eastAsia" w:ascii="宋体" w:hAnsi="宋体" w:eastAsia="宋体" w:cs="宋体"/>
          <w:color w:val="auto"/>
          <w:sz w:val="24"/>
          <w:szCs w:val="24"/>
          <w:highlight w:val="none"/>
          <w:u w:val="none"/>
          <w:lang w:val="en-US" w:eastAsia="zh-CN"/>
        </w:rPr>
        <w:t>程建军、师翠婷、张辉、徐中凤</w:t>
      </w:r>
    </w:p>
    <w:p w14:paraId="6B83C5B9">
      <w:pPr>
        <w:spacing w:line="360" w:lineRule="auto"/>
        <w:ind w:firstLine="720" w:firstLineChars="300"/>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rPr>
        <w:t>联系方式：</w:t>
      </w:r>
      <w:r>
        <w:rPr>
          <w:rFonts w:hint="eastAsia" w:ascii="宋体" w:hAnsi="宋体" w:eastAsia="宋体" w:cs="宋体"/>
          <w:color w:val="auto"/>
          <w:sz w:val="24"/>
          <w:szCs w:val="24"/>
          <w:highlight w:val="none"/>
          <w:u w:val="none"/>
          <w:lang w:val="en-US" w:eastAsia="zh-CN"/>
        </w:rPr>
        <w:t>15699108282</w:t>
      </w:r>
    </w:p>
    <w:p w14:paraId="1513EDA5">
      <w:pPr>
        <w:pStyle w:val="22"/>
        <w:numPr>
          <w:ilvl w:val="0"/>
          <w:numId w:val="5"/>
        </w:numPr>
        <w:jc w:val="center"/>
        <w:outlineLvl w:val="0"/>
        <w:rPr>
          <w:rStyle w:val="39"/>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6" w:name="_Toc37090958"/>
      <w:r>
        <w:rPr>
          <w:rStyle w:val="39"/>
          <w:rFonts w:hint="eastAsia" w:ascii="宋体" w:hAnsi="宋体" w:eastAsia="宋体" w:cs="宋体"/>
          <w:color w:val="auto"/>
          <w:highlight w:val="none"/>
        </w:rPr>
        <w:t xml:space="preserve"> </w:t>
      </w:r>
      <w:bookmarkEnd w:id="16"/>
      <w:bookmarkStart w:id="17" w:name="_Toc5674"/>
      <w:r>
        <w:rPr>
          <w:rStyle w:val="39"/>
          <w:rFonts w:hint="eastAsia" w:ascii="宋体" w:hAnsi="宋体" w:eastAsia="宋体" w:cs="宋体"/>
          <w:color w:val="auto"/>
          <w:highlight w:val="none"/>
        </w:rPr>
        <w:t>供应商须知</w:t>
      </w:r>
      <w:bookmarkEnd w:id="17"/>
    </w:p>
    <w:p w14:paraId="345DAED6">
      <w:pPr>
        <w:pStyle w:val="3"/>
        <w:spacing w:before="0" w:after="0" w:line="440" w:lineRule="exact"/>
        <w:jc w:val="center"/>
        <w:rPr>
          <w:rFonts w:hint="eastAsia" w:ascii="宋体" w:hAnsi="宋体" w:eastAsia="宋体" w:cs="宋体"/>
          <w:color w:val="auto"/>
          <w:sz w:val="30"/>
          <w:szCs w:val="30"/>
          <w:highlight w:val="none"/>
        </w:rPr>
      </w:pPr>
      <w:bookmarkStart w:id="18" w:name="_Toc16991"/>
      <w:bookmarkStart w:id="19" w:name="_Toc22248"/>
      <w:r>
        <w:rPr>
          <w:rFonts w:hint="eastAsia" w:ascii="宋体" w:hAnsi="宋体" w:eastAsia="宋体" w:cs="宋体"/>
          <w:color w:val="auto"/>
          <w:sz w:val="30"/>
          <w:szCs w:val="30"/>
          <w:highlight w:val="none"/>
        </w:rPr>
        <w:t>一、供应商须知前附表</w:t>
      </w:r>
      <w:bookmarkEnd w:id="18"/>
      <w:bookmarkEnd w:id="19"/>
    </w:p>
    <w:p w14:paraId="33BFA2F7">
      <w:pPr>
        <w:rPr>
          <w:rFonts w:hint="eastAsia" w:ascii="宋体" w:hAnsi="宋体" w:eastAsia="宋体" w:cs="宋体"/>
          <w:color w:val="auto"/>
          <w:highlight w:val="none"/>
        </w:rPr>
      </w:pPr>
    </w:p>
    <w:tbl>
      <w:tblPr>
        <w:tblStyle w:val="25"/>
        <w:tblW w:w="98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30"/>
        <w:gridCol w:w="7243"/>
      </w:tblGrid>
      <w:tr w14:paraId="65D868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7482E6EB">
            <w:pPr>
              <w:shd w:val="clear" w:color="auto" w:fill="FFFFFF"/>
              <w:autoSpaceDE w:val="0"/>
              <w:autoSpaceDN w:val="0"/>
              <w:spacing w:line="360" w:lineRule="auto"/>
              <w:rPr>
                <w:rFonts w:hint="eastAsia" w:ascii="宋体" w:hAnsi="宋体" w:eastAsia="宋体" w:cs="宋体"/>
                <w:color w:val="auto"/>
                <w:kern w:val="0"/>
                <w:sz w:val="24"/>
                <w:szCs w:val="24"/>
                <w:highlight w:val="none"/>
              </w:rPr>
            </w:pPr>
            <w:bookmarkStart w:id="20" w:name="_Toc14359"/>
            <w:bookmarkStart w:id="21" w:name="_Toc37090959"/>
            <w:r>
              <w:rPr>
                <w:rFonts w:hint="eastAsia" w:ascii="宋体" w:hAnsi="宋体" w:eastAsia="宋体" w:cs="宋体"/>
                <w:color w:val="auto"/>
                <w:kern w:val="0"/>
                <w:sz w:val="24"/>
                <w:szCs w:val="24"/>
                <w:highlight w:val="none"/>
              </w:rPr>
              <w:t>项号</w:t>
            </w:r>
          </w:p>
        </w:tc>
        <w:tc>
          <w:tcPr>
            <w:tcW w:w="1930" w:type="dxa"/>
            <w:tcBorders>
              <w:top w:val="single" w:color="auto" w:sz="4" w:space="0"/>
              <w:left w:val="single" w:color="auto" w:sz="4" w:space="0"/>
              <w:bottom w:val="single" w:color="auto" w:sz="4" w:space="0"/>
              <w:right w:val="single" w:color="auto" w:sz="4" w:space="0"/>
            </w:tcBorders>
            <w:vAlign w:val="center"/>
          </w:tcPr>
          <w:p w14:paraId="5B60094B">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  容</w:t>
            </w:r>
          </w:p>
        </w:tc>
        <w:tc>
          <w:tcPr>
            <w:tcW w:w="7243" w:type="dxa"/>
            <w:tcBorders>
              <w:top w:val="single" w:color="auto" w:sz="4" w:space="0"/>
              <w:left w:val="single" w:color="auto" w:sz="4" w:space="0"/>
              <w:bottom w:val="single" w:color="auto" w:sz="4" w:space="0"/>
              <w:right w:val="single" w:color="auto" w:sz="4" w:space="0"/>
            </w:tcBorders>
            <w:vAlign w:val="center"/>
          </w:tcPr>
          <w:p w14:paraId="236C6C28">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说明及要求</w:t>
            </w:r>
          </w:p>
        </w:tc>
      </w:tr>
      <w:tr w14:paraId="029B2F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6110265D">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１</w:t>
            </w:r>
          </w:p>
        </w:tc>
        <w:tc>
          <w:tcPr>
            <w:tcW w:w="1930" w:type="dxa"/>
            <w:tcBorders>
              <w:top w:val="single" w:color="auto" w:sz="4" w:space="0"/>
              <w:left w:val="single" w:color="auto" w:sz="4" w:space="0"/>
              <w:bottom w:val="single" w:color="auto" w:sz="4" w:space="0"/>
              <w:right w:val="single" w:color="auto" w:sz="4" w:space="0"/>
            </w:tcBorders>
            <w:vAlign w:val="center"/>
          </w:tcPr>
          <w:p w14:paraId="6F19D03E">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7243" w:type="dxa"/>
            <w:tcBorders>
              <w:top w:val="single" w:color="auto" w:sz="4" w:space="0"/>
              <w:left w:val="single" w:color="auto" w:sz="4" w:space="0"/>
              <w:bottom w:val="single" w:color="auto" w:sz="4" w:space="0"/>
              <w:right w:val="single" w:color="auto" w:sz="4" w:space="0"/>
            </w:tcBorders>
            <w:vAlign w:val="center"/>
          </w:tcPr>
          <w:p w14:paraId="157AB0CC">
            <w:pPr>
              <w:shd w:val="clear" w:color="auto" w:fill="FFFFFF"/>
              <w:autoSpaceDE w:val="0"/>
              <w:autoSpaceDN w:val="0"/>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新疆医科大学2025雪莲山山体绿化养护服务项目</w:t>
            </w:r>
          </w:p>
        </w:tc>
      </w:tr>
      <w:tr w14:paraId="348A4F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01049F5C">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cBorders>
            <w:vAlign w:val="center"/>
          </w:tcPr>
          <w:p w14:paraId="35FDAFC7">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项目编号</w:t>
            </w:r>
          </w:p>
        </w:tc>
        <w:tc>
          <w:tcPr>
            <w:tcW w:w="7243" w:type="dxa"/>
            <w:tcBorders>
              <w:top w:val="single" w:color="auto" w:sz="4" w:space="0"/>
              <w:left w:val="single" w:color="auto" w:sz="4" w:space="0"/>
              <w:bottom w:val="single" w:color="auto" w:sz="4" w:space="0"/>
              <w:right w:val="single" w:color="auto" w:sz="4" w:space="0"/>
            </w:tcBorders>
            <w:vAlign w:val="center"/>
          </w:tcPr>
          <w:p w14:paraId="6C7B218D">
            <w:pPr>
              <w:shd w:val="clear" w:color="auto" w:fill="FFFFFF"/>
              <w:autoSpaceDE w:val="0"/>
              <w:autoSpaceDN w:val="0"/>
              <w:spacing w:line="360" w:lineRule="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TC259H0CF</w:t>
            </w:r>
          </w:p>
        </w:tc>
      </w:tr>
      <w:tr w14:paraId="529287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7AE4B12D">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cBorders>
            <w:vAlign w:val="center"/>
          </w:tcPr>
          <w:p w14:paraId="4A293CA6">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采购方式</w:t>
            </w:r>
          </w:p>
        </w:tc>
        <w:tc>
          <w:tcPr>
            <w:tcW w:w="7243" w:type="dxa"/>
            <w:tcBorders>
              <w:top w:val="single" w:color="auto" w:sz="4" w:space="0"/>
              <w:left w:val="single" w:color="auto" w:sz="4" w:space="0"/>
              <w:bottom w:val="single" w:color="auto" w:sz="4" w:space="0"/>
              <w:right w:val="single" w:color="auto" w:sz="4" w:space="0"/>
            </w:tcBorders>
            <w:vAlign w:val="center"/>
          </w:tcPr>
          <w:p w14:paraId="0FE6CA17">
            <w:pPr>
              <w:shd w:val="clear" w:color="auto" w:fill="FFFFFF"/>
              <w:autoSpaceDE w:val="0"/>
              <w:autoSpaceDN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竞争性磋商</w:t>
            </w:r>
          </w:p>
        </w:tc>
      </w:tr>
      <w:tr w14:paraId="62CC54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31B5DE6B">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cBorders>
            <w:vAlign w:val="center"/>
          </w:tcPr>
          <w:p w14:paraId="515F4A15">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资金来源</w:t>
            </w:r>
          </w:p>
        </w:tc>
        <w:tc>
          <w:tcPr>
            <w:tcW w:w="7243" w:type="dxa"/>
            <w:tcBorders>
              <w:top w:val="single" w:color="auto" w:sz="4" w:space="0"/>
              <w:left w:val="single" w:color="auto" w:sz="4" w:space="0"/>
              <w:bottom w:val="single" w:color="auto" w:sz="4" w:space="0"/>
              <w:right w:val="single" w:color="auto" w:sz="4" w:space="0"/>
            </w:tcBorders>
            <w:vAlign w:val="center"/>
          </w:tcPr>
          <w:p w14:paraId="3DFF90D4">
            <w:pPr>
              <w:shd w:val="clear" w:color="auto" w:fill="FFFFFF"/>
              <w:autoSpaceDE w:val="0"/>
              <w:autoSpaceDN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财政性资金</w:t>
            </w:r>
          </w:p>
        </w:tc>
      </w:tr>
      <w:tr w14:paraId="76DB4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3605FAE5">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cBorders>
            <w:vAlign w:val="center"/>
          </w:tcPr>
          <w:p w14:paraId="0652DF70">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资格审查方式</w:t>
            </w:r>
          </w:p>
        </w:tc>
        <w:tc>
          <w:tcPr>
            <w:tcW w:w="7243" w:type="dxa"/>
            <w:tcBorders>
              <w:top w:val="single" w:color="auto" w:sz="4" w:space="0"/>
              <w:left w:val="single" w:color="auto" w:sz="4" w:space="0"/>
              <w:bottom w:val="single" w:color="auto" w:sz="4" w:space="0"/>
              <w:right w:val="single" w:color="auto" w:sz="4" w:space="0"/>
            </w:tcBorders>
            <w:vAlign w:val="center"/>
          </w:tcPr>
          <w:p w14:paraId="6447064B">
            <w:pPr>
              <w:shd w:val="clear" w:color="auto" w:fill="FFFFFF"/>
              <w:autoSpaceDE w:val="0"/>
              <w:autoSpaceDN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资格后审</w:t>
            </w:r>
          </w:p>
        </w:tc>
      </w:tr>
      <w:tr w14:paraId="591046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073DC76C">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cBorders>
            <w:vAlign w:val="center"/>
          </w:tcPr>
          <w:p w14:paraId="411E545A">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采购内容</w:t>
            </w:r>
          </w:p>
        </w:tc>
        <w:tc>
          <w:tcPr>
            <w:tcW w:w="7243" w:type="dxa"/>
            <w:tcBorders>
              <w:top w:val="single" w:color="auto" w:sz="4" w:space="0"/>
              <w:left w:val="single" w:color="auto" w:sz="4" w:space="0"/>
              <w:bottom w:val="single" w:color="auto" w:sz="4" w:space="0"/>
              <w:right w:val="single" w:color="auto" w:sz="4" w:space="0"/>
            </w:tcBorders>
            <w:vAlign w:val="center"/>
          </w:tcPr>
          <w:p w14:paraId="2EEC0060">
            <w:pPr>
              <w:widowControl/>
              <w:shd w:val="clear" w:color="auto" w:fill="FFFFFF"/>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新疆医科大学雪莲山山体，养护面积约36.78万平方米。养护内容为：乔灌花草的修剪、灌溉、防治病虫害、树木涂白（春秋季各一次）、清除杂草、修理树坑、堵树穴漏水点、施肥、绿化及白色垃圾清运、树木扶正、翻地播种、灌溉水线使用维护及巡查、植物保活、植物防护（防严寒、干旱)、山体道路及附属设施维护，建立养护日志档案和植物档案库等。</w:t>
            </w:r>
          </w:p>
        </w:tc>
      </w:tr>
      <w:tr w14:paraId="7869E9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5ADF7DE8">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930" w:type="dxa"/>
            <w:tcBorders>
              <w:top w:val="single" w:color="auto" w:sz="4" w:space="0"/>
              <w:left w:val="single" w:color="auto" w:sz="4" w:space="0"/>
              <w:bottom w:val="single" w:color="auto" w:sz="4" w:space="0"/>
              <w:right w:val="single" w:color="auto" w:sz="4" w:space="0"/>
            </w:tcBorders>
            <w:vAlign w:val="center"/>
          </w:tcPr>
          <w:p w14:paraId="4503598F">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预算</w:t>
            </w:r>
            <w:r>
              <w:rPr>
                <w:rFonts w:hint="eastAsia" w:ascii="宋体" w:hAnsi="宋体" w:eastAsia="宋体" w:cs="宋体"/>
                <w:color w:val="auto"/>
                <w:sz w:val="24"/>
                <w:szCs w:val="24"/>
                <w:highlight w:val="none"/>
              </w:rPr>
              <w:t>及最高限价</w:t>
            </w:r>
          </w:p>
        </w:tc>
        <w:tc>
          <w:tcPr>
            <w:tcW w:w="7243" w:type="dxa"/>
            <w:tcBorders>
              <w:top w:val="single" w:color="auto" w:sz="4" w:space="0"/>
              <w:left w:val="single" w:color="auto" w:sz="4" w:space="0"/>
              <w:bottom w:val="single" w:color="auto" w:sz="4" w:space="0"/>
              <w:right w:val="single" w:color="auto" w:sz="4" w:space="0"/>
            </w:tcBorders>
            <w:vAlign w:val="center"/>
          </w:tcPr>
          <w:p w14:paraId="60526935">
            <w:pPr>
              <w:widowControl/>
              <w:shd w:val="clear" w:color="auto" w:fill="FFFFFF"/>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采购预算：</w:t>
            </w:r>
            <w:r>
              <w:rPr>
                <w:rFonts w:hint="eastAsia" w:ascii="宋体" w:hAnsi="宋体" w:eastAsia="宋体" w:cs="宋体"/>
                <w:color w:val="auto"/>
                <w:kern w:val="0"/>
                <w:sz w:val="24"/>
                <w:szCs w:val="24"/>
                <w:highlight w:val="none"/>
                <w:u w:val="single"/>
                <w:lang w:val="en-US" w:eastAsia="zh-CN"/>
              </w:rPr>
              <w:t>10000</w:t>
            </w:r>
            <w:r>
              <w:rPr>
                <w:rFonts w:hint="eastAsia" w:ascii="宋体" w:hAnsi="宋体" w:eastAsia="宋体" w:cs="宋体"/>
                <w:color w:val="auto"/>
                <w:kern w:val="0"/>
                <w:sz w:val="24"/>
                <w:szCs w:val="24"/>
                <w:highlight w:val="none"/>
                <w:u w:val="single"/>
                <w:lang w:eastAsia="zh-CN"/>
              </w:rPr>
              <w:t>00.00元</w:t>
            </w:r>
            <w:r>
              <w:rPr>
                <w:rFonts w:hint="eastAsia" w:ascii="宋体" w:hAnsi="宋体" w:eastAsia="宋体" w:cs="宋体"/>
                <w:color w:val="auto"/>
                <w:sz w:val="24"/>
                <w:szCs w:val="24"/>
                <w:highlight w:val="none"/>
              </w:rPr>
              <w:t>，最高限价：</w:t>
            </w:r>
            <w:r>
              <w:rPr>
                <w:rFonts w:hint="eastAsia" w:ascii="宋体" w:hAnsi="宋体" w:eastAsia="宋体" w:cs="宋体"/>
                <w:color w:val="auto"/>
                <w:kern w:val="0"/>
                <w:sz w:val="24"/>
                <w:szCs w:val="24"/>
                <w:highlight w:val="none"/>
                <w:u w:val="single"/>
                <w:lang w:val="en-US" w:eastAsia="zh-CN"/>
              </w:rPr>
              <w:t>1000000.00元</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供应商磋商报价若超过本项目采购预算或最高限价的，将视为未实质性响应竞争性磋商文件要求。</w:t>
            </w:r>
          </w:p>
        </w:tc>
      </w:tr>
      <w:tr w14:paraId="197DCB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7D54BE96">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930" w:type="dxa"/>
            <w:tcBorders>
              <w:top w:val="single" w:color="auto" w:sz="4" w:space="0"/>
              <w:left w:val="single" w:color="auto" w:sz="4" w:space="0"/>
              <w:bottom w:val="single" w:color="auto" w:sz="4" w:space="0"/>
              <w:right w:val="single" w:color="auto" w:sz="4" w:space="0"/>
            </w:tcBorders>
            <w:vAlign w:val="center"/>
          </w:tcPr>
          <w:p w14:paraId="1EF45B40">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质量标准</w:t>
            </w:r>
          </w:p>
        </w:tc>
        <w:tc>
          <w:tcPr>
            <w:tcW w:w="7243" w:type="dxa"/>
            <w:tcBorders>
              <w:top w:val="single" w:color="auto" w:sz="4" w:space="0"/>
              <w:left w:val="single" w:color="auto" w:sz="4" w:space="0"/>
              <w:bottom w:val="single" w:color="auto" w:sz="4" w:space="0"/>
              <w:right w:val="single" w:color="auto" w:sz="4" w:space="0"/>
            </w:tcBorders>
            <w:vAlign w:val="center"/>
          </w:tcPr>
          <w:p w14:paraId="591FBEC0">
            <w:pPr>
              <w:shd w:val="clear" w:color="auto" w:fill="FFFFFF"/>
              <w:autoSpaceDE w:val="0"/>
              <w:autoSpaceDN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符合国家质量安全标准及</w:t>
            </w:r>
            <w:r>
              <w:rPr>
                <w:rFonts w:hint="eastAsia" w:ascii="宋体" w:hAnsi="宋体" w:eastAsia="宋体" w:cs="宋体"/>
                <w:color w:val="auto"/>
                <w:kern w:val="0"/>
                <w:sz w:val="24"/>
                <w:szCs w:val="24"/>
                <w:highlight w:val="none"/>
                <w:lang w:val="en-US" w:eastAsia="zh-CN"/>
              </w:rPr>
              <w:t>竞争性磋商</w:t>
            </w:r>
            <w:r>
              <w:rPr>
                <w:rFonts w:hint="eastAsia" w:ascii="宋体" w:hAnsi="宋体" w:eastAsia="宋体" w:cs="宋体"/>
                <w:color w:val="auto"/>
                <w:kern w:val="0"/>
                <w:sz w:val="24"/>
                <w:szCs w:val="24"/>
                <w:highlight w:val="none"/>
              </w:rPr>
              <w:t>文件、答疑附件的质量要求</w:t>
            </w:r>
          </w:p>
        </w:tc>
      </w:tr>
      <w:tr w14:paraId="54ACFD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A1490E8">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930" w:type="dxa"/>
            <w:tcBorders>
              <w:top w:val="single" w:color="auto" w:sz="4" w:space="0"/>
              <w:left w:val="single" w:color="auto" w:sz="4" w:space="0"/>
              <w:bottom w:val="single" w:color="auto" w:sz="4" w:space="0"/>
              <w:right w:val="single" w:color="auto" w:sz="4" w:space="0"/>
            </w:tcBorders>
            <w:vAlign w:val="center"/>
          </w:tcPr>
          <w:p w14:paraId="2E48C8C7">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供应商资格</w:t>
            </w:r>
          </w:p>
        </w:tc>
        <w:tc>
          <w:tcPr>
            <w:tcW w:w="7243" w:type="dxa"/>
            <w:tcBorders>
              <w:top w:val="single" w:color="auto" w:sz="4" w:space="0"/>
              <w:left w:val="single" w:color="auto" w:sz="4" w:space="0"/>
              <w:bottom w:val="single" w:color="auto" w:sz="4" w:space="0"/>
              <w:right w:val="single" w:color="auto" w:sz="4" w:space="0"/>
            </w:tcBorders>
            <w:vAlign w:val="center"/>
          </w:tcPr>
          <w:p w14:paraId="6BA3F35B">
            <w:pPr>
              <w:shd w:val="clear" w:color="auto" w:fill="FFFFFF"/>
              <w:autoSpaceDE w:val="0"/>
              <w:autoSpaceDN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1.满足《中华人民共和国政府采购法》第二十二条规定；</w:t>
            </w:r>
          </w:p>
          <w:p w14:paraId="1D3C81FB">
            <w:pPr>
              <w:shd w:val="clear" w:color="auto" w:fill="FFFFFF"/>
              <w:autoSpaceDE w:val="0"/>
              <w:autoSpaceDN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2.落实政府采购政策需满足的资格要求：</w:t>
            </w:r>
            <w:r>
              <w:rPr>
                <w:rFonts w:hint="eastAsia" w:ascii="宋体" w:hAnsi="宋体" w:eastAsia="宋体" w:cs="宋体"/>
                <w:color w:val="auto"/>
                <w:sz w:val="24"/>
                <w:szCs w:val="24"/>
                <w:highlight w:val="none"/>
                <w:lang w:val="en-US" w:eastAsia="zh-CN"/>
              </w:rPr>
              <w:t>本项目专门面向小微企业</w:t>
            </w:r>
            <w:r>
              <w:rPr>
                <w:rFonts w:hint="eastAsia" w:ascii="宋体" w:hAnsi="宋体" w:eastAsia="宋体" w:cs="宋体"/>
                <w:sz w:val="24"/>
                <w:szCs w:val="24"/>
                <w:highlight w:val="none"/>
              </w:rPr>
              <w:t>；</w:t>
            </w:r>
          </w:p>
          <w:p w14:paraId="1EBC3CA4">
            <w:pPr>
              <w:shd w:val="clear" w:color="auto" w:fill="FFFFFF"/>
              <w:autoSpaceDE w:val="0"/>
              <w:autoSpaceDN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3.本项目的特定资格要求:</w:t>
            </w:r>
          </w:p>
          <w:p w14:paraId="24CC0B04">
            <w:pPr>
              <w:keepNext w:val="0"/>
              <w:keepLines w:val="0"/>
              <w:pageBreakBefore w:val="0"/>
              <w:widowControl w:val="0"/>
              <w:shd w:val="clear" w:color="auto" w:fill="FFFFFF"/>
              <w:kinsoku/>
              <w:wordWrap w:val="0"/>
              <w:overflowPunct/>
              <w:topLinePunct w:val="0"/>
              <w:autoSpaceDE w:val="0"/>
              <w:autoSpaceDN w:val="0"/>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sz w:val="24"/>
                <w:szCs w:val="24"/>
                <w:highlight w:val="none"/>
                <w:lang w:val="en-US" w:eastAsia="zh-CN"/>
              </w:rPr>
              <w:t>（1）供应商近三年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投标活动。（2）其他说明：（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14:paraId="2EB023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A6C4EED">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930" w:type="dxa"/>
            <w:tcBorders>
              <w:top w:val="single" w:color="auto" w:sz="4" w:space="0"/>
              <w:left w:val="single" w:color="auto" w:sz="4" w:space="0"/>
              <w:bottom w:val="single" w:color="auto" w:sz="4" w:space="0"/>
              <w:right w:val="single" w:color="auto" w:sz="4" w:space="0"/>
            </w:tcBorders>
            <w:vAlign w:val="center"/>
          </w:tcPr>
          <w:p w14:paraId="58168E4A">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响应文件份数</w:t>
            </w:r>
          </w:p>
        </w:tc>
        <w:tc>
          <w:tcPr>
            <w:tcW w:w="7243" w:type="dxa"/>
            <w:tcBorders>
              <w:top w:val="single" w:color="auto" w:sz="4" w:space="0"/>
              <w:left w:val="single" w:color="auto" w:sz="4" w:space="0"/>
              <w:bottom w:val="single" w:color="auto" w:sz="4" w:space="0"/>
              <w:right w:val="single" w:color="auto" w:sz="4" w:space="0"/>
            </w:tcBorders>
            <w:vAlign w:val="center"/>
          </w:tcPr>
          <w:p w14:paraId="3772F9A7">
            <w:pPr>
              <w:shd w:val="clear" w:color="auto" w:fill="FFFFFF"/>
              <w:autoSpaceDE w:val="0"/>
              <w:autoSpaceDN w:val="0"/>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（1）本项目采用远程不见面电子标的方式开标/磋商，供应商开标/磋商时无需提供纸质响应文件，须在响应文件递交截止时间前通过</w:t>
            </w:r>
            <w:r>
              <w:rPr>
                <w:rFonts w:hint="eastAsia" w:ascii="宋体" w:hAnsi="宋体" w:eastAsia="宋体" w:cs="宋体"/>
                <w:b/>
                <w:color w:val="auto"/>
                <w:kern w:val="0"/>
                <w:sz w:val="24"/>
                <w:szCs w:val="24"/>
                <w:highlight w:val="none"/>
                <w:lang w:eastAsia="zh-CN"/>
              </w:rPr>
              <w:t>新疆政府采购网</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eastAsia="zh-CN"/>
              </w:rPr>
              <w:t>http://www.ccgp-xinjiang.gov.cn/</w:t>
            </w:r>
            <w:r>
              <w:rPr>
                <w:rFonts w:hint="eastAsia" w:ascii="宋体" w:hAnsi="宋体" w:eastAsia="宋体" w:cs="宋体"/>
                <w:b/>
                <w:color w:val="auto"/>
                <w:kern w:val="0"/>
                <w:sz w:val="24"/>
                <w:szCs w:val="24"/>
                <w:highlight w:val="none"/>
              </w:rPr>
              <w:t>）的”政采云登录入口”登录后，将加密</w:t>
            </w:r>
            <w:r>
              <w:rPr>
                <w:rFonts w:hint="eastAsia" w:ascii="宋体" w:hAnsi="宋体" w:eastAsia="宋体" w:cs="宋体"/>
                <w:b/>
                <w:color w:val="auto"/>
                <w:kern w:val="0"/>
                <w:sz w:val="24"/>
                <w:szCs w:val="24"/>
                <w:highlight w:val="none"/>
                <w:lang w:val="zh-CN"/>
              </w:rPr>
              <w:t>电子</w:t>
            </w:r>
            <w:r>
              <w:rPr>
                <w:rFonts w:hint="eastAsia" w:ascii="宋体" w:hAnsi="宋体" w:eastAsia="宋体" w:cs="宋体"/>
                <w:b/>
                <w:color w:val="auto"/>
                <w:kern w:val="0"/>
                <w:sz w:val="24"/>
                <w:szCs w:val="24"/>
                <w:highlight w:val="none"/>
              </w:rPr>
              <w:t>响应文件</w:t>
            </w:r>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rPr>
              <w:t>为.jmbs后缀格式</w:t>
            </w:r>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rPr>
              <w:t>上</w:t>
            </w:r>
            <w:r>
              <w:rPr>
                <w:rFonts w:hint="eastAsia" w:ascii="宋体" w:hAnsi="宋体" w:eastAsia="宋体" w:cs="宋体"/>
                <w:b/>
                <w:color w:val="auto"/>
                <w:kern w:val="0"/>
                <w:sz w:val="24"/>
                <w:szCs w:val="24"/>
                <w:highlight w:val="none"/>
                <w:lang w:val="zh-CN"/>
              </w:rPr>
              <w:t>传到</w:t>
            </w:r>
            <w:r>
              <w:rPr>
                <w:rFonts w:hint="eastAsia" w:ascii="宋体" w:hAnsi="宋体" w:eastAsia="宋体" w:cs="宋体"/>
                <w:b/>
                <w:color w:val="auto"/>
                <w:kern w:val="0"/>
                <w:sz w:val="24"/>
                <w:szCs w:val="24"/>
                <w:highlight w:val="none"/>
              </w:rPr>
              <w:t>对应项目的的</w:t>
            </w:r>
            <w:r>
              <w:rPr>
                <w:rFonts w:hint="eastAsia" w:ascii="宋体" w:hAnsi="宋体" w:eastAsia="宋体" w:cs="宋体"/>
                <w:b/>
                <w:color w:val="auto"/>
                <w:kern w:val="0"/>
                <w:sz w:val="24"/>
                <w:szCs w:val="24"/>
                <w:highlight w:val="none"/>
                <w:lang w:val="zh-CN"/>
              </w:rPr>
              <w:t>指定</w:t>
            </w:r>
            <w:r>
              <w:rPr>
                <w:rFonts w:hint="eastAsia" w:ascii="宋体" w:hAnsi="宋体" w:eastAsia="宋体" w:cs="宋体"/>
                <w:b/>
                <w:color w:val="auto"/>
                <w:kern w:val="0"/>
                <w:sz w:val="24"/>
                <w:szCs w:val="24"/>
                <w:highlight w:val="none"/>
              </w:rPr>
              <w:t>位置。</w:t>
            </w:r>
          </w:p>
        </w:tc>
      </w:tr>
      <w:tr w14:paraId="48B95F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2282C031">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930" w:type="dxa"/>
            <w:tcBorders>
              <w:top w:val="single" w:color="auto" w:sz="4" w:space="0"/>
              <w:left w:val="single" w:color="auto" w:sz="4" w:space="0"/>
              <w:bottom w:val="single" w:color="auto" w:sz="4" w:space="0"/>
              <w:right w:val="single" w:color="auto" w:sz="4" w:space="0"/>
            </w:tcBorders>
            <w:vAlign w:val="center"/>
          </w:tcPr>
          <w:p w14:paraId="5FF69A6F">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响应文件递交截止时间</w:t>
            </w:r>
          </w:p>
        </w:tc>
        <w:tc>
          <w:tcPr>
            <w:tcW w:w="7243" w:type="dxa"/>
            <w:tcBorders>
              <w:top w:val="single" w:color="auto" w:sz="4" w:space="0"/>
              <w:left w:val="single" w:color="auto" w:sz="4" w:space="0"/>
              <w:bottom w:val="single" w:color="auto" w:sz="4" w:space="0"/>
              <w:right w:val="single" w:color="auto" w:sz="4" w:space="0"/>
            </w:tcBorders>
            <w:vAlign w:val="center"/>
          </w:tcPr>
          <w:p w14:paraId="72275AE4">
            <w:pPr>
              <w:shd w:val="clear" w:color="auto" w:fill="FFFFFF"/>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2025年</w:t>
            </w:r>
            <w:r>
              <w:rPr>
                <w:rFonts w:hint="eastAsia" w:ascii="宋体" w:hAnsi="宋体" w:eastAsia="宋体" w:cs="宋体"/>
                <w:color w:val="auto"/>
                <w:sz w:val="24"/>
                <w:szCs w:val="24"/>
                <w:highlight w:val="none"/>
                <w:lang w:val="en-US" w:eastAsia="zh-CN"/>
              </w:rPr>
              <w:t>04月21日11:00</w:t>
            </w:r>
            <w:r>
              <w:rPr>
                <w:rFonts w:hint="eastAsia" w:ascii="宋体" w:hAnsi="宋体" w:eastAsia="宋体" w:cs="宋体"/>
                <w:color w:val="auto"/>
                <w:kern w:val="0"/>
                <w:sz w:val="24"/>
                <w:szCs w:val="24"/>
                <w:highlight w:val="none"/>
              </w:rPr>
              <w:t>（北京时间）</w:t>
            </w:r>
          </w:p>
        </w:tc>
      </w:tr>
      <w:tr w14:paraId="57B125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3D0E7504">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w:t>
            </w:r>
          </w:p>
        </w:tc>
        <w:tc>
          <w:tcPr>
            <w:tcW w:w="1930" w:type="dxa"/>
            <w:tcBorders>
              <w:top w:val="single" w:color="auto" w:sz="4" w:space="0"/>
              <w:left w:val="single" w:color="auto" w:sz="4" w:space="0"/>
              <w:bottom w:val="single" w:color="auto" w:sz="4" w:space="0"/>
              <w:right w:val="single" w:color="auto" w:sz="4" w:space="0"/>
            </w:tcBorders>
            <w:vAlign w:val="center"/>
          </w:tcPr>
          <w:p w14:paraId="17BAE59D">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联合体</w:t>
            </w:r>
          </w:p>
        </w:tc>
        <w:tc>
          <w:tcPr>
            <w:tcW w:w="7243" w:type="dxa"/>
            <w:tcBorders>
              <w:top w:val="single" w:color="auto" w:sz="4" w:space="0"/>
              <w:left w:val="single" w:color="auto" w:sz="4" w:space="0"/>
              <w:bottom w:val="single" w:color="auto" w:sz="4" w:space="0"/>
              <w:right w:val="single" w:color="auto" w:sz="4" w:space="0"/>
            </w:tcBorders>
            <w:vAlign w:val="center"/>
          </w:tcPr>
          <w:p w14:paraId="5EE2F3A3">
            <w:pPr>
              <w:shd w:val="clear" w:color="auto" w:fill="FFFFFF"/>
              <w:autoSpaceDE w:val="0"/>
              <w:autoSpaceDN w:val="0"/>
              <w:spacing w:line="360" w:lineRule="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不接受</w:t>
            </w:r>
          </w:p>
        </w:tc>
      </w:tr>
      <w:tr w14:paraId="42BE91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44EF0AE3">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8</w:t>
            </w:r>
          </w:p>
        </w:tc>
        <w:tc>
          <w:tcPr>
            <w:tcW w:w="1930" w:type="dxa"/>
            <w:tcBorders>
              <w:top w:val="single" w:color="auto" w:sz="4" w:space="0"/>
              <w:left w:val="single" w:color="auto" w:sz="4" w:space="0"/>
              <w:bottom w:val="single" w:color="auto" w:sz="4" w:space="0"/>
              <w:right w:val="single" w:color="auto" w:sz="4" w:space="0"/>
            </w:tcBorders>
            <w:vAlign w:val="center"/>
          </w:tcPr>
          <w:p w14:paraId="198074FA">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磋商有效期限</w:t>
            </w:r>
          </w:p>
        </w:tc>
        <w:tc>
          <w:tcPr>
            <w:tcW w:w="7243" w:type="dxa"/>
            <w:tcBorders>
              <w:top w:val="single" w:color="auto" w:sz="4" w:space="0"/>
              <w:left w:val="single" w:color="auto" w:sz="4" w:space="0"/>
              <w:bottom w:val="single" w:color="auto" w:sz="4" w:space="0"/>
              <w:right w:val="single" w:color="auto" w:sz="4" w:space="0"/>
            </w:tcBorders>
            <w:vAlign w:val="center"/>
          </w:tcPr>
          <w:p w14:paraId="22B9109B">
            <w:pPr>
              <w:shd w:val="clear" w:color="auto" w:fill="FFFFFF"/>
              <w:autoSpaceDE w:val="0"/>
              <w:autoSpaceDN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响应文件递交截止后</w:t>
            </w:r>
            <w:r>
              <w:rPr>
                <w:rFonts w:hint="eastAsia" w:ascii="宋体" w:hAnsi="宋体" w:eastAsia="宋体" w:cs="宋体"/>
                <w:color w:val="auto"/>
                <w:kern w:val="0"/>
                <w:sz w:val="24"/>
                <w:szCs w:val="24"/>
                <w:highlight w:val="none"/>
                <w:u w:val="single"/>
              </w:rPr>
              <w:t>90</w:t>
            </w:r>
            <w:r>
              <w:rPr>
                <w:rFonts w:hint="eastAsia" w:ascii="宋体" w:hAnsi="宋体" w:eastAsia="宋体" w:cs="宋体"/>
                <w:color w:val="auto"/>
                <w:kern w:val="0"/>
                <w:sz w:val="24"/>
                <w:szCs w:val="24"/>
                <w:highlight w:val="none"/>
              </w:rPr>
              <w:t>天（日历日）</w:t>
            </w:r>
          </w:p>
        </w:tc>
      </w:tr>
      <w:tr w14:paraId="2EBCCA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C19FBDB">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9</w:t>
            </w:r>
          </w:p>
        </w:tc>
        <w:tc>
          <w:tcPr>
            <w:tcW w:w="1930" w:type="dxa"/>
            <w:tcBorders>
              <w:top w:val="single" w:color="auto" w:sz="4" w:space="0"/>
              <w:left w:val="single" w:color="auto" w:sz="4" w:space="0"/>
              <w:bottom w:val="single" w:color="auto" w:sz="4" w:space="0"/>
              <w:right w:val="single" w:color="auto" w:sz="4" w:space="0"/>
            </w:tcBorders>
            <w:vAlign w:val="center"/>
          </w:tcPr>
          <w:p w14:paraId="34324FCF">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响应文件递交地点</w:t>
            </w:r>
          </w:p>
        </w:tc>
        <w:tc>
          <w:tcPr>
            <w:tcW w:w="7243" w:type="dxa"/>
            <w:tcBorders>
              <w:top w:val="single" w:color="auto" w:sz="4" w:space="0"/>
              <w:left w:val="single" w:color="auto" w:sz="4" w:space="0"/>
              <w:bottom w:val="single" w:color="auto" w:sz="4" w:space="0"/>
              <w:right w:val="single" w:color="auto" w:sz="4" w:space="0"/>
            </w:tcBorders>
            <w:vAlign w:val="center"/>
          </w:tcPr>
          <w:p w14:paraId="3E3B73F6">
            <w:pPr>
              <w:widowControl/>
              <w:shd w:val="clear" w:color="auto" w:fill="FFFFFF"/>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线上递交，通过</w:t>
            </w:r>
            <w:r>
              <w:rPr>
                <w:rFonts w:hint="eastAsia" w:ascii="宋体" w:hAnsi="宋体" w:eastAsia="宋体" w:cs="宋体"/>
                <w:b/>
                <w:color w:val="auto"/>
                <w:kern w:val="0"/>
                <w:sz w:val="24"/>
                <w:szCs w:val="24"/>
                <w:highlight w:val="none"/>
                <w:lang w:eastAsia="zh-CN"/>
              </w:rPr>
              <w:t>新疆政府采购网</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eastAsia="zh-CN"/>
              </w:rPr>
              <w:t>http://www.ccgp-xinjiang.gov.cn/</w:t>
            </w:r>
            <w:r>
              <w:rPr>
                <w:rFonts w:hint="eastAsia" w:ascii="宋体" w:hAnsi="宋体" w:eastAsia="宋体" w:cs="宋体"/>
                <w:b/>
                <w:color w:val="auto"/>
                <w:kern w:val="0"/>
                <w:sz w:val="24"/>
                <w:szCs w:val="24"/>
                <w:highlight w:val="none"/>
              </w:rPr>
              <w:t>）的”政采云登录入口”登录后，将加密</w:t>
            </w:r>
            <w:r>
              <w:rPr>
                <w:rFonts w:hint="eastAsia" w:ascii="宋体" w:hAnsi="宋体" w:eastAsia="宋体" w:cs="宋体"/>
                <w:b/>
                <w:color w:val="auto"/>
                <w:kern w:val="0"/>
                <w:sz w:val="24"/>
                <w:szCs w:val="24"/>
                <w:highlight w:val="none"/>
                <w:lang w:val="zh-CN"/>
              </w:rPr>
              <w:t>电子</w:t>
            </w:r>
            <w:r>
              <w:rPr>
                <w:rFonts w:hint="eastAsia" w:ascii="宋体" w:hAnsi="宋体" w:eastAsia="宋体" w:cs="宋体"/>
                <w:b/>
                <w:color w:val="auto"/>
                <w:kern w:val="0"/>
                <w:sz w:val="24"/>
                <w:szCs w:val="24"/>
                <w:highlight w:val="none"/>
              </w:rPr>
              <w:t>响应文件上</w:t>
            </w:r>
            <w:r>
              <w:rPr>
                <w:rFonts w:hint="eastAsia" w:ascii="宋体" w:hAnsi="宋体" w:eastAsia="宋体" w:cs="宋体"/>
                <w:b/>
                <w:color w:val="auto"/>
                <w:kern w:val="0"/>
                <w:sz w:val="24"/>
                <w:szCs w:val="24"/>
                <w:highlight w:val="none"/>
                <w:lang w:val="zh-CN"/>
              </w:rPr>
              <w:t>传到</w:t>
            </w:r>
            <w:r>
              <w:rPr>
                <w:rFonts w:hint="eastAsia" w:ascii="宋体" w:hAnsi="宋体" w:eastAsia="宋体" w:cs="宋体"/>
                <w:b/>
                <w:color w:val="auto"/>
                <w:kern w:val="0"/>
                <w:sz w:val="24"/>
                <w:szCs w:val="24"/>
                <w:highlight w:val="none"/>
              </w:rPr>
              <w:t>对应项目的的</w:t>
            </w:r>
            <w:r>
              <w:rPr>
                <w:rFonts w:hint="eastAsia" w:ascii="宋体" w:hAnsi="宋体" w:eastAsia="宋体" w:cs="宋体"/>
                <w:b/>
                <w:color w:val="auto"/>
                <w:kern w:val="0"/>
                <w:sz w:val="24"/>
                <w:szCs w:val="24"/>
                <w:highlight w:val="none"/>
                <w:lang w:val="zh-CN"/>
              </w:rPr>
              <w:t>指定</w:t>
            </w:r>
            <w:r>
              <w:rPr>
                <w:rFonts w:hint="eastAsia" w:ascii="宋体" w:hAnsi="宋体" w:eastAsia="宋体" w:cs="宋体"/>
                <w:b/>
                <w:color w:val="auto"/>
                <w:kern w:val="0"/>
                <w:sz w:val="24"/>
                <w:szCs w:val="24"/>
                <w:highlight w:val="none"/>
              </w:rPr>
              <w:t>位置</w:t>
            </w:r>
          </w:p>
        </w:tc>
      </w:tr>
      <w:tr w14:paraId="0D7FDB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37FCB6F3">
            <w:pPr>
              <w:shd w:val="clear" w:color="auto" w:fill="FFFFFF"/>
              <w:autoSpaceDE w:val="0"/>
              <w:autoSpaceDN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1930" w:type="dxa"/>
            <w:tcBorders>
              <w:top w:val="single" w:color="auto" w:sz="4" w:space="0"/>
              <w:left w:val="single" w:color="auto" w:sz="4" w:space="0"/>
              <w:bottom w:val="single" w:color="auto" w:sz="4" w:space="0"/>
              <w:right w:val="single" w:color="auto" w:sz="4" w:space="0"/>
            </w:tcBorders>
            <w:vAlign w:val="center"/>
          </w:tcPr>
          <w:p w14:paraId="1BEAB6F7">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磋商时间、磋商地点</w:t>
            </w:r>
          </w:p>
        </w:tc>
        <w:tc>
          <w:tcPr>
            <w:tcW w:w="7243" w:type="dxa"/>
            <w:tcBorders>
              <w:top w:val="single" w:color="auto" w:sz="4" w:space="0"/>
              <w:left w:val="single" w:color="auto" w:sz="4" w:space="0"/>
              <w:bottom w:val="single" w:color="auto" w:sz="4" w:space="0"/>
              <w:right w:val="single" w:color="auto" w:sz="4" w:space="0"/>
            </w:tcBorders>
            <w:vAlign w:val="center"/>
          </w:tcPr>
          <w:p w14:paraId="188C2241">
            <w:pPr>
              <w:keepNext w:val="0"/>
              <w:keepLines w:val="0"/>
              <w:pageBreakBefore w:val="0"/>
              <w:widowControl w:val="0"/>
              <w:shd w:val="clear" w:color="auto" w:fill="FFFFFF"/>
              <w:kinsoku/>
              <w:wordWrap w:val="0"/>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rPr>
              <w:t>磋商</w:t>
            </w:r>
            <w:r>
              <w:rPr>
                <w:rFonts w:hint="eastAsia" w:ascii="宋体" w:hAnsi="宋体" w:eastAsia="宋体" w:cs="宋体"/>
                <w:color w:val="auto"/>
                <w:kern w:val="0"/>
                <w:sz w:val="24"/>
                <w:szCs w:val="24"/>
                <w:highlight w:val="none"/>
                <w:lang w:val="en-US"/>
              </w:rPr>
              <w:t>时间</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rPr>
              <w:t>同</w:t>
            </w:r>
            <w:r>
              <w:rPr>
                <w:rFonts w:hint="eastAsia" w:ascii="宋体" w:hAnsi="宋体" w:eastAsia="宋体" w:cs="宋体"/>
                <w:color w:val="auto"/>
                <w:kern w:val="0"/>
                <w:sz w:val="24"/>
                <w:szCs w:val="24"/>
                <w:highlight w:val="none"/>
              </w:rPr>
              <w:t>响应文件递交截止时间</w:t>
            </w:r>
          </w:p>
          <w:p w14:paraId="5DAAB915">
            <w:pPr>
              <w:keepNext w:val="0"/>
              <w:keepLines w:val="0"/>
              <w:pageBreakBefore w:val="0"/>
              <w:widowControl w:val="0"/>
              <w:shd w:val="clear" w:color="auto" w:fill="FFFFFF"/>
              <w:kinsoku/>
              <w:wordWrap w:val="0"/>
              <w:overflowPunct/>
              <w:topLinePunct w:val="0"/>
              <w:autoSpaceDE w:val="0"/>
              <w:autoSpaceDN w:val="0"/>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磋商地址：</w:t>
            </w:r>
            <w:r>
              <w:rPr>
                <w:rFonts w:hint="eastAsia" w:ascii="宋体" w:hAnsi="宋体" w:eastAsia="宋体" w:cs="宋体"/>
                <w:bCs/>
                <w:color w:val="auto"/>
                <w:kern w:val="0"/>
                <w:sz w:val="24"/>
                <w:szCs w:val="24"/>
                <w:highlight w:val="none"/>
              </w:rPr>
              <w:t>通过</w:t>
            </w:r>
            <w:r>
              <w:rPr>
                <w:rFonts w:hint="eastAsia" w:ascii="宋体" w:hAnsi="宋体" w:eastAsia="宋体" w:cs="宋体"/>
                <w:bCs/>
                <w:color w:val="auto"/>
                <w:kern w:val="0"/>
                <w:sz w:val="24"/>
                <w:szCs w:val="24"/>
                <w:highlight w:val="none"/>
                <w:lang w:eastAsia="zh-CN"/>
              </w:rPr>
              <w:t>新疆政府采购网</w:t>
            </w: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eastAsia="zh-CN"/>
              </w:rPr>
              <w:t>http://www.ccgp-xinjiang.gov.cn/</w:t>
            </w:r>
            <w:r>
              <w:rPr>
                <w:rFonts w:hint="eastAsia" w:ascii="宋体" w:hAnsi="宋体" w:eastAsia="宋体" w:cs="宋体"/>
                <w:bCs/>
                <w:color w:val="auto"/>
                <w:kern w:val="0"/>
                <w:sz w:val="24"/>
                <w:szCs w:val="24"/>
                <w:highlight w:val="none"/>
              </w:rPr>
              <w:t>）的”政采云登录入口”登录后，进入“</w:t>
            </w:r>
            <w:r>
              <w:rPr>
                <w:rFonts w:hint="eastAsia" w:ascii="宋体" w:hAnsi="宋体" w:eastAsia="宋体" w:cs="宋体"/>
                <w:color w:val="auto"/>
                <w:kern w:val="0"/>
                <w:sz w:val="24"/>
                <w:szCs w:val="24"/>
                <w:highlight w:val="none"/>
              </w:rPr>
              <w:t>政采云远程开标大厅</w:t>
            </w:r>
            <w:r>
              <w:rPr>
                <w:rFonts w:hint="eastAsia" w:ascii="宋体" w:hAnsi="宋体" w:eastAsia="宋体" w:cs="宋体"/>
                <w:bCs/>
                <w:color w:val="auto"/>
                <w:kern w:val="0"/>
                <w:sz w:val="24"/>
                <w:szCs w:val="24"/>
                <w:highlight w:val="none"/>
              </w:rPr>
              <w:t>”</w:t>
            </w:r>
          </w:p>
        </w:tc>
      </w:tr>
      <w:tr w14:paraId="36274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42462220">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1</w:t>
            </w:r>
          </w:p>
        </w:tc>
        <w:tc>
          <w:tcPr>
            <w:tcW w:w="1930" w:type="dxa"/>
            <w:tcBorders>
              <w:top w:val="single" w:color="auto" w:sz="4" w:space="0"/>
              <w:left w:val="single" w:color="auto" w:sz="4" w:space="0"/>
              <w:bottom w:val="single" w:color="auto" w:sz="4" w:space="0"/>
              <w:right w:val="single" w:color="auto" w:sz="4" w:space="0"/>
            </w:tcBorders>
            <w:vAlign w:val="center"/>
          </w:tcPr>
          <w:p w14:paraId="4E5775F8">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评审办法</w:t>
            </w:r>
          </w:p>
        </w:tc>
        <w:tc>
          <w:tcPr>
            <w:tcW w:w="7243" w:type="dxa"/>
            <w:tcBorders>
              <w:top w:val="single" w:color="auto" w:sz="4" w:space="0"/>
              <w:left w:val="single" w:color="auto" w:sz="4" w:space="0"/>
              <w:bottom w:val="single" w:color="auto" w:sz="4" w:space="0"/>
              <w:right w:val="single" w:color="auto" w:sz="4" w:space="0"/>
            </w:tcBorders>
            <w:vAlign w:val="center"/>
          </w:tcPr>
          <w:p w14:paraId="378DFCE7">
            <w:pPr>
              <w:pStyle w:val="36"/>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本项目的评审方法为：综合评分法，即供应商在通过初步审查，且提供最后报价的供应商进行商务、技术评审，磋商小组根据综合得分由高到低进行排序，推荐前三名为成交候选单位。经采购人确认后确定排名第一的供应商为本项目的成交供应商。</w:t>
            </w:r>
          </w:p>
        </w:tc>
      </w:tr>
      <w:tr w14:paraId="6517B2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8954D80">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2</w:t>
            </w:r>
          </w:p>
        </w:tc>
        <w:tc>
          <w:tcPr>
            <w:tcW w:w="1930" w:type="dxa"/>
            <w:tcBorders>
              <w:top w:val="single" w:color="auto" w:sz="4" w:space="0"/>
              <w:left w:val="single" w:color="auto" w:sz="4" w:space="0"/>
              <w:bottom w:val="single" w:color="auto" w:sz="4" w:space="0"/>
              <w:right w:val="single" w:color="auto" w:sz="4" w:space="0"/>
            </w:tcBorders>
            <w:vAlign w:val="center"/>
          </w:tcPr>
          <w:p w14:paraId="3BF7E6CD">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磋商保证金</w:t>
            </w:r>
          </w:p>
        </w:tc>
        <w:tc>
          <w:tcPr>
            <w:tcW w:w="7243" w:type="dxa"/>
            <w:tcBorders>
              <w:top w:val="single" w:color="auto" w:sz="4" w:space="0"/>
              <w:left w:val="single" w:color="auto" w:sz="4" w:space="0"/>
              <w:bottom w:val="single" w:color="auto" w:sz="4" w:space="0"/>
              <w:right w:val="single" w:color="auto" w:sz="4" w:space="0"/>
            </w:tcBorders>
            <w:vAlign w:val="center"/>
          </w:tcPr>
          <w:p w14:paraId="0A664BAC">
            <w:pPr>
              <w:pStyle w:val="4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不交纳 </w:t>
            </w:r>
          </w:p>
          <w:p w14:paraId="79E2E007">
            <w:pPr>
              <w:pStyle w:val="4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交纳</w:t>
            </w:r>
          </w:p>
          <w:p w14:paraId="458B7937">
            <w:pPr>
              <w:pStyle w:val="8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缴纳方式：电汇、网银转账或支票、汇票、本票、保函等非现金形式。</w:t>
            </w:r>
          </w:p>
          <w:p w14:paraId="764B6191">
            <w:pPr>
              <w:pStyle w:val="4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金额（小写）：</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rPr>
              <w:t>000元</w:t>
            </w:r>
          </w:p>
          <w:p w14:paraId="2F22F519">
            <w:pPr>
              <w:pStyle w:val="4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color w:val="auto"/>
                <w:kern w:val="0"/>
                <w:sz w:val="24"/>
                <w:szCs w:val="24"/>
                <w:highlight w:val="none"/>
              </w:rPr>
              <w:t>金额（大写）：</w:t>
            </w:r>
            <w:r>
              <w:rPr>
                <w:rFonts w:hint="eastAsia" w:ascii="宋体" w:hAnsi="宋体" w:cs="宋体"/>
                <w:color w:val="auto"/>
                <w:kern w:val="0"/>
                <w:sz w:val="24"/>
                <w:szCs w:val="24"/>
                <w:highlight w:val="none"/>
                <w:lang w:val="en-US" w:eastAsia="zh-CN"/>
              </w:rPr>
              <w:t>壹万</w:t>
            </w:r>
            <w:r>
              <w:rPr>
                <w:rFonts w:hint="eastAsia" w:ascii="宋体" w:hAnsi="宋体" w:eastAsia="宋体" w:cs="宋体"/>
                <w:color w:val="auto"/>
                <w:kern w:val="0"/>
                <w:sz w:val="24"/>
                <w:szCs w:val="24"/>
                <w:highlight w:val="none"/>
                <w:lang w:val="en-US" w:eastAsia="zh-CN"/>
              </w:rPr>
              <w:t>元整</w:t>
            </w:r>
          </w:p>
          <w:p w14:paraId="31704354">
            <w:pPr>
              <w:pStyle w:val="58"/>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账户名称：中招国际招标有限公司新疆分公司</w:t>
            </w:r>
          </w:p>
          <w:p w14:paraId="27B2EB85">
            <w:pPr>
              <w:pStyle w:val="58"/>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开户行名称：中国工商银行股份有限公司南湖北路支行</w:t>
            </w:r>
          </w:p>
          <w:p w14:paraId="2FBECF8E">
            <w:pPr>
              <w:pStyle w:val="58"/>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账号：3002 0128 1910 0057 504</w:t>
            </w:r>
          </w:p>
          <w:p w14:paraId="3B123CF5">
            <w:pPr>
              <w:pStyle w:val="58"/>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到账截止时间：202</w:t>
            </w:r>
            <w:r>
              <w:rPr>
                <w:rFonts w:hint="eastAsia" w:ascii="宋体" w:hAnsi="宋体" w:cs="宋体"/>
                <w:b/>
                <w:color w:val="auto"/>
                <w:sz w:val="24"/>
                <w:szCs w:val="24"/>
                <w:highlight w:val="none"/>
                <w:lang w:val="en-US" w:eastAsia="zh-CN"/>
              </w:rPr>
              <w:t>5</w:t>
            </w:r>
            <w:r>
              <w:rPr>
                <w:rFonts w:hint="eastAsia" w:ascii="宋体" w:hAnsi="宋体" w:eastAsia="宋体" w:cs="宋体"/>
                <w:b/>
                <w:color w:val="auto"/>
                <w:sz w:val="24"/>
                <w:szCs w:val="24"/>
                <w:highlight w:val="none"/>
              </w:rPr>
              <w:t>年</w:t>
            </w:r>
            <w:r>
              <w:rPr>
                <w:rFonts w:hint="eastAsia" w:ascii="宋体" w:hAnsi="宋体" w:cs="宋体"/>
                <w:b/>
                <w:color w:val="auto"/>
                <w:sz w:val="24"/>
                <w:szCs w:val="24"/>
                <w:highlight w:val="none"/>
                <w:lang w:val="en-US" w:eastAsia="zh-CN"/>
              </w:rPr>
              <w:t>04</w:t>
            </w:r>
            <w:r>
              <w:rPr>
                <w:rFonts w:hint="eastAsia" w:ascii="宋体" w:hAnsi="宋体" w:eastAsia="宋体" w:cs="宋体"/>
                <w:b/>
                <w:color w:val="auto"/>
                <w:sz w:val="24"/>
                <w:szCs w:val="24"/>
                <w:highlight w:val="none"/>
                <w:lang w:val="en-US" w:eastAsia="zh-CN"/>
              </w:rPr>
              <w:t>月</w:t>
            </w:r>
            <w:r>
              <w:rPr>
                <w:rFonts w:hint="eastAsia" w:ascii="宋体" w:hAnsi="宋体" w:cs="宋体"/>
                <w:b/>
                <w:color w:val="auto"/>
                <w:sz w:val="24"/>
                <w:szCs w:val="24"/>
                <w:highlight w:val="none"/>
                <w:lang w:val="en-US" w:eastAsia="zh-CN"/>
              </w:rPr>
              <w:t>21</w:t>
            </w:r>
            <w:bookmarkStart w:id="231" w:name="_GoBack"/>
            <w:bookmarkEnd w:id="231"/>
            <w:r>
              <w:rPr>
                <w:rFonts w:hint="eastAsia" w:ascii="宋体" w:hAnsi="宋体" w:eastAsia="宋体" w:cs="宋体"/>
                <w:b/>
                <w:color w:val="auto"/>
                <w:sz w:val="24"/>
                <w:szCs w:val="24"/>
                <w:highlight w:val="none"/>
                <w:lang w:val="en-US" w:eastAsia="zh-CN"/>
              </w:rPr>
              <w:t>日</w:t>
            </w:r>
            <w:r>
              <w:rPr>
                <w:rFonts w:hint="eastAsia" w:ascii="宋体" w:hAnsi="宋体" w:cs="宋体"/>
                <w:b/>
                <w:color w:val="auto"/>
                <w:sz w:val="24"/>
                <w:szCs w:val="24"/>
                <w:highlight w:val="none"/>
                <w:lang w:eastAsia="zh-CN"/>
              </w:rPr>
              <w:t>11:00</w:t>
            </w:r>
            <w:r>
              <w:rPr>
                <w:rFonts w:hint="eastAsia" w:ascii="宋体" w:hAnsi="宋体" w:eastAsia="宋体" w:cs="宋体"/>
                <w:b/>
                <w:color w:val="auto"/>
                <w:sz w:val="24"/>
                <w:szCs w:val="24"/>
                <w:highlight w:val="none"/>
              </w:rPr>
              <w:t>（北京时间）</w:t>
            </w:r>
          </w:p>
          <w:p w14:paraId="6652D20A">
            <w:pPr>
              <w:pStyle w:val="8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rPr>
            </w:pPr>
            <w:r>
              <w:rPr>
                <w:rFonts w:hint="eastAsia" w:ascii="宋体" w:hAnsi="宋体" w:eastAsia="宋体" w:cs="宋体"/>
                <w:bCs/>
                <w:color w:val="auto"/>
                <w:sz w:val="24"/>
                <w:szCs w:val="24"/>
                <w:highlight w:val="none"/>
              </w:rPr>
              <w:t>注：</w:t>
            </w:r>
            <w:r>
              <w:rPr>
                <w:rFonts w:hint="eastAsia" w:ascii="宋体" w:hAnsi="宋体" w:eastAsia="宋体" w:cs="宋体"/>
                <w:color w:val="auto"/>
                <w:kern w:val="2"/>
                <w:sz w:val="24"/>
                <w:szCs w:val="24"/>
                <w:highlight w:val="none"/>
              </w:rPr>
              <w:t>1.如果发现供应商有围标、串标行为，其响应无效，且</w:t>
            </w:r>
            <w:r>
              <w:rPr>
                <w:rFonts w:hint="eastAsia" w:ascii="宋体" w:hAnsi="宋体" w:eastAsia="宋体" w:cs="宋体"/>
                <w:color w:val="auto"/>
                <w:kern w:val="2"/>
                <w:sz w:val="24"/>
                <w:szCs w:val="24"/>
                <w:highlight w:val="none"/>
                <w:lang w:val="en-US" w:eastAsia="zh-CN"/>
              </w:rPr>
              <w:t>磋商保证金</w:t>
            </w:r>
            <w:r>
              <w:rPr>
                <w:rFonts w:hint="eastAsia" w:ascii="宋体" w:hAnsi="宋体" w:eastAsia="宋体" w:cs="宋体"/>
                <w:color w:val="auto"/>
                <w:kern w:val="2"/>
                <w:sz w:val="24"/>
                <w:szCs w:val="24"/>
                <w:highlight w:val="none"/>
              </w:rPr>
              <w:t>将被没收，不予退还；</w:t>
            </w:r>
          </w:p>
          <w:p w14:paraId="65C554B2">
            <w:pPr>
              <w:pStyle w:val="8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磋商保证金</w:t>
            </w:r>
            <w:r>
              <w:rPr>
                <w:rFonts w:hint="eastAsia" w:ascii="宋体" w:hAnsi="宋体" w:eastAsia="宋体" w:cs="宋体"/>
                <w:color w:val="auto"/>
                <w:kern w:val="2"/>
                <w:sz w:val="24"/>
                <w:szCs w:val="24"/>
                <w:highlight w:val="none"/>
              </w:rPr>
              <w:t>未按规定时间缴纳或提交金额不足的，将被视为无效响应,其响应文件将不予接受。供应商应充分考虑资金在途时间）；</w:t>
            </w:r>
          </w:p>
          <w:p w14:paraId="269AA775">
            <w:pPr>
              <w:pStyle w:val="8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3.供应商递交保证金时请在汇款时注明“项目</w:t>
            </w:r>
            <w:r>
              <w:rPr>
                <w:rFonts w:hint="eastAsia" w:ascii="宋体" w:hAnsi="宋体" w:eastAsia="宋体" w:cs="宋体"/>
                <w:color w:val="auto"/>
                <w:kern w:val="2"/>
                <w:sz w:val="24"/>
                <w:szCs w:val="24"/>
                <w:highlight w:val="none"/>
                <w:lang w:val="en-US" w:eastAsia="zh-CN"/>
              </w:rPr>
              <w:t>名称</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项目</w:t>
            </w:r>
            <w:r>
              <w:rPr>
                <w:rFonts w:hint="eastAsia" w:ascii="宋体" w:hAnsi="宋体" w:eastAsia="宋体" w:cs="宋体"/>
                <w:color w:val="auto"/>
                <w:kern w:val="2"/>
                <w:sz w:val="24"/>
                <w:szCs w:val="24"/>
                <w:highlight w:val="none"/>
              </w:rPr>
              <w:t>编号”，对因未注明项目简称及汇款事由而造成保证金不能及时到账的，后果由供应商自负。</w:t>
            </w:r>
          </w:p>
          <w:p w14:paraId="016AF405">
            <w:pPr>
              <w:pStyle w:val="8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可以支票、汇票、本票或者金融机构、保险公司、担保机构出具的电子保函等非现金形式提交，优先以政采云电子保函方式缴纳，具体办理流程详见新疆政府采购网《新疆维吾尔自治区政府采购电子保函工作方案》。</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以电子保函形式缴纳</w:t>
            </w:r>
            <w:r>
              <w:rPr>
                <w:rFonts w:hint="eastAsia" w:ascii="宋体" w:hAnsi="宋体" w:eastAsia="宋体" w:cs="宋体"/>
                <w:color w:val="auto"/>
                <w:kern w:val="2"/>
                <w:sz w:val="24"/>
                <w:szCs w:val="24"/>
                <w:highlight w:val="none"/>
                <w:lang w:eastAsia="zh-CN"/>
              </w:rPr>
              <w:t>磋商保证金</w:t>
            </w:r>
            <w:r>
              <w:rPr>
                <w:rFonts w:hint="eastAsia" w:ascii="宋体" w:hAnsi="宋体" w:eastAsia="宋体" w:cs="宋体"/>
                <w:color w:val="auto"/>
                <w:kern w:val="2"/>
                <w:sz w:val="24"/>
                <w:szCs w:val="24"/>
                <w:highlight w:val="none"/>
              </w:rPr>
              <w:t>的，应通过“新疆政府采购网”的“电子保函”模块申请购买：</w:t>
            </w:r>
          </w:p>
          <w:p w14:paraId="4E735E1C">
            <w:pPr>
              <w:pStyle w:val="8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直达链接（电子保函）：</w:t>
            </w:r>
          </w:p>
          <w:p w14:paraId="57F2F422">
            <w:pPr>
              <w:pStyle w:val="8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https://jinrong.zcygov.cn/luban/finance/letter/xinjiang?pageModelFlag=650000</w:t>
            </w:r>
          </w:p>
          <w:p w14:paraId="19E0EB98">
            <w:pPr>
              <w:pStyle w:val="41"/>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rPr>
              <w:t>金融服务支撑热线：0991-2661159。</w:t>
            </w:r>
          </w:p>
        </w:tc>
      </w:tr>
      <w:tr w14:paraId="4A72C1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7D46DD5A">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3</w:t>
            </w:r>
          </w:p>
        </w:tc>
        <w:tc>
          <w:tcPr>
            <w:tcW w:w="1930" w:type="dxa"/>
            <w:tcBorders>
              <w:top w:val="single" w:color="auto" w:sz="4" w:space="0"/>
              <w:left w:val="single" w:color="auto" w:sz="4" w:space="0"/>
              <w:bottom w:val="single" w:color="auto" w:sz="4" w:space="0"/>
              <w:right w:val="single" w:color="auto" w:sz="4" w:space="0"/>
            </w:tcBorders>
            <w:vAlign w:val="center"/>
          </w:tcPr>
          <w:p w14:paraId="580C57F5">
            <w:pPr>
              <w:pStyle w:val="41"/>
              <w:shd w:val="clear" w:color="auto" w:fill="FFFFFF"/>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对竞争性磋商文件的质疑</w:t>
            </w:r>
          </w:p>
        </w:tc>
        <w:tc>
          <w:tcPr>
            <w:tcW w:w="7243" w:type="dxa"/>
            <w:tcBorders>
              <w:top w:val="single" w:color="auto" w:sz="4" w:space="0"/>
              <w:left w:val="single" w:color="auto" w:sz="4" w:space="0"/>
              <w:bottom w:val="single" w:color="auto" w:sz="4" w:space="0"/>
              <w:right w:val="single" w:color="auto" w:sz="4" w:space="0"/>
            </w:tcBorders>
            <w:vAlign w:val="center"/>
          </w:tcPr>
          <w:p w14:paraId="03A6A947">
            <w:pPr>
              <w:pStyle w:val="41"/>
              <w:shd w:val="clear" w:color="auto" w:fill="FFFFFF"/>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供应商若对竞争性磋商文件内容质疑，须按以下要求提出：</w:t>
            </w:r>
          </w:p>
          <w:p w14:paraId="0BFC7A1C">
            <w:pPr>
              <w:pStyle w:val="41"/>
              <w:shd w:val="clear" w:color="auto" w:fill="FFFFFF"/>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对采购过程提出质疑时间：为各采购程序环节结束之日起七个工作日内。</w:t>
            </w:r>
          </w:p>
          <w:p w14:paraId="10FA0DAF">
            <w:pPr>
              <w:pStyle w:val="41"/>
              <w:shd w:val="clear" w:color="auto" w:fill="FFFFFF"/>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对采购结果提出质疑时间：为中标结果公告发布次日后七个工作日内。</w:t>
            </w:r>
          </w:p>
          <w:p w14:paraId="1BA23346">
            <w:pPr>
              <w:pStyle w:val="41"/>
              <w:shd w:val="clear" w:color="auto" w:fill="FFFFFF"/>
              <w:spacing w:line="360" w:lineRule="auto"/>
              <w:ind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eastAsia="宋体" w:cs="宋体"/>
                <w:color w:val="auto"/>
                <w:sz w:val="24"/>
                <w:szCs w:val="24"/>
                <w:highlight w:val="none"/>
                <w:lang w:val="en-US" w:eastAsia="zh-CN"/>
              </w:rPr>
              <w:t>程建军</w:t>
            </w:r>
          </w:p>
          <w:p w14:paraId="275B0AA5">
            <w:pPr>
              <w:pStyle w:val="41"/>
              <w:shd w:val="clear" w:color="auto" w:fill="FFFFFF"/>
              <w:spacing w:line="360" w:lineRule="auto"/>
              <w:ind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联系电话：1</w:t>
            </w:r>
            <w:r>
              <w:rPr>
                <w:rFonts w:hint="eastAsia" w:ascii="宋体" w:eastAsia="宋体" w:cs="宋体"/>
                <w:color w:val="auto"/>
                <w:sz w:val="24"/>
                <w:szCs w:val="24"/>
                <w:highlight w:val="none"/>
                <w:lang w:val="en-US" w:eastAsia="zh-CN"/>
              </w:rPr>
              <w:t>5699108282</w:t>
            </w:r>
          </w:p>
          <w:p w14:paraId="32556E11">
            <w:pPr>
              <w:pStyle w:val="41"/>
              <w:shd w:val="clear" w:color="auto" w:fill="FFFFFF"/>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提交方式：纸质版盖章询问函递交至招标代理公司。</w:t>
            </w:r>
          </w:p>
          <w:p w14:paraId="43AAB8BC">
            <w:pPr>
              <w:pStyle w:val="41"/>
              <w:shd w:val="clear" w:color="auto" w:fill="FFFFFF"/>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注：①澄清、修改文件发出后，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必须使用最新的澄清文件制作电子</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。②采购单位无正当理由不按照依法推荐的中标候选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顺序确定</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，或者在</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依法推荐的中标候选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以外确定</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的质疑由采购单位受理。</w:t>
            </w:r>
          </w:p>
          <w:p w14:paraId="12730E93">
            <w:pPr>
              <w:pStyle w:val="41"/>
              <w:shd w:val="clear" w:color="auto" w:fill="FFFFFF"/>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应当在法定质疑期内一次性提出针对统一采购程序环节的质疑。</w:t>
            </w:r>
          </w:p>
        </w:tc>
      </w:tr>
      <w:tr w14:paraId="42619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394DA2F1">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4</w:t>
            </w:r>
          </w:p>
        </w:tc>
        <w:tc>
          <w:tcPr>
            <w:tcW w:w="1930" w:type="dxa"/>
            <w:tcBorders>
              <w:top w:val="single" w:color="auto" w:sz="4" w:space="0"/>
              <w:left w:val="single" w:color="auto" w:sz="4" w:space="0"/>
              <w:bottom w:val="single" w:color="auto" w:sz="4" w:space="0"/>
              <w:right w:val="single" w:color="auto" w:sz="4" w:space="0"/>
            </w:tcBorders>
            <w:vAlign w:val="center"/>
          </w:tcPr>
          <w:p w14:paraId="0B11AE41">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履约保证金</w:t>
            </w:r>
          </w:p>
        </w:tc>
        <w:tc>
          <w:tcPr>
            <w:tcW w:w="7243" w:type="dxa"/>
            <w:tcBorders>
              <w:top w:val="single" w:color="auto" w:sz="4" w:space="0"/>
              <w:left w:val="single" w:color="auto" w:sz="4" w:space="0"/>
              <w:bottom w:val="single" w:color="auto" w:sz="4" w:space="0"/>
              <w:right w:val="single" w:color="auto" w:sz="4" w:space="0"/>
            </w:tcBorders>
            <w:vAlign w:val="center"/>
          </w:tcPr>
          <w:p w14:paraId="4842CACA">
            <w:pPr>
              <w:pStyle w:val="89"/>
              <w:keepNext w:val="0"/>
              <w:keepLines w:val="0"/>
              <w:pageBreakBefore w:val="0"/>
              <w:kinsoku/>
              <w:wordWrap/>
              <w:overflowPunct/>
              <w:topLinePunct w:val="0"/>
              <w:bidi w:val="0"/>
              <w:snapToGrid/>
              <w:spacing w:line="440" w:lineRule="exac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本项目不适用。</w:t>
            </w:r>
          </w:p>
        </w:tc>
      </w:tr>
      <w:tr w14:paraId="7A36CF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F28390D">
            <w:pPr>
              <w:shd w:val="clear" w:color="auto" w:fill="FFFFFF"/>
              <w:autoSpaceDE w:val="0"/>
              <w:autoSpaceDN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1930" w:type="dxa"/>
            <w:tcBorders>
              <w:top w:val="single" w:color="auto" w:sz="4" w:space="0"/>
              <w:left w:val="single" w:color="auto" w:sz="4" w:space="0"/>
              <w:bottom w:val="single" w:color="auto" w:sz="4" w:space="0"/>
              <w:right w:val="single" w:color="auto" w:sz="4" w:space="0"/>
            </w:tcBorders>
            <w:vAlign w:val="center"/>
          </w:tcPr>
          <w:p w14:paraId="1689368F">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服务地点</w:t>
            </w:r>
          </w:p>
        </w:tc>
        <w:tc>
          <w:tcPr>
            <w:tcW w:w="7243" w:type="dxa"/>
            <w:tcBorders>
              <w:top w:val="single" w:color="auto" w:sz="4" w:space="0"/>
              <w:left w:val="single" w:color="auto" w:sz="4" w:space="0"/>
              <w:bottom w:val="single" w:color="auto" w:sz="4" w:space="0"/>
              <w:right w:val="single" w:color="auto" w:sz="4" w:space="0"/>
            </w:tcBorders>
            <w:vAlign w:val="center"/>
          </w:tcPr>
          <w:p w14:paraId="197F4958">
            <w:pPr>
              <w:shd w:val="clear" w:color="auto" w:fill="FFFFFF"/>
              <w:autoSpaceDE w:val="0"/>
              <w:autoSpaceDN w:val="0"/>
              <w:spacing w:line="360" w:lineRule="auto"/>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新疆医科大学</w:t>
            </w:r>
            <w:r>
              <w:rPr>
                <w:rFonts w:hint="eastAsia" w:ascii="宋体" w:hAnsi="宋体" w:eastAsia="宋体" w:cs="宋体"/>
                <w:color w:val="auto"/>
                <w:kern w:val="0"/>
                <w:sz w:val="24"/>
                <w:szCs w:val="24"/>
                <w:highlight w:val="none"/>
                <w:lang w:val="en-US" w:eastAsia="zh-CN"/>
              </w:rPr>
              <w:t>雪莲山校区指定地点</w:t>
            </w:r>
            <w:r>
              <w:rPr>
                <w:rFonts w:hint="eastAsia" w:ascii="宋体" w:hAnsi="宋体" w:eastAsia="宋体" w:cs="宋体"/>
                <w:color w:val="auto"/>
                <w:kern w:val="0"/>
                <w:sz w:val="24"/>
                <w:szCs w:val="24"/>
                <w:highlight w:val="none"/>
                <w:lang w:eastAsia="zh-CN"/>
              </w:rPr>
              <w:t>。</w:t>
            </w:r>
          </w:p>
        </w:tc>
      </w:tr>
      <w:tr w14:paraId="741BAD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9285C0C">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6</w:t>
            </w:r>
          </w:p>
        </w:tc>
        <w:tc>
          <w:tcPr>
            <w:tcW w:w="1930" w:type="dxa"/>
            <w:tcBorders>
              <w:top w:val="single" w:color="auto" w:sz="4" w:space="0"/>
              <w:left w:val="single" w:color="auto" w:sz="4" w:space="0"/>
              <w:bottom w:val="single" w:color="auto" w:sz="4" w:space="0"/>
              <w:right w:val="single" w:color="auto" w:sz="4" w:space="0"/>
            </w:tcBorders>
            <w:vAlign w:val="center"/>
          </w:tcPr>
          <w:p w14:paraId="48445350">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w:t>
            </w:r>
          </w:p>
        </w:tc>
        <w:tc>
          <w:tcPr>
            <w:tcW w:w="7243" w:type="dxa"/>
            <w:tcBorders>
              <w:top w:val="single" w:color="auto" w:sz="4" w:space="0"/>
              <w:left w:val="single" w:color="auto" w:sz="4" w:space="0"/>
              <w:bottom w:val="single" w:color="auto" w:sz="4" w:space="0"/>
              <w:right w:val="single" w:color="auto" w:sz="4" w:space="0"/>
            </w:tcBorders>
            <w:vAlign w:val="center"/>
          </w:tcPr>
          <w:p w14:paraId="0F985B10">
            <w:pPr>
              <w:shd w:val="clear" w:color="auto" w:fill="FFFFFF"/>
              <w:autoSpaceDE w:val="0"/>
              <w:autoSpaceDN w:val="0"/>
              <w:spacing w:line="360" w:lineRule="auto"/>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按照时间周期进行付款，自合同签订并养护至3个月，期间符合甲方执行要求，支付合同款项的50%；待整体养护周期结束并验收合格后，支付合同款剩余部分。</w:t>
            </w:r>
          </w:p>
        </w:tc>
      </w:tr>
      <w:tr w14:paraId="724E1A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5DBC023C">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7</w:t>
            </w:r>
          </w:p>
        </w:tc>
        <w:tc>
          <w:tcPr>
            <w:tcW w:w="1930" w:type="dxa"/>
            <w:tcBorders>
              <w:top w:val="single" w:color="auto" w:sz="4" w:space="0"/>
              <w:left w:val="single" w:color="auto" w:sz="4" w:space="0"/>
              <w:bottom w:val="single" w:color="auto" w:sz="4" w:space="0"/>
              <w:right w:val="single" w:color="auto" w:sz="4" w:space="0"/>
            </w:tcBorders>
            <w:vAlign w:val="center"/>
          </w:tcPr>
          <w:p w14:paraId="52AB75C6">
            <w:pPr>
              <w:shd w:val="clear" w:color="auto" w:fill="FFFFFF"/>
              <w:autoSpaceDE w:val="0"/>
              <w:autoSpaceDN w:val="0"/>
              <w:spacing w:line="360" w:lineRule="auto"/>
              <w:jc w:val="center"/>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政府采购政策</w:t>
            </w:r>
          </w:p>
        </w:tc>
        <w:tc>
          <w:tcPr>
            <w:tcW w:w="7243" w:type="dxa"/>
            <w:tcBorders>
              <w:top w:val="single" w:color="auto" w:sz="4" w:space="0"/>
              <w:left w:val="single" w:color="auto" w:sz="4" w:space="0"/>
              <w:bottom w:val="single" w:color="auto" w:sz="4" w:space="0"/>
              <w:right w:val="single" w:color="auto" w:sz="4" w:space="0"/>
            </w:tcBorders>
            <w:vAlign w:val="center"/>
          </w:tcPr>
          <w:p w14:paraId="44A2B27F">
            <w:pPr>
              <w:pStyle w:val="42"/>
              <w:keepNext w:val="0"/>
              <w:keepLines w:val="0"/>
              <w:pageBreakBefore w:val="0"/>
              <w:kinsoku/>
              <w:wordWrap/>
              <w:overflowPunct/>
              <w:topLinePunct w:val="0"/>
              <w:bidi w:val="0"/>
              <w:snapToGrid/>
              <w:spacing w:line="4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根据财政部发布的《政府采购促进中小企业发展管理办法》（财库〔2020〕46号）、《财政部关于进一步加大政府采购支持中小企业力度的通知》（财库〔2022〕19号）、工信部等部委发布的《关于印发中小企业划型标准规定的通知》（工信部联企业[2011]300号）规定执行</w:t>
            </w:r>
            <w:r>
              <w:rPr>
                <w:rFonts w:hint="eastAsia" w:ascii="宋体" w:hAnsi="宋体" w:eastAsia="宋体" w:cs="宋体"/>
                <w:color w:val="auto"/>
                <w:kern w:val="0"/>
                <w:sz w:val="24"/>
                <w:szCs w:val="24"/>
                <w:highlight w:val="none"/>
                <w:lang w:val="en-US" w:eastAsia="zh-CN"/>
              </w:rPr>
              <w:t>、关于落实好政府采购支持中小企业发展的通知（新财购〔2022〕22号）</w:t>
            </w:r>
            <w:r>
              <w:rPr>
                <w:rFonts w:hint="eastAsia" w:ascii="宋体" w:hAnsi="宋体" w:eastAsia="宋体" w:cs="宋体"/>
                <w:color w:val="auto"/>
                <w:kern w:val="0"/>
                <w:sz w:val="24"/>
                <w:szCs w:val="24"/>
                <w:highlight w:val="none"/>
              </w:rPr>
              <w:t>；</w:t>
            </w:r>
          </w:p>
          <w:p w14:paraId="74EA4113">
            <w:pPr>
              <w:shd w:val="clear" w:color="auto" w:fill="FFFFFF"/>
              <w:autoSpaceDE w:val="0"/>
              <w:autoSpaceDN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）价格扣除幅度：</w:t>
            </w:r>
            <w:r>
              <w:rPr>
                <w:rFonts w:hint="eastAsia" w:ascii="宋体" w:hAnsi="宋体" w:eastAsia="宋体" w:cs="宋体"/>
                <w:color w:val="auto"/>
                <w:kern w:val="0"/>
                <w:sz w:val="24"/>
                <w:szCs w:val="24"/>
                <w:highlight w:val="none"/>
                <w:lang w:val="en-US" w:eastAsia="zh-CN"/>
              </w:rPr>
              <w:t>无</w:t>
            </w:r>
            <w:r>
              <w:rPr>
                <w:rFonts w:hint="eastAsia" w:ascii="宋体" w:hAnsi="宋体" w:eastAsia="宋体" w:cs="宋体"/>
                <w:color w:val="auto"/>
                <w:kern w:val="0"/>
                <w:sz w:val="24"/>
                <w:szCs w:val="24"/>
                <w:highlight w:val="none"/>
              </w:rPr>
              <w:t>。</w:t>
            </w:r>
          </w:p>
          <w:p w14:paraId="1919A902">
            <w:pPr>
              <w:shd w:val="clear" w:color="auto" w:fill="FFFFFF"/>
              <w:autoSpaceDE w:val="0"/>
              <w:autoSpaceDN w:val="0"/>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（3）</w:t>
            </w:r>
            <w:r>
              <w:rPr>
                <w:rFonts w:hint="eastAsia" w:ascii="宋体" w:hAnsi="宋体" w:eastAsia="宋体" w:cs="宋体"/>
                <w:b/>
                <w:bCs/>
                <w:color w:val="auto"/>
                <w:kern w:val="0"/>
                <w:sz w:val="24"/>
                <w:szCs w:val="24"/>
                <w:highlight w:val="none"/>
              </w:rPr>
              <w:t>本项目所属行业：农、林、牧、渔业</w:t>
            </w:r>
            <w:r>
              <w:rPr>
                <w:rFonts w:hint="eastAsia" w:ascii="宋体" w:hAnsi="宋体" w:eastAsia="宋体" w:cs="宋体"/>
                <w:b/>
                <w:bCs/>
                <w:color w:val="auto"/>
                <w:kern w:val="0"/>
                <w:sz w:val="24"/>
                <w:szCs w:val="24"/>
                <w:highlight w:val="none"/>
                <w:lang w:eastAsia="zh-CN"/>
              </w:rPr>
              <w:t>。</w:t>
            </w:r>
          </w:p>
          <w:p w14:paraId="20AAFCE8">
            <w:pPr>
              <w:shd w:val="clear" w:color="auto" w:fill="FFFFFF"/>
              <w:autoSpaceDE w:val="0"/>
              <w:autoSpaceDN w:val="0"/>
              <w:spacing w:line="360" w:lineRule="auto"/>
              <w:jc w:val="left"/>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应按照采购文件格式要求提供《中小企业声明函》，否则不享受相应政策，并对提交的《中小企业声明函》的真实性负责，提交的《中小企业声明函》不真实的，应承担相应的法律责任。</w:t>
            </w:r>
          </w:p>
        </w:tc>
      </w:tr>
      <w:tr w14:paraId="6DBF2B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1C195C2B">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18</w:t>
            </w:r>
          </w:p>
        </w:tc>
        <w:tc>
          <w:tcPr>
            <w:tcW w:w="1930" w:type="dxa"/>
            <w:tcBorders>
              <w:top w:val="single" w:color="auto" w:sz="4" w:space="0"/>
              <w:left w:val="single" w:color="auto" w:sz="4" w:space="0"/>
              <w:bottom w:val="single" w:color="auto" w:sz="4" w:space="0"/>
              <w:right w:val="single" w:color="auto" w:sz="4" w:space="0"/>
            </w:tcBorders>
            <w:vAlign w:val="center"/>
          </w:tcPr>
          <w:p w14:paraId="177671BD">
            <w:pPr>
              <w:shd w:val="clear" w:color="auto" w:fill="FFFFFF"/>
              <w:autoSpaceDE w:val="0"/>
              <w:autoSpaceDN w:val="0"/>
              <w:spacing w:line="360" w:lineRule="auto"/>
              <w:jc w:val="center"/>
              <w:rPr>
                <w:rFonts w:hint="eastAsia" w:ascii="宋体" w:hAnsi="宋体" w:eastAsia="宋体" w:cs="宋体"/>
                <w:color w:val="auto"/>
                <w:kern w:val="1"/>
                <w:sz w:val="24"/>
                <w:szCs w:val="24"/>
                <w:highlight w:val="none"/>
              </w:rPr>
            </w:pPr>
            <w:r>
              <w:rPr>
                <w:rFonts w:hint="eastAsia" w:ascii="宋体" w:hAnsi="宋体" w:eastAsia="宋体" w:cs="宋体"/>
                <w:color w:val="auto"/>
                <w:kern w:val="0"/>
                <w:sz w:val="24"/>
                <w:szCs w:val="24"/>
                <w:highlight w:val="none"/>
                <w:lang w:val="en-US" w:eastAsia="zh-CN" w:bidi="ar-SA"/>
              </w:rPr>
              <w:t>低于成本价不正当竞争预防措施(实质性要求)</w:t>
            </w:r>
          </w:p>
        </w:tc>
        <w:tc>
          <w:tcPr>
            <w:tcW w:w="7243" w:type="dxa"/>
            <w:tcBorders>
              <w:top w:val="single" w:color="auto" w:sz="4" w:space="0"/>
              <w:left w:val="single" w:color="auto" w:sz="4" w:space="0"/>
              <w:bottom w:val="single" w:color="auto" w:sz="4" w:space="0"/>
              <w:right w:val="single" w:color="auto" w:sz="4" w:space="0"/>
            </w:tcBorders>
            <w:vAlign w:val="center"/>
          </w:tcPr>
          <w:p w14:paraId="1B1FF361">
            <w:pPr>
              <w:pStyle w:val="46"/>
              <w:spacing w:line="360" w:lineRule="exac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在评审过程中，磋商小组认为</w:t>
            </w:r>
            <w:r>
              <w:rPr>
                <w:rFonts w:hint="eastAsia" w:ascii="宋体" w:hAnsi="宋体" w:eastAsia="宋体" w:cs="宋体"/>
                <w:b w:val="0"/>
                <w:bCs/>
                <w:color w:val="auto"/>
                <w:sz w:val="24"/>
                <w:szCs w:val="24"/>
                <w:highlight w:val="none"/>
                <w:lang w:val="en-US" w:eastAsia="zh-CN"/>
              </w:rPr>
              <w:t>供应商</w:t>
            </w:r>
            <w:r>
              <w:rPr>
                <w:rFonts w:hint="eastAsia" w:ascii="宋体" w:hAnsi="宋体" w:eastAsia="宋体" w:cs="宋体"/>
                <w:b w:val="0"/>
                <w:bCs/>
                <w:color w:val="auto"/>
                <w:sz w:val="24"/>
                <w:szCs w:val="24"/>
                <w:highlight w:val="none"/>
                <w:lang w:eastAsia="zh-CN"/>
              </w:rPr>
              <w:t>报价低于成本价，有可能影响产品质量或者不能诚信履约的，磋商小组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eastAsia="zh-CN"/>
              </w:rPr>
              <w:t>供应商为其他组织的，由其主要负责人或者代理人签字确认</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eastAsia="zh-CN"/>
              </w:rPr>
              <w:t>供应商为自然人的，由其本人或者代理人签字确认。</w:t>
            </w:r>
          </w:p>
          <w:p w14:paraId="2FA7B8DC">
            <w:pPr>
              <w:pStyle w:val="46"/>
              <w:spacing w:line="360" w:lineRule="exact"/>
              <w:rPr>
                <w:rFonts w:hint="eastAsia" w:ascii="宋体" w:hAnsi="宋体" w:eastAsia="宋体" w:cs="宋体"/>
                <w:b/>
                <w:bCs/>
                <w:color w:val="auto"/>
                <w:kern w:val="1"/>
                <w:sz w:val="24"/>
                <w:szCs w:val="24"/>
                <w:highlight w:val="none"/>
                <w:lang w:val="en-US" w:eastAsia="zh-CN"/>
              </w:rPr>
            </w:pPr>
            <w:r>
              <w:rPr>
                <w:rFonts w:hint="eastAsia" w:ascii="宋体" w:hAnsi="宋体" w:eastAsia="宋体" w:cs="宋体"/>
                <w:b w:val="0"/>
                <w:bCs/>
                <w:color w:val="auto"/>
                <w:sz w:val="24"/>
                <w:szCs w:val="24"/>
                <w:highlight w:val="none"/>
                <w:lang w:eastAsia="zh-CN"/>
              </w:rPr>
              <w:t>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磋商小组应当将其响应文件作为无效处理。</w:t>
            </w:r>
          </w:p>
        </w:tc>
      </w:tr>
      <w:tr w14:paraId="675903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A2E3227">
            <w:pPr>
              <w:shd w:val="clear" w:color="auto" w:fill="FFFFFF"/>
              <w:autoSpaceDE w:val="0"/>
              <w:autoSpaceDN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w:t>
            </w:r>
          </w:p>
        </w:tc>
        <w:tc>
          <w:tcPr>
            <w:tcW w:w="1930" w:type="dxa"/>
            <w:tcBorders>
              <w:top w:val="single" w:color="auto" w:sz="4" w:space="0"/>
              <w:left w:val="single" w:color="auto" w:sz="4" w:space="0"/>
              <w:bottom w:val="single" w:color="auto" w:sz="4" w:space="0"/>
              <w:right w:val="single" w:color="auto" w:sz="4" w:space="0"/>
            </w:tcBorders>
            <w:vAlign w:val="center"/>
          </w:tcPr>
          <w:p w14:paraId="30F19102">
            <w:pPr>
              <w:pStyle w:val="42"/>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其他说明</w:t>
            </w:r>
          </w:p>
        </w:tc>
        <w:tc>
          <w:tcPr>
            <w:tcW w:w="7243" w:type="dxa"/>
            <w:tcBorders>
              <w:top w:val="single" w:color="auto" w:sz="4" w:space="0"/>
              <w:left w:val="single" w:color="auto" w:sz="4" w:space="0"/>
              <w:bottom w:val="single" w:color="auto" w:sz="4" w:space="0"/>
              <w:right w:val="single" w:color="auto" w:sz="4" w:space="0"/>
            </w:tcBorders>
            <w:vAlign w:val="center"/>
          </w:tcPr>
          <w:p w14:paraId="27E84F2C">
            <w:pPr>
              <w:pStyle w:val="42"/>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无</w:t>
            </w:r>
          </w:p>
        </w:tc>
      </w:tr>
      <w:tr w14:paraId="6D8D66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562FF254">
            <w:pPr>
              <w:shd w:val="clear" w:color="auto" w:fill="FFFFFF"/>
              <w:autoSpaceDE w:val="0"/>
              <w:autoSpaceDN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9173" w:type="dxa"/>
            <w:gridSpan w:val="2"/>
            <w:tcBorders>
              <w:top w:val="single" w:color="auto" w:sz="4" w:space="0"/>
              <w:left w:val="single" w:color="auto" w:sz="4" w:space="0"/>
              <w:bottom w:val="single" w:color="auto" w:sz="4" w:space="0"/>
              <w:right w:val="single" w:color="auto" w:sz="4" w:space="0"/>
            </w:tcBorders>
            <w:vAlign w:val="center"/>
          </w:tcPr>
          <w:p w14:paraId="2F7921DB">
            <w:pPr>
              <w:pStyle w:val="43"/>
              <w:spacing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1"/>
                <w:sz w:val="24"/>
                <w:szCs w:val="24"/>
                <w:highlight w:val="none"/>
              </w:rPr>
              <w:t>在评审过程直至签订合同前的任何时间，如经证实发现供应商提供虚假投标资料(包括技术支持资料)或信息骗取成交的，或者未按本竞争性磋商文件要求提交履约保证金的（如有要求），将取消其成交资格，没收其磋商保证金，并报主管部门备案。</w:t>
            </w:r>
          </w:p>
        </w:tc>
      </w:tr>
      <w:tr w14:paraId="78A56E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15794E66">
            <w:pPr>
              <w:shd w:val="clear" w:color="auto" w:fill="FFFFFF"/>
              <w:autoSpaceDE w:val="0"/>
              <w:autoSpaceDN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w:t>
            </w:r>
          </w:p>
        </w:tc>
        <w:tc>
          <w:tcPr>
            <w:tcW w:w="9173" w:type="dxa"/>
            <w:gridSpan w:val="2"/>
            <w:tcBorders>
              <w:top w:val="single" w:color="auto" w:sz="4" w:space="0"/>
              <w:left w:val="single" w:color="auto" w:sz="4" w:space="0"/>
              <w:bottom w:val="single" w:color="auto" w:sz="4" w:space="0"/>
              <w:right w:val="single" w:color="auto" w:sz="4" w:space="0"/>
            </w:tcBorders>
            <w:vAlign w:val="center"/>
          </w:tcPr>
          <w:p w14:paraId="760D6656">
            <w:pPr>
              <w:pStyle w:val="43"/>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5014664E">
            <w:pPr>
              <w:pStyle w:val="43"/>
              <w:numPr>
                <w:ilvl w:val="0"/>
                <w:numId w:val="6"/>
              </w:numPr>
              <w:spacing w:line="360" w:lineRule="auto"/>
              <w:jc w:val="both"/>
              <w:rPr>
                <w:rFonts w:hint="eastAsia" w:ascii="宋体" w:hAnsi="宋体" w:eastAsia="宋体" w:cs="宋体"/>
                <w:b/>
                <w:color w:val="auto"/>
                <w:kern w:val="1"/>
                <w:sz w:val="24"/>
                <w:szCs w:val="24"/>
                <w:highlight w:val="none"/>
              </w:rPr>
            </w:pPr>
            <w:r>
              <w:rPr>
                <w:rFonts w:hint="eastAsia" w:ascii="宋体" w:hAnsi="宋体" w:eastAsia="宋体" w:cs="宋体"/>
                <w:b/>
                <w:color w:val="auto"/>
                <w:kern w:val="1"/>
                <w:sz w:val="24"/>
                <w:szCs w:val="24"/>
                <w:highlight w:val="none"/>
              </w:rPr>
              <w:t>电子标书加盖</w:t>
            </w:r>
            <w:r>
              <w:rPr>
                <w:rFonts w:hint="eastAsia" w:ascii="宋体" w:hAnsi="宋体" w:eastAsia="宋体" w:cs="宋体"/>
                <w:b/>
                <w:color w:val="auto"/>
                <w:kern w:val="1"/>
                <w:sz w:val="24"/>
                <w:szCs w:val="24"/>
                <w:highlight w:val="none"/>
                <w:lang w:val="en-US" w:eastAsia="zh-CN"/>
              </w:rPr>
              <w:t>印</w:t>
            </w:r>
            <w:r>
              <w:rPr>
                <w:rFonts w:hint="eastAsia" w:ascii="宋体" w:hAnsi="宋体" w:eastAsia="宋体" w:cs="宋体"/>
                <w:b/>
                <w:color w:val="auto"/>
                <w:kern w:val="1"/>
                <w:sz w:val="24"/>
                <w:szCs w:val="24"/>
                <w:highlight w:val="none"/>
              </w:rPr>
              <w:t>章的两种方式:一种为电子章；另一种为纸质版盖章后扫描，两种方式的任意一种在评审时均予认可。</w:t>
            </w:r>
          </w:p>
          <w:p w14:paraId="0367EEB9">
            <w:pPr>
              <w:pStyle w:val="43"/>
              <w:numPr>
                <w:ilvl w:val="0"/>
                <w:numId w:val="6"/>
              </w:numPr>
              <w:spacing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潜在供应商领取文件须提前完成注册、CA证书和电子签章申领和绑定、下载投标客户端。因未注册入库、未办理CA数字证书、CA证书故障、操作不当等原因造成无法投标或投标失败等后果由供应商自行承担。CA证书办理可通过在线APP“新疆政务通”或新疆CA网点办理CA数字证书和电子签章；若单位已经办理过新疆CA证书且证书符合国产密码算法要求，可直接联系发证机构，申请增加“政采云”招投标电子签章，无需重新办理。</w:t>
            </w:r>
          </w:p>
          <w:p w14:paraId="669B6480">
            <w:pPr>
              <w:pStyle w:val="43"/>
              <w:numPr>
                <w:ilvl w:val="0"/>
                <w:numId w:val="6"/>
              </w:numPr>
              <w:spacing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供应商操作指南详见</w:t>
            </w:r>
            <w:r>
              <w:rPr>
                <w:rFonts w:hint="eastAsia" w:ascii="宋体" w:hAnsi="宋体" w:eastAsia="宋体" w:cs="宋体"/>
                <w:b/>
                <w:bCs/>
                <w:color w:val="auto"/>
                <w:kern w:val="2"/>
                <w:sz w:val="24"/>
                <w:szCs w:val="24"/>
                <w:highlight w:val="none"/>
                <w:lang w:eastAsia="zh-CN"/>
              </w:rPr>
              <w:t>新疆政府采购网</w:t>
            </w:r>
            <w:r>
              <w:rPr>
                <w:rFonts w:hint="eastAsia" w:ascii="宋体" w:hAnsi="宋体" w:eastAsia="宋体" w:cs="宋体"/>
                <w:b/>
                <w:bCs/>
                <w:color w:val="auto"/>
                <w:kern w:val="2"/>
                <w:sz w:val="24"/>
                <w:szCs w:val="24"/>
                <w:highlight w:val="none"/>
              </w:rPr>
              <w:t>（</w:t>
            </w:r>
            <w:r>
              <w:rPr>
                <w:rFonts w:hint="eastAsia" w:ascii="宋体" w:hAnsi="宋体" w:eastAsia="宋体" w:cs="宋体"/>
                <w:b/>
                <w:bCs/>
                <w:color w:val="auto"/>
                <w:kern w:val="2"/>
                <w:sz w:val="24"/>
                <w:szCs w:val="24"/>
                <w:highlight w:val="none"/>
                <w:lang w:eastAsia="zh-CN"/>
              </w:rPr>
              <w:t>http://www.ccgp-xinjiang.gov.cn/</w:t>
            </w:r>
            <w:r>
              <w:rPr>
                <w:rFonts w:hint="eastAsia" w:ascii="宋体" w:hAnsi="宋体" w:eastAsia="宋体" w:cs="宋体"/>
                <w:b/>
                <w:bCs/>
                <w:color w:val="auto"/>
                <w:kern w:val="2"/>
                <w:sz w:val="24"/>
                <w:szCs w:val="24"/>
                <w:highlight w:val="none"/>
              </w:rPr>
              <w:t>）—办事指南—操作指南</w:t>
            </w:r>
          </w:p>
          <w:p w14:paraId="1329AC7B">
            <w:pPr>
              <w:pStyle w:val="43"/>
              <w:numPr>
                <w:ilvl w:val="0"/>
                <w:numId w:val="6"/>
              </w:numPr>
              <w:spacing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系统操作问题请咨询技术支持电话0991-2899144，CA办理问题请咨询新疆CA服务电话0991-2819290，或加QQ号800175577。</w:t>
            </w:r>
          </w:p>
          <w:p w14:paraId="66FF3DFA">
            <w:pPr>
              <w:pStyle w:val="43"/>
              <w:numPr>
                <w:ilvl w:val="0"/>
                <w:numId w:val="6"/>
              </w:numPr>
              <w:spacing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为支持和促进中小企业发展，进一步发挥政府采购政策功能，鼓励金融机构积极开发灵活适用的政府采购金融服务产品，拓宽企业融资渠道。鼓励供应商使用政采云电子保函代替现金缴纳</w:t>
            </w:r>
            <w:r>
              <w:rPr>
                <w:rFonts w:hint="eastAsia" w:ascii="宋体" w:hAnsi="宋体" w:eastAsia="宋体" w:cs="宋体"/>
                <w:b/>
                <w:bCs/>
                <w:color w:val="auto"/>
                <w:kern w:val="2"/>
                <w:sz w:val="24"/>
                <w:szCs w:val="24"/>
                <w:highlight w:val="none"/>
                <w:lang w:eastAsia="zh-CN"/>
              </w:rPr>
              <w:t>磋商保证金</w:t>
            </w:r>
            <w:r>
              <w:rPr>
                <w:rFonts w:hint="eastAsia" w:ascii="宋体" w:hAnsi="宋体" w:eastAsia="宋体" w:cs="宋体"/>
                <w:b/>
                <w:bCs/>
                <w:color w:val="auto"/>
                <w:kern w:val="2"/>
                <w:sz w:val="24"/>
                <w:szCs w:val="24"/>
                <w:highlight w:val="none"/>
              </w:rPr>
              <w:t>，如履约保证金与预付款保证金等，具体可登录【新疆政府采购网】-【电子保函】模块查看：直达链接：</w:t>
            </w:r>
          </w:p>
          <w:p w14:paraId="434288E8">
            <w:pPr>
              <w:pStyle w:val="43"/>
              <w:numPr>
                <w:ilvl w:val="0"/>
                <w:numId w:val="0"/>
              </w:numPr>
              <w:spacing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fldChar w:fldCharType="begin"/>
            </w:r>
            <w:r>
              <w:rPr>
                <w:rFonts w:hint="eastAsia" w:ascii="宋体" w:hAnsi="宋体" w:eastAsia="宋体" w:cs="宋体"/>
                <w:b/>
                <w:bCs/>
                <w:color w:val="auto"/>
                <w:kern w:val="2"/>
                <w:sz w:val="24"/>
                <w:szCs w:val="24"/>
                <w:highlight w:val="none"/>
              </w:rPr>
              <w:instrText xml:space="preserve"> HYPERLINK "https://jinrong.zcygov.cn/luban/finance/letter/xinjiang?pageModelFlag=650000" </w:instrText>
            </w:r>
            <w:r>
              <w:rPr>
                <w:rFonts w:hint="eastAsia" w:ascii="宋体" w:hAnsi="宋体" w:eastAsia="宋体" w:cs="宋体"/>
                <w:b/>
                <w:bCs/>
                <w:color w:val="auto"/>
                <w:kern w:val="2"/>
                <w:sz w:val="24"/>
                <w:szCs w:val="24"/>
                <w:highlight w:val="none"/>
              </w:rPr>
              <w:fldChar w:fldCharType="separate"/>
            </w:r>
            <w:r>
              <w:rPr>
                <w:rStyle w:val="30"/>
                <w:rFonts w:hint="eastAsia" w:ascii="宋体" w:hAnsi="宋体" w:eastAsia="宋体" w:cs="宋体"/>
                <w:b/>
                <w:bCs/>
                <w:color w:val="auto"/>
                <w:kern w:val="2"/>
                <w:sz w:val="24"/>
                <w:szCs w:val="24"/>
                <w:highlight w:val="none"/>
              </w:rPr>
              <w:t>https://jinrong.zcygov.cn/luban/finance/letter/xinjiang?pageModelFlag=650000</w:t>
            </w:r>
            <w:r>
              <w:rPr>
                <w:rFonts w:hint="eastAsia" w:ascii="宋体" w:hAnsi="宋体" w:eastAsia="宋体" w:cs="宋体"/>
                <w:b/>
                <w:bCs/>
                <w:color w:val="auto"/>
                <w:kern w:val="2"/>
                <w:sz w:val="24"/>
                <w:szCs w:val="24"/>
                <w:highlight w:val="none"/>
              </w:rPr>
              <w:fldChar w:fldCharType="end"/>
            </w:r>
          </w:p>
          <w:p w14:paraId="08813ACA">
            <w:pPr>
              <w:pStyle w:val="43"/>
              <w:numPr>
                <w:ilvl w:val="0"/>
                <w:numId w:val="6"/>
              </w:numPr>
              <w:spacing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供应商在上传电子</w:t>
            </w:r>
            <w:r>
              <w:rPr>
                <w:rFonts w:hint="eastAsia" w:ascii="宋体" w:hAnsi="宋体" w:eastAsia="宋体" w:cs="宋体"/>
                <w:b/>
                <w:bCs/>
                <w:color w:val="auto"/>
                <w:kern w:val="2"/>
                <w:sz w:val="24"/>
                <w:szCs w:val="24"/>
                <w:highlight w:val="none"/>
                <w:lang w:eastAsia="zh-CN"/>
              </w:rPr>
              <w:t>响应文件</w:t>
            </w:r>
            <w:r>
              <w:rPr>
                <w:rFonts w:hint="eastAsia" w:ascii="宋体" w:hAnsi="宋体" w:eastAsia="宋体" w:cs="宋体"/>
                <w:b/>
                <w:bCs/>
                <w:color w:val="auto"/>
                <w:kern w:val="2"/>
                <w:sz w:val="24"/>
                <w:szCs w:val="24"/>
                <w:highlight w:val="none"/>
              </w:rPr>
              <w:t>时，需在“商务技术响应文件”中按</w:t>
            </w:r>
            <w:r>
              <w:rPr>
                <w:rFonts w:hint="eastAsia" w:ascii="宋体" w:hAnsi="宋体" w:eastAsia="宋体" w:cs="宋体"/>
                <w:b/>
                <w:bCs/>
                <w:color w:val="auto"/>
                <w:kern w:val="2"/>
                <w:sz w:val="24"/>
                <w:szCs w:val="24"/>
                <w:highlight w:val="none"/>
                <w:lang w:eastAsia="zh-CN"/>
              </w:rPr>
              <w:t>响应文件</w:t>
            </w:r>
            <w:r>
              <w:rPr>
                <w:rFonts w:hint="eastAsia" w:ascii="宋体" w:hAnsi="宋体" w:eastAsia="宋体" w:cs="宋体"/>
                <w:b/>
                <w:bCs/>
                <w:color w:val="auto"/>
                <w:kern w:val="2"/>
                <w:sz w:val="24"/>
                <w:szCs w:val="24"/>
                <w:highlight w:val="none"/>
              </w:rPr>
              <w:t>格式要求上传完整的</w:t>
            </w:r>
            <w:r>
              <w:rPr>
                <w:rFonts w:hint="eastAsia" w:ascii="宋体" w:hAnsi="宋体" w:eastAsia="宋体" w:cs="宋体"/>
                <w:b/>
                <w:bCs/>
                <w:color w:val="auto"/>
                <w:kern w:val="2"/>
                <w:sz w:val="24"/>
                <w:szCs w:val="24"/>
                <w:highlight w:val="none"/>
                <w:lang w:eastAsia="zh-CN"/>
              </w:rPr>
              <w:t>响应文件</w:t>
            </w:r>
            <w:r>
              <w:rPr>
                <w:rFonts w:hint="eastAsia" w:ascii="宋体" w:hAnsi="宋体" w:eastAsia="宋体" w:cs="宋体"/>
                <w:b/>
                <w:bCs/>
                <w:color w:val="auto"/>
                <w:kern w:val="2"/>
                <w:sz w:val="24"/>
                <w:szCs w:val="24"/>
                <w:highlight w:val="none"/>
              </w:rPr>
              <w:t>（从封面开始至最后一页）。</w:t>
            </w:r>
          </w:p>
        </w:tc>
      </w:tr>
      <w:tr w14:paraId="2C9A77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FE06A16">
            <w:pPr>
              <w:shd w:val="clear" w:color="auto" w:fill="FFFFFF"/>
              <w:autoSpaceDE w:val="0"/>
              <w:autoSpaceDN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w:t>
            </w:r>
          </w:p>
        </w:tc>
        <w:tc>
          <w:tcPr>
            <w:tcW w:w="9173" w:type="dxa"/>
            <w:gridSpan w:val="2"/>
            <w:tcBorders>
              <w:top w:val="single" w:color="auto" w:sz="4" w:space="0"/>
              <w:left w:val="single" w:color="auto" w:sz="4" w:space="0"/>
              <w:bottom w:val="single" w:color="auto" w:sz="4" w:space="0"/>
              <w:right w:val="single" w:color="auto" w:sz="4" w:space="0"/>
            </w:tcBorders>
            <w:vAlign w:val="center"/>
          </w:tcPr>
          <w:p w14:paraId="68FDCB6F">
            <w:pPr>
              <w:pStyle w:val="89"/>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u w:val="none"/>
                <w:lang w:val="en-US" w:eastAsia="zh-CN" w:bidi="ar-SA"/>
              </w:rPr>
            </w:pPr>
            <w:r>
              <w:rPr>
                <w:rFonts w:hint="eastAsia" w:ascii="宋体" w:hAnsi="宋体" w:cs="宋体"/>
                <w:color w:val="auto"/>
                <w:sz w:val="24"/>
                <w:szCs w:val="24"/>
                <w:highlight w:val="none"/>
                <w:u w:val="none"/>
                <w:lang w:val="en-US" w:eastAsia="zh-CN" w:bidi="ar-SA"/>
              </w:rPr>
              <w:t>代理</w:t>
            </w:r>
            <w:r>
              <w:rPr>
                <w:rFonts w:hint="eastAsia" w:ascii="宋体" w:hAnsi="宋体" w:eastAsia="宋体" w:cs="宋体"/>
                <w:color w:val="auto"/>
                <w:sz w:val="24"/>
                <w:szCs w:val="24"/>
                <w:highlight w:val="none"/>
                <w:u w:val="none"/>
                <w:lang w:val="en-US" w:eastAsia="zh-CN" w:bidi="ar-SA"/>
              </w:rPr>
              <w:t>服务费：</w:t>
            </w:r>
          </w:p>
          <w:p w14:paraId="2B0FD3D8">
            <w:pPr>
              <w:pStyle w:val="89"/>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1、本项目招标代理服务费</w:t>
            </w:r>
            <w:r>
              <w:rPr>
                <w:rFonts w:hint="eastAsia" w:ascii="宋体" w:hAnsi="宋体" w:cs="宋体"/>
                <w:color w:val="auto"/>
                <w:sz w:val="24"/>
                <w:szCs w:val="24"/>
                <w:highlight w:val="none"/>
                <w:u w:val="none"/>
                <w:lang w:val="en-US" w:eastAsia="zh-CN" w:bidi="ar-SA"/>
              </w:rPr>
              <w:t>参照</w:t>
            </w:r>
            <w:r>
              <w:rPr>
                <w:rFonts w:hint="eastAsia" w:ascii="宋体" w:hAnsi="宋体" w:eastAsia="宋体" w:cs="宋体"/>
                <w:color w:val="auto"/>
                <w:sz w:val="24"/>
                <w:szCs w:val="24"/>
                <w:highlight w:val="none"/>
                <w:u w:val="none"/>
                <w:lang w:val="en-US" w:eastAsia="zh-CN" w:bidi="ar-SA"/>
              </w:rPr>
              <w:t>《招标代理服务收费管理暂行办法》计价格[2002]1980号文件（发改办价格[2003]857号文件）及财库[2018]2号文件计算的招标代理服务费下浮50%由</w:t>
            </w:r>
            <w:r>
              <w:rPr>
                <w:rFonts w:hint="eastAsia" w:ascii="宋体" w:hAnsi="宋体" w:cs="宋体"/>
                <w:color w:val="auto"/>
                <w:sz w:val="24"/>
                <w:szCs w:val="24"/>
                <w:highlight w:val="none"/>
                <w:u w:val="none"/>
                <w:lang w:val="en-US" w:eastAsia="zh-CN" w:bidi="ar-SA"/>
              </w:rPr>
              <w:t>中标</w:t>
            </w:r>
            <w:r>
              <w:rPr>
                <w:rFonts w:hint="eastAsia" w:ascii="宋体" w:hAnsi="宋体" w:eastAsia="宋体" w:cs="宋体"/>
                <w:color w:val="auto"/>
                <w:sz w:val="24"/>
                <w:szCs w:val="24"/>
                <w:highlight w:val="none"/>
                <w:u w:val="none"/>
                <w:lang w:val="en-US" w:eastAsia="zh-CN" w:bidi="ar-SA"/>
              </w:rPr>
              <w:t>人向招标代理支付。</w:t>
            </w:r>
          </w:p>
          <w:p w14:paraId="53583498">
            <w:pPr>
              <w:pStyle w:val="43"/>
              <w:spacing w:line="360" w:lineRule="auto"/>
              <w:jc w:val="both"/>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二、付款方式</w:t>
            </w:r>
          </w:p>
          <w:p w14:paraId="7CD4E5F0">
            <w:pPr>
              <w:pStyle w:val="43"/>
              <w:spacing w:line="360" w:lineRule="auto"/>
              <w:jc w:val="both"/>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1、</w:t>
            </w:r>
            <w:r>
              <w:rPr>
                <w:rFonts w:hint="eastAsia" w:ascii="宋体" w:hAnsi="宋体" w:eastAsia="宋体" w:cs="宋体"/>
                <w:color w:val="auto"/>
                <w:sz w:val="24"/>
                <w:szCs w:val="24"/>
                <w:highlight w:val="none"/>
                <w:u w:val="none"/>
                <w:lang w:val="en-US" w:eastAsia="zh-CN"/>
              </w:rPr>
              <w:t>参照</w:t>
            </w:r>
            <w:r>
              <w:rPr>
                <w:rFonts w:hint="eastAsia" w:ascii="宋体" w:hAnsi="宋体" w:eastAsia="宋体" w:cs="宋体"/>
                <w:color w:val="auto"/>
                <w:sz w:val="24"/>
                <w:szCs w:val="24"/>
                <w:highlight w:val="none"/>
                <w:u w:val="none"/>
                <w:lang w:eastAsia="zh-CN"/>
              </w:rPr>
              <w:t>国家发改委《关于招标代理服务费有关问题的通知》（发改办[2003]857号文件）第二条，将计价格[2002]1980号第十条中“招标代理服务实行谁委托谁付费”，修改为“招标代理服务费就由招标人支付”，招标人、招标代理机构与投标人另有约定的，</w:t>
            </w:r>
            <w:r>
              <w:rPr>
                <w:rFonts w:hint="eastAsia" w:ascii="宋体" w:hAnsi="宋体" w:eastAsia="宋体" w:cs="宋体"/>
                <w:color w:val="auto"/>
                <w:sz w:val="24"/>
                <w:szCs w:val="24"/>
                <w:highlight w:val="none"/>
                <w:u w:val="none"/>
                <w:lang w:val="en-US" w:eastAsia="zh-CN"/>
              </w:rPr>
              <w:t>参照</w:t>
            </w:r>
            <w:r>
              <w:rPr>
                <w:rFonts w:hint="eastAsia" w:ascii="宋体" w:hAnsi="宋体" w:eastAsia="宋体" w:cs="宋体"/>
                <w:color w:val="auto"/>
                <w:sz w:val="24"/>
                <w:szCs w:val="24"/>
                <w:highlight w:val="none"/>
                <w:u w:val="none"/>
                <w:lang w:eastAsia="zh-CN"/>
              </w:rPr>
              <w:t>财库[2018]2号文件从其约定的要求，经各方一致同意，招标代理服务费由中标人向招标代理支付，采购人不承担付款义务。</w:t>
            </w:r>
          </w:p>
          <w:p w14:paraId="4B47A3AC">
            <w:pPr>
              <w:pStyle w:val="43"/>
              <w:spacing w:line="360" w:lineRule="auto"/>
              <w:jc w:val="both"/>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2、中标人于中标公示发布后7个工作日内一次性向招标代理公司支付代理服务费。</w:t>
            </w:r>
          </w:p>
          <w:p w14:paraId="20E0D75C">
            <w:pPr>
              <w:pStyle w:val="43"/>
              <w:spacing w:line="360" w:lineRule="auto"/>
              <w:jc w:val="both"/>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三、责任认定</w:t>
            </w:r>
          </w:p>
          <w:p w14:paraId="53D08472">
            <w:pPr>
              <w:pStyle w:val="43"/>
              <w:spacing w:line="360" w:lineRule="auto"/>
              <w:jc w:val="both"/>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5FC32A17">
            <w:pPr>
              <w:pStyle w:val="43"/>
              <w:spacing w:line="360" w:lineRule="auto"/>
              <w:jc w:val="both"/>
              <w:rPr>
                <w:rFonts w:hint="eastAsia" w:ascii="宋体" w:hAnsi="宋体" w:eastAsia="宋体" w:cs="宋体"/>
                <w:b/>
                <w:color w:val="auto"/>
                <w:kern w:val="1"/>
                <w:sz w:val="24"/>
                <w:szCs w:val="24"/>
                <w:highlight w:val="none"/>
                <w:lang w:eastAsia="zh-CN"/>
              </w:rPr>
            </w:pPr>
            <w:r>
              <w:rPr>
                <w:rFonts w:hint="eastAsia" w:ascii="宋体" w:hAnsi="宋体" w:eastAsia="宋体" w:cs="宋体"/>
                <w:color w:val="auto"/>
                <w:sz w:val="24"/>
                <w:szCs w:val="24"/>
                <w:highlight w:val="none"/>
                <w:u w:val="none"/>
                <w:lang w:eastAsia="zh-CN"/>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bookmarkEnd w:id="20"/>
      <w:bookmarkEnd w:id="21"/>
    </w:tbl>
    <w:p w14:paraId="6D8D319C">
      <w:pPr>
        <w:pStyle w:val="44"/>
        <w:spacing w:before="0"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highlight w:val="none"/>
        </w:rPr>
        <w:br w:type="page"/>
      </w:r>
      <w:bookmarkStart w:id="22" w:name="_Toc13766989"/>
      <w:bookmarkStart w:id="23" w:name="_Toc1898"/>
      <w:bookmarkStart w:id="24" w:name="_Toc28642"/>
      <w:r>
        <w:rPr>
          <w:rFonts w:hint="eastAsia" w:ascii="宋体" w:hAnsi="宋体" w:eastAsia="宋体" w:cs="宋体"/>
          <w:color w:val="auto"/>
          <w:sz w:val="28"/>
          <w:szCs w:val="28"/>
          <w:highlight w:val="none"/>
        </w:rPr>
        <w:t>二、</w:t>
      </w:r>
      <w:bookmarkEnd w:id="22"/>
      <w:r>
        <w:rPr>
          <w:rFonts w:hint="eastAsia" w:ascii="宋体" w:hAnsi="宋体" w:eastAsia="宋体" w:cs="宋体"/>
          <w:color w:val="auto"/>
          <w:sz w:val="28"/>
          <w:szCs w:val="24"/>
          <w:highlight w:val="none"/>
        </w:rPr>
        <w:t>供应商须知</w:t>
      </w:r>
      <w:bookmarkEnd w:id="23"/>
      <w:bookmarkEnd w:id="24"/>
    </w:p>
    <w:p w14:paraId="7FA3CFA4">
      <w:pPr>
        <w:spacing w:before="156" w:beforeLines="50" w:after="156" w:afterLines="50" w:line="440" w:lineRule="exact"/>
        <w:jc w:val="center"/>
        <w:rPr>
          <w:rFonts w:hint="eastAsia" w:ascii="宋体" w:hAnsi="宋体" w:eastAsia="宋体" w:cs="宋体"/>
          <w:b/>
          <w:color w:val="auto"/>
          <w:kern w:val="0"/>
          <w:sz w:val="24"/>
          <w:szCs w:val="24"/>
          <w:highlight w:val="none"/>
          <w:lang w:val="zh-CN"/>
        </w:rPr>
      </w:pPr>
      <w:bookmarkStart w:id="25" w:name="_Toc37090625"/>
      <w:bookmarkStart w:id="26" w:name="_Toc21030"/>
      <w:bookmarkStart w:id="27" w:name="_Toc37090961"/>
      <w:bookmarkStart w:id="28" w:name="_Toc13766990"/>
      <w:r>
        <w:rPr>
          <w:rFonts w:hint="eastAsia" w:ascii="宋体" w:hAnsi="宋体" w:eastAsia="宋体" w:cs="宋体"/>
          <w:b/>
          <w:color w:val="auto"/>
          <w:kern w:val="0"/>
          <w:sz w:val="24"/>
          <w:szCs w:val="24"/>
          <w:highlight w:val="none"/>
          <w:lang w:val="zh-CN"/>
        </w:rPr>
        <w:t>（一）总则</w:t>
      </w:r>
      <w:bookmarkEnd w:id="25"/>
      <w:bookmarkEnd w:id="26"/>
      <w:bookmarkEnd w:id="27"/>
    </w:p>
    <w:p w14:paraId="5D36AA1C">
      <w:pPr>
        <w:spacing w:line="440" w:lineRule="exact"/>
        <w:ind w:firstLine="482" w:firstLineChars="200"/>
        <w:rPr>
          <w:rFonts w:hint="eastAsia" w:ascii="宋体" w:hAnsi="宋体" w:eastAsia="宋体" w:cs="宋体"/>
          <w:b/>
          <w:bCs/>
          <w:color w:val="auto"/>
          <w:sz w:val="24"/>
          <w:szCs w:val="24"/>
          <w:highlight w:val="none"/>
        </w:rPr>
      </w:pPr>
      <w:bookmarkStart w:id="29" w:name="_Toc37090626"/>
      <w:bookmarkStart w:id="30" w:name="_Toc37090962"/>
      <w:bookmarkStart w:id="31" w:name="_Toc29497"/>
      <w:r>
        <w:rPr>
          <w:rFonts w:hint="eastAsia" w:ascii="宋体" w:hAnsi="宋体" w:eastAsia="宋体" w:cs="宋体"/>
          <w:b/>
          <w:bCs/>
          <w:color w:val="auto"/>
          <w:sz w:val="24"/>
          <w:szCs w:val="24"/>
          <w:highlight w:val="none"/>
        </w:rPr>
        <w:t>1. 项目说明</w:t>
      </w:r>
      <w:bookmarkEnd w:id="29"/>
      <w:bookmarkEnd w:id="30"/>
      <w:bookmarkEnd w:id="31"/>
    </w:p>
    <w:p w14:paraId="5AFC3A70">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本项目的说明详见供应商须知前附表（以下简称“前附表”）所述。</w:t>
      </w:r>
    </w:p>
    <w:p w14:paraId="34896F7F">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1.2本采购项目已经批准，采购人为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新疆医科大学 </w:t>
      </w:r>
      <w:r>
        <w:rPr>
          <w:rFonts w:hint="eastAsia" w:ascii="宋体" w:hAnsi="宋体" w:eastAsia="宋体" w:cs="宋体"/>
          <w:color w:val="auto"/>
          <w:sz w:val="24"/>
          <w:szCs w:val="24"/>
          <w:highlight w:val="none"/>
        </w:rPr>
        <w:t>，该项目已具备采购条件，现对该项目进行竞争性磋商。</w:t>
      </w:r>
    </w:p>
    <w:p w14:paraId="72AFEAB0">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1.3</w:t>
      </w:r>
      <w:r>
        <w:rPr>
          <w:rFonts w:hint="eastAsia" w:ascii="宋体" w:hAnsi="宋体" w:eastAsia="宋体" w:cs="宋体"/>
          <w:color w:val="auto"/>
          <w:sz w:val="24"/>
          <w:szCs w:val="24"/>
          <w:highlight w:val="none"/>
        </w:rPr>
        <w:t>本采购项目供应商的资格审查采取资格后审方式。本次磋商</w:t>
      </w:r>
      <w:r>
        <w:rPr>
          <w:rFonts w:hint="eastAsia" w:ascii="宋体" w:hAnsi="宋体" w:eastAsia="宋体" w:cs="宋体"/>
          <w:color w:val="auto"/>
          <w:sz w:val="24"/>
          <w:szCs w:val="24"/>
          <w:highlight w:val="none"/>
          <w:u w:val="single"/>
        </w:rPr>
        <w:t>不接受</w:t>
      </w:r>
      <w:r>
        <w:rPr>
          <w:rFonts w:hint="eastAsia" w:ascii="宋体" w:hAnsi="宋体" w:eastAsia="宋体" w:cs="宋体"/>
          <w:color w:val="auto"/>
          <w:sz w:val="24"/>
          <w:szCs w:val="24"/>
          <w:highlight w:val="none"/>
        </w:rPr>
        <w:t>联合体、不接受备选方案。</w:t>
      </w:r>
    </w:p>
    <w:p w14:paraId="69276A3F">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供应商资格必须符合供应商须知前附表说明，通过资格后审的供应商为合格的供应商。合格的供应商必须符合竞争性磋商文件中对供应商的规定，且具备独立完成所投项目或所投标项的</w:t>
      </w:r>
      <w:r>
        <w:rPr>
          <w:rFonts w:hint="eastAsia" w:ascii="宋体" w:hAnsi="宋体" w:eastAsia="宋体" w:cs="宋体"/>
          <w:color w:val="auto"/>
          <w:kern w:val="10"/>
          <w:sz w:val="24"/>
          <w:szCs w:val="24"/>
          <w:highlight w:val="none"/>
        </w:rPr>
        <w:t>能</w:t>
      </w:r>
      <w:r>
        <w:rPr>
          <w:rFonts w:hint="eastAsia" w:ascii="宋体" w:hAnsi="宋体" w:eastAsia="宋体" w:cs="宋体"/>
          <w:color w:val="auto"/>
          <w:sz w:val="24"/>
          <w:szCs w:val="24"/>
          <w:highlight w:val="none"/>
        </w:rPr>
        <w:t>力，成交后不允许转包、违法分包。</w:t>
      </w:r>
    </w:p>
    <w:p w14:paraId="358E9718">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资格后审包括下列的内容</w:t>
      </w:r>
    </w:p>
    <w:p w14:paraId="597F23A2">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供应商具有独立法人资格并满足“前附表”规定的资格要求；</w:t>
      </w:r>
    </w:p>
    <w:p w14:paraId="72534BE4">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1.4.2</w:t>
      </w:r>
      <w:r>
        <w:rPr>
          <w:rFonts w:hint="eastAsia" w:ascii="宋体" w:hAnsi="宋体" w:eastAsia="宋体" w:cs="宋体"/>
          <w:color w:val="auto"/>
          <w:kern w:val="0"/>
          <w:sz w:val="24"/>
          <w:szCs w:val="24"/>
          <w:highlight w:val="none"/>
        </w:rPr>
        <w:t>竞争性磋商文件有要求供应商法定代表人或其授权代表签字或盖章和加盖供应商公章要求的，供应商须按竞争性磋商文件要求签署；</w:t>
      </w:r>
    </w:p>
    <w:p w14:paraId="2362188B">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1.4.3服务期限符合竞争性磋商文件要求；</w:t>
      </w:r>
    </w:p>
    <w:p w14:paraId="023ABAF6">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1.4.4服务地点符合竞争性磋商文件规定；</w:t>
      </w:r>
    </w:p>
    <w:p w14:paraId="3C6DCD64">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1.4.5投标内容质量、服务等满足竞争性磋商文件要求；</w:t>
      </w:r>
    </w:p>
    <w:p w14:paraId="4ADA45A6">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1.4.6响应文件中所提条件均须符合采购人的要求；</w:t>
      </w:r>
    </w:p>
    <w:p w14:paraId="1812F766">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1.4.7符合竞争性磋商文件中规定的其他实质性要求；</w:t>
      </w:r>
    </w:p>
    <w:p w14:paraId="5F1F2ADB">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1.4.8无法律、法规和规章禁止的其他情况。</w:t>
      </w:r>
    </w:p>
    <w:p w14:paraId="5349D904">
      <w:pPr>
        <w:spacing w:line="440" w:lineRule="exact"/>
        <w:ind w:firstLine="482" w:firstLineChars="200"/>
        <w:rPr>
          <w:rFonts w:hint="eastAsia" w:ascii="宋体" w:hAnsi="宋体" w:eastAsia="宋体" w:cs="宋体"/>
          <w:b/>
          <w:bCs/>
          <w:color w:val="auto"/>
          <w:sz w:val="24"/>
          <w:szCs w:val="24"/>
          <w:highlight w:val="none"/>
        </w:rPr>
      </w:pPr>
      <w:bookmarkStart w:id="32" w:name="_Toc37090627"/>
      <w:bookmarkStart w:id="33" w:name="_Toc17644"/>
      <w:bookmarkStart w:id="34" w:name="_Toc37090963"/>
      <w:r>
        <w:rPr>
          <w:rFonts w:hint="eastAsia" w:ascii="宋体" w:hAnsi="宋体" w:eastAsia="宋体" w:cs="宋体"/>
          <w:b/>
          <w:bCs/>
          <w:color w:val="auto"/>
          <w:sz w:val="24"/>
          <w:szCs w:val="24"/>
          <w:highlight w:val="none"/>
        </w:rPr>
        <w:t xml:space="preserve">2. </w:t>
      </w:r>
      <w:bookmarkEnd w:id="32"/>
      <w:bookmarkEnd w:id="33"/>
      <w:bookmarkEnd w:id="34"/>
      <w:r>
        <w:rPr>
          <w:rFonts w:hint="eastAsia" w:ascii="宋体" w:hAnsi="宋体" w:eastAsia="宋体" w:cs="宋体"/>
          <w:b/>
          <w:bCs/>
          <w:color w:val="auto"/>
          <w:sz w:val="24"/>
          <w:szCs w:val="24"/>
          <w:highlight w:val="none"/>
        </w:rPr>
        <w:t>采购范围</w:t>
      </w:r>
    </w:p>
    <w:p w14:paraId="4C91806D">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2.1本采购项目的采购范围</w:t>
      </w:r>
      <w:r>
        <w:rPr>
          <w:rFonts w:hint="eastAsia" w:ascii="宋体" w:hAnsi="宋体" w:eastAsia="宋体" w:cs="宋体"/>
          <w:color w:val="auto"/>
          <w:kern w:val="0"/>
          <w:sz w:val="24"/>
          <w:szCs w:val="24"/>
          <w:highlight w:val="none"/>
        </w:rPr>
        <w:t>已通过“前附表”第1项</w:t>
      </w:r>
      <w:r>
        <w:rPr>
          <w:rFonts w:hint="eastAsia" w:ascii="宋体" w:hAnsi="宋体" w:eastAsia="宋体" w:cs="宋体"/>
          <w:color w:val="auto"/>
          <w:sz w:val="24"/>
          <w:szCs w:val="24"/>
          <w:highlight w:val="none"/>
        </w:rPr>
        <w:t>采购内容</w:t>
      </w:r>
      <w:r>
        <w:rPr>
          <w:rFonts w:hint="eastAsia" w:ascii="宋体" w:hAnsi="宋体" w:eastAsia="宋体" w:cs="宋体"/>
          <w:color w:val="auto"/>
          <w:kern w:val="0"/>
          <w:sz w:val="24"/>
          <w:szCs w:val="24"/>
          <w:highlight w:val="none"/>
        </w:rPr>
        <w:t>所述，</w:t>
      </w:r>
      <w:r>
        <w:rPr>
          <w:rFonts w:hint="eastAsia" w:ascii="宋体" w:hAnsi="宋体" w:eastAsia="宋体" w:cs="宋体"/>
          <w:color w:val="auto"/>
          <w:sz w:val="24"/>
          <w:szCs w:val="24"/>
          <w:highlight w:val="none"/>
        </w:rPr>
        <w:t>指本项目竞争性磋商文件中范围内所要求的所有工作内容。</w:t>
      </w:r>
    </w:p>
    <w:p w14:paraId="2A0C4E84">
      <w:pPr>
        <w:spacing w:line="440" w:lineRule="exact"/>
        <w:ind w:firstLine="482" w:firstLineChars="200"/>
        <w:rPr>
          <w:rFonts w:hint="eastAsia" w:ascii="宋体" w:hAnsi="宋体" w:eastAsia="宋体" w:cs="宋体"/>
          <w:b/>
          <w:bCs/>
          <w:color w:val="auto"/>
          <w:sz w:val="24"/>
          <w:szCs w:val="24"/>
          <w:highlight w:val="none"/>
        </w:rPr>
      </w:pPr>
      <w:bookmarkStart w:id="35" w:name="_Toc37090628"/>
      <w:bookmarkStart w:id="36" w:name="_Toc26876"/>
      <w:bookmarkStart w:id="37" w:name="_Toc37090964"/>
      <w:r>
        <w:rPr>
          <w:rFonts w:hint="eastAsia" w:ascii="宋体" w:hAnsi="宋体" w:eastAsia="宋体" w:cs="宋体"/>
          <w:b/>
          <w:bCs/>
          <w:color w:val="auto"/>
          <w:sz w:val="24"/>
          <w:szCs w:val="24"/>
          <w:highlight w:val="none"/>
        </w:rPr>
        <w:t>3. 适用法律及约束力</w:t>
      </w:r>
      <w:bookmarkEnd w:id="35"/>
      <w:bookmarkEnd w:id="36"/>
      <w:bookmarkEnd w:id="37"/>
    </w:p>
    <w:p w14:paraId="7576210A">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本次磋商及由本次磋商产生的合同受中华人民共和国的相关法律、法规制约和保护。供应商一旦领取了竞争性磋商文件并参加本项目，即被认为接受了竞争性磋商文件中的所有条件和规定。</w:t>
      </w:r>
    </w:p>
    <w:p w14:paraId="170DBEB7">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3.2供应商应保证，在中华人民共和国境内使用投标成果、服务或其任何一部分时，不会产生因第三方提出侵犯其专利权或其它知识产权而引起的法律和经济纠纷。</w:t>
      </w:r>
    </w:p>
    <w:p w14:paraId="54C98A31">
      <w:pPr>
        <w:spacing w:line="440" w:lineRule="exact"/>
        <w:ind w:firstLine="482" w:firstLineChars="200"/>
        <w:rPr>
          <w:rFonts w:hint="eastAsia" w:ascii="宋体" w:hAnsi="宋体" w:eastAsia="宋体" w:cs="宋体"/>
          <w:b/>
          <w:bCs/>
          <w:color w:val="auto"/>
          <w:sz w:val="24"/>
          <w:szCs w:val="24"/>
          <w:highlight w:val="none"/>
        </w:rPr>
      </w:pPr>
      <w:bookmarkStart w:id="38" w:name="_Toc37090965"/>
      <w:bookmarkStart w:id="39" w:name="_Toc18819"/>
      <w:bookmarkStart w:id="40" w:name="_Toc37090629"/>
      <w:r>
        <w:rPr>
          <w:rFonts w:hint="eastAsia" w:ascii="宋体" w:hAnsi="宋体" w:eastAsia="宋体" w:cs="宋体"/>
          <w:b/>
          <w:bCs/>
          <w:color w:val="auto"/>
          <w:sz w:val="24"/>
          <w:szCs w:val="24"/>
          <w:highlight w:val="none"/>
        </w:rPr>
        <w:t>4. 采购项目实施要求</w:t>
      </w:r>
      <w:bookmarkEnd w:id="38"/>
      <w:bookmarkEnd w:id="39"/>
      <w:bookmarkEnd w:id="40"/>
    </w:p>
    <w:p w14:paraId="10A89AF9">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4.1质量标准已通过“前附表”第3项所述，本采购项目的质量等级标准为合格（通过采购人及有关部门组织的项目验收）。</w:t>
      </w:r>
    </w:p>
    <w:p w14:paraId="3A1ADCC2">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4.2 供应方与采购人签订合同后，按照竞争性磋商文件及合同相关的要求编制现场服务计划。</w:t>
      </w:r>
    </w:p>
    <w:p w14:paraId="60EDF7D6">
      <w:pPr>
        <w:spacing w:line="440" w:lineRule="exact"/>
        <w:ind w:firstLine="482" w:firstLineChars="200"/>
        <w:rPr>
          <w:rFonts w:hint="eastAsia" w:ascii="宋体" w:hAnsi="宋体" w:eastAsia="宋体" w:cs="宋体"/>
          <w:b/>
          <w:bCs/>
          <w:color w:val="auto"/>
          <w:sz w:val="24"/>
          <w:szCs w:val="24"/>
          <w:highlight w:val="none"/>
        </w:rPr>
      </w:pPr>
      <w:bookmarkStart w:id="41" w:name="_Toc37090630"/>
      <w:bookmarkStart w:id="42" w:name="_Toc14650"/>
      <w:bookmarkStart w:id="43" w:name="_Toc37090966"/>
      <w:r>
        <w:rPr>
          <w:rFonts w:hint="eastAsia" w:ascii="宋体" w:hAnsi="宋体" w:eastAsia="宋体" w:cs="宋体"/>
          <w:b/>
          <w:bCs/>
          <w:color w:val="auto"/>
          <w:sz w:val="24"/>
          <w:szCs w:val="24"/>
          <w:highlight w:val="none"/>
        </w:rPr>
        <w:t>5. 服务期限及服务地点</w:t>
      </w:r>
      <w:bookmarkEnd w:id="41"/>
      <w:bookmarkEnd w:id="42"/>
      <w:bookmarkEnd w:id="43"/>
    </w:p>
    <w:p w14:paraId="70857D75">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服务期限已</w:t>
      </w:r>
      <w:r>
        <w:rPr>
          <w:rFonts w:hint="eastAsia" w:ascii="宋体" w:hAnsi="宋体" w:eastAsia="宋体" w:cs="宋体"/>
          <w:color w:val="auto"/>
          <w:kern w:val="0"/>
          <w:sz w:val="24"/>
          <w:szCs w:val="24"/>
          <w:highlight w:val="none"/>
        </w:rPr>
        <w:t>通过“前附表”所述，</w:t>
      </w:r>
      <w:r>
        <w:rPr>
          <w:rFonts w:hint="eastAsia" w:ascii="宋体" w:hAnsi="宋体" w:eastAsia="宋体" w:cs="宋体"/>
          <w:color w:val="auto"/>
          <w:sz w:val="24"/>
          <w:szCs w:val="24"/>
          <w:highlight w:val="none"/>
        </w:rPr>
        <w:t>是指完成本项目采购内容及配套服务工作、验收合格并移交采购人的时间；服务地点已</w:t>
      </w:r>
      <w:r>
        <w:rPr>
          <w:rFonts w:hint="eastAsia" w:ascii="宋体" w:hAnsi="宋体" w:eastAsia="宋体" w:cs="宋体"/>
          <w:color w:val="auto"/>
          <w:kern w:val="0"/>
          <w:sz w:val="24"/>
          <w:szCs w:val="24"/>
          <w:highlight w:val="none"/>
        </w:rPr>
        <w:t>通过“前附表”所述</w:t>
      </w:r>
      <w:r>
        <w:rPr>
          <w:rFonts w:hint="eastAsia" w:ascii="宋体" w:hAnsi="宋体" w:eastAsia="宋体" w:cs="宋体"/>
          <w:color w:val="auto"/>
          <w:sz w:val="24"/>
          <w:szCs w:val="24"/>
          <w:highlight w:val="none"/>
        </w:rPr>
        <w:t>。</w:t>
      </w:r>
    </w:p>
    <w:p w14:paraId="62EEEDF2">
      <w:pPr>
        <w:spacing w:line="440" w:lineRule="exact"/>
        <w:ind w:firstLine="482" w:firstLineChars="200"/>
        <w:rPr>
          <w:rFonts w:hint="eastAsia" w:ascii="宋体" w:hAnsi="宋体" w:eastAsia="宋体" w:cs="宋体"/>
          <w:b/>
          <w:bCs/>
          <w:color w:val="auto"/>
          <w:sz w:val="24"/>
          <w:szCs w:val="24"/>
          <w:highlight w:val="none"/>
        </w:rPr>
      </w:pPr>
      <w:bookmarkStart w:id="44" w:name="_Toc4069"/>
      <w:bookmarkStart w:id="45" w:name="_Toc37090967"/>
      <w:bookmarkStart w:id="46" w:name="_Toc37090631"/>
      <w:r>
        <w:rPr>
          <w:rFonts w:hint="eastAsia" w:ascii="宋体" w:hAnsi="宋体" w:eastAsia="宋体" w:cs="宋体"/>
          <w:b/>
          <w:bCs/>
          <w:color w:val="auto"/>
          <w:sz w:val="24"/>
          <w:szCs w:val="24"/>
          <w:highlight w:val="none"/>
        </w:rPr>
        <w:t>6. 资金来源</w:t>
      </w:r>
      <w:bookmarkEnd w:id="44"/>
      <w:bookmarkEnd w:id="45"/>
      <w:bookmarkEnd w:id="46"/>
    </w:p>
    <w:p w14:paraId="29AC820B">
      <w:pPr>
        <w:shd w:val="clear" w:color="auto" w:fill="FFFFFF"/>
        <w:spacing w:line="440" w:lineRule="exact"/>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6.1采购单位的资金通过“前附表”第1项所述的方式获得，并将部分资金用于本项目合同下的合格支付。</w:t>
      </w:r>
    </w:p>
    <w:p w14:paraId="1E8EB8FF">
      <w:pPr>
        <w:spacing w:line="440" w:lineRule="exact"/>
        <w:ind w:firstLine="482" w:firstLineChars="200"/>
        <w:rPr>
          <w:rFonts w:hint="eastAsia" w:ascii="宋体" w:hAnsi="宋体" w:eastAsia="宋体" w:cs="宋体"/>
          <w:b/>
          <w:bCs/>
          <w:color w:val="auto"/>
          <w:sz w:val="24"/>
          <w:szCs w:val="24"/>
          <w:highlight w:val="none"/>
        </w:rPr>
      </w:pPr>
      <w:bookmarkStart w:id="47" w:name="_Toc37090632"/>
      <w:bookmarkStart w:id="48" w:name="_Toc19811"/>
      <w:bookmarkStart w:id="49" w:name="_Toc37090968"/>
      <w:r>
        <w:rPr>
          <w:rFonts w:hint="eastAsia" w:ascii="宋体" w:hAnsi="宋体" w:eastAsia="宋体" w:cs="宋体"/>
          <w:b/>
          <w:bCs/>
          <w:color w:val="auto"/>
          <w:sz w:val="24"/>
          <w:szCs w:val="24"/>
          <w:highlight w:val="none"/>
        </w:rPr>
        <w:t>7. 供应商资格要求</w:t>
      </w:r>
      <w:bookmarkEnd w:id="47"/>
      <w:bookmarkEnd w:id="48"/>
      <w:bookmarkEnd w:id="49"/>
    </w:p>
    <w:p w14:paraId="0B8A21F6">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供应商资格要求须满足“前附表”第4项要求。</w:t>
      </w:r>
    </w:p>
    <w:p w14:paraId="4A2EC968">
      <w:pPr>
        <w:spacing w:line="440" w:lineRule="exact"/>
        <w:ind w:firstLine="482" w:firstLineChars="200"/>
        <w:rPr>
          <w:rFonts w:hint="eastAsia" w:ascii="宋体" w:hAnsi="宋体" w:eastAsia="宋体" w:cs="宋体"/>
          <w:b/>
          <w:bCs/>
          <w:color w:val="auto"/>
          <w:sz w:val="24"/>
          <w:szCs w:val="24"/>
          <w:highlight w:val="none"/>
        </w:rPr>
      </w:pPr>
      <w:bookmarkStart w:id="50" w:name="_Toc37090969"/>
      <w:bookmarkStart w:id="51" w:name="_Toc30617"/>
      <w:bookmarkStart w:id="52" w:name="_Toc37090633"/>
      <w:r>
        <w:rPr>
          <w:rFonts w:hint="eastAsia" w:ascii="宋体" w:hAnsi="宋体" w:eastAsia="宋体" w:cs="宋体"/>
          <w:b/>
          <w:bCs/>
          <w:color w:val="auto"/>
          <w:sz w:val="24"/>
          <w:szCs w:val="24"/>
          <w:highlight w:val="none"/>
        </w:rPr>
        <w:t>8. 投标费用</w:t>
      </w:r>
      <w:bookmarkEnd w:id="50"/>
      <w:bookmarkEnd w:id="51"/>
      <w:bookmarkEnd w:id="52"/>
    </w:p>
    <w:p w14:paraId="6FBBAB29">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供应商应承担其编制响应文件与递交响应文件所涉及的一切费用，不论投标结果如何，采购人或采购代理机构均无义务和责任承担这些费用。</w:t>
      </w:r>
    </w:p>
    <w:p w14:paraId="7A5CF2A9">
      <w:pPr>
        <w:pStyle w:val="45"/>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9.合格供应商的条件</w:t>
      </w:r>
    </w:p>
    <w:p w14:paraId="3632B939">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9.1具有本项目实施能力，符合、承认并承诺履行本文件各项规定的国内法人、其他组织或自然人均可参加投标。</w:t>
      </w:r>
    </w:p>
    <w:p w14:paraId="02C5EB23">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 遵守有关的国家法律、法规和条例，具备《中华人民共和国政府采购法》和本文件中规定的条件：</w:t>
      </w:r>
    </w:p>
    <w:p w14:paraId="06347671">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9.2.1具有独立承担民事责任的能力； </w:t>
      </w:r>
    </w:p>
    <w:p w14:paraId="038D552B">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9.2.2具有良好的商业信誉和健全的财务会计制度；</w:t>
      </w:r>
    </w:p>
    <w:p w14:paraId="31218D9A">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9.2.3具有履行合同所必需的设备和专业技术能力；</w:t>
      </w:r>
    </w:p>
    <w:p w14:paraId="5A1401A1">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9.2.4具有依法缴纳税收和社会保障资金的良好记录；</w:t>
      </w:r>
    </w:p>
    <w:p w14:paraId="351B794E">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9.2.5参加政府采购活动前三年内，在经营活动中没有重大违法记录；</w:t>
      </w:r>
    </w:p>
    <w:p w14:paraId="1BB19A60">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9.2.6法律、行政法规规定的其他条件；</w:t>
      </w:r>
    </w:p>
    <w:p w14:paraId="7AD075E2">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9.2.7具有本竞争性磋商文件第二部分“供应商须知前附表”中第4项规定的资格条件。</w:t>
      </w:r>
    </w:p>
    <w:p w14:paraId="20358E61">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9.3供应商之间如果存在下列情形之一的，不得同时参加同一包（标段）或者不分包（标段）的同一项目投标：</w:t>
      </w:r>
    </w:p>
    <w:p w14:paraId="63F6E8E1">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9.3.1法定代表人为同一个人的两个及两个以上法人；</w:t>
      </w:r>
    </w:p>
    <w:p w14:paraId="1C201548">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9.3.2母公司、全资子公司及其控股公司；</w:t>
      </w:r>
    </w:p>
    <w:p w14:paraId="1BCE6815">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9.3.3参加投标的其他组织之间存在特殊的利害关系的；</w:t>
      </w:r>
    </w:p>
    <w:p w14:paraId="63602D72">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9.3.4法律和行政法规规定的其他情形。</w:t>
      </w:r>
    </w:p>
    <w:p w14:paraId="6D03F1D9">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9.4供应商授权代表须持有《法定代表人授权委托书》。</w:t>
      </w:r>
    </w:p>
    <w:p w14:paraId="3FB5A100">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9.5供应商</w:t>
      </w:r>
      <w:r>
        <w:rPr>
          <w:rFonts w:hint="eastAsia" w:ascii="宋体" w:hAnsi="宋体" w:eastAsia="宋体" w:cs="宋体"/>
          <w:bCs/>
          <w:color w:val="auto"/>
          <w:kern w:val="0"/>
          <w:sz w:val="24"/>
          <w:szCs w:val="24"/>
          <w:highlight w:val="none"/>
        </w:rPr>
        <w:t>通过</w:t>
      </w:r>
      <w:r>
        <w:rPr>
          <w:rFonts w:hint="eastAsia" w:ascii="宋体" w:hAnsi="宋体" w:eastAsia="宋体" w:cs="宋体"/>
          <w:bCs/>
          <w:color w:val="auto"/>
          <w:kern w:val="0"/>
          <w:sz w:val="24"/>
          <w:szCs w:val="24"/>
          <w:highlight w:val="none"/>
          <w:lang w:eastAsia="zh-CN"/>
        </w:rPr>
        <w:t>新疆政府采购网</w:t>
      </w: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eastAsia="zh-CN"/>
        </w:rPr>
        <w:t>http://www.ccgp-xinjiang.gov.cn/</w:t>
      </w:r>
      <w:r>
        <w:rPr>
          <w:rFonts w:hint="eastAsia" w:ascii="宋体" w:hAnsi="宋体" w:eastAsia="宋体" w:cs="宋体"/>
          <w:bCs/>
          <w:color w:val="auto"/>
          <w:kern w:val="0"/>
          <w:sz w:val="24"/>
          <w:szCs w:val="24"/>
          <w:highlight w:val="none"/>
        </w:rPr>
        <w:t>）的”政采云登录入口”登录后，在</w:t>
      </w:r>
      <w:r>
        <w:rPr>
          <w:rFonts w:hint="eastAsia" w:ascii="宋体" w:hAnsi="宋体" w:eastAsia="宋体" w:cs="宋体"/>
          <w:color w:val="auto"/>
          <w:sz w:val="24"/>
          <w:highlight w:val="none"/>
        </w:rPr>
        <w:t>“项目采购”项下的“获取采购文件”自行领取竞争性磋商文件。</w:t>
      </w:r>
    </w:p>
    <w:p w14:paraId="28564737">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9.6供应商按时足额交纳磋商保证金。</w:t>
      </w:r>
    </w:p>
    <w:p w14:paraId="7986EE7F">
      <w:pPr>
        <w:spacing w:line="440" w:lineRule="exact"/>
        <w:ind w:firstLine="482" w:firstLineChars="200"/>
        <w:rPr>
          <w:rFonts w:hint="eastAsia" w:ascii="宋体" w:hAnsi="宋体" w:eastAsia="宋体" w:cs="宋体"/>
          <w:b/>
          <w:bCs/>
          <w:color w:val="auto"/>
          <w:sz w:val="24"/>
          <w:szCs w:val="24"/>
          <w:highlight w:val="none"/>
        </w:rPr>
      </w:pPr>
      <w:bookmarkStart w:id="53" w:name="_Toc37090971"/>
      <w:bookmarkStart w:id="54" w:name="_Toc6998"/>
      <w:bookmarkStart w:id="55" w:name="_Toc37090635"/>
      <w:r>
        <w:rPr>
          <w:rFonts w:hint="eastAsia" w:ascii="宋体" w:hAnsi="宋体" w:eastAsia="宋体" w:cs="宋体"/>
          <w:b/>
          <w:bCs/>
          <w:color w:val="auto"/>
          <w:sz w:val="24"/>
          <w:szCs w:val="24"/>
          <w:highlight w:val="none"/>
        </w:rPr>
        <w:t>10. 联合体</w:t>
      </w:r>
      <w:bookmarkEnd w:id="53"/>
      <w:bookmarkEnd w:id="54"/>
      <w:bookmarkEnd w:id="55"/>
    </w:p>
    <w:p w14:paraId="59AFBFB4">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10.1供应商须知前附表中接受联合体的，供应商可以联合体形式参加磋商，否则联合体投标视为无效响应；接受联合体的，除应符合本章第7</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kern w:val="0"/>
          <w:sz w:val="24"/>
          <w:szCs w:val="24"/>
          <w:highlight w:val="none"/>
        </w:rPr>
        <w:t xml:space="preserve">规定外，还应遵守以下规定： </w:t>
      </w:r>
    </w:p>
    <w:p w14:paraId="55E5C8FE">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10.1.1联合体各方应按竞争性磋商文件提供的格式签订</w:t>
      </w:r>
      <w:r>
        <w:rPr>
          <w:rFonts w:hint="eastAsia" w:ascii="宋体" w:hAnsi="宋体" w:eastAsia="宋体" w:cs="宋体"/>
          <w:color w:val="auto"/>
          <w:kern w:val="0"/>
          <w:sz w:val="24"/>
          <w:szCs w:val="24"/>
          <w:highlight w:val="none"/>
          <w:u w:val="none"/>
        </w:rPr>
        <w:t>联合体协议</w:t>
      </w:r>
      <w:r>
        <w:rPr>
          <w:rFonts w:hint="eastAsia" w:ascii="宋体" w:hAnsi="宋体" w:eastAsia="宋体" w:cs="宋体"/>
          <w:color w:val="auto"/>
          <w:kern w:val="0"/>
          <w:sz w:val="24"/>
          <w:szCs w:val="24"/>
          <w:highlight w:val="none"/>
        </w:rPr>
        <w:t>，明确联合体牵头人和各方的权利义务、合同工作量比例；</w:t>
      </w:r>
    </w:p>
    <w:p w14:paraId="7234363A">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10.1.2联合体各方签订联合体协议书后，不得再单独参加或者与其他供应商组成新的联合体参加同一项目的采购活动。</w:t>
      </w:r>
    </w:p>
    <w:p w14:paraId="36C9E06B">
      <w:pPr>
        <w:shd w:val="clear" w:color="auto" w:fill="FFFFFF"/>
        <w:spacing w:line="44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11.信用信息查询</w:t>
      </w:r>
    </w:p>
    <w:p w14:paraId="6A08024E">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11.1查询渠道：“信用中国”网站（www.creditchina.gov.cn）、中国政府采购网（</w:t>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"http://www.ccgp.gov.cn"</w:instrText>
      </w:r>
      <w:r>
        <w:rPr>
          <w:rFonts w:hint="eastAsia" w:ascii="宋体" w:hAnsi="宋体" w:eastAsia="宋体" w:cs="宋体"/>
          <w:color w:val="auto"/>
          <w:szCs w:val="24"/>
          <w:highlight w:val="none"/>
        </w:rPr>
        <w:fldChar w:fldCharType="separate"/>
      </w:r>
      <w:r>
        <w:rPr>
          <w:rStyle w:val="30"/>
          <w:rFonts w:hint="eastAsia" w:ascii="宋体" w:hAnsi="宋体" w:eastAsia="宋体" w:cs="宋体"/>
          <w:color w:val="auto"/>
          <w:kern w:val="0"/>
          <w:sz w:val="24"/>
          <w:szCs w:val="24"/>
          <w:highlight w:val="none"/>
          <w:u w:val="none"/>
        </w:rPr>
        <w:t>www.ccgp.gov.cn</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w:t>
      </w:r>
    </w:p>
    <w:p w14:paraId="571A8006">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11.2查询截止时间：</w:t>
      </w:r>
      <w:r>
        <w:rPr>
          <w:rFonts w:hint="eastAsia" w:ascii="宋体" w:hAnsi="宋体" w:eastAsia="宋体" w:cs="宋体"/>
          <w:color w:val="auto"/>
          <w:sz w:val="24"/>
          <w:szCs w:val="24"/>
          <w:highlight w:val="none"/>
          <w:lang w:val="en-US" w:eastAsia="zh-CN"/>
        </w:rPr>
        <w:t>同响应截止时间</w:t>
      </w:r>
      <w:r>
        <w:rPr>
          <w:rFonts w:hint="eastAsia" w:ascii="宋体" w:hAnsi="宋体" w:eastAsia="宋体" w:cs="宋体"/>
          <w:color w:val="auto"/>
          <w:sz w:val="24"/>
          <w:szCs w:val="24"/>
          <w:highlight w:val="none"/>
        </w:rPr>
        <w:t>。</w:t>
      </w:r>
    </w:p>
    <w:p w14:paraId="2396364C">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11.3根据《关于在政府采购活动中查询及使用信用记录有关问题的通知》(财库[2016]125号)的规定，对被列入“失信被执行人”、“重大税收违法案件当事人名单”、“政府采购严重违法失信行为记录名单”的供应商，拒绝参与本项目政府采购活动。</w:t>
      </w:r>
    </w:p>
    <w:p w14:paraId="3A051474">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11.4信用信息查询由采购代理机构在开标/磋商后通过本须知11.1所述渠道进行网上查询，对存在本须知11.3所述情形的供应商，将对其查询结果的网页截图作为查询记录和证据留存。</w:t>
      </w:r>
    </w:p>
    <w:p w14:paraId="0E760083">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11.5两个以上的自然人、法人或者其他组织组成一个联合体，以一个供应商的身份共同参加政府采购活动的，将对所有联合体成员进行信用记录查询，联合体成员存在不良信用记录的，视同联合体存在不良信用记录。</w:t>
      </w:r>
    </w:p>
    <w:bookmarkEnd w:id="28"/>
    <w:p w14:paraId="3E956B13">
      <w:pPr>
        <w:spacing w:before="156" w:beforeLines="50" w:after="156" w:afterLines="50" w:line="440" w:lineRule="exact"/>
        <w:jc w:val="center"/>
        <w:rPr>
          <w:rFonts w:hint="eastAsia" w:ascii="宋体" w:hAnsi="宋体" w:eastAsia="宋体" w:cs="宋体"/>
          <w:b/>
          <w:color w:val="auto"/>
          <w:kern w:val="0"/>
          <w:sz w:val="24"/>
          <w:szCs w:val="24"/>
          <w:highlight w:val="none"/>
          <w:lang w:val="zh-CN"/>
        </w:rPr>
      </w:pPr>
      <w:bookmarkStart w:id="56" w:name="_Toc37090972"/>
      <w:bookmarkStart w:id="57" w:name="_Toc37090636"/>
      <w:r>
        <w:rPr>
          <w:rFonts w:hint="eastAsia" w:ascii="宋体" w:hAnsi="宋体" w:eastAsia="宋体" w:cs="宋体"/>
          <w:b/>
          <w:color w:val="auto"/>
          <w:kern w:val="0"/>
          <w:sz w:val="24"/>
          <w:szCs w:val="24"/>
          <w:highlight w:val="none"/>
          <w:lang w:val="zh-CN"/>
        </w:rPr>
        <w:t>（二）</w:t>
      </w:r>
      <w:bookmarkEnd w:id="56"/>
      <w:bookmarkEnd w:id="57"/>
      <w:r>
        <w:rPr>
          <w:rFonts w:hint="eastAsia" w:ascii="宋体" w:hAnsi="宋体" w:eastAsia="宋体" w:cs="宋体"/>
          <w:b/>
          <w:color w:val="auto"/>
          <w:kern w:val="0"/>
          <w:sz w:val="24"/>
          <w:szCs w:val="24"/>
          <w:highlight w:val="none"/>
          <w:lang w:val="zh-CN"/>
        </w:rPr>
        <w:t>竞争性磋商文件</w:t>
      </w:r>
    </w:p>
    <w:p w14:paraId="6588BC20">
      <w:pPr>
        <w:spacing w:line="440" w:lineRule="exact"/>
        <w:ind w:firstLine="482" w:firstLineChars="200"/>
        <w:rPr>
          <w:rFonts w:hint="eastAsia" w:ascii="宋体" w:hAnsi="宋体" w:eastAsia="宋体" w:cs="宋体"/>
          <w:b/>
          <w:bCs/>
          <w:color w:val="auto"/>
          <w:sz w:val="24"/>
          <w:szCs w:val="24"/>
          <w:highlight w:val="none"/>
        </w:rPr>
      </w:pPr>
      <w:bookmarkStart w:id="58" w:name="_Toc37090973"/>
      <w:bookmarkStart w:id="59" w:name="_Toc37090637"/>
      <w:bookmarkStart w:id="60" w:name="_Toc10669"/>
      <w:r>
        <w:rPr>
          <w:rFonts w:hint="eastAsia" w:ascii="宋体" w:hAnsi="宋体" w:eastAsia="宋体" w:cs="宋体"/>
          <w:b/>
          <w:bCs/>
          <w:color w:val="auto"/>
          <w:sz w:val="24"/>
          <w:szCs w:val="24"/>
          <w:highlight w:val="none"/>
        </w:rPr>
        <w:t>12. 竞争性磋商文件的组成</w:t>
      </w:r>
      <w:bookmarkEnd w:id="58"/>
      <w:bookmarkEnd w:id="59"/>
      <w:bookmarkEnd w:id="60"/>
    </w:p>
    <w:p w14:paraId="1F9C4FF1">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 竞争性磋商文件包括下列内容</w:t>
      </w:r>
    </w:p>
    <w:p w14:paraId="4D5510F8">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第一章 竞争性磋商公告</w:t>
      </w:r>
    </w:p>
    <w:p w14:paraId="3B7DFDD8">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第二章 供应商须知</w:t>
      </w:r>
    </w:p>
    <w:p w14:paraId="4CCD6A2E">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第三章 合同条款</w:t>
      </w:r>
    </w:p>
    <w:p w14:paraId="6DC7E9BD">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第四章 采购需求</w:t>
      </w:r>
    </w:p>
    <w:p w14:paraId="69D52207">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第五章 评审办法</w:t>
      </w:r>
    </w:p>
    <w:p w14:paraId="10EEBCA3">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第六章 响应文件格式</w:t>
      </w:r>
    </w:p>
    <w:p w14:paraId="4990AEA7">
      <w:pPr>
        <w:shd w:val="clear" w:color="auto" w:fill="FFFFFF"/>
        <w:autoSpaceDE w:val="0"/>
        <w:autoSpaceDN w:val="0"/>
        <w:adjustRightInd w:val="0"/>
        <w:spacing w:line="44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12.2 </w:t>
      </w:r>
      <w:r>
        <w:rPr>
          <w:rFonts w:hint="eastAsia" w:ascii="宋体" w:hAnsi="宋体" w:eastAsia="宋体" w:cs="宋体"/>
          <w:b/>
          <w:bCs/>
          <w:color w:val="auto"/>
          <w:sz w:val="24"/>
          <w:szCs w:val="24"/>
          <w:highlight w:val="none"/>
        </w:rPr>
        <w:t>本次磋商</w:t>
      </w:r>
      <w:r>
        <w:rPr>
          <w:rFonts w:hint="eastAsia" w:ascii="宋体" w:hAnsi="宋体" w:eastAsia="宋体" w:cs="宋体"/>
          <w:b/>
          <w:color w:val="auto"/>
          <w:sz w:val="24"/>
          <w:szCs w:val="24"/>
          <w:highlight w:val="none"/>
          <w:lang w:val="zh-CN"/>
        </w:rPr>
        <w:t>的最小单位是标项。竞争性磋商文件未分标项的，供应商须对全部</w:t>
      </w:r>
      <w:r>
        <w:rPr>
          <w:rFonts w:hint="eastAsia" w:ascii="宋体" w:hAnsi="宋体" w:eastAsia="宋体" w:cs="宋体"/>
          <w:b/>
          <w:color w:val="auto"/>
          <w:sz w:val="24"/>
          <w:szCs w:val="24"/>
          <w:highlight w:val="none"/>
        </w:rPr>
        <w:t>采购</w:t>
      </w:r>
      <w:r>
        <w:rPr>
          <w:rFonts w:hint="eastAsia" w:ascii="宋体" w:hAnsi="宋体" w:eastAsia="宋体" w:cs="宋体"/>
          <w:b/>
          <w:color w:val="auto"/>
          <w:sz w:val="24"/>
          <w:szCs w:val="24"/>
          <w:highlight w:val="none"/>
          <w:lang w:val="zh-CN"/>
        </w:rPr>
        <w:t>内容投标，不得部分投标；竞争性磋商文件分标项的，供应商应当以标项为单位编制并提交响应文件</w:t>
      </w:r>
      <w:r>
        <w:rPr>
          <w:rFonts w:hint="eastAsia" w:ascii="宋体" w:hAnsi="宋体" w:eastAsia="宋体" w:cs="宋体"/>
          <w:color w:val="auto"/>
          <w:sz w:val="24"/>
          <w:szCs w:val="24"/>
          <w:highlight w:val="none"/>
          <w:lang w:val="zh-CN"/>
        </w:rPr>
        <w:t>。</w:t>
      </w:r>
    </w:p>
    <w:p w14:paraId="4FA33E81">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12.3 竞争性磋商文件如果要求供应商提交备选投标方案的，供应商可以提交备选方案；否则，备选方案将被拒绝。</w:t>
      </w:r>
    </w:p>
    <w:p w14:paraId="371D596E">
      <w:pPr>
        <w:shd w:val="clear" w:color="auto" w:fill="FFFFFF"/>
        <w:spacing w:line="44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12.4 竞争性磋商文件由本文件及由采购人按竞争性磋商文件有关规定发出的竞争性磋商文件补充构成。</w:t>
      </w:r>
    </w:p>
    <w:p w14:paraId="38FC9E4F">
      <w:pPr>
        <w:shd w:val="clear" w:color="auto" w:fill="FFFFFF"/>
        <w:spacing w:line="44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12.5 竞争性磋商文件的澄清、修改、</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zh-CN"/>
        </w:rPr>
        <w:t>答疑会纪要等书面材料在本采购项目中均称竞争性磋商文件补充。</w:t>
      </w:r>
    </w:p>
    <w:p w14:paraId="5B72B578">
      <w:pPr>
        <w:shd w:val="clear" w:color="auto" w:fill="FFFFFF"/>
        <w:spacing w:line="44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12.6 竞争性磋商文件补充作为竞争性磋商文件的组成部分，对供应商起同等约束作用。如果竞争性磋商文件补充内容与在此竞争性磋商文件补充发出之前的竞争性磋商文件等书面材料中相关内容相冲突，请供应商执行竞争性磋商文件补充的相关内容，先前发出的竞争性磋商文件等书面材料中相关内容自动废止。</w:t>
      </w:r>
    </w:p>
    <w:p w14:paraId="0DB2A0F4">
      <w:pPr>
        <w:shd w:val="clear" w:color="auto" w:fill="FFFFFF"/>
        <w:spacing w:line="44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12.7 供应商应认真审阅和理解竞争性磋商文件所有内容，尤其注意可能引起“否决投标”、“拒绝评审”、“无效响应”、“评审不予通过”等的条款，按照竞争性磋商文件要求编制响应文件。任何对竞争性磋商文件的忽略或误解不能作为响应文件存在缺陷或瑕疵的理由，其风险由供应商承担。</w:t>
      </w:r>
    </w:p>
    <w:p w14:paraId="788C096E">
      <w:pPr>
        <w:spacing w:line="440" w:lineRule="exact"/>
        <w:ind w:firstLine="482" w:firstLineChars="200"/>
        <w:rPr>
          <w:rFonts w:hint="eastAsia" w:ascii="宋体" w:hAnsi="宋体" w:eastAsia="宋体" w:cs="宋体"/>
          <w:b/>
          <w:bCs/>
          <w:color w:val="auto"/>
          <w:sz w:val="24"/>
          <w:szCs w:val="24"/>
          <w:highlight w:val="none"/>
          <w:lang w:val="zh-CN"/>
        </w:rPr>
      </w:pPr>
      <w:bookmarkStart w:id="61" w:name="_Toc37090638"/>
      <w:bookmarkStart w:id="62" w:name="_Toc37090974"/>
      <w:bookmarkStart w:id="63" w:name="_Toc12268"/>
      <w:r>
        <w:rPr>
          <w:rFonts w:hint="eastAsia" w:ascii="宋体" w:hAnsi="宋体" w:eastAsia="宋体" w:cs="宋体"/>
          <w:b/>
          <w:bCs/>
          <w:color w:val="auto"/>
          <w:sz w:val="24"/>
          <w:szCs w:val="24"/>
          <w:highlight w:val="none"/>
          <w:lang w:val="zh-CN"/>
        </w:rPr>
        <w:t>13. 竞争性磋商文件的获取</w:t>
      </w:r>
      <w:bookmarkEnd w:id="61"/>
      <w:bookmarkEnd w:id="62"/>
      <w:bookmarkEnd w:id="63"/>
    </w:p>
    <w:p w14:paraId="270A4D95">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13.1竞争性磋商文件的提供期限自开始发出之日起不得少于五个工作日。具体提供期限见</w:t>
      </w:r>
      <w:r>
        <w:rPr>
          <w:rFonts w:hint="eastAsia" w:ascii="宋体" w:hAnsi="宋体" w:eastAsia="宋体" w:cs="宋体"/>
          <w:b/>
          <w:color w:val="auto"/>
          <w:kern w:val="0"/>
          <w:sz w:val="24"/>
          <w:szCs w:val="24"/>
          <w:highlight w:val="none"/>
        </w:rPr>
        <w:t>竞争性磋商公告</w:t>
      </w:r>
      <w:r>
        <w:rPr>
          <w:rFonts w:hint="eastAsia" w:ascii="宋体" w:hAnsi="宋体" w:eastAsia="宋体" w:cs="宋体"/>
          <w:color w:val="auto"/>
          <w:kern w:val="0"/>
          <w:sz w:val="24"/>
          <w:szCs w:val="24"/>
          <w:highlight w:val="none"/>
        </w:rPr>
        <w:t>。</w:t>
      </w:r>
    </w:p>
    <w:p w14:paraId="3B2D8977">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13.2凡符合资格要求并有意参加磋商的供应商,</w:t>
      </w:r>
      <w:r>
        <w:rPr>
          <w:rFonts w:hint="eastAsia" w:ascii="宋体" w:hAnsi="宋体" w:eastAsia="宋体" w:cs="宋体"/>
          <w:bCs/>
          <w:color w:val="auto"/>
          <w:kern w:val="0"/>
          <w:sz w:val="24"/>
          <w:szCs w:val="24"/>
          <w:highlight w:val="none"/>
        </w:rPr>
        <w:t>通过</w:t>
      </w:r>
      <w:r>
        <w:rPr>
          <w:rFonts w:hint="eastAsia" w:ascii="宋体" w:hAnsi="宋体" w:eastAsia="宋体" w:cs="宋体"/>
          <w:bCs/>
          <w:color w:val="auto"/>
          <w:kern w:val="0"/>
          <w:sz w:val="24"/>
          <w:szCs w:val="24"/>
          <w:highlight w:val="none"/>
          <w:lang w:eastAsia="zh-CN"/>
        </w:rPr>
        <w:t>新疆政府采购网</w:t>
      </w: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eastAsia="zh-CN"/>
        </w:rPr>
        <w:t>http://www.ccgp-xinjiang.gov.cn/</w:t>
      </w:r>
      <w:r>
        <w:rPr>
          <w:rFonts w:hint="eastAsia" w:ascii="宋体" w:hAnsi="宋体" w:eastAsia="宋体" w:cs="宋体"/>
          <w:bCs/>
          <w:color w:val="auto"/>
          <w:kern w:val="0"/>
          <w:sz w:val="24"/>
          <w:szCs w:val="24"/>
          <w:highlight w:val="none"/>
        </w:rPr>
        <w:t>）的”政采云登录入口”登录递交申请资料，经采购代理机构审核通过后，在</w:t>
      </w:r>
      <w:r>
        <w:rPr>
          <w:rFonts w:hint="eastAsia" w:ascii="宋体" w:hAnsi="宋体" w:eastAsia="宋体" w:cs="宋体"/>
          <w:color w:val="auto"/>
          <w:sz w:val="24"/>
          <w:highlight w:val="none"/>
        </w:rPr>
        <w:t>“项目采购”项下的“获取采购文件”自行领取竞争性磋商文件。</w:t>
      </w:r>
    </w:p>
    <w:p w14:paraId="74DECCBD">
      <w:pPr>
        <w:spacing w:line="440" w:lineRule="exact"/>
        <w:ind w:firstLine="482" w:firstLineChars="200"/>
        <w:rPr>
          <w:rFonts w:hint="eastAsia" w:ascii="宋体" w:hAnsi="宋体" w:eastAsia="宋体" w:cs="宋体"/>
          <w:b/>
          <w:bCs/>
          <w:color w:val="auto"/>
          <w:sz w:val="24"/>
          <w:szCs w:val="24"/>
          <w:highlight w:val="none"/>
          <w:lang w:val="zh-CN"/>
        </w:rPr>
      </w:pPr>
      <w:bookmarkStart w:id="64" w:name="_Toc28565"/>
      <w:bookmarkStart w:id="65" w:name="_Toc37090639"/>
      <w:bookmarkStart w:id="66" w:name="_Toc37090975"/>
      <w:r>
        <w:rPr>
          <w:rFonts w:hint="eastAsia" w:ascii="宋体" w:hAnsi="宋体" w:eastAsia="宋体" w:cs="宋体"/>
          <w:b/>
          <w:bCs/>
          <w:color w:val="auto"/>
          <w:sz w:val="24"/>
          <w:szCs w:val="24"/>
          <w:highlight w:val="none"/>
          <w:lang w:val="zh-CN"/>
        </w:rPr>
        <w:t>14. 竞争性磋商文件的澄清或修改</w:t>
      </w:r>
      <w:bookmarkEnd w:id="64"/>
      <w:bookmarkEnd w:id="65"/>
      <w:bookmarkEnd w:id="66"/>
    </w:p>
    <w:p w14:paraId="695C1E8D">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供应商若对竞争性磋商文件有任何疑问，应当在获取竞争性磋商文件或者竞争性磋商文件公告期限届满之日起7个工作日内提出。本项目接受对竞争性磋商文件质疑的截止时间见“前附表”第12项，供应商须在截止时间前一次性提出对竞争性磋商文件质疑内容。供应商提出质疑应当提交质疑函和必要的证明材料。质疑函应当包括下列内容：</w:t>
      </w:r>
    </w:p>
    <w:p w14:paraId="0428BBF6">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14.1.1供应商的姓名或者名称、地址、邮编、联系人及联系电话；</w:t>
      </w:r>
    </w:p>
    <w:p w14:paraId="07B19FDC">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14.1.2质疑项目的名称、编号；</w:t>
      </w:r>
    </w:p>
    <w:p w14:paraId="1E766734">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14.1.3具体、明确的质疑事项和与质疑事项相关的请求；</w:t>
      </w:r>
    </w:p>
    <w:p w14:paraId="07CB1368">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14.1.4事实依据；</w:t>
      </w:r>
    </w:p>
    <w:p w14:paraId="04C649A9">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14.1.5必要的法律依据；</w:t>
      </w:r>
    </w:p>
    <w:p w14:paraId="5246D102">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14.1.6提出质疑的日期。</w:t>
      </w:r>
    </w:p>
    <w:p w14:paraId="79C6CEA5">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供应商为自然人的，应当由本人签字；供应商为法人或者其他组织的，应当由法定代表人、主要负责人，或者其授权代表签字或者盖章，并加盖投标单位公章。</w:t>
      </w:r>
    </w:p>
    <w:p w14:paraId="1F3A748B">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14.2</w:t>
      </w:r>
      <w:r>
        <w:rPr>
          <w:rFonts w:hint="eastAsia" w:ascii="宋体" w:hAnsi="宋体" w:eastAsia="宋体" w:cs="宋体"/>
          <w:color w:val="auto"/>
          <w:sz w:val="24"/>
          <w:szCs w:val="24"/>
          <w:highlight w:val="none"/>
        </w:rPr>
        <w:t xml:space="preserve"> 在响应文件递交截止期前的任何时候，无论出于何种原因，采购人均可主动地或在解答供应商提出的澄清问题时对竞争性磋商文件进行修改。</w:t>
      </w:r>
    </w:p>
    <w:p w14:paraId="1F0C7044">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竞争性磋商文件的修改将以书面形式通知所有参与磋商的供应商，并对其具有约束力，供应商应立即以传真形式回复采购人，确认已收到修改文件。</w:t>
      </w:r>
    </w:p>
    <w:p w14:paraId="0FCE98F6">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14.4为使供应商有充分的时间对竞争性磋商文件的修改文件进行研究，采购人有权推迟磋商时间，并将此变更书面通知所有参与磋商的供应商。</w:t>
      </w:r>
    </w:p>
    <w:p w14:paraId="0D287198">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 在上述情况下，采购人与供应商响应文件递交截止日前的全部权利、责任和义务，将适用于延长后的响应文件递交截止期。</w:t>
      </w:r>
    </w:p>
    <w:p w14:paraId="7E20518C">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14.6 </w:t>
      </w:r>
      <w:r>
        <w:rPr>
          <w:rFonts w:hint="eastAsia" w:ascii="宋体" w:hAnsi="宋体" w:eastAsia="宋体" w:cs="宋体"/>
          <w:color w:val="auto"/>
          <w:sz w:val="24"/>
          <w:szCs w:val="24"/>
          <w:highlight w:val="none"/>
        </w:rPr>
        <w:t>供应商领取竞争性磋商文件后，应仔细检查竞争性磋商文件的所有内容，如有残缺应在领到竞争性磋商文件后5日内向采购代理机构提出，否则，由此引起的损失自负；供应商同时应认真审阅竞争性磋商文件所有的事项、格式、条款和规范要求等，如果供应商没有按竞争性磋商文件要求提交全部资料或者没有对竞争性磋商文件做出实质性响应，其风险应由供应商自行承担。</w:t>
      </w:r>
    </w:p>
    <w:p w14:paraId="59A2558E">
      <w:pPr>
        <w:shd w:val="clear" w:color="auto" w:fill="FFFFFF"/>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14.6响应文件递交截止时间前，供应商须随时关注本项目竞争性磋商公告发布网站（</w:t>
      </w:r>
      <w:r>
        <w:rPr>
          <w:rFonts w:hint="eastAsia" w:ascii="宋体" w:hAnsi="宋体" w:eastAsia="宋体" w:cs="宋体"/>
          <w:color w:val="auto"/>
          <w:kern w:val="0"/>
          <w:sz w:val="24"/>
          <w:szCs w:val="24"/>
          <w:highlight w:val="none"/>
          <w:lang w:eastAsia="zh-CN"/>
        </w:rPr>
        <w:t>新疆政府采购网</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http://www.ccgp-xinjiang.gov.cn/</w:t>
      </w:r>
      <w:r>
        <w:rPr>
          <w:rFonts w:hint="eastAsia" w:ascii="宋体" w:hAnsi="宋体" w:eastAsia="宋体" w:cs="宋体"/>
          <w:color w:val="auto"/>
          <w:kern w:val="0"/>
          <w:sz w:val="24"/>
          <w:szCs w:val="24"/>
          <w:highlight w:val="none"/>
        </w:rPr>
        <w:t>））上本项目的最新</w:t>
      </w:r>
      <w:r>
        <w:rPr>
          <w:rFonts w:hint="eastAsia" w:ascii="宋体" w:hAnsi="宋体" w:eastAsia="宋体" w:cs="宋体"/>
          <w:color w:val="auto"/>
          <w:sz w:val="24"/>
          <w:szCs w:val="24"/>
          <w:highlight w:val="none"/>
        </w:rPr>
        <w:t>的变更公告、更正公告、澄清公告等相关信息，并对上述查看行为自行承担责任；供应商对索取书面修改或者澄清文件或者查阅电子修改或者澄清文件的行为自行承担责任，在响应文件递交截止时间后递交的响应文件视为无效响应文件。</w:t>
      </w:r>
    </w:p>
    <w:p w14:paraId="33B3004F">
      <w:pPr>
        <w:spacing w:line="440" w:lineRule="exact"/>
        <w:ind w:firstLine="482" w:firstLineChars="200"/>
        <w:rPr>
          <w:rFonts w:hint="eastAsia" w:ascii="宋体" w:hAnsi="宋体" w:eastAsia="宋体" w:cs="宋体"/>
          <w:b/>
          <w:bCs/>
          <w:color w:val="auto"/>
          <w:sz w:val="24"/>
          <w:szCs w:val="24"/>
          <w:highlight w:val="none"/>
          <w:lang w:val="zh-CN"/>
        </w:rPr>
      </w:pPr>
      <w:bookmarkStart w:id="67" w:name="_Toc18141"/>
      <w:bookmarkStart w:id="68" w:name="_Toc37090976"/>
      <w:bookmarkStart w:id="69" w:name="_Toc37090640"/>
      <w:r>
        <w:rPr>
          <w:rFonts w:hint="eastAsia" w:ascii="宋体" w:hAnsi="宋体" w:eastAsia="宋体" w:cs="宋体"/>
          <w:b/>
          <w:bCs/>
          <w:color w:val="auto"/>
          <w:sz w:val="24"/>
          <w:szCs w:val="24"/>
          <w:highlight w:val="none"/>
          <w:lang w:val="zh-CN"/>
        </w:rPr>
        <w:t xml:space="preserve">15. </w:t>
      </w:r>
      <w:r>
        <w:rPr>
          <w:rFonts w:hint="eastAsia" w:ascii="宋体" w:hAnsi="宋体" w:eastAsia="宋体" w:cs="宋体"/>
          <w:b/>
          <w:bCs/>
          <w:color w:val="auto"/>
          <w:sz w:val="24"/>
          <w:szCs w:val="24"/>
          <w:highlight w:val="none"/>
        </w:rPr>
        <w:t xml:space="preserve"> 磋商</w:t>
      </w:r>
      <w:r>
        <w:rPr>
          <w:rFonts w:hint="eastAsia" w:ascii="宋体" w:hAnsi="宋体" w:eastAsia="宋体" w:cs="宋体"/>
          <w:b/>
          <w:bCs/>
          <w:color w:val="auto"/>
          <w:sz w:val="24"/>
          <w:szCs w:val="24"/>
          <w:highlight w:val="none"/>
          <w:lang w:val="zh-CN"/>
        </w:rPr>
        <w:t>报价</w:t>
      </w:r>
      <w:bookmarkEnd w:id="67"/>
      <w:bookmarkEnd w:id="68"/>
      <w:bookmarkEnd w:id="69"/>
    </w:p>
    <w:p w14:paraId="1C684310">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 本采购项目使用的货币为</w:t>
      </w:r>
      <w:r>
        <w:rPr>
          <w:rFonts w:hint="eastAsia" w:ascii="宋体" w:hAnsi="宋体" w:eastAsia="宋体" w:cs="宋体"/>
          <w:color w:val="auto"/>
          <w:kern w:val="0"/>
          <w:sz w:val="24"/>
          <w:szCs w:val="24"/>
          <w:highlight w:val="none"/>
          <w:u w:val="single"/>
        </w:rPr>
        <w:t xml:space="preserve"> 人民币 </w:t>
      </w:r>
      <w:r>
        <w:rPr>
          <w:rFonts w:hint="eastAsia" w:ascii="宋体" w:hAnsi="宋体" w:eastAsia="宋体" w:cs="宋体"/>
          <w:color w:val="auto"/>
          <w:kern w:val="0"/>
          <w:sz w:val="24"/>
          <w:szCs w:val="24"/>
          <w:highlight w:val="none"/>
        </w:rPr>
        <w:t>，实施时亦以</w:t>
      </w:r>
      <w:r>
        <w:rPr>
          <w:rFonts w:hint="eastAsia" w:ascii="宋体" w:hAnsi="宋体" w:eastAsia="宋体" w:cs="宋体"/>
          <w:color w:val="auto"/>
          <w:kern w:val="0"/>
          <w:sz w:val="24"/>
          <w:szCs w:val="24"/>
          <w:highlight w:val="none"/>
          <w:u w:val="single"/>
        </w:rPr>
        <w:t xml:space="preserve"> 人民币 </w:t>
      </w:r>
      <w:r>
        <w:rPr>
          <w:rFonts w:hint="eastAsia" w:ascii="宋体" w:hAnsi="宋体" w:eastAsia="宋体" w:cs="宋体"/>
          <w:color w:val="auto"/>
          <w:kern w:val="0"/>
          <w:sz w:val="24"/>
          <w:szCs w:val="24"/>
          <w:highlight w:val="none"/>
        </w:rPr>
        <w:t>支付。</w:t>
      </w:r>
    </w:p>
    <w:p w14:paraId="035BF353">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15.2 磋商报价为本竞争性磋商文件所确定的采购范围内的全部工作内容的价格体现。任何有选</w:t>
      </w:r>
      <w:r>
        <w:rPr>
          <w:rFonts w:hint="eastAsia" w:ascii="宋体" w:hAnsi="宋体" w:eastAsia="宋体" w:cs="宋体"/>
          <w:color w:val="auto"/>
          <w:sz w:val="24"/>
          <w:szCs w:val="24"/>
          <w:highlight w:val="none"/>
        </w:rPr>
        <w:t>择的报价将不予接受（除非采购人另有约定），否则，在评审时将其视为无效响应。</w:t>
      </w:r>
    </w:p>
    <w:p w14:paraId="1B906B7F">
      <w:pPr>
        <w:shd w:val="clear" w:color="auto" w:fill="FFFFFF"/>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 磋商价格应包括：价格部分是对磋商服务价格构成的说明，每一项服务仅接受一个价格。磋商报价包括供应商为实施本项目提供全部服务内容所包括的全部价格的体现。</w:t>
      </w:r>
    </w:p>
    <w:p w14:paraId="2D9F7B36">
      <w:pPr>
        <w:shd w:val="clear" w:color="auto" w:fill="FFFFFF"/>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15.3.1磋商报价为含税价，应是完成竞争性磋商文件及合同条款上所列采购范围及所需的全部服务费用，供应商不得以任何理由予以重复，未列和没有填写的项目费用，视为已考虑在磋商总报价中。</w:t>
      </w:r>
    </w:p>
    <w:p w14:paraId="2F2665B0">
      <w:pPr>
        <w:shd w:val="clear" w:color="auto" w:fill="FFFFFF"/>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15.3.2供应商的任何错漏、优惠、竞争性报价不得作为减轻责任、减少服务、增加收费、降低质量的理由。供应商必须自行考虑本项目在实施期间的一切可能产生的费用。在合同执行过程中，采购人将不再另行支付与本项目相关的任何费用（非本项目要求的其它内容除外）。</w:t>
      </w:r>
    </w:p>
    <w:p w14:paraId="112278BE">
      <w:pPr>
        <w:shd w:val="clear" w:color="auto" w:fill="FFFFFF"/>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15.3.3供应商应在《响应文件报价一览表》标明供应商磋商报价；在《报价明细表》提供明细报价。</w:t>
      </w:r>
    </w:p>
    <w:p w14:paraId="19282B63">
      <w:pPr>
        <w:pStyle w:val="23"/>
        <w:snapToGrid w:val="0"/>
        <w:spacing w:after="0"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15.3.4本</w:t>
      </w:r>
      <w:r>
        <w:rPr>
          <w:rFonts w:hint="eastAsia" w:ascii="宋体" w:hAnsi="宋体" w:eastAsia="宋体" w:cs="宋体"/>
          <w:b/>
          <w:bCs/>
          <w:color w:val="auto"/>
          <w:sz w:val="24"/>
          <w:szCs w:val="24"/>
          <w:highlight w:val="none"/>
        </w:rPr>
        <w:t>次磋商实行两次报价，加密的响应文件中提供的供应商报价为一次报价，在磋商小组对各供应商的响应文件进行初步评审（资格评审、符合性评审）后，由磋商小组开启二次报价，各供应商须在二次报价开启后的</w:t>
      </w:r>
      <w:r>
        <w:rPr>
          <w:rFonts w:hint="eastAsia" w:ascii="宋体" w:hAnsi="宋体" w:eastAsia="宋体" w:cs="宋体"/>
          <w:b/>
          <w:bCs/>
          <w:color w:val="auto"/>
          <w:sz w:val="24"/>
          <w:szCs w:val="24"/>
          <w:highlight w:val="none"/>
          <w:lang w:eastAsia="zh-CN"/>
        </w:rPr>
        <w:t>30分钟</w:t>
      </w:r>
      <w:r>
        <w:rPr>
          <w:rFonts w:hint="eastAsia" w:ascii="宋体" w:hAnsi="宋体" w:eastAsia="宋体" w:cs="宋体"/>
          <w:b/>
          <w:bCs/>
          <w:color w:val="auto"/>
          <w:sz w:val="24"/>
          <w:szCs w:val="24"/>
          <w:highlight w:val="none"/>
        </w:rPr>
        <w:t>内登录政采云系统进行二次（最后）报价。因供应商自身原因未在系统内及时填报二次报价的，其责任由供应商承担。</w:t>
      </w:r>
    </w:p>
    <w:p w14:paraId="51C18CAF">
      <w:pPr>
        <w:shd w:val="clear" w:color="auto" w:fill="FFFFFF"/>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示：开标/磋商时，请供应商随时关注政采云账号内的站内信；注册时留下的注册人的手机短息（系统会推送短信至注册联系人的手机），但此短信仅系友情提示，并不具有任何约束性和必要性，采购代理机构不承担供应商未收到短信而引起的一切后果和法律责任。</w:t>
      </w:r>
    </w:p>
    <w:p w14:paraId="3B11CEDE">
      <w:pPr>
        <w:shd w:val="clear" w:color="auto" w:fill="FFFFFF"/>
        <w:spacing w:line="44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16.磋商保证金</w:t>
      </w:r>
    </w:p>
    <w:p w14:paraId="3B2B1A26">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磋商保证金是为了保护采购人和采购代理机构免遭因供应商的违规、违约行为而引起的风险，采购人/代理机构在受到损害时可根据本须知的有关规定没收供应商的磋商保证金。成交供应商如未能按竞争性磋商文件要求与采购人签署项目合同并提交建设履约保证金，视为供应商违约，则采购人有权提取成交供应商磋商保证金。</w:t>
      </w:r>
    </w:p>
    <w:p w14:paraId="7799D320">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 供应商应提交磋商保证金，并作为其响应文件的一部分。竞争性磋商文件前附表规定交纳磋商保证金的，供应商应按竞争性磋商文件前附表规定的要求提交保证金，磋商保证金有效期应与竞争性磋商文件规定的磋商有效期一致。供应商未按照竞争性磋商文件要求提交磋商保证金的，投标无效。</w:t>
      </w:r>
    </w:p>
    <w:p w14:paraId="2A9F002F">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16.3 磋商保证金缴纳方式要求见供应商须知前附表。</w:t>
      </w:r>
      <w:r>
        <w:rPr>
          <w:rFonts w:hint="eastAsia" w:ascii="宋体" w:hAnsi="宋体" w:eastAsia="宋体" w:cs="宋体"/>
          <w:b/>
          <w:bCs/>
          <w:color w:val="auto"/>
          <w:kern w:val="0"/>
          <w:sz w:val="24"/>
          <w:szCs w:val="24"/>
          <w:highlight w:val="none"/>
        </w:rPr>
        <w:t>凡未按竞争性磋商文件要求提交磋商保证金的，将视为非实质性响应性磋商文件要求，其响应文件将被拒绝。</w:t>
      </w:r>
    </w:p>
    <w:p w14:paraId="17B768D4">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16.4竞争性磋商文件接受联合体投标的，可以由联合体中的一方或者共同提交磋商保证金。以一方名义提交磋商保证金的，对联合体各方均具有约束力。</w:t>
      </w:r>
    </w:p>
    <w:p w14:paraId="79CFEA92">
      <w:pPr>
        <w:shd w:val="clear" w:color="auto" w:fill="FFFFFF"/>
        <w:spacing w:line="440" w:lineRule="exact"/>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16.5 未成交供应商的磋商保证金，将在《成交通知书》发出5个工作日内退还。因违反规定被没收的磋商保证金不予退回。</w:t>
      </w:r>
    </w:p>
    <w:p w14:paraId="659C53F9">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16.6 成交供应商的磋商保证金自采购合同签订之日起5个工作日内退还。</w:t>
      </w:r>
    </w:p>
    <w:p w14:paraId="4971D6F7">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16.7 </w:t>
      </w:r>
      <w:r>
        <w:rPr>
          <w:rFonts w:hint="eastAsia" w:ascii="宋体" w:hAnsi="宋体" w:eastAsia="宋体" w:cs="宋体"/>
          <w:b/>
          <w:color w:val="auto"/>
          <w:kern w:val="0"/>
          <w:sz w:val="24"/>
          <w:szCs w:val="24"/>
          <w:highlight w:val="none"/>
        </w:rPr>
        <w:t>下列任何情况发生时，磋商保证金将可能被没收：</w:t>
      </w:r>
    </w:p>
    <w:p w14:paraId="2AECE0DC">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16.7.1 供应商在规定的磋商有效期内撤回其响应文件的；</w:t>
      </w:r>
    </w:p>
    <w:p w14:paraId="4A5198D2">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16.7.2 成交供应商无正当理由拒绝按规定与采购人签订合同或未能在规定期限内签署合同的或未按竞争性磋商文件要求提交履约保证金的；</w:t>
      </w:r>
    </w:p>
    <w:p w14:paraId="01914C32">
      <w:pPr>
        <w:shd w:val="clear" w:color="auto" w:fill="FFFFFF"/>
        <w:autoSpaceDE w:val="0"/>
        <w:autoSpaceDN w:val="0"/>
        <w:adjustRightIn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16.8 </w:t>
      </w:r>
      <w:r>
        <w:rPr>
          <w:rFonts w:hint="eastAsia" w:ascii="宋体" w:hAnsi="宋体" w:eastAsia="宋体" w:cs="宋体"/>
          <w:b/>
          <w:color w:val="auto"/>
          <w:kern w:val="0"/>
          <w:sz w:val="24"/>
          <w:szCs w:val="24"/>
          <w:highlight w:val="none"/>
        </w:rPr>
        <w:t>供应商办理磋商保证金退款申请手续须提供以下资料：</w:t>
      </w:r>
    </w:p>
    <w:p w14:paraId="398FDB03">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16.8.1供应商须给采购代理机构提供账户信息（单位名称、开户银行名称、银行账号、银行行号）</w:t>
      </w:r>
    </w:p>
    <w:p w14:paraId="5EFEBD99">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16.8.2 成交供应商办理磋商保证金退款申请时，除16.8.1项要求外，还须提供与采购人签订的已加盖成交供应商公章的合同全本复印件一份及PDF扫描件一份（代理机构存档备查）。</w:t>
      </w:r>
    </w:p>
    <w:p w14:paraId="3D146889">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特殊说明：成交供应商须自项目验收合格后5个工作日内，将经采购人签章确认的《验收书》原件壹份（及复印件壹份加盖成交供应商公章）提交至采购代理机构。</w:t>
      </w:r>
    </w:p>
    <w:p w14:paraId="119FFCFD">
      <w:pPr>
        <w:spacing w:line="440" w:lineRule="exact"/>
        <w:ind w:firstLine="482" w:firstLineChars="200"/>
        <w:rPr>
          <w:rFonts w:hint="eastAsia" w:ascii="宋体" w:hAnsi="宋体" w:eastAsia="宋体" w:cs="宋体"/>
          <w:b/>
          <w:bCs/>
          <w:color w:val="auto"/>
          <w:sz w:val="24"/>
          <w:szCs w:val="24"/>
          <w:highlight w:val="none"/>
          <w:lang w:val="zh-CN"/>
        </w:rPr>
      </w:pPr>
      <w:bookmarkStart w:id="70" w:name="_Toc37090641"/>
      <w:bookmarkStart w:id="71" w:name="_Toc5612"/>
      <w:bookmarkStart w:id="72" w:name="_Toc37090977"/>
      <w:r>
        <w:rPr>
          <w:rFonts w:hint="eastAsia" w:ascii="宋体" w:hAnsi="宋体" w:eastAsia="宋体" w:cs="宋体"/>
          <w:b/>
          <w:bCs/>
          <w:color w:val="auto"/>
          <w:sz w:val="24"/>
          <w:szCs w:val="24"/>
          <w:highlight w:val="none"/>
          <w:lang w:val="zh-CN"/>
        </w:rPr>
        <w:t xml:space="preserve">17. </w:t>
      </w:r>
      <w:r>
        <w:rPr>
          <w:rFonts w:hint="eastAsia" w:ascii="宋体" w:hAnsi="宋体" w:eastAsia="宋体" w:cs="宋体"/>
          <w:b/>
          <w:bCs/>
          <w:color w:val="auto"/>
          <w:sz w:val="24"/>
          <w:szCs w:val="24"/>
          <w:highlight w:val="none"/>
        </w:rPr>
        <w:t>磋商</w:t>
      </w:r>
      <w:r>
        <w:rPr>
          <w:rFonts w:hint="eastAsia" w:ascii="宋体" w:hAnsi="宋体" w:eastAsia="宋体" w:cs="宋体"/>
          <w:b/>
          <w:bCs/>
          <w:color w:val="auto"/>
          <w:sz w:val="24"/>
          <w:szCs w:val="24"/>
          <w:highlight w:val="none"/>
          <w:lang w:val="zh-CN"/>
        </w:rPr>
        <w:t>答疑会和现场踏勘</w:t>
      </w:r>
      <w:bookmarkEnd w:id="70"/>
      <w:bookmarkEnd w:id="71"/>
      <w:bookmarkEnd w:id="72"/>
    </w:p>
    <w:p w14:paraId="472CB0D9">
      <w:pPr>
        <w:spacing w:line="440" w:lineRule="exact"/>
        <w:ind w:firstLine="480" w:firstLineChars="200"/>
        <w:rPr>
          <w:rFonts w:hint="eastAsia" w:ascii="宋体" w:hAnsi="宋体" w:eastAsia="宋体" w:cs="宋体"/>
          <w:color w:val="auto"/>
          <w:sz w:val="24"/>
          <w:szCs w:val="24"/>
          <w:highlight w:val="none"/>
          <w:lang w:val="zh-CN"/>
        </w:rPr>
      </w:pPr>
      <w:bookmarkStart w:id="73" w:name="_Toc37090642"/>
      <w:bookmarkStart w:id="74" w:name="_Toc8947"/>
      <w:bookmarkStart w:id="75" w:name="_Toc37090978"/>
      <w:r>
        <w:rPr>
          <w:rFonts w:hint="eastAsia" w:ascii="宋体" w:hAnsi="宋体" w:eastAsia="宋体" w:cs="宋体"/>
          <w:color w:val="auto"/>
          <w:sz w:val="24"/>
          <w:szCs w:val="24"/>
          <w:highlight w:val="none"/>
        </w:rPr>
        <w:t>17.1</w:t>
      </w:r>
      <w:r>
        <w:rPr>
          <w:rFonts w:hint="eastAsia" w:ascii="宋体" w:hAnsi="宋体" w:eastAsia="宋体" w:cs="宋体"/>
          <w:color w:val="auto"/>
          <w:sz w:val="24"/>
          <w:szCs w:val="24"/>
          <w:highlight w:val="none"/>
          <w:lang w:val="zh-CN"/>
        </w:rPr>
        <w:t xml:space="preserve"> 磋商须知前附表规定组织磋商答疑会和现场踏勘的，采购人按磋商须知前附表规定的时间、地点组织供应商</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zh-CN"/>
        </w:rPr>
        <w:t>答疑会</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val="zh-CN"/>
        </w:rPr>
        <w:t xml:space="preserve">踏勘项目现场。 </w:t>
      </w:r>
    </w:p>
    <w:p w14:paraId="7EC2BE4B">
      <w:pPr>
        <w:spacing w:line="44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17.2</w:t>
      </w:r>
      <w:r>
        <w:rPr>
          <w:rFonts w:hint="eastAsia" w:ascii="宋体" w:hAnsi="宋体" w:eastAsia="宋体" w:cs="宋体"/>
          <w:color w:val="auto"/>
          <w:sz w:val="24"/>
          <w:szCs w:val="24"/>
          <w:highlight w:val="none"/>
          <w:lang w:val="zh-CN"/>
        </w:rPr>
        <w:t xml:space="preserve"> 供应商踏勘现场发生的费用自理。</w:t>
      </w:r>
    </w:p>
    <w:p w14:paraId="73D5F56B">
      <w:pPr>
        <w:spacing w:line="44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17.3</w:t>
      </w:r>
      <w:r>
        <w:rPr>
          <w:rFonts w:hint="eastAsia" w:ascii="宋体" w:hAnsi="宋体" w:eastAsia="宋体" w:cs="宋体"/>
          <w:color w:val="auto"/>
          <w:sz w:val="24"/>
          <w:szCs w:val="24"/>
          <w:highlight w:val="none"/>
          <w:lang w:val="zh-CN"/>
        </w:rPr>
        <w:t xml:space="preserve"> 除采购人的原因外，供应商自行负责在踏勘现场中所发生的人员伤亡和财产损失。</w:t>
      </w:r>
    </w:p>
    <w:p w14:paraId="32975FC3">
      <w:pPr>
        <w:spacing w:line="440" w:lineRule="exact"/>
        <w:ind w:firstLine="480" w:firstLineChars="200"/>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t>17.4</w:t>
      </w:r>
      <w:r>
        <w:rPr>
          <w:rFonts w:hint="eastAsia" w:ascii="宋体" w:hAnsi="宋体" w:eastAsia="宋体" w:cs="宋体"/>
          <w:color w:val="auto"/>
          <w:sz w:val="24"/>
          <w:szCs w:val="24"/>
          <w:highlight w:val="none"/>
          <w:lang w:val="zh-CN"/>
        </w:rPr>
        <w:t xml:space="preserve"> 采购人在踏勘现场中介绍的工程场地和相关的周边环境情况，供应商在编制响应文件时参考，采购人不对供应商据此作出的判断和决策负责</w:t>
      </w:r>
      <w:r>
        <w:rPr>
          <w:rFonts w:hint="eastAsia" w:ascii="宋体" w:hAnsi="宋体" w:eastAsia="宋体" w:cs="宋体"/>
          <w:b/>
          <w:bCs/>
          <w:color w:val="auto"/>
          <w:sz w:val="24"/>
          <w:szCs w:val="24"/>
          <w:highlight w:val="none"/>
          <w:lang w:val="zh-CN"/>
        </w:rPr>
        <w:t>。</w:t>
      </w:r>
    </w:p>
    <w:p w14:paraId="5E2AEBDC">
      <w:pPr>
        <w:spacing w:line="44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 xml:space="preserve">18. </w:t>
      </w:r>
      <w:bookmarkEnd w:id="73"/>
      <w:bookmarkEnd w:id="74"/>
      <w:bookmarkEnd w:id="75"/>
      <w:r>
        <w:rPr>
          <w:rFonts w:hint="eastAsia" w:ascii="宋体" w:hAnsi="宋体" w:eastAsia="宋体" w:cs="宋体"/>
          <w:b/>
          <w:bCs/>
          <w:color w:val="auto"/>
          <w:sz w:val="24"/>
          <w:szCs w:val="24"/>
          <w:highlight w:val="none"/>
          <w:lang w:val="zh-CN"/>
        </w:rPr>
        <w:t>磋商有效期</w:t>
      </w:r>
    </w:p>
    <w:p w14:paraId="6B74AFF5">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 磋商有效期见本须知前附表所规定的期限，在此期限内，凡符合本竞争性磋商文件要求的响应文件均保持有效。磋商有效期不足的，在评审时将其视为无效响应。</w:t>
      </w:r>
    </w:p>
    <w:p w14:paraId="51779435">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 在特殊情况下，采购人在原定的磋商有效期内，可以根据需要以书面形式向供应商提出延长磋商有效期的要求，对此要求供应商须以书面形式予以答复。供应商拒绝延长的，其投标在原磋商有效期期届满后将不再有效，但有权收回其磋商保证金；同意延长磋商有效期的供应商既不能要求也不允许修改或撤回其响应文件。</w:t>
      </w:r>
    </w:p>
    <w:p w14:paraId="60186EB9">
      <w:pPr>
        <w:spacing w:before="156" w:beforeLines="50" w:after="156" w:afterLines="50" w:line="440" w:lineRule="exact"/>
        <w:jc w:val="center"/>
        <w:rPr>
          <w:rFonts w:hint="eastAsia" w:ascii="宋体" w:hAnsi="宋体" w:eastAsia="宋体" w:cs="宋体"/>
          <w:b/>
          <w:color w:val="auto"/>
          <w:kern w:val="0"/>
          <w:sz w:val="24"/>
          <w:szCs w:val="24"/>
          <w:highlight w:val="none"/>
        </w:rPr>
      </w:pPr>
      <w:bookmarkStart w:id="76" w:name="_Toc25205"/>
      <w:bookmarkStart w:id="77" w:name="_Toc37090643"/>
      <w:bookmarkStart w:id="78" w:name="_Toc37090979"/>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rPr>
        <w:t>三</w:t>
      </w:r>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rPr>
        <w:t>响应文件的编制</w:t>
      </w:r>
      <w:bookmarkEnd w:id="76"/>
    </w:p>
    <w:p w14:paraId="42BC225F">
      <w:pPr>
        <w:spacing w:line="440" w:lineRule="exact"/>
        <w:ind w:firstLine="482" w:firstLineChars="200"/>
        <w:rPr>
          <w:rFonts w:hint="eastAsia" w:ascii="宋体" w:hAnsi="宋体" w:eastAsia="宋体" w:cs="宋体"/>
          <w:b/>
          <w:bCs/>
          <w:color w:val="auto"/>
          <w:sz w:val="24"/>
          <w:szCs w:val="24"/>
          <w:highlight w:val="none"/>
          <w:lang w:val="zh-CN"/>
        </w:rPr>
      </w:pPr>
      <w:bookmarkStart w:id="79" w:name="_Toc12448"/>
      <w:r>
        <w:rPr>
          <w:rFonts w:hint="eastAsia" w:ascii="宋体" w:hAnsi="宋体" w:eastAsia="宋体" w:cs="宋体"/>
          <w:b/>
          <w:bCs/>
          <w:color w:val="auto"/>
          <w:sz w:val="24"/>
          <w:szCs w:val="24"/>
          <w:highlight w:val="none"/>
          <w:lang w:val="zh-CN"/>
        </w:rPr>
        <w:t>19. 响应文件编制要求</w:t>
      </w:r>
      <w:bookmarkEnd w:id="77"/>
      <w:bookmarkEnd w:id="78"/>
      <w:bookmarkEnd w:id="79"/>
    </w:p>
    <w:p w14:paraId="0E385FC8">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19.1供应商提交的响应文件及供应商与采购代理机构就有关投标的所有来往函电均使用中文。</w:t>
      </w:r>
    </w:p>
    <w:p w14:paraId="7184603F">
      <w:pPr>
        <w:spacing w:line="440" w:lineRule="exact"/>
        <w:ind w:firstLine="482" w:firstLineChars="200"/>
        <w:rPr>
          <w:rFonts w:hint="eastAsia" w:ascii="宋体" w:hAnsi="宋体" w:eastAsia="宋体" w:cs="宋体"/>
          <w:b/>
          <w:bCs/>
          <w:color w:val="auto"/>
          <w:sz w:val="24"/>
          <w:szCs w:val="24"/>
          <w:highlight w:val="none"/>
          <w:lang w:val="zh-CN"/>
        </w:rPr>
      </w:pPr>
      <w:bookmarkStart w:id="80" w:name="_Toc37090980"/>
      <w:bookmarkStart w:id="81" w:name="_Toc37090644"/>
      <w:bookmarkStart w:id="82" w:name="_Toc7871"/>
      <w:r>
        <w:rPr>
          <w:rFonts w:hint="eastAsia" w:ascii="宋体" w:hAnsi="宋体" w:eastAsia="宋体" w:cs="宋体"/>
          <w:b/>
          <w:bCs/>
          <w:color w:val="auto"/>
          <w:sz w:val="24"/>
          <w:szCs w:val="24"/>
          <w:highlight w:val="none"/>
          <w:lang w:val="zh-CN"/>
        </w:rPr>
        <w:t>20. 响应文件编制的依据</w:t>
      </w:r>
      <w:bookmarkEnd w:id="80"/>
      <w:bookmarkEnd w:id="81"/>
      <w:bookmarkEnd w:id="82"/>
    </w:p>
    <w:p w14:paraId="68FB8691">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20.1 采购人提供的采购需求及有关资料；</w:t>
      </w:r>
    </w:p>
    <w:p w14:paraId="210EF2A0">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20.2 本竞争性磋商文件及竞争性磋商文件的修改或者澄清；</w:t>
      </w:r>
    </w:p>
    <w:p w14:paraId="275731DD">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20.3 相关的法律、法规和规定。</w:t>
      </w:r>
    </w:p>
    <w:p w14:paraId="150DDD2A">
      <w:pPr>
        <w:shd w:val="clear" w:color="auto" w:fill="FFFFFF"/>
        <w:spacing w:line="44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 响应文件的组成：响应书、资格证明文件、商务部分、技术部分。</w:t>
      </w:r>
    </w:p>
    <w:p w14:paraId="5F464DAB">
      <w:pPr>
        <w:spacing w:line="440" w:lineRule="exact"/>
        <w:ind w:firstLine="482" w:firstLineChars="200"/>
        <w:rPr>
          <w:rFonts w:hint="eastAsia" w:ascii="宋体" w:hAnsi="宋体" w:eastAsia="宋体" w:cs="宋体"/>
          <w:b/>
          <w:bCs/>
          <w:color w:val="auto"/>
          <w:sz w:val="24"/>
          <w:szCs w:val="24"/>
          <w:highlight w:val="none"/>
          <w:lang w:val="zh-CN"/>
        </w:rPr>
      </w:pPr>
      <w:bookmarkStart w:id="83" w:name="_Toc3695"/>
      <w:bookmarkStart w:id="84" w:name="_Toc37090981"/>
      <w:bookmarkStart w:id="85" w:name="_Toc37090645"/>
      <w:r>
        <w:rPr>
          <w:rFonts w:hint="eastAsia" w:ascii="宋体" w:hAnsi="宋体" w:eastAsia="宋体" w:cs="宋体"/>
          <w:b/>
          <w:bCs/>
          <w:color w:val="auto"/>
          <w:sz w:val="24"/>
          <w:szCs w:val="24"/>
          <w:highlight w:val="none"/>
          <w:lang w:val="zh-CN"/>
        </w:rPr>
        <w:t>22. 响应文件的编制及格式</w:t>
      </w:r>
      <w:bookmarkEnd w:id="83"/>
      <w:bookmarkEnd w:id="84"/>
      <w:bookmarkEnd w:id="85"/>
    </w:p>
    <w:p w14:paraId="60B19D00">
      <w:pPr>
        <w:shd w:val="clear" w:color="auto" w:fill="FFFFFF"/>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22.1 供应商提供的响应文件应按照本须知第21条规定的内容编制，供应商在响应文件中必须提供有关材料，如果缺项，或不符合要求，将导致响应文件无效。</w:t>
      </w:r>
    </w:p>
    <w:p w14:paraId="342B0345">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22.2供应商提供的响应文件应当使用竞争性磋商文件所提供响应文件格式（表格可按照同样格式扩展），并保证所提供的资料的真实性。未提供格式的，供应商可自行编制。</w:t>
      </w:r>
    </w:p>
    <w:p w14:paraId="0F571CCE">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22.3</w:t>
      </w:r>
      <w:r>
        <w:rPr>
          <w:rFonts w:hint="eastAsia" w:ascii="宋体" w:hAnsi="宋体" w:eastAsia="宋体" w:cs="宋体"/>
          <w:color w:val="auto"/>
          <w:sz w:val="24"/>
          <w:szCs w:val="24"/>
          <w:highlight w:val="none"/>
        </w:rPr>
        <w:t>本竞争性磋商文件规定的响应文件编制中所需提交的证明材料须加盖供应商电子公章，且内容须清晰可辩</w:t>
      </w:r>
      <w:r>
        <w:rPr>
          <w:rFonts w:hint="eastAsia" w:ascii="宋体" w:hAnsi="宋体" w:eastAsia="宋体" w:cs="宋体"/>
          <w:b/>
          <w:color w:val="auto"/>
          <w:sz w:val="24"/>
          <w:szCs w:val="24"/>
          <w:highlight w:val="none"/>
        </w:rPr>
        <w:t>。</w:t>
      </w:r>
    </w:p>
    <w:p w14:paraId="15AB2D09">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22.4 响应文件严禁涂改或行间插字和增删。除非这些修改是根据采购人的指示进行的，或者是供应商造成的必须修改的错误，</w:t>
      </w:r>
      <w:r>
        <w:rPr>
          <w:rFonts w:hint="eastAsia" w:ascii="宋体" w:hAnsi="宋体" w:eastAsia="宋体" w:cs="宋体"/>
          <w:color w:val="auto"/>
          <w:sz w:val="24"/>
          <w:szCs w:val="24"/>
          <w:highlight w:val="none"/>
        </w:rPr>
        <w:t>必要的修改处必须有供应商法人代表或其授权代表人签字。</w:t>
      </w:r>
    </w:p>
    <w:p w14:paraId="3893626B">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22.5 竞争性磋商文件中分标段的，</w:t>
      </w:r>
      <w:r>
        <w:rPr>
          <w:rFonts w:hint="eastAsia" w:ascii="宋体" w:hAnsi="宋体" w:eastAsia="宋体" w:cs="宋体"/>
          <w:color w:val="auto"/>
          <w:sz w:val="24"/>
          <w:szCs w:val="24"/>
          <w:highlight w:val="none"/>
          <w:lang w:val="zh-CN"/>
        </w:rPr>
        <w:t>供应商须针对本单位所投标段分别编制响应文件并单独提交。</w:t>
      </w:r>
      <w:r>
        <w:rPr>
          <w:rFonts w:hint="eastAsia" w:ascii="宋体" w:hAnsi="宋体" w:eastAsia="宋体" w:cs="宋体"/>
          <w:color w:val="auto"/>
          <w:sz w:val="24"/>
          <w:szCs w:val="24"/>
          <w:highlight w:val="none"/>
        </w:rPr>
        <w:t>供应商应当按照竞争性磋商文件的要求编制响应文件。响应文件应当对竞争性磋商文件提出的要求和条件作出明确响应。</w:t>
      </w:r>
    </w:p>
    <w:p w14:paraId="5F79B810">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22.6电子响应文件制作时，按照竞争性磋商文件中明确的响应文件目录和格式进行编制，保证目录清晰、内容完整。操作方法详见本须知前附表第24项。           </w:t>
      </w:r>
    </w:p>
    <w:p w14:paraId="63D0B1B5">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22.7电子响应文件须使用供应商电子公章以及法定代表人的电子签名（或手写签名的扫描件）。</w:t>
      </w:r>
      <w:r>
        <w:rPr>
          <w:rFonts w:hint="eastAsia" w:ascii="宋体" w:hAnsi="宋体" w:eastAsia="宋体" w:cs="宋体"/>
          <w:b/>
          <w:color w:val="auto"/>
          <w:sz w:val="24"/>
          <w:highlight w:val="none"/>
        </w:rPr>
        <w:t>若无电子签章/签名，则视为无效响应。</w:t>
      </w:r>
    </w:p>
    <w:p w14:paraId="42CBE677">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22.8电子招响应文件具有法律效力，与其他形式的招响应文件在内容和格式上等同，若响应文件与竞争性磋商文件要求不一致，其内容影响成交结果时，责任由供应商自行承担。</w:t>
      </w:r>
      <w:r>
        <w:rPr>
          <w:rFonts w:hint="eastAsia" w:ascii="宋体" w:hAnsi="宋体" w:eastAsia="宋体" w:cs="宋体"/>
          <w:b/>
          <w:color w:val="auto"/>
          <w:sz w:val="24"/>
          <w:highlight w:val="none"/>
        </w:rPr>
        <w:t>供应商递交的电子响应文件因供应商自身原因而导致无法导入电子辅助评审系统，该响应文件视为无效响应文件，将导致其投标被拒绝。</w:t>
      </w:r>
    </w:p>
    <w:p w14:paraId="33129B94">
      <w:pPr>
        <w:spacing w:line="440" w:lineRule="exact"/>
        <w:ind w:firstLine="482" w:firstLineChars="200"/>
        <w:rPr>
          <w:rFonts w:hint="eastAsia" w:ascii="宋体" w:hAnsi="宋体" w:eastAsia="宋体" w:cs="宋体"/>
          <w:b/>
          <w:bCs/>
          <w:color w:val="auto"/>
          <w:sz w:val="24"/>
          <w:szCs w:val="24"/>
          <w:highlight w:val="none"/>
          <w:lang w:val="zh-CN"/>
        </w:rPr>
      </w:pPr>
      <w:bookmarkStart w:id="86" w:name="_Toc37090646"/>
      <w:bookmarkStart w:id="87" w:name="_Toc37090982"/>
      <w:bookmarkStart w:id="88" w:name="_Toc1377"/>
      <w:r>
        <w:rPr>
          <w:rFonts w:hint="eastAsia" w:ascii="宋体" w:hAnsi="宋体" w:eastAsia="宋体" w:cs="宋体"/>
          <w:b/>
          <w:bCs/>
          <w:color w:val="auto"/>
          <w:sz w:val="24"/>
          <w:szCs w:val="24"/>
          <w:highlight w:val="none"/>
          <w:lang w:val="zh-CN"/>
        </w:rPr>
        <w:t>23. 响应文件的份数和签署</w:t>
      </w:r>
      <w:bookmarkEnd w:id="86"/>
      <w:bookmarkEnd w:id="87"/>
      <w:bookmarkEnd w:id="88"/>
    </w:p>
    <w:p w14:paraId="140F7A73">
      <w:pPr>
        <w:shd w:val="clear" w:color="auto" w:fill="FFFFFF"/>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23.1 供应商应当按照本须知前附表第</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项规定的</w:t>
      </w:r>
      <w:r>
        <w:rPr>
          <w:rFonts w:hint="eastAsia" w:ascii="宋体" w:hAnsi="宋体" w:eastAsia="宋体" w:cs="宋体"/>
          <w:color w:val="auto"/>
          <w:sz w:val="24"/>
          <w:szCs w:val="24"/>
          <w:highlight w:val="none"/>
        </w:rPr>
        <w:t>响应文件递交截止时间前</w:t>
      </w:r>
      <w:r>
        <w:rPr>
          <w:rFonts w:hint="eastAsia" w:ascii="宋体" w:hAnsi="宋体" w:eastAsia="宋体" w:cs="宋体"/>
          <w:b/>
          <w:color w:val="auto"/>
          <w:kern w:val="0"/>
          <w:sz w:val="24"/>
          <w:szCs w:val="24"/>
          <w:highlight w:val="none"/>
        </w:rPr>
        <w:t>通过</w:t>
      </w:r>
      <w:r>
        <w:rPr>
          <w:rFonts w:hint="eastAsia" w:ascii="宋体" w:hAnsi="宋体" w:eastAsia="宋体" w:cs="宋体"/>
          <w:b/>
          <w:color w:val="auto"/>
          <w:kern w:val="0"/>
          <w:sz w:val="24"/>
          <w:szCs w:val="24"/>
          <w:highlight w:val="none"/>
          <w:lang w:eastAsia="zh-CN"/>
        </w:rPr>
        <w:t>新疆政府采购网</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eastAsia="zh-CN"/>
        </w:rPr>
        <w:t>http://www.ccgp-xinjiang.gov.cn/</w:t>
      </w:r>
      <w:r>
        <w:rPr>
          <w:rFonts w:hint="eastAsia" w:ascii="宋体" w:hAnsi="宋体" w:eastAsia="宋体" w:cs="宋体"/>
          <w:b/>
          <w:color w:val="auto"/>
          <w:kern w:val="0"/>
          <w:sz w:val="24"/>
          <w:szCs w:val="24"/>
          <w:highlight w:val="none"/>
        </w:rPr>
        <w:t>）的”政采云登录入口”登录后，将加密</w:t>
      </w:r>
      <w:r>
        <w:rPr>
          <w:rFonts w:hint="eastAsia" w:ascii="宋体" w:hAnsi="宋体" w:eastAsia="宋体" w:cs="宋体"/>
          <w:b/>
          <w:color w:val="auto"/>
          <w:kern w:val="0"/>
          <w:sz w:val="24"/>
          <w:szCs w:val="24"/>
          <w:highlight w:val="none"/>
          <w:lang w:val="zh-CN"/>
        </w:rPr>
        <w:t>电子</w:t>
      </w:r>
      <w:r>
        <w:rPr>
          <w:rFonts w:hint="eastAsia" w:ascii="宋体" w:hAnsi="宋体" w:eastAsia="宋体" w:cs="宋体"/>
          <w:b/>
          <w:color w:val="auto"/>
          <w:kern w:val="0"/>
          <w:sz w:val="24"/>
          <w:szCs w:val="24"/>
          <w:highlight w:val="none"/>
        </w:rPr>
        <w:t>响应文件</w:t>
      </w:r>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rPr>
        <w:t>为.jmbs后缀格式</w:t>
      </w:r>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rPr>
        <w:t>上</w:t>
      </w:r>
      <w:r>
        <w:rPr>
          <w:rFonts w:hint="eastAsia" w:ascii="宋体" w:hAnsi="宋体" w:eastAsia="宋体" w:cs="宋体"/>
          <w:b/>
          <w:color w:val="auto"/>
          <w:kern w:val="0"/>
          <w:sz w:val="24"/>
          <w:szCs w:val="24"/>
          <w:highlight w:val="none"/>
          <w:lang w:val="zh-CN"/>
        </w:rPr>
        <w:t>传到</w:t>
      </w:r>
      <w:r>
        <w:rPr>
          <w:rFonts w:hint="eastAsia" w:ascii="宋体" w:hAnsi="宋体" w:eastAsia="宋体" w:cs="宋体"/>
          <w:b/>
          <w:color w:val="auto"/>
          <w:kern w:val="0"/>
          <w:sz w:val="24"/>
          <w:szCs w:val="24"/>
          <w:highlight w:val="none"/>
        </w:rPr>
        <w:t>对应项目的的</w:t>
      </w:r>
      <w:r>
        <w:rPr>
          <w:rFonts w:hint="eastAsia" w:ascii="宋体" w:hAnsi="宋体" w:eastAsia="宋体" w:cs="宋体"/>
          <w:b/>
          <w:color w:val="auto"/>
          <w:kern w:val="0"/>
          <w:sz w:val="24"/>
          <w:szCs w:val="24"/>
          <w:highlight w:val="none"/>
          <w:lang w:val="zh-CN"/>
        </w:rPr>
        <w:t>指定</w:t>
      </w:r>
      <w:r>
        <w:rPr>
          <w:rFonts w:hint="eastAsia" w:ascii="宋体" w:hAnsi="宋体" w:eastAsia="宋体" w:cs="宋体"/>
          <w:b/>
          <w:color w:val="auto"/>
          <w:kern w:val="0"/>
          <w:sz w:val="24"/>
          <w:szCs w:val="24"/>
          <w:highlight w:val="none"/>
        </w:rPr>
        <w:t>位置。</w:t>
      </w:r>
    </w:p>
    <w:p w14:paraId="3E7B98A2">
      <w:pPr>
        <w:pStyle w:val="45"/>
        <w:spacing w:line="440" w:lineRule="exact"/>
        <w:ind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23.2</w:t>
      </w:r>
      <w:r>
        <w:rPr>
          <w:rFonts w:hint="eastAsia" w:ascii="宋体" w:hAnsi="宋体" w:eastAsia="宋体" w:cs="宋体"/>
          <w:color w:val="auto"/>
          <w:sz w:val="24"/>
          <w:szCs w:val="24"/>
          <w:highlight w:val="none"/>
          <w:lang w:val="zh-CN"/>
        </w:rPr>
        <w:t>成交</w:t>
      </w:r>
      <w:r>
        <w:rPr>
          <w:rFonts w:hint="eastAsia" w:ascii="宋体" w:hAnsi="宋体" w:eastAsia="宋体" w:cs="宋体"/>
          <w:color w:val="auto"/>
          <w:sz w:val="24"/>
          <w:szCs w:val="24"/>
          <w:highlight w:val="none"/>
        </w:rPr>
        <w:t>的供应商</w:t>
      </w:r>
      <w:r>
        <w:rPr>
          <w:rFonts w:hint="eastAsia" w:ascii="宋体" w:hAnsi="宋体" w:eastAsia="宋体" w:cs="宋体"/>
          <w:color w:val="auto"/>
          <w:sz w:val="24"/>
          <w:szCs w:val="24"/>
          <w:highlight w:val="none"/>
          <w:lang w:val="zh-CN"/>
        </w:rPr>
        <w:t>在领取成交通知书时须向</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zh-CN"/>
        </w:rPr>
        <w:t>代理机构递交纸质响应文件三份、格式为PDF的电子响应文件一份（U盘存储）。</w:t>
      </w:r>
    </w:p>
    <w:p w14:paraId="457051FA">
      <w:pPr>
        <w:pStyle w:val="45"/>
        <w:spacing w:line="440" w:lineRule="exact"/>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（四） 响应文件的递交</w:t>
      </w:r>
    </w:p>
    <w:p w14:paraId="5986CB10">
      <w:pPr>
        <w:spacing w:line="440" w:lineRule="exact"/>
        <w:ind w:firstLine="482" w:firstLineChars="200"/>
        <w:rPr>
          <w:rFonts w:hint="eastAsia" w:ascii="宋体" w:hAnsi="宋体" w:eastAsia="宋体" w:cs="宋体"/>
          <w:b/>
          <w:bCs/>
          <w:color w:val="auto"/>
          <w:sz w:val="24"/>
          <w:szCs w:val="24"/>
          <w:highlight w:val="none"/>
          <w:lang w:val="zh-CN"/>
        </w:rPr>
      </w:pPr>
      <w:bookmarkStart w:id="89" w:name="_Toc37090648"/>
      <w:bookmarkStart w:id="90" w:name="_Toc12789"/>
      <w:bookmarkStart w:id="91" w:name="_Toc37090984"/>
      <w:r>
        <w:rPr>
          <w:rFonts w:hint="eastAsia" w:ascii="宋体" w:hAnsi="宋体" w:eastAsia="宋体" w:cs="宋体"/>
          <w:b/>
          <w:bCs/>
          <w:color w:val="auto"/>
          <w:sz w:val="24"/>
          <w:szCs w:val="24"/>
          <w:highlight w:val="none"/>
        </w:rPr>
        <w:t>24</w:t>
      </w:r>
      <w:r>
        <w:rPr>
          <w:rFonts w:hint="eastAsia" w:ascii="宋体" w:hAnsi="宋体" w:eastAsia="宋体" w:cs="宋体"/>
          <w:b/>
          <w:bCs/>
          <w:color w:val="auto"/>
          <w:sz w:val="24"/>
          <w:szCs w:val="24"/>
          <w:highlight w:val="none"/>
          <w:lang w:val="zh-CN"/>
        </w:rPr>
        <w:t>. 响应文件的提交</w:t>
      </w:r>
      <w:bookmarkEnd w:id="89"/>
      <w:bookmarkEnd w:id="90"/>
      <w:bookmarkEnd w:id="91"/>
    </w:p>
    <w:p w14:paraId="7B224E02">
      <w:pPr>
        <w:shd w:val="clear" w:color="auto" w:fill="FFFFFF"/>
        <w:spacing w:line="440" w:lineRule="exact"/>
        <w:ind w:firstLine="480" w:firstLineChars="200"/>
        <w:jc w:val="left"/>
        <w:rPr>
          <w:rFonts w:hint="eastAsia" w:ascii="宋体" w:hAnsi="宋体" w:eastAsia="宋体" w:cs="宋体"/>
          <w:color w:val="auto"/>
          <w:kern w:val="0"/>
          <w:sz w:val="24"/>
          <w:szCs w:val="24"/>
          <w:highlight w:val="none"/>
        </w:rPr>
      </w:pPr>
      <w:bookmarkStart w:id="92" w:name="_Toc3502"/>
      <w:bookmarkStart w:id="93" w:name="_Toc37090985"/>
      <w:bookmarkStart w:id="94" w:name="_Toc37090649"/>
      <w:r>
        <w:rPr>
          <w:rFonts w:hint="eastAsia" w:ascii="宋体" w:hAnsi="宋体" w:eastAsia="宋体" w:cs="宋体"/>
          <w:color w:val="auto"/>
          <w:kern w:val="0"/>
          <w:sz w:val="24"/>
          <w:szCs w:val="24"/>
          <w:highlight w:val="none"/>
        </w:rPr>
        <w:t>24.1 供应商在响应文件递交截至时间前</w:t>
      </w:r>
      <w:bookmarkEnd w:id="92"/>
      <w:r>
        <w:rPr>
          <w:rFonts w:hint="eastAsia" w:ascii="宋体" w:hAnsi="宋体" w:eastAsia="宋体" w:cs="宋体"/>
          <w:color w:val="auto"/>
          <w:kern w:val="0"/>
          <w:sz w:val="24"/>
          <w:szCs w:val="24"/>
          <w:highlight w:val="none"/>
        </w:rPr>
        <w:t>通过</w:t>
      </w:r>
      <w:r>
        <w:rPr>
          <w:rFonts w:hint="eastAsia" w:ascii="宋体" w:hAnsi="宋体" w:eastAsia="宋体" w:cs="宋体"/>
          <w:color w:val="auto"/>
          <w:kern w:val="0"/>
          <w:sz w:val="24"/>
          <w:szCs w:val="24"/>
          <w:highlight w:val="none"/>
          <w:lang w:eastAsia="zh-CN"/>
        </w:rPr>
        <w:t>新</w:t>
      </w:r>
      <w:r>
        <w:rPr>
          <w:rFonts w:hint="eastAsia" w:ascii="宋体" w:hAnsi="宋体" w:eastAsia="宋体" w:cs="宋体"/>
          <w:color w:val="auto"/>
          <w:kern w:val="0"/>
          <w:sz w:val="24"/>
          <w:szCs w:val="24"/>
          <w:highlight w:val="none"/>
          <w:lang w:val="en-US"/>
        </w:rPr>
        <w:t>疆</w:t>
      </w:r>
      <w:r>
        <w:rPr>
          <w:rFonts w:hint="eastAsia" w:ascii="宋体" w:hAnsi="宋体" w:eastAsia="宋体" w:cs="宋体"/>
          <w:color w:val="auto"/>
          <w:kern w:val="0"/>
          <w:sz w:val="24"/>
          <w:szCs w:val="24"/>
          <w:highlight w:val="none"/>
          <w:lang w:eastAsia="zh-CN"/>
        </w:rPr>
        <w:t>政府采购网</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http://www.ccgp-xinjiang.gov.cn/</w:t>
      </w:r>
      <w:r>
        <w:rPr>
          <w:rFonts w:hint="eastAsia" w:ascii="宋体" w:hAnsi="宋体" w:eastAsia="宋体" w:cs="宋体"/>
          <w:color w:val="auto"/>
          <w:kern w:val="0"/>
          <w:sz w:val="24"/>
          <w:szCs w:val="24"/>
          <w:highlight w:val="none"/>
        </w:rPr>
        <w:t>）的”政采云登录入口”登录后，将加密电子响应文件（为.jmbs后缀格式）上传到对应项目的的指定位置</w:t>
      </w:r>
    </w:p>
    <w:p w14:paraId="37FE0005">
      <w:pPr>
        <w:spacing w:line="440" w:lineRule="exact"/>
        <w:ind w:firstLine="482" w:firstLineChars="200"/>
        <w:rPr>
          <w:rFonts w:hint="eastAsia" w:ascii="宋体" w:hAnsi="宋体" w:eastAsia="宋体" w:cs="宋体"/>
          <w:b/>
          <w:bCs/>
          <w:color w:val="auto"/>
          <w:sz w:val="24"/>
          <w:szCs w:val="24"/>
          <w:highlight w:val="none"/>
        </w:rPr>
      </w:pPr>
      <w:bookmarkStart w:id="95" w:name="_Toc21786"/>
      <w:r>
        <w:rPr>
          <w:rFonts w:hint="eastAsia" w:ascii="宋体" w:hAnsi="宋体" w:eastAsia="宋体" w:cs="宋体"/>
          <w:b/>
          <w:bCs/>
          <w:color w:val="auto"/>
          <w:sz w:val="24"/>
          <w:szCs w:val="24"/>
          <w:highlight w:val="none"/>
        </w:rPr>
        <w:t>25. 响应文件提交的截止时间</w:t>
      </w:r>
      <w:bookmarkEnd w:id="93"/>
      <w:bookmarkEnd w:id="94"/>
      <w:bookmarkEnd w:id="95"/>
    </w:p>
    <w:p w14:paraId="315DB0DF">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25.1 响应文件提交的截止时间详见本供应商须知前附表规定。</w:t>
      </w:r>
    </w:p>
    <w:p w14:paraId="0E37EED0">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25.2 采购人可按本须知第14条规定以修改补充通知的方式，酌情延长提交投标书的截止时间。在上述情况下，采购人与供应商在原响应文件递交截止时间前的全部权力和义务，将适用于延长后新的响应文件递交截止时间。</w:t>
      </w:r>
    </w:p>
    <w:p w14:paraId="42BD6FB7">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25.3 截至响应文件递交截止时间，采购人收到的响应文件少于3个的，采购人将依法重新组织采购活动。评审过程中有效供应商少于3个的，应终止评审，由采购人依法重新组织采购活动，政府购买服务项目（含政府和社会资本合作项目），在采购过程中符合要求的供应商（社会资本）只有2家的，竞争性磋商采购活动可以继续进行。</w:t>
      </w:r>
    </w:p>
    <w:p w14:paraId="3E29DBF4">
      <w:pPr>
        <w:spacing w:line="440" w:lineRule="exact"/>
        <w:ind w:firstLine="482" w:firstLineChars="200"/>
        <w:rPr>
          <w:rFonts w:hint="eastAsia" w:ascii="宋体" w:hAnsi="宋体" w:eastAsia="宋体" w:cs="宋体"/>
          <w:b/>
          <w:bCs/>
          <w:color w:val="auto"/>
          <w:sz w:val="24"/>
          <w:szCs w:val="24"/>
          <w:highlight w:val="none"/>
        </w:rPr>
      </w:pPr>
      <w:bookmarkStart w:id="96" w:name="_Toc12863"/>
      <w:bookmarkStart w:id="97" w:name="_Toc37090986"/>
      <w:bookmarkStart w:id="98" w:name="_Toc37090650"/>
      <w:r>
        <w:rPr>
          <w:rFonts w:hint="eastAsia" w:ascii="宋体" w:hAnsi="宋体" w:eastAsia="宋体" w:cs="宋体"/>
          <w:b/>
          <w:bCs/>
          <w:color w:val="auto"/>
          <w:sz w:val="24"/>
          <w:szCs w:val="24"/>
          <w:highlight w:val="none"/>
        </w:rPr>
        <w:t>26. 迟交的</w:t>
      </w:r>
      <w:bookmarkEnd w:id="96"/>
      <w:bookmarkEnd w:id="97"/>
      <w:bookmarkEnd w:id="98"/>
      <w:r>
        <w:rPr>
          <w:rFonts w:hint="eastAsia" w:ascii="宋体" w:hAnsi="宋体" w:eastAsia="宋体" w:cs="宋体"/>
          <w:b/>
          <w:bCs/>
          <w:color w:val="auto"/>
          <w:sz w:val="24"/>
          <w:szCs w:val="24"/>
          <w:highlight w:val="none"/>
        </w:rPr>
        <w:t>响应文件</w:t>
      </w:r>
    </w:p>
    <w:p w14:paraId="3D860267">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供应商在本供应商须知前附表规定的响应文件递交截止时间以后送达的响应文件，“政采云平台”将拒绝接受，采购人对于逾期未上传到指定位置的响应文件不予受理。</w:t>
      </w:r>
    </w:p>
    <w:p w14:paraId="7537F2BF">
      <w:pPr>
        <w:spacing w:line="440" w:lineRule="exact"/>
        <w:ind w:firstLine="482" w:firstLineChars="200"/>
        <w:rPr>
          <w:rFonts w:hint="eastAsia" w:ascii="宋体" w:hAnsi="宋体" w:eastAsia="宋体" w:cs="宋体"/>
          <w:b/>
          <w:bCs/>
          <w:color w:val="auto"/>
          <w:sz w:val="24"/>
          <w:szCs w:val="24"/>
          <w:highlight w:val="none"/>
        </w:rPr>
      </w:pPr>
      <w:bookmarkStart w:id="99" w:name="_Toc30465"/>
      <w:r>
        <w:rPr>
          <w:rFonts w:hint="eastAsia" w:ascii="宋体" w:hAnsi="宋体" w:eastAsia="宋体" w:cs="宋体"/>
          <w:b/>
          <w:bCs/>
          <w:color w:val="auto"/>
          <w:sz w:val="24"/>
          <w:szCs w:val="24"/>
          <w:highlight w:val="none"/>
        </w:rPr>
        <w:t>27. 响应文件的补充、修改与撤回</w:t>
      </w:r>
      <w:bookmarkEnd w:id="99"/>
    </w:p>
    <w:p w14:paraId="7C1497D8">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27.1 供应商在供应商须知前附表规定的响应文件递交截止时间之前，可在政采云平台上随时撤回已上传的电子响应文件，将修改好的电子响应文件在响应文件递交截止时间前重新上传到政采云平台的</w:t>
      </w:r>
      <w:r>
        <w:rPr>
          <w:rFonts w:hint="eastAsia" w:ascii="宋体" w:hAnsi="宋体" w:eastAsia="宋体" w:cs="宋体"/>
          <w:color w:val="auto"/>
          <w:kern w:val="0"/>
          <w:sz w:val="24"/>
          <w:szCs w:val="24"/>
          <w:highlight w:val="none"/>
          <w:lang w:val="en-US" w:eastAsia="zh-CN"/>
        </w:rPr>
        <w:t>指</w:t>
      </w:r>
      <w:r>
        <w:rPr>
          <w:rFonts w:hint="eastAsia" w:ascii="宋体" w:hAnsi="宋体" w:eastAsia="宋体" w:cs="宋体"/>
          <w:color w:val="auto"/>
          <w:kern w:val="0"/>
          <w:sz w:val="24"/>
          <w:szCs w:val="24"/>
          <w:highlight w:val="none"/>
        </w:rPr>
        <w:t>定位置。</w:t>
      </w:r>
    </w:p>
    <w:p w14:paraId="0D5063F2">
      <w:pPr>
        <w:shd w:val="clear" w:color="auto" w:fill="FFFFFF"/>
        <w:spacing w:before="156" w:beforeLines="50" w:after="156" w:afterLines="50" w:line="4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（五） 开标/磋商</w:t>
      </w:r>
    </w:p>
    <w:p w14:paraId="7FB3E45E">
      <w:pPr>
        <w:spacing w:line="440" w:lineRule="exact"/>
        <w:ind w:firstLine="482" w:firstLineChars="200"/>
        <w:rPr>
          <w:rFonts w:hint="eastAsia" w:ascii="宋体" w:hAnsi="宋体" w:eastAsia="宋体" w:cs="宋体"/>
          <w:b/>
          <w:bCs/>
          <w:color w:val="auto"/>
          <w:sz w:val="24"/>
          <w:szCs w:val="24"/>
          <w:highlight w:val="none"/>
        </w:rPr>
      </w:pPr>
      <w:bookmarkStart w:id="100" w:name="_Toc28893"/>
      <w:bookmarkStart w:id="101" w:name="_Toc37090652"/>
      <w:bookmarkStart w:id="102" w:name="_Toc37090988"/>
      <w:r>
        <w:rPr>
          <w:rFonts w:hint="eastAsia" w:ascii="宋体" w:hAnsi="宋体" w:eastAsia="宋体" w:cs="宋体"/>
          <w:b/>
          <w:bCs/>
          <w:color w:val="auto"/>
          <w:sz w:val="24"/>
          <w:szCs w:val="24"/>
          <w:highlight w:val="none"/>
        </w:rPr>
        <w:t>28.</w:t>
      </w:r>
      <w:bookmarkEnd w:id="100"/>
      <w:r>
        <w:rPr>
          <w:rFonts w:hint="eastAsia" w:ascii="宋体" w:hAnsi="宋体" w:eastAsia="宋体" w:cs="宋体"/>
          <w:b/>
          <w:bCs/>
          <w:color w:val="auto"/>
          <w:sz w:val="24"/>
          <w:szCs w:val="24"/>
          <w:highlight w:val="none"/>
        </w:rPr>
        <w:t>开标/磋商</w:t>
      </w:r>
    </w:p>
    <w:p w14:paraId="06EA8793">
      <w:pPr>
        <w:keepNext w:val="0"/>
        <w:keepLines w:val="0"/>
        <w:pageBreakBefore w:val="0"/>
        <w:widowControl w:val="0"/>
        <w:shd w:val="clear" w:color="auto" w:fill="FFFFFF"/>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bookmarkStart w:id="103" w:name="_Toc21715"/>
      <w:r>
        <w:rPr>
          <w:rFonts w:hint="eastAsia" w:ascii="宋体" w:hAnsi="宋体" w:eastAsia="宋体" w:cs="宋体"/>
          <w:color w:val="auto"/>
          <w:sz w:val="24"/>
          <w:highlight w:val="none"/>
        </w:rPr>
        <w:t>28.1采购人在规定的响应文件递交截止时间（开标/磋商时间）和供应商须知前附表规定的地点进行不见面远程开标/磋商。供应商的法定代表人或其委托代理人无需到达开标/磋商现场，仅需在任意地点</w:t>
      </w:r>
      <w:r>
        <w:rPr>
          <w:rFonts w:hint="eastAsia" w:ascii="宋体" w:hAnsi="宋体" w:eastAsia="宋体" w:cs="宋体"/>
          <w:b/>
          <w:color w:val="auto"/>
          <w:kern w:val="0"/>
          <w:sz w:val="24"/>
          <w:szCs w:val="24"/>
          <w:highlight w:val="none"/>
        </w:rPr>
        <w:t>通过</w:t>
      </w:r>
      <w:r>
        <w:rPr>
          <w:rFonts w:hint="eastAsia" w:ascii="宋体" w:hAnsi="宋体" w:eastAsia="宋体" w:cs="宋体"/>
          <w:b/>
          <w:color w:val="auto"/>
          <w:kern w:val="0"/>
          <w:sz w:val="24"/>
          <w:szCs w:val="24"/>
          <w:highlight w:val="none"/>
          <w:lang w:eastAsia="zh-CN"/>
        </w:rPr>
        <w:t>新疆政府采购网</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eastAsia="zh-CN"/>
        </w:rPr>
        <w:t>http://www.ccgp-xinjiang.gov.cn/</w:t>
      </w:r>
      <w:r>
        <w:rPr>
          <w:rFonts w:hint="eastAsia" w:ascii="宋体" w:hAnsi="宋体" w:eastAsia="宋体" w:cs="宋体"/>
          <w:b/>
          <w:color w:val="auto"/>
          <w:kern w:val="0"/>
          <w:sz w:val="24"/>
          <w:szCs w:val="24"/>
          <w:highlight w:val="none"/>
        </w:rPr>
        <w:t>）的”政采云登录入口”登录后，进入“</w:t>
      </w:r>
      <w:r>
        <w:rPr>
          <w:rFonts w:hint="eastAsia" w:ascii="宋体" w:hAnsi="宋体" w:eastAsia="宋体" w:cs="宋体"/>
          <w:color w:val="auto"/>
          <w:sz w:val="24"/>
          <w:highlight w:val="none"/>
        </w:rPr>
        <w:t>政采云远程开标大厅”参加开标/磋商会议，并使用CA密钥完成远程解密、提疑澄清、开标/磋商唱标、二次报价、结果公布等交互环节。</w:t>
      </w:r>
      <w:bookmarkEnd w:id="103"/>
    </w:p>
    <w:p w14:paraId="2450D4B5">
      <w:pPr>
        <w:shd w:val="clear" w:color="auto" w:fill="FFFFFF"/>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28.2开标/磋商时，各供应商应在规定的解密时间（</w:t>
      </w:r>
      <w:r>
        <w:rPr>
          <w:rFonts w:hint="eastAsia" w:ascii="宋体" w:hAnsi="宋体" w:eastAsia="宋体" w:cs="宋体"/>
          <w:color w:val="auto"/>
          <w:sz w:val="24"/>
          <w:highlight w:val="none"/>
          <w:lang w:eastAsia="zh-CN"/>
        </w:rPr>
        <w:t>30分钟</w:t>
      </w:r>
      <w:r>
        <w:rPr>
          <w:rFonts w:hint="eastAsia" w:ascii="宋体" w:hAnsi="宋体" w:eastAsia="宋体" w:cs="宋体"/>
          <w:color w:val="auto"/>
          <w:sz w:val="24"/>
          <w:highlight w:val="none"/>
        </w:rPr>
        <w:t>）内对本单位加密的电子响应文件进行解密，如在规定的解密时间内仍有供应商未解密，采购代理机构将采取“异常处理”，开启该单位的备份标书。采购代理机构工作人员在监督人员或公证人员监督下开启响应文件。</w:t>
      </w:r>
    </w:p>
    <w:bookmarkEnd w:id="101"/>
    <w:bookmarkEnd w:id="102"/>
    <w:p w14:paraId="549956D1">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28.3公证员对开标/磋商过程进行全程公证。</w:t>
      </w:r>
    </w:p>
    <w:p w14:paraId="5C7495A2">
      <w:pPr>
        <w:shd w:val="clear" w:color="auto" w:fill="FFFFFF"/>
        <w:spacing w:before="156" w:beforeLines="50" w:after="156" w:afterLines="50" w:line="4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（七） 磋商小组与评审</w:t>
      </w:r>
    </w:p>
    <w:p w14:paraId="0AB3485C">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29.评审工作由采购人依法组建的磋商小组负责。磋商小组的名单在评审结果公告前应当保密。</w:t>
      </w:r>
    </w:p>
    <w:p w14:paraId="2AE7672F">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 本项目磋商小组由</w:t>
      </w:r>
      <w:r>
        <w:rPr>
          <w:rFonts w:hint="eastAsia" w:ascii="宋体" w:hAnsi="宋体" w:eastAsia="宋体" w:cs="宋体"/>
          <w:color w:val="auto"/>
          <w:kern w:val="0"/>
          <w:sz w:val="24"/>
          <w:szCs w:val="24"/>
          <w:highlight w:val="none"/>
          <w:u w:val="single"/>
        </w:rPr>
        <w:t xml:space="preserve"> 3 </w:t>
      </w:r>
      <w:r>
        <w:rPr>
          <w:rFonts w:hint="eastAsia" w:ascii="宋体" w:hAnsi="宋体" w:eastAsia="宋体" w:cs="宋体"/>
          <w:color w:val="auto"/>
          <w:kern w:val="0"/>
          <w:sz w:val="24"/>
          <w:szCs w:val="24"/>
          <w:highlight w:val="none"/>
        </w:rPr>
        <w:t>人组成，其中：专家库中随机抽取专家</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3 </w:t>
      </w:r>
      <w:r>
        <w:rPr>
          <w:rFonts w:hint="eastAsia" w:ascii="宋体" w:hAnsi="宋体" w:eastAsia="宋体" w:cs="宋体"/>
          <w:color w:val="auto"/>
          <w:kern w:val="0"/>
          <w:sz w:val="24"/>
          <w:szCs w:val="24"/>
          <w:highlight w:val="none"/>
        </w:rPr>
        <w:t>人,采购人代表</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0 </w:t>
      </w:r>
      <w:r>
        <w:rPr>
          <w:rFonts w:hint="eastAsia" w:ascii="宋体" w:hAnsi="宋体" w:eastAsia="宋体" w:cs="宋体"/>
          <w:color w:val="auto"/>
          <w:kern w:val="0"/>
          <w:sz w:val="24"/>
          <w:szCs w:val="24"/>
          <w:highlight w:val="none"/>
        </w:rPr>
        <w:t>人。</w:t>
      </w:r>
    </w:p>
    <w:p w14:paraId="602587D6">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29.2参与过本项目的论证专家不得作为评审专家参加评审，采购人不得以专家身份参与评审。</w:t>
      </w:r>
    </w:p>
    <w:p w14:paraId="7ED0BEC6">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29.3 磋商小组主任由磋商小组成员推举产生，并与磋商小组其他成员有同等的权利和义务。采购人代表不得担任磋商小组组长。</w:t>
      </w:r>
    </w:p>
    <w:p w14:paraId="0D16E37B">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29.4 磋商小组成员应当客观、公正地履行职责，遵守职业道德，对所提出的评审意见承担个人责任。</w:t>
      </w:r>
    </w:p>
    <w:p w14:paraId="33C63E04">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29.5 磋商小组根据竞争性磋商文件确定的评比标准和方法，对响应文件进行系统地评审和比较。竞争性磋商文件中没有规定的标准和方法不得作为评审的依据。</w:t>
      </w:r>
    </w:p>
    <w:p w14:paraId="4A32FF88">
      <w:pPr>
        <w:shd w:val="clear" w:color="auto" w:fill="FFFFFF"/>
        <w:spacing w:line="440" w:lineRule="exact"/>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29.6在评审过程中，磋商小组发现有证据表明供应商以他人的名义投标、串通投标、以行贿手段谋取成交或者以其他弄虚作假方式参加磋商的，该供应商的响应文件作无效处理。并在评审报告中说明。</w:t>
      </w:r>
    </w:p>
    <w:p w14:paraId="35B87ABD">
      <w:pPr>
        <w:shd w:val="clear" w:color="auto" w:fill="FFFFFF"/>
        <w:spacing w:before="156" w:beforeLines="50" w:after="156" w:afterLines="50" w:line="4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（八） 授予合同</w:t>
      </w:r>
    </w:p>
    <w:p w14:paraId="2B8275DD">
      <w:pPr>
        <w:spacing w:line="440" w:lineRule="exact"/>
        <w:ind w:firstLine="482" w:firstLineChars="200"/>
        <w:rPr>
          <w:rFonts w:hint="eastAsia" w:ascii="宋体" w:hAnsi="宋体" w:eastAsia="宋体" w:cs="宋体"/>
          <w:b/>
          <w:bCs/>
          <w:color w:val="auto"/>
          <w:sz w:val="24"/>
          <w:szCs w:val="24"/>
          <w:highlight w:val="none"/>
        </w:rPr>
      </w:pPr>
      <w:bookmarkStart w:id="104" w:name="_Toc37090997"/>
      <w:bookmarkStart w:id="105" w:name="_Toc37090661"/>
      <w:bookmarkStart w:id="106" w:name="_Toc30338"/>
      <w:r>
        <w:rPr>
          <w:rFonts w:hint="eastAsia" w:ascii="宋体" w:hAnsi="宋体" w:eastAsia="宋体" w:cs="宋体"/>
          <w:b/>
          <w:bCs/>
          <w:color w:val="auto"/>
          <w:sz w:val="24"/>
          <w:szCs w:val="24"/>
          <w:highlight w:val="none"/>
        </w:rPr>
        <w:t>30. 确定</w:t>
      </w:r>
      <w:bookmarkEnd w:id="104"/>
      <w:bookmarkEnd w:id="105"/>
      <w:bookmarkEnd w:id="106"/>
      <w:r>
        <w:rPr>
          <w:rFonts w:hint="eastAsia" w:ascii="宋体" w:hAnsi="宋体" w:eastAsia="宋体" w:cs="宋体"/>
          <w:b/>
          <w:bCs/>
          <w:color w:val="auto"/>
          <w:sz w:val="24"/>
          <w:szCs w:val="24"/>
          <w:highlight w:val="none"/>
        </w:rPr>
        <w:t>成交供应商</w:t>
      </w:r>
    </w:p>
    <w:p w14:paraId="3E3D9454">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30.1 成交的标准</w:t>
      </w:r>
    </w:p>
    <w:p w14:paraId="025103F5">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30.1.1响应文件满足竞争性磋商文件全部实质性要求；</w:t>
      </w:r>
    </w:p>
    <w:p w14:paraId="23D1A020">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30.1.2 具有良好的履行合同的能力和条件；</w:t>
      </w:r>
    </w:p>
    <w:p w14:paraId="12220072">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30.1.3 能够最大限度满足竞争性磋商文件的各项要求；</w:t>
      </w:r>
    </w:p>
    <w:p w14:paraId="12B4C288">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30.2 采购人将确定资格合格的成交候选人为成交供应商。</w:t>
      </w:r>
    </w:p>
    <w:p w14:paraId="4CA38190">
      <w:pPr>
        <w:spacing w:line="440" w:lineRule="exact"/>
        <w:ind w:firstLine="482" w:firstLineChars="200"/>
        <w:rPr>
          <w:rFonts w:hint="eastAsia" w:ascii="宋体" w:hAnsi="宋体" w:eastAsia="宋体" w:cs="宋体"/>
          <w:b/>
          <w:bCs/>
          <w:color w:val="auto"/>
          <w:sz w:val="24"/>
          <w:szCs w:val="24"/>
          <w:highlight w:val="none"/>
        </w:rPr>
      </w:pPr>
      <w:bookmarkStart w:id="107" w:name="_Toc8758"/>
      <w:bookmarkStart w:id="108" w:name="_Toc37090662"/>
      <w:bookmarkStart w:id="109" w:name="_Toc37090998"/>
      <w:r>
        <w:rPr>
          <w:rFonts w:hint="eastAsia" w:ascii="宋体" w:hAnsi="宋体" w:eastAsia="宋体" w:cs="宋体"/>
          <w:b/>
          <w:bCs/>
          <w:color w:val="auto"/>
          <w:sz w:val="24"/>
          <w:szCs w:val="24"/>
          <w:highlight w:val="none"/>
        </w:rPr>
        <w:t>31. 授予合同的准则</w:t>
      </w:r>
      <w:bookmarkEnd w:id="107"/>
      <w:bookmarkEnd w:id="108"/>
      <w:bookmarkEnd w:id="109"/>
    </w:p>
    <w:p w14:paraId="58F4DCE9">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31.1 采购人将把合同授予经确认的成交供应商。</w:t>
      </w:r>
    </w:p>
    <w:p w14:paraId="0C911ED7">
      <w:pPr>
        <w:shd w:val="clear" w:color="auto" w:fill="FFFFFF"/>
        <w:spacing w:before="156" w:beforeLines="50" w:after="156" w:afterLines="50" w:line="440" w:lineRule="exact"/>
        <w:jc w:val="center"/>
        <w:rPr>
          <w:rFonts w:hint="eastAsia" w:ascii="宋体" w:hAnsi="宋体" w:eastAsia="宋体" w:cs="宋体"/>
          <w:b/>
          <w:color w:val="auto"/>
          <w:kern w:val="0"/>
          <w:sz w:val="24"/>
          <w:szCs w:val="24"/>
          <w:highlight w:val="none"/>
        </w:rPr>
      </w:pPr>
      <w:bookmarkStart w:id="110" w:name="_Toc37090999"/>
      <w:bookmarkStart w:id="111" w:name="_Toc37090663"/>
      <w:bookmarkStart w:id="112" w:name="_Toc16518"/>
      <w:r>
        <w:rPr>
          <w:rFonts w:hint="eastAsia" w:ascii="宋体" w:hAnsi="宋体" w:eastAsia="宋体" w:cs="宋体"/>
          <w:b/>
          <w:color w:val="auto"/>
          <w:kern w:val="0"/>
          <w:sz w:val="24"/>
          <w:szCs w:val="24"/>
          <w:highlight w:val="none"/>
        </w:rPr>
        <w:t>（九） 成交通知书</w:t>
      </w:r>
      <w:bookmarkEnd w:id="110"/>
      <w:bookmarkEnd w:id="111"/>
      <w:bookmarkEnd w:id="112"/>
    </w:p>
    <w:p w14:paraId="7851B547">
      <w:pPr>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32.成交通知书</w:t>
      </w:r>
    </w:p>
    <w:p w14:paraId="7B651312">
      <w:pPr>
        <w:shd w:val="clear" w:color="auto" w:fill="FFFFFF"/>
        <w:spacing w:line="44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32.1采购人依据磋商小组推荐的成交候选人排序确定排名第一的成交候选人为成交供应商后，将</w:t>
      </w:r>
      <w:r>
        <w:rPr>
          <w:rFonts w:hint="eastAsia" w:ascii="宋体" w:hAnsi="宋体" w:eastAsia="宋体" w:cs="宋体"/>
          <w:color w:val="auto"/>
          <w:sz w:val="24"/>
          <w:szCs w:val="24"/>
          <w:highlight w:val="none"/>
        </w:rPr>
        <w:t>对成交结果公示1工作日，同时向成交供应商发出《成交通知书》。</w:t>
      </w:r>
    </w:p>
    <w:p w14:paraId="1B2B9A13">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32.2《成交通知书》对成交供应商和成交供应商具有法律约束力。《成交通知书》发出后，采购人不得违法改变成交结果，成交供应商无正当理由不得放弃成交。 </w:t>
      </w:r>
    </w:p>
    <w:p w14:paraId="7B2ECB32">
      <w:pPr>
        <w:shd w:val="clear" w:color="auto" w:fill="FFFFFF"/>
        <w:spacing w:before="156" w:beforeLines="50" w:after="156" w:afterLines="50" w:line="440" w:lineRule="exact"/>
        <w:jc w:val="center"/>
        <w:rPr>
          <w:rFonts w:hint="eastAsia" w:ascii="宋体" w:hAnsi="宋体" w:eastAsia="宋体" w:cs="宋体"/>
          <w:b/>
          <w:color w:val="auto"/>
          <w:kern w:val="0"/>
          <w:sz w:val="24"/>
          <w:szCs w:val="24"/>
          <w:highlight w:val="none"/>
        </w:rPr>
      </w:pPr>
      <w:bookmarkStart w:id="113" w:name="_Toc17984"/>
      <w:bookmarkStart w:id="114" w:name="_Toc37091000"/>
      <w:bookmarkStart w:id="115" w:name="_Toc37090664"/>
      <w:r>
        <w:rPr>
          <w:rFonts w:hint="eastAsia" w:ascii="宋体" w:hAnsi="宋体" w:eastAsia="宋体" w:cs="宋体"/>
          <w:b/>
          <w:color w:val="auto"/>
          <w:kern w:val="0"/>
          <w:sz w:val="24"/>
          <w:szCs w:val="24"/>
          <w:highlight w:val="none"/>
        </w:rPr>
        <w:t>（九）合同的签订</w:t>
      </w:r>
      <w:bookmarkEnd w:id="113"/>
    </w:p>
    <w:p w14:paraId="43B42F62">
      <w:pPr>
        <w:spacing w:line="440" w:lineRule="exact"/>
        <w:ind w:firstLine="482" w:firstLineChars="200"/>
        <w:rPr>
          <w:rFonts w:hint="eastAsia" w:ascii="宋体" w:hAnsi="宋体" w:eastAsia="宋体" w:cs="宋体"/>
          <w:b/>
          <w:bCs/>
          <w:color w:val="auto"/>
          <w:sz w:val="24"/>
          <w:szCs w:val="24"/>
          <w:highlight w:val="none"/>
        </w:rPr>
      </w:pPr>
      <w:bookmarkStart w:id="116" w:name="_Toc1090"/>
      <w:r>
        <w:rPr>
          <w:rFonts w:hint="eastAsia" w:ascii="宋体" w:hAnsi="宋体" w:eastAsia="宋体" w:cs="宋体"/>
          <w:b/>
          <w:bCs/>
          <w:color w:val="auto"/>
          <w:sz w:val="24"/>
          <w:szCs w:val="24"/>
          <w:highlight w:val="none"/>
        </w:rPr>
        <w:t>33. 合同的签订</w:t>
      </w:r>
      <w:bookmarkEnd w:id="114"/>
      <w:bookmarkEnd w:id="115"/>
      <w:bookmarkEnd w:id="116"/>
    </w:p>
    <w:p w14:paraId="15F577AE">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采购人应当自《成交通知书》发出之日起30日内，按照竞争性磋商文件和成交供应商响应文件的规定，与成交供应商签订书面合同。所签订的合同不得对竞争性磋商文件确定的事项和成交供应商响应文件作实质性修改。</w:t>
      </w:r>
    </w:p>
    <w:p w14:paraId="3D09C4AA">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33.2 竞争性磋商文件要求成交供应商提交履约保证金或者其他形式履约担保的，成交供应商应当提交；拒绝提交的，视为放弃成交项目。</w:t>
      </w:r>
    </w:p>
    <w:p w14:paraId="3C32AFC7">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33.3 竞争性磋商文件和成交供应商的响应文件均是该书面合同的附件。</w:t>
      </w:r>
    </w:p>
    <w:p w14:paraId="38F5791F">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33.4 成交供应商因不可抗力或自身原因不能履行采购合同的，采购人可以与排位在成交供应商之后第一位的成交候选人签订采购合同，以此类推。或采购人重新组织采购活动。</w:t>
      </w:r>
    </w:p>
    <w:p w14:paraId="19BEB83A">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33.5 政府采购项目的采购合同自签订之日起七个工作日内，采购人应当将合同副本报同级政府采购监督管理部门和有关部门备案。</w:t>
      </w:r>
    </w:p>
    <w:p w14:paraId="727D227B">
      <w:pPr>
        <w:shd w:val="clear" w:color="auto" w:fill="FFFFFF"/>
        <w:spacing w:before="156" w:beforeLines="50" w:after="156" w:afterLines="50" w:line="4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（十）买方授标时更改采购服务数量的权利</w:t>
      </w:r>
    </w:p>
    <w:p w14:paraId="7E1368AE">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34.采购人在授予合同时有权按“供应商须知前附表”第17项约定的内容对采购需求中规定物资数量予以局部增加或减少，但不得实质性内容做任何改变，对增减的数量按同类型成交服务价结算。</w:t>
      </w:r>
    </w:p>
    <w:p w14:paraId="029AEDD9">
      <w:pPr>
        <w:shd w:val="clear" w:color="auto" w:fill="FFFFFF"/>
        <w:spacing w:before="156" w:beforeLines="50" w:after="156" w:afterLines="50" w:line="4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（十一）质疑与投诉</w:t>
      </w:r>
    </w:p>
    <w:p w14:paraId="52E6B016">
      <w:pPr>
        <w:shd w:val="clear" w:color="auto" w:fill="FFFFFF"/>
        <w:spacing w:line="440" w:lineRule="exact"/>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35.质疑与投诉</w:t>
      </w:r>
    </w:p>
    <w:p w14:paraId="1655FC33">
      <w:pPr>
        <w:shd w:val="clear" w:color="auto" w:fill="FFFFFF"/>
        <w:spacing w:line="44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供应商认为竞争性磋商文件、采购过程、成交或者成交结果使自己的权益受到损害的，可以在知道或者应知其权益受到损害之日起七个工作日内，向采购人、采购代理机构提出质疑。供应商须在法定质疑期内一次性提出针对同一采购程序环节的质疑。</w:t>
      </w:r>
    </w:p>
    <w:p w14:paraId="079B9CB1">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35.2质疑函的必备内容</w:t>
      </w:r>
    </w:p>
    <w:p w14:paraId="1DA7E41B">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35.2.1供应商提交的质疑函必须注明单位名称、地址、邮编、可供查询的单位和法定代表人的电话号码、联系人电话；</w:t>
      </w:r>
    </w:p>
    <w:p w14:paraId="46E3B427">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35.2.2质疑项目的名称、编号；</w:t>
      </w:r>
    </w:p>
    <w:p w14:paraId="35229A20">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35.2.3具体质疑事项和与质疑事项相关的请求；</w:t>
      </w:r>
    </w:p>
    <w:p w14:paraId="4A99B782">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35.2.4事实依据；</w:t>
      </w:r>
    </w:p>
    <w:p w14:paraId="0C564973">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35.2.5提起质疑的日期；</w:t>
      </w:r>
    </w:p>
    <w:p w14:paraId="33388212">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35.2.6质疑函须加盖单位公章，由法定代表人签章。</w:t>
      </w:r>
    </w:p>
    <w:p w14:paraId="524C214B">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35.2.7委托代理人递交质疑函的，还须提交委托质疑事项的授权委托书（附法定代表人和被授权人的身份证正反面），加盖单位公章和法定代表人签章和被授权人签字，同时出示被授权人身份证。</w:t>
      </w:r>
    </w:p>
    <w:p w14:paraId="547FDF32">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35.3质疑应符合下列条件：</w:t>
      </w:r>
    </w:p>
    <w:p w14:paraId="24E279C5">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35.3.1质疑人是参与所质疑项目的采购活动的供应商；</w:t>
      </w:r>
    </w:p>
    <w:p w14:paraId="59A6DC7A">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35.3.2质疑函内容符合相关的规定；</w:t>
      </w:r>
    </w:p>
    <w:p w14:paraId="26CB72A1">
      <w:pPr>
        <w:shd w:val="clear" w:color="auto" w:fill="FFFFFF"/>
        <w:tabs>
          <w:tab w:val="left" w:pos="929"/>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35.3.3在规定的有效期限内提起质疑；</w:t>
      </w:r>
    </w:p>
    <w:p w14:paraId="40F730C2">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35.3.4招投标监管部门规定的其他条件。</w:t>
      </w:r>
    </w:p>
    <w:p w14:paraId="5B430F1A">
      <w:pPr>
        <w:shd w:val="clear" w:color="auto" w:fill="FFFFFF"/>
        <w:spacing w:line="44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35.4采购人在收到供应商的书面质疑后七个工作日内作出答复，并以书面形式通知质疑供应商和其他有关供应商，但答复的内容不涉及商业秘密。作出答复前，将暂停招标采购活动。</w:t>
      </w:r>
    </w:p>
    <w:p w14:paraId="7F81DA09">
      <w:pPr>
        <w:shd w:val="clear" w:color="auto" w:fill="FFFFFF"/>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35.5提出质疑的供应商对答复不满意的，可以在答复期满后十五个工作日内向同级政府招标采购监督管理部门投诉。政府招标采购监督管理部门应当在收到投诉三十个工作日内，对投诉事项作出处理决定，并以书面形式通知投诉人和与投诉事项相关的当事人。</w:t>
      </w:r>
    </w:p>
    <w:p w14:paraId="266EED65">
      <w:pPr>
        <w:shd w:val="clear" w:color="auto" w:fill="FFFFFF"/>
        <w:spacing w:before="156" w:beforeLines="50" w:after="156" w:afterLines="50" w:line="440" w:lineRule="exact"/>
        <w:jc w:val="center"/>
        <w:rPr>
          <w:rFonts w:hint="eastAsia" w:ascii="宋体" w:hAnsi="宋体" w:eastAsia="宋体" w:cs="宋体"/>
          <w:b/>
          <w:color w:val="auto"/>
          <w:kern w:val="0"/>
          <w:sz w:val="24"/>
          <w:szCs w:val="24"/>
          <w:highlight w:val="none"/>
        </w:rPr>
      </w:pPr>
      <w:bookmarkStart w:id="117" w:name="_Toc37091001"/>
      <w:bookmarkStart w:id="118" w:name="_Toc37090665"/>
      <w:r>
        <w:rPr>
          <w:rFonts w:hint="eastAsia" w:ascii="宋体" w:hAnsi="宋体" w:eastAsia="宋体" w:cs="宋体"/>
          <w:b/>
          <w:color w:val="auto"/>
          <w:kern w:val="0"/>
          <w:sz w:val="24"/>
          <w:szCs w:val="24"/>
          <w:highlight w:val="none"/>
        </w:rPr>
        <w:t>（十二）履约担保</w:t>
      </w:r>
    </w:p>
    <w:p w14:paraId="7870F1D8">
      <w:pPr>
        <w:spacing w:line="440" w:lineRule="exact"/>
        <w:ind w:firstLine="482" w:firstLineChars="200"/>
        <w:rPr>
          <w:rFonts w:hint="eastAsia" w:ascii="宋体" w:hAnsi="宋体" w:eastAsia="宋体" w:cs="宋体"/>
          <w:b/>
          <w:bCs/>
          <w:color w:val="auto"/>
          <w:sz w:val="24"/>
          <w:szCs w:val="24"/>
          <w:highlight w:val="none"/>
        </w:rPr>
      </w:pPr>
      <w:bookmarkStart w:id="119" w:name="_Toc18714"/>
      <w:r>
        <w:rPr>
          <w:rFonts w:hint="eastAsia" w:ascii="宋体" w:hAnsi="宋体" w:eastAsia="宋体" w:cs="宋体"/>
          <w:b/>
          <w:bCs/>
          <w:color w:val="auto"/>
          <w:sz w:val="24"/>
          <w:szCs w:val="24"/>
          <w:highlight w:val="none"/>
        </w:rPr>
        <w:t>36. 履约担保</w:t>
      </w:r>
      <w:bookmarkEnd w:id="117"/>
      <w:bookmarkEnd w:id="118"/>
      <w:bookmarkEnd w:id="119"/>
    </w:p>
    <w:p w14:paraId="4EB2D441">
      <w:pPr>
        <w:shd w:val="clear" w:color="auto" w:fill="FFFFFF"/>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成交供应商须在与采购人签署合同前按竞争性磋商文件有关要求提交履约担保。成交供应商应按照下列规定的方式和金额向采购人提交履约担保。</w:t>
      </w:r>
    </w:p>
    <w:p w14:paraId="7F7210BB">
      <w:pPr>
        <w:shd w:val="clear" w:color="auto" w:fill="FFFFFF"/>
        <w:adjustRightInd w:val="0"/>
        <w:snapToGrid w:val="0"/>
        <w:spacing w:line="440" w:lineRule="exact"/>
        <w:ind w:firstLine="480" w:firstLineChars="200"/>
        <w:rPr>
          <w:rFonts w:hint="eastAsia" w:ascii="宋体" w:hAnsi="宋体" w:eastAsia="宋体" w:cs="宋体"/>
          <w:color w:val="auto"/>
          <w:sz w:val="24"/>
          <w:szCs w:val="24"/>
          <w:highlight w:val="none"/>
        </w:rPr>
      </w:pPr>
      <w:bookmarkStart w:id="120" w:name="_Toc37090666"/>
      <w:bookmarkStart w:id="121" w:name="_Toc30886"/>
      <w:bookmarkStart w:id="122" w:name="_Toc37091002"/>
      <w:r>
        <w:rPr>
          <w:rFonts w:hint="eastAsia" w:ascii="宋体" w:hAnsi="宋体" w:eastAsia="宋体" w:cs="宋体"/>
          <w:color w:val="auto"/>
          <w:sz w:val="24"/>
          <w:szCs w:val="24"/>
          <w:highlight w:val="none"/>
        </w:rPr>
        <w:t>36.2 履约担保采用下列</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方式</w:t>
      </w:r>
      <w:bookmarkEnd w:id="120"/>
      <w:bookmarkEnd w:id="121"/>
      <w:bookmarkEnd w:id="122"/>
    </w:p>
    <w:p w14:paraId="77FC5A0E">
      <w:pPr>
        <w:shd w:val="clear" w:color="auto" w:fill="FFFFFF"/>
        <w:adjustRightInd w:val="0"/>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36.2.1 履约保证金担保方式：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14:paraId="3BE59141">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 银行汇票；2） 支票；</w:t>
      </w:r>
      <w:r>
        <w:rPr>
          <w:rFonts w:hint="eastAsia" w:ascii="宋体" w:hAnsi="宋体" w:eastAsia="宋体" w:cs="宋体"/>
          <w:color w:val="auto"/>
          <w:kern w:val="0"/>
          <w:sz w:val="24"/>
          <w:szCs w:val="24"/>
          <w:highlight w:val="none"/>
        </w:rPr>
        <w:t>3）银行转账；4）担保公司担保；</w:t>
      </w:r>
      <w:r>
        <w:rPr>
          <w:rFonts w:hint="eastAsia" w:ascii="宋体" w:hAnsi="宋体" w:eastAsia="宋体" w:cs="宋体"/>
          <w:color w:val="auto"/>
          <w:sz w:val="24"/>
          <w:szCs w:val="24"/>
          <w:highlight w:val="none"/>
        </w:rPr>
        <w:t>5）采购人与供应商协商确定的其他担保方式。</w:t>
      </w:r>
    </w:p>
    <w:p w14:paraId="3F74C123">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36.2.3 如成交供应商不能按照供应商须知第35条的规定执行，采购人将视为成交供应商放弃成交项目；已经订立合同的，采购人有充分理由解除合同，给采购人造成损失的，放弃成交项目的成交供应商应当赔偿。</w:t>
      </w:r>
    </w:p>
    <w:p w14:paraId="57504182">
      <w:pPr>
        <w:shd w:val="clear" w:color="auto" w:fill="FFFFFF"/>
        <w:spacing w:before="156" w:beforeLines="50" w:after="156" w:afterLines="50" w:line="440" w:lineRule="exact"/>
        <w:jc w:val="center"/>
        <w:rPr>
          <w:rFonts w:hint="eastAsia" w:ascii="宋体" w:hAnsi="宋体" w:eastAsia="宋体" w:cs="宋体"/>
          <w:b/>
          <w:color w:val="auto"/>
          <w:kern w:val="0"/>
          <w:sz w:val="24"/>
          <w:szCs w:val="24"/>
          <w:highlight w:val="none"/>
        </w:rPr>
      </w:pPr>
      <w:bookmarkStart w:id="123" w:name="_Toc228180139"/>
      <w:r>
        <w:rPr>
          <w:rFonts w:hint="eastAsia" w:ascii="宋体" w:hAnsi="宋体" w:eastAsia="宋体" w:cs="宋体"/>
          <w:b/>
          <w:color w:val="auto"/>
          <w:kern w:val="0"/>
          <w:sz w:val="24"/>
          <w:szCs w:val="24"/>
          <w:highlight w:val="none"/>
        </w:rPr>
        <w:t>（十三）其他</w:t>
      </w:r>
    </w:p>
    <w:p w14:paraId="1C1BCC79">
      <w:pPr>
        <w:shd w:val="clear" w:color="auto" w:fill="FFFFFF"/>
        <w:spacing w:line="440" w:lineRule="exact"/>
        <w:ind w:firstLine="487" w:firstLineChars="20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37.</w:t>
      </w:r>
      <w:bookmarkEnd w:id="123"/>
      <w:r>
        <w:rPr>
          <w:rFonts w:hint="eastAsia" w:ascii="宋体" w:hAnsi="宋体" w:eastAsia="宋体" w:cs="宋体"/>
          <w:b/>
          <w:color w:val="auto"/>
          <w:kern w:val="0"/>
          <w:sz w:val="24"/>
          <w:szCs w:val="24"/>
          <w:highlight w:val="none"/>
        </w:rPr>
        <w:t>成交服务费</w:t>
      </w:r>
    </w:p>
    <w:p w14:paraId="11DE8360">
      <w:pPr>
        <w:pStyle w:val="88"/>
        <w:pageBreakBefore w:val="0"/>
        <w:widowControl w:val="0"/>
        <w:kinsoku/>
        <w:wordWrap/>
        <w:overflowPunct/>
        <w:topLinePunct w:val="0"/>
        <w:autoSpaceDE/>
        <w:autoSpaceDN/>
        <w:bidi w:val="0"/>
        <w:spacing w:line="360" w:lineRule="auto"/>
        <w:ind w:firstLine="470" w:firstLineChars="196"/>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 xml:space="preserve">37.1 </w:t>
      </w:r>
      <w:r>
        <w:rPr>
          <w:rFonts w:hint="eastAsia" w:ascii="宋体" w:hAnsi="宋体" w:eastAsia="宋体" w:cs="宋体"/>
          <w:color w:val="auto"/>
          <w:kern w:val="2"/>
          <w:sz w:val="24"/>
          <w:szCs w:val="24"/>
          <w:highlight w:val="none"/>
        </w:rPr>
        <w:t>代理服务费按照招标文件第二部分“投标人须知前附表”中第2</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项的规定由中标人交纳，请投标人在测算投标报价时充分考虑这一因素。</w:t>
      </w:r>
    </w:p>
    <w:p w14:paraId="0ECCF3DB">
      <w:pPr>
        <w:pStyle w:val="88"/>
        <w:pageBreakBefore w:val="0"/>
        <w:widowControl w:val="0"/>
        <w:kinsoku/>
        <w:wordWrap/>
        <w:overflowPunct/>
        <w:topLinePunct w:val="0"/>
        <w:autoSpaceDE/>
        <w:autoSpaceDN/>
        <w:bidi w:val="0"/>
        <w:spacing w:line="360" w:lineRule="auto"/>
        <w:ind w:firstLine="470" w:firstLineChars="196"/>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37.2</w:t>
      </w:r>
      <w:r>
        <w:rPr>
          <w:rFonts w:hint="eastAsia" w:ascii="宋体" w:hAnsi="宋体" w:eastAsia="宋体" w:cs="宋体"/>
          <w:color w:val="auto"/>
          <w:kern w:val="2"/>
          <w:sz w:val="24"/>
          <w:szCs w:val="24"/>
          <w:highlight w:val="none"/>
        </w:rPr>
        <w:t>本项目招标代理服务费</w:t>
      </w:r>
      <w:r>
        <w:rPr>
          <w:rFonts w:hint="eastAsia" w:ascii="宋体" w:hAnsi="宋体" w:eastAsia="宋体" w:cs="宋体"/>
          <w:color w:val="auto"/>
          <w:kern w:val="2"/>
          <w:sz w:val="24"/>
          <w:szCs w:val="24"/>
          <w:highlight w:val="none"/>
          <w:lang w:val="en-US" w:eastAsia="zh-CN"/>
        </w:rPr>
        <w:t>参照</w:t>
      </w:r>
      <w:r>
        <w:rPr>
          <w:rFonts w:hint="eastAsia" w:ascii="宋体" w:hAnsi="宋体" w:eastAsia="宋体" w:cs="宋体"/>
          <w:color w:val="auto"/>
          <w:kern w:val="2"/>
          <w:sz w:val="24"/>
          <w:szCs w:val="24"/>
          <w:highlight w:val="none"/>
        </w:rPr>
        <w:t>《招标代理服务收费管理暂行办法》计价格[2002]1980号文件（发改办价格[2003]857号文件）及财库[2018]2号文件计算的招标代理服务费下浮50%由中标人向招标代理支付。</w:t>
      </w:r>
    </w:p>
    <w:p w14:paraId="1B445F4D">
      <w:pPr>
        <w:pStyle w:val="88"/>
        <w:pageBreakBefore w:val="0"/>
        <w:widowControl w:val="0"/>
        <w:kinsoku/>
        <w:wordWrap/>
        <w:overflowPunct/>
        <w:topLinePunct w:val="0"/>
        <w:autoSpaceDE/>
        <w:autoSpaceDN/>
        <w:bidi w:val="0"/>
        <w:spacing w:line="360" w:lineRule="auto"/>
        <w:ind w:firstLine="470" w:firstLineChars="196"/>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37.3</w:t>
      </w:r>
      <w:r>
        <w:rPr>
          <w:rFonts w:hint="eastAsia" w:ascii="宋体" w:hAnsi="宋体" w:eastAsia="宋体" w:cs="宋体"/>
          <w:color w:val="auto"/>
          <w:kern w:val="2"/>
          <w:sz w:val="24"/>
          <w:szCs w:val="24"/>
          <w:highlight w:val="none"/>
        </w:rPr>
        <w:t>中标人不再支付其他任何费用和款项。</w:t>
      </w:r>
    </w:p>
    <w:p w14:paraId="70AB10E9">
      <w:pPr>
        <w:pStyle w:val="88"/>
        <w:pageBreakBefore w:val="0"/>
        <w:widowControl w:val="0"/>
        <w:kinsoku/>
        <w:wordWrap/>
        <w:overflowPunct/>
        <w:topLinePunct w:val="0"/>
        <w:autoSpaceDE/>
        <w:autoSpaceDN/>
        <w:bidi w:val="0"/>
        <w:spacing w:line="360" w:lineRule="auto"/>
        <w:ind w:firstLine="470" w:firstLineChars="196"/>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37.4</w:t>
      </w:r>
      <w:r>
        <w:rPr>
          <w:rFonts w:hint="eastAsia" w:ascii="宋体" w:hAnsi="宋体" w:eastAsia="宋体" w:cs="宋体"/>
          <w:color w:val="auto"/>
          <w:kern w:val="2"/>
          <w:sz w:val="24"/>
          <w:szCs w:val="24"/>
          <w:highlight w:val="none"/>
        </w:rPr>
        <w:t>具体费用详见本项目中标结果公告中第六条“代理服务收费标准及金额”</w:t>
      </w:r>
    </w:p>
    <w:p w14:paraId="1CFF1929">
      <w:pPr>
        <w:pStyle w:val="88"/>
        <w:pageBreakBefore w:val="0"/>
        <w:widowControl w:val="0"/>
        <w:kinsoku/>
        <w:wordWrap/>
        <w:overflowPunct/>
        <w:topLinePunct w:val="0"/>
        <w:autoSpaceDE/>
        <w:autoSpaceDN/>
        <w:bidi w:val="0"/>
        <w:spacing w:line="360" w:lineRule="auto"/>
        <w:ind w:firstLine="470" w:firstLineChars="196"/>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37.5参照</w:t>
      </w:r>
      <w:r>
        <w:rPr>
          <w:rFonts w:hint="eastAsia" w:ascii="宋体" w:hAnsi="宋体" w:eastAsia="宋体" w:cs="宋体"/>
          <w:color w:val="auto"/>
          <w:kern w:val="2"/>
          <w:sz w:val="24"/>
          <w:szCs w:val="24"/>
          <w:highlight w:val="none"/>
        </w:rPr>
        <w:t>国家发改委《关于招标代理服务费有关问题的通知》（发改办[2003]857号文件）第二条，将计价格[2002]1980号第十条中“招标代理服务实行谁委托谁付费”，修改为“招标代理服务费就由招标人支付”，招标人、招标代理机构与投标人另有约定的，</w:t>
      </w:r>
      <w:r>
        <w:rPr>
          <w:rFonts w:hint="eastAsia" w:ascii="宋体" w:hAnsi="宋体" w:eastAsia="宋体" w:cs="宋体"/>
          <w:color w:val="auto"/>
          <w:kern w:val="2"/>
          <w:sz w:val="24"/>
          <w:szCs w:val="24"/>
          <w:highlight w:val="none"/>
          <w:lang w:val="en-US" w:eastAsia="zh-CN"/>
        </w:rPr>
        <w:t>参照</w:t>
      </w:r>
      <w:r>
        <w:rPr>
          <w:rFonts w:hint="eastAsia" w:ascii="宋体" w:hAnsi="宋体" w:eastAsia="宋体" w:cs="宋体"/>
          <w:color w:val="auto"/>
          <w:kern w:val="2"/>
          <w:sz w:val="24"/>
          <w:szCs w:val="24"/>
          <w:highlight w:val="none"/>
        </w:rPr>
        <w:t>财库[2018]2号文件从其约定的要求，经各方一致同意，招标代理服务费由中标人向招标代理支付，采购人不承担付款义务。</w:t>
      </w:r>
    </w:p>
    <w:p w14:paraId="3D44A28F">
      <w:pPr>
        <w:pStyle w:val="88"/>
        <w:pageBreakBefore w:val="0"/>
        <w:widowControl w:val="0"/>
        <w:kinsoku/>
        <w:wordWrap/>
        <w:overflowPunct/>
        <w:topLinePunct w:val="0"/>
        <w:autoSpaceDE/>
        <w:autoSpaceDN/>
        <w:bidi w:val="0"/>
        <w:spacing w:line="360" w:lineRule="auto"/>
        <w:ind w:firstLine="470" w:firstLineChars="196"/>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37.6</w:t>
      </w:r>
      <w:r>
        <w:rPr>
          <w:rFonts w:hint="eastAsia" w:ascii="宋体" w:hAnsi="宋体" w:eastAsia="宋体" w:cs="宋体"/>
          <w:color w:val="auto"/>
          <w:kern w:val="2"/>
          <w:sz w:val="24"/>
          <w:szCs w:val="24"/>
          <w:highlight w:val="none"/>
        </w:rPr>
        <w:t>中标人于中标公示发布后7个工作日内一次性向招标代理公司支付代理服务费。</w:t>
      </w:r>
    </w:p>
    <w:p w14:paraId="042BD022">
      <w:pPr>
        <w:pStyle w:val="88"/>
        <w:pageBreakBefore w:val="0"/>
        <w:widowControl w:val="0"/>
        <w:kinsoku/>
        <w:wordWrap/>
        <w:overflowPunct/>
        <w:topLinePunct w:val="0"/>
        <w:autoSpaceDE/>
        <w:autoSpaceDN/>
        <w:bidi w:val="0"/>
        <w:spacing w:line="360" w:lineRule="auto"/>
        <w:ind w:firstLine="470" w:firstLineChars="196"/>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37.7</w:t>
      </w:r>
      <w:r>
        <w:rPr>
          <w:rFonts w:hint="eastAsia" w:ascii="宋体" w:hAnsi="宋体" w:eastAsia="宋体" w:cs="宋体"/>
          <w:color w:val="auto"/>
          <w:kern w:val="2"/>
          <w:sz w:val="24"/>
          <w:szCs w:val="24"/>
          <w:highlight w:val="none"/>
        </w:rPr>
        <w:t>责任认定</w:t>
      </w:r>
    </w:p>
    <w:p w14:paraId="441FA446">
      <w:pPr>
        <w:pStyle w:val="88"/>
        <w:pageBreakBefore w:val="0"/>
        <w:widowControl w:val="0"/>
        <w:kinsoku/>
        <w:wordWrap/>
        <w:overflowPunct/>
        <w:topLinePunct w:val="0"/>
        <w:autoSpaceDE/>
        <w:autoSpaceDN/>
        <w:bidi w:val="0"/>
        <w:spacing w:line="360" w:lineRule="auto"/>
        <w:ind w:firstLine="470" w:firstLineChars="196"/>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37.7.1</w:t>
      </w:r>
      <w:r>
        <w:rPr>
          <w:rFonts w:hint="eastAsia" w:ascii="宋体" w:hAnsi="宋体" w:eastAsia="宋体" w:cs="宋体"/>
          <w:color w:val="auto"/>
          <w:kern w:val="2"/>
          <w:sz w:val="24"/>
          <w:szCs w:val="24"/>
          <w:highlight w:val="none"/>
        </w:rPr>
        <w:t>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4ECEADD5">
      <w:pPr>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37.7.2</w:t>
      </w:r>
      <w:r>
        <w:rPr>
          <w:rFonts w:hint="eastAsia" w:ascii="宋体" w:hAnsi="宋体" w:eastAsia="宋体" w:cs="宋体"/>
          <w:color w:val="auto"/>
          <w:kern w:val="2"/>
          <w:sz w:val="24"/>
          <w:szCs w:val="24"/>
          <w:highlight w:val="none"/>
        </w:rPr>
        <w:t>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p w14:paraId="65A34D70">
      <w:pPr>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37.7.3</w:t>
      </w:r>
      <w:r>
        <w:rPr>
          <w:rFonts w:hint="eastAsia" w:ascii="宋体" w:hAnsi="宋体" w:eastAsia="宋体" w:cs="宋体"/>
          <w:color w:val="auto"/>
          <w:kern w:val="2"/>
          <w:sz w:val="24"/>
          <w:szCs w:val="24"/>
          <w:highlight w:val="none"/>
        </w:rPr>
        <w:t>中华人民共和国国家计划委员会[计价格 ［2002］1980号]招标代理服务收费管理暂行办法 (2002-10-15发布)</w:t>
      </w:r>
    </w:p>
    <w:p w14:paraId="6036261B">
      <w:pPr>
        <w:pageBreakBefore w:val="0"/>
        <w:widowControl w:val="0"/>
        <w:kinsoku/>
        <w:wordWrap/>
        <w:overflowPunct/>
        <w:topLinePunct w:val="0"/>
        <w:autoSpaceDE/>
        <w:autoSpaceDN/>
        <w:bidi w:val="0"/>
        <w:spacing w:line="360" w:lineRule="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color w:val="auto"/>
          <w:kern w:val="2"/>
          <w:sz w:val="24"/>
          <w:szCs w:val="24"/>
          <w:highlight w:val="none"/>
        </w:rPr>
        <w:t>  第一条 为规范招标代理服务收费行为，维护招标人、投标人和招标代理机构的合法权益，根据《中华人民共和国价格法》、《中华人民共和国招标投标法》及有关法律</w:t>
      </w:r>
      <w:r>
        <w:rPr>
          <w:rFonts w:hint="eastAsia" w:ascii="宋体" w:hAnsi="宋体" w:eastAsia="宋体" w:cs="宋体"/>
          <w:i w:val="0"/>
          <w:iCs w:val="0"/>
          <w:caps w:val="0"/>
          <w:color w:val="auto"/>
          <w:spacing w:val="0"/>
          <w:sz w:val="24"/>
          <w:szCs w:val="24"/>
          <w:highlight w:val="none"/>
        </w:rPr>
        <w:t>、行政法规，制定本办法。</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第二条 中华人民共和国境内发生的各类招标代理服务的收费行为，适用本办法。</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第三条 本办法所称招标代理服务收费，是指招标代理机构接受招标人委托，从事编制招标文件（包括编制资格预审文件和标底），审查投标人资格，组织投标人踏勘现场并答疑，组织开标、评标、定标，以及提供招标前期咨询、协调合同的签订等业务所收取的费用。</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第四条 招标代理机构从事招标代理业务并收取服务费用的，必须符合《中华人民共和国招标投标法》第十三条、第十四条规定的条件，具备独立法人资格和相应资质。</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第五条 招标代理机构应当在招标人委托的范围内办理招标事宜，遵守国家法律、法规及政策规定，符合招标人的技术、质量要求。</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第六条 招标代理服务应当遵循公开、公正、平等、自愿、有偿的原则。严格禁止任何单位和个人为招标人强制指定招标代理机构或强制具有自行招标资格的单位接受代理并收取费用。</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第七条 招标代理服务收费按照招标代理业务性质分为：</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（一）各类土木工程、建筑工程、设备安装、管道线路敷设、装饰装修等建设以及附带服务的工程招标代理服务收费。</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（二）原材料、产品、设备和固态、液态或气态物体和电力等货物及其附带服务的货物招标代理服务收费。</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（三）工程勘察、设计、咨询、监理，矿业权、土地使用权出让、转让和保险等工程和货物以外的服务招标代理服务收费。</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第八条 招标代理服务收费实行政府指导价。</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第九条 招标代理服务收费采用差额定率累进计费方式。收费标准按本办法附件规定执行，上下浮动幅度不超过20％。具体收费额由招标代理机构和招标委托人在规定的收费标准和浮动幅度内协商确定。</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第十条 招标代理服务实行"谁委托谁付费"。</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工程招标委托人支付的招标代理服务费，可计入工程前期费用。货物招标和服务招标委托人支付的招标代理服务费，按照财政部门规定列支。</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第十一条 招标代理机构按规定收取代理费用和出售招标文件后，不得再要求招标委托人无偿提供食宿、交通等或收取其他费用。</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第十二条 招标代理业务中有超过本办法第三条规定的要求的，招标代理机构可与招标委托人就所增加的工作量，另行协商确定服务费用。</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第十三条 招标代理服务收费纠纷，依据《中华人民共和国价格法》、《中华人民共和国合同法》及其他有关法律、法规处理。</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第十四条 各级政府有关部门或者其授权、委托的单位，按照国务院关于招标投标管理职能分工规定履行监督职能，要求招标投标当事人履行审批、备案及其他手续的，一律不得收费。</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违反前款规定，擅自设立收费项目、制定收费标准以及收取管理性费用的，由政府价格主管部门予以处罚。</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第十五条 招标代理机构违反本办法规定的，由政府主管部门依据《中华人民共和国价格法》和《价格违法行为行政处罚规定》予以查处。</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第十六条 本办法由国家计委负责解释。</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第十七条 本办法自2003年1月1日起执行。国家计委及有关部门、各省、自治区、直辖市价格主管部门制定的相关规定，凡与本办法相抵触的，自本办法生效之日起废止。</w:t>
      </w:r>
    </w:p>
    <w:p w14:paraId="731A8C6E">
      <w:pPr>
        <w:pageBreakBefore w:val="0"/>
        <w:widowControl w:val="0"/>
        <w:kinsoku/>
        <w:wordWrap/>
        <w:overflowPunct/>
        <w:topLinePunct w:val="0"/>
        <w:autoSpaceDE/>
        <w:autoSpaceDN/>
        <w:bidi w:val="0"/>
        <w:spacing w:line="360" w:lineRule="auto"/>
        <w:ind w:firstLine="720" w:firstLineChars="300"/>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招标代理服务收费按差额定率累进法计算。</w:t>
      </w:r>
    </w:p>
    <w:p w14:paraId="346C0011">
      <w:pPr>
        <w:pageBreakBefore w:val="0"/>
        <w:widowControl w:val="0"/>
        <w:tabs>
          <w:tab w:val="left" w:pos="567"/>
        </w:tabs>
        <w:kinsoku/>
        <w:wordWrap/>
        <w:overflowPunct/>
        <w:topLinePunct w:val="0"/>
        <w:autoSpaceDE/>
        <w:autoSpaceDN/>
        <w:bidi w:val="0"/>
        <w:snapToGrid w:val="0"/>
        <w:spacing w:line="360" w:lineRule="auto"/>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例如：某工程招标代理业务中标金额为6000万元，计算招标代理服务费额如下：</w:t>
      </w:r>
      <w:r>
        <w:rPr>
          <w:rFonts w:hint="eastAsia" w:ascii="宋体" w:hAnsi="宋体" w:eastAsia="宋体" w:cs="宋体"/>
          <w:i w:val="0"/>
          <w:iCs w:val="0"/>
          <w:caps w:val="0"/>
          <w:color w:val="auto"/>
          <w:spacing w:val="0"/>
          <w:kern w:val="0"/>
          <w:sz w:val="24"/>
          <w:szCs w:val="24"/>
          <w:highlight w:val="none"/>
          <w:lang w:val="en-US" w:eastAsia="zh-CN" w:bidi="ar"/>
        </w:rPr>
        <w:br w:type="textWrapping"/>
      </w:r>
      <w:r>
        <w:rPr>
          <w:rFonts w:hint="eastAsia" w:ascii="宋体" w:hAnsi="宋体" w:eastAsia="宋体" w:cs="宋体"/>
          <w:i w:val="0"/>
          <w:iCs w:val="0"/>
          <w:caps w:val="0"/>
          <w:color w:val="auto"/>
          <w:spacing w:val="0"/>
          <w:kern w:val="0"/>
          <w:sz w:val="24"/>
          <w:szCs w:val="24"/>
          <w:highlight w:val="none"/>
          <w:lang w:val="en-US" w:eastAsia="zh-CN" w:bidi="ar"/>
        </w:rPr>
        <w:t xml:space="preserve"> 100万元×1.0％＝1万元</w:t>
      </w:r>
      <w:r>
        <w:rPr>
          <w:rFonts w:hint="eastAsia" w:ascii="宋体" w:hAnsi="宋体" w:eastAsia="宋体" w:cs="宋体"/>
          <w:i w:val="0"/>
          <w:iCs w:val="0"/>
          <w:caps w:val="0"/>
          <w:color w:val="auto"/>
          <w:spacing w:val="0"/>
          <w:kern w:val="0"/>
          <w:sz w:val="24"/>
          <w:szCs w:val="24"/>
          <w:highlight w:val="none"/>
          <w:lang w:val="en-US" w:eastAsia="zh-CN" w:bidi="ar"/>
        </w:rPr>
        <w:br w:type="textWrapping"/>
      </w:r>
      <w:r>
        <w:rPr>
          <w:rFonts w:hint="eastAsia" w:ascii="宋体" w:hAnsi="宋体" w:eastAsia="宋体" w:cs="宋体"/>
          <w:i w:val="0"/>
          <w:iCs w:val="0"/>
          <w:caps w:val="0"/>
          <w:color w:val="auto"/>
          <w:spacing w:val="0"/>
          <w:kern w:val="0"/>
          <w:sz w:val="24"/>
          <w:szCs w:val="24"/>
          <w:highlight w:val="none"/>
          <w:lang w:val="en-US" w:eastAsia="zh-CN" w:bidi="ar"/>
        </w:rPr>
        <w:t xml:space="preserve"> （500－100）万元×0.7％＝2.8万元</w:t>
      </w:r>
      <w:r>
        <w:rPr>
          <w:rFonts w:hint="eastAsia" w:ascii="宋体" w:hAnsi="宋体" w:eastAsia="宋体" w:cs="宋体"/>
          <w:i w:val="0"/>
          <w:iCs w:val="0"/>
          <w:caps w:val="0"/>
          <w:color w:val="auto"/>
          <w:spacing w:val="0"/>
          <w:kern w:val="0"/>
          <w:sz w:val="24"/>
          <w:szCs w:val="24"/>
          <w:highlight w:val="none"/>
          <w:lang w:val="en-US" w:eastAsia="zh-CN" w:bidi="ar"/>
        </w:rPr>
        <w:br w:type="textWrapping"/>
      </w:r>
      <w:r>
        <w:rPr>
          <w:rFonts w:hint="eastAsia" w:ascii="宋体" w:hAnsi="宋体" w:eastAsia="宋体" w:cs="宋体"/>
          <w:i w:val="0"/>
          <w:iCs w:val="0"/>
          <w:caps w:val="0"/>
          <w:color w:val="auto"/>
          <w:spacing w:val="0"/>
          <w:kern w:val="0"/>
          <w:sz w:val="24"/>
          <w:szCs w:val="24"/>
          <w:highlight w:val="none"/>
          <w:lang w:val="en-US" w:eastAsia="zh-CN" w:bidi="ar"/>
        </w:rPr>
        <w:t xml:space="preserve"> （1000－500）万元×0.55％＝2.75万元</w:t>
      </w:r>
      <w:r>
        <w:rPr>
          <w:rFonts w:hint="eastAsia" w:ascii="宋体" w:hAnsi="宋体" w:eastAsia="宋体" w:cs="宋体"/>
          <w:i w:val="0"/>
          <w:iCs w:val="0"/>
          <w:caps w:val="0"/>
          <w:color w:val="auto"/>
          <w:spacing w:val="0"/>
          <w:kern w:val="0"/>
          <w:sz w:val="24"/>
          <w:szCs w:val="24"/>
          <w:highlight w:val="none"/>
          <w:lang w:val="en-US" w:eastAsia="zh-CN" w:bidi="ar"/>
        </w:rPr>
        <w:br w:type="textWrapping"/>
      </w:r>
      <w:r>
        <w:rPr>
          <w:rFonts w:hint="eastAsia" w:ascii="宋体" w:hAnsi="宋体" w:eastAsia="宋体" w:cs="宋体"/>
          <w:i w:val="0"/>
          <w:iCs w:val="0"/>
          <w:caps w:val="0"/>
          <w:color w:val="auto"/>
          <w:spacing w:val="0"/>
          <w:kern w:val="0"/>
          <w:sz w:val="24"/>
          <w:szCs w:val="24"/>
          <w:highlight w:val="none"/>
          <w:lang w:val="en-US" w:eastAsia="zh-CN" w:bidi="ar"/>
        </w:rPr>
        <w:t xml:space="preserve"> （5000－1000）万元×0.35％＝14万元</w:t>
      </w:r>
      <w:r>
        <w:rPr>
          <w:rFonts w:hint="eastAsia" w:ascii="宋体" w:hAnsi="宋体" w:eastAsia="宋体" w:cs="宋体"/>
          <w:i w:val="0"/>
          <w:iCs w:val="0"/>
          <w:caps w:val="0"/>
          <w:color w:val="auto"/>
          <w:spacing w:val="0"/>
          <w:kern w:val="0"/>
          <w:sz w:val="24"/>
          <w:szCs w:val="24"/>
          <w:highlight w:val="none"/>
          <w:lang w:val="en-US" w:eastAsia="zh-CN" w:bidi="ar"/>
        </w:rPr>
        <w:br w:type="textWrapping"/>
      </w:r>
      <w:r>
        <w:rPr>
          <w:rFonts w:hint="eastAsia" w:ascii="宋体" w:hAnsi="宋体" w:eastAsia="宋体" w:cs="宋体"/>
          <w:i w:val="0"/>
          <w:iCs w:val="0"/>
          <w:caps w:val="0"/>
          <w:color w:val="auto"/>
          <w:spacing w:val="0"/>
          <w:kern w:val="0"/>
          <w:sz w:val="24"/>
          <w:szCs w:val="24"/>
          <w:highlight w:val="none"/>
          <w:lang w:val="en-US" w:eastAsia="zh-CN" w:bidi="ar"/>
        </w:rPr>
        <w:t xml:space="preserve"> （6000－5000）万元×0.2％＝2万元</w:t>
      </w:r>
      <w:r>
        <w:rPr>
          <w:rFonts w:hint="eastAsia" w:ascii="宋体" w:hAnsi="宋体" w:eastAsia="宋体" w:cs="宋体"/>
          <w:i w:val="0"/>
          <w:iCs w:val="0"/>
          <w:caps w:val="0"/>
          <w:color w:val="auto"/>
          <w:spacing w:val="0"/>
          <w:kern w:val="0"/>
          <w:sz w:val="24"/>
          <w:szCs w:val="24"/>
          <w:highlight w:val="none"/>
          <w:lang w:val="en-US" w:eastAsia="zh-CN" w:bidi="ar"/>
        </w:rPr>
        <w:br w:type="textWrapping"/>
      </w:r>
      <w:r>
        <w:rPr>
          <w:rFonts w:hint="eastAsia" w:ascii="宋体" w:hAnsi="宋体" w:eastAsia="宋体" w:cs="宋体"/>
          <w:i w:val="0"/>
          <w:iCs w:val="0"/>
          <w:caps w:val="0"/>
          <w:color w:val="auto"/>
          <w:spacing w:val="0"/>
          <w:kern w:val="0"/>
          <w:sz w:val="24"/>
          <w:szCs w:val="24"/>
          <w:highlight w:val="none"/>
          <w:lang w:val="en-US" w:eastAsia="zh-CN" w:bidi="ar"/>
        </w:rPr>
        <w:t xml:space="preserve"> 合计收费＝1＋2.8＋2.75＋14＋2＝22.55(万元)：</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1"/>
        <w:gridCol w:w="1748"/>
        <w:gridCol w:w="1748"/>
        <w:gridCol w:w="1748"/>
      </w:tblGrid>
      <w:tr w14:paraId="51FF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3341" w:type="dxa"/>
            <w:noWrap w:val="0"/>
            <w:vAlign w:val="top"/>
          </w:tcPr>
          <w:p w14:paraId="079ED5BD">
            <w:pPr>
              <w:wordWrap w:val="0"/>
              <w:snapToGrid w:val="0"/>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949325</wp:posOffset>
                      </wp:positionH>
                      <wp:positionV relativeFrom="paragraph">
                        <wp:posOffset>1905</wp:posOffset>
                      </wp:positionV>
                      <wp:extent cx="1104900" cy="714375"/>
                      <wp:effectExtent l="4445" t="6350" r="18415" b="10795"/>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flipH="1" flipV="1">
                                <a:off x="0" y="0"/>
                                <a:ext cx="1104900" cy="714375"/>
                              </a:xfrm>
                              <a:prstGeom prst="straightConnector1">
                                <a:avLst/>
                              </a:prstGeom>
                              <a:noFill/>
                              <a:ln w="15875">
                                <a:solidFill>
                                  <a:srgbClr val="739CC3"/>
                                </a:solidFill>
                                <a:round/>
                              </a:ln>
                              <a:effectLst/>
                            </wps:spPr>
                            <wps:bodyPr/>
                          </wps:wsp>
                        </a:graphicData>
                      </a:graphic>
                    </wp:anchor>
                  </w:drawing>
                </mc:Choice>
                <mc:Fallback>
                  <w:pict>
                    <v:shape id="_x0000_s1026" o:spid="_x0000_s1026" o:spt="32" type="#_x0000_t32" style="position:absolute;left:0pt;flip:x y;margin-left:74.75pt;margin-top:0.15pt;height:56.25pt;width:87pt;z-index:251662336;mso-width-relative:page;mso-height-relative:page;" filled="f" stroked="t" coordsize="21600,21600" o:gfxdata="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YSn+3VAAAACAEAAA8AAAAAAAAAAQAgAAAAIgAA&#10;AGRycy9kb3ducmV2LnhtbFBLAQIUABQAAAAIAIdO4kCSkbiNCwIAAOYDAAAOAAAAAAAAAAEAIAAA&#10;ACQBAABkcnMvZTJvRG9jLnhtbFBLBQYAAAAABgAGAFkBAAChBQAAAAA=&#10;">
                      <v:fill on="f" focussize="0,0"/>
                      <v:stroke weight="1.25pt" color="#739CC3" joinstyle="round"/>
                      <v:imagedata o:title=""/>
                      <o:lock v:ext="edit" aspectratio="f"/>
                    </v:shape>
                  </w:pict>
                </mc:Fallback>
              </mc:AlternateContent>
            </w:r>
            <w:r>
              <w:rPr>
                <w:rFonts w:hint="eastAsia" w:ascii="宋体" w:hAnsi="宋体" w:eastAsia="宋体" w:cs="宋体"/>
                <w:color w:val="auto"/>
                <w:sz w:val="24"/>
                <w:szCs w:val="24"/>
                <w:highlight w:val="none"/>
              </w:rPr>
              <w:t>费率              服务类型</w:t>
            </w:r>
          </w:p>
          <w:p w14:paraId="32700262">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-41275</wp:posOffset>
                      </wp:positionH>
                      <wp:positionV relativeFrom="paragraph">
                        <wp:posOffset>122555</wp:posOffset>
                      </wp:positionV>
                      <wp:extent cx="2095500" cy="421005"/>
                      <wp:effectExtent l="1270" t="7620" r="6350" b="13335"/>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flipH="1" flipV="1">
                                <a:off x="0" y="0"/>
                                <a:ext cx="2095500" cy="421005"/>
                              </a:xfrm>
                              <a:prstGeom prst="straightConnector1">
                                <a:avLst/>
                              </a:prstGeom>
                              <a:noFill/>
                              <a:ln w="15875">
                                <a:solidFill>
                                  <a:srgbClr val="739CC3"/>
                                </a:solidFill>
                                <a:round/>
                              </a:ln>
                              <a:effectLst/>
                            </wps:spPr>
                            <wps:bodyPr/>
                          </wps:wsp>
                        </a:graphicData>
                      </a:graphic>
                    </wp:anchor>
                  </w:drawing>
                </mc:Choice>
                <mc:Fallback>
                  <w:pict>
                    <v:shape id="_x0000_s1026" o:spid="_x0000_s1026" o:spt="32" type="#_x0000_t32" style="position:absolute;left:0pt;flip:x y;margin-left:-3.25pt;margin-top:9.65pt;height:33.15pt;width:165pt;z-index:251663360;mso-width-relative:page;mso-height-relative:page;" filled="f" stroked="t" coordsize="21600,21600" o:gfxdata="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DODBLWAAAACAEAAA8AAAAAAAAAAQAgAAAA&#10;IgAAAGRycy9kb3ducmV2LnhtbFBLAQIUABQAAAAIAIdO4kB8d8fqDQIAAOYDAAAOAAAAAAAAAAEA&#10;IAAAACUBAABkcnMvZTJvRG9jLnhtbFBLBQYAAAAABgAGAFkBAACkBQAAAAA=&#10;">
                      <v:fill on="f" focussize="0,0"/>
                      <v:stroke weight="1.25pt" color="#739CC3" joinstyle="round"/>
                      <v:imagedata o:title=""/>
                      <o:lock v:ext="edit" aspectratio="f"/>
                    </v:shape>
                  </w:pict>
                </mc:Fallback>
              </mc:AlternateContent>
            </w:r>
          </w:p>
          <w:p w14:paraId="3ECE9A15">
            <w:pPr>
              <w:wordWrap w:val="0"/>
              <w:snapToGrid w:val="0"/>
              <w:spacing w:line="240" w:lineRule="atLeast"/>
              <w:rPr>
                <w:rFonts w:hint="eastAsia" w:ascii="宋体" w:hAnsi="宋体" w:eastAsia="宋体" w:cs="宋体"/>
                <w:color w:val="auto"/>
                <w:sz w:val="24"/>
                <w:szCs w:val="24"/>
                <w:highlight w:val="none"/>
              </w:rPr>
            </w:pPr>
          </w:p>
          <w:p w14:paraId="6CE52F6D">
            <w:pPr>
              <w:wordWrap w:val="0"/>
              <w:snapToGrid w:val="0"/>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成交金额N（万元）</w:t>
            </w:r>
          </w:p>
        </w:tc>
        <w:tc>
          <w:tcPr>
            <w:tcW w:w="1748" w:type="dxa"/>
            <w:noWrap w:val="0"/>
            <w:vAlign w:val="center"/>
          </w:tcPr>
          <w:p w14:paraId="54CF2F95">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货物类采购</w:t>
            </w:r>
          </w:p>
        </w:tc>
        <w:tc>
          <w:tcPr>
            <w:tcW w:w="1748" w:type="dxa"/>
            <w:noWrap w:val="0"/>
            <w:vAlign w:val="center"/>
          </w:tcPr>
          <w:p w14:paraId="7978599D">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服务类采购</w:t>
            </w:r>
          </w:p>
        </w:tc>
        <w:tc>
          <w:tcPr>
            <w:tcW w:w="1748" w:type="dxa"/>
            <w:noWrap w:val="0"/>
            <w:vAlign w:val="center"/>
          </w:tcPr>
          <w:p w14:paraId="044AEDDA">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工程类采购</w:t>
            </w:r>
          </w:p>
        </w:tc>
      </w:tr>
      <w:tr w14:paraId="5703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noWrap w:val="0"/>
            <w:vAlign w:val="center"/>
          </w:tcPr>
          <w:p w14:paraId="60A77EE9">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N≤100</w:t>
            </w:r>
          </w:p>
        </w:tc>
        <w:tc>
          <w:tcPr>
            <w:tcW w:w="1748" w:type="dxa"/>
            <w:noWrap w:val="0"/>
            <w:vAlign w:val="center"/>
          </w:tcPr>
          <w:p w14:paraId="5DC2D787">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748" w:type="dxa"/>
            <w:noWrap w:val="0"/>
            <w:vAlign w:val="center"/>
          </w:tcPr>
          <w:p w14:paraId="4EE368B9">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748" w:type="dxa"/>
            <w:noWrap w:val="0"/>
            <w:vAlign w:val="center"/>
          </w:tcPr>
          <w:p w14:paraId="5DBBF6C5">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14:paraId="69AFE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noWrap w:val="0"/>
            <w:vAlign w:val="center"/>
          </w:tcPr>
          <w:p w14:paraId="2F663169">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100&lt;N≤500</w:t>
            </w:r>
          </w:p>
        </w:tc>
        <w:tc>
          <w:tcPr>
            <w:tcW w:w="1748" w:type="dxa"/>
            <w:noWrap w:val="0"/>
            <w:vAlign w:val="center"/>
          </w:tcPr>
          <w:p w14:paraId="6E9E2FDF">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748" w:type="dxa"/>
            <w:noWrap w:val="0"/>
            <w:vAlign w:val="center"/>
          </w:tcPr>
          <w:p w14:paraId="2F3EE296">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c>
          <w:tcPr>
            <w:tcW w:w="1748" w:type="dxa"/>
            <w:noWrap w:val="0"/>
            <w:vAlign w:val="center"/>
          </w:tcPr>
          <w:p w14:paraId="5D906B19">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0.7%</w:t>
            </w:r>
          </w:p>
        </w:tc>
      </w:tr>
      <w:tr w14:paraId="225B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noWrap w:val="0"/>
            <w:vAlign w:val="center"/>
          </w:tcPr>
          <w:p w14:paraId="14B4E962">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500&lt;N≤1000</w:t>
            </w:r>
          </w:p>
        </w:tc>
        <w:tc>
          <w:tcPr>
            <w:tcW w:w="1748" w:type="dxa"/>
            <w:noWrap w:val="0"/>
            <w:vAlign w:val="center"/>
          </w:tcPr>
          <w:p w14:paraId="6F1BB175">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c>
          <w:tcPr>
            <w:tcW w:w="1748" w:type="dxa"/>
            <w:noWrap w:val="0"/>
            <w:vAlign w:val="center"/>
          </w:tcPr>
          <w:p w14:paraId="364C3A17">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0.45%</w:t>
            </w:r>
          </w:p>
        </w:tc>
        <w:tc>
          <w:tcPr>
            <w:tcW w:w="1748" w:type="dxa"/>
            <w:noWrap w:val="0"/>
            <w:vAlign w:val="center"/>
          </w:tcPr>
          <w:p w14:paraId="32E50340">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0.55%</w:t>
            </w:r>
          </w:p>
        </w:tc>
      </w:tr>
      <w:tr w14:paraId="03D0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noWrap w:val="0"/>
            <w:vAlign w:val="center"/>
          </w:tcPr>
          <w:p w14:paraId="0FE21CAF">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1000&lt;N≤5000</w:t>
            </w:r>
          </w:p>
        </w:tc>
        <w:tc>
          <w:tcPr>
            <w:tcW w:w="1748" w:type="dxa"/>
            <w:noWrap w:val="0"/>
            <w:vAlign w:val="center"/>
          </w:tcPr>
          <w:p w14:paraId="35916198">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p>
        </w:tc>
        <w:tc>
          <w:tcPr>
            <w:tcW w:w="1748" w:type="dxa"/>
            <w:noWrap w:val="0"/>
            <w:vAlign w:val="center"/>
          </w:tcPr>
          <w:p w14:paraId="39E46C40">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0.25%</w:t>
            </w:r>
          </w:p>
        </w:tc>
        <w:tc>
          <w:tcPr>
            <w:tcW w:w="1748" w:type="dxa"/>
            <w:noWrap w:val="0"/>
            <w:vAlign w:val="center"/>
          </w:tcPr>
          <w:p w14:paraId="184A93F7">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0.35%</w:t>
            </w:r>
          </w:p>
        </w:tc>
      </w:tr>
      <w:tr w14:paraId="46BE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noWrap w:val="0"/>
            <w:vAlign w:val="center"/>
          </w:tcPr>
          <w:p w14:paraId="09FE8B07">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5000&lt;N≤10000</w:t>
            </w:r>
          </w:p>
        </w:tc>
        <w:tc>
          <w:tcPr>
            <w:tcW w:w="1748" w:type="dxa"/>
            <w:noWrap w:val="0"/>
            <w:vAlign w:val="center"/>
          </w:tcPr>
          <w:p w14:paraId="392DEF62">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0.25%</w:t>
            </w:r>
          </w:p>
        </w:tc>
        <w:tc>
          <w:tcPr>
            <w:tcW w:w="1748" w:type="dxa"/>
            <w:noWrap w:val="0"/>
            <w:vAlign w:val="center"/>
          </w:tcPr>
          <w:p w14:paraId="291CB2A3">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w:t>
            </w:r>
          </w:p>
        </w:tc>
        <w:tc>
          <w:tcPr>
            <w:tcW w:w="1748" w:type="dxa"/>
            <w:noWrap w:val="0"/>
            <w:vAlign w:val="center"/>
          </w:tcPr>
          <w:p w14:paraId="1C9ABCBB">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w:t>
            </w:r>
          </w:p>
        </w:tc>
      </w:tr>
    </w:tbl>
    <w:p w14:paraId="1FCF74A5">
      <w:pPr>
        <w:spacing w:line="440" w:lineRule="exact"/>
        <w:ind w:firstLine="482" w:firstLineChars="200"/>
        <w:rPr>
          <w:rFonts w:hint="eastAsia" w:ascii="宋体" w:hAnsi="宋体" w:eastAsia="宋体" w:cs="宋体"/>
          <w:b/>
          <w:bCs/>
          <w:color w:val="auto"/>
          <w:sz w:val="24"/>
          <w:szCs w:val="24"/>
          <w:highlight w:val="none"/>
        </w:rPr>
      </w:pPr>
      <w:bookmarkStart w:id="124" w:name="_Toc37091004"/>
      <w:bookmarkStart w:id="125" w:name="_Toc37090668"/>
      <w:bookmarkStart w:id="126" w:name="_Toc16311"/>
      <w:r>
        <w:rPr>
          <w:rFonts w:hint="eastAsia" w:ascii="宋体" w:hAnsi="宋体" w:eastAsia="宋体" w:cs="宋体"/>
          <w:b/>
          <w:bCs/>
          <w:color w:val="auto"/>
          <w:sz w:val="24"/>
          <w:szCs w:val="24"/>
          <w:highlight w:val="none"/>
        </w:rPr>
        <w:t xml:space="preserve">38. </w:t>
      </w:r>
      <w:bookmarkEnd w:id="124"/>
      <w:bookmarkEnd w:id="125"/>
      <w:r>
        <w:rPr>
          <w:rFonts w:hint="eastAsia" w:ascii="宋体" w:hAnsi="宋体" w:eastAsia="宋体" w:cs="宋体"/>
          <w:b/>
          <w:bCs/>
          <w:color w:val="auto"/>
          <w:sz w:val="24"/>
          <w:szCs w:val="24"/>
          <w:highlight w:val="none"/>
        </w:rPr>
        <w:t>竞争性磋商文件的解释权</w:t>
      </w:r>
      <w:bookmarkEnd w:id="126"/>
    </w:p>
    <w:p w14:paraId="58191281">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竞争性磋商文件是根据《中华人民共和国政府采购法》及其实施条例（658号令）及《关于印发&lt;政府采购竞争性磋商采购方式管理暂行办法&gt;的通知》（财库〔2014〕214号）及《财政部关于政府采购竞争性磋商采购方式管理暂行办法有关问题的补充通知》（财库〔2015〕124号）的规定编制的，解释权属中招国际招标有限公司。</w:t>
      </w:r>
    </w:p>
    <w:p w14:paraId="5D59CE00">
      <w:pPr>
        <w:pStyle w:val="36"/>
        <w:spacing w:line="440" w:lineRule="exact"/>
        <w:ind w:firstLine="0"/>
        <w:rPr>
          <w:rFonts w:hint="eastAsia" w:ascii="宋体" w:hAnsi="宋体" w:eastAsia="宋体" w:cs="宋体"/>
          <w:color w:val="auto"/>
          <w:highlight w:val="none"/>
        </w:rPr>
      </w:pPr>
    </w:p>
    <w:p w14:paraId="5348AEF6">
      <w:pPr>
        <w:pStyle w:val="44"/>
        <w:numPr>
          <w:ilvl w:val="0"/>
          <w:numId w:val="5"/>
        </w:numPr>
        <w:jc w:val="center"/>
        <w:outlineLvl w:val="0"/>
        <w:rPr>
          <w:rFonts w:hint="eastAsia" w:ascii="宋体" w:hAnsi="宋体" w:eastAsia="宋体" w:cs="宋体"/>
          <w:color w:val="auto"/>
          <w:spacing w:val="6"/>
          <w:sz w:val="32"/>
          <w:szCs w:val="32"/>
          <w:highlight w:val="none"/>
        </w:rPr>
      </w:pPr>
      <w:r>
        <w:rPr>
          <w:rFonts w:hint="eastAsia" w:ascii="宋体" w:hAnsi="宋体" w:eastAsia="宋体" w:cs="宋体"/>
          <w:color w:val="auto"/>
          <w:spacing w:val="6"/>
          <w:sz w:val="32"/>
          <w:szCs w:val="32"/>
          <w:highlight w:val="none"/>
        </w:rPr>
        <w:br w:type="page"/>
      </w:r>
      <w:bookmarkStart w:id="127" w:name="_Toc24799"/>
      <w:bookmarkStart w:id="128" w:name="_Toc14275"/>
      <w:r>
        <w:rPr>
          <w:rFonts w:hint="eastAsia" w:ascii="宋体" w:hAnsi="宋体" w:eastAsia="宋体" w:cs="宋体"/>
          <w:color w:val="auto"/>
          <w:spacing w:val="6"/>
          <w:sz w:val="32"/>
          <w:szCs w:val="32"/>
          <w:highlight w:val="none"/>
        </w:rPr>
        <w:t xml:space="preserve"> 采购需求</w:t>
      </w:r>
      <w:bookmarkEnd w:id="127"/>
      <w:bookmarkEnd w:id="128"/>
    </w:p>
    <w:p w14:paraId="0C9665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b/>
          <w:bCs/>
          <w:sz w:val="24"/>
          <w:szCs w:val="24"/>
          <w:highlight w:val="none"/>
          <w:lang w:val="en-US" w:eastAsia="zh-CN"/>
        </w:rPr>
      </w:pPr>
      <w:r>
        <w:rPr>
          <w:rFonts w:hint="eastAsia"/>
          <w:b/>
          <w:bCs/>
          <w:sz w:val="24"/>
          <w:szCs w:val="24"/>
          <w:highlight w:val="none"/>
          <w:lang w:val="en-US" w:eastAsia="zh-CN"/>
        </w:rPr>
        <w:t>一、项目概况</w:t>
      </w:r>
    </w:p>
    <w:p w14:paraId="0B26D7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default"/>
          <w:sz w:val="24"/>
          <w:szCs w:val="24"/>
          <w:highlight w:val="none"/>
          <w:lang w:val="en-US" w:eastAsia="zh-CN"/>
        </w:rPr>
        <w:t>1</w:t>
      </w:r>
      <w:r>
        <w:rPr>
          <w:rFonts w:hint="eastAsia"/>
          <w:sz w:val="24"/>
          <w:szCs w:val="24"/>
          <w:highlight w:val="none"/>
          <w:lang w:val="en-US" w:eastAsia="zh-CN"/>
        </w:rPr>
        <w:t>、项目名称</w:t>
      </w:r>
      <w:r>
        <w:rPr>
          <w:rFonts w:hint="default"/>
          <w:sz w:val="24"/>
          <w:szCs w:val="24"/>
          <w:highlight w:val="none"/>
          <w:lang w:val="en-US" w:eastAsia="zh-CN"/>
        </w:rPr>
        <w:t>：新疆医科大学2025雪莲山山体绿化养护服务项目</w:t>
      </w:r>
    </w:p>
    <w:p w14:paraId="0A8055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default"/>
          <w:sz w:val="24"/>
          <w:szCs w:val="24"/>
          <w:highlight w:val="none"/>
          <w:lang w:val="en-US" w:eastAsia="zh-CN"/>
        </w:rPr>
        <w:t>2</w:t>
      </w:r>
      <w:r>
        <w:rPr>
          <w:rFonts w:hint="eastAsia"/>
          <w:sz w:val="24"/>
          <w:szCs w:val="24"/>
          <w:highlight w:val="none"/>
          <w:lang w:val="en-US" w:eastAsia="zh-CN"/>
        </w:rPr>
        <w:t>、服务期限：</w:t>
      </w:r>
      <w:r>
        <w:rPr>
          <w:rFonts w:hint="eastAsia" w:ascii="宋体" w:hAnsi="宋体" w:eastAsia="宋体" w:cs="宋体"/>
          <w:color w:val="auto"/>
          <w:sz w:val="24"/>
          <w:szCs w:val="24"/>
          <w:highlight w:val="none"/>
        </w:rPr>
        <w:t>自合同签订后至</w:t>
      </w:r>
      <w:r>
        <w:rPr>
          <w:rFonts w:hint="eastAsia" w:ascii="宋体" w:hAnsi="宋体" w:eastAsia="宋体" w:cs="宋体"/>
          <w:color w:val="auto"/>
          <w:sz w:val="24"/>
          <w:szCs w:val="24"/>
          <w:highlight w:val="none"/>
          <w:lang w:val="en-US" w:eastAsia="zh-CN"/>
        </w:rPr>
        <w:t>2025年11月15日。</w:t>
      </w:r>
    </w:p>
    <w:p w14:paraId="18D52D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4、服务地点：新疆医科大学雪莲山校区指定地点。</w:t>
      </w:r>
    </w:p>
    <w:p w14:paraId="083166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5、质量标准：符合国家质量安全标准及竞争性磋商文件、答疑附件的质量要求。</w:t>
      </w:r>
    </w:p>
    <w:p w14:paraId="1AC966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3、项目预算（采购控制价）：人民币1000000.00</w:t>
      </w:r>
      <w:r>
        <w:rPr>
          <w:rFonts w:hint="default"/>
          <w:sz w:val="24"/>
          <w:szCs w:val="24"/>
          <w:highlight w:val="none"/>
          <w:lang w:val="en-US" w:eastAsia="zh-CN"/>
        </w:rPr>
        <w:t>元</w:t>
      </w:r>
      <w:r>
        <w:rPr>
          <w:rFonts w:hint="eastAsia"/>
          <w:sz w:val="24"/>
          <w:szCs w:val="24"/>
          <w:highlight w:val="none"/>
          <w:lang w:val="en-US" w:eastAsia="zh-CN"/>
        </w:rPr>
        <w:t>。</w:t>
      </w:r>
    </w:p>
    <w:p w14:paraId="1A55CA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b/>
          <w:bCs/>
          <w:sz w:val="24"/>
          <w:szCs w:val="24"/>
          <w:highlight w:val="none"/>
          <w:lang w:val="en-US" w:eastAsia="zh-CN"/>
        </w:rPr>
      </w:pPr>
      <w:r>
        <w:rPr>
          <w:rFonts w:hint="eastAsia"/>
          <w:b/>
          <w:bCs/>
          <w:sz w:val="24"/>
          <w:szCs w:val="24"/>
          <w:highlight w:val="none"/>
          <w:lang w:val="en-US" w:eastAsia="zh-CN"/>
        </w:rPr>
        <w:t>二、服务范围</w:t>
      </w:r>
    </w:p>
    <w:p w14:paraId="5747DE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1、服务范围：新疆医科大学雪莲山山体，养护面积约36.78万平方米。养护内容为：乔灌花草的修剪、灌溉、防治病虫害、树木涂白（春秋季各一次）、清除杂草、修理树坑、堵树穴漏水点、施肥、绿化及白色垃圾清运、树木扶正、翻地播种、灌溉水线使用维护及巡查、植物保活、植物防护（防严寒、干旱)、山体道路及附属设施维护，建立养护日志档案和植物档案库等。</w:t>
      </w:r>
    </w:p>
    <w:p w14:paraId="354BD9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2、养护级别：按照新疆维吾尔自治区住房和城乡建设厅发布的《城市绿地养护管理标准》中园林绿化二级养护标准执行。</w:t>
      </w:r>
    </w:p>
    <w:p w14:paraId="4E03C5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b/>
          <w:bCs/>
          <w:sz w:val="24"/>
          <w:szCs w:val="24"/>
          <w:highlight w:val="none"/>
          <w:lang w:val="en-US" w:eastAsia="zh-CN"/>
        </w:rPr>
      </w:pPr>
      <w:r>
        <w:rPr>
          <w:rFonts w:hint="eastAsia"/>
          <w:b/>
          <w:bCs/>
          <w:sz w:val="24"/>
          <w:szCs w:val="24"/>
          <w:highlight w:val="none"/>
          <w:lang w:val="en-US" w:eastAsia="zh-CN"/>
        </w:rPr>
        <w:t>四、养护要求：</w:t>
      </w:r>
    </w:p>
    <w:p w14:paraId="5FD2B9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default"/>
          <w:sz w:val="24"/>
          <w:szCs w:val="24"/>
          <w:highlight w:val="none"/>
          <w:lang w:val="en-US" w:eastAsia="zh-CN"/>
        </w:rPr>
        <w:t>1.</w:t>
      </w:r>
      <w:r>
        <w:rPr>
          <w:rFonts w:hint="eastAsia"/>
          <w:sz w:val="24"/>
          <w:szCs w:val="24"/>
          <w:highlight w:val="none"/>
          <w:lang w:val="en-US" w:eastAsia="zh-CN"/>
        </w:rPr>
        <w:t>按照新疆维吾尔自治区住房和城乡建设厅发布的《城市绿地养护管理标准》中园林绿化二级养护标准执行。</w:t>
      </w:r>
    </w:p>
    <w:p w14:paraId="73B45D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default"/>
          <w:sz w:val="24"/>
          <w:szCs w:val="24"/>
          <w:highlight w:val="none"/>
          <w:lang w:val="en-US" w:eastAsia="zh-CN"/>
        </w:rPr>
        <w:t>1.1绿化养护技术措施完善，管理得当，植物配置科学合理。</w:t>
      </w:r>
    </w:p>
    <w:p w14:paraId="38DE65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default"/>
          <w:sz w:val="24"/>
          <w:szCs w:val="24"/>
          <w:highlight w:val="none"/>
          <w:lang w:val="en-US" w:eastAsia="zh-CN"/>
        </w:rPr>
        <w:t>1.2园林植物养护应达到下列标准：</w:t>
      </w:r>
    </w:p>
    <w:p w14:paraId="1E5836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bookmarkStart w:id="129" w:name="OLE_LINK10"/>
      <w:r>
        <w:rPr>
          <w:rFonts w:hint="eastAsia"/>
          <w:sz w:val="24"/>
          <w:szCs w:val="24"/>
          <w:highlight w:val="none"/>
          <w:lang w:val="en-US" w:eastAsia="zh-CN"/>
        </w:rPr>
        <w:t>（1）</w:t>
      </w:r>
      <w:r>
        <w:rPr>
          <w:rFonts w:hint="default"/>
          <w:sz w:val="24"/>
          <w:szCs w:val="24"/>
          <w:highlight w:val="none"/>
          <w:lang w:val="en-US" w:eastAsia="zh-CN"/>
        </w:rPr>
        <w:t>乔木、灌木、花卉、藤本、地被和草坪等植物，生长健壮；移交时成活率达到100%。</w:t>
      </w:r>
      <w:bookmarkEnd w:id="129"/>
    </w:p>
    <w:p w14:paraId="1E9F2F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（2）树木树冠基本完整。主侧枝分布均称、数量适宜、修剪合理、内膛不乱、通风透光。花灌木开花及时、正常，花后修剪及时。绿篱、色块枝叶正常，整齐一致。行道树无缺株，绿地内无死树；</w:t>
      </w:r>
    </w:p>
    <w:p w14:paraId="00E2EF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（3）落叶树新梢生长正常，叶片大小、颜色正常，无明显黄叶、焦叶、卷叶。受害株数不得超过10%；</w:t>
      </w:r>
    </w:p>
    <w:p w14:paraId="3F71A8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（4）每年早春、晚秋对树干各涂白1次；涂白从树干基部向上涂1.2m~1.5m；同一路段、区域的涂白高度应保持一致，达到整齐美观的效果；</w:t>
      </w:r>
    </w:p>
    <w:p w14:paraId="74542B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（5）花坛、花带轮廓清晰，整齐美观，适时开花，无残缺；</w:t>
      </w:r>
    </w:p>
    <w:p w14:paraId="6A2B99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（6）一、二年生花卉，陆地栽培量少的，残缺病株不超过40%，局部更换，大于40%的全部更换；</w:t>
      </w:r>
    </w:p>
    <w:p w14:paraId="53BC89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（7）宿根花卉，残缺病株不超过30%，局部更换补齐；</w:t>
      </w:r>
    </w:p>
    <w:p w14:paraId="24B1D6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（8）草坪及地被植物整齐一致，覆盖率90%以上，草坪修剪高度控制在10cm范围内，一次修剪高度原则上不大于草高的1/3。除缀花草坪外草坪内杂草率不得超过10%，无大面积裸露地，无成片枯黄；</w:t>
      </w:r>
    </w:p>
    <w:p w14:paraId="5776FD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（9）单子叶草坪每 10年进行复壮更新，双子叶草坪每6年进行复壮更新。三年以上草坪必须每年打孔疏草；</w:t>
      </w:r>
    </w:p>
    <w:p w14:paraId="39812F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（10）水生植物覆盖面积不超过水面的1/3，植物长势良好，基本完整，较美观；水面无杂质垃圾，残叶死株；</w:t>
      </w:r>
    </w:p>
    <w:p w14:paraId="2550C1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（11）垂直绿化覆盖面不得低于70%，开花的攀授植物能适时开花；</w:t>
      </w:r>
    </w:p>
    <w:p w14:paraId="2C3D93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（12）病虫害控制及时。绿地内蛀干害虫的有虫株率不能超过3%。枝干病害感病株率不能超过5%。枝梢害虫发生时，枝梢被害率不能超过10%~15%或叶片上的有虫率不能超过10%~15%。蚧类害虫在20cm 枝条上发生数量不能超过5头/20cm 枝条。食叶害虫虫口密度不能超过3头/50cm 枝条，叶片受损率每株不得超过10%。叶部病害感病株率不能超过5%-7%。</w:t>
      </w:r>
    </w:p>
    <w:p w14:paraId="5A6996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default"/>
          <w:sz w:val="24"/>
          <w:szCs w:val="24"/>
          <w:highlight w:val="none"/>
          <w:lang w:val="en-US" w:eastAsia="zh-CN"/>
        </w:rPr>
        <w:t>1.3绿地整洁卫生，基本无杂草，基本无杂藤攀援植物，无污物杂物、无积水；对绿化生产垃圾（如树枝、树叶、草屑等），绿地内水面杂物日产日清，做到巡视保洁。</w:t>
      </w:r>
    </w:p>
    <w:p w14:paraId="0E62FC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default"/>
          <w:sz w:val="24"/>
          <w:szCs w:val="24"/>
          <w:highlight w:val="none"/>
          <w:lang w:val="en-US" w:eastAsia="zh-CN"/>
        </w:rPr>
        <w:t>1.4栏杆、支撑架和护网、园路、桌椅、园灯、绿化井盖和牌示等园林设施完整、安全，基本做到维护及时。</w:t>
      </w:r>
    </w:p>
    <w:p w14:paraId="79F192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default"/>
          <w:sz w:val="24"/>
          <w:szCs w:val="24"/>
          <w:highlight w:val="none"/>
          <w:lang w:val="en-US" w:eastAsia="zh-CN"/>
        </w:rPr>
        <w:t>1.5绿地完整，无堆物、堆料、搭棚，树干上无钉拴刻画等现象。距树干2m范围内无堆物、堆料、圈栏或搭棚设摊等影响树木生长和养护管理的现象。</w:t>
      </w:r>
    </w:p>
    <w:p w14:paraId="5C04A1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1.6消防设施完善。应符合消防安全管理规定的要求。</w:t>
      </w:r>
    </w:p>
    <w:p w14:paraId="3FC175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2.</w:t>
      </w:r>
      <w:r>
        <w:rPr>
          <w:rFonts w:hint="default"/>
          <w:sz w:val="24"/>
          <w:szCs w:val="24"/>
          <w:highlight w:val="none"/>
          <w:lang w:val="en-US" w:eastAsia="zh-CN"/>
        </w:rPr>
        <w:t>其他要求</w:t>
      </w:r>
    </w:p>
    <w:p w14:paraId="2AEDA2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2.1</w:t>
      </w:r>
      <w:r>
        <w:rPr>
          <w:rFonts w:hint="default"/>
          <w:sz w:val="24"/>
          <w:szCs w:val="24"/>
          <w:highlight w:val="none"/>
          <w:lang w:val="en-US" w:eastAsia="zh-CN"/>
        </w:rPr>
        <w:t>乙方人员及车辆需按照校园内要求报备，服从管理。</w:t>
      </w:r>
    </w:p>
    <w:p w14:paraId="6F7777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2.2</w:t>
      </w:r>
      <w:r>
        <w:rPr>
          <w:rFonts w:hint="default"/>
          <w:sz w:val="24"/>
          <w:szCs w:val="24"/>
          <w:highlight w:val="none"/>
          <w:lang w:val="en-US" w:eastAsia="zh-CN"/>
        </w:rPr>
        <w:t>乙方有义务配合甲方在养护期内组织各类公益类活动并给予工具、设备的支持。</w:t>
      </w:r>
    </w:p>
    <w:p w14:paraId="4590C9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2.3</w:t>
      </w:r>
      <w:r>
        <w:rPr>
          <w:rFonts w:hint="default"/>
          <w:sz w:val="24"/>
          <w:szCs w:val="24"/>
          <w:highlight w:val="none"/>
          <w:lang w:val="en-US" w:eastAsia="zh-CN"/>
        </w:rPr>
        <w:t>乙方编制养护方案和养护日志，并当天甲乙双方签字确认。</w:t>
      </w:r>
    </w:p>
    <w:p w14:paraId="49A65D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2.4</w:t>
      </w:r>
      <w:r>
        <w:rPr>
          <w:rFonts w:hint="default"/>
          <w:sz w:val="24"/>
          <w:szCs w:val="24"/>
          <w:highlight w:val="none"/>
          <w:lang w:val="en-US" w:eastAsia="zh-CN"/>
        </w:rPr>
        <w:t>乙方需提供不低于4名绿化养护专业技术人员资格证书（中级及以上）。</w:t>
      </w:r>
    </w:p>
    <w:p w14:paraId="546DBB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2.5</w:t>
      </w:r>
      <w:r>
        <w:rPr>
          <w:rFonts w:hint="default"/>
          <w:sz w:val="24"/>
          <w:szCs w:val="24"/>
          <w:highlight w:val="none"/>
          <w:lang w:val="en-US" w:eastAsia="zh-CN"/>
        </w:rPr>
        <w:t>巡查巡检：增强绿地保护责任意识，所辖绿地无随意损坏绿化事件发生，如有发生，需及时联系甲方协调。如因乙方未及时发现损坏事件，由乙方负责恢复或照价赔偿。</w:t>
      </w:r>
    </w:p>
    <w:p w14:paraId="4FE45A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bookmarkStart w:id="130" w:name="OLE_LINK1"/>
      <w:r>
        <w:rPr>
          <w:rFonts w:hint="eastAsia"/>
          <w:sz w:val="24"/>
          <w:szCs w:val="24"/>
          <w:highlight w:val="none"/>
          <w:lang w:val="en-US" w:eastAsia="zh-CN"/>
        </w:rPr>
        <w:t>2.6乙方负责山体整体卫生及洗手间卫生。</w:t>
      </w:r>
    </w:p>
    <w:p w14:paraId="708D36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2.7</w:t>
      </w:r>
      <w:r>
        <w:rPr>
          <w:rFonts w:hint="default"/>
          <w:sz w:val="24"/>
          <w:szCs w:val="24"/>
          <w:highlight w:val="none"/>
          <w:lang w:val="en-US" w:eastAsia="zh-CN"/>
        </w:rPr>
        <w:t>建立校园植物档案库，记录植物种类、分布及生长状态。</w:t>
      </w:r>
    </w:p>
    <w:p w14:paraId="488CA3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2.8</w:t>
      </w:r>
      <w:r>
        <w:rPr>
          <w:rFonts w:hint="default"/>
          <w:sz w:val="24"/>
          <w:szCs w:val="24"/>
          <w:highlight w:val="none"/>
          <w:lang w:val="en-US" w:eastAsia="zh-CN"/>
        </w:rPr>
        <w:t>为合理调配校园用水，缓解供水压力，保障教学、生活区域用水稳定，将根据校园用水高峰低谷情况，实施错峰浇水措施。</w:t>
      </w:r>
    </w:p>
    <w:p w14:paraId="0E0EA9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2.9</w:t>
      </w:r>
      <w:r>
        <w:rPr>
          <w:rFonts w:hint="default"/>
          <w:sz w:val="24"/>
          <w:szCs w:val="24"/>
          <w:highlight w:val="none"/>
          <w:lang w:val="en-US" w:eastAsia="zh-CN"/>
        </w:rPr>
        <w:t>在养护期内，如有苗木死亡，需按照市场价赔偿。</w:t>
      </w:r>
    </w:p>
    <w:p w14:paraId="6FA018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2.</w:t>
      </w:r>
      <w:r>
        <w:rPr>
          <w:rFonts w:hint="default"/>
          <w:sz w:val="24"/>
          <w:szCs w:val="24"/>
          <w:highlight w:val="none"/>
          <w:lang w:val="en-US" w:eastAsia="zh-CN"/>
        </w:rPr>
        <w:t>10草坪需每年施复合肥2次，每次不少于</w:t>
      </w:r>
      <w:r>
        <w:rPr>
          <w:rFonts w:hint="eastAsia"/>
          <w:sz w:val="24"/>
          <w:szCs w:val="24"/>
          <w:highlight w:val="none"/>
          <w:lang w:val="en-US" w:eastAsia="zh-CN"/>
        </w:rPr>
        <w:t>2</w:t>
      </w:r>
      <w:r>
        <w:rPr>
          <w:rFonts w:hint="default"/>
          <w:sz w:val="24"/>
          <w:szCs w:val="24"/>
          <w:highlight w:val="none"/>
          <w:lang w:val="en-US" w:eastAsia="zh-CN"/>
        </w:rPr>
        <w:t>吨。</w:t>
      </w:r>
    </w:p>
    <w:bookmarkEnd w:id="130"/>
    <w:p w14:paraId="220D38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b/>
          <w:bCs/>
          <w:sz w:val="24"/>
          <w:szCs w:val="24"/>
          <w:highlight w:val="none"/>
          <w:lang w:val="en-US" w:eastAsia="zh-CN"/>
        </w:rPr>
      </w:pPr>
      <w:bookmarkStart w:id="131" w:name="OLE_LINK3"/>
      <w:r>
        <w:rPr>
          <w:rFonts w:hint="eastAsia"/>
          <w:b/>
          <w:bCs/>
          <w:sz w:val="24"/>
          <w:szCs w:val="24"/>
          <w:highlight w:val="none"/>
          <w:lang w:val="en-US" w:eastAsia="zh-CN"/>
        </w:rPr>
        <w:t>五</w:t>
      </w:r>
      <w:r>
        <w:rPr>
          <w:rFonts w:hint="default"/>
          <w:b/>
          <w:bCs/>
          <w:sz w:val="24"/>
          <w:szCs w:val="24"/>
          <w:highlight w:val="none"/>
          <w:lang w:val="en-US" w:eastAsia="zh-CN"/>
        </w:rPr>
        <w:t>、绿化养护考核标准</w:t>
      </w:r>
    </w:p>
    <w:bookmarkEnd w:id="131"/>
    <w:tbl>
      <w:tblPr>
        <w:tblStyle w:val="25"/>
        <w:tblW w:w="86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7"/>
        <w:gridCol w:w="696"/>
        <w:gridCol w:w="633"/>
        <w:gridCol w:w="5974"/>
        <w:gridCol w:w="668"/>
      </w:tblGrid>
      <w:tr w14:paraId="66A25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75DAA1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84" w:type="dxa"/>
            <w:tcBorders>
              <w:top w:val="single" w:color="000000" w:sz="4" w:space="0"/>
              <w:left w:val="single" w:color="000000" w:sz="4" w:space="0"/>
              <w:bottom w:val="single" w:color="000000" w:sz="4" w:space="0"/>
              <w:right w:val="nil"/>
            </w:tcBorders>
            <w:noWrap w:val="0"/>
            <w:vAlign w:val="center"/>
          </w:tcPr>
          <w:p w14:paraId="72084F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66FD94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c>
          <w:tcPr>
            <w:tcW w:w="5985" w:type="dxa"/>
            <w:tcBorders>
              <w:top w:val="single" w:color="000000" w:sz="4" w:space="0"/>
              <w:left w:val="single" w:color="000000" w:sz="4" w:space="0"/>
              <w:bottom w:val="single" w:color="000000" w:sz="4" w:space="0"/>
              <w:right w:val="single" w:color="000000" w:sz="4" w:space="0"/>
            </w:tcBorders>
            <w:noWrap w:val="0"/>
            <w:vAlign w:val="center"/>
          </w:tcPr>
          <w:p w14:paraId="5773ED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各项目扣分标准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710348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w:t>
            </w:r>
          </w:p>
        </w:tc>
      </w:tr>
      <w:tr w14:paraId="1C275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56F30C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84" w:type="dxa"/>
            <w:tcBorders>
              <w:top w:val="single" w:color="000000" w:sz="4" w:space="0"/>
              <w:left w:val="single" w:color="000000" w:sz="4" w:space="0"/>
              <w:bottom w:val="single" w:color="000000" w:sz="4" w:space="0"/>
              <w:right w:val="nil"/>
            </w:tcBorders>
            <w:noWrap w:val="0"/>
            <w:vAlign w:val="center"/>
          </w:tcPr>
          <w:p w14:paraId="175DDF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人员</w:t>
            </w:r>
          </w:p>
          <w:p w14:paraId="4A95F8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559F1A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85" w:type="dxa"/>
            <w:tcBorders>
              <w:top w:val="single" w:color="000000" w:sz="4" w:space="0"/>
              <w:left w:val="single" w:color="000000" w:sz="4" w:space="0"/>
              <w:bottom w:val="single" w:color="000000" w:sz="4" w:space="0"/>
              <w:right w:val="single" w:color="000000" w:sz="4" w:space="0"/>
            </w:tcBorders>
            <w:noWrap w:val="0"/>
            <w:vAlign w:val="center"/>
          </w:tcPr>
          <w:p w14:paraId="014865D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人员按照学校规定做好正规备案，不得无备案人员出入校园，违反每人次扣0.5分；2.从业人员必须有信息表、政审、保险、合同各项不全每一项扣0.3分，各项</w:t>
            </w:r>
            <w:r>
              <w:rPr>
                <w:rFonts w:hint="eastAsia" w:ascii="宋体" w:hAnsi="宋体" w:eastAsia="宋体" w:cs="宋体"/>
                <w:i w:val="0"/>
                <w:iCs w:val="0"/>
                <w:color w:val="000000"/>
                <w:kern w:val="0"/>
                <w:sz w:val="24"/>
                <w:szCs w:val="24"/>
                <w:u w:val="none"/>
                <w:lang w:val="en-US" w:eastAsia="zh-CN" w:bidi="ar"/>
              </w:rPr>
              <w:t>均没有扣1分；3.违反校纪校规每人次扣0.5分；4.绿化工人着装不统一，不整齐扣0.5分。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1FA8F62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4"/>
                <w:szCs w:val="24"/>
                <w:u w:val="none"/>
              </w:rPr>
            </w:pPr>
          </w:p>
        </w:tc>
      </w:tr>
      <w:tr w14:paraId="115DE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0EAF97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84" w:type="dxa"/>
            <w:tcBorders>
              <w:top w:val="single" w:color="000000" w:sz="4" w:space="0"/>
              <w:left w:val="single" w:color="000000" w:sz="4" w:space="0"/>
              <w:bottom w:val="single" w:color="000000" w:sz="4" w:space="0"/>
              <w:right w:val="nil"/>
            </w:tcBorders>
            <w:noWrap w:val="0"/>
            <w:vAlign w:val="center"/>
          </w:tcPr>
          <w:p w14:paraId="5A64E8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安全生产管理</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317020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85" w:type="dxa"/>
            <w:tcBorders>
              <w:top w:val="single" w:color="000000" w:sz="4" w:space="0"/>
              <w:left w:val="single" w:color="000000" w:sz="4" w:space="0"/>
              <w:bottom w:val="single" w:color="000000" w:sz="4" w:space="0"/>
              <w:right w:val="single" w:color="000000" w:sz="4" w:space="0"/>
            </w:tcBorders>
            <w:noWrap w:val="0"/>
            <w:vAlign w:val="center"/>
          </w:tcPr>
          <w:p w14:paraId="4A8A38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安全生产教育每月1次（有资料印证）少一次扣0.5分；2.农药专人管理，农药随用随出校，不得留在学校，出入库记录不全扣1分，农药废弃物回收不到位扣2分；3.机械停放在不到位扣0.5分；4.阀门井安全及操作规程，专人负责不到位每一处扣1分；5.工人防火、环境卫生每一处不到位扣0.5分；风险隐患排查每周一次（资料印证），每少一次扣0.5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648BB28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4"/>
                <w:szCs w:val="24"/>
                <w:u w:val="none"/>
              </w:rPr>
            </w:pPr>
          </w:p>
        </w:tc>
      </w:tr>
      <w:tr w14:paraId="7509B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2D57A6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84" w:type="dxa"/>
            <w:tcBorders>
              <w:top w:val="single" w:color="000000" w:sz="4" w:space="0"/>
              <w:left w:val="single" w:color="000000" w:sz="4" w:space="0"/>
              <w:bottom w:val="single" w:color="000000" w:sz="4" w:space="0"/>
              <w:right w:val="nil"/>
            </w:tcBorders>
            <w:noWrap w:val="0"/>
            <w:vAlign w:val="center"/>
          </w:tcPr>
          <w:p w14:paraId="6F08C2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档案资料建立</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477B6A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85" w:type="dxa"/>
            <w:tcBorders>
              <w:top w:val="single" w:color="000000" w:sz="4" w:space="0"/>
              <w:left w:val="single" w:color="000000" w:sz="4" w:space="0"/>
              <w:bottom w:val="single" w:color="000000" w:sz="4" w:space="0"/>
              <w:right w:val="single" w:color="000000" w:sz="4" w:space="0"/>
            </w:tcBorders>
            <w:noWrap w:val="0"/>
            <w:vAlign w:val="center"/>
          </w:tcPr>
          <w:p w14:paraId="48C37B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组织机构、养护方案、管理制度、岗位职责、岗位规范、操作规程、养护进度、人员信息档案、巡查记录、打药记录每少一项扣1分。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59843E6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4"/>
                <w:szCs w:val="24"/>
                <w:u w:val="none"/>
              </w:rPr>
            </w:pPr>
          </w:p>
        </w:tc>
      </w:tr>
      <w:tr w14:paraId="692CC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70ACBE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358FF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植保</w:t>
            </w:r>
          </w:p>
          <w:p w14:paraId="09042A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防治</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174563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85" w:type="dxa"/>
            <w:tcBorders>
              <w:top w:val="single" w:color="000000" w:sz="4" w:space="0"/>
              <w:left w:val="single" w:color="000000" w:sz="4" w:space="0"/>
              <w:bottom w:val="single" w:color="000000" w:sz="4" w:space="0"/>
              <w:right w:val="single" w:color="000000" w:sz="4" w:space="0"/>
            </w:tcBorders>
            <w:noWrap w:val="0"/>
            <w:vAlign w:val="center"/>
          </w:tcPr>
          <w:p w14:paraId="2BEFF9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根据合同约定草坪、灌木、花卉、亚乔木（单株）、乔木（单株）病虫害最严重危害不得超过8％，超过每一处扣1分，发现病虫害严重并且防止不及时导致树木死亡每株扣2分；2.因病虫害导致苗木枯黄、长势差等现象，每株扣除0.1分；3.植保防治工作喷施农药前要提前2天报备学校，包括喷施农药种类，采取集中打药的方式，不得私自分片喷施农药，发现一次扣5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0FC0F10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4"/>
                <w:szCs w:val="24"/>
                <w:u w:val="none"/>
              </w:rPr>
            </w:pPr>
          </w:p>
        </w:tc>
      </w:tr>
      <w:tr w14:paraId="7741E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40280C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FDFEB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灌溉</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27016B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85" w:type="dxa"/>
            <w:tcBorders>
              <w:top w:val="single" w:color="000000" w:sz="4" w:space="0"/>
              <w:left w:val="single" w:color="000000" w:sz="4" w:space="0"/>
              <w:bottom w:val="single" w:color="000000" w:sz="4" w:space="0"/>
              <w:right w:val="single" w:color="000000" w:sz="4" w:space="0"/>
            </w:tcBorders>
            <w:noWrap w:val="0"/>
            <w:vAlign w:val="center"/>
          </w:tcPr>
          <w:p w14:paraId="6DDE7DD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根据不同植物、不同灌溉方式进行灌溉，乔木、亚乔木、灌木、花卉必须采取灌透。草坪采取喷灌，注重坡地、重要节点灌溉，若因灌溉不及时、不均匀造成草坪死亡的，每一处扣2分，造成枯黄的，每一处扣1分；造成灌木、花卉死亡的每一处扣2分，造成枯黄的，每一处扣1分；造成乔木、亚乔木死亡的，每一株扣2分，枯黄的每一处扣1分；2.灌溉井破损未报修每处扣1分，管道维修未及时恢复，每处扣0.5分。3.灌溉阀门井没有及时封盖每处扣0.5分。4.灌溉跑冒滴漏无人看管或无人解决扣0.5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0156F87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4"/>
                <w:szCs w:val="24"/>
                <w:u w:val="none"/>
              </w:rPr>
            </w:pPr>
          </w:p>
        </w:tc>
      </w:tr>
      <w:tr w14:paraId="54C8A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1DFB61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AE06D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修剪</w:t>
            </w:r>
          </w:p>
          <w:p w14:paraId="3FAB30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抹芽</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278976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85" w:type="dxa"/>
            <w:tcBorders>
              <w:top w:val="single" w:color="000000" w:sz="4" w:space="0"/>
              <w:left w:val="single" w:color="000000" w:sz="4" w:space="0"/>
              <w:bottom w:val="single" w:color="000000" w:sz="4" w:space="0"/>
              <w:right w:val="single" w:color="000000" w:sz="4" w:space="0"/>
            </w:tcBorders>
            <w:noWrap w:val="0"/>
            <w:vAlign w:val="center"/>
          </w:tcPr>
          <w:p w14:paraId="54B92D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1.干枝、断枝、病枝未清除、未涂抹伤口，每棵树扣0.1分；2.抹芽时分支点以上50cm以下新芽（不超过5cm）全部抹去，未做每棵树扣0.1分，检查点位整体未做扣除该分值平均分。3.草坪修剪后高度保持</w:t>
            </w:r>
            <w:r>
              <w:rPr>
                <w:rFonts w:hint="default"/>
                <w:sz w:val="24"/>
                <w:szCs w:val="24"/>
                <w:highlight w:val="none"/>
                <w:lang w:val="en-US" w:eastAsia="zh-CN"/>
              </w:rPr>
              <w:t>10cm</w:t>
            </w:r>
            <w:r>
              <w:rPr>
                <w:rFonts w:hint="eastAsia"/>
                <w:sz w:val="24"/>
                <w:szCs w:val="24"/>
                <w:highlight w:val="none"/>
                <w:lang w:val="en-US" w:eastAsia="zh-CN"/>
              </w:rPr>
              <w:t>左右</w:t>
            </w:r>
            <w:r>
              <w:rPr>
                <w:rFonts w:hint="eastAsia" w:ascii="宋体" w:hAnsi="宋体" w:eastAsia="宋体" w:cs="宋体"/>
                <w:i w:val="0"/>
                <w:iCs w:val="0"/>
                <w:color w:val="000000"/>
                <w:kern w:val="0"/>
                <w:sz w:val="24"/>
                <w:szCs w:val="24"/>
                <w:u w:val="none"/>
                <w:lang w:val="en-US" w:eastAsia="zh-CN" w:bidi="ar"/>
              </w:rPr>
              <w:t>，出现整体不平整每点位扣0.5分，出穗过多每点位扣0.5分。4.修剪后未及时清理修剪产生的枝叶每堆扣0.1分，未收拢该点位扣平均分值；5.绿篱修剪需面平边直，新枝不高于15cm，发现超10平方米以上每处扣0.5分，修剪后未清理该点位平均分值扣除，成堆未清出林地每堆扣0.2分；6.大林带、片林、经济林、空白地为割草高度超过20cm，每处扣除0.5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3FE6E8A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4"/>
                <w:szCs w:val="24"/>
                <w:u w:val="none"/>
              </w:rPr>
            </w:pPr>
          </w:p>
        </w:tc>
      </w:tr>
      <w:tr w14:paraId="3EC93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2DEE43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B0DED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除草</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1E3659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85" w:type="dxa"/>
            <w:tcBorders>
              <w:top w:val="single" w:color="000000" w:sz="4" w:space="0"/>
              <w:left w:val="single" w:color="000000" w:sz="4" w:space="0"/>
              <w:bottom w:val="single" w:color="000000" w:sz="4" w:space="0"/>
              <w:right w:val="single" w:color="000000" w:sz="4" w:space="0"/>
            </w:tcBorders>
            <w:noWrap w:val="0"/>
            <w:vAlign w:val="center"/>
          </w:tcPr>
          <w:p w14:paraId="494D76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1.空白地杂草高度保持15-25cm，超高或低于要求高度杂草未修剪的每处扣0.2分；2.道路、林床、节点、重点区域杂草未清除干净的每处1分；3.灌木、草坪、花卉内杂草需及时拔除，未拔每10</w:t>
            </w:r>
            <w:r>
              <w:rPr>
                <w:rStyle w:val="10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扣0.2分。4.出现菟丝子需及时拔出，未做每点扣0.5分，禁止药物防治。</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3A38F58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4"/>
                <w:szCs w:val="24"/>
                <w:u w:val="none"/>
              </w:rPr>
            </w:pPr>
          </w:p>
        </w:tc>
      </w:tr>
      <w:tr w14:paraId="285F0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2FC85D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A43E1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草坪、花卉补植</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14B2F1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85" w:type="dxa"/>
            <w:tcBorders>
              <w:top w:val="single" w:color="000000" w:sz="4" w:space="0"/>
              <w:left w:val="single" w:color="000000" w:sz="4" w:space="0"/>
              <w:bottom w:val="single" w:color="000000" w:sz="4" w:space="0"/>
              <w:right w:val="single" w:color="000000" w:sz="4" w:space="0"/>
            </w:tcBorders>
            <w:noWrap w:val="0"/>
            <w:vAlign w:val="center"/>
          </w:tcPr>
          <w:p w14:paraId="6D9B7D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1.春季种植花卉，因踩踏等原因死亡的草坪，要及时补植，未补植的，每处扣0.5分，补植效果不明显的，每处扣0.2分；2.草坪、花卉因养护不善出现斑秃情况，每处扣0.2分。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53DB8B1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4"/>
                <w:szCs w:val="24"/>
                <w:u w:val="none"/>
              </w:rPr>
            </w:pPr>
          </w:p>
        </w:tc>
      </w:tr>
      <w:tr w14:paraId="3116D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73EE88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C368E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死苗</w:t>
            </w:r>
          </w:p>
          <w:p w14:paraId="04335B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27D0EC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985" w:type="dxa"/>
            <w:tcBorders>
              <w:top w:val="single" w:color="000000" w:sz="4" w:space="0"/>
              <w:left w:val="single" w:color="000000" w:sz="4" w:space="0"/>
              <w:bottom w:val="single" w:color="000000" w:sz="4" w:space="0"/>
              <w:right w:val="single" w:color="000000" w:sz="4" w:space="0"/>
            </w:tcBorders>
            <w:noWrap w:val="0"/>
            <w:vAlign w:val="center"/>
          </w:tcPr>
          <w:p w14:paraId="336D03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1.灌木、亚乔木、乔木死苗如实向学校报备，学校派人核实后，及时清理，未报备私自清理的，每株扣0.5分，报备后未及时清理的扣0.2分；2.下发整改通知未及时响应清理的，扣0.3分。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07D3FD9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4"/>
                <w:szCs w:val="24"/>
                <w:u w:val="none"/>
              </w:rPr>
            </w:pPr>
          </w:p>
        </w:tc>
      </w:tr>
      <w:tr w14:paraId="3D385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52037C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B7B2C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维修</w:t>
            </w:r>
          </w:p>
          <w:p w14:paraId="6F5A57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5F6135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985" w:type="dxa"/>
            <w:tcBorders>
              <w:top w:val="single" w:color="000000" w:sz="4" w:space="0"/>
              <w:left w:val="single" w:color="000000" w:sz="4" w:space="0"/>
              <w:bottom w:val="single" w:color="000000" w:sz="4" w:space="0"/>
              <w:right w:val="single" w:color="000000" w:sz="4" w:space="0"/>
            </w:tcBorders>
            <w:noWrap w:val="0"/>
            <w:vAlign w:val="center"/>
          </w:tcPr>
          <w:p w14:paraId="5750D9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管网抢修工作不过夜，用最短时间完成，出现长时间不维修，每拖延一日月总分扣0.5分；2.机械、设备及时修理，未及时修理，影响工作进度每次扣0.5分；3.绿化苗木铭牌、宣传牌扶正、清理工作，每发现倒伏、损坏每一处扣0.1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4A385F3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4"/>
                <w:szCs w:val="24"/>
                <w:u w:val="none"/>
              </w:rPr>
            </w:pPr>
          </w:p>
        </w:tc>
      </w:tr>
      <w:tr w14:paraId="59AD1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0992A0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D21F7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w:t>
            </w:r>
          </w:p>
          <w:p w14:paraId="4A110B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1009E5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85" w:type="dxa"/>
            <w:tcBorders>
              <w:top w:val="single" w:color="000000" w:sz="4" w:space="0"/>
              <w:left w:val="single" w:color="000000" w:sz="4" w:space="0"/>
              <w:bottom w:val="single" w:color="000000" w:sz="4" w:space="0"/>
              <w:right w:val="single" w:color="000000" w:sz="4" w:space="0"/>
            </w:tcBorders>
            <w:noWrap w:val="0"/>
            <w:vAlign w:val="center"/>
          </w:tcPr>
          <w:p w14:paraId="6336DB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完成学校交付的重要事情，出现不配合，不服从，每次扣除0.5分；2.学校下发整改通知书，未限期整改的，每次扣除0.5分，从始至终未整改的，一个问题扣除1分。3.其他学校需要其配合地完成的工作，未办结的，一项扣0.5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5039CE1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4"/>
                <w:szCs w:val="24"/>
                <w:u w:val="none"/>
              </w:rPr>
            </w:pPr>
          </w:p>
        </w:tc>
      </w:tr>
      <w:tr w14:paraId="1F795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965" w:type="dxa"/>
            <w:gridSpan w:val="3"/>
            <w:tcBorders>
              <w:top w:val="single" w:color="000000" w:sz="4" w:space="0"/>
              <w:left w:val="single" w:color="000000" w:sz="4" w:space="0"/>
              <w:bottom w:val="single" w:color="000000" w:sz="4" w:space="0"/>
              <w:right w:val="single" w:color="000000" w:sz="4" w:space="0"/>
            </w:tcBorders>
            <w:noWrap w:val="0"/>
            <w:vAlign w:val="center"/>
          </w:tcPr>
          <w:p w14:paraId="6EB139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得分</w:t>
            </w:r>
          </w:p>
        </w:tc>
        <w:tc>
          <w:tcPr>
            <w:tcW w:w="5985" w:type="dxa"/>
            <w:tcBorders>
              <w:top w:val="single" w:color="000000" w:sz="4" w:space="0"/>
              <w:left w:val="single" w:color="000000" w:sz="4" w:space="0"/>
              <w:bottom w:val="single" w:color="000000" w:sz="4" w:space="0"/>
              <w:right w:val="single" w:color="000000" w:sz="4" w:space="0"/>
            </w:tcBorders>
            <w:noWrap w:val="0"/>
            <w:vAlign w:val="center"/>
          </w:tcPr>
          <w:p w14:paraId="74EF3D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总得分=100-总扣分=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6BA57DB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4"/>
                <w:szCs w:val="24"/>
                <w:u w:val="none"/>
              </w:rPr>
            </w:pPr>
          </w:p>
        </w:tc>
      </w:tr>
      <w:tr w14:paraId="4241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96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C34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考核结果</w:t>
            </w:r>
          </w:p>
        </w:tc>
        <w:tc>
          <w:tcPr>
            <w:tcW w:w="59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278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按月考核，共计考核7次。</w:t>
            </w:r>
          </w:p>
          <w:p w14:paraId="568553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考核总分≥95分，当月合格；</w:t>
            </w:r>
          </w:p>
          <w:p w14:paraId="49907D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bookmarkStart w:id="132" w:name="OLE_LINK5"/>
            <w:r>
              <w:rPr>
                <w:rFonts w:hint="eastAsia" w:ascii="宋体" w:hAnsi="宋体" w:eastAsia="宋体" w:cs="宋体"/>
                <w:i w:val="0"/>
                <w:iCs w:val="0"/>
                <w:color w:val="000000"/>
                <w:kern w:val="0"/>
                <w:sz w:val="24"/>
                <w:szCs w:val="24"/>
                <w:u w:val="none"/>
                <w:lang w:val="en-US" w:eastAsia="zh-CN" w:bidi="ar"/>
              </w:rPr>
              <w:t>85分</w:t>
            </w:r>
            <w:bookmarkStart w:id="133" w:name="OLE_LINK6"/>
            <w:r>
              <w:rPr>
                <w:rFonts w:hint="eastAsia" w:ascii="宋体" w:hAnsi="宋体" w:eastAsia="宋体" w:cs="宋体"/>
                <w:i w:val="0"/>
                <w:iCs w:val="0"/>
                <w:color w:val="000000"/>
                <w:kern w:val="0"/>
                <w:sz w:val="24"/>
                <w:szCs w:val="24"/>
                <w:u w:val="none"/>
                <w:lang w:val="en-US" w:eastAsia="zh-CN" w:bidi="ar"/>
              </w:rPr>
              <w:t>≤</w:t>
            </w:r>
            <w:bookmarkEnd w:id="133"/>
            <w:r>
              <w:rPr>
                <w:rFonts w:hint="eastAsia" w:ascii="宋体" w:hAnsi="宋体" w:eastAsia="宋体" w:cs="宋体"/>
                <w:i w:val="0"/>
                <w:iCs w:val="0"/>
                <w:color w:val="000000"/>
                <w:kern w:val="0"/>
                <w:sz w:val="24"/>
                <w:szCs w:val="24"/>
                <w:u w:val="none"/>
                <w:lang w:val="en-US" w:eastAsia="zh-CN" w:bidi="ar"/>
              </w:rPr>
              <w:t>考核总分＜95分，当月扣款合同款5000元；</w:t>
            </w:r>
          </w:p>
          <w:bookmarkEnd w:id="132"/>
          <w:p w14:paraId="5A53A2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bookmarkStart w:id="134" w:name="OLE_LINK7"/>
            <w:r>
              <w:rPr>
                <w:rFonts w:hint="eastAsia" w:ascii="宋体" w:hAnsi="宋体" w:eastAsia="宋体" w:cs="宋体"/>
                <w:i w:val="0"/>
                <w:iCs w:val="0"/>
                <w:color w:val="000000"/>
                <w:kern w:val="0"/>
                <w:sz w:val="24"/>
                <w:szCs w:val="24"/>
                <w:u w:val="none"/>
                <w:lang w:val="en-US" w:eastAsia="zh-CN" w:bidi="ar"/>
              </w:rPr>
              <w:t>75分≤考核总分</w:t>
            </w:r>
            <w:bookmarkStart w:id="135" w:name="OLE_LINK8"/>
            <w:r>
              <w:rPr>
                <w:rFonts w:hint="eastAsia" w:ascii="宋体" w:hAnsi="宋体" w:eastAsia="宋体" w:cs="宋体"/>
                <w:i w:val="0"/>
                <w:iCs w:val="0"/>
                <w:color w:val="000000"/>
                <w:kern w:val="0"/>
                <w:sz w:val="24"/>
                <w:szCs w:val="24"/>
                <w:u w:val="none"/>
                <w:lang w:val="en-US" w:eastAsia="zh-CN" w:bidi="ar"/>
              </w:rPr>
              <w:t>＜</w:t>
            </w:r>
            <w:bookmarkEnd w:id="135"/>
            <w:r>
              <w:rPr>
                <w:rFonts w:hint="eastAsia" w:ascii="宋体" w:hAnsi="宋体" w:eastAsia="宋体" w:cs="宋体"/>
                <w:i w:val="0"/>
                <w:iCs w:val="0"/>
                <w:color w:val="000000"/>
                <w:kern w:val="0"/>
                <w:sz w:val="24"/>
                <w:szCs w:val="24"/>
                <w:u w:val="none"/>
                <w:lang w:val="en-US" w:eastAsia="zh-CN" w:bidi="ar"/>
              </w:rPr>
              <w:t>85分，当月扣款10000元；</w:t>
            </w:r>
          </w:p>
          <w:bookmarkEnd w:id="134"/>
          <w:p w14:paraId="1562E6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bookmarkStart w:id="136" w:name="OLE_LINK9"/>
            <w:r>
              <w:rPr>
                <w:rFonts w:hint="eastAsia" w:ascii="宋体" w:hAnsi="宋体" w:eastAsia="宋体" w:cs="宋体"/>
                <w:i w:val="0"/>
                <w:iCs w:val="0"/>
                <w:color w:val="000000"/>
                <w:kern w:val="0"/>
                <w:sz w:val="24"/>
                <w:szCs w:val="24"/>
                <w:u w:val="none"/>
                <w:lang w:val="en-US" w:eastAsia="zh-CN" w:bidi="ar"/>
              </w:rPr>
              <w:t>考核总分＜75分</w:t>
            </w:r>
            <w:bookmarkEnd w:id="136"/>
            <w:r>
              <w:rPr>
                <w:rFonts w:hint="eastAsia" w:ascii="宋体" w:hAnsi="宋体" w:eastAsia="宋体" w:cs="宋体"/>
                <w:i w:val="0"/>
                <w:iCs w:val="0"/>
                <w:color w:val="000000"/>
                <w:kern w:val="0"/>
                <w:sz w:val="24"/>
                <w:szCs w:val="24"/>
                <w:u w:val="none"/>
                <w:lang w:val="en-US" w:eastAsia="zh-CN" w:bidi="ar"/>
              </w:rPr>
              <w:t>，甲方有权扣除合同价款的10%，并由乙方赔偿所有损失。</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52A29EA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4"/>
                <w:szCs w:val="24"/>
                <w:u w:val="none"/>
              </w:rPr>
            </w:pPr>
          </w:p>
        </w:tc>
      </w:tr>
    </w:tbl>
    <w:p w14:paraId="28AB31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b/>
          <w:bCs/>
          <w:sz w:val="24"/>
          <w:szCs w:val="24"/>
          <w:highlight w:val="none"/>
          <w:lang w:val="en-US" w:eastAsia="zh-CN"/>
        </w:rPr>
      </w:pPr>
      <w:r>
        <w:rPr>
          <w:rFonts w:hint="eastAsia"/>
          <w:b/>
          <w:bCs/>
          <w:sz w:val="24"/>
          <w:szCs w:val="24"/>
          <w:highlight w:val="none"/>
          <w:lang w:val="en-US" w:eastAsia="zh-CN"/>
        </w:rPr>
        <w:t>六、付款方式</w:t>
      </w:r>
    </w:p>
    <w:p w14:paraId="0F133B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default"/>
          <w:sz w:val="24"/>
          <w:szCs w:val="24"/>
          <w:highlight w:val="none"/>
          <w:lang w:val="en-US" w:eastAsia="zh-CN"/>
        </w:rPr>
        <w:t>按照时间周期进行付款，自合同签订并养护至3个月，期间符合甲方执行要求，支付合同款项的50%；待整体养护周期结束并验收合格后，支付合同款剩余部分。</w:t>
      </w:r>
    </w:p>
    <w:p w14:paraId="188072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highlight w:val="none"/>
          <w:lang w:val="en-US" w:eastAsia="zh-CN"/>
        </w:rPr>
      </w:pPr>
    </w:p>
    <w:p w14:paraId="0ABFE488">
      <w:pPr>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br w:type="page"/>
      </w:r>
    </w:p>
    <w:p w14:paraId="51E6E338">
      <w:pPr>
        <w:pStyle w:val="10"/>
        <w:rPr>
          <w:rFonts w:hint="eastAsia" w:ascii="宋体" w:hAnsi="宋体" w:eastAsia="宋体" w:cs="宋体"/>
          <w:color w:val="auto"/>
          <w:highlight w:val="none"/>
        </w:rPr>
      </w:pPr>
    </w:p>
    <w:p w14:paraId="7383DB35">
      <w:pPr>
        <w:pStyle w:val="10"/>
        <w:rPr>
          <w:rFonts w:hint="eastAsia" w:ascii="宋体" w:hAnsi="宋体" w:eastAsia="宋体" w:cs="宋体"/>
          <w:color w:val="auto"/>
          <w:highlight w:val="none"/>
        </w:rPr>
      </w:pPr>
    </w:p>
    <w:p w14:paraId="5ECCD5B3">
      <w:pPr>
        <w:widowControl/>
        <w:numPr>
          <w:ilvl w:val="0"/>
          <w:numId w:val="5"/>
        </w:numPr>
        <w:suppressAutoHyphens w:val="0"/>
        <w:spacing w:line="480" w:lineRule="exact"/>
        <w:ind w:left="0" w:leftChars="0" w:firstLine="0" w:firstLineChars="0"/>
        <w:jc w:val="center"/>
        <w:outlineLvl w:val="0"/>
        <w:rPr>
          <w:rStyle w:val="39"/>
          <w:rFonts w:hint="eastAsia" w:ascii="宋体" w:hAnsi="宋体" w:eastAsia="宋体" w:cs="宋体"/>
          <w:color w:val="auto"/>
          <w:highlight w:val="none"/>
        </w:rPr>
      </w:pPr>
      <w:bookmarkStart w:id="137" w:name="_Toc27504"/>
      <w:r>
        <w:rPr>
          <w:rStyle w:val="39"/>
          <w:rFonts w:hint="eastAsia" w:ascii="宋体" w:hAnsi="宋体" w:eastAsia="宋体" w:cs="宋体"/>
          <w:color w:val="auto"/>
          <w:highlight w:val="none"/>
        </w:rPr>
        <w:t>合同条款</w:t>
      </w:r>
      <w:bookmarkEnd w:id="137"/>
    </w:p>
    <w:p w14:paraId="28A37123">
      <w:pPr>
        <w:tabs>
          <w:tab w:val="left" w:pos="5812"/>
          <w:tab w:val="left" w:pos="5954"/>
          <w:tab w:val="left" w:pos="6237"/>
        </w:tabs>
        <w:spacing w:line="520" w:lineRule="exact"/>
        <w:ind w:firstLine="5265"/>
        <w:jc w:val="center"/>
        <w:rPr>
          <w:rFonts w:hint="eastAsia" w:ascii="宋体" w:hAnsi="宋体" w:eastAsia="宋体" w:cs="宋体"/>
          <w:bCs/>
          <w:color w:val="auto"/>
          <w:highlight w:val="none"/>
          <w:lang w:val="en-US" w:eastAsia="zh-CN"/>
        </w:rPr>
      </w:pPr>
      <w:bookmarkStart w:id="138" w:name="_Toc28125"/>
      <w:r>
        <w:rPr>
          <w:rFonts w:hint="eastAsia" w:ascii="宋体" w:hAnsi="宋体" w:eastAsia="宋体" w:cs="宋体"/>
          <w:bCs/>
          <w:color w:val="auto"/>
          <w:highlight w:val="none"/>
        </w:rPr>
        <w:t xml:space="preserve"> </w:t>
      </w:r>
      <w:r>
        <w:rPr>
          <w:rFonts w:hint="eastAsia" w:ascii="宋体" w:hAnsi="宋体" w:eastAsia="宋体" w:cs="宋体"/>
          <w:bCs/>
          <w:color w:val="auto"/>
          <w:sz w:val="21"/>
          <w:szCs w:val="21"/>
          <w:highlight w:val="none"/>
        </w:rPr>
        <w:t>合同编号：</w:t>
      </w:r>
      <w:r>
        <w:rPr>
          <w:rFonts w:hint="eastAsia" w:ascii="宋体" w:hAnsi="宋体" w:eastAsia="宋体" w:cs="宋体"/>
          <w:bCs/>
          <w:color w:val="auto"/>
          <w:highlight w:val="none"/>
          <w:lang w:val="en-US" w:eastAsia="zh-CN"/>
        </w:rPr>
        <w:t xml:space="preserve">  </w:t>
      </w:r>
    </w:p>
    <w:p w14:paraId="1DDB7D94">
      <w:pPr>
        <w:spacing w:line="560" w:lineRule="exact"/>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(此合同为模版，具体签订合同依照采购文件与响应文件，甲乙双方协商为准)</w:t>
      </w:r>
    </w:p>
    <w:p w14:paraId="6522DEFF">
      <w:pPr>
        <w:tabs>
          <w:tab w:val="left" w:pos="5812"/>
          <w:tab w:val="left" w:pos="5954"/>
          <w:tab w:val="left" w:pos="6237"/>
        </w:tabs>
        <w:spacing w:line="520" w:lineRule="exact"/>
        <w:ind w:firstLine="5265"/>
        <w:jc w:val="center"/>
        <w:rPr>
          <w:rFonts w:hint="eastAsia" w:ascii="宋体" w:hAnsi="宋体" w:eastAsia="宋体" w:cs="宋体"/>
          <w:bCs/>
          <w:color w:val="auto"/>
          <w:highlight w:val="none"/>
        </w:rPr>
      </w:pPr>
    </w:p>
    <w:p w14:paraId="0DAB059C">
      <w:pPr>
        <w:spacing w:line="560" w:lineRule="exact"/>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新疆医科大学2025雪莲山山体绿化养护服务项目合同书</w:t>
      </w:r>
    </w:p>
    <w:p w14:paraId="555054DB">
      <w:pPr>
        <w:spacing w:line="560" w:lineRule="exact"/>
        <w:jc w:val="left"/>
        <w:rPr>
          <w:rFonts w:hint="eastAsia" w:ascii="宋体" w:hAnsi="宋体" w:eastAsia="宋体" w:cs="宋体"/>
          <w:color w:val="FF0000"/>
          <w:sz w:val="30"/>
          <w:szCs w:val="30"/>
          <w:highlight w:val="none"/>
          <w:lang w:val="en-US" w:eastAsia="zh-CN"/>
        </w:rPr>
      </w:pPr>
    </w:p>
    <w:p w14:paraId="185C86E1">
      <w:pPr>
        <w:spacing w:line="560" w:lineRule="exact"/>
        <w:ind w:firstLine="1350" w:firstLineChars="450"/>
        <w:jc w:val="left"/>
        <w:rPr>
          <w:rFonts w:hint="eastAsia" w:ascii="宋体" w:hAnsi="宋体" w:eastAsia="宋体" w:cs="宋体"/>
          <w:color w:val="auto"/>
          <w:sz w:val="30"/>
          <w:szCs w:val="30"/>
          <w:highlight w:val="none"/>
        </w:rPr>
      </w:pPr>
    </w:p>
    <w:p w14:paraId="1EA80314">
      <w:pPr>
        <w:spacing w:line="560" w:lineRule="exact"/>
        <w:ind w:firstLine="1350" w:firstLineChars="450"/>
        <w:jc w:val="left"/>
        <w:rPr>
          <w:rFonts w:hint="eastAsia" w:ascii="宋体" w:hAnsi="宋体" w:eastAsia="宋体" w:cs="宋体"/>
          <w:color w:val="auto"/>
          <w:sz w:val="30"/>
          <w:szCs w:val="30"/>
          <w:highlight w:val="none"/>
        </w:rPr>
      </w:pPr>
    </w:p>
    <w:p w14:paraId="06D83508">
      <w:pPr>
        <w:spacing w:line="560" w:lineRule="exact"/>
        <w:ind w:firstLine="1350" w:firstLineChars="45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lang w:val="en-US" w:eastAsia="zh-CN"/>
        </w:rPr>
        <w:t>委托</w:t>
      </w:r>
      <w:r>
        <w:rPr>
          <w:rFonts w:hint="eastAsia" w:ascii="宋体" w:hAnsi="宋体" w:eastAsia="宋体" w:cs="宋体"/>
          <w:color w:val="auto"/>
          <w:sz w:val="30"/>
          <w:szCs w:val="30"/>
          <w:highlight w:val="none"/>
        </w:rPr>
        <w:t>方：新疆医科大学</w:t>
      </w:r>
    </w:p>
    <w:p w14:paraId="0553650E">
      <w:pPr>
        <w:spacing w:line="560" w:lineRule="exact"/>
        <w:ind w:firstLine="1350" w:firstLineChars="450"/>
        <w:jc w:val="left"/>
        <w:rPr>
          <w:rFonts w:hint="eastAsia" w:ascii="宋体" w:hAnsi="宋体" w:eastAsia="宋体" w:cs="宋体"/>
          <w:color w:val="auto"/>
          <w:sz w:val="30"/>
          <w:szCs w:val="30"/>
          <w:highlight w:val="none"/>
        </w:rPr>
      </w:pPr>
    </w:p>
    <w:p w14:paraId="75A94F6F">
      <w:pPr>
        <w:spacing w:line="560" w:lineRule="exact"/>
        <w:ind w:firstLine="1350" w:firstLineChars="45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lang w:val="en-US" w:eastAsia="zh-CN"/>
        </w:rPr>
        <w:t>服务</w:t>
      </w:r>
      <w:r>
        <w:rPr>
          <w:rFonts w:hint="eastAsia" w:ascii="宋体" w:hAnsi="宋体" w:eastAsia="宋体" w:cs="宋体"/>
          <w:color w:val="auto"/>
          <w:sz w:val="30"/>
          <w:szCs w:val="30"/>
          <w:highlight w:val="none"/>
        </w:rPr>
        <w:t>方：</w:t>
      </w:r>
    </w:p>
    <w:p w14:paraId="3A3D4DCF">
      <w:pPr>
        <w:spacing w:line="560" w:lineRule="exact"/>
        <w:ind w:firstLine="1350" w:firstLineChars="450"/>
        <w:jc w:val="left"/>
        <w:rPr>
          <w:rFonts w:hint="eastAsia" w:ascii="宋体" w:hAnsi="宋体" w:eastAsia="宋体" w:cs="宋体"/>
          <w:color w:val="auto"/>
          <w:sz w:val="30"/>
          <w:szCs w:val="30"/>
          <w:highlight w:val="none"/>
        </w:rPr>
      </w:pPr>
    </w:p>
    <w:p w14:paraId="357FD6C5">
      <w:pPr>
        <w:spacing w:line="560" w:lineRule="exact"/>
        <w:ind w:firstLine="1350" w:firstLineChars="45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签约地点：新疆乌鲁木齐市</w:t>
      </w:r>
    </w:p>
    <w:p w14:paraId="3EAC0C7B">
      <w:pPr>
        <w:spacing w:line="560" w:lineRule="exact"/>
        <w:ind w:firstLine="1350" w:firstLineChars="450"/>
        <w:jc w:val="left"/>
        <w:rPr>
          <w:rFonts w:hint="eastAsia" w:ascii="宋体" w:hAnsi="宋体" w:eastAsia="宋体" w:cs="宋体"/>
          <w:color w:val="auto"/>
          <w:sz w:val="30"/>
          <w:szCs w:val="30"/>
          <w:highlight w:val="none"/>
        </w:rPr>
      </w:pPr>
    </w:p>
    <w:p w14:paraId="19359D03">
      <w:pPr>
        <w:spacing w:line="560" w:lineRule="exact"/>
        <w:ind w:firstLine="1350" w:firstLineChars="450"/>
        <w:jc w:val="left"/>
        <w:rPr>
          <w:rFonts w:hint="eastAsia" w:ascii="宋体" w:hAnsi="宋体" w:eastAsia="宋体" w:cs="宋体"/>
          <w:color w:val="C00000"/>
          <w:sz w:val="30"/>
          <w:szCs w:val="30"/>
          <w:highlight w:val="none"/>
        </w:rPr>
      </w:pPr>
      <w:r>
        <w:rPr>
          <w:rFonts w:hint="eastAsia" w:ascii="宋体" w:hAnsi="宋体" w:eastAsia="宋体" w:cs="宋体"/>
          <w:color w:val="auto"/>
          <w:sz w:val="30"/>
          <w:szCs w:val="30"/>
          <w:highlight w:val="none"/>
        </w:rPr>
        <w:t>签约日期：</w:t>
      </w:r>
      <w:r>
        <w:rPr>
          <w:rFonts w:hint="eastAsia" w:ascii="宋体" w:hAnsi="宋体" w:eastAsia="宋体" w:cs="宋体"/>
          <w:color w:val="C00000"/>
          <w:sz w:val="30"/>
          <w:szCs w:val="30"/>
          <w:highlight w:val="none"/>
        </w:rPr>
        <w:t xml:space="preserve">  </w:t>
      </w:r>
    </w:p>
    <w:p w14:paraId="00D99612">
      <w:pPr>
        <w:pStyle w:val="7"/>
        <w:rPr>
          <w:rFonts w:hint="eastAsia" w:ascii="宋体" w:hAnsi="宋体" w:eastAsia="宋体" w:cs="宋体"/>
        </w:rPr>
      </w:pPr>
    </w:p>
    <w:p w14:paraId="42426A75">
      <w:pPr>
        <w:spacing w:line="560" w:lineRule="exact"/>
        <w:ind w:firstLine="1350" w:firstLineChars="450"/>
        <w:jc w:val="left"/>
        <w:rPr>
          <w:rFonts w:hint="default" w:ascii="宋体" w:hAnsi="宋体" w:eastAsia="宋体" w:cs="宋体"/>
          <w:color w:val="FF0000"/>
          <w:sz w:val="30"/>
          <w:szCs w:val="30"/>
          <w:highlight w:val="none"/>
          <w:lang w:val="en-US" w:eastAsia="zh-CN"/>
        </w:rPr>
      </w:pPr>
      <w:r>
        <w:rPr>
          <w:rFonts w:hint="eastAsia" w:ascii="宋体" w:hAnsi="宋体" w:eastAsia="宋体" w:cs="宋体"/>
          <w:color w:val="auto"/>
          <w:sz w:val="30"/>
          <w:szCs w:val="30"/>
          <w:highlight w:val="none"/>
          <w:lang w:val="en-US" w:eastAsia="zh-CN"/>
        </w:rPr>
        <w:t>律审</w:t>
      </w:r>
      <w:r>
        <w:rPr>
          <w:rFonts w:hint="eastAsia" w:ascii="宋体" w:hAnsi="宋体" w:eastAsia="宋体" w:cs="宋体"/>
          <w:color w:val="auto"/>
          <w:sz w:val="30"/>
          <w:szCs w:val="30"/>
          <w:highlight w:val="none"/>
        </w:rPr>
        <w:t>编号：</w:t>
      </w:r>
    </w:p>
    <w:p w14:paraId="5FEFE98E">
      <w:pPr>
        <w:spacing w:line="560" w:lineRule="exact"/>
        <w:rPr>
          <w:rFonts w:hint="eastAsia" w:ascii="宋体" w:hAnsi="宋体" w:eastAsia="宋体" w:cs="宋体"/>
          <w:color w:val="auto"/>
          <w:sz w:val="24"/>
          <w:highlight w:val="none"/>
        </w:rPr>
      </w:pPr>
    </w:p>
    <w:p w14:paraId="1782B1C1">
      <w:pPr>
        <w:spacing w:line="560" w:lineRule="exact"/>
        <w:rPr>
          <w:rFonts w:hint="eastAsia" w:ascii="宋体" w:hAnsi="宋体" w:eastAsia="宋体" w:cs="宋体"/>
          <w:color w:val="auto"/>
          <w:sz w:val="24"/>
          <w:highlight w:val="none"/>
        </w:rPr>
      </w:pPr>
    </w:p>
    <w:p w14:paraId="6204E0B3">
      <w:pPr>
        <w:spacing w:line="360" w:lineRule="auto"/>
        <w:jc w:val="both"/>
        <w:rPr>
          <w:rFonts w:hint="eastAsia" w:ascii="宋体" w:hAnsi="宋体" w:eastAsia="宋体" w:cs="宋体"/>
          <w:color w:val="FF0000"/>
          <w:sz w:val="36"/>
          <w:szCs w:val="36"/>
          <w:highlight w:val="none"/>
        </w:rPr>
      </w:pPr>
    </w:p>
    <w:p w14:paraId="122F4967">
      <w:pPr>
        <w:spacing w:line="360" w:lineRule="auto"/>
        <w:ind w:firstLine="2520" w:firstLineChars="700"/>
        <w:jc w:val="both"/>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二</w:t>
      </w:r>
      <w:r>
        <w:rPr>
          <w:rFonts w:hint="eastAsia" w:ascii="宋体" w:hAnsi="宋体" w:eastAsia="宋体" w:cs="宋体"/>
          <w:color w:val="auto"/>
          <w:sz w:val="36"/>
          <w:szCs w:val="36"/>
          <w:highlight w:val="none"/>
          <w:lang w:val="en-US" w:eastAsia="zh-CN"/>
        </w:rPr>
        <w:t>〇</w:t>
      </w:r>
      <w:r>
        <w:rPr>
          <w:rFonts w:hint="eastAsia" w:ascii="宋体" w:hAnsi="宋体" w:eastAsia="宋体" w:cs="宋体"/>
          <w:color w:val="auto"/>
          <w:sz w:val="36"/>
          <w:szCs w:val="36"/>
          <w:highlight w:val="none"/>
        </w:rPr>
        <w:t>二</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年  月</w:t>
      </w:r>
    </w:p>
    <w:p w14:paraId="191C28C7">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p>
    <w:p w14:paraId="0D44343A">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cs="宋体"/>
          <w:color w:val="auto"/>
          <w:sz w:val="24"/>
          <w:szCs w:val="24"/>
          <w:highlight w:val="none"/>
          <w:lang w:val="en-US" w:eastAsia="zh-CN"/>
        </w:rPr>
        <w:t>委托</w:t>
      </w:r>
      <w:r>
        <w:rPr>
          <w:rFonts w:hint="eastAsia" w:ascii="宋体" w:hAnsi="宋体" w:eastAsia="宋体" w:cs="宋体"/>
          <w:color w:val="auto"/>
          <w:sz w:val="24"/>
          <w:szCs w:val="24"/>
          <w:highlight w:val="none"/>
        </w:rPr>
        <w:t>方）：新疆医科大学</w:t>
      </w:r>
    </w:p>
    <w:p w14:paraId="36A0C1AB">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乌鲁木齐市水磨沟区尚德北路567号</w:t>
      </w:r>
    </w:p>
    <w:p w14:paraId="4100B3B9">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电话：</w:t>
      </w:r>
    </w:p>
    <w:p w14:paraId="503A2B37">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p>
    <w:p w14:paraId="12C00238">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cs="宋体"/>
          <w:color w:val="auto"/>
          <w:sz w:val="24"/>
          <w:szCs w:val="24"/>
          <w:highlight w:val="none"/>
          <w:lang w:val="en-US" w:eastAsia="zh-CN"/>
        </w:rPr>
        <w:t>服务方</w:t>
      </w:r>
      <w:r>
        <w:rPr>
          <w:rFonts w:hint="eastAsia" w:ascii="宋体" w:hAnsi="宋体" w:eastAsia="宋体" w:cs="宋体"/>
          <w:color w:val="auto"/>
          <w:sz w:val="24"/>
          <w:szCs w:val="24"/>
          <w:highlight w:val="none"/>
        </w:rPr>
        <w:t>）：</w:t>
      </w:r>
    </w:p>
    <w:p w14:paraId="330308DE">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5258BEAC">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055D47E0">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p>
    <w:p w14:paraId="00A3DFE4">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新疆医科大学（以下简称甲方）与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（以下简称乙方）就</w:t>
      </w:r>
      <w:r>
        <w:rPr>
          <w:rFonts w:hint="eastAsia" w:ascii="宋体" w:hAnsi="宋体" w:eastAsia="宋体" w:cs="宋体"/>
          <w:color w:val="auto"/>
          <w:sz w:val="24"/>
          <w:szCs w:val="24"/>
          <w:highlight w:val="none"/>
          <w:u w:val="single"/>
        </w:rPr>
        <w:t xml:space="preserve"> 新疆医科大学2025雪莲山山体绿化养护服务项目</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事宜，根据《中华人民共和国民法典》《中华人民共和国政府采购法》等规定，本着平等、自愿、互利、互惠的原则，经</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rPr>
        <w:t>方协商一致，订立本合同。</w:t>
      </w:r>
    </w:p>
    <w:p w14:paraId="5A8D9604">
      <w:pPr>
        <w:keepNext w:val="0"/>
        <w:keepLines w:val="0"/>
        <w:pageBreakBefore w:val="0"/>
        <w:kinsoku/>
        <w:wordWrap/>
        <w:overflowPunct/>
        <w:topLinePunct w:val="0"/>
        <w:autoSpaceDE/>
        <w:autoSpaceDN/>
        <w:bidi w:val="0"/>
        <w:adjustRightInd/>
        <w:snapToGrid/>
        <w:spacing w:beforeAutospacing="0" w:afterAutospacing="0" w:line="400" w:lineRule="exact"/>
        <w:ind w:firstLine="482" w:firstLineChars="200"/>
        <w:jc w:val="left"/>
        <w:textAlignment w:val="auto"/>
        <w:rPr>
          <w:rFonts w:hint="eastAsia" w:ascii="宋体" w:hAnsi="宋体" w:cs="宋体"/>
          <w:b/>
          <w:bCs/>
          <w:color w:val="auto"/>
          <w:sz w:val="24"/>
          <w:szCs w:val="24"/>
          <w:highlight w:val="none"/>
          <w:lang w:val="en-US" w:eastAsia="zh-CN"/>
        </w:rPr>
      </w:pPr>
    </w:p>
    <w:p w14:paraId="4EC52AFB">
      <w:pPr>
        <w:keepNext w:val="0"/>
        <w:keepLines w:val="0"/>
        <w:pageBreakBefore w:val="0"/>
        <w:numPr>
          <w:ilvl w:val="0"/>
          <w:numId w:val="7"/>
        </w:numPr>
        <w:kinsoku/>
        <w:wordWrap/>
        <w:overflowPunct/>
        <w:topLinePunct w:val="0"/>
        <w:autoSpaceDE/>
        <w:autoSpaceDN/>
        <w:bidi w:val="0"/>
        <w:adjustRightInd/>
        <w:snapToGrid/>
        <w:spacing w:beforeAutospacing="0" w:afterAutospacing="0" w:line="400" w:lineRule="exact"/>
        <w:ind w:firstLine="482" w:firstLineChars="200"/>
        <w:jc w:val="lef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服务内容</w:t>
      </w:r>
    </w:p>
    <w:p w14:paraId="2CC74CD6">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1.1新疆医科大学雪莲山山体，养护面积约36.78万平方米。养护内容为：乔灌花草的修剪、灌溉、防治病虫害、树木涂白（春秋季各一次）、清除杂草、修理树坑、堵树穴漏水点、施肥、绿化及白色垃圾清运、树木扶正、翻地播种、灌溉水线使用维护及巡查、植物保活、植物防护（防严寒、干旱)、山体道路及附属设施维护，建立养护日志档案和植物档案库等。</w:t>
      </w:r>
    </w:p>
    <w:p w14:paraId="70E4359B">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cs="宋体"/>
          <w:b/>
          <w:bCs/>
          <w:color w:val="auto"/>
          <w:sz w:val="24"/>
          <w:szCs w:val="24"/>
          <w:highlight w:val="none"/>
          <w:lang w:val="en-US" w:eastAsia="zh-CN"/>
        </w:rPr>
      </w:pPr>
      <w:r>
        <w:rPr>
          <w:rFonts w:hint="eastAsia" w:ascii="宋体" w:hAnsi="宋体" w:eastAsia="宋体" w:cs="宋体"/>
          <w:b w:val="0"/>
          <w:bCs/>
          <w:color w:val="auto"/>
          <w:sz w:val="24"/>
          <w:szCs w:val="24"/>
          <w:highlight w:val="none"/>
        </w:rPr>
        <w:t>1.</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 xml:space="preserve"> </w:t>
      </w:r>
      <w:r>
        <w:rPr>
          <w:rFonts w:hint="eastAsia" w:ascii="宋体" w:hAnsi="宋体" w:cs="宋体"/>
          <w:b w:val="0"/>
          <w:bCs/>
          <w:color w:val="auto"/>
          <w:sz w:val="24"/>
          <w:szCs w:val="24"/>
          <w:highlight w:val="none"/>
          <w:lang w:val="en-US" w:eastAsia="zh-CN"/>
        </w:rPr>
        <w:t>具体服务内容</w:t>
      </w:r>
      <w:r>
        <w:rPr>
          <w:rFonts w:hint="eastAsia" w:ascii="宋体" w:hAnsi="宋体" w:eastAsia="宋体" w:cs="宋体"/>
          <w:b w:val="0"/>
          <w:bCs/>
          <w:color w:val="auto"/>
          <w:sz w:val="24"/>
          <w:highlight w:val="none"/>
          <w:lang w:val="en-US" w:eastAsia="zh-CN"/>
        </w:rPr>
        <w:t>以</w:t>
      </w:r>
      <w:r>
        <w:rPr>
          <w:rFonts w:hint="eastAsia" w:ascii="宋体" w:hAnsi="宋体" w:cs="宋体"/>
          <w:b w:val="0"/>
          <w:bCs/>
          <w:color w:val="auto"/>
          <w:sz w:val="24"/>
          <w:highlight w:val="none"/>
          <w:lang w:val="en-US" w:eastAsia="zh-CN"/>
        </w:rPr>
        <w:t>本合同后附的</w:t>
      </w:r>
      <w:r>
        <w:rPr>
          <w:rFonts w:hint="eastAsia" w:ascii="宋体" w:hAnsi="宋体" w:eastAsia="宋体" w:cs="宋体"/>
          <w:b w:val="0"/>
          <w:bCs/>
          <w:color w:val="auto"/>
          <w:sz w:val="24"/>
          <w:highlight w:val="none"/>
          <w:lang w:val="en-US" w:eastAsia="zh-CN"/>
        </w:rPr>
        <w:t>最终成交方编制的</w:t>
      </w:r>
      <w:r>
        <w:rPr>
          <w:rFonts w:hint="eastAsia" w:ascii="宋体" w:hAnsi="宋体" w:eastAsia="宋体" w:cs="宋体"/>
          <w:b w:val="0"/>
          <w:bCs/>
          <w:color w:val="auto"/>
          <w:sz w:val="24"/>
          <w:highlight w:val="none"/>
        </w:rPr>
        <w:t>磋商文件和响应文件</w:t>
      </w:r>
      <w:r>
        <w:rPr>
          <w:rFonts w:hint="eastAsia" w:ascii="宋体" w:hAnsi="宋体" w:eastAsia="宋体" w:cs="宋体"/>
          <w:b w:val="0"/>
          <w:bCs/>
          <w:color w:val="auto"/>
          <w:sz w:val="24"/>
          <w:highlight w:val="none"/>
          <w:lang w:val="en-US" w:eastAsia="zh-CN"/>
        </w:rPr>
        <w:t>为准</w:t>
      </w:r>
      <w:r>
        <w:rPr>
          <w:rFonts w:hint="eastAsia" w:ascii="宋体" w:hAnsi="宋体" w:eastAsia="宋体" w:cs="宋体"/>
          <w:b w:val="0"/>
          <w:bCs/>
          <w:color w:val="auto"/>
          <w:sz w:val="24"/>
          <w:highlight w:val="none"/>
        </w:rPr>
        <w:t>。</w:t>
      </w:r>
    </w:p>
    <w:p w14:paraId="0ED8C1AC">
      <w:pPr>
        <w:keepNext w:val="0"/>
        <w:keepLines w:val="0"/>
        <w:pageBreakBefore w:val="0"/>
        <w:kinsoku/>
        <w:wordWrap/>
        <w:overflowPunct/>
        <w:topLinePunct w:val="0"/>
        <w:autoSpaceDE/>
        <w:autoSpaceDN/>
        <w:bidi w:val="0"/>
        <w:adjustRightInd/>
        <w:snapToGrid/>
        <w:spacing w:beforeAutospacing="0" w:afterAutospacing="0" w:line="400" w:lineRule="exact"/>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第二条  服务期限</w:t>
      </w:r>
    </w:p>
    <w:p w14:paraId="5CCF6017">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Theme="minorEastAsia" w:hAnsiTheme="minorEastAsia" w:eastAsiaTheme="minorEastAsia" w:cstheme="minorEastAsia"/>
          <w:i w:val="0"/>
          <w:iCs w:val="0"/>
          <w:caps w:val="0"/>
          <w:color w:val="auto"/>
          <w:spacing w:val="0"/>
          <w:sz w:val="24"/>
          <w:szCs w:val="24"/>
          <w:lang w:val="en-US" w:eastAsia="zh-CN"/>
        </w:rPr>
        <w:t>2.1</w:t>
      </w:r>
      <w:r>
        <w:rPr>
          <w:rFonts w:hint="eastAsia" w:asciiTheme="minorEastAsia" w:hAnsiTheme="minorEastAsia" w:eastAsiaTheme="minorEastAsia" w:cstheme="minorEastAsia"/>
          <w:i w:val="0"/>
          <w:iCs w:val="0"/>
          <w:caps w:val="0"/>
          <w:color w:val="auto"/>
          <w:spacing w:val="0"/>
          <w:sz w:val="24"/>
          <w:szCs w:val="24"/>
        </w:rPr>
        <w:t>服务周期自本合同签订之日起至</w:t>
      </w:r>
      <w:r>
        <w:rPr>
          <w:rFonts w:hint="eastAsia" w:asciiTheme="minorEastAsia" w:hAnsiTheme="minorEastAsia" w:eastAsiaTheme="minorEastAsia" w:cstheme="minorEastAsia"/>
          <w:i w:val="0"/>
          <w:iCs w:val="0"/>
          <w:caps w:val="0"/>
          <w:color w:val="auto"/>
          <w:spacing w:val="0"/>
          <w:sz w:val="24"/>
          <w:szCs w:val="24"/>
          <w:lang w:val="en-US" w:eastAsia="zh-CN"/>
        </w:rPr>
        <w:t>2025</w:t>
      </w:r>
      <w:r>
        <w:rPr>
          <w:rFonts w:hint="eastAsia" w:asciiTheme="minorEastAsia" w:hAnsiTheme="minorEastAsia" w:eastAsiaTheme="minorEastAsia" w:cstheme="minorEastAsia"/>
          <w:i w:val="0"/>
          <w:iCs w:val="0"/>
          <w:caps w:val="0"/>
          <w:color w:val="auto"/>
          <w:spacing w:val="0"/>
          <w:sz w:val="24"/>
          <w:szCs w:val="24"/>
        </w:rPr>
        <w:t>年</w:t>
      </w:r>
      <w:r>
        <w:rPr>
          <w:rFonts w:hint="eastAsia" w:asciiTheme="minorEastAsia" w:hAnsiTheme="minorEastAsia" w:eastAsiaTheme="minorEastAsia" w:cstheme="minorEastAsia"/>
          <w:i w:val="0"/>
          <w:iCs w:val="0"/>
          <w:caps w:val="0"/>
          <w:color w:val="auto"/>
          <w:spacing w:val="0"/>
          <w:sz w:val="24"/>
          <w:szCs w:val="24"/>
          <w:lang w:val="en-US" w:eastAsia="zh-CN"/>
        </w:rPr>
        <w:t>11</w:t>
      </w:r>
      <w:r>
        <w:rPr>
          <w:rFonts w:hint="eastAsia" w:asciiTheme="minorEastAsia" w:hAnsiTheme="minorEastAsia" w:eastAsiaTheme="minorEastAsia" w:cstheme="minorEastAsia"/>
          <w:i w:val="0"/>
          <w:iCs w:val="0"/>
          <w:caps w:val="0"/>
          <w:color w:val="auto"/>
          <w:spacing w:val="0"/>
          <w:sz w:val="24"/>
          <w:szCs w:val="24"/>
        </w:rPr>
        <w:t>月</w:t>
      </w:r>
      <w:r>
        <w:rPr>
          <w:rFonts w:hint="eastAsia" w:asciiTheme="minorEastAsia" w:hAnsiTheme="minorEastAsia" w:eastAsiaTheme="minorEastAsia" w:cstheme="minorEastAsia"/>
          <w:i w:val="0"/>
          <w:iCs w:val="0"/>
          <w:caps w:val="0"/>
          <w:color w:val="auto"/>
          <w:spacing w:val="0"/>
          <w:sz w:val="24"/>
          <w:szCs w:val="24"/>
          <w:lang w:val="en-US" w:eastAsia="zh-CN"/>
        </w:rPr>
        <w:t>15</w:t>
      </w:r>
      <w:r>
        <w:rPr>
          <w:rFonts w:hint="eastAsia" w:asciiTheme="minorEastAsia" w:hAnsiTheme="minorEastAsia" w:eastAsiaTheme="minorEastAsia" w:cstheme="minorEastAsia"/>
          <w:i w:val="0"/>
          <w:iCs w:val="0"/>
          <w:caps w:val="0"/>
          <w:color w:val="auto"/>
          <w:spacing w:val="0"/>
          <w:sz w:val="24"/>
          <w:szCs w:val="24"/>
        </w:rPr>
        <w:t>日止</w:t>
      </w:r>
      <w:r>
        <w:rPr>
          <w:rFonts w:hint="eastAsia" w:asciiTheme="minorEastAsia" w:hAnsiTheme="minorEastAsia" w:eastAsiaTheme="minorEastAsia" w:cstheme="minorEastAsia"/>
          <w:i w:val="0"/>
          <w:iCs w:val="0"/>
          <w:caps w:val="0"/>
          <w:color w:val="auto"/>
          <w:spacing w:val="0"/>
          <w:sz w:val="24"/>
          <w:szCs w:val="24"/>
          <w:lang w:val="en-US" w:eastAsia="zh-CN"/>
        </w:rPr>
        <w:t>（如遇异</w:t>
      </w:r>
      <w:r>
        <w:rPr>
          <w:rFonts w:hint="default" w:ascii="Segoe UI" w:hAnsi="Segoe UI" w:eastAsia="Segoe UI" w:cs="Segoe UI"/>
          <w:i w:val="0"/>
          <w:iCs w:val="0"/>
          <w:caps w:val="0"/>
          <w:color w:val="auto"/>
          <w:spacing w:val="0"/>
          <w:sz w:val="24"/>
          <w:szCs w:val="24"/>
          <w:lang w:val="en-US" w:eastAsia="zh-CN"/>
        </w:rPr>
        <w:t>常天气，以甲方通知为准）</w:t>
      </w:r>
      <w:r>
        <w:rPr>
          <w:rFonts w:hint="default" w:ascii="Segoe UI" w:hAnsi="Segoe UI" w:eastAsia="Segoe UI" w:cs="Segoe UI"/>
          <w:i w:val="0"/>
          <w:iCs w:val="0"/>
          <w:caps w:val="0"/>
          <w:color w:val="auto"/>
          <w:spacing w:val="0"/>
          <w:sz w:val="24"/>
          <w:szCs w:val="24"/>
        </w:rPr>
        <w:t>。</w:t>
      </w:r>
    </w:p>
    <w:p w14:paraId="1EA4C70F">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firstLine="482" w:firstLineChars="200"/>
        <w:textAlignment w:val="auto"/>
        <w:rPr>
          <w:rFonts w:hint="eastAsia" w:ascii="宋体" w:hAnsi="宋体" w:cs="宋体"/>
          <w:b/>
          <w:bCs w:val="0"/>
          <w:color w:val="auto"/>
          <w:sz w:val="24"/>
          <w:szCs w:val="24"/>
          <w:highlight w:val="none"/>
          <w:lang w:val="en-US" w:eastAsia="zh-CN"/>
        </w:rPr>
      </w:pPr>
      <w:r>
        <w:rPr>
          <w:rFonts w:hint="eastAsia" w:ascii="宋体" w:hAnsi="宋体" w:eastAsia="宋体" w:cs="宋体"/>
          <w:b/>
          <w:bCs w:val="0"/>
          <w:color w:val="auto"/>
          <w:kern w:val="2"/>
          <w:sz w:val="24"/>
          <w:szCs w:val="24"/>
          <w:lang w:val="en-US" w:eastAsia="zh-CN" w:bidi="ar-SA"/>
        </w:rPr>
        <w:t>第三条</w:t>
      </w:r>
      <w:r>
        <w:rPr>
          <w:rFonts w:hint="eastAsia" w:ascii="宋体" w:hAnsi="宋体" w:cs="宋体"/>
          <w:b/>
          <w:bCs w:val="0"/>
          <w:color w:val="auto"/>
          <w:sz w:val="24"/>
          <w:szCs w:val="24"/>
          <w:highlight w:val="none"/>
          <w:lang w:val="en-US" w:eastAsia="zh-CN"/>
        </w:rPr>
        <w:t>服务地点</w:t>
      </w:r>
    </w:p>
    <w:p w14:paraId="264D3C89">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firstLine="480" w:firstLineChars="200"/>
        <w:textAlignment w:val="auto"/>
        <w:rPr>
          <w:rFonts w:hint="default" w:ascii="宋体" w:hAnsi="宋体" w:cs="宋体"/>
          <w:b w:val="0"/>
          <w:bCs w:val="0"/>
          <w:kern w:val="2"/>
          <w:sz w:val="24"/>
          <w:szCs w:val="24"/>
          <w:u w:val="none"/>
          <w:lang w:val="en-US" w:eastAsia="zh-CN" w:bidi="ar-SA"/>
        </w:rPr>
      </w:pPr>
      <w:r>
        <w:rPr>
          <w:rFonts w:hint="eastAsia" w:ascii="宋体" w:hAnsi="宋体" w:cs="宋体"/>
          <w:b w:val="0"/>
          <w:bCs w:val="0"/>
          <w:kern w:val="2"/>
          <w:sz w:val="24"/>
          <w:szCs w:val="24"/>
          <w:u w:val="none"/>
          <w:lang w:val="en-US" w:eastAsia="zh-CN" w:bidi="ar-SA"/>
        </w:rPr>
        <w:t xml:space="preserve">3.1 </w:t>
      </w:r>
      <w:r>
        <w:rPr>
          <w:rFonts w:hint="eastAsia" w:ascii="宋体" w:hAnsi="宋体" w:eastAsia="宋体" w:cs="宋体"/>
          <w:color w:val="auto"/>
          <w:sz w:val="24"/>
          <w:szCs w:val="24"/>
          <w:highlight w:val="none"/>
          <w:lang w:val="en-US" w:eastAsia="zh-CN"/>
        </w:rPr>
        <w:t>新疆医科大学雪莲山校区指定地点。</w:t>
      </w:r>
    </w:p>
    <w:p w14:paraId="62358C04">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firstLine="482" w:firstLineChars="200"/>
        <w:textAlignment w:val="auto"/>
        <w:rPr>
          <w:rFonts w:hint="default"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第四条  服务费用及支付方式</w:t>
      </w:r>
    </w:p>
    <w:p w14:paraId="0A0767BD">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Segoe UI" w:hAnsi="Segoe UI" w:eastAsia="宋体" w:cs="Segoe UI"/>
          <w:i w:val="0"/>
          <w:iCs w:val="0"/>
          <w:caps w:val="0"/>
          <w:color w:val="404040"/>
          <w:spacing w:val="0"/>
          <w:sz w:val="24"/>
          <w:szCs w:val="24"/>
          <w:lang w:eastAsia="zh-CN"/>
        </w:rPr>
      </w:pP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 xml:space="preserve">.1 </w:t>
      </w:r>
      <w:r>
        <w:rPr>
          <w:rFonts w:hint="default" w:ascii="Segoe UI" w:hAnsi="Segoe UI" w:eastAsia="Segoe UI" w:cs="Segoe UI"/>
          <w:i w:val="0"/>
          <w:iCs w:val="0"/>
          <w:caps w:val="0"/>
          <w:color w:val="404040"/>
          <w:spacing w:val="0"/>
          <w:sz w:val="24"/>
          <w:szCs w:val="24"/>
        </w:rPr>
        <w:t xml:space="preserve"> </w:t>
      </w:r>
      <w:r>
        <w:rPr>
          <w:rFonts w:hint="eastAsia" w:ascii="Segoe UI" w:hAnsi="Segoe UI" w:eastAsia="宋体" w:cs="Segoe UI"/>
          <w:i w:val="0"/>
          <w:iCs w:val="0"/>
          <w:caps w:val="0"/>
          <w:color w:val="404040"/>
          <w:spacing w:val="0"/>
          <w:sz w:val="24"/>
          <w:szCs w:val="24"/>
          <w:lang w:val="en-US" w:eastAsia="zh-CN"/>
        </w:rPr>
        <w:t>服务费用：</w:t>
      </w:r>
      <w:r>
        <w:rPr>
          <w:rFonts w:hint="default" w:ascii="Segoe UI" w:hAnsi="Segoe UI" w:eastAsia="Segoe UI" w:cs="Segoe UI"/>
          <w:i w:val="0"/>
          <w:iCs w:val="0"/>
          <w:caps w:val="0"/>
          <w:color w:val="404040"/>
          <w:spacing w:val="0"/>
          <w:sz w:val="24"/>
          <w:szCs w:val="24"/>
        </w:rPr>
        <w:t>本合同总金额为¥</w:t>
      </w:r>
      <w:r>
        <w:rPr>
          <w:rFonts w:hint="default" w:ascii="Segoe UI" w:hAnsi="Segoe UI" w:eastAsia="Segoe UI" w:cs="Segoe UI"/>
          <w:i w:val="0"/>
          <w:iCs w:val="0"/>
          <w:caps w:val="0"/>
          <w:color w:val="404040"/>
          <w:spacing w:val="0"/>
          <w:sz w:val="24"/>
          <w:szCs w:val="24"/>
          <w:u w:val="single"/>
          <w:lang w:val="en-US" w:eastAsia="zh-CN"/>
        </w:rPr>
        <w:t xml:space="preserve">     </w:t>
      </w:r>
      <w:r>
        <w:rPr>
          <w:rFonts w:hint="default" w:ascii="Segoe UI" w:hAnsi="Segoe UI" w:eastAsia="Segoe UI" w:cs="Segoe UI"/>
          <w:i w:val="0"/>
          <w:iCs w:val="0"/>
          <w:caps w:val="0"/>
          <w:color w:val="404040"/>
          <w:spacing w:val="0"/>
          <w:sz w:val="24"/>
          <w:szCs w:val="24"/>
        </w:rPr>
        <w:t>元，大写人民币</w:t>
      </w:r>
      <w:r>
        <w:rPr>
          <w:rFonts w:hint="default" w:ascii="Segoe UI" w:hAnsi="Segoe UI" w:eastAsia="Segoe UI" w:cs="Segoe UI"/>
          <w:i w:val="0"/>
          <w:iCs w:val="0"/>
          <w:caps w:val="0"/>
          <w:color w:val="404040"/>
          <w:spacing w:val="0"/>
          <w:sz w:val="24"/>
          <w:szCs w:val="24"/>
          <w:u w:val="single"/>
          <w:lang w:val="en-US" w:eastAsia="zh-CN"/>
        </w:rPr>
        <w:t xml:space="preserve">     </w:t>
      </w:r>
      <w:r>
        <w:rPr>
          <w:rFonts w:hint="default" w:ascii="Segoe UI" w:hAnsi="Segoe UI" w:eastAsia="Segoe UI" w:cs="Segoe UI"/>
          <w:i w:val="0"/>
          <w:iCs w:val="0"/>
          <w:caps w:val="0"/>
          <w:color w:val="404040"/>
          <w:spacing w:val="0"/>
          <w:sz w:val="24"/>
          <w:szCs w:val="24"/>
        </w:rPr>
        <w:t>，含税及</w:t>
      </w:r>
      <w:r>
        <w:rPr>
          <w:rFonts w:hint="eastAsia" w:ascii="Segoe UI" w:hAnsi="Segoe UI" w:eastAsia="宋体" w:cs="Segoe UI"/>
          <w:i w:val="0"/>
          <w:iCs w:val="0"/>
          <w:caps w:val="0"/>
          <w:color w:val="404040"/>
          <w:spacing w:val="0"/>
          <w:sz w:val="24"/>
          <w:szCs w:val="24"/>
          <w:lang w:val="en-US" w:eastAsia="zh-CN"/>
        </w:rPr>
        <w:t>完成本合同</w:t>
      </w:r>
      <w:r>
        <w:rPr>
          <w:rFonts w:hint="default" w:ascii="Segoe UI" w:hAnsi="Segoe UI" w:eastAsia="Segoe UI" w:cs="Segoe UI"/>
          <w:i w:val="0"/>
          <w:iCs w:val="0"/>
          <w:caps w:val="0"/>
          <w:color w:val="404040"/>
          <w:spacing w:val="0"/>
          <w:sz w:val="24"/>
          <w:szCs w:val="24"/>
        </w:rPr>
        <w:t>所有相关费用。</w:t>
      </w:r>
    </w:p>
    <w:p w14:paraId="510F1C6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lang w:val="en-US" w:eastAsia="zh-CN"/>
        </w:rPr>
        <w:t>4.2 付款方式：按照时间周期进行付款，自合同签订并养护至3个月，期间符合甲方执行要求，支付合同款项的50%；待整体养护周期结束并验收合格后，支付合同款剩余部分。</w:t>
      </w:r>
    </w:p>
    <w:p w14:paraId="69986D71">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80" w:firstLineChars="200"/>
        <w:textAlignment w:val="auto"/>
        <w:rPr>
          <w:rFonts w:hint="eastAsia" w:ascii="宋体" w:hAnsi="宋体" w:eastAsia="宋体" w:cs="宋体"/>
          <w:b w:val="0"/>
          <w:bCs/>
          <w:color w:val="auto"/>
          <w:sz w:val="24"/>
          <w:highlight w:val="none"/>
        </w:rPr>
      </w:pPr>
      <w:r>
        <w:rPr>
          <w:rStyle w:val="28"/>
          <w:rFonts w:hint="eastAsia" w:ascii="宋体" w:hAnsi="宋体" w:eastAsia="宋体" w:cs="宋体"/>
          <w:b w:val="0"/>
          <w:bCs/>
          <w:i w:val="0"/>
          <w:iCs w:val="0"/>
          <w:caps w:val="0"/>
          <w:color w:val="auto"/>
          <w:spacing w:val="0"/>
          <w:sz w:val="24"/>
          <w:szCs w:val="24"/>
          <w:lang w:val="en-US" w:eastAsia="zh-CN"/>
        </w:rPr>
        <w:t xml:space="preserve">4.3 </w:t>
      </w:r>
      <w:r>
        <w:rPr>
          <w:rFonts w:hint="eastAsia" w:ascii="宋体" w:hAnsi="宋体" w:eastAsia="宋体" w:cs="宋体"/>
          <w:b w:val="0"/>
          <w:bCs/>
          <w:color w:val="auto"/>
          <w:sz w:val="24"/>
          <w:highlight w:val="none"/>
        </w:rPr>
        <w:t xml:space="preserve">乙方为履行本合同而发生的所有费用均应包含在合同价中。 </w:t>
      </w:r>
    </w:p>
    <w:p w14:paraId="24E2210A">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80" w:firstLineChars="200"/>
        <w:textAlignment w:val="auto"/>
        <w:rPr>
          <w:rFonts w:hint="eastAsia" w:ascii="宋体" w:hAnsi="宋体" w:eastAsia="宋体" w:cs="宋体"/>
          <w:b w:val="0"/>
          <w:bCs/>
          <w:color w:val="auto"/>
          <w:sz w:val="24"/>
          <w:highlight w:val="none"/>
        </w:rPr>
      </w:pPr>
      <w:r>
        <w:rPr>
          <w:rFonts w:hint="eastAsia" w:ascii="仿宋_GB2312" w:hAnsi="仿宋_GB2312" w:eastAsia="仿宋_GB2312" w:cs="Times New Roman"/>
          <w:color w:val="auto"/>
          <w:sz w:val="24"/>
          <w:highlight w:val="none"/>
          <w:lang w:val="en-US" w:eastAsia="zh-CN"/>
        </w:rPr>
        <w:t xml:space="preserve">4.4 </w:t>
      </w:r>
      <w:r>
        <w:rPr>
          <w:rFonts w:hint="eastAsia" w:ascii="宋体" w:hAnsi="宋体" w:eastAsia="宋体" w:cs="宋体"/>
          <w:b w:val="0"/>
          <w:bCs/>
          <w:color w:val="auto"/>
          <w:sz w:val="24"/>
          <w:highlight w:val="none"/>
        </w:rPr>
        <w:t>甲方支付上述任何一笔款项前，乙方应提供符合甲方财务做账要求的正规增值税发票，否则，甲方有权拒付款项且不承担违约责任。</w:t>
      </w:r>
    </w:p>
    <w:p w14:paraId="61A9D519">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4.5乙方银行账户信息：</w:t>
      </w:r>
    </w:p>
    <w:p w14:paraId="5D5D6666">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户    名：</w:t>
      </w:r>
      <w:r>
        <w:rPr>
          <w:rFonts w:hint="eastAsia" w:ascii="宋体" w:hAnsi="宋体" w:eastAsia="宋体" w:cs="宋体"/>
          <w:b w:val="0"/>
          <w:bCs/>
          <w:color w:val="auto"/>
          <w:sz w:val="24"/>
          <w:highlight w:val="none"/>
          <w:u w:val="single"/>
          <w:lang w:val="en-US" w:eastAsia="zh-CN"/>
        </w:rPr>
        <w:t xml:space="preserve">                </w:t>
      </w:r>
    </w:p>
    <w:p w14:paraId="5AEE79A8">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开户银行：</w:t>
      </w:r>
      <w:r>
        <w:rPr>
          <w:rFonts w:hint="eastAsia" w:ascii="宋体" w:hAnsi="宋体" w:eastAsia="宋体" w:cs="宋体"/>
          <w:b w:val="0"/>
          <w:bCs/>
          <w:color w:val="auto"/>
          <w:sz w:val="24"/>
          <w:highlight w:val="none"/>
          <w:u w:val="single"/>
          <w:lang w:val="en-US" w:eastAsia="zh-CN"/>
        </w:rPr>
        <w:t xml:space="preserve">                 </w:t>
      </w:r>
    </w:p>
    <w:p w14:paraId="49CEDA24">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银行账号：</w:t>
      </w:r>
      <w:r>
        <w:rPr>
          <w:rFonts w:hint="eastAsia" w:ascii="宋体" w:hAnsi="宋体" w:eastAsia="宋体" w:cs="宋体"/>
          <w:b w:val="0"/>
          <w:bCs/>
          <w:color w:val="auto"/>
          <w:sz w:val="24"/>
          <w:highlight w:val="none"/>
          <w:u w:val="single"/>
          <w:lang w:val="en-US" w:eastAsia="zh-CN"/>
        </w:rPr>
        <w:t xml:space="preserve">                </w:t>
      </w:r>
    </w:p>
    <w:p w14:paraId="3F97677B">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80" w:firstLineChars="200"/>
        <w:textAlignment w:val="auto"/>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4.6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210EACB6">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82" w:firstLineChars="200"/>
        <w:textAlignment w:val="auto"/>
        <w:rPr>
          <w:rFonts w:hint="eastAsia" w:ascii="Segoe UI" w:hAnsi="Segoe UI" w:eastAsia="宋体" w:cs="Segoe UI"/>
          <w:b/>
          <w:bCs/>
          <w:i w:val="0"/>
          <w:iCs w:val="0"/>
          <w:caps w:val="0"/>
          <w:color w:val="404040"/>
          <w:spacing w:val="0"/>
          <w:sz w:val="24"/>
          <w:szCs w:val="24"/>
          <w:lang w:val="en-US" w:eastAsia="zh-CN"/>
        </w:rPr>
      </w:pPr>
      <w:r>
        <w:rPr>
          <w:rFonts w:hint="eastAsia" w:ascii="Segoe UI" w:hAnsi="Segoe UI" w:eastAsia="宋体" w:cs="Segoe UI"/>
          <w:b/>
          <w:bCs/>
          <w:i w:val="0"/>
          <w:iCs w:val="0"/>
          <w:caps w:val="0"/>
          <w:color w:val="404040"/>
          <w:spacing w:val="0"/>
          <w:kern w:val="0"/>
          <w:sz w:val="24"/>
          <w:szCs w:val="24"/>
          <w:lang w:val="en-US" w:eastAsia="zh-CN" w:bidi="ar"/>
        </w:rPr>
        <w:t xml:space="preserve">第五条 </w:t>
      </w:r>
      <w:r>
        <w:rPr>
          <w:rFonts w:hint="eastAsia" w:ascii="Segoe UI" w:hAnsi="Segoe UI" w:eastAsia="宋体" w:cs="Segoe UI"/>
          <w:b/>
          <w:bCs/>
          <w:i w:val="0"/>
          <w:iCs w:val="0"/>
          <w:caps w:val="0"/>
          <w:color w:val="404040"/>
          <w:spacing w:val="0"/>
          <w:sz w:val="24"/>
          <w:szCs w:val="24"/>
          <w:lang w:val="en-US" w:eastAsia="zh-CN"/>
        </w:rPr>
        <w:t>服务质量及验收标准</w:t>
      </w:r>
    </w:p>
    <w:p w14:paraId="16E903E9">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80" w:firstLineChars="200"/>
        <w:textAlignment w:val="auto"/>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i w:val="0"/>
          <w:iCs w:val="0"/>
          <w:caps w:val="0"/>
          <w:color w:val="404040"/>
          <w:spacing w:val="0"/>
          <w:sz w:val="24"/>
          <w:szCs w:val="24"/>
          <w:lang w:val="en-US" w:eastAsia="zh-CN"/>
        </w:rPr>
        <w:t>5.1验收标准：按照新疆维吾尔自治区住房和城乡建设厅发布的《城市绿地养护管理标准》中园林绿化二级养护标准执行。</w:t>
      </w:r>
    </w:p>
    <w:p w14:paraId="69E57A3A">
      <w:pPr>
        <w:keepNext w:val="0"/>
        <w:keepLines w:val="0"/>
        <w:pageBreakBefore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5.2甲方每月组织人员对养护工作进行全程督促检查。签订合同进场养护后，按月考核，根据考核结果支付合同款项。</w:t>
      </w:r>
    </w:p>
    <w:p w14:paraId="06F0282B">
      <w:pPr>
        <w:keepNext w:val="0"/>
        <w:keepLines w:val="0"/>
        <w:pageBreakBefore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5.3考核结果：按月考核，共计考核7次。考核总分≥95分，当月合格；85分≤考核总分＜95分，当月扣款合同款5000元；75分≤考核总分＜85分，当月扣款10000元；考核总分＜75分，甲方有权扣除合同价款的10%，并由乙方赔偿所有损失。</w:t>
      </w:r>
    </w:p>
    <w:p w14:paraId="08146189">
      <w:pPr>
        <w:keepNext w:val="0"/>
        <w:keepLines w:val="0"/>
        <w:pageBreakBefore w:val="0"/>
        <w:kinsoku/>
        <w:wordWrap/>
        <w:overflowPunct/>
        <w:topLinePunct w:val="0"/>
        <w:autoSpaceDE/>
        <w:autoSpaceDN/>
        <w:bidi w:val="0"/>
        <w:adjustRightInd/>
        <w:snapToGrid/>
        <w:spacing w:beforeAutospacing="0" w:line="400" w:lineRule="exact"/>
        <w:ind w:firstLine="482" w:firstLineChars="200"/>
        <w:jc w:val="center"/>
        <w:textAlignment w:val="auto"/>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绿化养护考核标准</w:t>
      </w:r>
    </w:p>
    <w:tbl>
      <w:tblPr>
        <w:tblStyle w:val="25"/>
        <w:tblW w:w="86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7"/>
        <w:gridCol w:w="696"/>
        <w:gridCol w:w="633"/>
        <w:gridCol w:w="5974"/>
        <w:gridCol w:w="668"/>
      </w:tblGrid>
      <w:tr w14:paraId="74DB4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0E52C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96" w:type="dxa"/>
            <w:tcBorders>
              <w:top w:val="single" w:color="000000" w:sz="4" w:space="0"/>
              <w:left w:val="single" w:color="000000" w:sz="4" w:space="0"/>
              <w:bottom w:val="single" w:color="000000" w:sz="4" w:space="0"/>
              <w:right w:val="nil"/>
            </w:tcBorders>
            <w:noWrap w:val="0"/>
            <w:vAlign w:val="center"/>
          </w:tcPr>
          <w:p w14:paraId="67AEE5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1BA290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c>
          <w:tcPr>
            <w:tcW w:w="5974" w:type="dxa"/>
            <w:tcBorders>
              <w:top w:val="single" w:color="000000" w:sz="4" w:space="0"/>
              <w:left w:val="single" w:color="000000" w:sz="4" w:space="0"/>
              <w:bottom w:val="single" w:color="000000" w:sz="4" w:space="0"/>
              <w:right w:val="single" w:color="000000" w:sz="4" w:space="0"/>
            </w:tcBorders>
            <w:noWrap w:val="0"/>
            <w:vAlign w:val="center"/>
          </w:tcPr>
          <w:p w14:paraId="378A2F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各项目扣分标准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46A413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w:t>
            </w:r>
          </w:p>
        </w:tc>
      </w:tr>
      <w:tr w14:paraId="07E29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E9625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6" w:type="dxa"/>
            <w:tcBorders>
              <w:top w:val="single" w:color="000000" w:sz="4" w:space="0"/>
              <w:left w:val="single" w:color="000000" w:sz="4" w:space="0"/>
              <w:bottom w:val="single" w:color="000000" w:sz="4" w:space="0"/>
              <w:right w:val="nil"/>
            </w:tcBorders>
            <w:noWrap w:val="0"/>
            <w:vAlign w:val="center"/>
          </w:tcPr>
          <w:p w14:paraId="479A59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人员</w:t>
            </w:r>
          </w:p>
          <w:p w14:paraId="2A02D8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36AE60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74" w:type="dxa"/>
            <w:tcBorders>
              <w:top w:val="single" w:color="000000" w:sz="4" w:space="0"/>
              <w:left w:val="single" w:color="000000" w:sz="4" w:space="0"/>
              <w:bottom w:val="single" w:color="000000" w:sz="4" w:space="0"/>
              <w:right w:val="single" w:color="000000" w:sz="4" w:space="0"/>
            </w:tcBorders>
            <w:noWrap w:val="0"/>
            <w:vAlign w:val="center"/>
          </w:tcPr>
          <w:p w14:paraId="25603C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人员按照学校规定做好正规备案，不得无备案人员出入校园，违反每人次扣0.5分；2.从业人员必须有信息表、政审、保险、合同各项不全每一项扣0.3分，各项</w:t>
            </w:r>
            <w:r>
              <w:rPr>
                <w:rFonts w:hint="eastAsia" w:ascii="宋体" w:hAnsi="宋体" w:eastAsia="宋体" w:cs="宋体"/>
                <w:i w:val="0"/>
                <w:iCs w:val="0"/>
                <w:color w:val="000000"/>
                <w:kern w:val="0"/>
                <w:sz w:val="24"/>
                <w:szCs w:val="24"/>
                <w:u w:val="none"/>
                <w:lang w:val="en-US" w:eastAsia="zh-CN" w:bidi="ar"/>
              </w:rPr>
              <w:t>均没有扣1分；3.违反校纪校规每人次扣0.5分；4.绿化工人着装不统一，不整齐扣0.5分。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46F3092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4"/>
                <w:szCs w:val="24"/>
                <w:u w:val="none"/>
              </w:rPr>
            </w:pPr>
          </w:p>
        </w:tc>
      </w:tr>
      <w:tr w14:paraId="240AF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90F24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96" w:type="dxa"/>
            <w:tcBorders>
              <w:top w:val="single" w:color="000000" w:sz="4" w:space="0"/>
              <w:left w:val="single" w:color="000000" w:sz="4" w:space="0"/>
              <w:bottom w:val="single" w:color="000000" w:sz="4" w:space="0"/>
              <w:right w:val="nil"/>
            </w:tcBorders>
            <w:noWrap w:val="0"/>
            <w:vAlign w:val="center"/>
          </w:tcPr>
          <w:p w14:paraId="72764F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安全生产管理</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67959C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74" w:type="dxa"/>
            <w:tcBorders>
              <w:top w:val="single" w:color="000000" w:sz="4" w:space="0"/>
              <w:left w:val="single" w:color="000000" w:sz="4" w:space="0"/>
              <w:bottom w:val="single" w:color="000000" w:sz="4" w:space="0"/>
              <w:right w:val="single" w:color="000000" w:sz="4" w:space="0"/>
            </w:tcBorders>
            <w:noWrap w:val="0"/>
            <w:vAlign w:val="center"/>
          </w:tcPr>
          <w:p w14:paraId="2E960F5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安全生产教育每月1次（有资料印证）少一次扣0.5分；2.农药专人管理，农药随用随出校，不得留在学校，出入库记录不全扣1分，农药废弃物回收不到位扣2分；3.机械停放在不到位扣0.5分；4.阀门井安全及操作规程，专人负责不到位每一处扣1分；5.工人防火、环境卫生每一处不到位扣0.5分；风险隐患排查每周一次（资料印证），每少一次扣0.5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3738F82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4"/>
                <w:szCs w:val="24"/>
                <w:u w:val="none"/>
              </w:rPr>
            </w:pPr>
          </w:p>
        </w:tc>
      </w:tr>
      <w:tr w14:paraId="510AB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58062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96" w:type="dxa"/>
            <w:tcBorders>
              <w:top w:val="single" w:color="000000" w:sz="4" w:space="0"/>
              <w:left w:val="single" w:color="000000" w:sz="4" w:space="0"/>
              <w:bottom w:val="single" w:color="000000" w:sz="4" w:space="0"/>
              <w:right w:val="nil"/>
            </w:tcBorders>
            <w:noWrap w:val="0"/>
            <w:vAlign w:val="center"/>
          </w:tcPr>
          <w:p w14:paraId="1F2A35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档案资料建立</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0D9C55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74" w:type="dxa"/>
            <w:tcBorders>
              <w:top w:val="single" w:color="000000" w:sz="4" w:space="0"/>
              <w:left w:val="single" w:color="000000" w:sz="4" w:space="0"/>
              <w:bottom w:val="single" w:color="000000" w:sz="4" w:space="0"/>
              <w:right w:val="single" w:color="000000" w:sz="4" w:space="0"/>
            </w:tcBorders>
            <w:noWrap w:val="0"/>
            <w:vAlign w:val="center"/>
          </w:tcPr>
          <w:p w14:paraId="52F5E2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组织机构、养护方案、管理制度、岗位职责、岗位规范、操作规程、养护进度、人员信息档案、巡查记录、打药记录每少一项扣1分。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5B0F8FE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4"/>
                <w:szCs w:val="24"/>
                <w:u w:val="none"/>
              </w:rPr>
            </w:pPr>
          </w:p>
        </w:tc>
      </w:tr>
      <w:tr w14:paraId="0AF6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B6292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326CA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植保</w:t>
            </w:r>
          </w:p>
          <w:p w14:paraId="1D47D1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防治</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5874B7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74" w:type="dxa"/>
            <w:tcBorders>
              <w:top w:val="single" w:color="000000" w:sz="4" w:space="0"/>
              <w:left w:val="single" w:color="000000" w:sz="4" w:space="0"/>
              <w:bottom w:val="single" w:color="000000" w:sz="4" w:space="0"/>
              <w:right w:val="single" w:color="000000" w:sz="4" w:space="0"/>
            </w:tcBorders>
            <w:noWrap w:val="0"/>
            <w:vAlign w:val="center"/>
          </w:tcPr>
          <w:p w14:paraId="0A68CB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根据合同约定草坪、灌木、花卉、亚乔木（单株）、乔木（单株）病虫害最严重危害不得超过8％，超过每一处扣1分，发现病虫害严重并且防止不及时导致树木死亡每株扣2分；2.因病虫害导致苗木枯黄、长势差等现象，每株扣除0.1分；3.植保防治工作喷施农药前要提前2天报备学校，包括喷施农药种类，采取集中打药的方式，不得私自分片喷施农药，发现一次扣5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124D66E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4"/>
                <w:szCs w:val="24"/>
                <w:u w:val="none"/>
              </w:rPr>
            </w:pPr>
          </w:p>
        </w:tc>
      </w:tr>
      <w:tr w14:paraId="556E1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5E365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65B38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灌溉</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752228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74" w:type="dxa"/>
            <w:tcBorders>
              <w:top w:val="single" w:color="000000" w:sz="4" w:space="0"/>
              <w:left w:val="single" w:color="000000" w:sz="4" w:space="0"/>
              <w:bottom w:val="single" w:color="000000" w:sz="4" w:space="0"/>
              <w:right w:val="single" w:color="000000" w:sz="4" w:space="0"/>
            </w:tcBorders>
            <w:noWrap w:val="0"/>
            <w:vAlign w:val="center"/>
          </w:tcPr>
          <w:p w14:paraId="33EC90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根据不同植物、不同灌溉方式进行灌溉，乔木、亚乔木、灌木、花卉必须采取灌透。草坪采取喷灌，注重坡地、重要节点灌溉，若因灌溉不及时、不均匀造成草坪死亡的，每一处扣2分，造成枯黄的，每一处扣1分；造成灌木、花卉死亡的每一处扣2分，造成枯黄的，每一处扣1分；造成乔木、亚乔木死亡的，每一株扣2分，枯黄的每一处扣1分；2.灌溉井破损未报修每处扣1分，管道维修未及时恢复，每处扣0.5分。3.灌溉阀门井没有及时封盖每处扣0.5分。4.灌溉跑冒滴漏无人看管或无人解决扣0.5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6BD043B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4"/>
                <w:szCs w:val="24"/>
                <w:u w:val="none"/>
              </w:rPr>
            </w:pPr>
          </w:p>
        </w:tc>
      </w:tr>
      <w:tr w14:paraId="22047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E8A3D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BF762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修剪</w:t>
            </w:r>
          </w:p>
          <w:p w14:paraId="77DA6C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抹芽</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0510CC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74" w:type="dxa"/>
            <w:tcBorders>
              <w:top w:val="single" w:color="000000" w:sz="4" w:space="0"/>
              <w:left w:val="single" w:color="000000" w:sz="4" w:space="0"/>
              <w:bottom w:val="single" w:color="000000" w:sz="4" w:space="0"/>
              <w:right w:val="single" w:color="000000" w:sz="4" w:space="0"/>
            </w:tcBorders>
            <w:noWrap w:val="0"/>
            <w:vAlign w:val="center"/>
          </w:tcPr>
          <w:p w14:paraId="5570E6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1.干枝、断枝、病枝未清除、未涂抹伤口，每棵树扣0.1分；2.抹芽时分支点以上50cm以下新芽（不超过5cm）全部抹去，未做每棵树扣0.1分，检查点位整体未做扣除该分值平均分。3.草坪修剪后高度保持</w:t>
            </w:r>
            <w:r>
              <w:rPr>
                <w:rFonts w:hint="default"/>
                <w:sz w:val="24"/>
                <w:szCs w:val="24"/>
                <w:highlight w:val="none"/>
                <w:lang w:val="en-US" w:eastAsia="zh-CN"/>
              </w:rPr>
              <w:t>10cm</w:t>
            </w:r>
            <w:r>
              <w:rPr>
                <w:rFonts w:hint="eastAsia"/>
                <w:sz w:val="24"/>
                <w:szCs w:val="24"/>
                <w:highlight w:val="none"/>
                <w:lang w:val="en-US" w:eastAsia="zh-CN"/>
              </w:rPr>
              <w:t>左右</w:t>
            </w:r>
            <w:r>
              <w:rPr>
                <w:rFonts w:hint="eastAsia" w:ascii="宋体" w:hAnsi="宋体" w:eastAsia="宋体" w:cs="宋体"/>
                <w:i w:val="0"/>
                <w:iCs w:val="0"/>
                <w:color w:val="000000"/>
                <w:sz w:val="24"/>
                <w:szCs w:val="24"/>
                <w:u w:val="none"/>
                <w:lang w:val="en-US" w:eastAsia="zh-CN"/>
              </w:rPr>
              <w:t>，出现整体不平整每点位扣0.5分，出穗过多每点位扣0.5分。4.修剪后未及时清理修剪产生的枝叶每堆扣0.1分，未收拢该点位扣平均分值；5.绿篱修剪需面平边直，新枝不高于15cm，发现超10平方米以上每处扣0.5分，修剪后未清理该点位平均分值扣除，成堆未清出林地每堆扣0.2分；6.大林带、片林、经济林、空白地为割草高度超过20cm，每处扣除0.5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5A0E496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4"/>
                <w:szCs w:val="24"/>
                <w:u w:val="none"/>
              </w:rPr>
            </w:pPr>
          </w:p>
        </w:tc>
      </w:tr>
      <w:tr w14:paraId="0ED32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8FC16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A40C4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除草</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7EF08C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74" w:type="dxa"/>
            <w:tcBorders>
              <w:top w:val="single" w:color="000000" w:sz="4" w:space="0"/>
              <w:left w:val="single" w:color="000000" w:sz="4" w:space="0"/>
              <w:bottom w:val="single" w:color="000000" w:sz="4" w:space="0"/>
              <w:right w:val="single" w:color="000000" w:sz="4" w:space="0"/>
            </w:tcBorders>
            <w:noWrap w:val="0"/>
            <w:vAlign w:val="center"/>
          </w:tcPr>
          <w:p w14:paraId="3B4F1E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空白地杂草高度保持15-25cm，超高或低于要求高度杂草未修剪的每处扣0.2分；2.道路、林床、节点、重点区域杂草未清除干净的每处1分；3.灌木、草坪、花卉内杂草需及时拔除，未拔每10㎡扣0.2分。4.出现菟丝子需及时拔出，未做每点扣0.5分，禁止药物防治。</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52C96F8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4"/>
                <w:szCs w:val="24"/>
                <w:u w:val="none"/>
              </w:rPr>
            </w:pPr>
          </w:p>
        </w:tc>
      </w:tr>
      <w:tr w14:paraId="35853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80E60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CC5FA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草坪、花卉补植</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30C5E1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74" w:type="dxa"/>
            <w:tcBorders>
              <w:top w:val="single" w:color="000000" w:sz="4" w:space="0"/>
              <w:left w:val="single" w:color="000000" w:sz="4" w:space="0"/>
              <w:bottom w:val="single" w:color="000000" w:sz="4" w:space="0"/>
              <w:right w:val="single" w:color="000000" w:sz="4" w:space="0"/>
            </w:tcBorders>
            <w:noWrap w:val="0"/>
            <w:vAlign w:val="center"/>
          </w:tcPr>
          <w:p w14:paraId="6BB517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1.春季种植花卉，因踩踏等原因死亡的草坪，要及时补植，未补植的，每处扣0.5分，补植效果不明显的，每处扣0.2分；2.草坪、花卉因养护不善出现斑秃情况，每处扣0.2分。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166C3BF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4"/>
                <w:szCs w:val="24"/>
                <w:u w:val="none"/>
              </w:rPr>
            </w:pPr>
          </w:p>
        </w:tc>
      </w:tr>
      <w:tr w14:paraId="196D2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A6BAB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7B753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死苗</w:t>
            </w:r>
          </w:p>
          <w:p w14:paraId="0FA551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5B69BA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974" w:type="dxa"/>
            <w:tcBorders>
              <w:top w:val="single" w:color="000000" w:sz="4" w:space="0"/>
              <w:left w:val="single" w:color="000000" w:sz="4" w:space="0"/>
              <w:bottom w:val="single" w:color="000000" w:sz="4" w:space="0"/>
              <w:right w:val="single" w:color="000000" w:sz="4" w:space="0"/>
            </w:tcBorders>
            <w:noWrap w:val="0"/>
            <w:vAlign w:val="center"/>
          </w:tcPr>
          <w:p w14:paraId="62E116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1.灌木、亚乔木、乔木死苗如实向学校报备，学校派人核实后，及时清理，未报备私自清理的，每株扣0.5分，报备后未及时清理的扣0.2分；2.下发整改通知未及时响应清理的，扣0.3分。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3339A93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4"/>
                <w:szCs w:val="24"/>
                <w:u w:val="none"/>
              </w:rPr>
            </w:pPr>
          </w:p>
        </w:tc>
      </w:tr>
      <w:tr w14:paraId="6D98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72C80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66E4C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维修</w:t>
            </w:r>
          </w:p>
          <w:p w14:paraId="52060A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5E27D4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974" w:type="dxa"/>
            <w:tcBorders>
              <w:top w:val="single" w:color="000000" w:sz="4" w:space="0"/>
              <w:left w:val="single" w:color="000000" w:sz="4" w:space="0"/>
              <w:bottom w:val="single" w:color="000000" w:sz="4" w:space="0"/>
              <w:right w:val="single" w:color="000000" w:sz="4" w:space="0"/>
            </w:tcBorders>
            <w:noWrap w:val="0"/>
            <w:vAlign w:val="center"/>
          </w:tcPr>
          <w:p w14:paraId="258CE4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管网抢修工作不过夜，用最短时间完成，出现长时间不维修，每拖延一日月总分扣0.5分；2.机械、设备及时修理，未及时修理，影响工作进度每次扣0.5分；3.绿化苗木铭牌、宣传牌扶正、清理工作，每发现倒伏、损坏每一处扣0.1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0E38C8C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4"/>
                <w:szCs w:val="24"/>
                <w:u w:val="none"/>
              </w:rPr>
            </w:pPr>
          </w:p>
        </w:tc>
      </w:tr>
      <w:tr w14:paraId="0ED0F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EC204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67C24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w:t>
            </w:r>
          </w:p>
          <w:p w14:paraId="599B9D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791B2F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74" w:type="dxa"/>
            <w:tcBorders>
              <w:top w:val="single" w:color="000000" w:sz="4" w:space="0"/>
              <w:left w:val="single" w:color="000000" w:sz="4" w:space="0"/>
              <w:bottom w:val="single" w:color="000000" w:sz="4" w:space="0"/>
              <w:right w:val="single" w:color="000000" w:sz="4" w:space="0"/>
            </w:tcBorders>
            <w:noWrap w:val="0"/>
            <w:vAlign w:val="center"/>
          </w:tcPr>
          <w:p w14:paraId="1EC9C6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完成学校交付的重要事情，出现不配合，不服从，每次扣除0.5分；2.学校下发整改通知书，未限期整改的，每次扣除0.5分，从始至终未整改的，一个问题扣除1分。3.其他学校需要其配合地完成的工作，未办结的，一项扣0.5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12F3854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4"/>
                <w:szCs w:val="24"/>
                <w:u w:val="none"/>
              </w:rPr>
            </w:pPr>
          </w:p>
        </w:tc>
      </w:tr>
      <w:tr w14:paraId="4444F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976" w:type="dxa"/>
            <w:gridSpan w:val="3"/>
            <w:tcBorders>
              <w:top w:val="single" w:color="000000" w:sz="4" w:space="0"/>
              <w:left w:val="single" w:color="000000" w:sz="4" w:space="0"/>
              <w:bottom w:val="single" w:color="000000" w:sz="4" w:space="0"/>
              <w:right w:val="single" w:color="000000" w:sz="4" w:space="0"/>
            </w:tcBorders>
            <w:noWrap w:val="0"/>
            <w:vAlign w:val="center"/>
          </w:tcPr>
          <w:p w14:paraId="202C2D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得分</w:t>
            </w:r>
          </w:p>
        </w:tc>
        <w:tc>
          <w:tcPr>
            <w:tcW w:w="5974" w:type="dxa"/>
            <w:tcBorders>
              <w:top w:val="single" w:color="000000" w:sz="4" w:space="0"/>
              <w:left w:val="single" w:color="000000" w:sz="4" w:space="0"/>
              <w:bottom w:val="single" w:color="000000" w:sz="4" w:space="0"/>
              <w:right w:val="single" w:color="000000" w:sz="4" w:space="0"/>
            </w:tcBorders>
            <w:noWrap w:val="0"/>
            <w:vAlign w:val="center"/>
          </w:tcPr>
          <w:p w14:paraId="37385B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总得分=100-总扣分=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328D249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4"/>
                <w:szCs w:val="24"/>
                <w:u w:val="none"/>
              </w:rPr>
            </w:pPr>
          </w:p>
        </w:tc>
      </w:tr>
    </w:tbl>
    <w:p w14:paraId="6EC57330">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2" w:firstLineChars="200"/>
        <w:textAlignment w:val="auto"/>
        <w:rPr>
          <w:rFonts w:hint="eastAsia" w:ascii="宋体" w:hAnsi="宋体" w:eastAsia="宋体" w:cs="宋体"/>
          <w:b/>
          <w:bCs/>
          <w:color w:val="000000"/>
          <w:sz w:val="24"/>
          <w:szCs w:val="24"/>
          <w:lang w:val="en-US" w:eastAsia="zh-CN"/>
        </w:rPr>
      </w:pPr>
    </w:p>
    <w:p w14:paraId="0F84784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2" w:firstLineChars="200"/>
        <w:textAlignment w:val="auto"/>
        <w:rPr>
          <w:rFonts w:hint="default"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 xml:space="preserve">第六条 </w:t>
      </w:r>
      <w:r>
        <w:rPr>
          <w:rFonts w:hint="default" w:ascii="宋体" w:hAnsi="宋体" w:eastAsia="宋体" w:cs="宋体"/>
          <w:b/>
          <w:bCs/>
          <w:color w:val="000000"/>
          <w:sz w:val="24"/>
          <w:szCs w:val="24"/>
        </w:rPr>
        <w:t>双方权利义务</w:t>
      </w:r>
    </w:p>
    <w:p w14:paraId="153D9F35">
      <w:pPr>
        <w:keepNext w:val="0"/>
        <w:keepLines w:val="0"/>
        <w:pageBreakBefore w:val="0"/>
        <w:widowControl w:val="0"/>
        <w:kinsoku/>
        <w:wordWrap/>
        <w:overflowPunct/>
        <w:topLinePunct w:val="0"/>
        <w:autoSpaceDE/>
        <w:autoSpaceDN/>
        <w:bidi w:val="0"/>
        <w:adjustRightInd/>
        <w:snapToGrid/>
        <w:spacing w:beforeAutospacing="0" w:line="400" w:lineRule="exact"/>
        <w:ind w:firstLine="482" w:firstLineChars="200"/>
        <w:textAlignment w:val="auto"/>
        <w:rPr>
          <w:rFonts w:hint="default" w:eastAsia="宋体"/>
          <w:lang w:val="en-US" w:eastAsia="zh-CN"/>
        </w:rPr>
      </w:pPr>
      <w:r>
        <w:rPr>
          <w:rStyle w:val="28"/>
          <w:rFonts w:hint="eastAsia" w:ascii="Segoe UI" w:hAnsi="Segoe UI" w:eastAsia="宋体" w:cs="Segoe UI"/>
          <w:i w:val="0"/>
          <w:iCs w:val="0"/>
          <w:caps w:val="0"/>
          <w:color w:val="404040"/>
          <w:spacing w:val="0"/>
          <w:sz w:val="24"/>
          <w:szCs w:val="24"/>
          <w:lang w:val="en-US" w:eastAsia="zh-CN"/>
        </w:rPr>
        <w:t>（一）甲方权利义务</w:t>
      </w:r>
    </w:p>
    <w:p w14:paraId="448E2031">
      <w:pPr>
        <w:keepNext w:val="0"/>
        <w:keepLines w:val="0"/>
        <w:pageBreakBefore w:val="0"/>
        <w:numPr>
          <w:ilvl w:val="0"/>
          <w:numId w:val="8"/>
        </w:numPr>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甲方在合同规定的服务期限内有义务为乙方创造服务工作便利，协助乙方完成服务工作</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 xml:space="preserve"> </w:t>
      </w:r>
    </w:p>
    <w:p w14:paraId="33DFCA4E">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firstLine="480" w:firstLineChars="200"/>
        <w:textAlignment w:val="auto"/>
        <w:rPr>
          <w:rFonts w:hint="default"/>
          <w:lang w:val="en-US" w:eastAsia="zh-CN"/>
        </w:rPr>
      </w:pPr>
      <w:r>
        <w:rPr>
          <w:rFonts w:hint="eastAsia" w:ascii="宋体" w:hAnsi="宋体" w:eastAsia="宋体" w:cs="宋体"/>
          <w:b w:val="0"/>
          <w:bCs/>
          <w:color w:val="auto"/>
          <w:sz w:val="24"/>
          <w:szCs w:val="24"/>
          <w:highlight w:val="none"/>
          <w:lang w:val="zh-CN" w:eastAsia="zh-CN"/>
        </w:rPr>
        <w:t>（2）甲方应根据本合同约定及时、足额地支付服务费用，但乙方未能按本合同约定履行义务的除外。</w:t>
      </w:r>
    </w:p>
    <w:p w14:paraId="060B4B9E">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3</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甲方有权在合同规定的范围内享受服务，对没有达到合同规定的服务质量或标准的服务事项</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甲方有权要求乙方在规定的时间内加急提供服务，直至符合要求为止。</w:t>
      </w:r>
    </w:p>
    <w:p w14:paraId="6184F62A">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4</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 xml:space="preserve">如果乙方无法完成合同规定的服务内容、或者服务无法达到合同规定的服务质量或标准的，造成的无法正常运行，甲方有权邀请第三方提供服务，其支付的服务费用由乙方承担；如果乙方不支付，甲方有权在支付乙方合同款项时扣除其相等的金额。 </w:t>
      </w:r>
    </w:p>
    <w:p w14:paraId="4399E878">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default" w:ascii="Segoe UI" w:hAnsi="Segoe UI" w:eastAsia="Segoe UI" w:cs="Segoe UI"/>
          <w:i w:val="0"/>
          <w:iCs w:val="0"/>
          <w:caps w:val="0"/>
          <w:color w:val="404040"/>
          <w:spacing w:val="0"/>
          <w:sz w:val="24"/>
          <w:szCs w:val="24"/>
        </w:rPr>
      </w:pPr>
      <w:r>
        <w:rPr>
          <w:rStyle w:val="28"/>
          <w:rFonts w:hint="eastAsia" w:ascii="Segoe UI" w:hAnsi="Segoe UI" w:eastAsia="宋体" w:cs="Segoe UI"/>
          <w:i w:val="0"/>
          <w:iCs w:val="0"/>
          <w:caps w:val="0"/>
          <w:color w:val="404040"/>
          <w:spacing w:val="0"/>
          <w:sz w:val="24"/>
          <w:szCs w:val="24"/>
          <w:lang w:eastAsia="zh-CN"/>
        </w:rPr>
        <w:t>（</w:t>
      </w:r>
      <w:r>
        <w:rPr>
          <w:rStyle w:val="28"/>
          <w:rFonts w:hint="eastAsia" w:ascii="Segoe UI" w:hAnsi="Segoe UI" w:eastAsia="宋体" w:cs="Segoe UI"/>
          <w:i w:val="0"/>
          <w:iCs w:val="0"/>
          <w:caps w:val="0"/>
          <w:color w:val="404040"/>
          <w:spacing w:val="0"/>
          <w:sz w:val="24"/>
          <w:szCs w:val="24"/>
          <w:lang w:val="en-US" w:eastAsia="zh-CN"/>
        </w:rPr>
        <w:t>二</w:t>
      </w:r>
      <w:r>
        <w:rPr>
          <w:rStyle w:val="28"/>
          <w:rFonts w:hint="eastAsia" w:ascii="Segoe UI" w:hAnsi="Segoe UI" w:eastAsia="宋体" w:cs="Segoe UI"/>
          <w:i w:val="0"/>
          <w:iCs w:val="0"/>
          <w:caps w:val="0"/>
          <w:color w:val="404040"/>
          <w:spacing w:val="0"/>
          <w:sz w:val="24"/>
          <w:szCs w:val="24"/>
          <w:lang w:eastAsia="zh-CN"/>
        </w:rPr>
        <w:t>）</w:t>
      </w:r>
      <w:r>
        <w:rPr>
          <w:rStyle w:val="28"/>
          <w:rFonts w:hint="default" w:ascii="Segoe UI" w:hAnsi="Segoe UI" w:eastAsia="Segoe UI" w:cs="Segoe UI"/>
          <w:i w:val="0"/>
          <w:iCs w:val="0"/>
          <w:caps w:val="0"/>
          <w:color w:val="404040"/>
          <w:spacing w:val="0"/>
          <w:sz w:val="24"/>
          <w:szCs w:val="24"/>
        </w:rPr>
        <w:t>乙方</w:t>
      </w:r>
      <w:r>
        <w:rPr>
          <w:rStyle w:val="28"/>
          <w:rFonts w:hint="eastAsia" w:ascii="Segoe UI" w:hAnsi="Segoe UI" w:eastAsia="宋体" w:cs="Segoe UI"/>
          <w:i w:val="0"/>
          <w:iCs w:val="0"/>
          <w:caps w:val="0"/>
          <w:color w:val="404040"/>
          <w:spacing w:val="0"/>
          <w:sz w:val="24"/>
          <w:szCs w:val="24"/>
          <w:lang w:val="en-US" w:eastAsia="zh-CN"/>
        </w:rPr>
        <w:t>权利</w:t>
      </w:r>
      <w:r>
        <w:rPr>
          <w:rStyle w:val="28"/>
          <w:rFonts w:hint="default" w:ascii="Segoe UI" w:hAnsi="Segoe UI" w:eastAsia="Segoe UI" w:cs="Segoe UI"/>
          <w:i w:val="0"/>
          <w:iCs w:val="0"/>
          <w:caps w:val="0"/>
          <w:color w:val="404040"/>
          <w:spacing w:val="0"/>
          <w:sz w:val="24"/>
          <w:szCs w:val="24"/>
        </w:rPr>
        <w:t>义务</w:t>
      </w:r>
      <w:r>
        <w:rPr>
          <w:rFonts w:hint="default" w:ascii="Segoe UI" w:hAnsi="Segoe UI" w:eastAsia="Segoe UI" w:cs="Segoe UI"/>
          <w:i w:val="0"/>
          <w:iCs w:val="0"/>
          <w:caps w:val="0"/>
          <w:color w:val="404040"/>
          <w:spacing w:val="0"/>
          <w:sz w:val="24"/>
          <w:szCs w:val="24"/>
        </w:rPr>
        <w:t>：</w:t>
      </w:r>
    </w:p>
    <w:p w14:paraId="60067DC4">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b w:val="0"/>
          <w:bCs/>
          <w:color w:val="auto"/>
          <w:sz w:val="24"/>
          <w:highlight w:val="none"/>
          <w:lang w:eastAsia="zh-CN"/>
        </w:rPr>
      </w:pP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1</w:t>
      </w:r>
      <w:r>
        <w:rPr>
          <w:rFonts w:hint="eastAsia" w:ascii="宋体" w:hAnsi="宋体" w:cs="宋体"/>
          <w:b w:val="0"/>
          <w:bCs/>
          <w:color w:val="auto"/>
          <w:sz w:val="24"/>
          <w:highlight w:val="none"/>
          <w:lang w:eastAsia="zh-CN"/>
        </w:rPr>
        <w:t>）</w:t>
      </w:r>
      <w:r>
        <w:rPr>
          <w:rFonts w:hint="eastAsia" w:ascii="宋体" w:hAnsi="宋体" w:eastAsia="宋体" w:cs="宋体"/>
          <w:b w:val="0"/>
          <w:bCs/>
          <w:color w:val="auto"/>
          <w:sz w:val="24"/>
          <w:highlight w:val="none"/>
        </w:rPr>
        <w:t>乙方根据合同的服务内容和要求及时提供相应的服务</w:t>
      </w:r>
      <w:r>
        <w:rPr>
          <w:rFonts w:hint="eastAsia" w:ascii="宋体" w:hAnsi="宋体" w:cs="宋体"/>
          <w:b w:val="0"/>
          <w:bCs/>
          <w:color w:val="auto"/>
          <w:sz w:val="24"/>
          <w:highlight w:val="none"/>
          <w:lang w:eastAsia="zh-CN"/>
        </w:rPr>
        <w:t>；</w:t>
      </w:r>
    </w:p>
    <w:p w14:paraId="7B460C45">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2</w:t>
      </w:r>
      <w:r>
        <w:rPr>
          <w:rFonts w:hint="eastAsia" w:ascii="宋体" w:hAnsi="宋体" w:cs="宋体"/>
          <w:b w:val="0"/>
          <w:bCs/>
          <w:color w:val="auto"/>
          <w:sz w:val="24"/>
          <w:highlight w:val="none"/>
          <w:lang w:eastAsia="zh-CN"/>
        </w:rPr>
        <w:t>）</w:t>
      </w:r>
      <w:r>
        <w:rPr>
          <w:rFonts w:hint="eastAsia" w:ascii="宋体" w:hAnsi="宋体" w:eastAsia="宋体" w:cs="宋体"/>
          <w:b w:val="0"/>
          <w:bCs/>
          <w:color w:val="auto"/>
          <w:sz w:val="24"/>
          <w:highlight w:val="none"/>
        </w:rPr>
        <w:t>乙方须指定至少1名固定联系人及专业技术团队负责</w:t>
      </w:r>
      <w:r>
        <w:rPr>
          <w:rFonts w:hint="eastAsia" w:ascii="宋体" w:hAnsi="宋体" w:eastAsia="宋体" w:cs="宋体"/>
          <w:b w:val="0"/>
          <w:bCs/>
          <w:color w:val="auto"/>
          <w:sz w:val="24"/>
          <w:highlight w:val="none"/>
          <w:lang w:val="en-US" w:eastAsia="zh-CN"/>
        </w:rPr>
        <w:t>人</w:t>
      </w:r>
      <w:r>
        <w:rPr>
          <w:rFonts w:hint="eastAsia" w:ascii="宋体" w:hAnsi="宋体" w:eastAsia="宋体" w:cs="宋体"/>
          <w:b w:val="0"/>
          <w:bCs/>
          <w:color w:val="auto"/>
          <w:sz w:val="24"/>
          <w:highlight w:val="none"/>
        </w:rPr>
        <w:t>与甲方对接</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 xml:space="preserve">联系人：  联系电话：    </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，确保服务期间人员稳定</w:t>
      </w:r>
      <w:r>
        <w:rPr>
          <w:rFonts w:hint="eastAsia" w:ascii="宋体" w:hAnsi="宋体" w:cs="宋体"/>
          <w:b w:val="0"/>
          <w:bCs/>
          <w:color w:val="auto"/>
          <w:sz w:val="24"/>
          <w:highlight w:val="none"/>
          <w:lang w:eastAsia="zh-CN"/>
        </w:rPr>
        <w:t>，</w:t>
      </w:r>
      <w:r>
        <w:rPr>
          <w:rFonts w:hint="eastAsia" w:ascii="宋体" w:hAnsi="宋体" w:eastAsia="宋体" w:cs="宋体"/>
          <w:b w:val="0"/>
          <w:bCs/>
          <w:color w:val="auto"/>
          <w:sz w:val="24"/>
          <w:highlight w:val="none"/>
        </w:rPr>
        <w:t>联系人应具备操作及问题处理能力</w:t>
      </w:r>
      <w:r>
        <w:rPr>
          <w:rFonts w:hint="eastAsia" w:ascii="宋体" w:hAnsi="宋体" w:cs="宋体"/>
          <w:b w:val="0"/>
          <w:bCs/>
          <w:color w:val="auto"/>
          <w:sz w:val="24"/>
          <w:highlight w:val="none"/>
          <w:lang w:eastAsia="zh-CN"/>
        </w:rPr>
        <w:t>。</w:t>
      </w:r>
      <w:r>
        <w:rPr>
          <w:rFonts w:hint="eastAsia" w:ascii="宋体" w:hAnsi="宋体" w:eastAsia="宋体" w:cs="宋体"/>
          <w:b w:val="0"/>
          <w:bCs/>
          <w:color w:val="auto"/>
          <w:sz w:val="24"/>
          <w:highlight w:val="none"/>
        </w:rPr>
        <w:t>如需更换联系人，乙方应提前5个工作日书面通知甲方</w:t>
      </w:r>
      <w:r>
        <w:rPr>
          <w:rFonts w:hint="eastAsia" w:ascii="宋体" w:hAnsi="宋体" w:eastAsia="宋体" w:cs="宋体"/>
          <w:b w:val="0"/>
          <w:bCs/>
          <w:color w:val="auto"/>
          <w:sz w:val="24"/>
          <w:highlight w:val="none"/>
          <w:lang w:val="en-US" w:eastAsia="zh-CN"/>
        </w:rPr>
        <w:t>并取得甲方同意后</w:t>
      </w:r>
      <w:r>
        <w:rPr>
          <w:rFonts w:hint="eastAsia" w:ascii="宋体" w:hAnsi="宋体" w:eastAsia="宋体" w:cs="宋体"/>
          <w:b w:val="0"/>
          <w:bCs/>
          <w:color w:val="auto"/>
          <w:sz w:val="24"/>
          <w:highlight w:val="none"/>
        </w:rPr>
        <w:t>，安排同等资质人员接替。</w:t>
      </w:r>
    </w:p>
    <w:p w14:paraId="47073A68">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（3）未经甲方书面同意</w:t>
      </w:r>
      <w:r>
        <w:rPr>
          <w:rFonts w:hint="eastAsia" w:ascii="宋体" w:hAnsi="宋体" w:eastAsia="宋体" w:cs="宋体"/>
          <w:b w:val="0"/>
          <w:bCs/>
          <w:color w:val="auto"/>
          <w:sz w:val="24"/>
          <w:highlight w:val="none"/>
        </w:rPr>
        <w:t>，乙方不得</w:t>
      </w:r>
      <w:r>
        <w:rPr>
          <w:rFonts w:hint="eastAsia" w:ascii="宋体" w:hAnsi="宋体" w:cs="宋体"/>
          <w:b w:val="0"/>
          <w:bCs/>
          <w:color w:val="auto"/>
          <w:sz w:val="24"/>
          <w:highlight w:val="none"/>
          <w:lang w:val="en-US" w:eastAsia="zh-CN"/>
        </w:rPr>
        <w:t>将本合同项下权利义务转让给第三方</w:t>
      </w:r>
      <w:r>
        <w:rPr>
          <w:rFonts w:hint="eastAsia" w:ascii="宋体" w:hAnsi="宋体" w:eastAsia="宋体" w:cs="宋体"/>
          <w:b w:val="0"/>
          <w:bCs/>
          <w:color w:val="auto"/>
          <w:sz w:val="24"/>
          <w:highlight w:val="none"/>
        </w:rPr>
        <w:t>。</w:t>
      </w:r>
    </w:p>
    <w:p w14:paraId="467CDFB1">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w:t>
      </w:r>
      <w:r>
        <w:rPr>
          <w:rFonts w:ascii="宋体" w:hAnsi="宋体" w:eastAsia="宋体" w:cs="宋体"/>
          <w:sz w:val="24"/>
          <w:szCs w:val="24"/>
        </w:rPr>
        <w:t>严格执行甲方制定的绿地养护管理标准,遵守甲方的各项规章制度</w:t>
      </w:r>
      <w:r>
        <w:rPr>
          <w:rFonts w:hint="eastAsia" w:ascii="宋体" w:hAnsi="宋体" w:eastAsia="宋体" w:cs="宋体"/>
          <w:sz w:val="24"/>
          <w:szCs w:val="24"/>
          <w:lang w:eastAsia="zh-CN"/>
        </w:rPr>
        <w:t>，</w:t>
      </w:r>
      <w:r>
        <w:rPr>
          <w:rFonts w:ascii="宋体" w:hAnsi="宋体" w:eastAsia="宋体" w:cs="宋体"/>
          <w:sz w:val="24"/>
          <w:szCs w:val="24"/>
        </w:rPr>
        <w:t>自觉接受甲方的管理；对甲方检查时发现的不合格之处,乙方应及时进行整改。</w:t>
      </w:r>
    </w:p>
    <w:p w14:paraId="2B091333">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5</w:t>
      </w:r>
      <w:r>
        <w:rPr>
          <w:rFonts w:hint="eastAsia" w:ascii="宋体" w:hAnsi="宋体" w:cs="宋体"/>
          <w:b w:val="0"/>
          <w:bCs/>
          <w:color w:val="auto"/>
          <w:sz w:val="24"/>
          <w:highlight w:val="none"/>
          <w:lang w:eastAsia="zh-CN"/>
        </w:rPr>
        <w:t>）</w:t>
      </w:r>
      <w:r>
        <w:rPr>
          <w:rFonts w:ascii="宋体" w:hAnsi="宋体" w:eastAsia="宋体" w:cs="宋体"/>
          <w:sz w:val="24"/>
          <w:szCs w:val="24"/>
        </w:rPr>
        <w:t>养护过程中</w:t>
      </w:r>
      <w:r>
        <w:rPr>
          <w:rFonts w:hint="eastAsia" w:ascii="宋体" w:hAnsi="宋体" w:eastAsia="宋体" w:cs="宋体"/>
          <w:sz w:val="24"/>
          <w:szCs w:val="24"/>
          <w:lang w:val="en-US" w:eastAsia="zh-CN"/>
        </w:rPr>
        <w:t>如</w:t>
      </w:r>
      <w:r>
        <w:rPr>
          <w:rFonts w:ascii="宋体" w:hAnsi="宋体" w:eastAsia="宋体" w:cs="宋体"/>
          <w:sz w:val="24"/>
          <w:szCs w:val="24"/>
        </w:rPr>
        <w:t>遇</w:t>
      </w:r>
      <w:r>
        <w:rPr>
          <w:rFonts w:hint="eastAsia" w:ascii="宋体" w:hAnsi="宋体" w:eastAsia="宋体" w:cs="宋体"/>
          <w:sz w:val="24"/>
          <w:szCs w:val="24"/>
          <w:lang w:val="en-US" w:eastAsia="zh-CN"/>
        </w:rPr>
        <w:t>重大伤亡及其他安全事故等</w:t>
      </w:r>
      <w:r>
        <w:rPr>
          <w:rFonts w:ascii="宋体" w:hAnsi="宋体" w:eastAsia="宋体" w:cs="宋体"/>
          <w:sz w:val="24"/>
          <w:szCs w:val="24"/>
        </w:rPr>
        <w:t>特殊情况无法进行时，应以书面形式</w:t>
      </w:r>
      <w:r>
        <w:rPr>
          <w:rFonts w:hint="eastAsia" w:ascii="宋体" w:hAnsi="宋体" w:eastAsia="宋体" w:cs="宋体"/>
          <w:sz w:val="24"/>
          <w:szCs w:val="24"/>
          <w:lang w:val="en-US" w:eastAsia="zh-CN"/>
        </w:rPr>
        <w:t>立即</w:t>
      </w:r>
      <w:r>
        <w:rPr>
          <w:rFonts w:ascii="宋体" w:hAnsi="宋体" w:eastAsia="宋体" w:cs="宋体"/>
          <w:sz w:val="24"/>
          <w:szCs w:val="24"/>
        </w:rPr>
        <w:t>通知甲方，双方共同协商处理。</w:t>
      </w:r>
    </w:p>
    <w:p w14:paraId="3C7F15FE">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ascii="宋体" w:hAnsi="宋体" w:eastAsia="宋体" w:cs="宋体"/>
          <w:sz w:val="24"/>
          <w:szCs w:val="24"/>
        </w:rPr>
        <w:t>保证养护区域的整洁，做到工停、料净、场地清。</w:t>
      </w:r>
    </w:p>
    <w:p w14:paraId="5AA0B948">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（7</w:t>
      </w:r>
      <w:r>
        <w:rPr>
          <w:rFonts w:ascii="宋体" w:hAnsi="宋体" w:eastAsia="宋体" w:cs="宋体"/>
          <w:sz w:val="24"/>
          <w:szCs w:val="24"/>
        </w:rPr>
        <w:t>）乙方应根据养护要求自行配置养护管理所需要的交通工具以及其他养护所需材料、</w:t>
      </w:r>
      <w:r>
        <w:rPr>
          <w:rFonts w:hint="eastAsia" w:ascii="宋体" w:hAnsi="宋体" w:eastAsia="宋体" w:cs="宋体"/>
          <w:sz w:val="24"/>
          <w:szCs w:val="24"/>
          <w:lang w:val="en-US" w:eastAsia="zh-CN"/>
        </w:rPr>
        <w:t>工具</w:t>
      </w:r>
      <w:r>
        <w:rPr>
          <w:rFonts w:ascii="宋体" w:hAnsi="宋体" w:eastAsia="宋体" w:cs="宋体"/>
          <w:sz w:val="24"/>
          <w:szCs w:val="24"/>
        </w:rPr>
        <w:t>设备。乙方应保证其自行配备的</w:t>
      </w:r>
      <w:r>
        <w:rPr>
          <w:rFonts w:hint="eastAsia" w:ascii="宋体" w:hAnsi="宋体" w:eastAsia="宋体" w:cs="宋体"/>
          <w:sz w:val="24"/>
          <w:szCs w:val="24"/>
          <w:lang w:val="en-US" w:eastAsia="zh-CN"/>
        </w:rPr>
        <w:t>交通工具</w:t>
      </w:r>
      <w:r>
        <w:rPr>
          <w:rFonts w:ascii="宋体" w:hAnsi="宋体" w:eastAsia="宋体" w:cs="宋体"/>
          <w:sz w:val="24"/>
          <w:szCs w:val="24"/>
        </w:rPr>
        <w:t>、材料、</w:t>
      </w:r>
      <w:r>
        <w:rPr>
          <w:rFonts w:hint="eastAsia" w:ascii="宋体" w:hAnsi="宋体" w:eastAsia="宋体" w:cs="宋体"/>
          <w:sz w:val="24"/>
          <w:szCs w:val="24"/>
          <w:lang w:val="en-US" w:eastAsia="zh-CN"/>
        </w:rPr>
        <w:t>工具</w:t>
      </w:r>
      <w:r>
        <w:rPr>
          <w:rFonts w:ascii="宋体" w:hAnsi="宋体" w:eastAsia="宋体" w:cs="宋体"/>
          <w:sz w:val="24"/>
          <w:szCs w:val="24"/>
        </w:rPr>
        <w:t>设备</w:t>
      </w:r>
      <w:r>
        <w:rPr>
          <w:rFonts w:hint="eastAsia" w:ascii="宋体" w:hAnsi="宋体" w:eastAsia="宋体" w:cs="宋体"/>
          <w:sz w:val="24"/>
          <w:szCs w:val="24"/>
          <w:lang w:val="en-US" w:eastAsia="zh-CN"/>
        </w:rPr>
        <w:t>等</w:t>
      </w:r>
      <w:r>
        <w:rPr>
          <w:rFonts w:ascii="宋体" w:hAnsi="宋体" w:eastAsia="宋体" w:cs="宋体"/>
          <w:sz w:val="24"/>
          <w:szCs w:val="24"/>
        </w:rPr>
        <w:t>符合</w:t>
      </w:r>
      <w:r>
        <w:rPr>
          <w:rFonts w:hint="eastAsia" w:ascii="宋体" w:hAnsi="宋体" w:eastAsia="宋体" w:cs="宋体"/>
          <w:sz w:val="24"/>
          <w:szCs w:val="24"/>
          <w:lang w:val="en-US" w:eastAsia="zh-CN"/>
        </w:rPr>
        <w:t>国家</w:t>
      </w:r>
      <w:r>
        <w:rPr>
          <w:rFonts w:ascii="宋体" w:hAnsi="宋体" w:eastAsia="宋体" w:cs="宋体"/>
          <w:sz w:val="24"/>
          <w:szCs w:val="24"/>
        </w:rPr>
        <w:t>安全标准，因不达标</w:t>
      </w:r>
      <w:r>
        <w:rPr>
          <w:rFonts w:hint="eastAsia" w:ascii="宋体" w:hAnsi="宋体" w:eastAsia="宋体" w:cs="宋体"/>
          <w:sz w:val="24"/>
          <w:szCs w:val="24"/>
          <w:lang w:val="en-US" w:eastAsia="zh-CN"/>
        </w:rPr>
        <w:t>造成甲方</w:t>
      </w:r>
      <w:r>
        <w:rPr>
          <w:rFonts w:ascii="宋体" w:hAnsi="宋体" w:eastAsia="宋体" w:cs="宋体"/>
          <w:sz w:val="24"/>
          <w:szCs w:val="24"/>
        </w:rPr>
        <w:t>损失</w:t>
      </w:r>
      <w:r>
        <w:rPr>
          <w:rFonts w:hint="eastAsia" w:ascii="宋体" w:hAnsi="宋体" w:eastAsia="宋体" w:cs="宋体"/>
          <w:sz w:val="24"/>
          <w:szCs w:val="24"/>
          <w:lang w:val="en-US" w:eastAsia="zh-CN"/>
        </w:rPr>
        <w:t>的</w:t>
      </w:r>
      <w:r>
        <w:rPr>
          <w:rFonts w:ascii="宋体" w:hAnsi="宋体" w:eastAsia="宋体" w:cs="宋体"/>
          <w:sz w:val="24"/>
          <w:szCs w:val="24"/>
        </w:rPr>
        <w:t>，乙方</w:t>
      </w:r>
      <w:r>
        <w:rPr>
          <w:rFonts w:hint="eastAsia" w:ascii="宋体" w:hAnsi="宋体" w:eastAsia="宋体" w:cs="宋体"/>
          <w:sz w:val="24"/>
          <w:szCs w:val="24"/>
          <w:lang w:val="en-US" w:eastAsia="zh-CN"/>
        </w:rPr>
        <w:t>自行</w:t>
      </w:r>
      <w:r>
        <w:rPr>
          <w:rFonts w:ascii="宋体" w:hAnsi="宋体" w:eastAsia="宋体" w:cs="宋体"/>
          <w:sz w:val="24"/>
          <w:szCs w:val="24"/>
        </w:rPr>
        <w:t>承担。</w:t>
      </w:r>
    </w:p>
    <w:p w14:paraId="48B74B35">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w:t>
      </w:r>
      <w:r>
        <w:rPr>
          <w:rFonts w:hint="eastAsia" w:ascii="宋体" w:hAnsi="宋体" w:eastAsia="宋体" w:cs="宋体"/>
          <w:sz w:val="24"/>
          <w:szCs w:val="24"/>
          <w:lang w:val="en-US" w:eastAsia="zh-CN"/>
        </w:rPr>
        <w:t>8</w:t>
      </w:r>
      <w:r>
        <w:rPr>
          <w:rFonts w:ascii="宋体" w:hAnsi="宋体" w:eastAsia="宋体" w:cs="宋体"/>
          <w:sz w:val="24"/>
          <w:szCs w:val="24"/>
        </w:rPr>
        <w:t>）负责养护工作人员的劳动保护和人身安全。除双方另有约定外，养护工作人员的餐饮、住宿由乙方自行承担</w:t>
      </w:r>
      <w:r>
        <w:rPr>
          <w:rFonts w:hint="eastAsia" w:ascii="宋体" w:hAnsi="宋体" w:eastAsia="宋体" w:cs="宋体"/>
          <w:sz w:val="24"/>
          <w:szCs w:val="24"/>
          <w:lang w:eastAsia="zh-CN"/>
        </w:rPr>
        <w:t>。</w:t>
      </w:r>
    </w:p>
    <w:p w14:paraId="41B69447">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Style w:val="28"/>
          <w:rFonts w:hint="eastAsia" w:ascii="Segoe UI" w:hAnsi="Segoe UI" w:eastAsia="宋体" w:cs="Segoe UI"/>
          <w:i w:val="0"/>
          <w:iCs w:val="0"/>
          <w:caps w:val="0"/>
          <w:color w:val="404040"/>
          <w:spacing w:val="0"/>
          <w:sz w:val="24"/>
          <w:szCs w:val="24"/>
          <w:lang w:val="en-US" w:eastAsia="zh-CN"/>
        </w:rPr>
      </w:pPr>
      <w:r>
        <w:rPr>
          <w:rStyle w:val="28"/>
          <w:rFonts w:hint="eastAsia" w:ascii="Segoe UI" w:hAnsi="Segoe UI" w:eastAsia="宋体" w:cs="Segoe UI"/>
          <w:i w:val="0"/>
          <w:iCs w:val="0"/>
          <w:caps w:val="0"/>
          <w:color w:val="404040"/>
          <w:spacing w:val="0"/>
          <w:sz w:val="24"/>
          <w:szCs w:val="24"/>
          <w:lang w:eastAsia="zh-CN"/>
        </w:rPr>
        <w:t>（</w:t>
      </w:r>
      <w:r>
        <w:rPr>
          <w:rStyle w:val="28"/>
          <w:rFonts w:hint="eastAsia" w:ascii="Segoe UI" w:hAnsi="Segoe UI" w:eastAsia="宋体" w:cs="Segoe UI"/>
          <w:i w:val="0"/>
          <w:iCs w:val="0"/>
          <w:caps w:val="0"/>
          <w:color w:val="404040"/>
          <w:spacing w:val="0"/>
          <w:sz w:val="24"/>
          <w:szCs w:val="24"/>
          <w:lang w:val="en-US" w:eastAsia="zh-CN"/>
        </w:rPr>
        <w:t>三</w:t>
      </w:r>
      <w:r>
        <w:rPr>
          <w:rStyle w:val="28"/>
          <w:rFonts w:hint="eastAsia" w:ascii="Segoe UI" w:hAnsi="Segoe UI" w:eastAsia="宋体" w:cs="Segoe UI"/>
          <w:i w:val="0"/>
          <w:iCs w:val="0"/>
          <w:caps w:val="0"/>
          <w:color w:val="404040"/>
          <w:spacing w:val="0"/>
          <w:sz w:val="24"/>
          <w:szCs w:val="24"/>
          <w:lang w:eastAsia="zh-CN"/>
        </w:rPr>
        <w:t>）</w:t>
      </w:r>
      <w:r>
        <w:rPr>
          <w:rStyle w:val="28"/>
          <w:rFonts w:hint="eastAsia" w:ascii="Segoe UI" w:hAnsi="Segoe UI" w:eastAsia="宋体" w:cs="Segoe UI"/>
          <w:i w:val="0"/>
          <w:iCs w:val="0"/>
          <w:caps w:val="0"/>
          <w:color w:val="404040"/>
          <w:spacing w:val="0"/>
          <w:sz w:val="24"/>
          <w:szCs w:val="24"/>
          <w:lang w:val="en-US" w:eastAsia="zh-CN"/>
        </w:rPr>
        <w:t>其它约定：</w:t>
      </w:r>
    </w:p>
    <w:p w14:paraId="117C3D3B">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乙方积极配合甲方月检工作。</w:t>
      </w:r>
    </w:p>
    <w:p w14:paraId="46FF7C7D">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乙方在养护过程中发生的所有相关资料按期上报甲方存档。养护管理期满，将养护管理的所有档案资料及养护范围内的各类植物、设施完好地移交给甲方，并及时将养护机械设备搬离养护场所</w:t>
      </w:r>
      <w:r>
        <w:rPr>
          <w:rFonts w:hint="eastAsia" w:ascii="宋体" w:hAnsi="宋体" w:eastAsia="宋体" w:cs="宋体"/>
          <w:sz w:val="24"/>
          <w:szCs w:val="24"/>
          <w:lang w:eastAsia="zh-CN"/>
        </w:rPr>
        <w:t>。</w:t>
      </w:r>
    </w:p>
    <w:p w14:paraId="14D3F2D8">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如果因乙方自身的原因给甲方造成损失，其损失由乙方自行承担。</w:t>
      </w:r>
    </w:p>
    <w:p w14:paraId="40D74019">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按照甲方的要求进行养护施工，在养护施工过程中遵守工程安全生产有关管理规定，严格按安全标准组织施工，采取必要的安全防护措施</w:t>
      </w:r>
      <w:r>
        <w:rPr>
          <w:rFonts w:hint="eastAsia" w:ascii="宋体" w:hAnsi="宋体" w:eastAsia="宋体" w:cs="宋体"/>
          <w:sz w:val="24"/>
          <w:szCs w:val="24"/>
          <w:lang w:eastAsia="zh-CN"/>
        </w:rPr>
        <w:t>。</w:t>
      </w:r>
      <w:r>
        <w:rPr>
          <w:rFonts w:ascii="宋体" w:hAnsi="宋体" w:eastAsia="宋体" w:cs="宋体"/>
          <w:sz w:val="24"/>
          <w:szCs w:val="24"/>
        </w:rPr>
        <w:t>由于乙方安全措施不力造成</w:t>
      </w:r>
      <w:r>
        <w:rPr>
          <w:rFonts w:hint="eastAsia" w:ascii="宋体" w:hAnsi="宋体" w:eastAsia="宋体" w:cs="宋体"/>
          <w:sz w:val="24"/>
          <w:szCs w:val="24"/>
          <w:lang w:val="en-US" w:eastAsia="zh-CN"/>
        </w:rPr>
        <w:t>安全</w:t>
      </w:r>
      <w:r>
        <w:rPr>
          <w:rFonts w:ascii="宋体" w:hAnsi="宋体" w:eastAsia="宋体" w:cs="宋体"/>
          <w:sz w:val="24"/>
          <w:szCs w:val="24"/>
        </w:rPr>
        <w:t>事故的责任和因此发生的费用，由乙方</w:t>
      </w:r>
      <w:r>
        <w:rPr>
          <w:rFonts w:hint="eastAsia" w:ascii="宋体" w:hAnsi="宋体" w:eastAsia="宋体" w:cs="宋体"/>
          <w:sz w:val="24"/>
          <w:szCs w:val="24"/>
          <w:lang w:val="en-US" w:eastAsia="zh-CN"/>
        </w:rPr>
        <w:t>自行</w:t>
      </w:r>
      <w:r>
        <w:rPr>
          <w:rFonts w:ascii="宋体" w:hAnsi="宋体" w:eastAsia="宋体" w:cs="宋体"/>
          <w:sz w:val="24"/>
          <w:szCs w:val="24"/>
        </w:rPr>
        <w:t>承担</w:t>
      </w:r>
      <w:r>
        <w:rPr>
          <w:rFonts w:hint="eastAsia" w:ascii="宋体" w:hAnsi="宋体" w:eastAsia="宋体" w:cs="宋体"/>
          <w:sz w:val="24"/>
          <w:szCs w:val="24"/>
          <w:lang w:eastAsia="zh-CN"/>
        </w:rPr>
        <w:t>。</w:t>
      </w:r>
    </w:p>
    <w:p w14:paraId="5070FED5">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ascii="宋体" w:hAnsi="宋体" w:eastAsia="宋体" w:cs="宋体"/>
          <w:sz w:val="24"/>
          <w:szCs w:val="24"/>
        </w:rPr>
        <w:t>乙方应对其一线从业人员进行技能培训及安全教育，在进行风险作业时须落实相应措施，并由安全员监督指导。</w:t>
      </w:r>
    </w:p>
    <w:p w14:paraId="5FD2EF1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第七条 违约责任：</w:t>
      </w:r>
    </w:p>
    <w:p w14:paraId="0533FB8B">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jc w:val="both"/>
        <w:textAlignment w:val="auto"/>
        <w:rPr>
          <w:rFonts w:ascii="宋体" w:hAnsi="宋体" w:eastAsia="宋体" w:cs="宋体"/>
          <w:sz w:val="24"/>
          <w:szCs w:val="24"/>
        </w:rPr>
      </w:pPr>
      <w:r>
        <w:rPr>
          <w:rFonts w:hint="eastAsia" w:ascii="宋体" w:hAnsi="宋体" w:eastAsia="宋体" w:cs="宋体"/>
          <w:sz w:val="24"/>
          <w:szCs w:val="24"/>
          <w:lang w:val="en-US" w:eastAsia="zh-CN"/>
        </w:rPr>
        <w:t>7</w:t>
      </w:r>
      <w:r>
        <w:rPr>
          <w:rFonts w:ascii="宋体" w:hAnsi="宋体" w:eastAsia="宋体" w:cs="宋体"/>
          <w:sz w:val="24"/>
          <w:szCs w:val="24"/>
        </w:rPr>
        <w:t xml:space="preserve">.1 </w:t>
      </w:r>
      <w:r>
        <w:rPr>
          <w:rFonts w:hint="eastAsia" w:ascii="宋体" w:hAnsi="宋体" w:eastAsia="宋体" w:cs="宋体"/>
          <w:sz w:val="24"/>
          <w:szCs w:val="24"/>
          <w:lang w:val="en-US" w:eastAsia="zh-CN"/>
        </w:rPr>
        <w:t>甲乙双方无正当理由不得无故终止和解除合同，否则违约方应按照合同总价的20%向对方支付违约金，如由此给对方造成的损失大于违约金额的，应以实际损失予以赔偿。</w:t>
      </w:r>
    </w:p>
    <w:p w14:paraId="597747EC">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jc w:val="both"/>
        <w:textAlignment w:val="auto"/>
        <w:rPr>
          <w:rFonts w:ascii="宋体" w:hAnsi="宋体" w:eastAsia="宋体" w:cs="宋体"/>
          <w:sz w:val="24"/>
          <w:szCs w:val="24"/>
        </w:rPr>
      </w:pPr>
      <w:r>
        <w:rPr>
          <w:rFonts w:hint="eastAsia" w:ascii="宋体" w:hAnsi="宋体" w:eastAsia="宋体" w:cs="宋体"/>
          <w:sz w:val="24"/>
          <w:szCs w:val="24"/>
          <w:lang w:val="en-US" w:eastAsia="zh-CN"/>
        </w:rPr>
        <w:t>7</w:t>
      </w:r>
      <w:r>
        <w:rPr>
          <w:rFonts w:ascii="宋体" w:hAnsi="宋体" w:eastAsia="宋体" w:cs="宋体"/>
          <w:sz w:val="24"/>
          <w:szCs w:val="24"/>
        </w:rPr>
        <w:t>.2 乙方在承担养护工作期间，如不能按时完成工作或完成的工作质量没有达到标准要求，按条款</w:t>
      </w:r>
      <w:r>
        <w:rPr>
          <w:rFonts w:hint="eastAsia" w:ascii="宋体" w:hAnsi="宋体" w:eastAsia="宋体" w:cs="宋体"/>
          <w:sz w:val="24"/>
          <w:szCs w:val="24"/>
          <w:lang w:val="en-US" w:eastAsia="zh-CN"/>
        </w:rPr>
        <w:t>5.3</w:t>
      </w:r>
      <w:r>
        <w:rPr>
          <w:rFonts w:ascii="宋体" w:hAnsi="宋体" w:eastAsia="宋体" w:cs="宋体"/>
          <w:sz w:val="24"/>
          <w:szCs w:val="24"/>
        </w:rPr>
        <w:t>考核细则相关规定进行扣款。</w:t>
      </w:r>
    </w:p>
    <w:p w14:paraId="78A5F41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7.3 乙方应严格按照养护内容及养护工作要求与标准及合同约定的内容提供养护服务，如乙方在养护过程中发生连续2次考核评分不合格（考核评分低于75（含）分的为不合格），或累计发生3次考核评分不合格（考核评分低于75（含）分的为不合格），甲方有权解除合同，未支付的养护费用不予支付，乙方应按照合同总价的30%向甲方支付违约金，并承担由此给甲方造成的全部损失（包括但不限于第三方索赔、律师费、诉讼费、鉴定费、公证费、差旅费等甲方采取诉讼途径发生的一切费用）。</w:t>
      </w:r>
    </w:p>
    <w:p w14:paraId="3348D8D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7.4 养护过程中，如甲方发现乙方项目实施情况与项目合同或养护要求严重不符，或由于其他客观情况发生了重大变化，经甲乙双方协商，可修改或终止项目合同。</w:t>
      </w:r>
    </w:p>
    <w:p w14:paraId="3BDC0A4A">
      <w:pPr>
        <w:keepNext w:val="0"/>
        <w:keepLines w:val="0"/>
        <w:pageBreakBefore w:val="0"/>
        <w:kinsoku/>
        <w:wordWrap/>
        <w:overflowPunct/>
        <w:topLinePunct w:val="0"/>
        <w:autoSpaceDE/>
        <w:autoSpaceDN/>
        <w:bidi w:val="0"/>
        <w:adjustRightInd/>
        <w:snapToGrid/>
        <w:spacing w:beforeAutospacing="0" w:line="400" w:lineRule="exact"/>
        <w:ind w:firstLine="482" w:firstLineChars="200"/>
        <w:jc w:val="both"/>
        <w:textAlignment w:val="auto"/>
        <w:rPr>
          <w:rFonts w:hint="default" w:ascii="宋体" w:hAnsi="宋体" w:eastAsia="宋体;SimSun" w:cs="宋体"/>
          <w:b w:val="0"/>
          <w:bCs/>
          <w:color w:val="auto"/>
          <w:sz w:val="24"/>
          <w:highlight w:val="none"/>
          <w:lang w:val="en-US" w:eastAsia="zh-CN"/>
        </w:rPr>
      </w:pPr>
      <w:r>
        <w:rPr>
          <w:rFonts w:hint="eastAsia" w:ascii="宋体" w:hAnsi="宋体" w:cs="宋体"/>
          <w:b/>
          <w:bCs w:val="0"/>
          <w:color w:val="auto"/>
          <w:sz w:val="24"/>
          <w:highlight w:val="none"/>
          <w:lang w:val="en-US" w:eastAsia="zh-CN"/>
        </w:rPr>
        <w:t xml:space="preserve">第八条 </w:t>
      </w:r>
      <w:r>
        <w:rPr>
          <w:rFonts w:hint="eastAsia" w:ascii="宋体" w:hAnsi="宋体" w:eastAsia="宋体" w:cs="宋体"/>
          <w:b/>
          <w:bCs w:val="0"/>
          <w:color w:val="auto"/>
          <w:sz w:val="24"/>
          <w:highlight w:val="none"/>
          <w:lang w:val="en-US" w:eastAsia="zh-CN"/>
        </w:rPr>
        <w:t>不可抗力</w:t>
      </w:r>
    </w:p>
    <w:p w14:paraId="40D1E73A">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8</w:t>
      </w:r>
      <w:r>
        <w:rPr>
          <w:rFonts w:ascii="宋体" w:hAnsi="宋体" w:eastAsia="宋体" w:cs="宋体"/>
          <w:sz w:val="24"/>
          <w:szCs w:val="24"/>
        </w:rPr>
        <w:t>.1 下列事件可认为是不可抗力事件：大风、冰雹、雪灾等不能预见、不能避免、不能克服的客观情况。</w:t>
      </w:r>
    </w:p>
    <w:p w14:paraId="7280CE88">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eastAsia="宋体" w:cs="宋体"/>
          <w:sz w:val="24"/>
          <w:szCs w:val="24"/>
          <w:lang w:val="en-US" w:eastAsia="zh-CN"/>
        </w:rPr>
        <w:t>8</w:t>
      </w:r>
      <w:r>
        <w:rPr>
          <w:rFonts w:ascii="宋体" w:hAnsi="宋体" w:eastAsia="宋体" w:cs="宋体"/>
          <w:sz w:val="24"/>
          <w:szCs w:val="24"/>
        </w:rPr>
        <w:t>.2 由于不可抗力原因，乙方尽量避免或减少损失，将因不可抗力造成的损失降低到最小程度，双方不能履行合同义务时，双方共同协商。</w:t>
      </w:r>
    </w:p>
    <w:p w14:paraId="65FE80B2">
      <w:pPr>
        <w:keepNext w:val="0"/>
        <w:keepLines w:val="0"/>
        <w:pageBreakBefore w:val="0"/>
        <w:kinsoku/>
        <w:wordWrap/>
        <w:overflowPunct/>
        <w:topLinePunct w:val="0"/>
        <w:autoSpaceDE/>
        <w:autoSpaceDN/>
        <w:bidi w:val="0"/>
        <w:adjustRightInd/>
        <w:snapToGrid/>
        <w:spacing w:beforeAutospacing="0" w:line="400" w:lineRule="exact"/>
        <w:ind w:firstLine="482" w:firstLineChars="200"/>
        <w:textAlignment w:val="auto"/>
        <w:rPr>
          <w:rFonts w:hint="eastAsia" w:ascii="宋体" w:hAnsi="宋体" w:eastAsia="宋体" w:cs="宋体"/>
          <w:b/>
          <w:bCs w:val="0"/>
          <w:color w:val="auto"/>
          <w:sz w:val="24"/>
          <w:highlight w:val="none"/>
        </w:rPr>
      </w:pPr>
      <w:r>
        <w:rPr>
          <w:rFonts w:hint="eastAsia" w:ascii="宋体" w:hAnsi="宋体" w:cs="宋体"/>
          <w:b/>
          <w:bCs w:val="0"/>
          <w:color w:val="auto"/>
          <w:sz w:val="24"/>
          <w:highlight w:val="none"/>
          <w:lang w:val="en-US" w:eastAsia="zh-CN"/>
        </w:rPr>
        <w:t>第九条 合同的生效、变更、解除和终止</w:t>
      </w:r>
    </w:p>
    <w:p w14:paraId="0CA26842">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ascii="宋体" w:hAnsi="宋体" w:eastAsia="宋体" w:cs="宋体"/>
          <w:sz w:val="24"/>
          <w:szCs w:val="24"/>
        </w:rPr>
        <w:t>.1 本合同经双方法定代表（负责）人或委托代理人签字并加盖单位印章后生效。</w:t>
      </w:r>
    </w:p>
    <w:p w14:paraId="6F39CA96">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ascii="宋体" w:hAnsi="宋体" w:eastAsia="宋体" w:cs="宋体"/>
          <w:sz w:val="24"/>
          <w:szCs w:val="24"/>
        </w:rPr>
        <w:t>.2 本合同经双方协商一致，可以变更，合同变更协议应采用书面形式。</w:t>
      </w:r>
    </w:p>
    <w:p w14:paraId="6F0C74B2">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ascii="宋体" w:hAnsi="宋体" w:eastAsia="宋体" w:cs="宋体"/>
          <w:sz w:val="24"/>
          <w:szCs w:val="24"/>
        </w:rPr>
        <w:t>.3 本合同解除条件:</w:t>
      </w:r>
    </w:p>
    <w:p w14:paraId="07FD4E6A">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ascii="宋体" w:hAnsi="宋体" w:eastAsia="宋体" w:cs="宋体"/>
          <w:sz w:val="24"/>
          <w:szCs w:val="24"/>
        </w:rPr>
        <w:t>.3.1 因不可抗力致使不能实现合同目的的；</w:t>
      </w:r>
    </w:p>
    <w:p w14:paraId="48154CEB">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ascii="宋体" w:hAnsi="宋体" w:eastAsia="宋体" w:cs="宋体"/>
          <w:sz w:val="24"/>
          <w:szCs w:val="24"/>
        </w:rPr>
        <w:t>.3.2 在履行期限届满之前，一方明确表示或者以自己实际行为表明其不履行合同义务的；</w:t>
      </w:r>
    </w:p>
    <w:p w14:paraId="5699BF10">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ascii="宋体" w:hAnsi="宋体" w:eastAsia="宋体" w:cs="宋体"/>
          <w:sz w:val="24"/>
          <w:szCs w:val="24"/>
        </w:rPr>
        <w:t>.3.3 双方协商一致同意解除的；</w:t>
      </w:r>
    </w:p>
    <w:p w14:paraId="01B51608">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ascii="宋体" w:hAnsi="宋体" w:eastAsia="宋体" w:cs="宋体"/>
          <w:sz w:val="24"/>
          <w:szCs w:val="24"/>
        </w:rPr>
        <w:t>.3.4 乙方给甲方造成损失拒不赔偿的，甲方有权解除合同；</w:t>
      </w:r>
    </w:p>
    <w:p w14:paraId="1BBA990D">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ascii="宋体" w:hAnsi="宋体" w:eastAsia="宋体" w:cs="宋体"/>
          <w:sz w:val="24"/>
          <w:szCs w:val="24"/>
        </w:rPr>
        <w:t>.3.5 因非自然因素或管理不到位造成的损失，甲方有权要求其进行无偿返工，返工不及时或未按标准整改，甲方有权安排第三方进行作业，所发生的各项费用，从养护费中扣除，并处以5000元至10000元罚款。情节严重且二次验收不合格的</w:t>
      </w:r>
      <w:r>
        <w:rPr>
          <w:rFonts w:hint="eastAsia" w:ascii="宋体" w:hAnsi="宋体" w:eastAsia="宋体" w:cs="宋体"/>
          <w:sz w:val="24"/>
          <w:szCs w:val="24"/>
          <w:lang w:val="en-US" w:eastAsia="zh-CN"/>
        </w:rPr>
        <w:t>（考核评分低于75（含）分的为不合格）</w:t>
      </w:r>
      <w:r>
        <w:rPr>
          <w:rFonts w:ascii="宋体" w:hAnsi="宋体" w:eastAsia="宋体" w:cs="宋体"/>
          <w:sz w:val="24"/>
          <w:szCs w:val="24"/>
        </w:rPr>
        <w:t>，甲方有权终止其合同；</w:t>
      </w:r>
    </w:p>
    <w:p w14:paraId="469424F0">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ascii="宋体" w:hAnsi="宋体" w:eastAsia="宋体" w:cs="宋体"/>
          <w:sz w:val="24"/>
          <w:szCs w:val="24"/>
        </w:rPr>
        <w:t>.3.6 本合同禁止分包、转包，乙方在养护期间，如未按照养护合同或未经甲方批准，进行项目分包、转包的，甲方有权终止合同，</w:t>
      </w:r>
      <w:r>
        <w:rPr>
          <w:rFonts w:hint="eastAsia" w:ascii="宋体" w:hAnsi="宋体" w:eastAsia="宋体" w:cs="宋体"/>
          <w:sz w:val="24"/>
          <w:szCs w:val="24"/>
          <w:lang w:val="en-US" w:eastAsia="zh-CN"/>
        </w:rPr>
        <w:t>并按照合同总价的30%要求乙方支付违约金，</w:t>
      </w:r>
      <w:r>
        <w:rPr>
          <w:rFonts w:ascii="宋体" w:hAnsi="宋体" w:eastAsia="宋体" w:cs="宋体"/>
          <w:sz w:val="24"/>
          <w:szCs w:val="24"/>
        </w:rPr>
        <w:t>所有损失由乙方自行承担</w:t>
      </w:r>
      <w:r>
        <w:rPr>
          <w:rFonts w:hint="eastAsia" w:ascii="宋体" w:hAnsi="宋体" w:eastAsia="宋体" w:cs="宋体"/>
          <w:sz w:val="24"/>
          <w:szCs w:val="24"/>
          <w:lang w:val="en-US" w:eastAsia="zh-CN"/>
        </w:rPr>
        <w:t>（包括但不限于第三方索赔、律师费、诉讼费、鉴定费、公证费、差旅费等甲方采取诉讼途径发生的一切费用）。</w:t>
      </w:r>
    </w:p>
    <w:p w14:paraId="6166CE13">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ascii="宋体" w:hAnsi="宋体" w:eastAsia="宋体" w:cs="宋体"/>
          <w:sz w:val="24"/>
          <w:szCs w:val="24"/>
        </w:rPr>
        <w:t>.4 有下列情形之一的，本合同的权利义务终止：</w:t>
      </w:r>
    </w:p>
    <w:p w14:paraId="1A677A52">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ascii="宋体" w:hAnsi="宋体" w:eastAsia="宋体" w:cs="宋体"/>
          <w:sz w:val="24"/>
          <w:szCs w:val="24"/>
        </w:rPr>
        <w:t>.4.1 合同已经按照约定时间履行完结；</w:t>
      </w:r>
    </w:p>
    <w:p w14:paraId="2C8EA0C8">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ascii="宋体" w:hAnsi="宋体" w:eastAsia="宋体" w:cs="宋体"/>
          <w:sz w:val="24"/>
          <w:szCs w:val="24"/>
        </w:rPr>
        <w:t>.4.2 双方协商解除合同；</w:t>
      </w:r>
    </w:p>
    <w:p w14:paraId="48057FAA">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ascii="宋体" w:hAnsi="宋体" w:eastAsia="宋体" w:cs="宋体"/>
          <w:sz w:val="24"/>
          <w:szCs w:val="24"/>
        </w:rPr>
        <w:t>.4.3 法律规定的其它情形；</w:t>
      </w:r>
    </w:p>
    <w:p w14:paraId="78EBFFBE">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cs="宋体"/>
          <w:b/>
          <w:bCs w:val="0"/>
          <w:color w:val="auto"/>
          <w:sz w:val="24"/>
          <w:highlight w:val="none"/>
          <w:lang w:val="en-US" w:eastAsia="zh-CN"/>
        </w:rPr>
      </w:pPr>
      <w:r>
        <w:rPr>
          <w:rFonts w:hint="eastAsia" w:ascii="宋体" w:hAnsi="宋体" w:eastAsia="宋体" w:cs="宋体"/>
          <w:sz w:val="24"/>
          <w:szCs w:val="24"/>
          <w:lang w:val="en-US" w:eastAsia="zh-CN"/>
        </w:rPr>
        <w:t>9</w:t>
      </w:r>
      <w:r>
        <w:rPr>
          <w:rFonts w:ascii="宋体" w:hAnsi="宋体" w:eastAsia="宋体" w:cs="宋体"/>
          <w:sz w:val="24"/>
          <w:szCs w:val="24"/>
        </w:rPr>
        <w:t>.4.4 合同变更、解除或终止，不能免除违约方应承担的违约责任，给对方造成损失的，还应承担赔偿责任。</w:t>
      </w:r>
    </w:p>
    <w:p w14:paraId="59783148">
      <w:pPr>
        <w:keepNext w:val="0"/>
        <w:keepLines w:val="0"/>
        <w:pageBreakBefore w:val="0"/>
        <w:widowControl w:val="0"/>
        <w:kinsoku/>
        <w:wordWrap/>
        <w:overflowPunct/>
        <w:topLinePunct w:val="0"/>
        <w:autoSpaceDE/>
        <w:autoSpaceDN/>
        <w:bidi w:val="0"/>
        <w:adjustRightInd/>
        <w:snapToGrid/>
        <w:spacing w:beforeAutospacing="0" w:line="400" w:lineRule="exact"/>
        <w:ind w:firstLine="482" w:firstLineChars="200"/>
        <w:textAlignment w:val="auto"/>
        <w:rPr>
          <w:rFonts w:hint="eastAsia" w:ascii="宋体" w:hAnsi="宋体" w:eastAsia="宋体" w:cs="宋体"/>
          <w:b w:val="0"/>
          <w:bCs/>
          <w:color w:val="auto"/>
          <w:sz w:val="24"/>
          <w:highlight w:val="none"/>
        </w:rPr>
      </w:pPr>
      <w:r>
        <w:rPr>
          <w:rFonts w:hint="eastAsia" w:ascii="宋体" w:hAnsi="宋体" w:cs="宋体"/>
          <w:b/>
          <w:bCs w:val="0"/>
          <w:color w:val="auto"/>
          <w:sz w:val="24"/>
          <w:highlight w:val="none"/>
          <w:lang w:val="en-US" w:eastAsia="zh-CN"/>
        </w:rPr>
        <w:t>十、争议</w:t>
      </w:r>
      <w:r>
        <w:rPr>
          <w:rFonts w:hint="eastAsia" w:ascii="宋体" w:hAnsi="宋体" w:eastAsia="宋体" w:cs="宋体"/>
          <w:b/>
          <w:bCs w:val="0"/>
          <w:color w:val="auto"/>
          <w:sz w:val="24"/>
          <w:highlight w:val="none"/>
        </w:rPr>
        <w:t>解决</w:t>
      </w:r>
      <w:r>
        <w:rPr>
          <w:rFonts w:hint="eastAsia" w:ascii="宋体" w:hAnsi="宋体" w:eastAsia="宋体" w:cs="宋体"/>
          <w:b w:val="0"/>
          <w:bCs/>
          <w:color w:val="auto"/>
          <w:sz w:val="24"/>
          <w:highlight w:val="none"/>
        </w:rPr>
        <w:t xml:space="preserve"> </w:t>
      </w:r>
    </w:p>
    <w:p w14:paraId="41D8EB4A">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本合同在履行过程中发生的争议，由双方当事人协商解决；协商不成的，按下列第【</w:t>
      </w:r>
      <w:r>
        <w:rPr>
          <w:rFonts w:hint="eastAsia" w:ascii="宋体" w:hAnsi="宋体" w:cs="宋体"/>
          <w:b w:val="0"/>
          <w:bCs/>
          <w:color w:val="auto"/>
          <w:sz w:val="24"/>
          <w:highlight w:val="none"/>
          <w:lang w:val="en-US" w:eastAsia="zh-CN"/>
        </w:rPr>
        <w:t>二</w:t>
      </w:r>
      <w:r>
        <w:rPr>
          <w:rFonts w:hint="eastAsia" w:ascii="宋体" w:hAnsi="宋体" w:eastAsia="宋体" w:cs="宋体"/>
          <w:b w:val="0"/>
          <w:bCs/>
          <w:color w:val="auto"/>
          <w:sz w:val="24"/>
          <w:highlight w:val="none"/>
        </w:rPr>
        <w:t>】种方式解决：</w:t>
      </w:r>
    </w:p>
    <w:p w14:paraId="78D6FCC0">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（一）提交</w:t>
      </w:r>
      <w:r>
        <w:rPr>
          <w:rFonts w:hint="eastAsia" w:ascii="宋体" w:hAnsi="宋体" w:cs="宋体"/>
          <w:b w:val="0"/>
          <w:bCs/>
          <w:color w:val="auto"/>
          <w:sz w:val="24"/>
          <w:highlight w:val="none"/>
          <w:lang w:val="en-US" w:eastAsia="zh-CN"/>
        </w:rPr>
        <w:t xml:space="preserve"> </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仲裁委员会仲裁；</w:t>
      </w:r>
    </w:p>
    <w:p w14:paraId="641F58A5">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（二）依法向</w:t>
      </w:r>
      <w:r>
        <w:rPr>
          <w:rFonts w:hint="eastAsia" w:ascii="宋体" w:hAnsi="宋体" w:cs="宋体"/>
          <w:b w:val="0"/>
          <w:bCs/>
          <w:color w:val="auto"/>
          <w:sz w:val="24"/>
          <w:highlight w:val="none"/>
          <w:u w:val="single"/>
          <w:lang w:val="en-US" w:eastAsia="zh-CN"/>
        </w:rPr>
        <w:t xml:space="preserve">  甲方所在地  </w:t>
      </w:r>
      <w:r>
        <w:rPr>
          <w:rFonts w:hint="eastAsia" w:ascii="宋体" w:hAnsi="宋体" w:eastAsia="宋体" w:cs="宋体"/>
          <w:b w:val="0"/>
          <w:bCs/>
          <w:color w:val="auto"/>
          <w:sz w:val="24"/>
          <w:highlight w:val="none"/>
        </w:rPr>
        <w:t>人民法院起诉。</w:t>
      </w:r>
    </w:p>
    <w:p w14:paraId="7F96C99F">
      <w:pPr>
        <w:keepNext w:val="0"/>
        <w:keepLines w:val="0"/>
        <w:pageBreakBefore w:val="0"/>
        <w:widowControl w:val="0"/>
        <w:kinsoku/>
        <w:wordWrap/>
        <w:overflowPunct/>
        <w:topLinePunct w:val="0"/>
        <w:autoSpaceDE/>
        <w:autoSpaceDN/>
        <w:bidi w:val="0"/>
        <w:adjustRightInd/>
        <w:snapToGrid/>
        <w:spacing w:beforeAutospacing="0" w:line="400" w:lineRule="exact"/>
        <w:ind w:firstLine="482" w:firstLineChars="200"/>
        <w:textAlignment w:val="auto"/>
        <w:rPr>
          <w:rFonts w:hint="default" w:ascii="宋体" w:hAnsi="宋体" w:eastAsia="宋体;SimSun" w:cs="宋体"/>
          <w:b/>
          <w:bCs w:val="0"/>
          <w:color w:val="auto"/>
          <w:sz w:val="24"/>
          <w:highlight w:val="none"/>
          <w:lang w:val="en-US" w:eastAsia="zh-CN"/>
        </w:rPr>
      </w:pPr>
      <w:r>
        <w:rPr>
          <w:rFonts w:hint="eastAsia" w:ascii="宋体" w:hAnsi="宋体" w:cs="宋体"/>
          <w:b/>
          <w:bCs w:val="0"/>
          <w:color w:val="auto"/>
          <w:sz w:val="24"/>
          <w:highlight w:val="none"/>
          <w:lang w:val="en-US" w:eastAsia="zh-CN"/>
        </w:rPr>
        <w:t>十一、其他</w:t>
      </w:r>
      <w:r>
        <w:rPr>
          <w:rFonts w:hint="eastAsia" w:ascii="宋体" w:hAnsi="宋体" w:eastAsia="宋体" w:cs="宋体"/>
          <w:b/>
          <w:bCs w:val="0"/>
          <w:color w:val="auto"/>
          <w:sz w:val="24"/>
          <w:highlight w:val="none"/>
          <w:lang w:val="en-US" w:eastAsia="zh-CN"/>
        </w:rPr>
        <w:t>约定事项</w:t>
      </w:r>
    </w:p>
    <w:p w14:paraId="09465715">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val="en-US" w:eastAsia="zh-CN"/>
        </w:rPr>
        <w:t>11</w:t>
      </w:r>
      <w:r>
        <w:rPr>
          <w:rFonts w:hint="eastAsia" w:ascii="宋体" w:hAnsi="宋体" w:eastAsia="宋体" w:cs="宋体"/>
          <w:b w:val="0"/>
          <w:bCs/>
          <w:color w:val="auto"/>
          <w:sz w:val="24"/>
          <w:highlight w:val="none"/>
        </w:rPr>
        <w:t>.1 和本合同相关的双方往来函件</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包括传真件、电子邮件</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与原件具有同等的法律效力，修改无效。</w:t>
      </w:r>
    </w:p>
    <w:p w14:paraId="09EB1455">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w:t>
      </w:r>
      <w:r>
        <w:rPr>
          <w:rFonts w:hint="eastAsia" w:ascii="宋体" w:hAnsi="宋体" w:cs="宋体"/>
          <w:b w:val="0"/>
          <w:bCs/>
          <w:color w:val="auto"/>
          <w:sz w:val="24"/>
          <w:highlight w:val="none"/>
          <w:lang w:val="en-US" w:eastAsia="zh-CN"/>
        </w:rPr>
        <w:t>1</w:t>
      </w:r>
      <w:r>
        <w:rPr>
          <w:rFonts w:hint="eastAsia" w:ascii="宋体" w:hAnsi="宋体" w:eastAsia="宋体" w:cs="宋体"/>
          <w:b w:val="0"/>
          <w:bCs/>
          <w:color w:val="auto"/>
          <w:sz w:val="24"/>
          <w:highlight w:val="none"/>
        </w:rPr>
        <w:t>.2 与本合同有关的招投标文件、答疑附件、合同附件</w:t>
      </w:r>
      <w:r>
        <w:rPr>
          <w:rFonts w:hint="eastAsia" w:ascii="宋体" w:hAnsi="宋体" w:eastAsia="宋体" w:cs="宋体"/>
          <w:b w:val="0"/>
          <w:bCs/>
          <w:color w:val="auto"/>
          <w:sz w:val="24"/>
          <w:highlight w:val="none"/>
          <w:lang w:eastAsia="zh-CN"/>
        </w:rPr>
        <w:t>、中标（成交）通知书</w:t>
      </w:r>
      <w:r>
        <w:rPr>
          <w:rFonts w:hint="eastAsia" w:ascii="宋体" w:hAnsi="宋体" w:eastAsia="宋体" w:cs="宋体"/>
          <w:b w:val="0"/>
          <w:bCs/>
          <w:color w:val="auto"/>
          <w:sz w:val="24"/>
          <w:highlight w:val="none"/>
        </w:rPr>
        <w:t>均是本合同不可分割的组成部分，与本合同具有同等法律效力，其他未尽事宜从其规定。</w:t>
      </w:r>
    </w:p>
    <w:p w14:paraId="62A3336B">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11.3 双方明确：本合同任何一方不得对招标文件确定的事项和中标人投标文件作实质性修改。如任何一方修改均为无效条款，该条款应以招标文件约定为准，招标文件未约定以中标通知书、投标文件为准。</w:t>
      </w:r>
    </w:p>
    <w:p w14:paraId="12449BD2">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11.4本合同中所载的书面通知方式仅指当事人亲自送达、挂号信、EMS方式。一方采取当事人亲自送达方式的，另一方有积极配合签收的义务。如一方拒绝签收而使另一方变更送达方式的，由此所产生的费用应当由违约方承担；如以EMS或快递方式寄送的，如无相反证据证明，自寄送之日起的第三日为送达之日。</w:t>
      </w:r>
    </w:p>
    <w:p w14:paraId="6B953F5D">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11.5本合同首部双方的联系方式及地址均为双方有效的送达地址，如有一方地址发生变更，应在变更后当日向对方书面通知，如因变更方未及时通知，相对方按合同尾部地址送达的，视为送达成功。</w:t>
      </w:r>
    </w:p>
    <w:p w14:paraId="782A3FAB">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11.6</w:t>
      </w:r>
      <w:r>
        <w:rPr>
          <w:rFonts w:ascii="宋体" w:hAnsi="宋体" w:eastAsia="宋体" w:cs="宋体"/>
          <w:sz w:val="24"/>
          <w:szCs w:val="24"/>
        </w:rPr>
        <w:t>本合同一式</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份，甲方执</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份，乙方执</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份，每份具有同等法律效力。</w:t>
      </w:r>
    </w:p>
    <w:p w14:paraId="7F370EE4">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（以下无正文，为本合同签署页）</w:t>
      </w:r>
    </w:p>
    <w:p w14:paraId="22334060">
      <w:pPr>
        <w:spacing w:line="520" w:lineRule="exact"/>
        <w:rPr>
          <w:rFonts w:hint="eastAsia" w:ascii="宋体" w:hAnsi="宋体" w:eastAsia="宋体" w:cs="宋体"/>
          <w:color w:val="auto"/>
          <w:sz w:val="24"/>
          <w:highlight w:val="none"/>
        </w:rPr>
      </w:pPr>
    </w:p>
    <w:p w14:paraId="195F3418">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甲方（盖章）：                          乙方（盖章）：</w:t>
      </w:r>
    </w:p>
    <w:p w14:paraId="740F10B4">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法人或授权代表（签字）：                法人或授权代表（签字）：</w:t>
      </w:r>
    </w:p>
    <w:p w14:paraId="4572FEA7">
      <w:pPr>
        <w:rPr>
          <w:color w:val="auto"/>
        </w:rPr>
      </w:pPr>
    </w:p>
    <w:p w14:paraId="32F191FF">
      <w:pPr>
        <w:rPr>
          <w:rFonts w:hint="default" w:ascii="宋体" w:hAnsi="宋体" w:eastAsia="宋体" w:cs="宋体"/>
          <w:color w:val="auto"/>
          <w:highlight w:val="none"/>
          <w:lang w:val="en-US" w:eastAsia="zh-CN"/>
        </w:rPr>
      </w:pPr>
      <w:r>
        <w:rPr>
          <w:rFonts w:ascii="宋体" w:hAnsi="宋体" w:eastAsia="宋体" w:cs="宋体"/>
          <w:sz w:val="24"/>
          <w:szCs w:val="24"/>
        </w:rPr>
        <w:t>日期： 年 月 日</w:t>
      </w:r>
      <w:r>
        <w:rPr>
          <w:rFonts w:hint="eastAsia" w:ascii="宋体" w:hAnsi="宋体" w:eastAsia="宋体" w:cs="宋体"/>
          <w:sz w:val="24"/>
          <w:szCs w:val="24"/>
          <w:lang w:val="en-US" w:eastAsia="zh-CN"/>
        </w:rPr>
        <w:t xml:space="preserve">                         </w:t>
      </w:r>
      <w:r>
        <w:rPr>
          <w:rFonts w:ascii="宋体" w:hAnsi="宋体" w:eastAsia="宋体" w:cs="宋体"/>
          <w:sz w:val="24"/>
          <w:szCs w:val="24"/>
        </w:rPr>
        <w:t>日期： 年 月 日</w:t>
      </w:r>
    </w:p>
    <w:p w14:paraId="79D52AE6">
      <w:pPr>
        <w:rPr>
          <w:rFonts w:hint="eastAsia" w:ascii="宋体" w:hAnsi="宋体" w:eastAsia="宋体" w:cs="宋体"/>
          <w:color w:val="auto"/>
          <w:highlight w:val="none"/>
        </w:rPr>
      </w:pPr>
    </w:p>
    <w:p w14:paraId="6E2557AB">
      <w:pPr>
        <w:spacing w:line="500" w:lineRule="exact"/>
        <w:rPr>
          <w:rFonts w:hint="eastAsia" w:ascii="宋体" w:hAnsi="宋体" w:eastAsia="宋体" w:cs="宋体"/>
          <w:color w:val="auto"/>
          <w:sz w:val="28"/>
          <w:szCs w:val="28"/>
          <w:highlight w:val="none"/>
          <w:lang w:val="en-US" w:eastAsia="zh-CN"/>
        </w:rPr>
      </w:pPr>
    </w:p>
    <w:p w14:paraId="4D8499A7">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r>
        <w:rPr>
          <w:rFonts w:hint="eastAsia" w:ascii="宋体" w:hAnsi="宋体" w:eastAsia="宋体" w:cs="宋体"/>
          <w:color w:val="auto"/>
          <w:sz w:val="28"/>
          <w:szCs w:val="28"/>
          <w:highlight w:val="none"/>
          <w:lang w:val="en-US" w:eastAsia="zh-CN"/>
        </w:rPr>
        <w:t>附件1：技术参数清单</w:t>
      </w:r>
    </w:p>
    <w:p w14:paraId="2418325F">
      <w:pPr>
        <w:pStyle w:val="7"/>
        <w:rPr>
          <w:rFonts w:hint="eastAsia"/>
          <w:color w:val="auto"/>
          <w:highlight w:val="none"/>
          <w:lang w:val="en-US" w:eastAsia="zh-CN"/>
        </w:rPr>
      </w:pPr>
    </w:p>
    <w:p w14:paraId="7C84DB9B">
      <w:pPr>
        <w:rPr>
          <w:rFonts w:hint="eastAsia" w:ascii="宋体" w:hAnsi="宋体" w:eastAsia="宋体" w:cs="宋体"/>
          <w:b/>
          <w:color w:val="auto"/>
          <w:sz w:val="44"/>
          <w:szCs w:val="44"/>
          <w:highlight w:val="none"/>
        </w:rPr>
      </w:pPr>
      <w:r>
        <w:rPr>
          <w:rFonts w:hint="eastAsia" w:ascii="宋体" w:hAnsi="宋体" w:eastAsia="宋体" w:cs="宋体"/>
          <w:color w:val="auto"/>
          <w:highlight w:val="none"/>
          <w:lang w:val="en-US" w:eastAsia="zh-CN"/>
        </w:rPr>
        <w:br w:type="page"/>
      </w: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：服务承诺书</w:t>
      </w:r>
    </w:p>
    <w:p w14:paraId="3EB3D75F">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lang w:val="en-US" w:eastAsia="zh-CN"/>
        </w:rPr>
        <w:t>服务</w:t>
      </w:r>
      <w:r>
        <w:rPr>
          <w:rFonts w:hint="eastAsia" w:ascii="宋体" w:hAnsi="宋体" w:eastAsia="宋体" w:cs="宋体"/>
          <w:b/>
          <w:bCs/>
          <w:color w:val="auto"/>
          <w:sz w:val="44"/>
          <w:szCs w:val="44"/>
          <w:highlight w:val="none"/>
        </w:rPr>
        <w:t>承诺书</w:t>
      </w:r>
    </w:p>
    <w:p w14:paraId="1AE0C427">
      <w:pPr>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　</w:t>
      </w:r>
      <w:r>
        <w:rPr>
          <w:rFonts w:hint="eastAsia" w:ascii="宋体" w:hAnsi="宋体" w:eastAsia="宋体" w:cs="宋体"/>
          <w:color w:val="auto"/>
          <w:sz w:val="30"/>
          <w:szCs w:val="30"/>
          <w:highlight w:val="none"/>
          <w:lang w:val="en-US" w:eastAsia="zh-CN"/>
        </w:rPr>
        <w:t xml:space="preserve">  </w:t>
      </w:r>
    </w:p>
    <w:p w14:paraId="101FD3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对于贵</w:t>
      </w:r>
      <w:r>
        <w:rPr>
          <w:rFonts w:hint="eastAsia" w:ascii="宋体" w:hAnsi="宋体" w:eastAsia="宋体" w:cs="宋体"/>
          <w:color w:val="auto"/>
          <w:sz w:val="24"/>
          <w:szCs w:val="24"/>
          <w:highlight w:val="none"/>
          <w:lang w:val="en-US" w:eastAsia="zh-CN"/>
        </w:rPr>
        <w:t>单位采购</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在我单位的服务工作过程中，我们将严格执行国家的有关法律法规，尊重并贯彻需方的意见，维护需方的利益，严把质量关，把向需方提供优质服务，作为我们工作目标。我单位本着想需方之所想，急需方之所急。在项目服务过程中与需方密切配合，随时随地提供全过程、全方位的服务,保证各项工作的顺利进行。如我公司能中标，我公司郑重承诺如下:</w:t>
      </w:r>
    </w:p>
    <w:p w14:paraId="7B5F59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如果我公司中标，我们保证保质保量完成</w:t>
      </w:r>
      <w:r>
        <w:rPr>
          <w:rFonts w:hint="eastAsia" w:ascii="宋体" w:hAnsi="宋体" w:eastAsia="宋体" w:cs="宋体"/>
          <w:color w:val="auto"/>
          <w:sz w:val="24"/>
          <w:szCs w:val="24"/>
          <w:highlight w:val="none"/>
          <w:lang w:val="en-US" w:eastAsia="zh-CN"/>
        </w:rPr>
        <w:t>本项目所有服务工作</w:t>
      </w:r>
      <w:r>
        <w:rPr>
          <w:rFonts w:hint="eastAsia" w:ascii="宋体" w:hAnsi="宋体" w:eastAsia="宋体" w:cs="宋体"/>
          <w:color w:val="auto"/>
          <w:sz w:val="24"/>
          <w:szCs w:val="24"/>
          <w:highlight w:val="none"/>
        </w:rPr>
        <w:t>。</w:t>
      </w:r>
    </w:p>
    <w:p w14:paraId="6C8A54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二、我公司严格按照</w:t>
      </w:r>
      <w:r>
        <w:rPr>
          <w:rFonts w:hint="eastAsia" w:ascii="宋体" w:hAnsi="宋体" w:eastAsia="宋体" w:cs="宋体"/>
          <w:color w:val="auto"/>
          <w:sz w:val="24"/>
          <w:szCs w:val="24"/>
          <w:highlight w:val="none"/>
          <w:lang w:val="en-US" w:eastAsia="zh-CN"/>
        </w:rPr>
        <w:t>磋商文件、响应文件及采购方要求提供服务。</w:t>
      </w:r>
    </w:p>
    <w:p w14:paraId="62D8FA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三、对于我公司提供服务，杜绝出现服务质量问题、学生投诉、服务态度恶劣、服务不及时、不按照采购单位规定堆放货物、私自调整售卖价格、不配合采购单位工作等情况。</w:t>
      </w:r>
    </w:p>
    <w:p w14:paraId="6B39A7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四、我公司针对本项目配备专项服务团队，有固定联系人和技术人员对接，提供每周7天，24小时全天候的不间断技术服务支持。</w:t>
      </w:r>
    </w:p>
    <w:p w14:paraId="3B9C8B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五、如在服务过程中自身问题导致采购方无法正常运营，我公司在30分钟内响应，12小时内解决问题。如有必要，在采购方规定的时间内到达现场解决问题。</w:t>
      </w:r>
    </w:p>
    <w:p w14:paraId="236FD8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为共同确保</w:t>
      </w:r>
      <w:r>
        <w:rPr>
          <w:rFonts w:hint="eastAsia" w:ascii="宋体" w:hAnsi="宋体" w:eastAsia="宋体" w:cs="宋体"/>
          <w:color w:val="auto"/>
          <w:sz w:val="24"/>
          <w:szCs w:val="24"/>
          <w:highlight w:val="none"/>
          <w:lang w:val="en-US" w:eastAsia="zh-CN"/>
        </w:rPr>
        <w:t>服务质量</w:t>
      </w:r>
      <w:r>
        <w:rPr>
          <w:rFonts w:hint="eastAsia" w:ascii="宋体" w:hAnsi="宋体" w:eastAsia="宋体" w:cs="宋体"/>
          <w:color w:val="auto"/>
          <w:sz w:val="24"/>
          <w:szCs w:val="24"/>
          <w:highlight w:val="none"/>
        </w:rPr>
        <w:t>，我公司特向贵</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作出上述承诺，并愿意遵照执行。</w:t>
      </w:r>
    </w:p>
    <w:p w14:paraId="64484641">
      <w:pPr>
        <w:numPr>
          <w:ilvl w:val="0"/>
          <w:numId w:val="0"/>
        </w:numPr>
        <w:rPr>
          <w:rFonts w:hint="eastAsia" w:ascii="宋体" w:hAnsi="宋体" w:eastAsia="宋体" w:cs="宋体"/>
          <w:color w:val="auto"/>
          <w:sz w:val="24"/>
          <w:szCs w:val="24"/>
          <w:highlight w:val="none"/>
        </w:rPr>
      </w:pPr>
    </w:p>
    <w:p w14:paraId="0FAD3BE6">
      <w:pPr>
        <w:spacing w:line="540" w:lineRule="exact"/>
        <w:ind w:right="56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7124BFF7">
      <w:pPr>
        <w:spacing w:line="540" w:lineRule="exact"/>
        <w:ind w:right="560"/>
        <w:jc w:val="center"/>
        <w:rPr>
          <w:rFonts w:hint="eastAsia" w:ascii="宋体" w:hAnsi="宋体" w:eastAsia="宋体" w:cs="宋体"/>
          <w:color w:val="auto"/>
          <w:sz w:val="24"/>
          <w:szCs w:val="24"/>
          <w:highlight w:val="none"/>
          <w:lang w:val="en-US" w:eastAsia="zh-CN"/>
        </w:rPr>
      </w:pPr>
    </w:p>
    <w:p w14:paraId="376010A1">
      <w:pPr>
        <w:spacing w:line="540" w:lineRule="exact"/>
        <w:ind w:right="5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承诺单位（盖章）：</w:t>
      </w:r>
    </w:p>
    <w:p w14:paraId="338CA371">
      <w:pPr>
        <w:spacing w:line="540" w:lineRule="exact"/>
        <w:ind w:right="84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990CDE4">
      <w:pPr>
        <w:spacing w:line="540" w:lineRule="exact"/>
        <w:ind w:left="4800" w:right="840" w:hanging="3840" w:hangingChars="1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或授权代理人）签</w:t>
      </w:r>
      <w:r>
        <w:rPr>
          <w:rFonts w:hint="eastAsia" w:ascii="宋体" w:hAnsi="宋体" w:eastAsia="宋体" w:cs="宋体"/>
          <w:color w:val="auto"/>
          <w:sz w:val="24"/>
          <w:szCs w:val="24"/>
          <w:highlight w:val="none"/>
        </w:rPr>
        <w:t>字：</w:t>
      </w:r>
      <w:r>
        <w:rPr>
          <w:rFonts w:hint="eastAsia" w:ascii="宋体" w:hAnsi="宋体" w:eastAsia="宋体" w:cs="宋体"/>
          <w:color w:val="auto"/>
          <w:sz w:val="24"/>
          <w:szCs w:val="24"/>
          <w:highlight w:val="none"/>
          <w:lang w:val="en-US" w:eastAsia="zh-CN"/>
        </w:rPr>
        <w:t xml:space="preserve"> </w:t>
      </w:r>
    </w:p>
    <w:p w14:paraId="0D53D906">
      <w:pPr>
        <w:spacing w:line="540" w:lineRule="exact"/>
        <w:ind w:right="84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F8F0BCA">
      <w:pPr>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w:t>
      </w:r>
    </w:p>
    <w:p w14:paraId="522258F2">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附件:廉政承诺书</w:t>
      </w:r>
    </w:p>
    <w:p w14:paraId="3E4F362E">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廉政承诺书</w:t>
      </w:r>
    </w:p>
    <w:p w14:paraId="46F91D44">
      <w:pPr>
        <w:spacing w:line="540" w:lineRule="exact"/>
        <w:ind w:firstLine="600" w:firstLineChars="200"/>
        <w:rPr>
          <w:rFonts w:hint="eastAsia" w:ascii="宋体" w:hAnsi="宋体" w:eastAsia="宋体" w:cs="宋体"/>
          <w:color w:val="auto"/>
          <w:sz w:val="30"/>
          <w:szCs w:val="30"/>
          <w:highlight w:val="none"/>
        </w:rPr>
      </w:pPr>
    </w:p>
    <w:p w14:paraId="74AFE525">
      <w:pPr>
        <w:spacing w:line="5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为建立廉洁自律的工作纪律，本公司作为新疆医科大学的供应商，在独立、客观、公正的基础上开展各项业务，杜绝发生违法、违纪和不良行为。本公司将严格按照以下措施做好各项工作，并自愿向贵校承诺如下：</w:t>
      </w:r>
    </w:p>
    <w:p w14:paraId="6A2D9901">
      <w:pPr>
        <w:spacing w:line="5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廉政内容</w:t>
      </w:r>
    </w:p>
    <w:p w14:paraId="347A4C47">
      <w:pPr>
        <w:spacing w:line="5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bCs/>
          <w:color w:val="auto"/>
          <w:sz w:val="24"/>
          <w:szCs w:val="24"/>
          <w:highlight w:val="none"/>
        </w:rPr>
        <w:t>严格遵守党规、党纪、国家法律、行政法规和贵校的各项规章制度，做到依法经营、诚实守信和廉洁自律；</w:t>
      </w:r>
    </w:p>
    <w:p w14:paraId="2783E197">
      <w:pPr>
        <w:spacing w:line="5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bCs/>
          <w:color w:val="auto"/>
          <w:sz w:val="24"/>
          <w:szCs w:val="24"/>
          <w:highlight w:val="none"/>
        </w:rPr>
        <w:t>正确行使权力，不在贵校的管理、招投标活动和业务合作中发生任何违法、违规、违纪行为，不谋取不正当利益和损害贵校的利益；</w:t>
      </w:r>
    </w:p>
    <w:p w14:paraId="1A4641C6">
      <w:pPr>
        <w:spacing w:line="5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bCs/>
          <w:color w:val="auto"/>
          <w:sz w:val="24"/>
          <w:szCs w:val="24"/>
          <w:highlight w:val="none"/>
        </w:rPr>
        <w:t>不以权谋私，不从事任何损害贵校利益的业务，不利用条件上的便利从事有偿居间活动；不利用条件上的便利为亲属、特定关系人谋取任何利益；</w:t>
      </w:r>
    </w:p>
    <w:p w14:paraId="39E1AB81">
      <w:pPr>
        <w:spacing w:line="5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bCs/>
          <w:color w:val="auto"/>
          <w:sz w:val="24"/>
          <w:szCs w:val="24"/>
          <w:highlight w:val="none"/>
        </w:rPr>
        <w:t>坚决抵制商业贿赂，绝不向贵校的工作人员及其家人</w:t>
      </w:r>
      <w:r>
        <w:rPr>
          <w:rFonts w:hint="eastAsia" w:ascii="宋体" w:hAnsi="宋体" w:eastAsia="宋体" w:cs="宋体"/>
          <w:color w:val="auto"/>
          <w:sz w:val="24"/>
          <w:szCs w:val="24"/>
          <w:highlight w:val="none"/>
        </w:rPr>
        <w:t>行贿或变现行贿</w:t>
      </w:r>
      <w:r>
        <w:rPr>
          <w:rFonts w:hint="eastAsia" w:ascii="宋体" w:hAnsi="宋体" w:eastAsia="宋体" w:cs="宋体"/>
          <w:bCs/>
          <w:color w:val="auto"/>
          <w:sz w:val="24"/>
          <w:szCs w:val="24"/>
          <w:highlight w:val="none"/>
        </w:rPr>
        <w:t>，不以任何形式向其赠送礼金、有价证券和贵重物品、以报销、提成、回扣等方式给予任何费用；</w:t>
      </w:r>
    </w:p>
    <w:p w14:paraId="40303366">
      <w:pPr>
        <w:spacing w:line="5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bCs/>
          <w:color w:val="auto"/>
          <w:sz w:val="24"/>
          <w:szCs w:val="24"/>
          <w:highlight w:val="none"/>
        </w:rPr>
        <w:t>在业务合作过程中，如出现相关人员吃、拿、卡、要等现象应立即停止并向新疆医科大学</w:t>
      </w:r>
      <w:r>
        <w:rPr>
          <w:rFonts w:hint="eastAsia" w:ascii="宋体" w:hAnsi="宋体" w:eastAsia="宋体" w:cs="宋体"/>
          <w:bCs/>
          <w:color w:val="auto"/>
          <w:sz w:val="24"/>
          <w:szCs w:val="24"/>
          <w:highlight w:val="none"/>
          <w:lang w:val="en-US" w:eastAsia="zh-CN"/>
        </w:rPr>
        <w:t>纪检委</w:t>
      </w:r>
      <w:r>
        <w:rPr>
          <w:rFonts w:hint="eastAsia" w:ascii="宋体" w:hAnsi="宋体" w:eastAsia="宋体" w:cs="宋体"/>
          <w:bCs/>
          <w:color w:val="auto"/>
          <w:sz w:val="24"/>
          <w:szCs w:val="24"/>
          <w:highlight w:val="none"/>
        </w:rPr>
        <w:t>进行反映；</w:t>
      </w:r>
    </w:p>
    <w:p w14:paraId="6EAA119B">
      <w:pPr>
        <w:pStyle w:val="7"/>
        <w:spacing w:line="5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（六）不以任何理由邀请新疆医科大学工作人员外出旅游或安排参加宴请及娱乐活动；</w:t>
      </w:r>
    </w:p>
    <w:p w14:paraId="1D65657F">
      <w:pPr>
        <w:pStyle w:val="7"/>
        <w:spacing w:line="540" w:lineRule="exact"/>
        <w:ind w:left="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本公司指定业务代表洽谈业务，销售代表必须在工作时间到新疆医科大学指定地点联系商谈，不得到学校、学院、科室等推销任何产品，不得借故到相关领导、部门负责人及相关工作人员家中访谈并提供任何好处费。</w:t>
      </w:r>
    </w:p>
    <w:p w14:paraId="4489CF1B">
      <w:pPr>
        <w:spacing w:line="5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 如本公司违反上述承诺，本公司自愿承担如下责任</w:t>
      </w:r>
    </w:p>
    <w:p w14:paraId="4B03BBDE">
      <w:pPr>
        <w:spacing w:line="5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Cs/>
          <w:color w:val="auto"/>
          <w:sz w:val="24"/>
          <w:szCs w:val="24"/>
          <w:highlight w:val="none"/>
        </w:rPr>
        <w:t xml:space="preserve"> 如因本公司的相关行为给贵校造成损失的，本公司</w:t>
      </w:r>
      <w:r>
        <w:rPr>
          <w:rFonts w:hint="eastAsia" w:ascii="宋体" w:hAnsi="宋体" w:eastAsia="宋体" w:cs="宋体"/>
          <w:color w:val="auto"/>
          <w:sz w:val="24"/>
          <w:szCs w:val="24"/>
          <w:highlight w:val="none"/>
        </w:rPr>
        <w:t>剩余未结款项全部归贵校所有，</w:t>
      </w:r>
      <w:r>
        <w:rPr>
          <w:rFonts w:hint="eastAsia" w:ascii="宋体" w:hAnsi="宋体" w:eastAsia="宋体" w:cs="宋体"/>
          <w:bCs/>
          <w:color w:val="auto"/>
          <w:sz w:val="24"/>
          <w:szCs w:val="24"/>
          <w:highlight w:val="none"/>
        </w:rPr>
        <w:t>如不足以弥补贵校损失的，本公司继续承担赔偿责任；</w:t>
      </w:r>
    </w:p>
    <w:p w14:paraId="1BF3367C">
      <w:pPr>
        <w:spacing w:line="5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2、如本公司的上述行为构成犯罪的，贵校有权直接报案，依法追究本公司的全部法律责任；</w:t>
      </w:r>
    </w:p>
    <w:p w14:paraId="77D26952">
      <w:pPr>
        <w:spacing w:line="5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3、本公司自愿接受被贵校列入员工黑名单的制裁，该制裁包括但不限于如下内容：</w:t>
      </w:r>
    </w:p>
    <w:p w14:paraId="357F1269">
      <w:pPr>
        <w:spacing w:line="5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（1）授权贵校在任何媒体对本公司的上述行为进行曝光，相关费用全部由本公司承担；</w:t>
      </w:r>
    </w:p>
    <w:p w14:paraId="59454CFB">
      <w:pPr>
        <w:spacing w:line="54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（2）授权贵校将本公司的上述行为作为反面案例，以任何形式在任何场所进行广泛宣传</w:t>
      </w:r>
      <w:r>
        <w:rPr>
          <w:rFonts w:hint="eastAsia" w:ascii="宋体" w:hAnsi="宋体" w:eastAsia="宋体" w:cs="宋体"/>
          <w:bCs/>
          <w:color w:val="auto"/>
          <w:sz w:val="24"/>
          <w:szCs w:val="24"/>
          <w:highlight w:val="none"/>
          <w:lang w:eastAsia="zh-CN"/>
        </w:rPr>
        <w:t>。</w:t>
      </w:r>
    </w:p>
    <w:p w14:paraId="3C6287AB">
      <w:pPr>
        <w:spacing w:line="54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三、本公司将认真执行上述承诺事项，自愿对上述承诺内容承担法律责任、经济赔偿责任及刑事法律责任</w:t>
      </w:r>
      <w:r>
        <w:rPr>
          <w:rFonts w:hint="eastAsia" w:ascii="宋体" w:hAnsi="宋体" w:eastAsia="宋体" w:cs="宋体"/>
          <w:b/>
          <w:bCs/>
          <w:color w:val="auto"/>
          <w:sz w:val="24"/>
          <w:szCs w:val="24"/>
          <w:highlight w:val="none"/>
          <w:lang w:eastAsia="zh-CN"/>
        </w:rPr>
        <w:t>。</w:t>
      </w:r>
    </w:p>
    <w:p w14:paraId="482007E9">
      <w:pPr>
        <w:spacing w:line="540" w:lineRule="exact"/>
        <w:rPr>
          <w:rFonts w:hint="eastAsia" w:ascii="宋体" w:hAnsi="宋体" w:eastAsia="宋体" w:cs="宋体"/>
          <w:color w:val="auto"/>
          <w:sz w:val="24"/>
          <w:szCs w:val="24"/>
          <w:highlight w:val="none"/>
        </w:rPr>
      </w:pPr>
    </w:p>
    <w:p w14:paraId="5C57EDFB">
      <w:pPr>
        <w:spacing w:line="540" w:lineRule="exact"/>
        <w:rPr>
          <w:rFonts w:hint="eastAsia" w:ascii="宋体" w:hAnsi="宋体" w:eastAsia="宋体" w:cs="宋体"/>
          <w:color w:val="auto"/>
          <w:sz w:val="24"/>
          <w:szCs w:val="24"/>
          <w:highlight w:val="none"/>
        </w:rPr>
      </w:pPr>
    </w:p>
    <w:p w14:paraId="57F60F34">
      <w:pPr>
        <w:spacing w:line="540" w:lineRule="exact"/>
        <w:ind w:right="5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承诺单位（盖章）：</w:t>
      </w:r>
    </w:p>
    <w:p w14:paraId="1E2E366F">
      <w:pPr>
        <w:spacing w:line="540" w:lineRule="exact"/>
        <w:ind w:right="84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1715366">
      <w:pPr>
        <w:spacing w:line="540" w:lineRule="exact"/>
        <w:ind w:left="4800" w:right="840" w:hanging="3840" w:hangingChars="1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或授权代理人）签</w:t>
      </w:r>
      <w:r>
        <w:rPr>
          <w:rFonts w:hint="eastAsia" w:ascii="宋体" w:hAnsi="宋体" w:eastAsia="宋体" w:cs="宋体"/>
          <w:color w:val="auto"/>
          <w:sz w:val="24"/>
          <w:szCs w:val="24"/>
          <w:highlight w:val="none"/>
        </w:rPr>
        <w:t>字：</w:t>
      </w:r>
      <w:r>
        <w:rPr>
          <w:rFonts w:hint="eastAsia" w:ascii="宋体" w:hAnsi="宋体" w:eastAsia="宋体" w:cs="宋体"/>
          <w:color w:val="auto"/>
          <w:sz w:val="24"/>
          <w:szCs w:val="24"/>
          <w:highlight w:val="none"/>
          <w:lang w:val="en-US" w:eastAsia="zh-CN"/>
        </w:rPr>
        <w:t xml:space="preserve"> </w:t>
      </w:r>
    </w:p>
    <w:p w14:paraId="476C0FCA">
      <w:pPr>
        <w:spacing w:line="540" w:lineRule="exact"/>
        <w:ind w:right="84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77D1ACA">
      <w:pPr>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w:t>
      </w:r>
    </w:p>
    <w:p w14:paraId="71D77705">
      <w:pPr>
        <w:pageBreakBefore w:val="0"/>
        <w:widowControl w:val="0"/>
        <w:kinsoku/>
        <w:wordWrap/>
        <w:overflowPunct/>
        <w:topLinePunct w:val="0"/>
        <w:bidi w:val="0"/>
        <w:adjustRightInd w:val="0"/>
        <w:snapToGrid w:val="0"/>
        <w:spacing w:line="360" w:lineRule="auto"/>
        <w:ind w:left="0"/>
        <w:textAlignment w:val="auto"/>
        <w:rPr>
          <w:rFonts w:hint="eastAsia" w:ascii="宋体" w:hAnsi="宋体" w:eastAsia="宋体" w:cs="宋体"/>
          <w:kern w:val="0"/>
          <w:sz w:val="21"/>
          <w:szCs w:val="21"/>
          <w:highlight w:val="none"/>
        </w:rPr>
      </w:pPr>
    </w:p>
    <w:p w14:paraId="2CA526DC">
      <w:pPr>
        <w:pageBreakBefore w:val="0"/>
        <w:widowControl w:val="0"/>
        <w:kinsoku/>
        <w:wordWrap/>
        <w:overflowPunct/>
        <w:topLinePunct w:val="0"/>
        <w:bidi w:val="0"/>
        <w:adjustRightInd w:val="0"/>
        <w:snapToGrid w:val="0"/>
        <w:spacing w:line="360" w:lineRule="auto"/>
        <w:ind w:left="0"/>
        <w:textAlignment w:val="auto"/>
        <w:rPr>
          <w:rFonts w:hint="eastAsia" w:ascii="宋体" w:hAnsi="宋体" w:eastAsia="宋体" w:cs="宋体"/>
          <w:kern w:val="0"/>
          <w:sz w:val="21"/>
          <w:szCs w:val="21"/>
          <w:highlight w:val="none"/>
        </w:rPr>
      </w:pPr>
    </w:p>
    <w:p w14:paraId="0C5C2A57">
      <w:pPr>
        <w:pageBreakBefore w:val="0"/>
        <w:widowControl w:val="0"/>
        <w:kinsoku/>
        <w:wordWrap/>
        <w:overflowPunct/>
        <w:topLinePunct w:val="0"/>
        <w:bidi w:val="0"/>
        <w:adjustRightInd w:val="0"/>
        <w:snapToGrid w:val="0"/>
        <w:spacing w:line="360" w:lineRule="auto"/>
        <w:ind w:left="0"/>
        <w:textAlignment w:val="auto"/>
        <w:rPr>
          <w:rFonts w:hint="eastAsia" w:ascii="宋体" w:hAnsi="宋体" w:eastAsia="宋体" w:cs="宋体"/>
          <w:kern w:val="0"/>
          <w:sz w:val="21"/>
          <w:szCs w:val="21"/>
          <w:highlight w:val="none"/>
        </w:rPr>
      </w:pPr>
    </w:p>
    <w:p w14:paraId="2859EC2E">
      <w:pPr>
        <w:pageBreakBefore w:val="0"/>
        <w:widowControl w:val="0"/>
        <w:kinsoku/>
        <w:wordWrap/>
        <w:overflowPunct/>
        <w:topLinePunct w:val="0"/>
        <w:bidi w:val="0"/>
        <w:adjustRightInd w:val="0"/>
        <w:snapToGrid w:val="0"/>
        <w:spacing w:line="360" w:lineRule="auto"/>
        <w:ind w:left="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br w:type="page"/>
      </w:r>
    </w:p>
    <w:p w14:paraId="061EFA6D">
      <w:pPr>
        <w:pStyle w:val="2"/>
        <w:jc w:val="center"/>
        <w:rPr>
          <w:rFonts w:hint="eastAsia" w:ascii="宋体" w:hAnsi="宋体" w:eastAsia="宋体" w:cs="宋体"/>
          <w:b/>
          <w:bCs w:val="0"/>
          <w:color w:val="auto"/>
          <w:highlight w:val="none"/>
        </w:rPr>
      </w:pPr>
      <w:r>
        <w:rPr>
          <w:rFonts w:hint="eastAsia" w:ascii="宋体" w:hAnsi="宋体" w:eastAsia="宋体" w:cs="宋体"/>
          <w:b/>
          <w:bCs w:val="0"/>
          <w:color w:val="auto"/>
          <w:highlight w:val="none"/>
        </w:rPr>
        <w:t>第五章 评审办法</w:t>
      </w:r>
      <w:bookmarkEnd w:id="138"/>
    </w:p>
    <w:p w14:paraId="09896333">
      <w:pPr>
        <w:pStyle w:val="23"/>
        <w:numPr>
          <w:ilvl w:val="0"/>
          <w:numId w:val="9"/>
        </w:numPr>
        <w:snapToGrid w:val="0"/>
        <w:spacing w:after="0" w:line="440" w:lineRule="exact"/>
        <w:ind w:firstLine="480"/>
        <w:rPr>
          <w:rFonts w:hint="eastAsia" w:ascii="宋体" w:hAnsi="宋体" w:eastAsia="宋体" w:cs="宋体"/>
          <w:b/>
          <w:bCs/>
          <w:color w:val="auto"/>
          <w:sz w:val="24"/>
          <w:szCs w:val="24"/>
          <w:highlight w:val="none"/>
        </w:rPr>
      </w:pPr>
      <w:bookmarkStart w:id="139" w:name="_Toc37090992"/>
      <w:bookmarkStart w:id="140" w:name="_Toc37090987"/>
      <w:bookmarkStart w:id="141" w:name="_Toc37090651"/>
      <w:bookmarkStart w:id="142" w:name="_Toc37090656"/>
      <w:r>
        <w:rPr>
          <w:rFonts w:hint="eastAsia" w:ascii="宋体" w:hAnsi="宋体" w:eastAsia="宋体" w:cs="宋体"/>
          <w:b/>
          <w:bCs/>
          <w:color w:val="auto"/>
          <w:sz w:val="24"/>
          <w:szCs w:val="24"/>
          <w:highlight w:val="none"/>
        </w:rPr>
        <w:t>评审说明</w:t>
      </w:r>
    </w:p>
    <w:p w14:paraId="2E20A2F1">
      <w:pPr>
        <w:pStyle w:val="23"/>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次磋商实行两次报价，加密的响应文件中提供的供应商报价为一次报价，在磋商小组对各供应商的响应文件进行初步评审（资格评审、符合性评审）后，由磋商小组开启二次报价，各供应商须在二次报价开启后的</w:t>
      </w:r>
      <w:r>
        <w:rPr>
          <w:rFonts w:hint="eastAsia" w:ascii="宋体" w:hAnsi="宋体" w:eastAsia="宋体" w:cs="宋体"/>
          <w:color w:val="auto"/>
          <w:sz w:val="24"/>
          <w:szCs w:val="24"/>
          <w:highlight w:val="none"/>
          <w:lang w:eastAsia="zh-CN"/>
        </w:rPr>
        <w:t>30分钟</w:t>
      </w:r>
      <w:r>
        <w:rPr>
          <w:rFonts w:hint="eastAsia" w:ascii="宋体" w:hAnsi="宋体" w:eastAsia="宋体" w:cs="宋体"/>
          <w:color w:val="auto"/>
          <w:sz w:val="24"/>
          <w:szCs w:val="24"/>
          <w:highlight w:val="none"/>
        </w:rPr>
        <w:t>内登录政采云系统进行二次（最后）报价。因供应商自身原因未在系统内及时填报二次报价的，其责任由供应商承担。</w:t>
      </w:r>
    </w:p>
    <w:p w14:paraId="0E39E6B3">
      <w:pPr>
        <w:pStyle w:val="23"/>
        <w:snapToGrid w:val="0"/>
        <w:spacing w:after="0"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1.2本次磋商采用综合评分法进行评审。</w:t>
      </w:r>
      <w:r>
        <w:rPr>
          <w:rFonts w:hint="eastAsia" w:ascii="宋体" w:hAnsi="宋体" w:eastAsia="宋体" w:cs="宋体"/>
          <w:color w:val="auto"/>
          <w:kern w:val="0"/>
          <w:sz w:val="24"/>
          <w:szCs w:val="24"/>
          <w:highlight w:val="none"/>
        </w:rPr>
        <w:t>综合评分法是指响应文件满足竞争性磋商文件全部实质性要求，且按照评审因素的量化指标评审综合得分（即对各供应商响应文件的商务、技术、最后报价进行综合评审。磋商小组将按供应商综合得分顺序由高到低依次排名，得分相同的，按最后报价由低到高顺序排列。综合得分及报价均相同的，按技术指标优劣顺序排列。推荐前三名为成交候选单位。经采购人确认后确定排名第一的供应商为本项目的成交供应商。</w:t>
      </w:r>
    </w:p>
    <w:p w14:paraId="3B98F360">
      <w:pPr>
        <w:pStyle w:val="23"/>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根据财政部发布的《政府采购促进中小企业发展管理办法》（财库〔2020〕46号）规定，对小微企业报价给予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%（工程项目为 3%—5%）的扣除，用扣除后的价格参加评审。在服务采购项目中，只有当供应商提供的全部标的均由小微企业制造，才能享受价格扣除政策；在工程、服务采购项目中，只有由小微企业承建、承接，才能享受价格扣除政策；允许联合体形式参加政府采购活动的，联合体各方均为小微企业的，联合体视同小微企业。专门面向中小企业采购的项目或者采购包，不再执行价格评审优惠的扶持政策。</w:t>
      </w:r>
    </w:p>
    <w:p w14:paraId="60549ED7">
      <w:pPr>
        <w:pStyle w:val="23"/>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w:t>
      </w:r>
    </w:p>
    <w:p w14:paraId="0F51CF42">
      <w:pPr>
        <w:pStyle w:val="23"/>
        <w:snapToGrid w:val="0"/>
        <w:spacing w:after="0" w:line="480" w:lineRule="exact"/>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2.1 </w:t>
      </w:r>
      <w:r>
        <w:rPr>
          <w:rFonts w:hint="eastAsia" w:ascii="宋体" w:hAnsi="宋体" w:eastAsia="宋体" w:cs="宋体"/>
          <w:b/>
          <w:bCs/>
          <w:color w:val="auto"/>
          <w:sz w:val="24"/>
          <w:szCs w:val="24"/>
          <w:highlight w:val="none"/>
        </w:rPr>
        <w:t>本次磋商采用综合评分法进行评审。评审分初步评审和详细评审两个阶段。初步评审分为资格性检查和符合性检查，只有通过初步评审且递交最后报价的的供应商才</w:t>
      </w:r>
      <w:r>
        <w:rPr>
          <w:rFonts w:hint="eastAsia" w:ascii="宋体" w:hAnsi="宋体" w:eastAsia="宋体" w:cs="宋体"/>
          <w:b/>
          <w:color w:val="auto"/>
          <w:sz w:val="24"/>
          <w:szCs w:val="24"/>
          <w:highlight w:val="none"/>
        </w:rPr>
        <w:t>可进入详细评审阶段。</w:t>
      </w:r>
    </w:p>
    <w:p w14:paraId="47DB1359">
      <w:pPr>
        <w:pStyle w:val="23"/>
        <w:snapToGrid w:val="0"/>
        <w:spacing w:after="0" w:line="480" w:lineRule="exact"/>
        <w:ind w:firstLine="482"/>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2.2评审方法</w:t>
      </w:r>
    </w:p>
    <w:p w14:paraId="4C2F1E2E">
      <w:pPr>
        <w:pStyle w:val="23"/>
        <w:snapToGrid w:val="0"/>
        <w:spacing w:after="0" w:line="480" w:lineRule="exact"/>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磋商小组将对下述评审因素进行</w:t>
      </w:r>
      <w:r>
        <w:rPr>
          <w:rFonts w:hint="eastAsia" w:ascii="宋体" w:hAnsi="宋体" w:eastAsia="宋体" w:cs="宋体"/>
          <w:b/>
          <w:bCs/>
          <w:color w:val="auto"/>
          <w:sz w:val="24"/>
          <w:szCs w:val="24"/>
          <w:highlight w:val="none"/>
          <w:lang w:val="en-US" w:eastAsia="zh-CN"/>
        </w:rPr>
        <w:t>评审</w:t>
      </w:r>
      <w:r>
        <w:rPr>
          <w:rFonts w:hint="eastAsia" w:ascii="宋体" w:hAnsi="宋体" w:eastAsia="宋体" w:cs="宋体"/>
          <w:b/>
          <w:bCs/>
          <w:color w:val="auto"/>
          <w:sz w:val="24"/>
          <w:szCs w:val="24"/>
          <w:highlight w:val="none"/>
        </w:rPr>
        <w:t>，并根据磋商小组每个成员对响应文件的评审和理解进行打分，满分为100分。价格部分满分为</w:t>
      </w:r>
      <w:r>
        <w:rPr>
          <w:rFonts w:hint="eastAsia" w:ascii="宋体" w:hAnsi="宋体" w:eastAsia="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rPr>
        <w:t>分，商务部分满分为</w:t>
      </w:r>
      <w:r>
        <w:rPr>
          <w:rFonts w:hint="eastAsia" w:ascii="宋体" w:hAnsi="宋体" w:eastAsia="宋体" w:cs="宋体"/>
          <w:b/>
          <w:bCs/>
          <w:color w:val="auto"/>
          <w:sz w:val="24"/>
          <w:szCs w:val="24"/>
          <w:highlight w:val="none"/>
          <w:lang w:val="en-US" w:eastAsia="zh-CN"/>
        </w:rPr>
        <w:t>29</w:t>
      </w:r>
      <w:r>
        <w:rPr>
          <w:rFonts w:hint="eastAsia" w:ascii="宋体" w:hAnsi="宋体" w:eastAsia="宋体" w:cs="宋体"/>
          <w:b/>
          <w:bCs/>
          <w:color w:val="auto"/>
          <w:sz w:val="24"/>
          <w:szCs w:val="24"/>
          <w:highlight w:val="none"/>
        </w:rPr>
        <w:t>分，技术部分满分为</w:t>
      </w:r>
      <w:r>
        <w:rPr>
          <w:rFonts w:hint="eastAsia" w:ascii="宋体" w:hAnsi="宋体" w:eastAsia="宋体" w:cs="宋体"/>
          <w:b/>
          <w:bCs/>
          <w:color w:val="auto"/>
          <w:sz w:val="24"/>
          <w:szCs w:val="24"/>
          <w:highlight w:val="none"/>
          <w:lang w:val="en-US" w:eastAsia="zh-CN"/>
        </w:rPr>
        <w:t>51</w:t>
      </w:r>
      <w:r>
        <w:rPr>
          <w:rFonts w:hint="eastAsia" w:ascii="宋体" w:hAnsi="宋体" w:eastAsia="宋体" w:cs="宋体"/>
          <w:b/>
          <w:bCs/>
          <w:color w:val="auto"/>
          <w:sz w:val="24"/>
          <w:szCs w:val="24"/>
          <w:highlight w:val="none"/>
        </w:rPr>
        <w:t>分。供应商各部分的分值相加，即为该供应商的综合评估分。</w:t>
      </w:r>
    </w:p>
    <w:p w14:paraId="7AA81F30">
      <w:pPr>
        <w:snapToGrid w:val="0"/>
        <w:spacing w:after="120" w:line="4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2.3评审办法附表</w:t>
      </w:r>
    </w:p>
    <w:tbl>
      <w:tblPr>
        <w:tblStyle w:val="25"/>
        <w:tblW w:w="9698" w:type="dxa"/>
        <w:tblInd w:w="-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600"/>
        <w:gridCol w:w="1100"/>
        <w:gridCol w:w="1300"/>
        <w:gridCol w:w="5448"/>
        <w:gridCol w:w="621"/>
        <w:gridCol w:w="629"/>
      </w:tblGrid>
      <w:tr w14:paraId="6270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56" w:hRule="atLeast"/>
        </w:trPr>
        <w:tc>
          <w:tcPr>
            <w:tcW w:w="1700"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0480F71">
            <w:pPr>
              <w:keepNext w:val="0"/>
              <w:keepLines w:val="0"/>
              <w:pageBreakBefore w:val="0"/>
              <w:widowControl/>
              <w:kinsoku/>
              <w:wordWrap/>
              <w:overflowPunct/>
              <w:topLinePunct w:val="0"/>
              <w:bidi w:val="0"/>
              <w:spacing w:line="360" w:lineRule="exact"/>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评分因素</w:t>
            </w:r>
          </w:p>
        </w:tc>
        <w:tc>
          <w:tcPr>
            <w:tcW w:w="13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DE2F8BE">
            <w:pPr>
              <w:keepNext w:val="0"/>
              <w:keepLines w:val="0"/>
              <w:pageBreakBefore w:val="0"/>
              <w:widowControl/>
              <w:kinsoku/>
              <w:wordWrap/>
              <w:overflowPunct/>
              <w:topLinePunct w:val="0"/>
              <w:bidi w:val="0"/>
              <w:spacing w:line="360" w:lineRule="exact"/>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评分点</w:t>
            </w:r>
          </w:p>
        </w:tc>
        <w:tc>
          <w:tcPr>
            <w:tcW w:w="544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D21F6FD">
            <w:pPr>
              <w:keepNext w:val="0"/>
              <w:keepLines w:val="0"/>
              <w:pageBreakBefore w:val="0"/>
              <w:widowControl/>
              <w:kinsoku/>
              <w:wordWrap/>
              <w:overflowPunct/>
              <w:topLinePunct w:val="0"/>
              <w:bidi w:val="0"/>
              <w:spacing w:line="360" w:lineRule="exact"/>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评分标准</w:t>
            </w:r>
          </w:p>
        </w:tc>
        <w:tc>
          <w:tcPr>
            <w:tcW w:w="125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8D134B2">
            <w:pPr>
              <w:keepNext w:val="0"/>
              <w:keepLines w:val="0"/>
              <w:pageBreakBefore w:val="0"/>
              <w:widowControl/>
              <w:kinsoku/>
              <w:wordWrap/>
              <w:overflowPunct/>
              <w:topLinePunct w:val="0"/>
              <w:bidi w:val="0"/>
              <w:spacing w:line="360" w:lineRule="exact"/>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评审意见</w:t>
            </w:r>
          </w:p>
        </w:tc>
      </w:tr>
      <w:tr w14:paraId="5FDF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56" w:hRule="atLeast"/>
        </w:trPr>
        <w:tc>
          <w:tcPr>
            <w:tcW w:w="170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B6776C">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b/>
                <w:bCs/>
                <w:color w:val="auto"/>
                <w:kern w:val="0"/>
                <w:highlight w:val="none"/>
              </w:rPr>
            </w:pPr>
          </w:p>
        </w:tc>
        <w:tc>
          <w:tcPr>
            <w:tcW w:w="13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AC966D">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b/>
                <w:bCs/>
                <w:color w:val="auto"/>
                <w:kern w:val="0"/>
                <w:highlight w:val="none"/>
              </w:rPr>
            </w:pPr>
          </w:p>
        </w:tc>
        <w:tc>
          <w:tcPr>
            <w:tcW w:w="54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AF813D">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b/>
                <w:bCs/>
                <w:color w:val="auto"/>
                <w:kern w:val="0"/>
                <w:highlight w:val="none"/>
              </w:rPr>
            </w:pPr>
          </w:p>
        </w:tc>
        <w:tc>
          <w:tcPr>
            <w:tcW w:w="6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5B3B7B">
            <w:pPr>
              <w:keepNext w:val="0"/>
              <w:keepLines w:val="0"/>
              <w:pageBreakBefore w:val="0"/>
              <w:widowControl/>
              <w:kinsoku/>
              <w:wordWrap/>
              <w:overflowPunct/>
              <w:topLinePunct w:val="0"/>
              <w:bidi w:val="0"/>
              <w:spacing w:line="360" w:lineRule="exact"/>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是</w:t>
            </w:r>
          </w:p>
        </w:tc>
        <w:tc>
          <w:tcPr>
            <w:tcW w:w="62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050EA0D">
            <w:pPr>
              <w:keepNext w:val="0"/>
              <w:keepLines w:val="0"/>
              <w:pageBreakBefore w:val="0"/>
              <w:widowControl/>
              <w:kinsoku/>
              <w:wordWrap/>
              <w:overflowPunct/>
              <w:topLinePunct w:val="0"/>
              <w:bidi w:val="0"/>
              <w:spacing w:line="360" w:lineRule="exact"/>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否</w:t>
            </w:r>
          </w:p>
        </w:tc>
      </w:tr>
      <w:tr w14:paraId="1385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835" w:hRule="atLeast"/>
        </w:trPr>
        <w:tc>
          <w:tcPr>
            <w:tcW w:w="600" w:type="dxa"/>
            <w:vMerge w:val="restart"/>
            <w:tcBorders>
              <w:top w:val="single" w:color="auto" w:sz="4" w:space="0"/>
              <w:left w:val="single" w:color="auto" w:sz="4" w:space="0"/>
              <w:bottom w:val="single" w:color="auto" w:sz="4" w:space="0"/>
              <w:right w:val="single" w:color="auto" w:sz="4" w:space="0"/>
            </w:tcBorders>
            <w:noWrap/>
            <w:vAlign w:val="center"/>
          </w:tcPr>
          <w:p w14:paraId="7D3FEA19">
            <w:pPr>
              <w:keepNext w:val="0"/>
              <w:keepLines w:val="0"/>
              <w:pageBreakBefore w:val="0"/>
              <w:widowControl/>
              <w:kinsoku/>
              <w:wordWrap/>
              <w:overflowPunct/>
              <w:topLinePunct w:val="0"/>
              <w:bidi w:val="0"/>
              <w:spacing w:line="3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初步评审</w:t>
            </w:r>
          </w:p>
        </w:tc>
        <w:tc>
          <w:tcPr>
            <w:tcW w:w="1100" w:type="dxa"/>
            <w:vMerge w:val="restart"/>
            <w:tcBorders>
              <w:top w:val="single" w:color="auto" w:sz="4" w:space="0"/>
              <w:left w:val="single" w:color="auto" w:sz="4" w:space="0"/>
              <w:bottom w:val="single" w:color="auto" w:sz="4" w:space="0"/>
              <w:right w:val="single" w:color="auto" w:sz="4" w:space="0"/>
            </w:tcBorders>
            <w:noWrap/>
            <w:vAlign w:val="center"/>
          </w:tcPr>
          <w:p w14:paraId="477F68E8">
            <w:pPr>
              <w:keepNext w:val="0"/>
              <w:keepLines w:val="0"/>
              <w:pageBreakBefore w:val="0"/>
              <w:widowControl/>
              <w:kinsoku/>
              <w:wordWrap/>
              <w:overflowPunct/>
              <w:topLinePunct w:val="0"/>
              <w:bidi w:val="0"/>
              <w:spacing w:line="3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资格检查</w:t>
            </w:r>
          </w:p>
        </w:tc>
        <w:tc>
          <w:tcPr>
            <w:tcW w:w="1300" w:type="dxa"/>
            <w:tcBorders>
              <w:top w:val="single" w:color="auto" w:sz="4" w:space="0"/>
              <w:left w:val="single" w:color="auto" w:sz="4" w:space="0"/>
              <w:bottom w:val="single" w:color="auto" w:sz="4" w:space="0"/>
              <w:right w:val="single" w:color="auto" w:sz="4" w:space="0"/>
            </w:tcBorders>
            <w:noWrap/>
            <w:vAlign w:val="center"/>
          </w:tcPr>
          <w:p w14:paraId="4C05B758">
            <w:pPr>
              <w:pStyle w:val="8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color w:val="auto"/>
                <w:sz w:val="21"/>
                <w:szCs w:val="21"/>
                <w:highlight w:val="none"/>
                <w:lang w:val="en-US" w:eastAsia="zh-CN" w:bidi="ar-SA"/>
              </w:rPr>
            </w:pPr>
            <w:r>
              <w:rPr>
                <w:rFonts w:hint="eastAsia" w:ascii="宋体" w:hAnsi="宋体" w:eastAsia="宋体" w:cs="宋体"/>
                <w:color w:val="auto"/>
                <w:sz w:val="21"/>
                <w:szCs w:val="21"/>
                <w:highlight w:val="none"/>
              </w:rPr>
              <w:t>具有独立承担民事责任的能力</w:t>
            </w:r>
          </w:p>
        </w:tc>
        <w:tc>
          <w:tcPr>
            <w:tcW w:w="5448" w:type="dxa"/>
            <w:tcBorders>
              <w:top w:val="single" w:color="auto" w:sz="4" w:space="0"/>
              <w:left w:val="single" w:color="auto" w:sz="4" w:space="0"/>
              <w:bottom w:val="single" w:color="auto" w:sz="4" w:space="0"/>
              <w:right w:val="single" w:color="auto" w:sz="4" w:space="0"/>
            </w:tcBorders>
            <w:noWrap/>
            <w:vAlign w:val="center"/>
          </w:tcPr>
          <w:p w14:paraId="2891234E">
            <w:pPr>
              <w:pStyle w:val="8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color w:val="auto"/>
                <w:sz w:val="21"/>
                <w:szCs w:val="21"/>
                <w:highlight w:val="none"/>
                <w:lang w:val="en-US" w:eastAsia="zh-CN" w:bidi="ar-SA"/>
              </w:rPr>
            </w:pP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是企业（包括合伙企业），应提供在工商部门注册的有效“企业法人营业执照”或“营业执照”；如</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是事业单位，应提供有效的“事业单位法人证书”；</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是非企业专业服务机构的，应提供执业许可证等证明文件；如</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是个体工商户，应提供有效的“个体工商户营业执照”；如</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是自然人，应提供有效的自然人身份证明。</w:t>
            </w:r>
          </w:p>
        </w:tc>
        <w:tc>
          <w:tcPr>
            <w:tcW w:w="621" w:type="dxa"/>
            <w:tcBorders>
              <w:top w:val="single" w:color="auto" w:sz="4" w:space="0"/>
              <w:left w:val="single" w:color="auto" w:sz="4" w:space="0"/>
              <w:bottom w:val="single" w:color="auto" w:sz="4" w:space="0"/>
              <w:right w:val="single" w:color="auto" w:sz="4" w:space="0"/>
            </w:tcBorders>
            <w:noWrap/>
            <w:vAlign w:val="center"/>
          </w:tcPr>
          <w:p w14:paraId="4181D4DE">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c>
          <w:tcPr>
            <w:tcW w:w="629" w:type="dxa"/>
            <w:tcBorders>
              <w:top w:val="single" w:color="auto" w:sz="4" w:space="0"/>
              <w:left w:val="single" w:color="auto" w:sz="4" w:space="0"/>
              <w:bottom w:val="single" w:color="auto" w:sz="4" w:space="0"/>
              <w:right w:val="single" w:color="auto" w:sz="4" w:space="0"/>
            </w:tcBorders>
            <w:noWrap/>
            <w:vAlign w:val="center"/>
          </w:tcPr>
          <w:p w14:paraId="7AB6541E">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r>
      <w:tr w14:paraId="5E5F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096"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30984D89">
            <w:pPr>
              <w:pStyle w:val="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p>
          <w:p w14:paraId="2CCDB61C">
            <w:pPr>
              <w:pStyle w:val="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357DA9F7">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02AE25B6">
            <w:pPr>
              <w:pStyle w:val="8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color w:val="auto"/>
                <w:sz w:val="21"/>
                <w:szCs w:val="21"/>
                <w:highlight w:val="none"/>
                <w:lang w:val="en-US" w:eastAsia="zh-CN" w:bidi="ar-SA"/>
              </w:rPr>
            </w:pPr>
            <w:r>
              <w:rPr>
                <w:rFonts w:hint="eastAsia" w:ascii="宋体" w:hAnsi="宋体" w:eastAsia="宋体" w:cs="宋体"/>
                <w:color w:val="auto"/>
                <w:sz w:val="21"/>
                <w:szCs w:val="21"/>
                <w:highlight w:val="none"/>
              </w:rPr>
              <w:t>具有良好的商业信誉和健全的财务会计制度</w:t>
            </w:r>
          </w:p>
        </w:tc>
        <w:tc>
          <w:tcPr>
            <w:tcW w:w="5448" w:type="dxa"/>
            <w:tcBorders>
              <w:top w:val="single" w:color="auto" w:sz="4" w:space="0"/>
              <w:left w:val="single" w:color="auto" w:sz="4" w:space="0"/>
              <w:bottom w:val="single" w:color="auto" w:sz="4" w:space="0"/>
              <w:right w:val="single" w:color="auto" w:sz="4" w:space="0"/>
            </w:tcBorders>
            <w:noWrap/>
            <w:vAlign w:val="center"/>
          </w:tcPr>
          <w:p w14:paraId="0C5AE393">
            <w:pPr>
              <w:pStyle w:val="8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color w:val="auto"/>
                <w:sz w:val="21"/>
                <w:szCs w:val="21"/>
                <w:highlight w:val="none"/>
                <w:lang w:val="en-US" w:eastAsia="zh-CN" w:bidi="ar-SA"/>
              </w:rPr>
            </w:pPr>
            <w:r>
              <w:rPr>
                <w:rFonts w:hint="eastAsia" w:ascii="宋体" w:hAnsi="宋体" w:cs="宋体"/>
                <w:color w:val="auto"/>
                <w:sz w:val="21"/>
                <w:szCs w:val="21"/>
                <w:highlight w:val="none"/>
                <w:lang w:val="en-US" w:eastAsia="zh-CN"/>
              </w:rPr>
              <w:t>投标时，若投标人成立超过一年需提供2021年、2022年、2023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ascii="宋体" w:hAnsi="宋体" w:eastAsia="宋体" w:cs="宋体"/>
                <w:color w:val="auto"/>
                <w:sz w:val="21"/>
                <w:szCs w:val="21"/>
                <w:highlight w:val="none"/>
              </w:rPr>
              <w:t>。</w:t>
            </w:r>
          </w:p>
        </w:tc>
        <w:tc>
          <w:tcPr>
            <w:tcW w:w="621" w:type="dxa"/>
            <w:tcBorders>
              <w:top w:val="single" w:color="auto" w:sz="4" w:space="0"/>
              <w:left w:val="single" w:color="auto" w:sz="4" w:space="0"/>
              <w:bottom w:val="single" w:color="auto" w:sz="4" w:space="0"/>
              <w:right w:val="single" w:color="auto" w:sz="4" w:space="0"/>
            </w:tcBorders>
            <w:noWrap/>
            <w:vAlign w:val="center"/>
          </w:tcPr>
          <w:p w14:paraId="133269A5">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c>
          <w:tcPr>
            <w:tcW w:w="629" w:type="dxa"/>
            <w:tcBorders>
              <w:top w:val="single" w:color="auto" w:sz="4" w:space="0"/>
              <w:left w:val="single" w:color="auto" w:sz="4" w:space="0"/>
              <w:bottom w:val="single" w:color="auto" w:sz="4" w:space="0"/>
              <w:right w:val="single" w:color="auto" w:sz="4" w:space="0"/>
            </w:tcBorders>
            <w:noWrap/>
            <w:vAlign w:val="center"/>
          </w:tcPr>
          <w:p w14:paraId="48FAD88C">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r>
      <w:tr w14:paraId="5064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602"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6DEA2436">
            <w:pPr>
              <w:pStyle w:val="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4F3FE3D3">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3AE7C003">
            <w:pPr>
              <w:pStyle w:val="8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tc>
        <w:tc>
          <w:tcPr>
            <w:tcW w:w="5448" w:type="dxa"/>
            <w:tcBorders>
              <w:top w:val="single" w:color="auto" w:sz="4" w:space="0"/>
              <w:left w:val="single" w:color="auto" w:sz="4" w:space="0"/>
              <w:bottom w:val="single" w:color="auto" w:sz="4" w:space="0"/>
              <w:right w:val="single" w:color="auto" w:sz="4" w:space="0"/>
            </w:tcBorders>
            <w:noWrap/>
            <w:vAlign w:val="center"/>
          </w:tcPr>
          <w:p w14:paraId="37C67ADD">
            <w:pPr>
              <w:pStyle w:val="8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投标人依法缴纳税收的证明材料：本项目投标截止时间前 6 个月内（至少提供1个月）缴纳税收的凭据（完税证、缴款书、印花税票、银行代扣（代缴）转账凭证等均可）； </w:t>
            </w:r>
          </w:p>
          <w:p w14:paraId="005B235E">
            <w:pPr>
              <w:pStyle w:val="8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依法缴纳社会保障资金的证明材料：本项目</w:t>
            </w:r>
            <w:r>
              <w:rPr>
                <w:rFonts w:hint="eastAsia" w:ascii="宋体" w:hAnsi="宋体" w:eastAsia="宋体" w:cs="宋体"/>
                <w:color w:val="auto"/>
                <w:sz w:val="21"/>
                <w:szCs w:val="21"/>
                <w:highlight w:val="none"/>
                <w:lang w:eastAsia="zh-CN"/>
              </w:rPr>
              <w:t>响应截止</w:t>
            </w:r>
            <w:r>
              <w:rPr>
                <w:rFonts w:hint="eastAsia" w:ascii="宋体" w:hAnsi="宋体" w:eastAsia="宋体" w:cs="宋体"/>
                <w:color w:val="auto"/>
                <w:sz w:val="21"/>
                <w:szCs w:val="21"/>
                <w:highlight w:val="none"/>
              </w:rPr>
              <w:t xml:space="preserve">时间时间前 6个月内（至少提供1个月）缴纳社会保险的凭据（专用收据或社会保险交纳清单）； </w:t>
            </w:r>
          </w:p>
          <w:p w14:paraId="3879B1C2">
            <w:pPr>
              <w:pStyle w:val="8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为其他组织或自然人的，也需要按此项规定提供缴纳税收的凭据和交纳社会保险的凭据。如</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的社会保险为委托第三方代缴，还需同时提供</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与第三方服务机构签署的服务合同（合同中应明确写明第三方为</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代缴其社会保险）。</w:t>
            </w:r>
          </w:p>
          <w:p w14:paraId="626F3B1F">
            <w:pPr>
              <w:pStyle w:val="8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依法不需要缴纳社会保障资金的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，须提供相应文件证明其依法不需要缴纳社会保障资金。</w:t>
            </w:r>
          </w:p>
        </w:tc>
        <w:tc>
          <w:tcPr>
            <w:tcW w:w="621" w:type="dxa"/>
            <w:tcBorders>
              <w:top w:val="single" w:color="auto" w:sz="4" w:space="0"/>
              <w:left w:val="single" w:color="auto" w:sz="4" w:space="0"/>
              <w:bottom w:val="single" w:color="auto" w:sz="4" w:space="0"/>
              <w:right w:val="single" w:color="auto" w:sz="4" w:space="0"/>
            </w:tcBorders>
            <w:noWrap/>
            <w:vAlign w:val="center"/>
          </w:tcPr>
          <w:p w14:paraId="3137DC4D">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c>
          <w:tcPr>
            <w:tcW w:w="629" w:type="dxa"/>
            <w:tcBorders>
              <w:top w:val="single" w:color="auto" w:sz="4" w:space="0"/>
              <w:left w:val="single" w:color="auto" w:sz="4" w:space="0"/>
              <w:bottom w:val="single" w:color="auto" w:sz="4" w:space="0"/>
              <w:right w:val="single" w:color="auto" w:sz="4" w:space="0"/>
            </w:tcBorders>
            <w:noWrap/>
            <w:vAlign w:val="center"/>
          </w:tcPr>
          <w:p w14:paraId="5A227AF2">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r>
      <w:tr w14:paraId="5E50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62"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40E2A7CE">
            <w:pPr>
              <w:pStyle w:val="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5552051A">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74CBD4D4">
            <w:pPr>
              <w:pStyle w:val="8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tc>
        <w:tc>
          <w:tcPr>
            <w:tcW w:w="5448" w:type="dxa"/>
            <w:tcBorders>
              <w:top w:val="single" w:color="auto" w:sz="4" w:space="0"/>
              <w:left w:val="single" w:color="auto" w:sz="4" w:space="0"/>
              <w:bottom w:val="single" w:color="auto" w:sz="4" w:space="0"/>
              <w:right w:val="single" w:color="auto" w:sz="4" w:space="0"/>
            </w:tcBorders>
            <w:noWrap/>
            <w:vAlign w:val="center"/>
          </w:tcPr>
          <w:p w14:paraId="1EE97C7F">
            <w:pPr>
              <w:pStyle w:val="8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履行合同所必须的设备和专业技术能力的证明材料或声明。</w:t>
            </w:r>
          </w:p>
        </w:tc>
        <w:tc>
          <w:tcPr>
            <w:tcW w:w="621" w:type="dxa"/>
            <w:tcBorders>
              <w:top w:val="single" w:color="auto" w:sz="4" w:space="0"/>
              <w:left w:val="single" w:color="auto" w:sz="4" w:space="0"/>
              <w:bottom w:val="single" w:color="auto" w:sz="4" w:space="0"/>
              <w:right w:val="single" w:color="auto" w:sz="4" w:space="0"/>
            </w:tcBorders>
            <w:noWrap/>
            <w:vAlign w:val="center"/>
          </w:tcPr>
          <w:p w14:paraId="31D5B9F2">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c>
          <w:tcPr>
            <w:tcW w:w="629" w:type="dxa"/>
            <w:tcBorders>
              <w:top w:val="single" w:color="auto" w:sz="4" w:space="0"/>
              <w:left w:val="single" w:color="auto" w:sz="4" w:space="0"/>
              <w:bottom w:val="single" w:color="auto" w:sz="4" w:space="0"/>
              <w:right w:val="single" w:color="auto" w:sz="4" w:space="0"/>
            </w:tcBorders>
            <w:noWrap/>
            <w:vAlign w:val="center"/>
          </w:tcPr>
          <w:p w14:paraId="64B21F90">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r>
      <w:tr w14:paraId="144C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62"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529DD9A1">
            <w:pPr>
              <w:pStyle w:val="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5BEF81CB">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10D72FA7">
            <w:pPr>
              <w:pStyle w:val="84"/>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tc>
        <w:tc>
          <w:tcPr>
            <w:tcW w:w="5448" w:type="dxa"/>
            <w:tcBorders>
              <w:top w:val="single" w:color="auto" w:sz="4" w:space="0"/>
              <w:left w:val="single" w:color="auto" w:sz="4" w:space="0"/>
              <w:bottom w:val="single" w:color="auto" w:sz="4" w:space="0"/>
              <w:right w:val="single" w:color="auto" w:sz="4" w:space="0"/>
            </w:tcBorders>
            <w:noWrap/>
            <w:vAlign w:val="center"/>
          </w:tcPr>
          <w:p w14:paraId="7E6DADBE">
            <w:pPr>
              <w:pStyle w:val="8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参加政府采购活动前3年内在经营活动中没有重大违法记录的书面声明。</w:t>
            </w:r>
          </w:p>
        </w:tc>
        <w:tc>
          <w:tcPr>
            <w:tcW w:w="621" w:type="dxa"/>
            <w:tcBorders>
              <w:top w:val="single" w:color="auto" w:sz="4" w:space="0"/>
              <w:left w:val="single" w:color="auto" w:sz="4" w:space="0"/>
              <w:bottom w:val="single" w:color="auto" w:sz="4" w:space="0"/>
              <w:right w:val="single" w:color="auto" w:sz="4" w:space="0"/>
            </w:tcBorders>
            <w:noWrap/>
            <w:vAlign w:val="center"/>
          </w:tcPr>
          <w:p w14:paraId="18C86E4E">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c>
          <w:tcPr>
            <w:tcW w:w="629" w:type="dxa"/>
            <w:tcBorders>
              <w:top w:val="single" w:color="auto" w:sz="4" w:space="0"/>
              <w:left w:val="single" w:color="auto" w:sz="4" w:space="0"/>
              <w:bottom w:val="single" w:color="auto" w:sz="4" w:space="0"/>
              <w:right w:val="single" w:color="auto" w:sz="4" w:space="0"/>
            </w:tcBorders>
            <w:noWrap/>
            <w:vAlign w:val="center"/>
          </w:tcPr>
          <w:p w14:paraId="6E1E1784">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r>
      <w:tr w14:paraId="311E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62"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49ACFDD6">
            <w:pPr>
              <w:pStyle w:val="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3634E668">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351EBB85">
            <w:pPr>
              <w:pStyle w:val="84"/>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本项目特定资质</w:t>
            </w:r>
          </w:p>
        </w:tc>
        <w:tc>
          <w:tcPr>
            <w:tcW w:w="5448" w:type="dxa"/>
            <w:tcBorders>
              <w:top w:val="single" w:color="auto" w:sz="4" w:space="0"/>
              <w:left w:val="single" w:color="auto" w:sz="4" w:space="0"/>
              <w:bottom w:val="single" w:color="auto" w:sz="4" w:space="0"/>
              <w:right w:val="single" w:color="auto" w:sz="4" w:space="0"/>
            </w:tcBorders>
            <w:noWrap/>
            <w:vAlign w:val="center"/>
          </w:tcPr>
          <w:p w14:paraId="4D0DDA8B">
            <w:pPr>
              <w:pStyle w:val="84"/>
              <w:keepNext w:val="0"/>
              <w:keepLines w:val="0"/>
              <w:pageBreakBefore w:val="0"/>
              <w:widowControl/>
              <w:kinsoku/>
              <w:wordWrap w:val="0"/>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未被列入“信用中国”网站(www.creditchina.gov.cn)“记录失信被执行人或重大税收违法案件当事人名单或政府采购严重违法失信行为”记录名单；未处于中国政府采购网(www.ccgp.gov.cn)“政府采购严重违法失信行为信息记录”中（以采购代理机构于递交响应文件截止日当天在“信用中国”网站（www.creditchina.gov.cn）及中国政府采购网(www.ccgp.gov.cn)查询结果为准；</w:t>
            </w:r>
          </w:p>
          <w:p w14:paraId="1C4D38E8">
            <w:pPr>
              <w:pStyle w:val="84"/>
              <w:keepNext w:val="0"/>
              <w:keepLines w:val="0"/>
              <w:pageBreakBefore w:val="0"/>
              <w:widowControl/>
              <w:kinsoku/>
              <w:wordWrap w:val="0"/>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（2）单位负责人为同一人或者存在直接控股、管理关系的不同供应商，不得参加同一合同项下的政府采购活动；</w:t>
            </w:r>
          </w:p>
        </w:tc>
        <w:tc>
          <w:tcPr>
            <w:tcW w:w="621" w:type="dxa"/>
            <w:tcBorders>
              <w:top w:val="single" w:color="auto" w:sz="4" w:space="0"/>
              <w:left w:val="single" w:color="auto" w:sz="4" w:space="0"/>
              <w:bottom w:val="single" w:color="auto" w:sz="4" w:space="0"/>
              <w:right w:val="single" w:color="auto" w:sz="4" w:space="0"/>
            </w:tcBorders>
            <w:noWrap/>
            <w:vAlign w:val="center"/>
          </w:tcPr>
          <w:p w14:paraId="2CAA60A4">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c>
          <w:tcPr>
            <w:tcW w:w="629" w:type="dxa"/>
            <w:tcBorders>
              <w:top w:val="single" w:color="auto" w:sz="4" w:space="0"/>
              <w:left w:val="single" w:color="auto" w:sz="4" w:space="0"/>
              <w:bottom w:val="single" w:color="auto" w:sz="4" w:space="0"/>
              <w:right w:val="single" w:color="auto" w:sz="4" w:space="0"/>
            </w:tcBorders>
            <w:noWrap/>
            <w:vAlign w:val="center"/>
          </w:tcPr>
          <w:p w14:paraId="03F3D2F2">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r>
      <w:tr w14:paraId="54CA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62"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64D1DD8B">
            <w:pPr>
              <w:pStyle w:val="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00622EBD">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1807838B">
            <w:pPr>
              <w:pStyle w:val="84"/>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tc>
        <w:tc>
          <w:tcPr>
            <w:tcW w:w="5448" w:type="dxa"/>
            <w:tcBorders>
              <w:top w:val="single" w:color="auto" w:sz="4" w:space="0"/>
              <w:left w:val="single" w:color="auto" w:sz="4" w:space="0"/>
              <w:bottom w:val="single" w:color="auto" w:sz="4" w:space="0"/>
              <w:right w:val="single" w:color="auto" w:sz="4" w:space="0"/>
            </w:tcBorders>
            <w:noWrap/>
            <w:vAlign w:val="center"/>
          </w:tcPr>
          <w:p w14:paraId="68D0A5B7">
            <w:pPr>
              <w:pStyle w:val="8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tc>
        <w:tc>
          <w:tcPr>
            <w:tcW w:w="621" w:type="dxa"/>
            <w:tcBorders>
              <w:top w:val="single" w:color="auto" w:sz="4" w:space="0"/>
              <w:left w:val="single" w:color="auto" w:sz="4" w:space="0"/>
              <w:bottom w:val="single" w:color="auto" w:sz="4" w:space="0"/>
              <w:right w:val="single" w:color="auto" w:sz="4" w:space="0"/>
            </w:tcBorders>
            <w:noWrap/>
            <w:vAlign w:val="center"/>
          </w:tcPr>
          <w:p w14:paraId="07B631E6">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c>
          <w:tcPr>
            <w:tcW w:w="629" w:type="dxa"/>
            <w:tcBorders>
              <w:top w:val="single" w:color="auto" w:sz="4" w:space="0"/>
              <w:left w:val="single" w:color="auto" w:sz="4" w:space="0"/>
              <w:bottom w:val="single" w:color="auto" w:sz="4" w:space="0"/>
              <w:right w:val="single" w:color="auto" w:sz="4" w:space="0"/>
            </w:tcBorders>
            <w:noWrap/>
            <w:vAlign w:val="center"/>
          </w:tcPr>
          <w:p w14:paraId="402B795F">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r>
      <w:tr w14:paraId="4F0E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56"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71834261">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100" w:type="dxa"/>
            <w:vMerge w:val="restart"/>
            <w:tcBorders>
              <w:top w:val="single" w:color="auto" w:sz="4" w:space="0"/>
              <w:left w:val="single" w:color="auto" w:sz="4" w:space="0"/>
              <w:bottom w:val="single" w:color="auto" w:sz="4" w:space="0"/>
              <w:right w:val="single" w:color="auto" w:sz="4" w:space="0"/>
            </w:tcBorders>
            <w:noWrap/>
            <w:vAlign w:val="center"/>
          </w:tcPr>
          <w:p w14:paraId="080E4ACF">
            <w:pPr>
              <w:keepNext w:val="0"/>
              <w:keepLines w:val="0"/>
              <w:pageBreakBefore w:val="0"/>
              <w:widowControl/>
              <w:kinsoku/>
              <w:wordWrap/>
              <w:overflowPunct/>
              <w:topLinePunct w:val="0"/>
              <w:bidi w:val="0"/>
              <w:spacing w:line="3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符合性检查</w:t>
            </w:r>
          </w:p>
        </w:tc>
        <w:tc>
          <w:tcPr>
            <w:tcW w:w="1300" w:type="dxa"/>
            <w:tcBorders>
              <w:top w:val="single" w:color="auto" w:sz="4" w:space="0"/>
              <w:left w:val="single" w:color="auto" w:sz="4" w:space="0"/>
              <w:bottom w:val="single" w:color="auto" w:sz="4" w:space="0"/>
              <w:right w:val="single" w:color="auto" w:sz="4" w:space="0"/>
            </w:tcBorders>
            <w:noWrap/>
            <w:vAlign w:val="center"/>
          </w:tcPr>
          <w:p w14:paraId="094A7B6A">
            <w:pPr>
              <w:pStyle w:val="46"/>
              <w:keepNext w:val="0"/>
              <w:keepLines w:val="0"/>
              <w:pageBreakBefore w:val="0"/>
              <w:kinsoku/>
              <w:wordWrap/>
              <w:overflowPunct/>
              <w:topLinePunct w:val="0"/>
              <w:bidi w:val="0"/>
              <w:spacing w:line="360" w:lineRule="exact"/>
              <w:jc w:val="center"/>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供应商名称</w:t>
            </w:r>
          </w:p>
        </w:tc>
        <w:tc>
          <w:tcPr>
            <w:tcW w:w="5448" w:type="dxa"/>
            <w:tcBorders>
              <w:top w:val="single" w:color="auto" w:sz="4" w:space="0"/>
              <w:left w:val="single" w:color="auto" w:sz="4" w:space="0"/>
              <w:bottom w:val="single" w:color="auto" w:sz="4" w:space="0"/>
              <w:right w:val="single" w:color="auto" w:sz="4" w:space="0"/>
            </w:tcBorders>
            <w:noWrap/>
            <w:vAlign w:val="center"/>
          </w:tcPr>
          <w:p w14:paraId="651A7A4A">
            <w:pPr>
              <w:pStyle w:val="46"/>
              <w:keepNext w:val="0"/>
              <w:keepLines w:val="0"/>
              <w:pageBreakBefore w:val="0"/>
              <w:kinsoku/>
              <w:wordWrap/>
              <w:overflowPunct/>
              <w:topLinePunct w:val="0"/>
              <w:bidi w:val="0"/>
              <w:spacing w:line="360" w:lineRule="exact"/>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与营业执照、资质证书一致</w:t>
            </w:r>
          </w:p>
        </w:tc>
        <w:tc>
          <w:tcPr>
            <w:tcW w:w="621" w:type="dxa"/>
            <w:tcBorders>
              <w:top w:val="single" w:color="auto" w:sz="4" w:space="0"/>
              <w:left w:val="single" w:color="auto" w:sz="4" w:space="0"/>
              <w:bottom w:val="single" w:color="auto" w:sz="4" w:space="0"/>
              <w:right w:val="single" w:color="auto" w:sz="4" w:space="0"/>
            </w:tcBorders>
            <w:noWrap/>
            <w:vAlign w:val="center"/>
          </w:tcPr>
          <w:p w14:paraId="6E9AF1C4">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c>
          <w:tcPr>
            <w:tcW w:w="629" w:type="dxa"/>
            <w:tcBorders>
              <w:top w:val="single" w:color="auto" w:sz="4" w:space="0"/>
              <w:left w:val="single" w:color="auto" w:sz="4" w:space="0"/>
              <w:bottom w:val="single" w:color="auto" w:sz="4" w:space="0"/>
              <w:right w:val="single" w:color="auto" w:sz="4" w:space="0"/>
            </w:tcBorders>
            <w:noWrap/>
            <w:vAlign w:val="center"/>
          </w:tcPr>
          <w:p w14:paraId="0D5F3E42">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r>
      <w:tr w14:paraId="2723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49"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0F3108B6">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100" w:type="dxa"/>
            <w:vMerge w:val="continue"/>
            <w:tcBorders>
              <w:left w:val="single" w:color="auto" w:sz="4" w:space="0"/>
              <w:right w:val="single" w:color="auto" w:sz="4" w:space="0"/>
            </w:tcBorders>
            <w:noWrap/>
            <w:vAlign w:val="center"/>
          </w:tcPr>
          <w:p w14:paraId="03A0CF5E">
            <w:pPr>
              <w:keepNext w:val="0"/>
              <w:keepLines w:val="0"/>
              <w:pageBreakBefore w:val="0"/>
              <w:widowControl/>
              <w:kinsoku/>
              <w:wordWrap/>
              <w:overflowPunct/>
              <w:topLinePunct w:val="0"/>
              <w:bidi w:val="0"/>
              <w:spacing w:line="360" w:lineRule="exact"/>
              <w:jc w:val="center"/>
              <w:rPr>
                <w:rFonts w:hint="eastAsia" w:ascii="宋体" w:hAnsi="宋体" w:eastAsia="宋体" w:cs="宋体"/>
                <w:color w:val="auto"/>
                <w:kern w:val="0"/>
                <w:highlight w:val="none"/>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4F146768">
            <w:pPr>
              <w:pStyle w:val="46"/>
              <w:keepNext w:val="0"/>
              <w:keepLines w:val="0"/>
              <w:pageBreakBefore w:val="0"/>
              <w:kinsoku/>
              <w:wordWrap/>
              <w:overflowPunct/>
              <w:topLinePunct w:val="0"/>
              <w:bidi w:val="0"/>
              <w:spacing w:line="360" w:lineRule="exact"/>
              <w:jc w:val="center"/>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响应文件按磋商文件规定格式完整提供</w:t>
            </w:r>
          </w:p>
        </w:tc>
        <w:tc>
          <w:tcPr>
            <w:tcW w:w="5448" w:type="dxa"/>
            <w:tcBorders>
              <w:top w:val="single" w:color="auto" w:sz="4" w:space="0"/>
              <w:left w:val="single" w:color="auto" w:sz="4" w:space="0"/>
              <w:bottom w:val="single" w:color="auto" w:sz="4" w:space="0"/>
              <w:right w:val="single" w:color="auto" w:sz="4" w:space="0"/>
            </w:tcBorders>
            <w:noWrap/>
            <w:vAlign w:val="center"/>
          </w:tcPr>
          <w:p w14:paraId="4D6A4BAC">
            <w:pPr>
              <w:pStyle w:val="46"/>
              <w:keepNext w:val="0"/>
              <w:keepLines w:val="0"/>
              <w:pageBreakBefore w:val="0"/>
              <w:kinsoku/>
              <w:wordWrap/>
              <w:overflowPunct/>
              <w:topLinePunct w:val="0"/>
              <w:bidi w:val="0"/>
              <w:spacing w:line="360" w:lineRule="exact"/>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响应文件的格式</w:t>
            </w:r>
          </w:p>
        </w:tc>
        <w:tc>
          <w:tcPr>
            <w:tcW w:w="621" w:type="dxa"/>
            <w:tcBorders>
              <w:top w:val="single" w:color="auto" w:sz="4" w:space="0"/>
              <w:left w:val="single" w:color="auto" w:sz="4" w:space="0"/>
              <w:bottom w:val="single" w:color="auto" w:sz="4" w:space="0"/>
              <w:right w:val="single" w:color="auto" w:sz="4" w:space="0"/>
            </w:tcBorders>
            <w:noWrap/>
            <w:vAlign w:val="center"/>
          </w:tcPr>
          <w:p w14:paraId="2BF38102">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c>
          <w:tcPr>
            <w:tcW w:w="629" w:type="dxa"/>
            <w:tcBorders>
              <w:top w:val="single" w:color="auto" w:sz="4" w:space="0"/>
              <w:left w:val="single" w:color="auto" w:sz="4" w:space="0"/>
              <w:bottom w:val="single" w:color="auto" w:sz="4" w:space="0"/>
              <w:right w:val="single" w:color="auto" w:sz="4" w:space="0"/>
            </w:tcBorders>
            <w:noWrap/>
            <w:vAlign w:val="center"/>
          </w:tcPr>
          <w:p w14:paraId="167170DA">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r>
      <w:tr w14:paraId="76C5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603"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0614FB6C">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highlight w:val="none"/>
              </w:rPr>
            </w:pPr>
          </w:p>
          <w:p w14:paraId="141859AF">
            <w:pPr>
              <w:pStyle w:val="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p>
        </w:tc>
        <w:tc>
          <w:tcPr>
            <w:tcW w:w="1100" w:type="dxa"/>
            <w:vMerge w:val="continue"/>
            <w:tcBorders>
              <w:left w:val="single" w:color="auto" w:sz="4" w:space="0"/>
              <w:right w:val="single" w:color="auto" w:sz="4" w:space="0"/>
            </w:tcBorders>
            <w:noWrap/>
            <w:vAlign w:val="center"/>
          </w:tcPr>
          <w:p w14:paraId="3A0EEC34">
            <w:pPr>
              <w:keepNext w:val="0"/>
              <w:keepLines w:val="0"/>
              <w:pageBreakBefore w:val="0"/>
              <w:widowControl/>
              <w:kinsoku/>
              <w:wordWrap/>
              <w:overflowPunct/>
              <w:topLinePunct w:val="0"/>
              <w:bidi w:val="0"/>
              <w:spacing w:line="360" w:lineRule="exact"/>
              <w:jc w:val="center"/>
              <w:rPr>
                <w:rFonts w:hint="eastAsia" w:ascii="宋体" w:hAnsi="宋体" w:eastAsia="宋体" w:cs="宋体"/>
                <w:color w:val="auto"/>
                <w:kern w:val="0"/>
                <w:highlight w:val="none"/>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2C689970">
            <w:pPr>
              <w:pStyle w:val="46"/>
              <w:keepNext w:val="0"/>
              <w:keepLines w:val="0"/>
              <w:pageBreakBefore w:val="0"/>
              <w:kinsoku/>
              <w:wordWrap/>
              <w:overflowPunct/>
              <w:topLinePunct w:val="0"/>
              <w:bidi w:val="0"/>
              <w:spacing w:line="360" w:lineRule="exact"/>
              <w:jc w:val="center"/>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kern w:val="2"/>
                <w:sz w:val="21"/>
                <w:szCs w:val="21"/>
                <w:highlight w:val="none"/>
              </w:rPr>
              <w:t>法人授权</w:t>
            </w:r>
          </w:p>
        </w:tc>
        <w:tc>
          <w:tcPr>
            <w:tcW w:w="5448" w:type="dxa"/>
            <w:tcBorders>
              <w:top w:val="single" w:color="auto" w:sz="4" w:space="0"/>
              <w:left w:val="single" w:color="auto" w:sz="4" w:space="0"/>
              <w:bottom w:val="single" w:color="auto" w:sz="4" w:space="0"/>
              <w:right w:val="single" w:color="auto" w:sz="4" w:space="0"/>
            </w:tcBorders>
            <w:noWrap/>
            <w:vAlign w:val="center"/>
          </w:tcPr>
          <w:p w14:paraId="4B176947">
            <w:pPr>
              <w:pStyle w:val="46"/>
              <w:keepNext w:val="0"/>
              <w:keepLines w:val="0"/>
              <w:pageBreakBefore w:val="0"/>
              <w:kinsoku/>
              <w:wordWrap/>
              <w:overflowPunct/>
              <w:topLinePunct w:val="0"/>
              <w:bidi w:val="0"/>
              <w:spacing w:line="360" w:lineRule="exact"/>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kern w:val="2"/>
                <w:sz w:val="21"/>
                <w:szCs w:val="21"/>
                <w:highlight w:val="none"/>
              </w:rPr>
              <w:t>响应文件提供法定代表人授权委托书或提供法定代表人身份证明</w:t>
            </w:r>
          </w:p>
        </w:tc>
        <w:tc>
          <w:tcPr>
            <w:tcW w:w="621" w:type="dxa"/>
            <w:tcBorders>
              <w:top w:val="single" w:color="auto" w:sz="4" w:space="0"/>
              <w:left w:val="single" w:color="auto" w:sz="4" w:space="0"/>
              <w:bottom w:val="single" w:color="auto" w:sz="4" w:space="0"/>
              <w:right w:val="single" w:color="auto" w:sz="4" w:space="0"/>
            </w:tcBorders>
            <w:noWrap/>
            <w:vAlign w:val="center"/>
          </w:tcPr>
          <w:p w14:paraId="1925555D">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c>
          <w:tcPr>
            <w:tcW w:w="629" w:type="dxa"/>
            <w:tcBorders>
              <w:top w:val="single" w:color="auto" w:sz="4" w:space="0"/>
              <w:left w:val="single" w:color="auto" w:sz="4" w:space="0"/>
              <w:bottom w:val="single" w:color="auto" w:sz="4" w:space="0"/>
              <w:right w:val="single" w:color="auto" w:sz="4" w:space="0"/>
            </w:tcBorders>
            <w:noWrap/>
            <w:vAlign w:val="center"/>
          </w:tcPr>
          <w:p w14:paraId="55F086D6">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r>
      <w:tr w14:paraId="01D8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603"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7B3E0ACB">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100" w:type="dxa"/>
            <w:vMerge w:val="continue"/>
            <w:tcBorders>
              <w:left w:val="single" w:color="auto" w:sz="4" w:space="0"/>
              <w:right w:val="single" w:color="auto" w:sz="4" w:space="0"/>
            </w:tcBorders>
            <w:noWrap/>
            <w:vAlign w:val="center"/>
          </w:tcPr>
          <w:p w14:paraId="695F46D8">
            <w:pPr>
              <w:keepNext w:val="0"/>
              <w:keepLines w:val="0"/>
              <w:pageBreakBefore w:val="0"/>
              <w:widowControl/>
              <w:kinsoku/>
              <w:wordWrap/>
              <w:overflowPunct/>
              <w:topLinePunct w:val="0"/>
              <w:bidi w:val="0"/>
              <w:spacing w:line="360" w:lineRule="exact"/>
              <w:jc w:val="center"/>
              <w:rPr>
                <w:rFonts w:hint="eastAsia" w:ascii="宋体" w:hAnsi="宋体" w:eastAsia="宋体" w:cs="宋体"/>
                <w:color w:val="auto"/>
                <w:kern w:val="0"/>
                <w:highlight w:val="none"/>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26598BD8">
            <w:pPr>
              <w:pStyle w:val="46"/>
              <w:keepNext w:val="0"/>
              <w:keepLines w:val="0"/>
              <w:pageBreakBefore w:val="0"/>
              <w:kinsoku/>
              <w:wordWrap/>
              <w:overflowPunct/>
              <w:topLinePunct w:val="0"/>
              <w:bidi w:val="0"/>
              <w:spacing w:line="360" w:lineRule="exact"/>
              <w:jc w:val="center"/>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响应文件签署</w:t>
            </w:r>
          </w:p>
        </w:tc>
        <w:tc>
          <w:tcPr>
            <w:tcW w:w="5448" w:type="dxa"/>
            <w:tcBorders>
              <w:top w:val="single" w:color="auto" w:sz="4" w:space="0"/>
              <w:left w:val="single" w:color="auto" w:sz="4" w:space="0"/>
              <w:bottom w:val="single" w:color="auto" w:sz="4" w:space="0"/>
              <w:right w:val="single" w:color="auto" w:sz="4" w:space="0"/>
            </w:tcBorders>
            <w:noWrap/>
            <w:vAlign w:val="center"/>
          </w:tcPr>
          <w:p w14:paraId="6F354190">
            <w:pPr>
              <w:pStyle w:val="46"/>
              <w:keepNext w:val="0"/>
              <w:keepLines w:val="0"/>
              <w:pageBreakBefore w:val="0"/>
              <w:kinsoku/>
              <w:wordWrap/>
              <w:overflowPunct/>
              <w:topLinePunct w:val="0"/>
              <w:bidi w:val="0"/>
              <w:spacing w:line="360" w:lineRule="exact"/>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响应文件上法定代表人或其授权代理人的签字、供应商的单位章齐全符合磋商文件规定</w:t>
            </w:r>
          </w:p>
        </w:tc>
        <w:tc>
          <w:tcPr>
            <w:tcW w:w="621" w:type="dxa"/>
            <w:tcBorders>
              <w:top w:val="single" w:color="auto" w:sz="4" w:space="0"/>
              <w:left w:val="single" w:color="auto" w:sz="4" w:space="0"/>
              <w:bottom w:val="single" w:color="auto" w:sz="4" w:space="0"/>
              <w:right w:val="single" w:color="auto" w:sz="4" w:space="0"/>
            </w:tcBorders>
            <w:noWrap/>
            <w:vAlign w:val="center"/>
          </w:tcPr>
          <w:p w14:paraId="74421220">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c>
          <w:tcPr>
            <w:tcW w:w="629" w:type="dxa"/>
            <w:tcBorders>
              <w:top w:val="single" w:color="auto" w:sz="4" w:space="0"/>
              <w:left w:val="single" w:color="auto" w:sz="4" w:space="0"/>
              <w:bottom w:val="single" w:color="auto" w:sz="4" w:space="0"/>
              <w:right w:val="single" w:color="auto" w:sz="4" w:space="0"/>
            </w:tcBorders>
            <w:noWrap/>
            <w:vAlign w:val="center"/>
          </w:tcPr>
          <w:p w14:paraId="41117871">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r>
      <w:tr w14:paraId="326D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56"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0B890E2F">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3D91C630">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6F38451A">
            <w:pPr>
              <w:pStyle w:val="46"/>
              <w:keepNext w:val="0"/>
              <w:keepLines w:val="0"/>
              <w:pageBreakBefore w:val="0"/>
              <w:kinsoku/>
              <w:wordWrap/>
              <w:overflowPunct/>
              <w:topLinePunct w:val="0"/>
              <w:bidi w:val="0"/>
              <w:spacing w:line="360" w:lineRule="exact"/>
              <w:jc w:val="center"/>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投标方案</w:t>
            </w:r>
          </w:p>
        </w:tc>
        <w:tc>
          <w:tcPr>
            <w:tcW w:w="5448" w:type="dxa"/>
            <w:tcBorders>
              <w:top w:val="single" w:color="auto" w:sz="4" w:space="0"/>
              <w:left w:val="single" w:color="auto" w:sz="4" w:space="0"/>
              <w:bottom w:val="single" w:color="auto" w:sz="4" w:space="0"/>
              <w:right w:val="single" w:color="auto" w:sz="4" w:space="0"/>
            </w:tcBorders>
            <w:noWrap/>
            <w:vAlign w:val="center"/>
          </w:tcPr>
          <w:p w14:paraId="2F17EBEB">
            <w:pPr>
              <w:pStyle w:val="46"/>
              <w:keepNext w:val="0"/>
              <w:keepLines w:val="0"/>
              <w:pageBreakBefore w:val="0"/>
              <w:kinsoku/>
              <w:wordWrap/>
              <w:overflowPunct/>
              <w:topLinePunct w:val="0"/>
              <w:bidi w:val="0"/>
              <w:spacing w:line="360" w:lineRule="exact"/>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只能有一个方案投标</w:t>
            </w:r>
          </w:p>
        </w:tc>
        <w:tc>
          <w:tcPr>
            <w:tcW w:w="621" w:type="dxa"/>
            <w:tcBorders>
              <w:top w:val="single" w:color="auto" w:sz="4" w:space="0"/>
              <w:left w:val="single" w:color="auto" w:sz="4" w:space="0"/>
              <w:bottom w:val="single" w:color="auto" w:sz="4" w:space="0"/>
              <w:right w:val="single" w:color="auto" w:sz="4" w:space="0"/>
            </w:tcBorders>
            <w:noWrap/>
            <w:vAlign w:val="center"/>
          </w:tcPr>
          <w:p w14:paraId="7008E570">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c>
          <w:tcPr>
            <w:tcW w:w="629" w:type="dxa"/>
            <w:tcBorders>
              <w:top w:val="single" w:color="auto" w:sz="4" w:space="0"/>
              <w:left w:val="single" w:color="auto" w:sz="4" w:space="0"/>
              <w:bottom w:val="single" w:color="auto" w:sz="4" w:space="0"/>
              <w:right w:val="single" w:color="auto" w:sz="4" w:space="0"/>
            </w:tcBorders>
            <w:noWrap/>
            <w:vAlign w:val="center"/>
          </w:tcPr>
          <w:p w14:paraId="7A435A7E">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r>
      <w:tr w14:paraId="37BF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56"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32BAB824">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57AE026E">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6BFD6310">
            <w:pPr>
              <w:pStyle w:val="46"/>
              <w:keepNext w:val="0"/>
              <w:keepLines w:val="0"/>
              <w:pageBreakBefore w:val="0"/>
              <w:kinsoku/>
              <w:wordWrap/>
              <w:overflowPunct/>
              <w:topLinePunct w:val="0"/>
              <w:bidi w:val="0"/>
              <w:spacing w:line="360" w:lineRule="exact"/>
              <w:jc w:val="center"/>
              <w:rPr>
                <w:rFonts w:hint="default"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服务期</w:t>
            </w:r>
          </w:p>
        </w:tc>
        <w:tc>
          <w:tcPr>
            <w:tcW w:w="5448" w:type="dxa"/>
            <w:tcBorders>
              <w:top w:val="single" w:color="auto" w:sz="4" w:space="0"/>
              <w:left w:val="single" w:color="auto" w:sz="4" w:space="0"/>
              <w:bottom w:val="single" w:color="auto" w:sz="4" w:space="0"/>
              <w:right w:val="single" w:color="auto" w:sz="4" w:space="0"/>
            </w:tcBorders>
            <w:noWrap/>
            <w:vAlign w:val="center"/>
          </w:tcPr>
          <w:p w14:paraId="12F255B0">
            <w:pPr>
              <w:pStyle w:val="46"/>
              <w:keepNext w:val="0"/>
              <w:keepLines w:val="0"/>
              <w:pageBreakBefore w:val="0"/>
              <w:kinsoku/>
              <w:wordWrap/>
              <w:overflowPunct/>
              <w:topLinePunct w:val="0"/>
              <w:bidi w:val="0"/>
              <w:spacing w:line="360" w:lineRule="exact"/>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服务期满足磋商文件要求</w:t>
            </w:r>
          </w:p>
        </w:tc>
        <w:tc>
          <w:tcPr>
            <w:tcW w:w="621" w:type="dxa"/>
            <w:tcBorders>
              <w:top w:val="single" w:color="auto" w:sz="4" w:space="0"/>
              <w:left w:val="single" w:color="auto" w:sz="4" w:space="0"/>
              <w:bottom w:val="single" w:color="auto" w:sz="4" w:space="0"/>
              <w:right w:val="single" w:color="auto" w:sz="4" w:space="0"/>
            </w:tcBorders>
            <w:noWrap/>
            <w:vAlign w:val="center"/>
          </w:tcPr>
          <w:p w14:paraId="65DD5329">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c>
          <w:tcPr>
            <w:tcW w:w="629" w:type="dxa"/>
            <w:tcBorders>
              <w:top w:val="single" w:color="auto" w:sz="4" w:space="0"/>
              <w:left w:val="single" w:color="auto" w:sz="4" w:space="0"/>
              <w:bottom w:val="single" w:color="auto" w:sz="4" w:space="0"/>
              <w:right w:val="single" w:color="auto" w:sz="4" w:space="0"/>
            </w:tcBorders>
            <w:noWrap/>
            <w:vAlign w:val="center"/>
          </w:tcPr>
          <w:p w14:paraId="4782339D">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r>
      <w:tr w14:paraId="2E42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56"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2C6EA385">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highlight w:val="none"/>
              </w:rPr>
            </w:pPr>
          </w:p>
          <w:p w14:paraId="43594EBD">
            <w:pPr>
              <w:pStyle w:val="10"/>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7EE73EA1">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5C571FFB">
            <w:pPr>
              <w:pStyle w:val="46"/>
              <w:keepNext w:val="0"/>
              <w:keepLines w:val="0"/>
              <w:pageBreakBefore w:val="0"/>
              <w:kinsoku/>
              <w:wordWrap/>
              <w:overflowPunct/>
              <w:topLinePunct w:val="0"/>
              <w:bidi w:val="0"/>
              <w:spacing w:line="360" w:lineRule="exact"/>
              <w:jc w:val="center"/>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付款方式</w:t>
            </w:r>
          </w:p>
        </w:tc>
        <w:tc>
          <w:tcPr>
            <w:tcW w:w="5448" w:type="dxa"/>
            <w:tcBorders>
              <w:top w:val="single" w:color="auto" w:sz="4" w:space="0"/>
              <w:left w:val="single" w:color="auto" w:sz="4" w:space="0"/>
              <w:bottom w:val="single" w:color="auto" w:sz="4" w:space="0"/>
              <w:right w:val="single" w:color="auto" w:sz="4" w:space="0"/>
            </w:tcBorders>
            <w:noWrap/>
            <w:vAlign w:val="center"/>
          </w:tcPr>
          <w:p w14:paraId="41E617A9">
            <w:pPr>
              <w:pStyle w:val="46"/>
              <w:keepNext w:val="0"/>
              <w:keepLines w:val="0"/>
              <w:pageBreakBefore w:val="0"/>
              <w:kinsoku/>
              <w:wordWrap/>
              <w:overflowPunct/>
              <w:topLinePunct w:val="0"/>
              <w:bidi w:val="0"/>
              <w:spacing w:line="360" w:lineRule="exact"/>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响应文件承诺的的付款方式满足磋商文件要求</w:t>
            </w:r>
          </w:p>
        </w:tc>
        <w:tc>
          <w:tcPr>
            <w:tcW w:w="621" w:type="dxa"/>
            <w:tcBorders>
              <w:top w:val="single" w:color="auto" w:sz="4" w:space="0"/>
              <w:left w:val="single" w:color="auto" w:sz="4" w:space="0"/>
              <w:bottom w:val="single" w:color="auto" w:sz="4" w:space="0"/>
              <w:right w:val="single" w:color="auto" w:sz="4" w:space="0"/>
            </w:tcBorders>
            <w:noWrap/>
            <w:vAlign w:val="center"/>
          </w:tcPr>
          <w:p w14:paraId="2286DA09">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c>
          <w:tcPr>
            <w:tcW w:w="629" w:type="dxa"/>
            <w:tcBorders>
              <w:top w:val="single" w:color="auto" w:sz="4" w:space="0"/>
              <w:left w:val="single" w:color="auto" w:sz="4" w:space="0"/>
              <w:bottom w:val="single" w:color="auto" w:sz="4" w:space="0"/>
              <w:right w:val="single" w:color="auto" w:sz="4" w:space="0"/>
            </w:tcBorders>
            <w:noWrap/>
            <w:vAlign w:val="center"/>
          </w:tcPr>
          <w:p w14:paraId="79DC3C02">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r>
      <w:tr w14:paraId="1562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56"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51FFE73C">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highlight w:val="none"/>
              </w:rPr>
            </w:pPr>
          </w:p>
          <w:p w14:paraId="2F780C29">
            <w:pPr>
              <w:pStyle w:val="10"/>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1AE9D016">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6B87445F">
            <w:pPr>
              <w:pStyle w:val="46"/>
              <w:keepNext w:val="0"/>
              <w:keepLines w:val="0"/>
              <w:pageBreakBefore w:val="0"/>
              <w:kinsoku/>
              <w:wordWrap/>
              <w:overflowPunct/>
              <w:topLinePunct w:val="0"/>
              <w:bidi w:val="0"/>
              <w:spacing w:line="360" w:lineRule="exact"/>
              <w:jc w:val="center"/>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报价唯一</w:t>
            </w:r>
          </w:p>
        </w:tc>
        <w:tc>
          <w:tcPr>
            <w:tcW w:w="5448" w:type="dxa"/>
            <w:tcBorders>
              <w:top w:val="single" w:color="auto" w:sz="4" w:space="0"/>
              <w:left w:val="single" w:color="auto" w:sz="4" w:space="0"/>
              <w:bottom w:val="single" w:color="auto" w:sz="4" w:space="0"/>
              <w:right w:val="single" w:color="auto" w:sz="4" w:space="0"/>
            </w:tcBorders>
            <w:noWrap/>
            <w:vAlign w:val="center"/>
          </w:tcPr>
          <w:p w14:paraId="3FBEC6CC">
            <w:pPr>
              <w:pStyle w:val="46"/>
              <w:keepNext w:val="0"/>
              <w:keepLines w:val="0"/>
              <w:pageBreakBefore w:val="0"/>
              <w:kinsoku/>
              <w:wordWrap/>
              <w:overflowPunct/>
              <w:topLinePunct w:val="0"/>
              <w:bidi w:val="0"/>
              <w:spacing w:line="360" w:lineRule="exact"/>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其报价未超过采购预算金额，且只有一个有效报价，不得提交选择性报价</w:t>
            </w:r>
          </w:p>
        </w:tc>
        <w:tc>
          <w:tcPr>
            <w:tcW w:w="621" w:type="dxa"/>
            <w:tcBorders>
              <w:top w:val="single" w:color="auto" w:sz="4" w:space="0"/>
              <w:left w:val="single" w:color="auto" w:sz="4" w:space="0"/>
              <w:bottom w:val="single" w:color="auto" w:sz="4" w:space="0"/>
              <w:right w:val="single" w:color="auto" w:sz="4" w:space="0"/>
            </w:tcBorders>
            <w:noWrap/>
            <w:vAlign w:val="center"/>
          </w:tcPr>
          <w:p w14:paraId="15DDB337">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c>
          <w:tcPr>
            <w:tcW w:w="629" w:type="dxa"/>
            <w:tcBorders>
              <w:top w:val="single" w:color="auto" w:sz="4" w:space="0"/>
              <w:left w:val="single" w:color="auto" w:sz="4" w:space="0"/>
              <w:bottom w:val="single" w:color="auto" w:sz="4" w:space="0"/>
              <w:right w:val="single" w:color="auto" w:sz="4" w:space="0"/>
            </w:tcBorders>
            <w:noWrap/>
            <w:vAlign w:val="center"/>
          </w:tcPr>
          <w:p w14:paraId="0FF99E37">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r>
      <w:tr w14:paraId="6F2E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603"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243ABF0C">
            <w:pPr>
              <w:pStyle w:val="10"/>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6DED93A7">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6F9191F1">
            <w:pPr>
              <w:pStyle w:val="46"/>
              <w:keepNext w:val="0"/>
              <w:keepLines w:val="0"/>
              <w:pageBreakBefore w:val="0"/>
              <w:kinsoku/>
              <w:wordWrap/>
              <w:overflowPunct/>
              <w:topLinePunct w:val="0"/>
              <w:bidi w:val="0"/>
              <w:spacing w:line="360" w:lineRule="exact"/>
              <w:jc w:val="center"/>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kern w:val="2"/>
                <w:sz w:val="21"/>
                <w:szCs w:val="21"/>
                <w:highlight w:val="none"/>
              </w:rPr>
              <w:t>采购范围</w:t>
            </w:r>
          </w:p>
        </w:tc>
        <w:tc>
          <w:tcPr>
            <w:tcW w:w="5448" w:type="dxa"/>
            <w:tcBorders>
              <w:top w:val="single" w:color="auto" w:sz="4" w:space="0"/>
              <w:left w:val="single" w:color="auto" w:sz="4" w:space="0"/>
              <w:bottom w:val="single" w:color="auto" w:sz="4" w:space="0"/>
              <w:right w:val="single" w:color="auto" w:sz="4" w:space="0"/>
            </w:tcBorders>
            <w:noWrap/>
            <w:vAlign w:val="center"/>
          </w:tcPr>
          <w:p w14:paraId="5652F2DC">
            <w:pPr>
              <w:pStyle w:val="46"/>
              <w:keepNext w:val="0"/>
              <w:keepLines w:val="0"/>
              <w:pageBreakBefore w:val="0"/>
              <w:kinsoku/>
              <w:wordWrap/>
              <w:overflowPunct/>
              <w:topLinePunct w:val="0"/>
              <w:bidi w:val="0"/>
              <w:spacing w:line="360" w:lineRule="exact"/>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kern w:val="2"/>
                <w:sz w:val="21"/>
                <w:szCs w:val="21"/>
                <w:highlight w:val="none"/>
              </w:rPr>
              <w:t>响应文件载明的采购范围是否符合磋商文件的要求，无重大偏离或保留</w:t>
            </w:r>
          </w:p>
        </w:tc>
        <w:tc>
          <w:tcPr>
            <w:tcW w:w="621" w:type="dxa"/>
            <w:tcBorders>
              <w:top w:val="single" w:color="auto" w:sz="4" w:space="0"/>
              <w:left w:val="single" w:color="auto" w:sz="4" w:space="0"/>
              <w:bottom w:val="single" w:color="auto" w:sz="4" w:space="0"/>
              <w:right w:val="single" w:color="auto" w:sz="4" w:space="0"/>
            </w:tcBorders>
            <w:noWrap/>
            <w:vAlign w:val="center"/>
          </w:tcPr>
          <w:p w14:paraId="7CBF65A8">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c>
          <w:tcPr>
            <w:tcW w:w="629" w:type="dxa"/>
            <w:tcBorders>
              <w:top w:val="single" w:color="auto" w:sz="4" w:space="0"/>
              <w:left w:val="single" w:color="auto" w:sz="4" w:space="0"/>
              <w:bottom w:val="single" w:color="auto" w:sz="4" w:space="0"/>
              <w:right w:val="single" w:color="auto" w:sz="4" w:space="0"/>
            </w:tcBorders>
            <w:noWrap/>
            <w:vAlign w:val="center"/>
          </w:tcPr>
          <w:p w14:paraId="7B2C551A">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r>
      <w:tr w14:paraId="5008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603"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58B326CA">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27720788">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05133123">
            <w:pPr>
              <w:pStyle w:val="46"/>
              <w:keepNext w:val="0"/>
              <w:keepLines w:val="0"/>
              <w:pageBreakBefore w:val="0"/>
              <w:kinsoku/>
              <w:wordWrap/>
              <w:overflowPunct/>
              <w:topLinePunct w:val="0"/>
              <w:bidi w:val="0"/>
              <w:spacing w:line="360" w:lineRule="exact"/>
              <w:jc w:val="center"/>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其他</w:t>
            </w:r>
          </w:p>
        </w:tc>
        <w:tc>
          <w:tcPr>
            <w:tcW w:w="5448" w:type="dxa"/>
            <w:tcBorders>
              <w:top w:val="single" w:color="auto" w:sz="4" w:space="0"/>
              <w:left w:val="single" w:color="auto" w:sz="4" w:space="0"/>
              <w:bottom w:val="single" w:color="auto" w:sz="4" w:space="0"/>
              <w:right w:val="single" w:color="auto" w:sz="4" w:space="0"/>
            </w:tcBorders>
            <w:noWrap/>
            <w:vAlign w:val="center"/>
          </w:tcPr>
          <w:p w14:paraId="1A764D2E">
            <w:pPr>
              <w:pStyle w:val="46"/>
              <w:keepNext w:val="0"/>
              <w:keepLines w:val="0"/>
              <w:pageBreakBefore w:val="0"/>
              <w:kinsoku/>
              <w:wordWrap/>
              <w:overflowPunct/>
              <w:topLinePunct w:val="0"/>
              <w:bidi w:val="0"/>
              <w:spacing w:line="360" w:lineRule="exact"/>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响应文件未附有</w:t>
            </w:r>
            <w:r>
              <w:rPr>
                <w:rFonts w:hint="eastAsia" w:ascii="宋体" w:hAnsi="宋体" w:eastAsia="宋体" w:cs="宋体"/>
                <w:b w:val="0"/>
                <w:bCs/>
                <w:color w:val="auto"/>
                <w:sz w:val="21"/>
                <w:szCs w:val="21"/>
                <w:highlight w:val="none"/>
                <w:lang w:eastAsia="zh-CN"/>
              </w:rPr>
              <w:t>采购人</w:t>
            </w:r>
            <w:r>
              <w:rPr>
                <w:rFonts w:hint="eastAsia" w:ascii="宋体" w:hAnsi="宋体" w:eastAsia="宋体" w:cs="宋体"/>
                <w:b w:val="0"/>
                <w:bCs/>
                <w:color w:val="auto"/>
                <w:sz w:val="21"/>
                <w:szCs w:val="21"/>
                <w:highlight w:val="none"/>
              </w:rPr>
              <w:t>不能接受的附加条件或法律、法规和磋商文件规定的其他无效情形</w:t>
            </w:r>
          </w:p>
        </w:tc>
        <w:tc>
          <w:tcPr>
            <w:tcW w:w="621" w:type="dxa"/>
            <w:tcBorders>
              <w:top w:val="single" w:color="auto" w:sz="4" w:space="0"/>
              <w:left w:val="single" w:color="auto" w:sz="4" w:space="0"/>
              <w:bottom w:val="single" w:color="auto" w:sz="4" w:space="0"/>
              <w:right w:val="single" w:color="auto" w:sz="4" w:space="0"/>
            </w:tcBorders>
            <w:noWrap/>
            <w:vAlign w:val="center"/>
          </w:tcPr>
          <w:p w14:paraId="0B233F50">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c>
          <w:tcPr>
            <w:tcW w:w="629" w:type="dxa"/>
            <w:tcBorders>
              <w:top w:val="single" w:color="auto" w:sz="4" w:space="0"/>
              <w:left w:val="single" w:color="auto" w:sz="4" w:space="0"/>
              <w:bottom w:val="single" w:color="auto" w:sz="4" w:space="0"/>
              <w:right w:val="single" w:color="auto" w:sz="4" w:space="0"/>
            </w:tcBorders>
            <w:noWrap/>
            <w:vAlign w:val="center"/>
          </w:tcPr>
          <w:p w14:paraId="1518C0CC">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r>
      <w:tr w14:paraId="4609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56" w:hRule="atLeast"/>
        </w:trPr>
        <w:tc>
          <w:tcPr>
            <w:tcW w:w="170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C78C22E">
            <w:pPr>
              <w:widowControl/>
              <w:spacing w:line="360" w:lineRule="exact"/>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评分因素</w:t>
            </w:r>
          </w:p>
        </w:tc>
        <w:tc>
          <w:tcPr>
            <w:tcW w:w="7998" w:type="dxa"/>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769A965F">
            <w:pPr>
              <w:widowControl/>
              <w:spacing w:line="360" w:lineRule="exact"/>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评分标准</w:t>
            </w:r>
          </w:p>
        </w:tc>
      </w:tr>
      <w:tr w14:paraId="7842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474" w:hRule="atLeast"/>
        </w:trPr>
        <w:tc>
          <w:tcPr>
            <w:tcW w:w="600" w:type="dxa"/>
            <w:tcBorders>
              <w:top w:val="single" w:color="auto" w:sz="4" w:space="0"/>
              <w:left w:val="single" w:color="auto" w:sz="4" w:space="0"/>
              <w:bottom w:val="single" w:color="auto" w:sz="4" w:space="0"/>
              <w:right w:val="single" w:color="auto" w:sz="4" w:space="0"/>
            </w:tcBorders>
            <w:noWrap/>
            <w:vAlign w:val="center"/>
          </w:tcPr>
          <w:p w14:paraId="4FF6B11E">
            <w:pPr>
              <w:widowControl/>
              <w:spacing w:line="360" w:lineRule="exact"/>
              <w:jc w:val="center"/>
              <w:rPr>
                <w:rFonts w:hint="eastAsia" w:ascii="宋体" w:hAnsi="宋体" w:eastAsia="宋体" w:cs="宋体"/>
                <w:color w:val="auto"/>
                <w:kern w:val="0"/>
                <w:sz w:val="21"/>
                <w:szCs w:val="21"/>
                <w:highlight w:val="none"/>
              </w:rPr>
            </w:pPr>
          </w:p>
        </w:tc>
        <w:tc>
          <w:tcPr>
            <w:tcW w:w="1100" w:type="dxa"/>
            <w:tcBorders>
              <w:top w:val="single" w:color="auto" w:sz="4" w:space="0"/>
              <w:left w:val="single" w:color="auto" w:sz="4" w:space="0"/>
              <w:right w:val="single" w:color="auto" w:sz="4" w:space="0"/>
            </w:tcBorders>
            <w:noWrap/>
            <w:vAlign w:val="center"/>
          </w:tcPr>
          <w:p w14:paraId="1377A856">
            <w:pPr>
              <w:widowControl/>
              <w:spacing w:line="36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价格评审（</w:t>
            </w: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分）</w:t>
            </w:r>
          </w:p>
        </w:tc>
        <w:tc>
          <w:tcPr>
            <w:tcW w:w="1300" w:type="dxa"/>
            <w:tcBorders>
              <w:top w:val="single" w:color="auto" w:sz="4" w:space="0"/>
              <w:left w:val="single" w:color="auto" w:sz="4" w:space="0"/>
              <w:right w:val="single" w:color="auto" w:sz="4" w:space="0"/>
            </w:tcBorders>
            <w:vAlign w:val="center"/>
          </w:tcPr>
          <w:p w14:paraId="62D03312">
            <w:pPr>
              <w:pStyle w:val="46"/>
              <w:spacing w:line="360" w:lineRule="exact"/>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投标报价</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20分</w:t>
            </w:r>
            <w:r>
              <w:rPr>
                <w:rFonts w:hint="eastAsia" w:ascii="宋体" w:hAnsi="宋体" w:eastAsia="宋体" w:cs="宋体"/>
                <w:b w:val="0"/>
                <w:bCs/>
                <w:color w:val="auto"/>
                <w:sz w:val="21"/>
                <w:szCs w:val="21"/>
                <w:highlight w:val="none"/>
                <w:lang w:eastAsia="zh-CN"/>
              </w:rPr>
              <w:t>）</w:t>
            </w:r>
          </w:p>
        </w:tc>
        <w:tc>
          <w:tcPr>
            <w:tcW w:w="6698" w:type="dxa"/>
            <w:gridSpan w:val="3"/>
            <w:tcBorders>
              <w:top w:val="single" w:color="auto" w:sz="4" w:space="0"/>
              <w:left w:val="single" w:color="auto" w:sz="4" w:space="0"/>
              <w:bottom w:val="single" w:color="auto" w:sz="4" w:space="0"/>
              <w:right w:val="single" w:color="auto" w:sz="4" w:space="0"/>
            </w:tcBorders>
            <w:noWrap/>
            <w:vAlign w:val="center"/>
          </w:tcPr>
          <w:p w14:paraId="42662C56">
            <w:pPr>
              <w:pStyle w:val="84"/>
              <w:spacing w:line="360" w:lineRule="exact"/>
              <w:rPr>
                <w:rFonts w:hint="eastAsia" w:ascii="宋体" w:hAnsi="宋体" w:eastAsia="宋体" w:cs="宋体"/>
                <w:sz w:val="21"/>
                <w:szCs w:val="21"/>
                <w:highlight w:val="none"/>
              </w:rPr>
            </w:pPr>
            <w:r>
              <w:rPr>
                <w:rFonts w:hint="eastAsia" w:ascii="宋体" w:hAnsi="宋体" w:cs="宋体"/>
                <w:sz w:val="21"/>
                <w:szCs w:val="21"/>
                <w:highlight w:val="none"/>
              </w:rPr>
              <w:t>价格分采用低价优先法计算，即满足采购文件要求且投标价格最低的投标报价为评标基准价，其价格分为满分。其他供应商的价格分统一按照下</w:t>
            </w:r>
            <w:r>
              <w:rPr>
                <w:rFonts w:hint="eastAsia" w:ascii="宋体" w:hAnsi="宋体" w:eastAsia="宋体" w:cs="宋体"/>
                <w:sz w:val="21"/>
                <w:szCs w:val="21"/>
                <w:highlight w:val="none"/>
              </w:rPr>
              <w:t>列公式计算：</w:t>
            </w:r>
          </w:p>
          <w:p w14:paraId="2D0F33B9">
            <w:pPr>
              <w:pStyle w:val="84"/>
              <w:spacing w:line="360" w:lineRule="exact"/>
              <w:rPr>
                <w:rFonts w:hint="eastAsia" w:ascii="宋体" w:hAnsi="宋体" w:eastAsia="宋体" w:cs="宋体"/>
                <w:b w:val="0"/>
                <w:bCs/>
                <w:color w:val="auto"/>
                <w:sz w:val="21"/>
                <w:szCs w:val="21"/>
                <w:highlight w:val="none"/>
                <w:lang w:eastAsia="zh-CN"/>
              </w:rPr>
            </w:pPr>
            <w:r>
              <w:rPr>
                <w:rFonts w:hint="eastAsia" w:ascii="宋体" w:hAnsi="宋体" w:eastAsia="宋体" w:cs="宋体"/>
                <w:sz w:val="21"/>
                <w:szCs w:val="21"/>
                <w:highlight w:val="none"/>
              </w:rPr>
              <w:t xml:space="preserve">投标报价得分=(评标基准价／投标报价)×价格分值×100% </w:t>
            </w:r>
          </w:p>
        </w:tc>
      </w:tr>
      <w:tr w14:paraId="6ECD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29" w:hRule="atLeast"/>
        </w:trPr>
        <w:tc>
          <w:tcPr>
            <w:tcW w:w="600" w:type="dxa"/>
            <w:vMerge w:val="restart"/>
            <w:tcBorders>
              <w:top w:val="single" w:color="auto" w:sz="4" w:space="0"/>
              <w:left w:val="single" w:color="auto" w:sz="4" w:space="0"/>
              <w:right w:val="single" w:color="auto" w:sz="4" w:space="0"/>
            </w:tcBorders>
            <w:vAlign w:val="center"/>
          </w:tcPr>
          <w:p w14:paraId="17CBE0E3">
            <w:pPr>
              <w:widowControl/>
              <w:suppressAutoHyphens w:val="0"/>
              <w:spacing w:line="360" w:lineRule="exact"/>
              <w:jc w:val="left"/>
              <w:rPr>
                <w:rFonts w:hint="eastAsia" w:ascii="宋体" w:hAnsi="宋体" w:eastAsia="宋体" w:cs="宋体"/>
                <w:color w:val="auto"/>
                <w:kern w:val="0"/>
                <w:sz w:val="21"/>
                <w:szCs w:val="21"/>
                <w:highlight w:val="none"/>
              </w:rPr>
            </w:pPr>
          </w:p>
        </w:tc>
        <w:tc>
          <w:tcPr>
            <w:tcW w:w="1100" w:type="dxa"/>
            <w:vMerge w:val="restart"/>
            <w:tcBorders>
              <w:top w:val="single" w:color="auto" w:sz="4" w:space="0"/>
              <w:left w:val="single" w:color="auto" w:sz="4" w:space="0"/>
              <w:right w:val="single" w:color="auto" w:sz="4" w:space="0"/>
            </w:tcBorders>
            <w:noWrap/>
            <w:vAlign w:val="center"/>
          </w:tcPr>
          <w:p w14:paraId="20E37332">
            <w:pPr>
              <w:widowControl/>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商务部分</w:t>
            </w:r>
          </w:p>
          <w:p w14:paraId="2ABCBB3D">
            <w:pPr>
              <w:widowControl/>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29</w:t>
            </w:r>
            <w:r>
              <w:rPr>
                <w:rFonts w:hint="eastAsia" w:ascii="宋体" w:hAnsi="宋体" w:eastAsia="宋体" w:cs="宋体"/>
                <w:color w:val="auto"/>
                <w:kern w:val="0"/>
                <w:sz w:val="21"/>
                <w:szCs w:val="21"/>
                <w:highlight w:val="none"/>
              </w:rPr>
              <w:t>分）</w:t>
            </w:r>
          </w:p>
        </w:tc>
        <w:tc>
          <w:tcPr>
            <w:tcW w:w="1300" w:type="dxa"/>
            <w:tcBorders>
              <w:top w:val="single" w:color="auto" w:sz="4" w:space="0"/>
              <w:left w:val="single" w:color="auto" w:sz="4" w:space="0"/>
              <w:right w:val="single" w:color="auto" w:sz="4" w:space="0"/>
            </w:tcBorders>
            <w:noWrap/>
            <w:vAlign w:val="center"/>
          </w:tcPr>
          <w:p w14:paraId="36B52D7B">
            <w:pPr>
              <w:keepNext w:val="0"/>
              <w:keepLines w:val="0"/>
              <w:widowControl/>
              <w:suppressLineNumbers w:val="0"/>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投标人业绩（9分）</w:t>
            </w:r>
          </w:p>
        </w:tc>
        <w:tc>
          <w:tcPr>
            <w:tcW w:w="6698" w:type="dxa"/>
            <w:gridSpan w:val="3"/>
            <w:tcBorders>
              <w:top w:val="single" w:color="auto" w:sz="4" w:space="0"/>
              <w:left w:val="single" w:color="auto" w:sz="4" w:space="0"/>
              <w:bottom w:val="single" w:color="auto" w:sz="4" w:space="0"/>
              <w:right w:val="single" w:color="auto" w:sz="4" w:space="0"/>
            </w:tcBorders>
            <w:noWrap/>
            <w:vAlign w:val="center"/>
          </w:tcPr>
          <w:p w14:paraId="46726650">
            <w:pPr>
              <w:snapToGrid w:val="0"/>
              <w:spacing w:line="360" w:lineRule="exact"/>
              <w:rPr>
                <w:rStyle w:val="103"/>
                <w:rFonts w:hint="eastAsia" w:ascii="宋体" w:hAnsi="宋体" w:eastAsia="宋体" w:cs="宋体"/>
                <w:color w:val="auto"/>
                <w:sz w:val="21"/>
                <w:szCs w:val="21"/>
                <w:highlight w:val="none"/>
              </w:rPr>
            </w:pPr>
            <w:r>
              <w:rPr>
                <w:rStyle w:val="103"/>
                <w:rFonts w:hint="eastAsia" w:ascii="宋体" w:hAnsi="宋体" w:eastAsia="宋体" w:cs="宋体"/>
                <w:color w:val="auto"/>
                <w:sz w:val="21"/>
                <w:szCs w:val="21"/>
                <w:highlight w:val="none"/>
              </w:rPr>
              <w:t>提供近三年（202</w:t>
            </w:r>
            <w:r>
              <w:rPr>
                <w:rStyle w:val="103"/>
                <w:rFonts w:hint="eastAsia" w:ascii="宋体" w:hAnsi="宋体" w:cs="宋体"/>
                <w:color w:val="auto"/>
                <w:sz w:val="21"/>
                <w:szCs w:val="21"/>
                <w:highlight w:val="none"/>
                <w:lang w:val="en-US"/>
              </w:rPr>
              <w:t>2</w:t>
            </w:r>
            <w:r>
              <w:rPr>
                <w:rStyle w:val="103"/>
                <w:rFonts w:hint="eastAsia" w:ascii="宋体" w:hAnsi="宋体" w:eastAsia="宋体" w:cs="宋体"/>
                <w:color w:val="auto"/>
                <w:sz w:val="21"/>
                <w:szCs w:val="21"/>
                <w:highlight w:val="none"/>
              </w:rPr>
              <w:t>年0</w:t>
            </w:r>
            <w:r>
              <w:rPr>
                <w:rStyle w:val="103"/>
                <w:rFonts w:hint="eastAsia" w:ascii="宋体" w:hAnsi="宋体" w:eastAsia="宋体" w:cs="宋体"/>
                <w:color w:val="auto"/>
                <w:sz w:val="21"/>
                <w:szCs w:val="21"/>
                <w:highlight w:val="none"/>
                <w:lang w:val="en-US"/>
              </w:rPr>
              <w:t>1</w:t>
            </w:r>
            <w:r>
              <w:rPr>
                <w:rStyle w:val="103"/>
                <w:rFonts w:hint="eastAsia" w:ascii="宋体" w:hAnsi="宋体" w:eastAsia="宋体" w:cs="宋体"/>
                <w:color w:val="auto"/>
                <w:sz w:val="21"/>
                <w:szCs w:val="21"/>
                <w:highlight w:val="none"/>
              </w:rPr>
              <w:t>月01日-至今，</w:t>
            </w:r>
            <w:r>
              <w:rPr>
                <w:rStyle w:val="103"/>
                <w:rFonts w:hint="eastAsia" w:ascii="宋体" w:hAnsi="宋体" w:eastAsia="宋体" w:cs="宋体"/>
                <w:color w:val="auto"/>
                <w:sz w:val="21"/>
                <w:szCs w:val="21"/>
                <w:highlight w:val="none"/>
                <w:lang w:val="en-US"/>
              </w:rPr>
              <w:t>以合同签订日期为准</w:t>
            </w:r>
            <w:r>
              <w:rPr>
                <w:rStyle w:val="103"/>
                <w:rFonts w:hint="eastAsia" w:ascii="宋体" w:hAnsi="宋体" w:eastAsia="宋体" w:cs="宋体"/>
                <w:color w:val="auto"/>
                <w:sz w:val="21"/>
                <w:szCs w:val="21"/>
                <w:highlight w:val="none"/>
              </w:rPr>
              <w:t>）完成</w:t>
            </w:r>
            <w:r>
              <w:rPr>
                <w:rFonts w:hint="eastAsia" w:ascii="宋体" w:hAnsi="宋体" w:eastAsia="宋体" w:cs="宋体"/>
                <w:color w:val="auto"/>
                <w:kern w:val="0"/>
                <w:sz w:val="21"/>
                <w:szCs w:val="21"/>
                <w:highlight w:val="none"/>
              </w:rPr>
              <w:t>的类似业绩</w:t>
            </w:r>
            <w:r>
              <w:rPr>
                <w:rStyle w:val="103"/>
                <w:rFonts w:hint="eastAsia" w:ascii="宋体" w:hAnsi="宋体" w:eastAsia="宋体" w:cs="宋体"/>
                <w:color w:val="auto"/>
                <w:sz w:val="21"/>
                <w:szCs w:val="21"/>
                <w:highlight w:val="none"/>
              </w:rPr>
              <w:t>，每一项加</w:t>
            </w:r>
            <w:r>
              <w:rPr>
                <w:rStyle w:val="103"/>
                <w:rFonts w:hint="eastAsia" w:ascii="宋体" w:hAnsi="宋体" w:eastAsia="宋体" w:cs="宋体"/>
                <w:color w:val="auto"/>
                <w:sz w:val="21"/>
                <w:szCs w:val="21"/>
                <w:highlight w:val="none"/>
                <w:lang w:val="en-US"/>
              </w:rPr>
              <w:t>3</w:t>
            </w:r>
            <w:r>
              <w:rPr>
                <w:rStyle w:val="103"/>
                <w:rFonts w:hint="eastAsia" w:ascii="宋体" w:hAnsi="宋体" w:eastAsia="宋体" w:cs="宋体"/>
                <w:color w:val="auto"/>
                <w:sz w:val="21"/>
                <w:szCs w:val="21"/>
                <w:highlight w:val="none"/>
              </w:rPr>
              <w:t>分，满分得</w:t>
            </w:r>
            <w:r>
              <w:rPr>
                <w:rStyle w:val="103"/>
                <w:rFonts w:hint="eastAsia" w:ascii="宋体" w:hAnsi="宋体" w:cs="宋体"/>
                <w:color w:val="auto"/>
                <w:sz w:val="21"/>
                <w:szCs w:val="21"/>
                <w:highlight w:val="none"/>
                <w:lang w:val="en-US"/>
              </w:rPr>
              <w:t>9</w:t>
            </w:r>
            <w:r>
              <w:rPr>
                <w:rStyle w:val="103"/>
                <w:rFonts w:hint="eastAsia" w:ascii="宋体" w:hAnsi="宋体" w:eastAsia="宋体" w:cs="宋体"/>
                <w:color w:val="auto"/>
                <w:sz w:val="21"/>
                <w:szCs w:val="21"/>
                <w:highlight w:val="none"/>
              </w:rPr>
              <w:t>分。</w:t>
            </w:r>
          </w:p>
          <w:p w14:paraId="0555EE3B">
            <w:pPr>
              <w:keepNext w:val="0"/>
              <w:keepLines w:val="0"/>
              <w:widowControl/>
              <w:suppressLineNumbers w:val="0"/>
              <w:jc w:val="both"/>
              <w:textAlignment w:val="center"/>
              <w:rPr>
                <w:rFonts w:hint="default" w:ascii="宋体" w:hAnsi="宋体" w:eastAsia="宋体" w:cs="宋体"/>
                <w:b w:val="0"/>
                <w:bCs/>
                <w:color w:val="auto"/>
                <w:sz w:val="21"/>
                <w:szCs w:val="21"/>
                <w:highlight w:val="none"/>
                <w:lang w:val="en-US" w:eastAsia="zh-CN"/>
              </w:rPr>
            </w:pPr>
            <w:r>
              <w:rPr>
                <w:rStyle w:val="103"/>
                <w:rFonts w:hint="eastAsia" w:ascii="宋体" w:hAnsi="宋体" w:eastAsia="宋体" w:cs="宋体"/>
                <w:b/>
                <w:bCs/>
                <w:color w:val="auto"/>
                <w:sz w:val="21"/>
                <w:szCs w:val="21"/>
                <w:highlight w:val="none"/>
              </w:rPr>
              <w:t>须提供业绩合同及中标通知书。如经</w:t>
            </w:r>
            <w:r>
              <w:rPr>
                <w:rStyle w:val="103"/>
                <w:rFonts w:hint="eastAsia" w:ascii="宋体" w:hAnsi="宋体" w:eastAsia="宋体" w:cs="宋体"/>
                <w:b/>
                <w:bCs/>
                <w:color w:val="auto"/>
                <w:sz w:val="21"/>
                <w:szCs w:val="21"/>
                <w:highlight w:val="none"/>
                <w:lang w:val="en-US"/>
              </w:rPr>
              <w:t>评标委员会</w:t>
            </w:r>
            <w:r>
              <w:rPr>
                <w:rStyle w:val="103"/>
                <w:rFonts w:hint="eastAsia" w:ascii="宋体" w:hAnsi="宋体" w:eastAsia="宋体" w:cs="宋体"/>
                <w:b/>
                <w:bCs/>
                <w:color w:val="auto"/>
                <w:sz w:val="21"/>
                <w:szCs w:val="21"/>
                <w:highlight w:val="none"/>
              </w:rPr>
              <w:t>认定所提供业绩合同或中标通知书残缺不全、模糊难辨或未提供的不得分，</w:t>
            </w:r>
            <w:r>
              <w:rPr>
                <w:rFonts w:hint="eastAsia" w:ascii="宋体" w:hAnsi="宋体" w:eastAsia="宋体" w:cs="宋体"/>
                <w:b/>
                <w:bCs/>
                <w:color w:val="auto"/>
                <w:kern w:val="0"/>
                <w:sz w:val="21"/>
                <w:szCs w:val="21"/>
                <w:highlight w:val="none"/>
              </w:rPr>
              <w:t>提供</w:t>
            </w:r>
            <w:r>
              <w:rPr>
                <w:rFonts w:hint="eastAsia" w:ascii="宋体" w:hAnsi="宋体" w:eastAsia="宋体" w:cs="宋体"/>
                <w:b/>
                <w:bCs/>
                <w:color w:val="auto"/>
                <w:kern w:val="0"/>
                <w:sz w:val="21"/>
                <w:szCs w:val="21"/>
                <w:highlight w:val="none"/>
                <w:lang w:val="en-US" w:eastAsia="zh-CN"/>
              </w:rPr>
              <w:t>原件彩色扫描件</w:t>
            </w:r>
            <w:r>
              <w:rPr>
                <w:rFonts w:hint="eastAsia" w:ascii="宋体" w:hAnsi="宋体" w:eastAsia="宋体" w:cs="宋体"/>
                <w:b/>
                <w:bCs/>
                <w:color w:val="auto"/>
                <w:kern w:val="0"/>
                <w:sz w:val="21"/>
                <w:szCs w:val="21"/>
                <w:highlight w:val="none"/>
              </w:rPr>
              <w:t>加盖公章</w:t>
            </w:r>
            <w:r>
              <w:rPr>
                <w:rFonts w:hint="eastAsia" w:ascii="宋体" w:hAnsi="宋体" w:eastAsia="宋体" w:cs="宋体"/>
                <w:b/>
                <w:bCs/>
                <w:color w:val="auto"/>
                <w:kern w:val="0"/>
                <w:sz w:val="21"/>
                <w:szCs w:val="21"/>
                <w:highlight w:val="none"/>
                <w:lang w:eastAsia="zh-CN"/>
              </w:rPr>
              <w:t>。</w:t>
            </w:r>
          </w:p>
        </w:tc>
      </w:tr>
      <w:tr w14:paraId="63A4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29" w:hRule="atLeast"/>
        </w:trPr>
        <w:tc>
          <w:tcPr>
            <w:tcW w:w="600" w:type="dxa"/>
            <w:vMerge w:val="continue"/>
            <w:tcBorders>
              <w:left w:val="single" w:color="auto" w:sz="4" w:space="0"/>
              <w:right w:val="single" w:color="auto" w:sz="4" w:space="0"/>
            </w:tcBorders>
            <w:vAlign w:val="center"/>
          </w:tcPr>
          <w:p w14:paraId="7B9D3511">
            <w:pPr>
              <w:widowControl/>
              <w:suppressAutoHyphens w:val="0"/>
              <w:spacing w:line="360" w:lineRule="exact"/>
              <w:jc w:val="left"/>
              <w:rPr>
                <w:rFonts w:hint="eastAsia" w:ascii="宋体" w:hAnsi="宋体" w:eastAsia="宋体" w:cs="宋体"/>
                <w:color w:val="auto"/>
                <w:kern w:val="0"/>
                <w:sz w:val="21"/>
                <w:szCs w:val="21"/>
                <w:highlight w:val="none"/>
              </w:rPr>
            </w:pPr>
          </w:p>
        </w:tc>
        <w:tc>
          <w:tcPr>
            <w:tcW w:w="1100" w:type="dxa"/>
            <w:vMerge w:val="continue"/>
            <w:tcBorders>
              <w:left w:val="single" w:color="auto" w:sz="4" w:space="0"/>
              <w:right w:val="single" w:color="auto" w:sz="4" w:space="0"/>
            </w:tcBorders>
            <w:noWrap/>
            <w:vAlign w:val="center"/>
          </w:tcPr>
          <w:p w14:paraId="4685F76D">
            <w:pPr>
              <w:widowControl/>
              <w:spacing w:line="360" w:lineRule="exact"/>
              <w:jc w:val="center"/>
              <w:rPr>
                <w:rFonts w:hint="eastAsia" w:ascii="宋体" w:hAnsi="宋体" w:eastAsia="宋体" w:cs="宋体"/>
                <w:color w:val="auto"/>
                <w:kern w:val="0"/>
                <w:sz w:val="21"/>
                <w:szCs w:val="21"/>
                <w:highlight w:val="none"/>
              </w:rPr>
            </w:pPr>
          </w:p>
        </w:tc>
        <w:tc>
          <w:tcPr>
            <w:tcW w:w="1300" w:type="dxa"/>
            <w:tcBorders>
              <w:top w:val="single" w:color="auto" w:sz="4" w:space="0"/>
              <w:left w:val="single" w:color="auto" w:sz="4" w:space="0"/>
              <w:right w:val="single" w:color="auto" w:sz="4" w:space="0"/>
            </w:tcBorders>
            <w:noWrap/>
            <w:vAlign w:val="center"/>
          </w:tcPr>
          <w:p w14:paraId="25A0F9B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bCs/>
                <w:color w:val="auto"/>
                <w:kern w:val="0"/>
                <w:szCs w:val="21"/>
                <w:highlight w:val="none"/>
              </w:rPr>
              <w:t>拟投入服务团队概况</w:t>
            </w:r>
            <w:r>
              <w:rPr>
                <w:rFonts w:hint="eastAsia" w:ascii="宋体" w:hAnsi="宋体" w:eastAsia="宋体" w:cs="宋体"/>
                <w:i w:val="0"/>
                <w:iCs w:val="0"/>
                <w:color w:val="auto"/>
                <w:kern w:val="0"/>
                <w:sz w:val="21"/>
                <w:szCs w:val="21"/>
                <w:highlight w:val="none"/>
                <w:u w:val="none"/>
                <w:lang w:val="en-US" w:eastAsia="zh-CN" w:bidi="ar"/>
              </w:rPr>
              <w:t>（20分）</w:t>
            </w:r>
          </w:p>
        </w:tc>
        <w:tc>
          <w:tcPr>
            <w:tcW w:w="6698" w:type="dxa"/>
            <w:gridSpan w:val="3"/>
            <w:tcBorders>
              <w:top w:val="single" w:color="auto" w:sz="4" w:space="0"/>
              <w:left w:val="single" w:color="auto" w:sz="4" w:space="0"/>
              <w:bottom w:val="single" w:color="auto" w:sz="4" w:space="0"/>
              <w:right w:val="single" w:color="auto" w:sz="4" w:space="0"/>
            </w:tcBorders>
            <w:noWrap/>
            <w:vAlign w:val="center"/>
          </w:tcPr>
          <w:p w14:paraId="40FA69CA">
            <w:pPr>
              <w:spacing w:line="320" w:lineRule="exact"/>
              <w:rPr>
                <w:rFonts w:ascii="宋体" w:hAnsi="宋体" w:cs="宋体"/>
                <w:color w:val="auto"/>
                <w:kern w:val="0"/>
                <w:szCs w:val="21"/>
                <w:highlight w:val="none"/>
              </w:rPr>
            </w:pPr>
            <w:r>
              <w:rPr>
                <w:rFonts w:hint="eastAsia" w:ascii="宋体" w:hAnsi="宋体" w:cs="宋体"/>
                <w:color w:val="auto"/>
                <w:kern w:val="0"/>
                <w:szCs w:val="21"/>
              </w:rPr>
              <w:t>供应商应根据项目特点、工作内容及要求配备齐全的相应工作人</w:t>
            </w:r>
            <w:r>
              <w:rPr>
                <w:rFonts w:hint="eastAsia" w:ascii="宋体" w:hAnsi="宋体" w:cs="宋体"/>
                <w:color w:val="auto"/>
                <w:kern w:val="0"/>
                <w:szCs w:val="21"/>
                <w:highlight w:val="none"/>
              </w:rPr>
              <w:t>员：</w:t>
            </w:r>
          </w:p>
          <w:p w14:paraId="7D3D31D9">
            <w:pPr>
              <w:widowControl/>
              <w:jc w:val="left"/>
              <w:rPr>
                <w:color w:val="auto"/>
                <w:highlight w:val="none"/>
              </w:rPr>
            </w:pPr>
            <w:r>
              <w:rPr>
                <w:rFonts w:hint="eastAsia" w:ascii="宋体" w:hAnsi="宋体" w:cs="宋体"/>
                <w:color w:val="auto"/>
                <w:kern w:val="0"/>
                <w:szCs w:val="21"/>
                <w:highlight w:val="none"/>
              </w:rPr>
              <w:t>1、配备</w:t>
            </w:r>
            <w:r>
              <w:rPr>
                <w:rFonts w:hint="eastAsia" w:ascii="宋体" w:hAnsi="宋体" w:cs="宋体"/>
                <w:color w:val="auto"/>
                <w:kern w:val="0"/>
                <w:szCs w:val="21"/>
                <w:highlight w:val="none"/>
                <w:lang w:val="en-US" w:eastAsia="zh-CN"/>
              </w:rPr>
              <w:t>在校绿化养护队伍</w:t>
            </w:r>
            <w:r>
              <w:rPr>
                <w:rFonts w:hint="eastAsia" w:ascii="宋体" w:hAnsi="宋体" w:cs="宋体"/>
                <w:color w:val="auto"/>
                <w:kern w:val="0"/>
                <w:szCs w:val="21"/>
                <w:highlight w:val="none"/>
                <w:lang w:bidi="ar"/>
              </w:rPr>
              <w:t>在</w:t>
            </w:r>
            <w:r>
              <w:rPr>
                <w:rFonts w:hint="eastAsia" w:ascii="宋体" w:hAnsi="宋体" w:cs="宋体"/>
                <w:color w:val="auto"/>
                <w:kern w:val="0"/>
                <w:szCs w:val="21"/>
                <w:highlight w:val="none"/>
                <w:lang w:val="en-US" w:eastAsia="zh-CN" w:bidi="ar"/>
              </w:rPr>
              <w:t>30</w:t>
            </w:r>
            <w:r>
              <w:rPr>
                <w:rFonts w:hint="eastAsia" w:ascii="宋体" w:hAnsi="宋体" w:cs="宋体"/>
                <w:color w:val="auto"/>
                <w:kern w:val="0"/>
                <w:szCs w:val="21"/>
                <w:highlight w:val="none"/>
                <w:lang w:bidi="ar"/>
              </w:rPr>
              <w:t>人（含）以上，得</w:t>
            </w:r>
            <w:r>
              <w:rPr>
                <w:rFonts w:hint="eastAsia" w:ascii="宋体" w:hAnsi="宋体" w:cs="宋体"/>
                <w:color w:val="auto"/>
                <w:kern w:val="0"/>
                <w:szCs w:val="21"/>
                <w:highlight w:val="none"/>
                <w:lang w:val="en-US" w:eastAsia="zh-CN" w:bidi="ar"/>
              </w:rPr>
              <w:t>11分</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25</w:t>
            </w:r>
            <w:r>
              <w:rPr>
                <w:rFonts w:hint="eastAsia" w:ascii="宋体" w:hAnsi="宋体" w:cs="宋体"/>
                <w:color w:val="auto"/>
                <w:kern w:val="0"/>
                <w:szCs w:val="21"/>
                <w:highlight w:val="none"/>
                <w:lang w:bidi="ar"/>
              </w:rPr>
              <w:t>人（含）以上</w:t>
            </w:r>
            <w:r>
              <w:rPr>
                <w:rFonts w:hint="eastAsia" w:ascii="宋体" w:hAnsi="宋体" w:cs="宋体"/>
                <w:color w:val="auto"/>
                <w:kern w:val="0"/>
                <w:szCs w:val="21"/>
                <w:highlight w:val="none"/>
                <w:lang w:val="en-US" w:eastAsia="zh-CN" w:bidi="ar"/>
              </w:rPr>
              <w:t>30</w:t>
            </w:r>
            <w:r>
              <w:rPr>
                <w:rFonts w:hint="eastAsia" w:ascii="宋体" w:hAnsi="宋体" w:cs="宋体"/>
                <w:color w:val="auto"/>
                <w:kern w:val="0"/>
                <w:szCs w:val="21"/>
                <w:highlight w:val="none"/>
                <w:lang w:bidi="ar"/>
              </w:rPr>
              <w:t>人以下，得</w:t>
            </w:r>
            <w:r>
              <w:rPr>
                <w:rFonts w:hint="eastAsia" w:ascii="宋体" w:hAnsi="宋体" w:cs="宋体"/>
                <w:color w:val="auto"/>
                <w:kern w:val="0"/>
                <w:szCs w:val="21"/>
                <w:highlight w:val="none"/>
                <w:lang w:val="en-US" w:eastAsia="zh-CN" w:bidi="ar"/>
              </w:rPr>
              <w:t>8</w:t>
            </w:r>
            <w:r>
              <w:rPr>
                <w:rFonts w:hint="eastAsia" w:ascii="宋体" w:hAnsi="宋体" w:cs="宋体"/>
                <w:color w:val="auto"/>
                <w:kern w:val="0"/>
                <w:szCs w:val="21"/>
                <w:highlight w:val="none"/>
                <w:lang w:bidi="ar"/>
              </w:rPr>
              <w:t>分；</w:t>
            </w:r>
            <w:r>
              <w:rPr>
                <w:rFonts w:hint="eastAsia" w:ascii="宋体" w:hAnsi="宋体" w:cs="宋体"/>
                <w:color w:val="auto"/>
                <w:kern w:val="0"/>
                <w:szCs w:val="21"/>
                <w:highlight w:val="none"/>
                <w:lang w:val="en-US" w:eastAsia="zh-CN" w:bidi="ar"/>
              </w:rPr>
              <w:t>20</w:t>
            </w:r>
            <w:r>
              <w:rPr>
                <w:rFonts w:hint="eastAsia" w:ascii="宋体" w:hAnsi="宋体" w:cs="宋体"/>
                <w:color w:val="auto"/>
                <w:kern w:val="0"/>
                <w:szCs w:val="21"/>
                <w:highlight w:val="none"/>
                <w:lang w:bidi="ar"/>
              </w:rPr>
              <w:t>人（含）以上</w:t>
            </w:r>
            <w:r>
              <w:rPr>
                <w:rFonts w:hint="eastAsia" w:ascii="宋体" w:hAnsi="宋体" w:cs="宋体"/>
                <w:color w:val="auto"/>
                <w:kern w:val="0"/>
                <w:szCs w:val="21"/>
                <w:highlight w:val="none"/>
                <w:lang w:val="en-US" w:eastAsia="zh-CN" w:bidi="ar"/>
              </w:rPr>
              <w:t>25</w:t>
            </w:r>
            <w:r>
              <w:rPr>
                <w:rFonts w:hint="eastAsia" w:ascii="宋体" w:hAnsi="宋体" w:cs="宋体"/>
                <w:color w:val="auto"/>
                <w:kern w:val="0"/>
                <w:szCs w:val="21"/>
                <w:highlight w:val="none"/>
                <w:lang w:bidi="ar"/>
              </w:rPr>
              <w:t>人以下，得</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分；</w:t>
            </w:r>
            <w:r>
              <w:rPr>
                <w:rFonts w:hint="eastAsia" w:ascii="宋体" w:hAnsi="宋体" w:cs="宋体"/>
                <w:color w:val="auto"/>
                <w:kern w:val="0"/>
                <w:szCs w:val="21"/>
                <w:highlight w:val="none"/>
                <w:lang w:val="en-US" w:eastAsia="zh-CN" w:bidi="ar"/>
              </w:rPr>
              <w:t>20</w:t>
            </w:r>
            <w:r>
              <w:rPr>
                <w:rFonts w:hint="eastAsia" w:ascii="宋体" w:hAnsi="宋体" w:cs="宋体"/>
                <w:color w:val="auto"/>
                <w:kern w:val="0"/>
                <w:szCs w:val="21"/>
                <w:highlight w:val="none"/>
                <w:lang w:bidi="ar"/>
              </w:rPr>
              <w:t>人以下不得分。</w:t>
            </w:r>
          </w:p>
          <w:p w14:paraId="0E67A422">
            <w:pPr>
              <w:spacing w:line="320" w:lineRule="exact"/>
              <w:rPr>
                <w:rFonts w:ascii="宋体" w:hAnsi="宋体" w:cs="宋体"/>
                <w:b/>
                <w:bCs/>
                <w:color w:val="auto"/>
                <w:kern w:val="0"/>
                <w:szCs w:val="21"/>
              </w:rPr>
            </w:pPr>
            <w:r>
              <w:rPr>
                <w:rFonts w:hint="eastAsia" w:ascii="宋体" w:hAnsi="宋体" w:cs="宋体"/>
                <w:b/>
                <w:bCs/>
                <w:color w:val="auto"/>
                <w:kern w:val="0"/>
                <w:szCs w:val="21"/>
              </w:rPr>
              <w:t>须提供证明材料包括：人员身份证及花名册及劳务（劳动）合同；</w:t>
            </w:r>
          </w:p>
          <w:p w14:paraId="2CEDED2A">
            <w:pPr>
              <w:spacing w:line="320" w:lineRule="exact"/>
              <w:rPr>
                <w:rFonts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绿化养护专业技术人员</w:t>
            </w:r>
            <w:r>
              <w:rPr>
                <w:rFonts w:hint="eastAsia" w:ascii="宋体" w:hAnsi="宋体" w:cs="宋体"/>
                <w:color w:val="auto"/>
                <w:kern w:val="0"/>
                <w:szCs w:val="21"/>
              </w:rPr>
              <w:t>：</w:t>
            </w:r>
          </w:p>
          <w:p w14:paraId="377AB094">
            <w:pPr>
              <w:spacing w:line="320" w:lineRule="exact"/>
              <w:rPr>
                <w:color w:val="auto"/>
              </w:rPr>
            </w:pPr>
            <w:r>
              <w:rPr>
                <w:rFonts w:hint="eastAsia"/>
                <w:color w:val="auto"/>
              </w:rPr>
              <w:t>提供不少于</w:t>
            </w:r>
            <w:r>
              <w:rPr>
                <w:rFonts w:hint="eastAsia"/>
                <w:color w:val="auto"/>
                <w:lang w:val="en-US" w:eastAsia="zh-CN"/>
              </w:rPr>
              <w:t>4</w:t>
            </w:r>
            <w:r>
              <w:rPr>
                <w:rFonts w:hint="eastAsia"/>
                <w:color w:val="auto"/>
              </w:rPr>
              <w:t>人，</w:t>
            </w:r>
            <w:r>
              <w:rPr>
                <w:rFonts w:hint="eastAsia"/>
                <w:color w:val="auto"/>
                <w:lang w:val="en-US" w:eastAsia="zh-CN"/>
              </w:rPr>
              <w:t>4</w:t>
            </w:r>
            <w:r>
              <w:rPr>
                <w:rFonts w:hint="eastAsia"/>
                <w:color w:val="auto"/>
              </w:rPr>
              <w:t>人（含）得</w:t>
            </w:r>
            <w:r>
              <w:rPr>
                <w:rFonts w:hint="eastAsia"/>
                <w:color w:val="auto"/>
                <w:lang w:val="en-US" w:eastAsia="zh-CN"/>
              </w:rPr>
              <w:t>3</w:t>
            </w:r>
            <w:r>
              <w:rPr>
                <w:rFonts w:hint="eastAsia"/>
                <w:color w:val="auto"/>
              </w:rPr>
              <w:t>分，每增加1人加</w:t>
            </w:r>
            <w:r>
              <w:rPr>
                <w:rFonts w:hint="eastAsia"/>
                <w:color w:val="auto"/>
                <w:lang w:val="en-US" w:eastAsia="zh-CN"/>
              </w:rPr>
              <w:t>1.5</w:t>
            </w:r>
            <w:r>
              <w:rPr>
                <w:rFonts w:hint="eastAsia"/>
                <w:color w:val="auto"/>
              </w:rPr>
              <w:t>分，提供</w:t>
            </w:r>
            <w:r>
              <w:rPr>
                <w:rFonts w:hint="eastAsia"/>
                <w:color w:val="auto"/>
                <w:lang w:val="en-US" w:eastAsia="zh-CN"/>
              </w:rPr>
              <w:t>8</w:t>
            </w:r>
            <w:r>
              <w:rPr>
                <w:rFonts w:hint="eastAsia"/>
                <w:color w:val="auto"/>
              </w:rPr>
              <w:t>人得满分，满分</w:t>
            </w:r>
            <w:r>
              <w:rPr>
                <w:rFonts w:hint="eastAsia"/>
                <w:color w:val="auto"/>
                <w:lang w:val="en-US" w:eastAsia="zh-CN"/>
              </w:rPr>
              <w:t>9</w:t>
            </w:r>
            <w:r>
              <w:rPr>
                <w:rFonts w:hint="eastAsia"/>
                <w:color w:val="auto"/>
              </w:rPr>
              <w:t>分。</w:t>
            </w:r>
            <w:r>
              <w:rPr>
                <w:rFonts w:hint="eastAsia"/>
                <w:color w:val="auto"/>
                <w:lang w:val="en-US" w:eastAsia="zh-CN"/>
              </w:rPr>
              <w:t>4</w:t>
            </w:r>
            <w:r>
              <w:rPr>
                <w:rFonts w:hint="eastAsia"/>
                <w:color w:val="auto"/>
              </w:rPr>
              <w:t>人以下不得分。</w:t>
            </w:r>
            <w:r>
              <w:rPr>
                <w:rFonts w:hint="eastAsia"/>
                <w:b/>
                <w:bCs/>
                <w:color w:val="auto"/>
              </w:rPr>
              <w:t>服务本项目</w:t>
            </w:r>
            <w:r>
              <w:rPr>
                <w:rFonts w:hint="eastAsia"/>
                <w:b/>
                <w:bCs/>
                <w:color w:val="auto"/>
                <w:lang w:val="en-US" w:eastAsia="zh-CN"/>
              </w:rPr>
              <w:t>专业技术人员</w:t>
            </w:r>
            <w:r>
              <w:rPr>
                <w:rFonts w:hint="eastAsia"/>
                <w:b/>
                <w:bCs/>
                <w:color w:val="auto"/>
              </w:rPr>
              <w:t>须提供与该项目相关的有效</w:t>
            </w:r>
            <w:r>
              <w:rPr>
                <w:rFonts w:hint="eastAsia"/>
                <w:b/>
                <w:bCs/>
                <w:color w:val="auto"/>
                <w:lang w:val="en-US" w:eastAsia="zh-CN"/>
              </w:rPr>
              <w:t>资格证书或职称证书（中级或以上）</w:t>
            </w:r>
            <w:r>
              <w:rPr>
                <w:rFonts w:hint="eastAsia"/>
                <w:b/>
                <w:bCs/>
                <w:color w:val="auto"/>
              </w:rPr>
              <w:t>。</w:t>
            </w:r>
          </w:p>
          <w:p w14:paraId="398656D2">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b/>
                <w:bCs/>
                <w:color w:val="auto"/>
                <w:lang w:val="en-US" w:eastAsia="zh-CN"/>
              </w:rPr>
              <w:t>绿化养护队伍不</w:t>
            </w:r>
            <w:r>
              <w:rPr>
                <w:rFonts w:hint="eastAsia"/>
                <w:b/>
                <w:bCs/>
                <w:color w:val="auto"/>
              </w:rPr>
              <w:t>包含</w:t>
            </w:r>
            <w:r>
              <w:rPr>
                <w:rFonts w:hint="eastAsia"/>
                <w:b/>
                <w:bCs/>
                <w:color w:val="auto"/>
                <w:lang w:val="en-US" w:eastAsia="zh-CN"/>
              </w:rPr>
              <w:t>专业技术人员</w:t>
            </w:r>
            <w:r>
              <w:rPr>
                <w:rFonts w:hint="eastAsia"/>
                <w:b/>
                <w:bCs/>
                <w:color w:val="auto"/>
              </w:rPr>
              <w:t>，</w:t>
            </w:r>
            <w:r>
              <w:rPr>
                <w:rFonts w:hint="eastAsia" w:ascii="宋体" w:hAnsi="宋体" w:cs="宋体"/>
                <w:b/>
                <w:bCs/>
                <w:color w:val="auto"/>
                <w:kern w:val="0"/>
                <w:szCs w:val="21"/>
              </w:rPr>
              <w:t>以上材料未提供或提供不全不得分。</w:t>
            </w:r>
            <w:r>
              <w:rPr>
                <w:rStyle w:val="103"/>
                <w:rFonts w:hint="eastAsia" w:ascii="宋体" w:hAnsi="宋体" w:eastAsia="宋体" w:cs="宋体"/>
                <w:b/>
                <w:bCs/>
                <w:color w:val="auto"/>
                <w:sz w:val="21"/>
                <w:szCs w:val="21"/>
                <w:highlight w:val="none"/>
                <w:lang w:val="en-US"/>
              </w:rPr>
              <w:t>以上材料</w:t>
            </w:r>
            <w:r>
              <w:rPr>
                <w:rFonts w:hint="eastAsia" w:ascii="宋体" w:hAnsi="宋体" w:eastAsia="宋体" w:cs="宋体"/>
                <w:b/>
                <w:bCs/>
                <w:color w:val="auto"/>
                <w:kern w:val="0"/>
                <w:sz w:val="21"/>
                <w:szCs w:val="21"/>
                <w:highlight w:val="none"/>
              </w:rPr>
              <w:t>提供</w:t>
            </w:r>
            <w:r>
              <w:rPr>
                <w:rFonts w:hint="eastAsia" w:ascii="宋体" w:hAnsi="宋体" w:eastAsia="宋体" w:cs="宋体"/>
                <w:b/>
                <w:bCs/>
                <w:color w:val="auto"/>
                <w:kern w:val="0"/>
                <w:sz w:val="21"/>
                <w:szCs w:val="21"/>
                <w:highlight w:val="none"/>
                <w:lang w:val="en-US" w:eastAsia="zh-CN"/>
              </w:rPr>
              <w:t>原件彩色扫描件</w:t>
            </w:r>
            <w:r>
              <w:rPr>
                <w:rFonts w:hint="eastAsia" w:ascii="宋体" w:hAnsi="宋体" w:eastAsia="宋体" w:cs="宋体"/>
                <w:b/>
                <w:bCs/>
                <w:color w:val="auto"/>
                <w:kern w:val="0"/>
                <w:sz w:val="21"/>
                <w:szCs w:val="21"/>
                <w:highlight w:val="none"/>
              </w:rPr>
              <w:t>加盖公章</w:t>
            </w:r>
            <w:r>
              <w:rPr>
                <w:rFonts w:hint="eastAsia" w:ascii="宋体" w:hAnsi="宋体" w:eastAsia="宋体" w:cs="宋体"/>
                <w:b/>
                <w:bCs/>
                <w:color w:val="auto"/>
                <w:kern w:val="0"/>
                <w:sz w:val="21"/>
                <w:szCs w:val="21"/>
                <w:highlight w:val="none"/>
                <w:lang w:eastAsia="zh-CN"/>
              </w:rPr>
              <w:t>。</w:t>
            </w:r>
          </w:p>
        </w:tc>
      </w:tr>
      <w:tr w14:paraId="0BD7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3"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1165432E">
            <w:pPr>
              <w:pStyle w:val="46"/>
              <w:spacing w:line="360" w:lineRule="exact"/>
              <w:rPr>
                <w:rFonts w:hint="eastAsia" w:ascii="宋体" w:hAnsi="宋体" w:eastAsia="宋体" w:cs="宋体"/>
                <w:b w:val="0"/>
                <w:bCs/>
                <w:color w:val="auto"/>
                <w:sz w:val="21"/>
                <w:szCs w:val="21"/>
                <w:highlight w:val="none"/>
                <w:lang w:val="en-US" w:eastAsia="zh-CN"/>
              </w:rPr>
            </w:pPr>
          </w:p>
        </w:tc>
        <w:tc>
          <w:tcPr>
            <w:tcW w:w="1100" w:type="dxa"/>
            <w:vMerge w:val="restart"/>
            <w:tcBorders>
              <w:top w:val="single" w:color="auto" w:sz="4" w:space="0"/>
              <w:left w:val="single" w:color="auto" w:sz="4" w:space="0"/>
              <w:right w:val="single" w:color="auto" w:sz="4" w:space="0"/>
            </w:tcBorders>
            <w:noWrap/>
            <w:vAlign w:val="center"/>
          </w:tcPr>
          <w:p w14:paraId="2D8C9A4E">
            <w:pPr>
              <w:pStyle w:val="46"/>
              <w:spacing w:line="36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技术部分（51分）</w:t>
            </w:r>
          </w:p>
        </w:tc>
        <w:tc>
          <w:tcPr>
            <w:tcW w:w="1300" w:type="dxa"/>
            <w:tcBorders>
              <w:top w:val="single" w:color="auto" w:sz="4" w:space="0"/>
              <w:left w:val="single" w:color="auto" w:sz="4" w:space="0"/>
              <w:right w:val="single" w:color="auto" w:sz="4" w:space="0"/>
            </w:tcBorders>
            <w:noWrap/>
            <w:vAlign w:val="center"/>
          </w:tcPr>
          <w:p w14:paraId="25830228">
            <w:pPr>
              <w:pStyle w:val="46"/>
              <w:spacing w:line="36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项目实施方案（26分）</w:t>
            </w:r>
          </w:p>
        </w:tc>
        <w:tc>
          <w:tcPr>
            <w:tcW w:w="6698" w:type="dxa"/>
            <w:gridSpan w:val="3"/>
            <w:tcBorders>
              <w:top w:val="single" w:color="auto" w:sz="4" w:space="0"/>
              <w:left w:val="single" w:color="auto" w:sz="4" w:space="0"/>
              <w:bottom w:val="single" w:color="auto" w:sz="4" w:space="0"/>
              <w:right w:val="single" w:color="auto" w:sz="4" w:space="0"/>
            </w:tcBorders>
            <w:noWrap/>
            <w:vAlign w:val="center"/>
          </w:tcPr>
          <w:p w14:paraId="05000747">
            <w:pPr>
              <w:keepNext w:val="0"/>
              <w:keepLines w:val="0"/>
              <w:widowControl/>
              <w:suppressLineNumbers w:val="0"/>
              <w:jc w:val="left"/>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供应商根据本项目特点，</w:t>
            </w:r>
            <w:r>
              <w:rPr>
                <w:rFonts w:hint="eastAsia" w:ascii="宋体" w:hAnsi="宋体" w:eastAsia="宋体" w:cs="宋体"/>
                <w:b w:val="0"/>
                <w:i w:val="0"/>
                <w:iCs w:val="0"/>
                <w:color w:val="auto"/>
                <w:kern w:val="0"/>
                <w:sz w:val="21"/>
                <w:szCs w:val="21"/>
                <w:highlight w:val="none"/>
                <w:u w:val="none"/>
                <w:lang w:val="en-US" w:eastAsia="zh-CN" w:bidi="ar"/>
              </w:rPr>
              <w:t>提供的</w:t>
            </w:r>
            <w:r>
              <w:rPr>
                <w:rFonts w:hint="eastAsia" w:ascii="宋体" w:hAnsi="宋体" w:eastAsia="宋体" w:cs="宋体"/>
                <w:b w:val="0"/>
                <w:bCs/>
                <w:color w:val="auto"/>
                <w:sz w:val="21"/>
                <w:szCs w:val="21"/>
                <w:highlight w:val="none"/>
                <w:lang w:val="en-US" w:eastAsia="zh-CN"/>
              </w:rPr>
              <w:t>项目实施方案</w:t>
            </w:r>
            <w:r>
              <w:rPr>
                <w:rFonts w:hint="eastAsia" w:ascii="宋体" w:hAnsi="宋体" w:eastAsia="宋体" w:cs="宋体"/>
                <w:b w:val="0"/>
                <w:i w:val="0"/>
                <w:iCs w:val="0"/>
                <w:color w:val="auto"/>
                <w:kern w:val="0"/>
                <w:sz w:val="21"/>
                <w:szCs w:val="21"/>
                <w:highlight w:val="none"/>
                <w:u w:val="none"/>
                <w:lang w:val="en-US" w:eastAsia="zh-CN" w:bidi="ar"/>
              </w:rPr>
              <w:t>进行评审，</w:t>
            </w:r>
            <w:r>
              <w:rPr>
                <w:rFonts w:hint="eastAsia" w:ascii="宋体" w:hAnsi="宋体" w:eastAsia="宋体" w:cs="宋体"/>
                <w:b w:val="0"/>
                <w:bCs/>
                <w:color w:val="auto"/>
                <w:sz w:val="21"/>
                <w:szCs w:val="21"/>
                <w:highlight w:val="none"/>
                <w:lang w:val="en-US" w:eastAsia="zh-CN"/>
              </w:rPr>
              <w:t>包括以下要素内容：①乔木、灌木、花卉、地被、绿篱、草坪等的校园绿化整体养护措施方案，包括浇水排水、修剪、施肥、松土除草、清理树坑、扶植、死亡苗木更换、翻地播种、冬季防寒措施等；②植物病虫害防治方案；③绿化垃圾清运方案；④绿化管网维护保养使用及巡查检修、应急情况处理等方案；⑤编制养护日志及更新校区植物档案库；⑥安全施工作业方案；⑦山体绿地、道路及附属设施的保洁方案。</w:t>
            </w:r>
          </w:p>
          <w:p w14:paraId="08DA582C">
            <w:pPr>
              <w:keepNext w:val="0"/>
              <w:keepLines w:val="0"/>
              <w:widowControl/>
              <w:suppressLineNumbers w:val="0"/>
              <w:jc w:val="left"/>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sz w:val="21"/>
                <w:szCs w:val="21"/>
                <w:highlight w:val="none"/>
                <w:lang w:val="en-US" w:eastAsia="zh-CN"/>
              </w:rPr>
              <w:t>以上内容全部内容满足需求的得26分，</w:t>
            </w:r>
            <w:r>
              <w:rPr>
                <w:rFonts w:hint="eastAsia" w:ascii="宋体" w:hAnsi="宋体" w:eastAsia="宋体" w:cs="宋体"/>
                <w:b w:val="0"/>
                <w:bCs/>
                <w:color w:val="auto"/>
                <w:sz w:val="21"/>
                <w:szCs w:val="21"/>
                <w:highlight w:val="none"/>
                <w:lang w:val="en-US" w:eastAsia="zh-CN"/>
              </w:rPr>
              <w:t>①-⑥项</w:t>
            </w:r>
            <w:r>
              <w:rPr>
                <w:rFonts w:hint="eastAsia" w:ascii="宋体" w:hAnsi="宋体" w:eastAsia="宋体" w:cs="宋体"/>
                <w:sz w:val="21"/>
                <w:szCs w:val="21"/>
                <w:highlight w:val="none"/>
                <w:lang w:val="en-US" w:eastAsia="zh-CN"/>
              </w:rPr>
              <w:t>每缺少一项扣4分，第</w:t>
            </w:r>
            <w:r>
              <w:rPr>
                <w:rFonts w:hint="eastAsia" w:ascii="宋体" w:hAnsi="宋体" w:eastAsia="宋体" w:cs="宋体"/>
                <w:b w:val="0"/>
                <w:bCs/>
                <w:color w:val="auto"/>
                <w:sz w:val="21"/>
                <w:szCs w:val="21"/>
                <w:highlight w:val="none"/>
                <w:lang w:val="en-US" w:eastAsia="zh-CN"/>
              </w:rPr>
              <w:t>⑦项</w:t>
            </w:r>
            <w:r>
              <w:rPr>
                <w:rFonts w:hint="eastAsia" w:ascii="宋体" w:hAnsi="宋体" w:eastAsia="宋体" w:cs="宋体"/>
                <w:sz w:val="21"/>
                <w:szCs w:val="21"/>
                <w:highlight w:val="none"/>
                <w:lang w:val="en-US" w:eastAsia="zh-CN"/>
              </w:rPr>
              <w:t>缺少扣2分；</w:t>
            </w:r>
            <w:r>
              <w:rPr>
                <w:rFonts w:hint="eastAsia" w:ascii="宋体" w:hAnsi="宋体" w:eastAsia="宋体" w:cs="宋体"/>
                <w:b w:val="0"/>
                <w:bCs/>
                <w:color w:val="auto"/>
                <w:sz w:val="21"/>
                <w:szCs w:val="21"/>
                <w:highlight w:val="none"/>
                <w:lang w:val="en-US" w:eastAsia="zh-CN"/>
              </w:rPr>
              <w:t>①-⑥项</w:t>
            </w:r>
            <w:r>
              <w:rPr>
                <w:rFonts w:hint="eastAsia" w:ascii="宋体" w:hAnsi="宋体" w:eastAsia="宋体" w:cs="宋体"/>
                <w:sz w:val="21"/>
                <w:szCs w:val="21"/>
                <w:highlight w:val="none"/>
                <w:lang w:val="en-US" w:eastAsia="zh-CN"/>
              </w:rPr>
              <w:t>每有一处不足或缺陷或不能符合项目实际情况的扣2分，第</w:t>
            </w:r>
            <w:r>
              <w:rPr>
                <w:rFonts w:hint="eastAsia" w:ascii="宋体" w:hAnsi="宋体" w:eastAsia="宋体" w:cs="宋体"/>
                <w:b w:val="0"/>
                <w:bCs/>
                <w:color w:val="auto"/>
                <w:sz w:val="21"/>
                <w:szCs w:val="21"/>
                <w:highlight w:val="none"/>
                <w:lang w:val="en-US" w:eastAsia="zh-CN"/>
              </w:rPr>
              <w:t>⑦项</w:t>
            </w:r>
            <w:r>
              <w:rPr>
                <w:rFonts w:hint="eastAsia" w:ascii="宋体" w:hAnsi="宋体" w:eastAsia="宋体" w:cs="宋体"/>
                <w:sz w:val="21"/>
                <w:szCs w:val="21"/>
                <w:highlight w:val="none"/>
                <w:lang w:val="en-US" w:eastAsia="zh-CN"/>
              </w:rPr>
              <w:t>有一处不足或缺陷或不能符合项目实际情况的扣1分，扣完为止，未提供不得分。</w:t>
            </w:r>
          </w:p>
          <w:p w14:paraId="79ECFABF">
            <w:pPr>
              <w:keepNext w:val="0"/>
              <w:keepLines w:val="0"/>
              <w:widowControl/>
              <w:suppressLineNumbers w:val="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34804F4C">
            <w:pPr>
              <w:keepNext w:val="0"/>
              <w:keepLines w:val="0"/>
              <w:widowControl/>
              <w:suppressLineNumbers w:val="0"/>
              <w:jc w:val="left"/>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sz w:val="21"/>
                <w:szCs w:val="21"/>
                <w:highlight w:val="none"/>
                <w:lang w:val="en-US" w:eastAsia="zh-CN"/>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实施地点区域错误等任意一种情形。</w:t>
            </w:r>
          </w:p>
        </w:tc>
      </w:tr>
      <w:tr w14:paraId="2AF3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757"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52F99952">
            <w:pPr>
              <w:pStyle w:val="46"/>
              <w:spacing w:line="360" w:lineRule="exact"/>
              <w:rPr>
                <w:rFonts w:hint="eastAsia" w:ascii="宋体" w:hAnsi="宋体" w:eastAsia="宋体" w:cs="宋体"/>
                <w:b w:val="0"/>
                <w:bCs/>
                <w:color w:val="auto"/>
                <w:sz w:val="21"/>
                <w:szCs w:val="21"/>
                <w:highlight w:val="none"/>
                <w:lang w:val="en-US" w:eastAsia="zh-CN"/>
              </w:rPr>
            </w:pPr>
          </w:p>
        </w:tc>
        <w:tc>
          <w:tcPr>
            <w:tcW w:w="1100" w:type="dxa"/>
            <w:vMerge w:val="continue"/>
            <w:tcBorders>
              <w:left w:val="single" w:color="auto" w:sz="4" w:space="0"/>
              <w:right w:val="single" w:color="auto" w:sz="4" w:space="0"/>
            </w:tcBorders>
            <w:noWrap/>
            <w:vAlign w:val="center"/>
          </w:tcPr>
          <w:p w14:paraId="4796E0F9">
            <w:pPr>
              <w:pStyle w:val="46"/>
              <w:spacing w:line="360" w:lineRule="exact"/>
              <w:rPr>
                <w:rFonts w:hint="eastAsia" w:ascii="宋体" w:hAnsi="宋体" w:eastAsia="宋体" w:cs="宋体"/>
                <w:b w:val="0"/>
                <w:bCs/>
                <w:color w:val="auto"/>
                <w:sz w:val="21"/>
                <w:szCs w:val="21"/>
                <w:highlight w:val="none"/>
                <w:lang w:val="en-US" w:eastAsia="zh-CN"/>
              </w:rPr>
            </w:pPr>
          </w:p>
        </w:tc>
        <w:tc>
          <w:tcPr>
            <w:tcW w:w="1300" w:type="dxa"/>
            <w:tcBorders>
              <w:left w:val="single" w:color="auto" w:sz="4" w:space="0"/>
              <w:right w:val="single" w:color="auto" w:sz="4" w:space="0"/>
            </w:tcBorders>
            <w:noWrap/>
            <w:vAlign w:val="center"/>
          </w:tcPr>
          <w:p w14:paraId="24C9E796">
            <w:pPr>
              <w:pStyle w:val="46"/>
              <w:spacing w:line="360" w:lineRule="exact"/>
              <w:jc w:val="center"/>
              <w:rPr>
                <w:rFonts w:hint="eastAsia" w:ascii="宋体" w:hAnsi="宋体" w:eastAsia="宋体" w:cs="宋体"/>
                <w:b w:val="0"/>
                <w:bCs/>
                <w:color w:val="auto"/>
                <w:sz w:val="21"/>
                <w:szCs w:val="21"/>
                <w:highlight w:val="none"/>
                <w:lang w:val="en-GB" w:eastAsia="zh-CN"/>
              </w:rPr>
            </w:pPr>
            <w:r>
              <w:rPr>
                <w:rFonts w:hint="eastAsia" w:ascii="宋体" w:hAnsi="宋体" w:eastAsia="宋体" w:cs="宋体"/>
                <w:b w:val="0"/>
                <w:bCs/>
                <w:color w:val="auto"/>
                <w:sz w:val="21"/>
                <w:szCs w:val="21"/>
                <w:highlight w:val="none"/>
                <w:lang w:val="en-GB" w:eastAsia="zh-CN"/>
              </w:rPr>
              <w:t>作业管理制度方案（</w:t>
            </w:r>
            <w:r>
              <w:rPr>
                <w:rFonts w:hint="eastAsia" w:ascii="宋体" w:hAnsi="宋体" w:eastAsia="宋体" w:cs="宋体"/>
                <w:b w:val="0"/>
                <w:bCs/>
                <w:color w:val="auto"/>
                <w:sz w:val="21"/>
                <w:szCs w:val="21"/>
                <w:highlight w:val="none"/>
                <w:lang w:val="en-US" w:eastAsia="zh-CN"/>
              </w:rPr>
              <w:t>15</w:t>
            </w:r>
            <w:r>
              <w:rPr>
                <w:rFonts w:hint="eastAsia" w:ascii="宋体" w:hAnsi="宋体" w:eastAsia="宋体" w:cs="宋体"/>
                <w:b w:val="0"/>
                <w:bCs/>
                <w:color w:val="auto"/>
                <w:sz w:val="21"/>
                <w:szCs w:val="21"/>
                <w:highlight w:val="none"/>
                <w:lang w:val="en-GB" w:eastAsia="zh-CN"/>
              </w:rPr>
              <w:t>分）</w:t>
            </w:r>
          </w:p>
        </w:tc>
        <w:tc>
          <w:tcPr>
            <w:tcW w:w="6698" w:type="dxa"/>
            <w:gridSpan w:val="3"/>
            <w:tcBorders>
              <w:top w:val="single" w:color="auto" w:sz="4" w:space="0"/>
              <w:left w:val="single" w:color="auto" w:sz="4" w:space="0"/>
              <w:bottom w:val="single" w:color="auto" w:sz="4" w:space="0"/>
              <w:right w:val="single" w:color="auto" w:sz="4" w:space="0"/>
            </w:tcBorders>
            <w:noWrap/>
            <w:vAlign w:val="center"/>
          </w:tcPr>
          <w:p w14:paraId="675E9829">
            <w:pPr>
              <w:keepNext w:val="0"/>
              <w:keepLines w:val="0"/>
              <w:widowControl/>
              <w:suppressLineNumbers w:val="0"/>
              <w:jc w:val="left"/>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供应商提供的针对本项目的作业管理制度，包括以下要素内容：①对人员的管理与培训方案；②对机具的管理；③针对各项维护内容的巡查措施；④巡查岗位职责及巡查流程；⑤发现问题、上报及处置机制等。</w:t>
            </w:r>
          </w:p>
          <w:p w14:paraId="74E2C8BB">
            <w:pPr>
              <w:keepNext w:val="0"/>
              <w:keepLines w:val="0"/>
              <w:widowControl/>
              <w:suppressLineNumbers w:val="0"/>
              <w:jc w:val="left"/>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sz w:val="21"/>
                <w:szCs w:val="21"/>
                <w:highlight w:val="none"/>
                <w:lang w:val="en-US" w:eastAsia="zh-CN"/>
              </w:rPr>
              <w:t>以上内容全部内容满足需求的得15分，每缺少一项扣3分；每有一处不足或缺陷或不能符合项目实际情况的扣1.5分，扣完为止，未提供不得分。</w:t>
            </w:r>
          </w:p>
          <w:p w14:paraId="2EA631F5">
            <w:pPr>
              <w:keepNext w:val="0"/>
              <w:keepLines w:val="0"/>
              <w:widowControl/>
              <w:suppressLineNumbers w:val="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7F1FA69C">
            <w:pPr>
              <w:keepNext w:val="0"/>
              <w:keepLines w:val="0"/>
              <w:widowControl/>
              <w:suppressLineNumbers w:val="0"/>
              <w:jc w:val="left"/>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sz w:val="21"/>
                <w:szCs w:val="21"/>
                <w:highlight w:val="none"/>
                <w:lang w:val="en-US" w:eastAsia="zh-CN"/>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实施地点区域错误等任意一种情形。</w:t>
            </w:r>
          </w:p>
        </w:tc>
      </w:tr>
      <w:tr w14:paraId="1A0A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020"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1EDE9125">
            <w:pPr>
              <w:pStyle w:val="46"/>
              <w:spacing w:line="360" w:lineRule="exact"/>
              <w:rPr>
                <w:rFonts w:hint="eastAsia" w:ascii="宋体" w:hAnsi="宋体" w:eastAsia="宋体" w:cs="宋体"/>
                <w:b w:val="0"/>
                <w:bCs/>
                <w:color w:val="auto"/>
                <w:sz w:val="21"/>
                <w:szCs w:val="21"/>
                <w:highlight w:val="none"/>
                <w:lang w:val="en-US" w:eastAsia="zh-CN"/>
              </w:rPr>
            </w:pPr>
          </w:p>
        </w:tc>
        <w:tc>
          <w:tcPr>
            <w:tcW w:w="1100" w:type="dxa"/>
            <w:vMerge w:val="continue"/>
            <w:tcBorders>
              <w:left w:val="single" w:color="auto" w:sz="4" w:space="0"/>
              <w:right w:val="single" w:color="auto" w:sz="4" w:space="0"/>
            </w:tcBorders>
            <w:noWrap/>
            <w:vAlign w:val="center"/>
          </w:tcPr>
          <w:p w14:paraId="1A98703A">
            <w:pPr>
              <w:pStyle w:val="46"/>
              <w:spacing w:line="360" w:lineRule="exact"/>
              <w:rPr>
                <w:rFonts w:hint="eastAsia" w:ascii="宋体" w:hAnsi="宋体" w:eastAsia="宋体" w:cs="宋体"/>
                <w:b w:val="0"/>
                <w:bCs/>
                <w:color w:val="auto"/>
                <w:sz w:val="21"/>
                <w:szCs w:val="21"/>
                <w:highlight w:val="none"/>
                <w:lang w:val="en-US" w:eastAsia="zh-CN"/>
              </w:rPr>
            </w:pPr>
          </w:p>
        </w:tc>
        <w:tc>
          <w:tcPr>
            <w:tcW w:w="1300" w:type="dxa"/>
            <w:tcBorders>
              <w:left w:val="single" w:color="auto" w:sz="4" w:space="0"/>
              <w:right w:val="single" w:color="auto" w:sz="4" w:space="0"/>
            </w:tcBorders>
            <w:noWrap/>
            <w:vAlign w:val="center"/>
          </w:tcPr>
          <w:p w14:paraId="51DA1AE5">
            <w:pPr>
              <w:pStyle w:val="46"/>
              <w:spacing w:line="36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GB" w:eastAsia="zh-CN"/>
              </w:rPr>
              <w:t>质量控制方案（</w:t>
            </w:r>
            <w:r>
              <w:rPr>
                <w:rFonts w:hint="eastAsia" w:ascii="宋体" w:hAnsi="宋体" w:eastAsia="宋体" w:cs="宋体"/>
                <w:b w:val="0"/>
                <w:bCs/>
                <w:color w:val="auto"/>
                <w:sz w:val="21"/>
                <w:szCs w:val="21"/>
                <w:highlight w:val="none"/>
                <w:lang w:val="en-US" w:eastAsia="zh-CN"/>
              </w:rPr>
              <w:t>4分</w:t>
            </w:r>
            <w:r>
              <w:rPr>
                <w:rFonts w:hint="eastAsia" w:ascii="宋体" w:hAnsi="宋体" w:eastAsia="宋体" w:cs="宋体"/>
                <w:b w:val="0"/>
                <w:bCs/>
                <w:color w:val="auto"/>
                <w:sz w:val="21"/>
                <w:szCs w:val="21"/>
                <w:highlight w:val="none"/>
                <w:lang w:val="en-GB" w:eastAsia="zh-CN"/>
              </w:rPr>
              <w:t>）</w:t>
            </w:r>
          </w:p>
        </w:tc>
        <w:tc>
          <w:tcPr>
            <w:tcW w:w="6698" w:type="dxa"/>
            <w:gridSpan w:val="3"/>
            <w:tcBorders>
              <w:top w:val="single" w:color="auto" w:sz="4" w:space="0"/>
              <w:left w:val="single" w:color="auto" w:sz="4" w:space="0"/>
              <w:bottom w:val="single" w:color="auto" w:sz="4" w:space="0"/>
              <w:right w:val="single" w:color="auto" w:sz="4" w:space="0"/>
            </w:tcBorders>
            <w:noWrap/>
            <w:vAlign w:val="center"/>
          </w:tcPr>
          <w:p w14:paraId="3FF2896A">
            <w:pPr>
              <w:keepNext w:val="0"/>
              <w:keepLines w:val="0"/>
              <w:widowControl/>
              <w:suppressLineNumbers w:val="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供应商提供的针对本项目的质量控制方案，包括以下因素：①质量控制目标；②绿化管护质量控制措施等。</w:t>
            </w:r>
          </w:p>
          <w:p w14:paraId="1966ECCB">
            <w:pPr>
              <w:keepNext w:val="0"/>
              <w:keepLines w:val="0"/>
              <w:widowControl/>
              <w:suppressLineNumbers w:val="0"/>
              <w:jc w:val="left"/>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sz w:val="21"/>
                <w:szCs w:val="21"/>
                <w:highlight w:val="none"/>
                <w:lang w:val="en-US" w:eastAsia="zh-CN"/>
              </w:rPr>
              <w:t>以上内容全部内容满足需求的得4分，每缺少一项扣2分；每有一处不足或缺陷或不能符合项目实际情况的扣1分，扣完为止，未提供不得分。</w:t>
            </w:r>
          </w:p>
          <w:p w14:paraId="1954894C">
            <w:pPr>
              <w:keepNext w:val="0"/>
              <w:keepLines w:val="0"/>
              <w:widowControl/>
              <w:suppressLineNumbers w:val="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1691253F">
            <w:pPr>
              <w:keepNext w:val="0"/>
              <w:keepLines w:val="0"/>
              <w:widowControl/>
              <w:suppressLineNumbers w:val="0"/>
              <w:jc w:val="left"/>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sz w:val="21"/>
                <w:szCs w:val="21"/>
                <w:highlight w:val="none"/>
                <w:lang w:val="en-US" w:eastAsia="zh-CN"/>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实施地点区域错误等任意一种情形。</w:t>
            </w:r>
          </w:p>
        </w:tc>
      </w:tr>
      <w:tr w14:paraId="3752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737"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01E71A0F">
            <w:pPr>
              <w:pStyle w:val="46"/>
              <w:spacing w:line="360" w:lineRule="exact"/>
              <w:rPr>
                <w:rFonts w:hint="eastAsia" w:ascii="宋体" w:hAnsi="宋体" w:eastAsia="宋体" w:cs="宋体"/>
                <w:b w:val="0"/>
                <w:bCs/>
                <w:color w:val="auto"/>
                <w:sz w:val="21"/>
                <w:szCs w:val="21"/>
                <w:highlight w:val="none"/>
                <w:lang w:val="en-US" w:eastAsia="zh-CN"/>
              </w:rPr>
            </w:pPr>
          </w:p>
        </w:tc>
        <w:tc>
          <w:tcPr>
            <w:tcW w:w="1100" w:type="dxa"/>
            <w:vMerge w:val="continue"/>
            <w:tcBorders>
              <w:left w:val="single" w:color="auto" w:sz="4" w:space="0"/>
              <w:right w:val="single" w:color="auto" w:sz="4" w:space="0"/>
            </w:tcBorders>
            <w:noWrap/>
            <w:vAlign w:val="center"/>
          </w:tcPr>
          <w:p w14:paraId="37E08151">
            <w:pPr>
              <w:pStyle w:val="46"/>
              <w:spacing w:line="360" w:lineRule="exact"/>
              <w:rPr>
                <w:rFonts w:hint="eastAsia" w:ascii="宋体" w:hAnsi="宋体" w:eastAsia="宋体" w:cs="宋体"/>
                <w:b w:val="0"/>
                <w:bCs/>
                <w:color w:val="auto"/>
                <w:sz w:val="21"/>
                <w:szCs w:val="21"/>
                <w:highlight w:val="none"/>
                <w:lang w:val="en-US" w:eastAsia="zh-CN"/>
              </w:rPr>
            </w:pPr>
          </w:p>
        </w:tc>
        <w:tc>
          <w:tcPr>
            <w:tcW w:w="1300" w:type="dxa"/>
            <w:tcBorders>
              <w:left w:val="single" w:color="auto" w:sz="4" w:space="0"/>
              <w:right w:val="single" w:color="auto" w:sz="4" w:space="0"/>
            </w:tcBorders>
            <w:noWrap/>
            <w:vAlign w:val="center"/>
          </w:tcPr>
          <w:p w14:paraId="7FE6DA92">
            <w:pPr>
              <w:pStyle w:val="46"/>
              <w:spacing w:line="36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GB" w:eastAsia="zh-CN"/>
              </w:rPr>
              <w:t>本地化服务（</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GB" w:eastAsia="zh-CN"/>
              </w:rPr>
              <w:t>分）</w:t>
            </w:r>
          </w:p>
        </w:tc>
        <w:tc>
          <w:tcPr>
            <w:tcW w:w="6698" w:type="dxa"/>
            <w:gridSpan w:val="3"/>
            <w:tcBorders>
              <w:top w:val="single" w:color="auto" w:sz="4" w:space="0"/>
              <w:left w:val="single" w:color="auto" w:sz="4" w:space="0"/>
              <w:bottom w:val="single" w:color="auto" w:sz="4" w:space="0"/>
              <w:right w:val="single" w:color="auto" w:sz="4" w:space="0"/>
            </w:tcBorders>
            <w:noWrap/>
            <w:vAlign w:val="center"/>
          </w:tcPr>
          <w:p w14:paraId="74785C91">
            <w:pPr>
              <w:pStyle w:val="46"/>
              <w:spacing w:line="360" w:lineRule="exact"/>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供应商能够提供本地化技术支持和服务的得2分，否则不得分，须提供证明材料（如购房合同或租赁合同或本地化服务承诺，提供原件彩色扫描件加盖公章）</w:t>
            </w:r>
          </w:p>
        </w:tc>
      </w:tr>
      <w:tr w14:paraId="76EC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83"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15089A43">
            <w:pPr>
              <w:pStyle w:val="46"/>
              <w:spacing w:line="360" w:lineRule="exact"/>
              <w:rPr>
                <w:rFonts w:hint="eastAsia" w:ascii="宋体" w:hAnsi="宋体" w:eastAsia="宋体" w:cs="宋体"/>
                <w:b w:val="0"/>
                <w:bCs/>
                <w:color w:val="auto"/>
                <w:sz w:val="21"/>
                <w:szCs w:val="21"/>
                <w:highlight w:val="none"/>
                <w:lang w:val="en-US" w:eastAsia="zh-CN"/>
              </w:rPr>
            </w:pPr>
          </w:p>
        </w:tc>
        <w:tc>
          <w:tcPr>
            <w:tcW w:w="1100" w:type="dxa"/>
            <w:vMerge w:val="continue"/>
            <w:tcBorders>
              <w:left w:val="single" w:color="auto" w:sz="4" w:space="0"/>
              <w:right w:val="single" w:color="auto" w:sz="4" w:space="0"/>
            </w:tcBorders>
            <w:noWrap/>
            <w:vAlign w:val="center"/>
          </w:tcPr>
          <w:p w14:paraId="051C9EE6">
            <w:pPr>
              <w:pStyle w:val="46"/>
              <w:spacing w:line="360" w:lineRule="exact"/>
              <w:rPr>
                <w:rFonts w:hint="eastAsia" w:ascii="宋体" w:hAnsi="宋体" w:eastAsia="宋体" w:cs="宋体"/>
                <w:b w:val="0"/>
                <w:bCs/>
                <w:color w:val="auto"/>
                <w:sz w:val="21"/>
                <w:szCs w:val="21"/>
                <w:highlight w:val="none"/>
                <w:lang w:val="en-US" w:eastAsia="zh-CN"/>
              </w:rPr>
            </w:pPr>
          </w:p>
        </w:tc>
        <w:tc>
          <w:tcPr>
            <w:tcW w:w="1300" w:type="dxa"/>
            <w:tcBorders>
              <w:left w:val="single" w:color="auto" w:sz="4" w:space="0"/>
              <w:right w:val="single" w:color="auto" w:sz="4" w:space="0"/>
            </w:tcBorders>
            <w:noWrap/>
            <w:vAlign w:val="center"/>
          </w:tcPr>
          <w:p w14:paraId="5A688DEE">
            <w:pPr>
              <w:pStyle w:val="46"/>
              <w:spacing w:line="360" w:lineRule="exact"/>
              <w:jc w:val="center"/>
              <w:rPr>
                <w:rFonts w:hint="eastAsia" w:ascii="宋体" w:hAnsi="宋体" w:eastAsia="宋体" w:cs="宋体"/>
                <w:b w:val="0"/>
                <w:bCs/>
                <w:color w:val="auto"/>
                <w:sz w:val="21"/>
                <w:szCs w:val="21"/>
                <w:highlight w:val="none"/>
                <w:lang w:val="en-GB" w:eastAsia="zh-CN"/>
              </w:rPr>
            </w:pPr>
            <w:r>
              <w:rPr>
                <w:rFonts w:hint="eastAsia" w:ascii="宋体" w:hAnsi="宋体" w:eastAsia="宋体" w:cs="宋体"/>
                <w:b w:val="0"/>
                <w:bCs/>
                <w:color w:val="auto"/>
                <w:sz w:val="21"/>
                <w:szCs w:val="21"/>
                <w:highlight w:val="none"/>
                <w:lang w:val="en-GB" w:eastAsia="zh-CN"/>
              </w:rPr>
              <w:t>服务承诺（</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GB" w:eastAsia="zh-CN"/>
              </w:rPr>
              <w:t>分）</w:t>
            </w:r>
          </w:p>
        </w:tc>
        <w:tc>
          <w:tcPr>
            <w:tcW w:w="6698" w:type="dxa"/>
            <w:gridSpan w:val="3"/>
            <w:tcBorders>
              <w:top w:val="single" w:color="auto" w:sz="4" w:space="0"/>
              <w:left w:val="single" w:color="auto" w:sz="4" w:space="0"/>
              <w:bottom w:val="single" w:color="auto" w:sz="4" w:space="0"/>
              <w:right w:val="single" w:color="auto" w:sz="4" w:space="0"/>
            </w:tcBorders>
            <w:noWrap/>
            <w:vAlign w:val="center"/>
          </w:tcPr>
          <w:p w14:paraId="3BA71696">
            <w:pPr>
              <w:pStyle w:val="46"/>
              <w:spacing w:line="360" w:lineRule="exact"/>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1、承诺养护期内组织各类公益类活动并给予工具、设备的支持，承诺此项得2分。</w:t>
            </w:r>
          </w:p>
        </w:tc>
      </w:tr>
      <w:tr w14:paraId="4B09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757"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66AB6108">
            <w:pPr>
              <w:pStyle w:val="46"/>
              <w:spacing w:line="360" w:lineRule="exact"/>
              <w:rPr>
                <w:rFonts w:hint="eastAsia" w:ascii="宋体" w:hAnsi="宋体" w:eastAsia="宋体" w:cs="宋体"/>
                <w:b w:val="0"/>
                <w:bCs/>
                <w:color w:val="auto"/>
                <w:sz w:val="21"/>
                <w:szCs w:val="21"/>
                <w:highlight w:val="none"/>
                <w:lang w:val="en-US" w:eastAsia="zh-CN"/>
              </w:rPr>
            </w:pPr>
          </w:p>
        </w:tc>
        <w:tc>
          <w:tcPr>
            <w:tcW w:w="1100" w:type="dxa"/>
            <w:vMerge w:val="continue"/>
            <w:tcBorders>
              <w:left w:val="single" w:color="auto" w:sz="4" w:space="0"/>
              <w:right w:val="single" w:color="auto" w:sz="4" w:space="0"/>
            </w:tcBorders>
            <w:noWrap/>
            <w:vAlign w:val="center"/>
          </w:tcPr>
          <w:p w14:paraId="375C97E0">
            <w:pPr>
              <w:pStyle w:val="46"/>
              <w:spacing w:line="360" w:lineRule="exact"/>
              <w:rPr>
                <w:rFonts w:hint="eastAsia" w:ascii="宋体" w:hAnsi="宋体" w:eastAsia="宋体" w:cs="宋体"/>
                <w:b w:val="0"/>
                <w:bCs/>
                <w:color w:val="auto"/>
                <w:sz w:val="21"/>
                <w:szCs w:val="21"/>
                <w:highlight w:val="none"/>
                <w:lang w:val="en-US" w:eastAsia="zh-CN"/>
              </w:rPr>
            </w:pPr>
          </w:p>
        </w:tc>
        <w:tc>
          <w:tcPr>
            <w:tcW w:w="1300" w:type="dxa"/>
            <w:tcBorders>
              <w:left w:val="single" w:color="auto" w:sz="4" w:space="0"/>
              <w:right w:val="single" w:color="auto" w:sz="4" w:space="0"/>
            </w:tcBorders>
            <w:noWrap/>
            <w:vAlign w:val="center"/>
          </w:tcPr>
          <w:p w14:paraId="09C908FF">
            <w:pPr>
              <w:pStyle w:val="46"/>
              <w:spacing w:line="36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GB" w:eastAsia="zh-CN"/>
              </w:rPr>
              <w:t>应急保障（</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GB" w:eastAsia="zh-CN"/>
              </w:rPr>
              <w:t>分）</w:t>
            </w:r>
          </w:p>
        </w:tc>
        <w:tc>
          <w:tcPr>
            <w:tcW w:w="6698" w:type="dxa"/>
            <w:gridSpan w:val="3"/>
            <w:tcBorders>
              <w:top w:val="single" w:color="auto" w:sz="4" w:space="0"/>
              <w:left w:val="single" w:color="auto" w:sz="4" w:space="0"/>
              <w:bottom w:val="single" w:color="auto" w:sz="4" w:space="0"/>
              <w:right w:val="single" w:color="auto" w:sz="4" w:space="0"/>
            </w:tcBorders>
            <w:noWrap/>
            <w:vAlign w:val="center"/>
          </w:tcPr>
          <w:p w14:paraId="75265E24">
            <w:pPr>
              <w:pStyle w:val="46"/>
              <w:spacing w:line="360" w:lineRule="exact"/>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根据供应商在接到采购人应急保障通知后须在指定时间内增派车辆及人员以满足采购人需求：</w:t>
            </w:r>
          </w:p>
          <w:p w14:paraId="7568B257">
            <w:pPr>
              <w:pStyle w:val="46"/>
              <w:spacing w:line="360" w:lineRule="exact"/>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符合招标文件服务要求且承诺应急保障时间8小时内，得1分；</w:t>
            </w:r>
          </w:p>
          <w:p w14:paraId="3CD9BC75">
            <w:pPr>
              <w:pStyle w:val="46"/>
              <w:spacing w:line="360" w:lineRule="exact"/>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符合招标文件服务要求且承诺应急保障时间4小时内，得2分；</w:t>
            </w:r>
          </w:p>
          <w:p w14:paraId="5661A143">
            <w:pPr>
              <w:pStyle w:val="46"/>
              <w:spacing w:line="360" w:lineRule="exact"/>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提供承诺书，承诺书不满足上述时间不得分，本项满分2分。</w:t>
            </w:r>
          </w:p>
        </w:tc>
      </w:tr>
      <w:bookmarkEnd w:id="139"/>
      <w:bookmarkEnd w:id="140"/>
      <w:bookmarkEnd w:id="141"/>
      <w:bookmarkEnd w:id="142"/>
    </w:tbl>
    <w:p w14:paraId="27DE1E23">
      <w:pPr>
        <w:pStyle w:val="23"/>
        <w:spacing w:after="0"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2.4算数性修正</w:t>
      </w:r>
    </w:p>
    <w:p w14:paraId="223258D5">
      <w:pPr>
        <w:pStyle w:val="23"/>
        <w:spacing w:after="0"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最后报价有算术错误及其他错误的，磋商小组会按以下原则要求供应商对磋商报价进行修正，并要求供应商书面澄清确认。供应商拒不澄清确认的，视为未实质响应磋商文件要求，其响应文件做无效处理：</w:t>
      </w:r>
    </w:p>
    <w:p w14:paraId="6BF7EF68">
      <w:pPr>
        <w:pStyle w:val="23"/>
        <w:spacing w:after="0"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（1）响应文件中的大写金额与小写金额不一致的，以大写金额为准；</w:t>
      </w:r>
    </w:p>
    <w:p w14:paraId="4C827C8C">
      <w:pPr>
        <w:pStyle w:val="23"/>
        <w:spacing w:after="0"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（2）项目综合单价合计金额与单价金额不一致的，以单价金额为准，但单价金额小数点有明显错误的除外；</w:t>
      </w:r>
    </w:p>
    <w:p w14:paraId="6BCB2270">
      <w:pPr>
        <w:pStyle w:val="23"/>
        <w:spacing w:after="0"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（3）如果分项报价中存在缺漏项，则视为缺漏项价格已包含在其他分项报价。</w:t>
      </w:r>
    </w:p>
    <w:p w14:paraId="5A80F0B5">
      <w:pPr>
        <w:shd w:val="clear" w:color="auto" w:fill="FFFFFF"/>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同时出现两种以上不一致的，按照前款规定的顺序修正。</w:t>
      </w:r>
    </w:p>
    <w:p w14:paraId="59C7BFCE">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修正后的报价遵照如下规定处理：磋商小组在政采云系统中发出澄清、答疑，供应商在规定时间（</w:t>
      </w:r>
      <w:r>
        <w:rPr>
          <w:rFonts w:hint="eastAsia" w:ascii="宋体" w:hAnsi="宋体" w:eastAsia="宋体" w:cs="宋体"/>
          <w:color w:val="auto"/>
          <w:kern w:val="0"/>
          <w:sz w:val="24"/>
          <w:szCs w:val="24"/>
          <w:highlight w:val="none"/>
          <w:lang w:eastAsia="zh-CN"/>
        </w:rPr>
        <w:t>30分钟</w:t>
      </w:r>
      <w:r>
        <w:rPr>
          <w:rFonts w:hint="eastAsia" w:ascii="宋体" w:hAnsi="宋体" w:eastAsia="宋体" w:cs="宋体"/>
          <w:color w:val="auto"/>
          <w:kern w:val="0"/>
          <w:sz w:val="24"/>
          <w:szCs w:val="24"/>
          <w:highlight w:val="none"/>
        </w:rPr>
        <w:t>）内系统内回复，修正后的报价经供应商确认后产生约束力，供应商不确认的，其响应文件无效。</w:t>
      </w:r>
    </w:p>
    <w:p w14:paraId="0CA7ADB0">
      <w:pPr>
        <w:shd w:val="clear" w:color="auto" w:fill="FFFFFF"/>
        <w:spacing w:line="440" w:lineRule="exact"/>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3.磋商小组的权利</w:t>
      </w:r>
    </w:p>
    <w:p w14:paraId="5C57413D">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响应处理。</w:t>
      </w:r>
    </w:p>
    <w:p w14:paraId="081D6295">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磋商小组发现竞争性磋商文件存在歧义、重大缺陷导致评审工作无法进行，或者竞争性磋商文件内容违反国家有关强制性规定的，应当停止评审工作，与采购人或者采购代理机构沟通并作书面记录。采购人或者采购代理机构确认后，应当修改竞争性磋商文件，重新组织采购活动。</w:t>
      </w:r>
    </w:p>
    <w:p w14:paraId="1E61866C">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评审报告由磋商小组全体成员签字。磋商小组成员对需要共同认定的事项存在争议的，应当按照少数服从多数的原则作出结论。持不同意见的磋商小组成员应当在评审报告上签署不同意见及理由，否则视为同意评审报告。</w:t>
      </w:r>
    </w:p>
    <w:p w14:paraId="031C5CC6">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3.3.1评审结果汇总完成后，除下列情形外，任何人不得修改评审结果：</w:t>
      </w:r>
    </w:p>
    <w:p w14:paraId="020B43C1">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3.3.1.1分值汇总计算错误的；</w:t>
      </w:r>
    </w:p>
    <w:p w14:paraId="54AB15CF">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3.3.1.2分项评分超出评分标准范围的；</w:t>
      </w:r>
    </w:p>
    <w:p w14:paraId="5EEA5A1A">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3.3.1.3磋商小组成员对客观评审因素评分不一致的；</w:t>
      </w:r>
    </w:p>
    <w:p w14:paraId="7D26ED2E">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3.3.1.4经磋商小组认定评分畸高、畸低的。</w:t>
      </w:r>
    </w:p>
    <w:p w14:paraId="03D9381D">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财政部门。</w:t>
      </w:r>
    </w:p>
    <w:p w14:paraId="2D8EF3B5">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磋商小组依据供应商须知前附表规定的评审方法，对供应商的响应文件进行评审和比较，供应商最终得分等于商务部分、技术部分、报价部分得分之和。磋商小组确定供应商最终得分和排名向采购人提出书面报告，并推荐合格的成交候选人。</w:t>
      </w:r>
    </w:p>
    <w:p w14:paraId="43ACFDF1">
      <w:pPr>
        <w:shd w:val="clear" w:color="auto" w:fill="FFFFFF"/>
        <w:spacing w:line="440" w:lineRule="exact"/>
        <w:ind w:firstLine="482" w:firstLineChars="200"/>
        <w:rPr>
          <w:rFonts w:hint="eastAsia" w:ascii="宋体" w:hAnsi="宋体" w:eastAsia="宋体" w:cs="宋体"/>
          <w:b/>
          <w:bCs/>
          <w:color w:val="auto"/>
          <w:kern w:val="0"/>
          <w:sz w:val="24"/>
          <w:szCs w:val="24"/>
          <w:highlight w:val="none"/>
        </w:rPr>
      </w:pPr>
      <w:bookmarkStart w:id="143" w:name="_Toc37090996"/>
      <w:bookmarkStart w:id="144" w:name="_Toc37090660"/>
      <w:bookmarkStart w:id="145" w:name="_Toc31479"/>
      <w:bookmarkStart w:id="146" w:name="_Toc37090995"/>
      <w:bookmarkStart w:id="147" w:name="_Toc37090659"/>
      <w:r>
        <w:rPr>
          <w:rFonts w:hint="eastAsia" w:ascii="宋体" w:hAnsi="宋体" w:eastAsia="宋体" w:cs="宋体"/>
          <w:b/>
          <w:bCs/>
          <w:color w:val="auto"/>
          <w:kern w:val="0"/>
          <w:sz w:val="24"/>
          <w:szCs w:val="24"/>
          <w:highlight w:val="none"/>
        </w:rPr>
        <w:t>4. 评审过程的保密</w:t>
      </w:r>
      <w:bookmarkEnd w:id="143"/>
      <w:bookmarkEnd w:id="144"/>
      <w:bookmarkEnd w:id="145"/>
    </w:p>
    <w:p w14:paraId="6917EDF0">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4.1凡属于对响应文件的审查、澄清、评价和比较有关的资料、成交候选人的推荐情况以及与评审有关的其他任何情况，磋商小组成员和与评审活动有关的工作人员不得对任何单位和个人透露。</w:t>
      </w:r>
    </w:p>
    <w:p w14:paraId="67ADBD9A">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 在响应文件的评审和比较、成交候选人推荐以及授予合同的过程中，供应商向采购人或者磋商小组施加影响的任何行为，都将会导致其响应文件被拒绝。</w:t>
      </w:r>
    </w:p>
    <w:p w14:paraId="5BED63FF">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4.3成交供应商确定后，采购人不对未成交供应商就评审过程以及未能成交原因做出任何解释。未成交供应商不得向磋商小组组成人员或者其他有关人员索问评审过程的情况和材料。</w:t>
      </w:r>
    </w:p>
    <w:p w14:paraId="2623E1AB">
      <w:pPr>
        <w:shd w:val="clear" w:color="auto" w:fill="FFFFFF"/>
        <w:spacing w:line="440" w:lineRule="exact"/>
        <w:ind w:firstLine="482" w:firstLineChars="200"/>
        <w:rPr>
          <w:rFonts w:hint="eastAsia" w:ascii="宋体" w:hAnsi="宋体" w:eastAsia="宋体" w:cs="宋体"/>
          <w:b/>
          <w:bCs/>
          <w:color w:val="auto"/>
          <w:kern w:val="0"/>
          <w:sz w:val="24"/>
          <w:szCs w:val="24"/>
          <w:highlight w:val="none"/>
        </w:rPr>
      </w:pPr>
      <w:bookmarkStart w:id="148" w:name="_Toc24415"/>
      <w:r>
        <w:rPr>
          <w:rFonts w:hint="eastAsia" w:ascii="宋体" w:hAnsi="宋体" w:eastAsia="宋体" w:cs="宋体"/>
          <w:b/>
          <w:bCs/>
          <w:color w:val="auto"/>
          <w:kern w:val="0"/>
          <w:sz w:val="24"/>
          <w:szCs w:val="24"/>
          <w:highlight w:val="none"/>
        </w:rPr>
        <w:t>4. 定标原则</w:t>
      </w:r>
      <w:bookmarkEnd w:id="146"/>
      <w:bookmarkEnd w:id="147"/>
      <w:bookmarkEnd w:id="148"/>
    </w:p>
    <w:p w14:paraId="4E840F98">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 磋商小组依据供应商须知前附表规定的评审方法和标准，按照得分由高到低的顺序进行排序，最终将前三名作为成交候选人推荐给采购人。</w:t>
      </w:r>
    </w:p>
    <w:p w14:paraId="0970DEB9">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 采购代理机构应当在评审结束后2个工作日内将评审报告送采购人。采购人应当自收到评审报告之日起５个工作日内，在评审报告确定的成交候选人名单中按顺序确定成交供应商。</w:t>
      </w:r>
    </w:p>
    <w:p w14:paraId="417160E9">
      <w:pPr>
        <w:pStyle w:val="23"/>
        <w:snapToGrid w:val="0"/>
        <w:spacing w:after="0" w:line="440" w:lineRule="exact"/>
        <w:ind w:firstLine="482"/>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4.3成交供应商拒绝与采购人签订合同的，采购人可以按照评审报告推荐的成交供应商名单排序，确定下一候选人为成交供应商，也可以重新开展政府采购活动。</w:t>
      </w:r>
    </w:p>
    <w:p w14:paraId="0969C64E">
      <w:pPr>
        <w:pStyle w:val="23"/>
        <w:snapToGrid w:val="0"/>
        <w:spacing w:after="0" w:line="440" w:lineRule="exact"/>
        <w:ind w:firstLine="482"/>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4.4 出现下列情形之一的，本项目予以废标，重新开展采购活动。</w:t>
      </w:r>
    </w:p>
    <w:p w14:paraId="3FAF5F3D">
      <w:pPr>
        <w:pStyle w:val="23"/>
        <w:snapToGrid w:val="0"/>
        <w:spacing w:after="0" w:line="440" w:lineRule="exact"/>
        <w:ind w:firstLine="482"/>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4.4.1 符合专业条件的供应商或者对竞争性磋商文件作实质响应的供应商不足法定家数的；</w:t>
      </w:r>
    </w:p>
    <w:p w14:paraId="3D3D4BF7">
      <w:pPr>
        <w:pStyle w:val="23"/>
        <w:snapToGrid w:val="0"/>
        <w:spacing w:after="0" w:line="440" w:lineRule="exact"/>
        <w:ind w:firstLine="482"/>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4.4.2出现影响采购公正的违法、违规行为的；</w:t>
      </w:r>
    </w:p>
    <w:p w14:paraId="2FE5ECED">
      <w:pPr>
        <w:pStyle w:val="23"/>
        <w:snapToGrid w:val="0"/>
        <w:spacing w:after="0" w:line="440" w:lineRule="exact"/>
        <w:ind w:firstLine="482"/>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4.4.3 因重大变故，采购任务取消的。</w:t>
      </w:r>
    </w:p>
    <w:p w14:paraId="561FFCE5">
      <w:pPr>
        <w:pStyle w:val="44"/>
        <w:jc w:val="center"/>
        <w:outlineLvl w:val="0"/>
        <w:rPr>
          <w:rFonts w:hint="eastAsia" w:ascii="宋体" w:hAnsi="宋体" w:eastAsia="宋体" w:cs="宋体"/>
          <w:color w:val="auto"/>
          <w:spacing w:val="6"/>
          <w:sz w:val="32"/>
          <w:szCs w:val="32"/>
          <w:highlight w:val="none"/>
        </w:rPr>
      </w:pPr>
      <w:r>
        <w:rPr>
          <w:rFonts w:hint="eastAsia" w:ascii="宋体" w:hAnsi="宋体" w:eastAsia="宋体" w:cs="宋体"/>
          <w:color w:val="auto"/>
          <w:spacing w:val="6"/>
          <w:sz w:val="32"/>
          <w:szCs w:val="32"/>
          <w:highlight w:val="none"/>
        </w:rPr>
        <w:br w:type="page"/>
      </w:r>
      <w:bookmarkStart w:id="149" w:name="_Toc28603"/>
      <w:r>
        <w:rPr>
          <w:rFonts w:hint="eastAsia" w:ascii="宋体" w:hAnsi="宋体" w:eastAsia="宋体" w:cs="宋体"/>
          <w:color w:val="auto"/>
          <w:spacing w:val="6"/>
          <w:sz w:val="32"/>
          <w:szCs w:val="32"/>
          <w:highlight w:val="none"/>
        </w:rPr>
        <w:t>第六章 响应文件格式</w:t>
      </w:r>
      <w:bookmarkEnd w:id="149"/>
    </w:p>
    <w:p w14:paraId="17943791">
      <w:pPr>
        <w:rPr>
          <w:rFonts w:hint="eastAsia" w:ascii="宋体" w:hAnsi="宋体" w:eastAsia="宋体" w:cs="宋体"/>
          <w:color w:val="auto"/>
          <w:spacing w:val="6"/>
          <w:sz w:val="32"/>
          <w:szCs w:val="32"/>
          <w:highlight w:val="none"/>
        </w:rPr>
      </w:pPr>
    </w:p>
    <w:p w14:paraId="0C08B60F">
      <w:pPr>
        <w:pStyle w:val="36"/>
        <w:rPr>
          <w:rFonts w:hint="eastAsia" w:ascii="宋体" w:hAnsi="宋体" w:eastAsia="宋体" w:cs="宋体"/>
          <w:color w:val="auto"/>
          <w:spacing w:val="6"/>
          <w:sz w:val="32"/>
          <w:szCs w:val="32"/>
          <w:highlight w:val="none"/>
        </w:rPr>
      </w:pPr>
    </w:p>
    <w:p w14:paraId="309E8154">
      <w:pPr>
        <w:pStyle w:val="36"/>
        <w:rPr>
          <w:rFonts w:hint="eastAsia" w:ascii="宋体" w:hAnsi="宋体" w:eastAsia="宋体" w:cs="宋体"/>
          <w:color w:val="auto"/>
          <w:spacing w:val="6"/>
          <w:sz w:val="32"/>
          <w:szCs w:val="32"/>
          <w:highlight w:val="none"/>
        </w:rPr>
      </w:pPr>
    </w:p>
    <w:p w14:paraId="2FEF99CA">
      <w:pPr>
        <w:pStyle w:val="36"/>
        <w:rPr>
          <w:rFonts w:hint="eastAsia" w:ascii="宋体" w:hAnsi="宋体" w:eastAsia="宋体" w:cs="宋体"/>
          <w:color w:val="auto"/>
          <w:spacing w:val="6"/>
          <w:sz w:val="32"/>
          <w:szCs w:val="32"/>
          <w:highlight w:val="none"/>
        </w:rPr>
      </w:pPr>
    </w:p>
    <w:p w14:paraId="75E000CE">
      <w:pPr>
        <w:pStyle w:val="36"/>
        <w:rPr>
          <w:rFonts w:hint="eastAsia" w:ascii="宋体" w:hAnsi="宋体" w:eastAsia="宋体" w:cs="宋体"/>
          <w:color w:val="auto"/>
          <w:spacing w:val="6"/>
          <w:sz w:val="32"/>
          <w:szCs w:val="32"/>
          <w:highlight w:val="none"/>
        </w:rPr>
      </w:pPr>
    </w:p>
    <w:p w14:paraId="2C194D98">
      <w:pPr>
        <w:rPr>
          <w:rFonts w:hint="eastAsia" w:ascii="宋体" w:hAnsi="宋体" w:eastAsia="宋体" w:cs="宋体"/>
          <w:color w:val="auto"/>
          <w:highlight w:val="none"/>
        </w:rPr>
      </w:pPr>
    </w:p>
    <w:p w14:paraId="34C64752">
      <w:pPr>
        <w:tabs>
          <w:tab w:val="left" w:pos="8280"/>
        </w:tabs>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692FEE1A">
      <w:pPr>
        <w:tabs>
          <w:tab w:val="left" w:pos="8280"/>
        </w:tabs>
        <w:spacing w:line="360" w:lineRule="auto"/>
        <w:rPr>
          <w:rFonts w:hint="eastAsia" w:ascii="宋体" w:hAnsi="宋体" w:eastAsia="宋体" w:cs="宋体"/>
          <w:b/>
          <w:bCs/>
          <w:color w:val="auto"/>
          <w:sz w:val="28"/>
          <w:szCs w:val="28"/>
          <w:highlight w:val="none"/>
        </w:rPr>
      </w:pPr>
    </w:p>
    <w:p w14:paraId="18F9FE3F">
      <w:pPr>
        <w:tabs>
          <w:tab w:val="left" w:pos="8280"/>
        </w:tabs>
        <w:spacing w:line="360" w:lineRule="auto"/>
        <w:rPr>
          <w:rFonts w:hint="eastAsia" w:ascii="宋体" w:hAnsi="宋体" w:eastAsia="宋体" w:cs="宋体"/>
          <w:b/>
          <w:bCs/>
          <w:color w:val="auto"/>
          <w:sz w:val="28"/>
          <w:szCs w:val="28"/>
          <w:highlight w:val="none"/>
        </w:rPr>
      </w:pPr>
    </w:p>
    <w:p w14:paraId="3E8450CE">
      <w:pPr>
        <w:tabs>
          <w:tab w:val="left" w:pos="8280"/>
        </w:tabs>
        <w:spacing w:line="360" w:lineRule="auto"/>
        <w:rPr>
          <w:rFonts w:hint="eastAsia" w:ascii="宋体" w:hAnsi="宋体" w:eastAsia="宋体" w:cs="宋体"/>
          <w:b/>
          <w:bCs/>
          <w:color w:val="auto"/>
          <w:sz w:val="28"/>
          <w:szCs w:val="28"/>
          <w:highlight w:val="none"/>
        </w:rPr>
      </w:pPr>
    </w:p>
    <w:p w14:paraId="47A119E3">
      <w:pPr>
        <w:tabs>
          <w:tab w:val="left" w:pos="8280"/>
        </w:tabs>
        <w:spacing w:line="360" w:lineRule="auto"/>
        <w:rPr>
          <w:rFonts w:hint="eastAsia" w:ascii="宋体" w:hAnsi="宋体" w:eastAsia="宋体" w:cs="宋体"/>
          <w:b/>
          <w:bCs/>
          <w:color w:val="auto"/>
          <w:sz w:val="28"/>
          <w:szCs w:val="28"/>
          <w:highlight w:val="none"/>
        </w:rPr>
      </w:pPr>
      <w:bookmarkStart w:id="150" w:name="_Toc8140"/>
      <w:r>
        <w:rPr>
          <w:rFonts w:hint="eastAsia" w:ascii="宋体" w:hAnsi="宋体" w:eastAsia="宋体" w:cs="宋体"/>
          <w:b/>
          <w:bCs/>
          <w:color w:val="auto"/>
          <w:sz w:val="28"/>
          <w:szCs w:val="28"/>
          <w:highlight w:val="none"/>
        </w:rPr>
        <w:t>封    面：</w:t>
      </w:r>
      <w:bookmarkEnd w:id="150"/>
    </w:p>
    <w:p w14:paraId="4C07DF07">
      <w:pPr>
        <w:tabs>
          <w:tab w:val="left" w:pos="450"/>
          <w:tab w:val="left" w:pos="8280"/>
        </w:tabs>
        <w:spacing w:line="720" w:lineRule="exact"/>
        <w:rPr>
          <w:rFonts w:hint="eastAsia" w:ascii="宋体" w:hAnsi="宋体" w:eastAsia="宋体" w:cs="宋体"/>
          <w:b/>
          <w:bCs/>
          <w:color w:val="auto"/>
          <w:sz w:val="36"/>
          <w:szCs w:val="36"/>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36"/>
          <w:szCs w:val="36"/>
          <w:highlight w:val="none"/>
        </w:rPr>
        <w:t xml:space="preserve"> </w:t>
      </w:r>
    </w:p>
    <w:p w14:paraId="1E7664A2">
      <w:pPr>
        <w:tabs>
          <w:tab w:val="left" w:pos="450"/>
          <w:tab w:val="left" w:pos="8280"/>
        </w:tabs>
        <w:spacing w:line="720" w:lineRule="exact"/>
        <w:ind w:firstLine="723" w:firstLineChars="20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    </w:t>
      </w:r>
      <w:r>
        <w:rPr>
          <w:rFonts w:hint="eastAsia" w:ascii="宋体" w:hAnsi="宋体" w:eastAsia="宋体" w:cs="宋体"/>
          <w:b/>
          <w:bCs/>
          <w:color w:val="auto"/>
          <w:sz w:val="36"/>
          <w:szCs w:val="36"/>
          <w:highlight w:val="none"/>
          <w:u w:val="single"/>
        </w:rPr>
        <w:t xml:space="preserve">                               </w:t>
      </w:r>
      <w:r>
        <w:rPr>
          <w:rFonts w:hint="eastAsia" w:ascii="宋体" w:hAnsi="宋体" w:eastAsia="宋体" w:cs="宋体"/>
          <w:b/>
          <w:bCs/>
          <w:color w:val="auto"/>
          <w:sz w:val="36"/>
          <w:szCs w:val="36"/>
          <w:highlight w:val="none"/>
        </w:rPr>
        <w:t>项目</w:t>
      </w:r>
    </w:p>
    <w:p w14:paraId="5664832A">
      <w:pPr>
        <w:tabs>
          <w:tab w:val="left" w:pos="8280"/>
        </w:tabs>
        <w:spacing w:line="72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响应文件</w:t>
      </w:r>
    </w:p>
    <w:p w14:paraId="086A9FC8">
      <w:pPr>
        <w:tabs>
          <w:tab w:val="left" w:pos="275"/>
          <w:tab w:val="left" w:pos="8280"/>
        </w:tabs>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ab/>
      </w:r>
    </w:p>
    <w:p w14:paraId="5B1A5626">
      <w:pPr>
        <w:tabs>
          <w:tab w:val="left" w:pos="275"/>
          <w:tab w:val="left" w:pos="8280"/>
        </w:tabs>
        <w:spacing w:line="360" w:lineRule="auto"/>
        <w:rPr>
          <w:rFonts w:hint="eastAsia" w:ascii="宋体" w:hAnsi="宋体" w:eastAsia="宋体" w:cs="宋体"/>
          <w:b/>
          <w:bCs/>
          <w:color w:val="auto"/>
          <w:sz w:val="28"/>
          <w:szCs w:val="28"/>
          <w:highlight w:val="none"/>
        </w:rPr>
      </w:pPr>
    </w:p>
    <w:p w14:paraId="1ECFBF56">
      <w:pPr>
        <w:tabs>
          <w:tab w:val="left" w:pos="275"/>
          <w:tab w:val="left" w:pos="8280"/>
        </w:tabs>
        <w:spacing w:line="360" w:lineRule="auto"/>
        <w:rPr>
          <w:rFonts w:hint="eastAsia" w:ascii="宋体" w:hAnsi="宋体" w:eastAsia="宋体" w:cs="宋体"/>
          <w:b/>
          <w:bCs/>
          <w:color w:val="auto"/>
          <w:sz w:val="28"/>
          <w:szCs w:val="28"/>
          <w:highlight w:val="none"/>
        </w:rPr>
      </w:pPr>
    </w:p>
    <w:p w14:paraId="3EE1984B">
      <w:pPr>
        <w:tabs>
          <w:tab w:val="left" w:pos="275"/>
          <w:tab w:val="left" w:pos="8280"/>
        </w:tabs>
        <w:spacing w:line="360" w:lineRule="auto"/>
        <w:rPr>
          <w:rFonts w:hint="eastAsia" w:ascii="宋体" w:hAnsi="宋体" w:eastAsia="宋体" w:cs="宋体"/>
          <w:b/>
          <w:bCs/>
          <w:color w:val="auto"/>
          <w:sz w:val="28"/>
          <w:szCs w:val="28"/>
          <w:highlight w:val="none"/>
        </w:rPr>
      </w:pPr>
    </w:p>
    <w:p w14:paraId="7EDDC8DA">
      <w:pPr>
        <w:tabs>
          <w:tab w:val="left" w:pos="275"/>
          <w:tab w:val="left" w:pos="8280"/>
        </w:tabs>
        <w:spacing w:line="360" w:lineRule="auto"/>
        <w:rPr>
          <w:rFonts w:hint="eastAsia" w:ascii="宋体" w:hAnsi="宋体" w:eastAsia="宋体" w:cs="宋体"/>
          <w:b/>
          <w:bCs/>
          <w:color w:val="auto"/>
          <w:sz w:val="28"/>
          <w:szCs w:val="28"/>
          <w:highlight w:val="none"/>
        </w:rPr>
      </w:pPr>
    </w:p>
    <w:p w14:paraId="3A62E445">
      <w:pPr>
        <w:tabs>
          <w:tab w:val="left" w:pos="275"/>
          <w:tab w:val="left" w:pos="8280"/>
        </w:tabs>
        <w:spacing w:line="360" w:lineRule="auto"/>
        <w:rPr>
          <w:rFonts w:hint="eastAsia" w:ascii="宋体" w:hAnsi="宋体" w:eastAsia="宋体" w:cs="宋体"/>
          <w:b/>
          <w:bCs/>
          <w:color w:val="auto"/>
          <w:sz w:val="28"/>
          <w:szCs w:val="28"/>
          <w:highlight w:val="none"/>
        </w:rPr>
      </w:pPr>
      <w:bookmarkStart w:id="151" w:name="_Toc10502"/>
      <w:r>
        <w:rPr>
          <w:rFonts w:hint="eastAsia" w:ascii="宋体" w:hAnsi="宋体" w:eastAsia="宋体" w:cs="宋体"/>
          <w:b/>
          <w:bCs/>
          <w:color w:val="auto"/>
          <w:sz w:val="28"/>
          <w:szCs w:val="28"/>
          <w:highlight w:val="none"/>
        </w:rPr>
        <w:t>项目编号：</w:t>
      </w:r>
      <w:bookmarkEnd w:id="151"/>
      <w:r>
        <w:rPr>
          <w:rFonts w:hint="eastAsia" w:ascii="宋体" w:hAnsi="宋体" w:eastAsia="宋体" w:cs="宋体"/>
          <w:b/>
          <w:bCs/>
          <w:color w:val="auto"/>
          <w:sz w:val="28"/>
          <w:szCs w:val="28"/>
          <w:highlight w:val="none"/>
          <w:u w:val="single"/>
        </w:rPr>
        <w:t xml:space="preserve">                                                </w:t>
      </w:r>
    </w:p>
    <w:p w14:paraId="514A09D5">
      <w:pPr>
        <w:tabs>
          <w:tab w:val="left" w:pos="765"/>
          <w:tab w:val="left" w:pos="8280"/>
        </w:tabs>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ab/>
      </w:r>
    </w:p>
    <w:p w14:paraId="337ECF0E">
      <w:pPr>
        <w:tabs>
          <w:tab w:val="left" w:pos="765"/>
          <w:tab w:val="left" w:pos="8280"/>
        </w:tabs>
        <w:spacing w:line="360" w:lineRule="auto"/>
        <w:rPr>
          <w:rFonts w:hint="eastAsia" w:ascii="宋体" w:hAnsi="宋体" w:eastAsia="宋体" w:cs="宋体"/>
          <w:b/>
          <w:bCs/>
          <w:color w:val="auto"/>
          <w:sz w:val="28"/>
          <w:szCs w:val="28"/>
          <w:highlight w:val="none"/>
        </w:rPr>
      </w:pPr>
      <w:bookmarkStart w:id="152" w:name="_Toc20930"/>
      <w:r>
        <w:rPr>
          <w:rFonts w:hint="eastAsia" w:ascii="宋体" w:hAnsi="宋体" w:eastAsia="宋体" w:cs="宋体"/>
          <w:b/>
          <w:bCs/>
          <w:color w:val="auto"/>
          <w:sz w:val="28"/>
          <w:szCs w:val="28"/>
          <w:highlight w:val="none"/>
        </w:rPr>
        <w:t>响应文件递交人（电子公章）：</w:t>
      </w:r>
      <w:bookmarkEnd w:id="152"/>
      <w:r>
        <w:rPr>
          <w:rFonts w:hint="eastAsia" w:ascii="宋体" w:hAnsi="宋体" w:eastAsia="宋体" w:cs="宋体"/>
          <w:b/>
          <w:bCs/>
          <w:color w:val="auto"/>
          <w:sz w:val="28"/>
          <w:szCs w:val="28"/>
          <w:highlight w:val="none"/>
        </w:rPr>
        <w:t xml:space="preserve"> </w:t>
      </w:r>
      <w:r>
        <w:rPr>
          <w:rFonts w:hint="eastAsia" w:ascii="宋体" w:hAnsi="宋体" w:eastAsia="宋体" w:cs="宋体"/>
          <w:b/>
          <w:bCs/>
          <w:color w:val="auto"/>
          <w:sz w:val="28"/>
          <w:szCs w:val="28"/>
          <w:highlight w:val="none"/>
          <w:u w:val="single"/>
        </w:rPr>
        <w:t xml:space="preserve">                                  </w:t>
      </w:r>
    </w:p>
    <w:p w14:paraId="3237B581">
      <w:pPr>
        <w:tabs>
          <w:tab w:val="left" w:pos="8280"/>
        </w:tabs>
        <w:spacing w:line="360" w:lineRule="auto"/>
        <w:jc w:val="center"/>
        <w:rPr>
          <w:rFonts w:hint="eastAsia" w:ascii="宋体" w:hAnsi="宋体" w:eastAsia="宋体" w:cs="宋体"/>
          <w:b/>
          <w:bCs/>
          <w:color w:val="auto"/>
          <w:sz w:val="28"/>
          <w:szCs w:val="28"/>
          <w:highlight w:val="none"/>
        </w:rPr>
      </w:pPr>
    </w:p>
    <w:p w14:paraId="314B43A8">
      <w:pPr>
        <w:tabs>
          <w:tab w:val="left" w:pos="350"/>
          <w:tab w:val="left" w:pos="8280"/>
        </w:tabs>
        <w:spacing w:line="360" w:lineRule="auto"/>
        <w:rPr>
          <w:rFonts w:hint="eastAsia" w:ascii="宋体" w:hAnsi="宋体" w:eastAsia="宋体" w:cs="宋体"/>
          <w:b/>
          <w:bCs/>
          <w:color w:val="auto"/>
          <w:sz w:val="28"/>
          <w:szCs w:val="28"/>
          <w:highlight w:val="none"/>
        </w:rPr>
      </w:pPr>
      <w:bookmarkStart w:id="153" w:name="_Toc6206"/>
      <w:r>
        <w:rPr>
          <w:rFonts w:hint="eastAsia" w:ascii="宋体" w:hAnsi="宋体" w:eastAsia="宋体" w:cs="宋体"/>
          <w:b/>
          <w:bCs/>
          <w:color w:val="auto"/>
          <w:sz w:val="28"/>
          <w:szCs w:val="28"/>
          <w:highlight w:val="none"/>
        </w:rPr>
        <w:t>供应商法定代表人</w:t>
      </w:r>
      <w:bookmarkEnd w:id="153"/>
    </w:p>
    <w:p w14:paraId="33E38EE5">
      <w:pPr>
        <w:tabs>
          <w:tab w:val="left" w:pos="840"/>
          <w:tab w:val="left" w:pos="8280"/>
        </w:tabs>
        <w:spacing w:line="360" w:lineRule="auto"/>
        <w:rPr>
          <w:rFonts w:hint="eastAsia" w:ascii="宋体" w:hAnsi="宋体" w:eastAsia="宋体" w:cs="宋体"/>
          <w:b/>
          <w:bCs/>
          <w:color w:val="auto"/>
          <w:sz w:val="28"/>
          <w:szCs w:val="28"/>
          <w:highlight w:val="none"/>
        </w:rPr>
      </w:pPr>
      <w:bookmarkStart w:id="154" w:name="_Toc6379"/>
      <w:r>
        <w:rPr>
          <w:rFonts w:hint="eastAsia" w:ascii="宋体" w:hAnsi="宋体" w:eastAsia="宋体" w:cs="宋体"/>
          <w:b/>
          <w:bCs/>
          <w:color w:val="auto"/>
          <w:sz w:val="28"/>
          <w:szCs w:val="28"/>
          <w:highlight w:val="none"/>
        </w:rPr>
        <w:t>或其委托人（签章）：</w:t>
      </w:r>
      <w:bookmarkEnd w:id="154"/>
      <w:r>
        <w:rPr>
          <w:rFonts w:hint="eastAsia" w:ascii="宋体" w:hAnsi="宋体" w:eastAsia="宋体" w:cs="宋体"/>
          <w:b/>
          <w:bCs/>
          <w:color w:val="auto"/>
          <w:sz w:val="28"/>
          <w:szCs w:val="28"/>
          <w:highlight w:val="none"/>
          <w:u w:val="single"/>
        </w:rPr>
        <w:t xml:space="preserve">                                       </w:t>
      </w:r>
    </w:p>
    <w:p w14:paraId="591A3348">
      <w:pPr>
        <w:rPr>
          <w:rFonts w:hint="eastAsia" w:ascii="宋体" w:hAnsi="宋体" w:eastAsia="宋体" w:cs="宋体"/>
          <w:color w:val="auto"/>
          <w:highlight w:val="none"/>
        </w:rPr>
      </w:pPr>
    </w:p>
    <w:p w14:paraId="572654CF">
      <w:pPr>
        <w:pStyle w:val="36"/>
        <w:rPr>
          <w:rFonts w:hint="eastAsia" w:ascii="宋体" w:hAnsi="宋体" w:eastAsia="宋体" w:cs="宋体"/>
          <w:color w:val="auto"/>
          <w:highlight w:val="none"/>
        </w:rPr>
      </w:pPr>
    </w:p>
    <w:p w14:paraId="303C8BE0">
      <w:pPr>
        <w:pStyle w:val="36"/>
        <w:rPr>
          <w:rFonts w:hint="eastAsia" w:ascii="宋体" w:hAnsi="宋体" w:eastAsia="宋体" w:cs="宋体"/>
          <w:color w:val="auto"/>
          <w:highlight w:val="none"/>
        </w:rPr>
      </w:pPr>
    </w:p>
    <w:p w14:paraId="546035CF">
      <w:pPr>
        <w:pStyle w:val="36"/>
        <w:rPr>
          <w:rFonts w:hint="eastAsia" w:ascii="宋体" w:hAnsi="宋体" w:eastAsia="宋体" w:cs="宋体"/>
          <w:color w:val="auto"/>
          <w:highlight w:val="none"/>
        </w:rPr>
      </w:pPr>
    </w:p>
    <w:p w14:paraId="11B71F5E">
      <w:pPr>
        <w:pStyle w:val="36"/>
        <w:jc w:val="center"/>
        <w:rPr>
          <w:rFonts w:hint="eastAsia" w:ascii="宋体" w:hAnsi="宋体" w:eastAsia="宋体" w:cs="宋体"/>
          <w:b/>
          <w:bCs/>
          <w:color w:val="auto"/>
          <w:sz w:val="28"/>
          <w:szCs w:val="28"/>
          <w:highlight w:val="none"/>
        </w:rPr>
      </w:pPr>
      <w:bookmarkStart w:id="155" w:name="_Toc6131"/>
      <w:r>
        <w:rPr>
          <w:rFonts w:hint="eastAsia" w:ascii="宋体" w:hAnsi="宋体" w:eastAsia="宋体" w:cs="宋体"/>
          <w:b/>
          <w:bCs/>
          <w:color w:val="auto"/>
          <w:sz w:val="28"/>
          <w:szCs w:val="28"/>
          <w:highlight w:val="none"/>
        </w:rPr>
        <w:t>年     月     日</w:t>
      </w:r>
      <w:bookmarkEnd w:id="155"/>
    </w:p>
    <w:p w14:paraId="7BFEEEC4">
      <w:pPr>
        <w:pStyle w:val="36"/>
        <w:jc w:val="center"/>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br w:type="page"/>
      </w:r>
    </w:p>
    <w:p w14:paraId="41DDBE0F">
      <w:pPr>
        <w:autoSpaceDE w:val="0"/>
        <w:autoSpaceDN w:val="0"/>
        <w:adjustRightInd w:val="0"/>
        <w:spacing w:line="427" w:lineRule="exact"/>
        <w:ind w:left="20" w:right="-40" w:hanging="19" w:hangingChars="7"/>
        <w:jc w:val="center"/>
        <w:rPr>
          <w:rFonts w:hint="eastAsia" w:ascii="宋体" w:hAnsi="宋体" w:eastAsia="宋体" w:cs="宋体"/>
          <w:color w:val="auto"/>
          <w:highlight w:val="none"/>
        </w:rPr>
      </w:pPr>
      <w:r>
        <w:rPr>
          <w:rFonts w:hint="eastAsia" w:ascii="宋体" w:hAnsi="宋体" w:eastAsia="宋体" w:cs="宋体"/>
          <w:color w:val="auto"/>
          <w:sz w:val="28"/>
          <w:szCs w:val="28"/>
          <w:highlight w:val="none"/>
        </w:rPr>
        <w:t>目  录</w:t>
      </w:r>
    </w:p>
    <w:p w14:paraId="668F1B3D">
      <w:pPr>
        <w:autoSpaceDE w:val="0"/>
        <w:autoSpaceDN w:val="0"/>
        <w:adjustRightInd w:val="0"/>
        <w:spacing w:line="440" w:lineRule="exact"/>
        <w:rPr>
          <w:rFonts w:hint="eastAsia" w:ascii="宋体" w:hAnsi="宋体" w:eastAsia="宋体" w:cs="宋体"/>
          <w:b/>
          <w:color w:val="auto"/>
          <w:sz w:val="24"/>
          <w:highlight w:val="none"/>
        </w:rPr>
      </w:pPr>
      <w:bookmarkStart w:id="156" w:name="_Toc24620"/>
      <w:bookmarkStart w:id="157" w:name="_Toc24416"/>
      <w:bookmarkStart w:id="158" w:name="_Hlk78804305"/>
      <w:r>
        <w:rPr>
          <w:rFonts w:hint="eastAsia" w:ascii="宋体" w:hAnsi="宋体" w:eastAsia="宋体" w:cs="宋体"/>
          <w:b/>
          <w:color w:val="auto"/>
          <w:sz w:val="24"/>
          <w:highlight w:val="none"/>
          <w:lang w:val="en-US" w:eastAsia="zh-CN"/>
        </w:rPr>
        <w:t>一、</w:t>
      </w:r>
      <w:r>
        <w:rPr>
          <w:rFonts w:hint="eastAsia" w:ascii="宋体" w:hAnsi="宋体" w:eastAsia="宋体" w:cs="宋体"/>
          <w:b/>
          <w:color w:val="auto"/>
          <w:sz w:val="24"/>
          <w:highlight w:val="none"/>
        </w:rPr>
        <w:t>响应书</w:t>
      </w:r>
      <w:bookmarkEnd w:id="156"/>
      <w:bookmarkEnd w:id="157"/>
    </w:p>
    <w:bookmarkEnd w:id="158"/>
    <w:p w14:paraId="23AF51E0">
      <w:pPr>
        <w:autoSpaceDE w:val="0"/>
        <w:autoSpaceDN w:val="0"/>
        <w:adjustRightInd w:val="0"/>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二、资格证明文件</w:t>
      </w:r>
    </w:p>
    <w:p w14:paraId="415401D8">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（一）具有独立承担民事责任的能力（营业执照）</w:t>
      </w:r>
    </w:p>
    <w:p w14:paraId="6F128B5E">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（二）具有良好的商业信誉和健全的财务会计制度</w:t>
      </w:r>
    </w:p>
    <w:p w14:paraId="32C1822F">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（三）有依法缴纳税收和社会保障资金的良好记录</w:t>
      </w:r>
    </w:p>
    <w:p w14:paraId="40223A5D">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（四）具有履行合同所必需的设备和专业技术能力</w:t>
      </w:r>
    </w:p>
    <w:p w14:paraId="2237D4B6">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（五）参加政府采购活动前三年内，在经营活动中没有重大违法记录</w:t>
      </w:r>
    </w:p>
    <w:p w14:paraId="6AA6B73B">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（六）供应商未列入失信被执行人、重大税收违法案件当事人名单、政府采购严重违法失信行为记录名单</w:t>
      </w:r>
    </w:p>
    <w:p w14:paraId="1E2A9713">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（七）联合体</w:t>
      </w:r>
    </w:p>
    <w:p w14:paraId="67DE53AE">
      <w:pPr>
        <w:autoSpaceDE w:val="0"/>
        <w:autoSpaceDN w:val="0"/>
        <w:adjustRightInd w:val="0"/>
        <w:spacing w:line="44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（八）</w:t>
      </w:r>
      <w:r>
        <w:rPr>
          <w:rFonts w:hint="eastAsia" w:ascii="宋体" w:hAnsi="宋体" w:eastAsia="宋体" w:cs="宋体"/>
          <w:color w:val="auto"/>
          <w:sz w:val="24"/>
          <w:highlight w:val="none"/>
          <w:lang w:eastAsia="zh-CN"/>
        </w:rPr>
        <w:t>磋商保证金</w:t>
      </w:r>
    </w:p>
    <w:p w14:paraId="1D6A6BA4">
      <w:pPr>
        <w:autoSpaceDE w:val="0"/>
        <w:autoSpaceDN w:val="0"/>
        <w:adjustRightInd w:val="0"/>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（九）</w:t>
      </w:r>
      <w:r>
        <w:rPr>
          <w:rFonts w:hint="eastAsia" w:ascii="宋体" w:hAnsi="宋体" w:eastAsia="宋体" w:cs="宋体"/>
          <w:color w:val="auto"/>
          <w:sz w:val="24"/>
          <w:highlight w:val="none"/>
          <w:lang w:val="en-US" w:eastAsia="zh-CN"/>
        </w:rPr>
        <w:t>资质条件</w:t>
      </w:r>
    </w:p>
    <w:p w14:paraId="00C3CD06">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其他声明及文件材料</w:t>
      </w:r>
    </w:p>
    <w:p w14:paraId="0CDDF0E3">
      <w:pPr>
        <w:autoSpaceDE w:val="0"/>
        <w:autoSpaceDN w:val="0"/>
        <w:adjustRightInd w:val="0"/>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三、商务文件</w:t>
      </w:r>
    </w:p>
    <w:p w14:paraId="76CF1144">
      <w:pPr>
        <w:numPr>
          <w:ilvl w:val="0"/>
          <w:numId w:val="10"/>
        </w:numPr>
        <w:autoSpaceDE w:val="0"/>
        <w:autoSpaceDN w:val="0"/>
        <w:adjustRightInd w:val="0"/>
        <w:spacing w:line="440" w:lineRule="exact"/>
        <w:ind w:left="0" w:leftChars="0" w:firstLine="42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法定代表人资格证明书及法定代表人授权委托书</w:t>
      </w:r>
    </w:p>
    <w:p w14:paraId="448A94AA">
      <w:pPr>
        <w:numPr>
          <w:ilvl w:val="0"/>
          <w:numId w:val="10"/>
        </w:numPr>
        <w:autoSpaceDE w:val="0"/>
        <w:autoSpaceDN w:val="0"/>
        <w:adjustRightInd w:val="0"/>
        <w:spacing w:line="440" w:lineRule="exact"/>
        <w:ind w:left="0" w:leftChars="0" w:firstLine="42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开标一览表及报价明细表</w:t>
      </w:r>
    </w:p>
    <w:p w14:paraId="16F7435F">
      <w:pPr>
        <w:numPr>
          <w:ilvl w:val="0"/>
          <w:numId w:val="10"/>
        </w:numPr>
        <w:autoSpaceDE w:val="0"/>
        <w:autoSpaceDN w:val="0"/>
        <w:adjustRightInd w:val="0"/>
        <w:spacing w:line="440" w:lineRule="exact"/>
        <w:ind w:left="0" w:leftChars="0" w:firstLine="420" w:firstLineChars="0"/>
        <w:rPr>
          <w:rFonts w:hint="eastAsia" w:ascii="宋体" w:hAnsi="宋体" w:eastAsia="宋体" w:cs="宋体"/>
          <w:color w:val="auto"/>
          <w:sz w:val="24"/>
          <w:highlight w:val="none"/>
        </w:rPr>
      </w:pPr>
      <w:bookmarkStart w:id="159" w:name="_Hlk78745738"/>
      <w:r>
        <w:rPr>
          <w:rFonts w:hint="eastAsia" w:ascii="宋体" w:hAnsi="宋体" w:eastAsia="宋体" w:cs="宋体"/>
          <w:color w:val="auto"/>
          <w:sz w:val="24"/>
          <w:highlight w:val="none"/>
        </w:rPr>
        <w:t>合同、商务条款偏离说明表</w:t>
      </w:r>
    </w:p>
    <w:bookmarkEnd w:id="159"/>
    <w:p w14:paraId="294D116D">
      <w:pPr>
        <w:numPr>
          <w:ilvl w:val="0"/>
          <w:numId w:val="10"/>
        </w:numPr>
        <w:autoSpaceDE w:val="0"/>
        <w:autoSpaceDN w:val="0"/>
        <w:adjustRightInd w:val="0"/>
        <w:spacing w:line="440" w:lineRule="exact"/>
        <w:ind w:left="0" w:leftChars="0" w:firstLine="42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公司资质</w:t>
      </w:r>
    </w:p>
    <w:p w14:paraId="7FF29559">
      <w:pPr>
        <w:numPr>
          <w:ilvl w:val="0"/>
          <w:numId w:val="10"/>
        </w:numPr>
        <w:autoSpaceDE w:val="0"/>
        <w:autoSpaceDN w:val="0"/>
        <w:adjustRightInd w:val="0"/>
        <w:spacing w:line="440" w:lineRule="exact"/>
        <w:ind w:left="0" w:leftChars="0" w:firstLine="42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项目负责人基本情况及项目组成人员</w:t>
      </w:r>
    </w:p>
    <w:p w14:paraId="18824233">
      <w:pPr>
        <w:numPr>
          <w:ilvl w:val="0"/>
          <w:numId w:val="10"/>
        </w:numPr>
        <w:autoSpaceDE w:val="0"/>
        <w:autoSpaceDN w:val="0"/>
        <w:adjustRightInd w:val="0"/>
        <w:spacing w:line="440" w:lineRule="exact"/>
        <w:ind w:left="0" w:leftChars="0" w:firstLine="42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财务状况</w:t>
      </w:r>
    </w:p>
    <w:p w14:paraId="1C1346A6">
      <w:pPr>
        <w:numPr>
          <w:ilvl w:val="0"/>
          <w:numId w:val="10"/>
        </w:numPr>
        <w:autoSpaceDE w:val="0"/>
        <w:autoSpaceDN w:val="0"/>
        <w:adjustRightInd w:val="0"/>
        <w:spacing w:line="440" w:lineRule="exact"/>
        <w:ind w:left="0" w:leftChars="0" w:firstLine="42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近年同类项目业绩</w:t>
      </w:r>
    </w:p>
    <w:p w14:paraId="2A414941">
      <w:pPr>
        <w:numPr>
          <w:ilvl w:val="0"/>
          <w:numId w:val="10"/>
        </w:numPr>
        <w:autoSpaceDE w:val="0"/>
        <w:autoSpaceDN w:val="0"/>
        <w:adjustRightInd w:val="0"/>
        <w:spacing w:line="440" w:lineRule="exact"/>
        <w:ind w:left="0" w:leftChars="0" w:firstLine="420" w:firstLineChars="0"/>
        <w:rPr>
          <w:rFonts w:hint="eastAsia" w:ascii="宋体" w:hAnsi="宋体" w:eastAsia="宋体" w:cs="宋体"/>
          <w:color w:val="auto"/>
          <w:sz w:val="24"/>
          <w:highlight w:val="none"/>
        </w:rPr>
      </w:pPr>
      <w:bookmarkStart w:id="160" w:name="_Hlk78745962"/>
      <w:r>
        <w:rPr>
          <w:rFonts w:hint="eastAsia" w:ascii="宋体" w:hAnsi="宋体" w:eastAsia="宋体" w:cs="宋体"/>
          <w:color w:val="auto"/>
          <w:sz w:val="24"/>
          <w:highlight w:val="none"/>
        </w:rPr>
        <w:t>中小微企业、残疾人福利性单位、监狱企业声明函（如有）</w:t>
      </w:r>
      <w:bookmarkEnd w:id="160"/>
    </w:p>
    <w:p w14:paraId="5823514E">
      <w:pPr>
        <w:numPr>
          <w:ilvl w:val="0"/>
          <w:numId w:val="10"/>
        </w:numPr>
        <w:autoSpaceDE w:val="0"/>
        <w:autoSpaceDN w:val="0"/>
        <w:adjustRightInd w:val="0"/>
        <w:spacing w:line="440" w:lineRule="exact"/>
        <w:ind w:left="0" w:leftChars="0" w:firstLine="420" w:firstLineChars="0"/>
        <w:rPr>
          <w:rFonts w:hint="eastAsia" w:ascii="宋体" w:hAnsi="宋体" w:eastAsia="宋体" w:cs="宋体"/>
          <w:color w:val="auto"/>
          <w:sz w:val="24"/>
          <w:highlight w:val="none"/>
        </w:rPr>
      </w:pPr>
      <w:bookmarkStart w:id="161" w:name="_Hlk78745979"/>
      <w:r>
        <w:rPr>
          <w:rFonts w:hint="eastAsia" w:ascii="宋体" w:hAnsi="宋体" w:eastAsia="宋体" w:cs="宋体"/>
          <w:color w:val="auto"/>
          <w:sz w:val="24"/>
          <w:highlight w:val="none"/>
        </w:rPr>
        <w:t>节能、环保产品明细表（如有）</w:t>
      </w:r>
      <w:bookmarkEnd w:id="161"/>
    </w:p>
    <w:p w14:paraId="71823313">
      <w:pPr>
        <w:numPr>
          <w:ilvl w:val="0"/>
          <w:numId w:val="10"/>
        </w:numPr>
        <w:autoSpaceDE w:val="0"/>
        <w:autoSpaceDN w:val="0"/>
        <w:adjustRightInd w:val="0"/>
        <w:spacing w:line="440" w:lineRule="exact"/>
        <w:ind w:left="0" w:leftChars="0" w:firstLine="420" w:firstLineChars="0"/>
        <w:rPr>
          <w:rFonts w:hint="eastAsia" w:ascii="宋体" w:hAnsi="宋体" w:eastAsia="宋体" w:cs="宋体"/>
          <w:color w:val="auto"/>
          <w:sz w:val="24"/>
          <w:highlight w:val="none"/>
        </w:rPr>
      </w:pPr>
      <w:bookmarkStart w:id="162" w:name="_Hlk78745997"/>
      <w:r>
        <w:rPr>
          <w:rFonts w:hint="eastAsia" w:ascii="宋体" w:hAnsi="宋体" w:eastAsia="宋体" w:cs="宋体"/>
          <w:color w:val="auto"/>
          <w:sz w:val="24"/>
          <w:highlight w:val="none"/>
        </w:rPr>
        <w:t>供应商认为有必要提供的其他商务资料</w:t>
      </w:r>
    </w:p>
    <w:bookmarkEnd w:id="162"/>
    <w:p w14:paraId="77C0689F">
      <w:pPr>
        <w:autoSpaceDE w:val="0"/>
        <w:autoSpaceDN w:val="0"/>
        <w:adjustRightInd w:val="0"/>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四、技术文件</w:t>
      </w:r>
    </w:p>
    <w:p w14:paraId="0C92C012">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（一）供应商自行编写的服务方案及相关文件</w:t>
      </w:r>
    </w:p>
    <w:p w14:paraId="0697E391">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（二）技术规范偏离表</w:t>
      </w:r>
    </w:p>
    <w:p w14:paraId="1B8880BE">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（三）供应商认为应该提供的有利于</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 xml:space="preserve">的其他技术内容 </w:t>
      </w:r>
    </w:p>
    <w:p w14:paraId="6E175904">
      <w:pPr>
        <w:autoSpaceDE w:val="0"/>
        <w:autoSpaceDN w:val="0"/>
        <w:adjustRightInd w:val="0"/>
        <w:spacing w:line="440" w:lineRule="exact"/>
        <w:rPr>
          <w:rFonts w:hint="eastAsia" w:ascii="宋体" w:hAnsi="宋体" w:eastAsia="宋体" w:cs="宋体"/>
          <w:color w:val="auto"/>
          <w:sz w:val="24"/>
          <w:highlight w:val="none"/>
        </w:rPr>
      </w:pPr>
      <w:r>
        <w:rPr>
          <w:rFonts w:hint="eastAsia" w:ascii="宋体" w:hAnsi="宋体" w:eastAsia="宋体" w:cs="宋体"/>
          <w:b/>
          <w:color w:val="auto"/>
          <w:sz w:val="24"/>
          <w:highlight w:val="none"/>
        </w:rPr>
        <w:t>五、其他资料</w:t>
      </w:r>
    </w:p>
    <w:p w14:paraId="04D0BB4D">
      <w:pPr>
        <w:spacing w:line="480" w:lineRule="exact"/>
        <w:jc w:val="center"/>
        <w:rPr>
          <w:rFonts w:hint="eastAsia" w:ascii="宋体" w:hAnsi="宋体" w:eastAsia="宋体" w:cs="宋体"/>
          <w:color w:val="auto"/>
          <w:sz w:val="24"/>
          <w:highlight w:val="none"/>
        </w:rPr>
        <w:sectPr>
          <w:headerReference r:id="rId5" w:type="default"/>
          <w:footerReference r:id="rId6" w:type="default"/>
          <w:pgSz w:w="11906" w:h="16838"/>
          <w:pgMar w:top="1440" w:right="1106" w:bottom="1440" w:left="1800" w:header="851" w:footer="752" w:gutter="0"/>
          <w:pgNumType w:fmt="decimal" w:start="1"/>
          <w:cols w:space="720" w:num="1"/>
          <w:docGrid w:type="lines" w:linePitch="312" w:charSpace="0"/>
        </w:sectPr>
      </w:pPr>
    </w:p>
    <w:p w14:paraId="22A32A4B">
      <w:pPr>
        <w:pStyle w:val="10"/>
        <w:rPr>
          <w:rFonts w:hint="eastAsia" w:ascii="宋体" w:hAnsi="宋体" w:eastAsia="宋体" w:cs="宋体"/>
          <w:color w:val="auto"/>
          <w:highlight w:val="none"/>
        </w:rPr>
      </w:pPr>
    </w:p>
    <w:p w14:paraId="489055F4">
      <w:pPr>
        <w:jc w:val="left"/>
        <w:outlineLvl w:val="1"/>
        <w:rPr>
          <w:rFonts w:hint="eastAsia" w:ascii="宋体" w:hAnsi="宋体" w:eastAsia="宋体" w:cs="宋体"/>
          <w:b/>
          <w:color w:val="auto"/>
          <w:kern w:val="0"/>
          <w:sz w:val="32"/>
          <w:szCs w:val="24"/>
          <w:highlight w:val="none"/>
          <w:lang w:val="en-US" w:eastAsia="zh-CN" w:bidi="ar-SA"/>
        </w:rPr>
      </w:pPr>
      <w:bookmarkStart w:id="163" w:name="_Toc12503"/>
      <w:r>
        <w:rPr>
          <w:rFonts w:hint="eastAsia" w:ascii="宋体" w:hAnsi="宋体" w:eastAsia="宋体" w:cs="宋体"/>
          <w:b/>
          <w:color w:val="auto"/>
          <w:kern w:val="0"/>
          <w:sz w:val="32"/>
          <w:szCs w:val="24"/>
          <w:highlight w:val="none"/>
          <w:lang w:val="en-US" w:eastAsia="zh-CN" w:bidi="ar-SA"/>
        </w:rPr>
        <w:t>一、响应书</w:t>
      </w:r>
    </w:p>
    <w:bookmarkEnd w:id="163"/>
    <w:p w14:paraId="1D8F7A2E">
      <w:pPr>
        <w:jc w:val="center"/>
        <w:rPr>
          <w:rFonts w:hint="eastAsia" w:ascii="宋体" w:hAnsi="宋体" w:eastAsia="宋体" w:cs="宋体"/>
          <w:b/>
          <w:bCs/>
          <w:color w:val="auto"/>
          <w:sz w:val="28"/>
          <w:szCs w:val="28"/>
          <w:highlight w:val="none"/>
        </w:rPr>
      </w:pPr>
      <w:bookmarkStart w:id="164" w:name="_Toc2115"/>
      <w:bookmarkStart w:id="165" w:name="_Hlk78744634"/>
      <w:bookmarkStart w:id="166" w:name="_Toc53602922"/>
      <w:r>
        <w:rPr>
          <w:rFonts w:hint="eastAsia" w:ascii="宋体" w:hAnsi="宋体" w:eastAsia="宋体" w:cs="宋体"/>
          <w:b/>
          <w:bCs/>
          <w:color w:val="auto"/>
          <w:sz w:val="28"/>
          <w:szCs w:val="28"/>
          <w:highlight w:val="none"/>
        </w:rPr>
        <w:t>响 应 书</w:t>
      </w:r>
      <w:bookmarkEnd w:id="164"/>
    </w:p>
    <w:p w14:paraId="047025ED">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w:t>
      </w:r>
    </w:p>
    <w:p w14:paraId="47FD760E">
      <w:pPr>
        <w:spacing w:line="44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我们收到你们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号竞争性磋商文件，经认真研究，我们决定参加本次磋商。愿意按照竞争性磋商文件规定的内容承担该项目的采购任务，严格执行我方所承诺的责任和义务。为此，我方郑重声明以下诸点，并负法律责任。</w:t>
      </w:r>
    </w:p>
    <w:p w14:paraId="69E1E35E">
      <w:pPr>
        <w:spacing w:line="44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⒈按照竞争性磋商文件中的一切要求，提供采购服务，磋商总价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元（用阿拉伯数字书写）人民币，明细见明细报价表。</w:t>
      </w:r>
    </w:p>
    <w:p w14:paraId="4122931E">
      <w:pPr>
        <w:spacing w:line="44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⒉如果我们的响应文件被接受，我们将履行竞争性磋商文件中规定的每一项要求，按期、按质、按量完成本次采购项目。</w:t>
      </w:r>
    </w:p>
    <w:p w14:paraId="72E8CEFE">
      <w:pPr>
        <w:spacing w:line="440" w:lineRule="exact"/>
        <w:ind w:firstLine="480" w:firstLineChars="200"/>
        <w:rPr>
          <w:rFonts w:hint="eastAsia" w:ascii="宋体" w:hAnsi="宋体" w:eastAsia="宋体" w:cs="宋体"/>
          <w:color w:val="auto"/>
          <w:sz w:val="24"/>
          <w:highlight w:val="none"/>
        </w:rPr>
      </w:pPr>
      <w:bookmarkStart w:id="167" w:name="_Toc6537"/>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.我方承诺服务期限按照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执行。</w:t>
      </w:r>
      <w:bookmarkEnd w:id="167"/>
    </w:p>
    <w:p w14:paraId="0E719F30">
      <w:pPr>
        <w:spacing w:line="440" w:lineRule="exact"/>
        <w:ind w:firstLine="480" w:firstLineChars="200"/>
        <w:rPr>
          <w:rFonts w:hint="eastAsia" w:ascii="宋体" w:hAnsi="宋体" w:eastAsia="宋体" w:cs="宋体"/>
          <w:color w:val="auto"/>
          <w:highlight w:val="none"/>
        </w:rPr>
      </w:pPr>
      <w:bookmarkStart w:id="168" w:name="_Toc8772"/>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.我方承诺付款方式按照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执行。</w:t>
      </w:r>
      <w:bookmarkEnd w:id="168"/>
    </w:p>
    <w:p w14:paraId="3106328F">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.如果我方成交，我方将在竞争性磋商文件规定的时间内签订委托合同。如果我方违约，除磋商保证金不予退还外，贵方有权终止我方成交并选择其它成交供应商。</w:t>
      </w:r>
    </w:p>
    <w:p w14:paraId="7A27A12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如果我方成交，我方将在竞争性磋商文件规定的时间内签订服务合同。如果我方违约，借故拒签合同或拖延签订的，则采购人将废除授标，磋商保证金不予退还，给采购人造成的损失超过投保证金保数额的，还应当对超过部分予以赔偿，同时依法承担相应法律责任，采购人可另行选择成交单位。</w:t>
      </w:r>
    </w:p>
    <w:p w14:paraId="0832F501">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.我方同意在磋商有效期内遵守本响应文件，在此期限期满前的任何时间，本响应文件一直对我们具有约束力，本项目磋商有效期为响应文件递交截止时间后</w:t>
      </w:r>
      <w:r>
        <w:rPr>
          <w:rFonts w:hint="eastAsia" w:ascii="宋体" w:hAnsi="宋体" w:eastAsia="宋体" w:cs="宋体"/>
          <w:color w:val="auto"/>
          <w:sz w:val="24"/>
          <w:highlight w:val="none"/>
          <w:u w:val="single"/>
        </w:rPr>
        <w:t xml:space="preserve"> 90 </w:t>
      </w:r>
      <w:r>
        <w:rPr>
          <w:rFonts w:hint="eastAsia" w:ascii="宋体" w:hAnsi="宋体" w:eastAsia="宋体" w:cs="宋体"/>
          <w:color w:val="auto"/>
          <w:sz w:val="24"/>
          <w:highlight w:val="none"/>
        </w:rPr>
        <w:t>天。</w:t>
      </w:r>
    </w:p>
    <w:p w14:paraId="168266B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.我们愿意提供采购人在竞争性磋商文件中要求的所有资料。</w:t>
      </w:r>
    </w:p>
    <w:p w14:paraId="68D4A61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.我们认为采购人有选择或拒绝任何参与供应商成交的权力。我们理解，最低报价不是成交的唯一条件。</w:t>
      </w:r>
    </w:p>
    <w:p w14:paraId="05256C5E">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.我们愿按</w:t>
      </w:r>
      <w:r>
        <w:rPr>
          <w:rFonts w:hint="eastAsia" w:ascii="宋体" w:hAnsi="宋体" w:eastAsia="宋体" w:cs="宋体"/>
          <w:color w:val="auto"/>
          <w:sz w:val="24"/>
          <w:highlight w:val="none"/>
          <w:lang w:val="en-US" w:eastAsia="zh-CN"/>
        </w:rPr>
        <w:t>民法典</w:t>
      </w:r>
      <w:r>
        <w:rPr>
          <w:rFonts w:hint="eastAsia" w:ascii="宋体" w:hAnsi="宋体" w:eastAsia="宋体" w:cs="宋体"/>
          <w:color w:val="auto"/>
          <w:sz w:val="24"/>
          <w:highlight w:val="none"/>
        </w:rPr>
        <w:t>履行自己的全部责任。</w:t>
      </w:r>
    </w:p>
    <w:p w14:paraId="660D33EA">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.我方愿意按照竞争性磋商文件中规定的收费标准，承付成交服务费。</w:t>
      </w:r>
    </w:p>
    <w:p w14:paraId="1FDF9CCD">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.该响应书在开标/磋商后的全过程中保持有效，不作任何更改和变动。</w:t>
      </w:r>
    </w:p>
    <w:p w14:paraId="42A459B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.我们同意按竞争性磋商文件规定，交纳</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元的磋商保证金。并同意在确定最终成交供应商、发出《成交通知书》之后5个工作日内退还我公司的磋商保证金。（如因特殊原因，在磋商有效期之后确定成交供应商，本承诺依然有效。）</w:t>
      </w:r>
    </w:p>
    <w:p w14:paraId="40A101B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.综合说明：</w:t>
      </w:r>
    </w:p>
    <w:p w14:paraId="780E2DF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的详细技术参数、技术条件、技术标准、拟达到的质量标准和保险期限。</w:t>
      </w:r>
    </w:p>
    <w:p w14:paraId="4315E41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（2）易损件、配件及供应方式。</w:t>
      </w:r>
    </w:p>
    <w:p w14:paraId="144A8E1E">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（3）工程安装计划、组织机构及人员安排。</w:t>
      </w:r>
    </w:p>
    <w:p w14:paraId="66B7D57F">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（5）技术服务。</w:t>
      </w:r>
    </w:p>
    <w:p w14:paraId="731242F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（6）运输方式。</w:t>
      </w:r>
    </w:p>
    <w:p w14:paraId="4A0991F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（7）要求项目单位提供的配合。</w:t>
      </w:r>
    </w:p>
    <w:p w14:paraId="237AD674">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（8）对竞争性磋商文件内容有不同意见的偏离说明。</w:t>
      </w:r>
    </w:p>
    <w:p w14:paraId="45FB93D1">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（9）其它。</w:t>
      </w:r>
    </w:p>
    <w:p w14:paraId="07E22693">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.所有有关本响应书的函电，请按下列地址联系：</w:t>
      </w:r>
    </w:p>
    <w:p w14:paraId="6B653363">
      <w:pPr>
        <w:spacing w:line="440" w:lineRule="exact"/>
        <w:ind w:firstLine="480" w:firstLineChars="200"/>
        <w:rPr>
          <w:rFonts w:hint="eastAsia" w:ascii="宋体" w:hAnsi="宋体" w:eastAsia="宋体" w:cs="宋体"/>
          <w:color w:val="auto"/>
          <w:sz w:val="24"/>
          <w:highlight w:val="none"/>
        </w:rPr>
      </w:pPr>
    </w:p>
    <w:p w14:paraId="32476E4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       位：</w:t>
      </w:r>
    </w:p>
    <w:p w14:paraId="5CF469D2">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p>
    <w:p w14:paraId="3795F90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p w14:paraId="6434C71C">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p>
    <w:p w14:paraId="79AFCFD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邮 政 编 码：</w:t>
      </w:r>
    </w:p>
    <w:p w14:paraId="6F33CC7F">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  系  人：</w:t>
      </w:r>
    </w:p>
    <w:p w14:paraId="2F1FF3B0">
      <w:pPr>
        <w:spacing w:line="440" w:lineRule="exact"/>
        <w:ind w:firstLine="480" w:firstLineChars="200"/>
        <w:rPr>
          <w:rFonts w:hint="eastAsia" w:ascii="宋体" w:hAnsi="宋体" w:eastAsia="宋体" w:cs="宋体"/>
          <w:color w:val="auto"/>
          <w:sz w:val="24"/>
          <w:highlight w:val="none"/>
        </w:rPr>
      </w:pPr>
    </w:p>
    <w:p w14:paraId="66D6699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szCs w:val="24"/>
          <w:highlight w:val="none"/>
        </w:rPr>
        <w:t>电子公章</w:t>
      </w:r>
      <w:r>
        <w:rPr>
          <w:rFonts w:hint="eastAsia" w:ascii="宋体" w:hAnsi="宋体" w:eastAsia="宋体" w:cs="宋体"/>
          <w:color w:val="auto"/>
          <w:sz w:val="24"/>
          <w:highlight w:val="none"/>
        </w:rPr>
        <w:t>）</w:t>
      </w:r>
    </w:p>
    <w:p w14:paraId="3C9ABDB3">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授权代表签字：</w:t>
      </w:r>
    </w:p>
    <w:p w14:paraId="129DCB13">
      <w:pPr>
        <w:spacing w:line="440" w:lineRule="exact"/>
        <w:ind w:firstLine="480" w:firstLineChars="200"/>
        <w:rPr>
          <w:rFonts w:hint="eastAsia" w:ascii="宋体" w:hAnsi="宋体" w:eastAsia="宋体" w:cs="宋体"/>
          <w:color w:val="auto"/>
          <w:sz w:val="24"/>
          <w:highlight w:val="none"/>
        </w:rPr>
      </w:pPr>
    </w:p>
    <w:p w14:paraId="1E974CA3">
      <w:pPr>
        <w:spacing w:line="440" w:lineRule="exact"/>
        <w:ind w:firstLine="1200" w:firstLineChars="5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年   月    日</w:t>
      </w:r>
    </w:p>
    <w:bookmarkEnd w:id="165"/>
    <w:p w14:paraId="05C91500">
      <w:pPr>
        <w:pStyle w:val="46"/>
        <w:outlineLvl w:val="1"/>
        <w:rPr>
          <w:rFonts w:hint="eastAsia" w:ascii="宋体" w:hAnsi="宋体" w:eastAsia="宋体" w:cs="宋体"/>
          <w:color w:val="auto"/>
          <w:highlight w:val="none"/>
        </w:rPr>
      </w:pPr>
      <w:r>
        <w:rPr>
          <w:rFonts w:hint="eastAsia" w:ascii="宋体" w:hAnsi="宋体" w:eastAsia="宋体" w:cs="宋体"/>
          <w:color w:val="auto"/>
          <w:sz w:val="24"/>
          <w:highlight w:val="none"/>
        </w:rPr>
        <w:br w:type="page"/>
      </w:r>
      <w:bookmarkEnd w:id="166"/>
      <w:bookmarkStart w:id="169" w:name="_Toc24798"/>
      <w:bookmarkStart w:id="170" w:name="_Toc10119"/>
      <w:r>
        <w:rPr>
          <w:rFonts w:hint="eastAsia" w:ascii="宋体" w:hAnsi="宋体" w:eastAsia="宋体" w:cs="宋体"/>
          <w:color w:val="auto"/>
          <w:highlight w:val="none"/>
        </w:rPr>
        <w:t>二、资格证明文件</w:t>
      </w:r>
      <w:bookmarkEnd w:id="169"/>
      <w:bookmarkEnd w:id="170"/>
    </w:p>
    <w:p w14:paraId="62DC5DB1">
      <w:pPr>
        <w:pStyle w:val="46"/>
        <w:outlineLvl w:val="2"/>
        <w:rPr>
          <w:rFonts w:hint="eastAsia" w:ascii="宋体" w:hAnsi="宋体" w:eastAsia="宋体" w:cs="宋体"/>
          <w:color w:val="auto"/>
          <w:highlight w:val="none"/>
        </w:rPr>
      </w:pPr>
      <w:bookmarkStart w:id="171" w:name="_Toc31792"/>
      <w:bookmarkStart w:id="172" w:name="_Toc29475"/>
      <w:r>
        <w:rPr>
          <w:rFonts w:hint="eastAsia" w:ascii="宋体" w:hAnsi="宋体" w:eastAsia="宋体" w:cs="宋体"/>
          <w:color w:val="auto"/>
          <w:highlight w:val="none"/>
        </w:rPr>
        <w:t>（一）营业执照</w:t>
      </w:r>
      <w:bookmarkEnd w:id="171"/>
      <w:bookmarkEnd w:id="172"/>
    </w:p>
    <w:p w14:paraId="3098BAE1">
      <w:pPr>
        <w:pStyle w:val="48"/>
        <w:ind w:firstLine="560" w:firstLineChars="200"/>
        <w:rPr>
          <w:rFonts w:hint="eastAsia" w:ascii="宋体" w:hAnsi="宋体" w:eastAsia="宋体" w:cs="宋体"/>
          <w:color w:val="auto"/>
          <w:highlight w:val="none"/>
        </w:rPr>
      </w:pPr>
      <w:r>
        <w:rPr>
          <w:rFonts w:hint="eastAsia" w:ascii="宋体" w:hAnsi="宋体" w:eastAsia="宋体" w:cs="宋体"/>
          <w:color w:val="auto"/>
          <w:highlight w:val="none"/>
        </w:rPr>
        <w:t>说明：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p w14:paraId="47746C0A">
      <w:pPr>
        <w:pStyle w:val="49"/>
        <w:jc w:val="center"/>
        <w:rPr>
          <w:rFonts w:hint="eastAsia" w:ascii="宋体" w:hAnsi="宋体" w:eastAsia="宋体" w:cs="宋体"/>
          <w:color w:val="auto"/>
          <w:highlight w:val="none"/>
        </w:rPr>
      </w:pPr>
      <w:bookmarkStart w:id="173" w:name="_Toc256000045"/>
      <w:bookmarkStart w:id="174" w:name="_Toc256000058"/>
      <w:r>
        <w:rPr>
          <w:rFonts w:hint="eastAsia" w:ascii="宋体" w:hAnsi="宋体" w:eastAsia="宋体" w:cs="宋体"/>
          <w:color w:val="auto"/>
          <w:highlight w:val="none"/>
        </w:rPr>
        <w:br w:type="page"/>
      </w:r>
      <w:r>
        <w:rPr>
          <w:rFonts w:hint="eastAsia" w:ascii="宋体" w:hAnsi="宋体" w:eastAsia="宋体" w:cs="宋体"/>
          <w:color w:val="auto"/>
          <w:highlight w:val="none"/>
        </w:rPr>
        <w:t>供应商基本情况表</w:t>
      </w:r>
      <w:bookmarkEnd w:id="173"/>
      <w:bookmarkEnd w:id="174"/>
    </w:p>
    <w:p w14:paraId="76329088">
      <w:pPr>
        <w:pStyle w:val="50"/>
        <w:tabs>
          <w:tab w:val="left" w:pos="5570"/>
        </w:tabs>
        <w:spacing w:before="123"/>
        <w:ind w:left="217"/>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rPr>
        <w:tab/>
      </w:r>
    </w:p>
    <w:p w14:paraId="43780F87">
      <w:pPr>
        <w:pStyle w:val="50"/>
        <w:tabs>
          <w:tab w:val="left" w:pos="5570"/>
        </w:tabs>
        <w:spacing w:before="123"/>
        <w:ind w:left="217"/>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p w14:paraId="0B9F4091">
      <w:pPr>
        <w:pStyle w:val="51"/>
        <w:spacing w:before="9"/>
        <w:rPr>
          <w:rFonts w:hint="eastAsia" w:ascii="宋体" w:hAnsi="宋体" w:eastAsia="宋体" w:cs="宋体"/>
          <w:color w:val="auto"/>
          <w:sz w:val="24"/>
          <w:highlight w:val="none"/>
        </w:rPr>
      </w:pPr>
    </w:p>
    <w:tbl>
      <w:tblPr>
        <w:tblStyle w:val="25"/>
        <w:tblW w:w="0" w:type="auto"/>
        <w:jc w:val="center"/>
        <w:tblLayout w:type="fixed"/>
        <w:tblCellMar>
          <w:top w:w="0" w:type="dxa"/>
          <w:left w:w="0" w:type="dxa"/>
          <w:bottom w:w="0" w:type="dxa"/>
          <w:right w:w="0" w:type="dxa"/>
        </w:tblCellMar>
      </w:tblPr>
      <w:tblGrid>
        <w:gridCol w:w="1986"/>
        <w:gridCol w:w="3577"/>
        <w:gridCol w:w="3556"/>
      </w:tblGrid>
      <w:tr w14:paraId="43911CC3">
        <w:tblPrEx>
          <w:tblCellMar>
            <w:top w:w="0" w:type="dxa"/>
            <w:left w:w="0" w:type="dxa"/>
            <w:bottom w:w="0" w:type="dxa"/>
            <w:right w:w="0" w:type="dxa"/>
          </w:tblCellMar>
        </w:tblPrEx>
        <w:trPr>
          <w:trHeight w:val="485" w:hRule="exact"/>
          <w:jc w:val="center"/>
        </w:trPr>
        <w:tc>
          <w:tcPr>
            <w:tcW w:w="1986" w:type="dxa"/>
            <w:tcBorders>
              <w:top w:val="single" w:color="000000" w:sz="4" w:space="0"/>
              <w:left w:val="single" w:color="000000" w:sz="4" w:space="0"/>
              <w:bottom w:val="single" w:color="000000" w:sz="4" w:space="0"/>
              <w:right w:val="single" w:color="000000" w:sz="4" w:space="0"/>
            </w:tcBorders>
          </w:tcPr>
          <w:p w14:paraId="5096C3AA">
            <w:pPr>
              <w:pStyle w:val="52"/>
              <w:spacing w:before="84"/>
              <w:ind w:left="58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供应商名称</w:t>
            </w:r>
          </w:p>
        </w:tc>
        <w:tc>
          <w:tcPr>
            <w:tcW w:w="7133" w:type="dxa"/>
            <w:gridSpan w:val="2"/>
            <w:tcBorders>
              <w:top w:val="single" w:color="000000" w:sz="4" w:space="0"/>
              <w:left w:val="single" w:color="000000" w:sz="4" w:space="0"/>
              <w:bottom w:val="single" w:color="000000" w:sz="4" w:space="0"/>
              <w:right w:val="single" w:color="000000" w:sz="4" w:space="0"/>
            </w:tcBorders>
          </w:tcPr>
          <w:p w14:paraId="497DA58B">
            <w:pPr>
              <w:pStyle w:val="51"/>
              <w:rPr>
                <w:rFonts w:hint="eastAsia" w:ascii="宋体" w:hAnsi="宋体" w:eastAsia="宋体" w:cs="宋体"/>
                <w:color w:val="auto"/>
                <w:szCs w:val="21"/>
                <w:highlight w:val="none"/>
              </w:rPr>
            </w:pPr>
          </w:p>
        </w:tc>
      </w:tr>
      <w:tr w14:paraId="5265EB23">
        <w:tblPrEx>
          <w:tblCellMar>
            <w:top w:w="0" w:type="dxa"/>
            <w:left w:w="0" w:type="dxa"/>
            <w:bottom w:w="0" w:type="dxa"/>
            <w:right w:w="0" w:type="dxa"/>
          </w:tblCellMar>
        </w:tblPrEx>
        <w:trPr>
          <w:trHeight w:val="486" w:hRule="exact"/>
          <w:jc w:val="center"/>
        </w:trPr>
        <w:tc>
          <w:tcPr>
            <w:tcW w:w="1986" w:type="dxa"/>
            <w:tcBorders>
              <w:top w:val="single" w:color="000000" w:sz="4" w:space="0"/>
              <w:left w:val="single" w:color="000000" w:sz="4" w:space="0"/>
              <w:bottom w:val="single" w:color="000000" w:sz="4" w:space="0"/>
              <w:right w:val="single" w:color="000000" w:sz="4" w:space="0"/>
            </w:tcBorders>
          </w:tcPr>
          <w:p w14:paraId="03FBB0A1">
            <w:pPr>
              <w:pStyle w:val="52"/>
              <w:spacing w:before="86"/>
              <w:ind w:left="69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联系地址</w:t>
            </w:r>
          </w:p>
        </w:tc>
        <w:tc>
          <w:tcPr>
            <w:tcW w:w="7133" w:type="dxa"/>
            <w:gridSpan w:val="2"/>
            <w:tcBorders>
              <w:top w:val="single" w:color="000000" w:sz="4" w:space="0"/>
              <w:left w:val="single" w:color="000000" w:sz="4" w:space="0"/>
              <w:bottom w:val="single" w:color="000000" w:sz="4" w:space="0"/>
              <w:right w:val="single" w:color="000000" w:sz="4" w:space="0"/>
            </w:tcBorders>
          </w:tcPr>
          <w:p w14:paraId="1E0070D4">
            <w:pPr>
              <w:pStyle w:val="51"/>
              <w:rPr>
                <w:rFonts w:hint="eastAsia" w:ascii="宋体" w:hAnsi="宋体" w:eastAsia="宋体" w:cs="宋体"/>
                <w:color w:val="auto"/>
                <w:szCs w:val="21"/>
                <w:highlight w:val="none"/>
              </w:rPr>
            </w:pPr>
          </w:p>
        </w:tc>
      </w:tr>
      <w:tr w14:paraId="062F9E77">
        <w:tblPrEx>
          <w:tblCellMar>
            <w:top w:w="0" w:type="dxa"/>
            <w:left w:w="0" w:type="dxa"/>
            <w:bottom w:w="0" w:type="dxa"/>
            <w:right w:w="0" w:type="dxa"/>
          </w:tblCellMar>
        </w:tblPrEx>
        <w:trPr>
          <w:trHeight w:val="452" w:hRule="exact"/>
          <w:jc w:val="center"/>
        </w:trPr>
        <w:tc>
          <w:tcPr>
            <w:tcW w:w="1986" w:type="dxa"/>
            <w:tcBorders>
              <w:top w:val="single" w:color="000000" w:sz="4" w:space="0"/>
              <w:left w:val="single" w:color="000000" w:sz="4" w:space="0"/>
              <w:bottom w:val="single" w:color="000000" w:sz="4" w:space="0"/>
              <w:right w:val="single" w:color="000000" w:sz="4" w:space="0"/>
            </w:tcBorders>
          </w:tcPr>
          <w:p w14:paraId="6B252576">
            <w:pPr>
              <w:pStyle w:val="52"/>
              <w:spacing w:before="84"/>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供应商从业人员数量</w:t>
            </w:r>
          </w:p>
        </w:tc>
        <w:tc>
          <w:tcPr>
            <w:tcW w:w="7133" w:type="dxa"/>
            <w:gridSpan w:val="2"/>
            <w:tcBorders>
              <w:top w:val="single" w:color="000000" w:sz="4" w:space="0"/>
              <w:left w:val="single" w:color="000000" w:sz="4" w:space="0"/>
              <w:bottom w:val="single" w:color="000000" w:sz="4" w:space="0"/>
              <w:right w:val="single" w:color="000000" w:sz="4" w:space="0"/>
            </w:tcBorders>
          </w:tcPr>
          <w:p w14:paraId="1EAB3B39">
            <w:pPr>
              <w:pStyle w:val="51"/>
              <w:rPr>
                <w:rFonts w:hint="eastAsia" w:ascii="宋体" w:hAnsi="宋体" w:eastAsia="宋体" w:cs="宋体"/>
                <w:color w:val="auto"/>
                <w:szCs w:val="21"/>
                <w:highlight w:val="none"/>
              </w:rPr>
            </w:pPr>
          </w:p>
        </w:tc>
      </w:tr>
      <w:tr w14:paraId="268FE5B3">
        <w:tblPrEx>
          <w:tblCellMar>
            <w:top w:w="0" w:type="dxa"/>
            <w:left w:w="0" w:type="dxa"/>
            <w:bottom w:w="0" w:type="dxa"/>
            <w:right w:w="0" w:type="dxa"/>
          </w:tblCellMar>
        </w:tblPrEx>
        <w:trPr>
          <w:trHeight w:val="485" w:hRule="exact"/>
          <w:jc w:val="center"/>
        </w:trPr>
        <w:tc>
          <w:tcPr>
            <w:tcW w:w="1986" w:type="dxa"/>
            <w:tcBorders>
              <w:top w:val="single" w:color="000000" w:sz="4" w:space="0"/>
              <w:left w:val="single" w:color="000000" w:sz="4" w:space="0"/>
              <w:bottom w:val="single" w:color="000000" w:sz="4" w:space="0"/>
              <w:right w:val="single" w:color="000000" w:sz="4" w:space="0"/>
            </w:tcBorders>
          </w:tcPr>
          <w:p w14:paraId="14D353CB">
            <w:pPr>
              <w:pStyle w:val="52"/>
              <w:spacing w:before="84"/>
              <w:ind w:left="58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w:t>
            </w:r>
          </w:p>
        </w:tc>
        <w:tc>
          <w:tcPr>
            <w:tcW w:w="3577" w:type="dxa"/>
            <w:tcBorders>
              <w:top w:val="single" w:color="000000" w:sz="4" w:space="0"/>
              <w:left w:val="single" w:color="000000" w:sz="4" w:space="0"/>
              <w:bottom w:val="single" w:color="000000" w:sz="4" w:space="0"/>
              <w:right w:val="nil"/>
            </w:tcBorders>
          </w:tcPr>
          <w:p w14:paraId="79796AF4">
            <w:pPr>
              <w:pStyle w:val="52"/>
              <w:spacing w:before="84"/>
              <w:ind w:left="101"/>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姓名：      职务：    职称：</w:t>
            </w:r>
          </w:p>
        </w:tc>
        <w:tc>
          <w:tcPr>
            <w:tcW w:w="3556" w:type="dxa"/>
            <w:tcBorders>
              <w:top w:val="single" w:color="000000" w:sz="4" w:space="0"/>
              <w:left w:val="nil"/>
              <w:bottom w:val="single" w:color="000000" w:sz="4" w:space="0"/>
              <w:right w:val="single" w:color="000000" w:sz="4" w:space="0"/>
            </w:tcBorders>
          </w:tcPr>
          <w:p w14:paraId="58114889">
            <w:pPr>
              <w:pStyle w:val="52"/>
              <w:spacing w:before="84"/>
              <w:ind w:left="42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电话：</w:t>
            </w:r>
          </w:p>
        </w:tc>
      </w:tr>
      <w:tr w14:paraId="40193E55">
        <w:tblPrEx>
          <w:tblCellMar>
            <w:top w:w="0" w:type="dxa"/>
            <w:left w:w="0" w:type="dxa"/>
            <w:bottom w:w="0" w:type="dxa"/>
            <w:right w:w="0" w:type="dxa"/>
          </w:tblCellMar>
        </w:tblPrEx>
        <w:trPr>
          <w:trHeight w:val="486" w:hRule="exact"/>
          <w:jc w:val="center"/>
        </w:trPr>
        <w:tc>
          <w:tcPr>
            <w:tcW w:w="1986" w:type="dxa"/>
            <w:tcBorders>
              <w:top w:val="single" w:color="000000" w:sz="4" w:space="0"/>
              <w:left w:val="single" w:color="000000" w:sz="4" w:space="0"/>
              <w:bottom w:val="single" w:color="000000" w:sz="4" w:space="0"/>
              <w:right w:val="single" w:color="000000" w:sz="4" w:space="0"/>
            </w:tcBorders>
          </w:tcPr>
          <w:p w14:paraId="7554A88C">
            <w:pPr>
              <w:pStyle w:val="52"/>
              <w:spacing w:before="86"/>
              <w:ind w:left="58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技术负责人</w:t>
            </w:r>
          </w:p>
        </w:tc>
        <w:tc>
          <w:tcPr>
            <w:tcW w:w="3577" w:type="dxa"/>
            <w:tcBorders>
              <w:top w:val="single" w:color="000000" w:sz="4" w:space="0"/>
              <w:left w:val="single" w:color="000000" w:sz="4" w:space="0"/>
              <w:bottom w:val="single" w:color="000000" w:sz="4" w:space="0"/>
              <w:right w:val="nil"/>
            </w:tcBorders>
          </w:tcPr>
          <w:p w14:paraId="4EC916DC">
            <w:pPr>
              <w:pStyle w:val="52"/>
              <w:spacing w:before="86"/>
              <w:ind w:left="101"/>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姓名：      职务：    职称：</w:t>
            </w:r>
          </w:p>
        </w:tc>
        <w:tc>
          <w:tcPr>
            <w:tcW w:w="3556" w:type="dxa"/>
            <w:tcBorders>
              <w:top w:val="single" w:color="000000" w:sz="4" w:space="0"/>
              <w:left w:val="nil"/>
              <w:bottom w:val="single" w:color="000000" w:sz="4" w:space="0"/>
              <w:right w:val="single" w:color="000000" w:sz="4" w:space="0"/>
            </w:tcBorders>
          </w:tcPr>
          <w:p w14:paraId="10F14E5C">
            <w:pPr>
              <w:pStyle w:val="52"/>
              <w:spacing w:before="86"/>
              <w:ind w:left="42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电话：</w:t>
            </w:r>
          </w:p>
        </w:tc>
      </w:tr>
      <w:tr w14:paraId="12E1687B">
        <w:tblPrEx>
          <w:tblCellMar>
            <w:top w:w="0" w:type="dxa"/>
            <w:left w:w="0" w:type="dxa"/>
            <w:bottom w:w="0" w:type="dxa"/>
            <w:right w:w="0" w:type="dxa"/>
          </w:tblCellMar>
        </w:tblPrEx>
        <w:trPr>
          <w:trHeight w:val="678" w:hRule="exact"/>
          <w:jc w:val="center"/>
        </w:trPr>
        <w:tc>
          <w:tcPr>
            <w:tcW w:w="1986" w:type="dxa"/>
            <w:tcBorders>
              <w:top w:val="single" w:color="000000" w:sz="4" w:space="0"/>
              <w:left w:val="single" w:color="000000" w:sz="4" w:space="0"/>
              <w:bottom w:val="single" w:color="000000" w:sz="4" w:space="0"/>
              <w:right w:val="single" w:color="000000" w:sz="4" w:space="0"/>
            </w:tcBorders>
          </w:tcPr>
          <w:p w14:paraId="65477546">
            <w:pPr>
              <w:pStyle w:val="52"/>
              <w:spacing w:before="5"/>
              <w:rPr>
                <w:rFonts w:hint="eastAsia" w:ascii="宋体" w:hAnsi="宋体" w:eastAsia="宋体" w:cs="宋体"/>
                <w:color w:val="auto"/>
                <w:kern w:val="2"/>
                <w:sz w:val="21"/>
                <w:szCs w:val="21"/>
                <w:highlight w:val="none"/>
              </w:rPr>
            </w:pPr>
          </w:p>
          <w:p w14:paraId="1F2F61DA">
            <w:pPr>
              <w:pStyle w:val="52"/>
              <w:ind w:left="69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联系方式</w:t>
            </w:r>
          </w:p>
        </w:tc>
        <w:tc>
          <w:tcPr>
            <w:tcW w:w="7133" w:type="dxa"/>
            <w:gridSpan w:val="2"/>
            <w:tcBorders>
              <w:top w:val="single" w:color="000000" w:sz="4" w:space="0"/>
              <w:left w:val="single" w:color="000000" w:sz="4" w:space="0"/>
              <w:bottom w:val="single" w:color="000000" w:sz="4" w:space="0"/>
              <w:right w:val="single" w:color="000000" w:sz="4" w:space="0"/>
            </w:tcBorders>
          </w:tcPr>
          <w:p w14:paraId="6326D44C">
            <w:pPr>
              <w:pStyle w:val="52"/>
              <w:tabs>
                <w:tab w:val="left" w:pos="3735"/>
              </w:tabs>
              <w:spacing w:before="9"/>
              <w:ind w:left="101"/>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联系人：</w:t>
            </w:r>
            <w:r>
              <w:rPr>
                <w:rFonts w:hint="eastAsia" w:ascii="宋体" w:hAnsi="宋体" w:eastAsia="宋体" w:cs="宋体"/>
                <w:color w:val="auto"/>
                <w:kern w:val="2"/>
                <w:sz w:val="21"/>
                <w:szCs w:val="21"/>
                <w:highlight w:val="none"/>
                <w:lang w:eastAsia="zh-CN"/>
              </w:rPr>
              <w:tab/>
            </w:r>
            <w:r>
              <w:rPr>
                <w:rFonts w:hint="eastAsia" w:ascii="宋体" w:hAnsi="宋体" w:eastAsia="宋体" w:cs="宋体"/>
                <w:color w:val="auto"/>
                <w:kern w:val="2"/>
                <w:sz w:val="21"/>
                <w:szCs w:val="21"/>
                <w:highlight w:val="none"/>
                <w:lang w:eastAsia="zh-CN"/>
              </w:rPr>
              <w:t>电</w:t>
            </w:r>
            <w:r>
              <w:rPr>
                <w:rFonts w:hint="eastAsia" w:ascii="宋体" w:hAnsi="宋体" w:eastAsia="宋体" w:cs="宋体"/>
                <w:color w:val="auto"/>
                <w:spacing w:val="103"/>
                <w:kern w:val="2"/>
                <w:sz w:val="21"/>
                <w:szCs w:val="21"/>
                <w:highlight w:val="none"/>
                <w:lang w:eastAsia="zh-CN"/>
              </w:rPr>
              <w:t xml:space="preserve"> </w:t>
            </w:r>
            <w:r>
              <w:rPr>
                <w:rFonts w:hint="eastAsia" w:ascii="宋体" w:hAnsi="宋体" w:eastAsia="宋体" w:cs="宋体"/>
                <w:color w:val="auto"/>
                <w:kern w:val="2"/>
                <w:sz w:val="21"/>
                <w:szCs w:val="21"/>
                <w:highlight w:val="none"/>
                <w:lang w:eastAsia="zh-CN"/>
              </w:rPr>
              <w:t>话：</w:t>
            </w:r>
          </w:p>
          <w:p w14:paraId="41D8D8C8">
            <w:pPr>
              <w:pStyle w:val="52"/>
              <w:tabs>
                <w:tab w:val="left" w:pos="3673"/>
              </w:tabs>
              <w:spacing w:before="84"/>
              <w:ind w:left="102"/>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传  真：                      邮</w:t>
            </w:r>
            <w:r>
              <w:rPr>
                <w:rFonts w:hint="eastAsia" w:ascii="宋体" w:hAnsi="宋体" w:eastAsia="宋体" w:cs="宋体"/>
                <w:color w:val="auto"/>
                <w:kern w:val="2"/>
                <w:sz w:val="21"/>
                <w:szCs w:val="21"/>
                <w:highlight w:val="none"/>
                <w:lang w:eastAsia="zh-CN"/>
              </w:rPr>
              <w:tab/>
            </w:r>
            <w:r>
              <w:rPr>
                <w:rFonts w:hint="eastAsia" w:ascii="宋体" w:hAnsi="宋体" w:eastAsia="宋体" w:cs="宋体"/>
                <w:color w:val="auto"/>
                <w:kern w:val="2"/>
                <w:sz w:val="21"/>
                <w:szCs w:val="21"/>
                <w:highlight w:val="none"/>
                <w:lang w:eastAsia="zh-CN"/>
              </w:rPr>
              <w:t>箱：</w:t>
            </w:r>
          </w:p>
        </w:tc>
      </w:tr>
      <w:tr w14:paraId="0EB5FAAD">
        <w:tblPrEx>
          <w:tblCellMar>
            <w:top w:w="0" w:type="dxa"/>
            <w:left w:w="0" w:type="dxa"/>
            <w:bottom w:w="0" w:type="dxa"/>
            <w:right w:w="0" w:type="dxa"/>
          </w:tblCellMar>
        </w:tblPrEx>
        <w:trPr>
          <w:trHeight w:val="627" w:hRule="exact"/>
          <w:jc w:val="center"/>
        </w:trPr>
        <w:tc>
          <w:tcPr>
            <w:tcW w:w="1986" w:type="dxa"/>
            <w:tcBorders>
              <w:top w:val="single" w:color="000000" w:sz="4" w:space="0"/>
              <w:left w:val="single" w:color="000000" w:sz="4" w:space="0"/>
              <w:bottom w:val="single" w:color="000000" w:sz="4" w:space="0"/>
              <w:right w:val="single" w:color="000000" w:sz="4" w:space="0"/>
            </w:tcBorders>
          </w:tcPr>
          <w:p w14:paraId="539D0B7F">
            <w:pPr>
              <w:pStyle w:val="52"/>
              <w:spacing w:before="84"/>
              <w:ind w:left="69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基本账户</w:t>
            </w:r>
          </w:p>
        </w:tc>
        <w:tc>
          <w:tcPr>
            <w:tcW w:w="3577" w:type="dxa"/>
            <w:tcBorders>
              <w:top w:val="single" w:color="000000" w:sz="4" w:space="0"/>
              <w:left w:val="single" w:color="000000" w:sz="4" w:space="0"/>
              <w:bottom w:val="single" w:color="000000" w:sz="4" w:space="0"/>
              <w:right w:val="nil"/>
            </w:tcBorders>
          </w:tcPr>
          <w:p w14:paraId="5B8CEA0A">
            <w:pPr>
              <w:pStyle w:val="52"/>
              <w:spacing w:before="84"/>
              <w:ind w:left="3041" w:leftChars="48" w:hanging="2940" w:hangingChars="14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名  称：          </w:t>
            </w:r>
          </w:p>
        </w:tc>
        <w:tc>
          <w:tcPr>
            <w:tcW w:w="3556" w:type="dxa"/>
            <w:tcBorders>
              <w:top w:val="single" w:color="000000" w:sz="4" w:space="0"/>
              <w:left w:val="nil"/>
              <w:bottom w:val="single" w:color="000000" w:sz="4" w:space="0"/>
              <w:right w:val="single" w:color="000000" w:sz="4" w:space="0"/>
            </w:tcBorders>
          </w:tcPr>
          <w:p w14:paraId="7ECEC26C">
            <w:pPr>
              <w:pStyle w:val="52"/>
              <w:spacing w:before="84"/>
              <w:ind w:left="105" w:firstLine="210" w:firstLineChars="1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账号：</w:t>
            </w:r>
          </w:p>
        </w:tc>
      </w:tr>
      <w:tr w14:paraId="03F4BFA8">
        <w:tblPrEx>
          <w:tblCellMar>
            <w:top w:w="0" w:type="dxa"/>
            <w:left w:w="0" w:type="dxa"/>
            <w:bottom w:w="0" w:type="dxa"/>
            <w:right w:w="0" w:type="dxa"/>
          </w:tblCellMar>
        </w:tblPrEx>
        <w:trPr>
          <w:trHeight w:val="278" w:hRule="exact"/>
          <w:jc w:val="center"/>
        </w:trPr>
        <w:tc>
          <w:tcPr>
            <w:tcW w:w="1986" w:type="dxa"/>
            <w:vMerge w:val="restart"/>
            <w:tcBorders>
              <w:top w:val="single" w:color="000000" w:sz="4" w:space="0"/>
              <w:left w:val="single" w:color="000000" w:sz="4" w:space="0"/>
              <w:bottom w:val="single" w:color="000000" w:sz="4" w:space="0"/>
              <w:right w:val="single" w:color="000000" w:sz="4" w:space="0"/>
            </w:tcBorders>
          </w:tcPr>
          <w:p w14:paraId="7B568AD2">
            <w:pPr>
              <w:pStyle w:val="52"/>
              <w:rPr>
                <w:rFonts w:hint="eastAsia" w:ascii="宋体" w:hAnsi="宋体" w:eastAsia="宋体" w:cs="宋体"/>
                <w:color w:val="auto"/>
                <w:kern w:val="2"/>
                <w:sz w:val="21"/>
                <w:szCs w:val="21"/>
                <w:highlight w:val="none"/>
              </w:rPr>
            </w:pPr>
          </w:p>
          <w:p w14:paraId="403DE554">
            <w:pPr>
              <w:pStyle w:val="52"/>
              <w:rPr>
                <w:rFonts w:hint="eastAsia" w:ascii="宋体" w:hAnsi="宋体" w:eastAsia="宋体" w:cs="宋体"/>
                <w:color w:val="auto"/>
                <w:kern w:val="2"/>
                <w:sz w:val="21"/>
                <w:szCs w:val="21"/>
                <w:highlight w:val="none"/>
              </w:rPr>
            </w:pPr>
          </w:p>
          <w:p w14:paraId="2CB26C2F">
            <w:pPr>
              <w:pStyle w:val="52"/>
              <w:rPr>
                <w:rFonts w:hint="eastAsia" w:ascii="宋体" w:hAnsi="宋体" w:eastAsia="宋体" w:cs="宋体"/>
                <w:color w:val="auto"/>
                <w:kern w:val="2"/>
                <w:sz w:val="21"/>
                <w:szCs w:val="21"/>
                <w:highlight w:val="none"/>
              </w:rPr>
            </w:pPr>
          </w:p>
          <w:p w14:paraId="59805F33">
            <w:pPr>
              <w:pStyle w:val="52"/>
              <w:rPr>
                <w:rFonts w:hint="eastAsia" w:ascii="宋体" w:hAnsi="宋体" w:eastAsia="宋体" w:cs="宋体"/>
                <w:color w:val="auto"/>
                <w:kern w:val="2"/>
                <w:sz w:val="21"/>
                <w:szCs w:val="21"/>
                <w:highlight w:val="none"/>
              </w:rPr>
            </w:pPr>
          </w:p>
          <w:p w14:paraId="647B3ACF">
            <w:pPr>
              <w:pStyle w:val="52"/>
              <w:rPr>
                <w:rFonts w:hint="eastAsia" w:ascii="宋体" w:hAnsi="宋体" w:eastAsia="宋体" w:cs="宋体"/>
                <w:color w:val="auto"/>
                <w:kern w:val="2"/>
                <w:sz w:val="21"/>
                <w:szCs w:val="21"/>
                <w:highlight w:val="none"/>
              </w:rPr>
            </w:pPr>
          </w:p>
          <w:p w14:paraId="4F5D9975">
            <w:pPr>
              <w:pStyle w:val="52"/>
              <w:spacing w:before="6"/>
              <w:rPr>
                <w:rFonts w:hint="eastAsia" w:ascii="宋体" w:hAnsi="宋体" w:eastAsia="宋体" w:cs="宋体"/>
                <w:color w:val="auto"/>
                <w:kern w:val="2"/>
                <w:sz w:val="21"/>
                <w:szCs w:val="21"/>
                <w:highlight w:val="none"/>
              </w:rPr>
            </w:pPr>
          </w:p>
          <w:p w14:paraId="22461704">
            <w:pPr>
              <w:pStyle w:val="52"/>
              <w:ind w:left="108"/>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供应商关联情况</w:t>
            </w:r>
          </w:p>
        </w:tc>
        <w:tc>
          <w:tcPr>
            <w:tcW w:w="7133" w:type="dxa"/>
            <w:gridSpan w:val="2"/>
            <w:tcBorders>
              <w:top w:val="single" w:color="000000" w:sz="4" w:space="0"/>
              <w:left w:val="single" w:color="000000" w:sz="4" w:space="0"/>
              <w:bottom w:val="nil"/>
              <w:right w:val="single" w:color="000000" w:sz="4" w:space="0"/>
            </w:tcBorders>
          </w:tcPr>
          <w:p w14:paraId="7E70434E">
            <w:pPr>
              <w:pStyle w:val="52"/>
              <w:spacing w:line="242" w:lineRule="exact"/>
              <w:ind w:left="101"/>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1：与我公司单位负责人为同一人的其他单位名称： </w:t>
            </w:r>
          </w:p>
        </w:tc>
      </w:tr>
      <w:tr w14:paraId="2FE1E4EF">
        <w:tblPrEx>
          <w:tblCellMar>
            <w:top w:w="0" w:type="dxa"/>
            <w:left w:w="0" w:type="dxa"/>
            <w:bottom w:w="0" w:type="dxa"/>
            <w:right w:w="0" w:type="dxa"/>
          </w:tblCellMar>
        </w:tblPrEx>
        <w:trPr>
          <w:trHeight w:val="310"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14:paraId="527F3685">
            <w:pPr>
              <w:widowControl/>
              <w:jc w:val="left"/>
              <w:rPr>
                <w:rFonts w:hint="eastAsia" w:ascii="宋体" w:hAnsi="宋体" w:eastAsia="宋体" w:cs="宋体"/>
                <w:color w:val="auto"/>
                <w:highlight w:val="none"/>
              </w:rPr>
            </w:pPr>
          </w:p>
        </w:tc>
        <w:tc>
          <w:tcPr>
            <w:tcW w:w="7133" w:type="dxa"/>
            <w:gridSpan w:val="2"/>
            <w:tcBorders>
              <w:top w:val="nil"/>
              <w:left w:val="single" w:color="000000" w:sz="4" w:space="0"/>
              <w:bottom w:val="nil"/>
              <w:right w:val="single" w:color="000000" w:sz="4" w:space="0"/>
            </w:tcBorders>
          </w:tcPr>
          <w:p w14:paraId="594A2F27">
            <w:pPr>
              <w:pStyle w:val="52"/>
              <w:spacing w:line="262" w:lineRule="exact"/>
              <w:ind w:left="101"/>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□无； </w:t>
            </w:r>
          </w:p>
        </w:tc>
      </w:tr>
      <w:tr w14:paraId="0D153523">
        <w:tblPrEx>
          <w:tblCellMar>
            <w:top w:w="0" w:type="dxa"/>
            <w:left w:w="0" w:type="dxa"/>
            <w:bottom w:w="0" w:type="dxa"/>
            <w:right w:w="0" w:type="dxa"/>
          </w:tblCellMar>
        </w:tblPrEx>
        <w:trPr>
          <w:trHeight w:val="310"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14:paraId="7090ED03">
            <w:pPr>
              <w:widowControl/>
              <w:jc w:val="left"/>
              <w:rPr>
                <w:rFonts w:hint="eastAsia" w:ascii="宋体" w:hAnsi="宋体" w:eastAsia="宋体" w:cs="宋体"/>
                <w:color w:val="auto"/>
                <w:highlight w:val="none"/>
                <w:lang w:eastAsia="en-US"/>
              </w:rPr>
            </w:pPr>
          </w:p>
        </w:tc>
        <w:tc>
          <w:tcPr>
            <w:tcW w:w="7133" w:type="dxa"/>
            <w:gridSpan w:val="2"/>
            <w:tcBorders>
              <w:top w:val="nil"/>
              <w:left w:val="single" w:color="000000" w:sz="4" w:space="0"/>
              <w:bottom w:val="nil"/>
              <w:right w:val="single" w:color="000000" w:sz="4" w:space="0"/>
            </w:tcBorders>
          </w:tcPr>
          <w:p w14:paraId="09BC9EB0">
            <w:pPr>
              <w:pStyle w:val="52"/>
              <w:spacing w:line="262" w:lineRule="exact"/>
              <w:ind w:left="101"/>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color="000000"/>
              </w:rPr>
              <w:t>□</w:t>
            </w:r>
            <w:r>
              <w:rPr>
                <w:rFonts w:hint="eastAsia" w:ascii="宋体" w:hAnsi="宋体" w:eastAsia="宋体" w:cs="宋体"/>
                <w:color w:val="auto"/>
                <w:kern w:val="2"/>
                <w:sz w:val="21"/>
                <w:szCs w:val="21"/>
                <w:highlight w:val="none"/>
              </w:rPr>
              <w:t xml:space="preserve">有：                                  </w:t>
            </w:r>
            <w:r>
              <w:rPr>
                <w:rFonts w:hint="eastAsia" w:ascii="宋体" w:hAnsi="宋体" w:eastAsia="宋体" w:cs="宋体"/>
                <w:color w:val="auto"/>
                <w:spacing w:val="68"/>
                <w:kern w:val="2"/>
                <w:sz w:val="21"/>
                <w:szCs w:val="21"/>
                <w:highlight w:val="none"/>
              </w:rPr>
              <w:t xml:space="preserve"> </w:t>
            </w:r>
            <w:r>
              <w:rPr>
                <w:rFonts w:hint="eastAsia" w:ascii="宋体" w:hAnsi="宋体" w:eastAsia="宋体" w:cs="宋体"/>
                <w:color w:val="auto"/>
                <w:kern w:val="2"/>
                <w:sz w:val="21"/>
                <w:szCs w:val="21"/>
                <w:highlight w:val="none"/>
              </w:rPr>
              <w:t xml:space="preserve">。 </w:t>
            </w:r>
          </w:p>
        </w:tc>
      </w:tr>
      <w:tr w14:paraId="4E7556E3">
        <w:tblPrEx>
          <w:tblCellMar>
            <w:top w:w="0" w:type="dxa"/>
            <w:left w:w="0" w:type="dxa"/>
            <w:bottom w:w="0" w:type="dxa"/>
            <w:right w:w="0" w:type="dxa"/>
          </w:tblCellMar>
        </w:tblPrEx>
        <w:trPr>
          <w:trHeight w:val="310"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14:paraId="5FB967A7">
            <w:pPr>
              <w:widowControl/>
              <w:jc w:val="left"/>
              <w:rPr>
                <w:rFonts w:hint="eastAsia" w:ascii="宋体" w:hAnsi="宋体" w:eastAsia="宋体" w:cs="宋体"/>
                <w:color w:val="auto"/>
                <w:highlight w:val="none"/>
                <w:lang w:eastAsia="en-US"/>
              </w:rPr>
            </w:pPr>
          </w:p>
        </w:tc>
        <w:tc>
          <w:tcPr>
            <w:tcW w:w="7133" w:type="dxa"/>
            <w:gridSpan w:val="2"/>
            <w:tcBorders>
              <w:top w:val="nil"/>
              <w:left w:val="single" w:color="000000" w:sz="4" w:space="0"/>
              <w:bottom w:val="nil"/>
              <w:right w:val="single" w:color="000000" w:sz="4" w:space="0"/>
            </w:tcBorders>
          </w:tcPr>
          <w:p w14:paraId="730ABB47">
            <w:pPr>
              <w:pStyle w:val="52"/>
              <w:spacing w:line="262" w:lineRule="exact"/>
              <w:ind w:left="101"/>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2、与我公司存在控股、管理关系的其他单位的名称： </w:t>
            </w:r>
          </w:p>
        </w:tc>
      </w:tr>
      <w:tr w14:paraId="6C81C072">
        <w:tblPrEx>
          <w:tblCellMar>
            <w:top w:w="0" w:type="dxa"/>
            <w:left w:w="0" w:type="dxa"/>
            <w:bottom w:w="0" w:type="dxa"/>
            <w:right w:w="0" w:type="dxa"/>
          </w:tblCellMar>
        </w:tblPrEx>
        <w:trPr>
          <w:trHeight w:val="310"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14:paraId="6F0D67C4">
            <w:pPr>
              <w:widowControl/>
              <w:jc w:val="left"/>
              <w:rPr>
                <w:rFonts w:hint="eastAsia" w:ascii="宋体" w:hAnsi="宋体" w:eastAsia="宋体" w:cs="宋体"/>
                <w:color w:val="auto"/>
                <w:highlight w:val="none"/>
              </w:rPr>
            </w:pPr>
          </w:p>
        </w:tc>
        <w:tc>
          <w:tcPr>
            <w:tcW w:w="7133" w:type="dxa"/>
            <w:gridSpan w:val="2"/>
            <w:tcBorders>
              <w:top w:val="nil"/>
              <w:left w:val="single" w:color="000000" w:sz="4" w:space="0"/>
              <w:bottom w:val="nil"/>
              <w:right w:val="single" w:color="000000" w:sz="4" w:space="0"/>
            </w:tcBorders>
          </w:tcPr>
          <w:p w14:paraId="541A9A64">
            <w:pPr>
              <w:pStyle w:val="52"/>
              <w:spacing w:line="262" w:lineRule="exact"/>
              <w:ind w:left="101"/>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□无； </w:t>
            </w:r>
          </w:p>
        </w:tc>
      </w:tr>
      <w:tr w14:paraId="00EDE240">
        <w:tblPrEx>
          <w:tblCellMar>
            <w:top w:w="0" w:type="dxa"/>
            <w:left w:w="0" w:type="dxa"/>
            <w:bottom w:w="0" w:type="dxa"/>
            <w:right w:w="0" w:type="dxa"/>
          </w:tblCellMar>
        </w:tblPrEx>
        <w:trPr>
          <w:trHeight w:val="330"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14:paraId="33BD47FF">
            <w:pPr>
              <w:widowControl/>
              <w:jc w:val="left"/>
              <w:rPr>
                <w:rFonts w:hint="eastAsia" w:ascii="宋体" w:hAnsi="宋体" w:eastAsia="宋体" w:cs="宋体"/>
                <w:color w:val="auto"/>
                <w:highlight w:val="none"/>
                <w:lang w:eastAsia="en-US"/>
              </w:rPr>
            </w:pPr>
          </w:p>
        </w:tc>
        <w:tc>
          <w:tcPr>
            <w:tcW w:w="7133" w:type="dxa"/>
            <w:gridSpan w:val="2"/>
            <w:tcBorders>
              <w:top w:val="nil"/>
              <w:left w:val="single" w:color="000000" w:sz="4" w:space="0"/>
              <w:bottom w:val="nil"/>
              <w:right w:val="single" w:color="000000" w:sz="4" w:space="0"/>
            </w:tcBorders>
          </w:tcPr>
          <w:p w14:paraId="4DEE0D97">
            <w:pPr>
              <w:pStyle w:val="52"/>
              <w:spacing w:line="262" w:lineRule="exact"/>
              <w:ind w:left="101"/>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color="000000"/>
              </w:rPr>
              <w:t>□</w:t>
            </w:r>
            <w:r>
              <w:rPr>
                <w:rFonts w:hint="eastAsia" w:ascii="宋体" w:hAnsi="宋体" w:eastAsia="宋体" w:cs="宋体"/>
                <w:color w:val="auto"/>
                <w:kern w:val="2"/>
                <w:sz w:val="21"/>
                <w:szCs w:val="21"/>
                <w:highlight w:val="none"/>
              </w:rPr>
              <w:t xml:space="preserve">有：                                   </w:t>
            </w:r>
            <w:r>
              <w:rPr>
                <w:rFonts w:hint="eastAsia" w:ascii="宋体" w:hAnsi="宋体" w:eastAsia="宋体" w:cs="宋体"/>
                <w:color w:val="auto"/>
                <w:spacing w:val="68"/>
                <w:kern w:val="2"/>
                <w:sz w:val="21"/>
                <w:szCs w:val="21"/>
                <w:highlight w:val="none"/>
              </w:rPr>
              <w:t xml:space="preserve"> </w:t>
            </w:r>
            <w:r>
              <w:rPr>
                <w:rFonts w:hint="eastAsia" w:ascii="宋体" w:hAnsi="宋体" w:eastAsia="宋体" w:cs="宋体"/>
                <w:color w:val="auto"/>
                <w:kern w:val="2"/>
                <w:sz w:val="21"/>
                <w:szCs w:val="21"/>
                <w:highlight w:val="none"/>
              </w:rPr>
              <w:t xml:space="preserve">。 </w:t>
            </w:r>
          </w:p>
        </w:tc>
      </w:tr>
      <w:tr w14:paraId="114E6126">
        <w:tblPrEx>
          <w:tblCellMar>
            <w:top w:w="0" w:type="dxa"/>
            <w:left w:w="0" w:type="dxa"/>
            <w:bottom w:w="0" w:type="dxa"/>
            <w:right w:w="0" w:type="dxa"/>
          </w:tblCellMar>
        </w:tblPrEx>
        <w:trPr>
          <w:trHeight w:val="353"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14:paraId="38054E86">
            <w:pPr>
              <w:widowControl/>
              <w:jc w:val="left"/>
              <w:rPr>
                <w:rFonts w:hint="eastAsia" w:ascii="宋体" w:hAnsi="宋体" w:eastAsia="宋体" w:cs="宋体"/>
                <w:color w:val="auto"/>
                <w:highlight w:val="none"/>
                <w:lang w:eastAsia="en-US"/>
              </w:rPr>
            </w:pPr>
          </w:p>
        </w:tc>
        <w:tc>
          <w:tcPr>
            <w:tcW w:w="7133" w:type="dxa"/>
            <w:gridSpan w:val="2"/>
            <w:tcBorders>
              <w:top w:val="nil"/>
              <w:left w:val="single" w:color="000000" w:sz="4" w:space="0"/>
              <w:bottom w:val="nil"/>
              <w:right w:val="single" w:color="000000" w:sz="4" w:space="0"/>
            </w:tcBorders>
          </w:tcPr>
          <w:p w14:paraId="37287C0E">
            <w:pPr>
              <w:pStyle w:val="52"/>
              <w:spacing w:before="8"/>
              <w:ind w:left="101"/>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tc>
      </w:tr>
      <w:tr w14:paraId="0315A041">
        <w:tblPrEx>
          <w:tblCellMar>
            <w:top w:w="0" w:type="dxa"/>
            <w:left w:w="0" w:type="dxa"/>
            <w:bottom w:w="0" w:type="dxa"/>
            <w:right w:w="0" w:type="dxa"/>
          </w:tblCellMar>
        </w:tblPrEx>
        <w:trPr>
          <w:trHeight w:val="358"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14:paraId="5FEF361C">
            <w:pPr>
              <w:widowControl/>
              <w:jc w:val="left"/>
              <w:rPr>
                <w:rFonts w:hint="eastAsia" w:ascii="宋体" w:hAnsi="宋体" w:eastAsia="宋体" w:cs="宋体"/>
                <w:color w:val="auto"/>
                <w:highlight w:val="none"/>
                <w:lang w:eastAsia="en-US"/>
              </w:rPr>
            </w:pPr>
          </w:p>
        </w:tc>
        <w:tc>
          <w:tcPr>
            <w:tcW w:w="7133" w:type="dxa"/>
            <w:gridSpan w:val="2"/>
            <w:tcBorders>
              <w:top w:val="nil"/>
              <w:left w:val="single" w:color="000000" w:sz="4" w:space="0"/>
              <w:bottom w:val="nil"/>
              <w:right w:val="single" w:color="000000" w:sz="4" w:space="0"/>
            </w:tcBorders>
          </w:tcPr>
          <w:p w14:paraId="0A0A8022">
            <w:pPr>
              <w:pStyle w:val="52"/>
              <w:spacing w:before="9"/>
              <w:ind w:left="101"/>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1、“单位负责人”是指单位法定代表人或者法律、行政法规规定代表</w:t>
            </w:r>
          </w:p>
        </w:tc>
      </w:tr>
      <w:tr w14:paraId="4360395B">
        <w:tblPrEx>
          <w:tblCellMar>
            <w:top w:w="0" w:type="dxa"/>
            <w:left w:w="0" w:type="dxa"/>
            <w:bottom w:w="0" w:type="dxa"/>
            <w:right w:w="0" w:type="dxa"/>
          </w:tblCellMar>
        </w:tblPrEx>
        <w:trPr>
          <w:trHeight w:val="349"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14:paraId="2E4791F9">
            <w:pPr>
              <w:widowControl/>
              <w:jc w:val="left"/>
              <w:rPr>
                <w:rFonts w:hint="eastAsia" w:ascii="宋体" w:hAnsi="宋体" w:eastAsia="宋体" w:cs="宋体"/>
                <w:color w:val="auto"/>
                <w:highlight w:val="none"/>
              </w:rPr>
            </w:pPr>
          </w:p>
        </w:tc>
        <w:tc>
          <w:tcPr>
            <w:tcW w:w="7133" w:type="dxa"/>
            <w:gridSpan w:val="2"/>
            <w:tcBorders>
              <w:top w:val="nil"/>
              <w:left w:val="single" w:color="000000" w:sz="4" w:space="0"/>
              <w:bottom w:val="nil"/>
              <w:right w:val="single" w:color="000000" w:sz="4" w:space="0"/>
            </w:tcBorders>
          </w:tcPr>
          <w:p w14:paraId="4D6449CF">
            <w:pPr>
              <w:pStyle w:val="52"/>
              <w:spacing w:before="4"/>
              <w:ind w:left="101"/>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单位行使职权的主要负责人。</w:t>
            </w:r>
          </w:p>
        </w:tc>
      </w:tr>
      <w:tr w14:paraId="01BEC7EF">
        <w:tblPrEx>
          <w:tblCellMar>
            <w:top w:w="0" w:type="dxa"/>
            <w:left w:w="0" w:type="dxa"/>
            <w:bottom w:w="0" w:type="dxa"/>
            <w:right w:w="0" w:type="dxa"/>
          </w:tblCellMar>
        </w:tblPrEx>
        <w:trPr>
          <w:trHeight w:val="358"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14:paraId="332B5E08">
            <w:pPr>
              <w:widowControl/>
              <w:jc w:val="left"/>
              <w:rPr>
                <w:rFonts w:hint="eastAsia" w:ascii="宋体" w:hAnsi="宋体" w:eastAsia="宋体" w:cs="宋体"/>
                <w:color w:val="auto"/>
                <w:highlight w:val="none"/>
              </w:rPr>
            </w:pPr>
          </w:p>
        </w:tc>
        <w:tc>
          <w:tcPr>
            <w:tcW w:w="7133" w:type="dxa"/>
            <w:gridSpan w:val="2"/>
            <w:tcBorders>
              <w:top w:val="nil"/>
              <w:left w:val="single" w:color="000000" w:sz="4" w:space="0"/>
              <w:bottom w:val="nil"/>
              <w:right w:val="single" w:color="000000" w:sz="4" w:space="0"/>
            </w:tcBorders>
          </w:tcPr>
          <w:p w14:paraId="1C20D93F">
            <w:pPr>
              <w:pStyle w:val="52"/>
              <w:spacing w:before="9"/>
              <w:ind w:left="102"/>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2、本条所规定的控股、管理关系仅限于直接控股、直接管理关系，不</w:t>
            </w:r>
          </w:p>
        </w:tc>
      </w:tr>
      <w:tr w14:paraId="6A849F63">
        <w:tblPrEx>
          <w:tblCellMar>
            <w:top w:w="0" w:type="dxa"/>
            <w:left w:w="0" w:type="dxa"/>
            <w:bottom w:w="0" w:type="dxa"/>
            <w:right w:w="0" w:type="dxa"/>
          </w:tblCellMar>
        </w:tblPrEx>
        <w:trPr>
          <w:trHeight w:val="372"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14:paraId="32B84815">
            <w:pPr>
              <w:widowControl/>
              <w:jc w:val="left"/>
              <w:rPr>
                <w:rFonts w:hint="eastAsia" w:ascii="宋体" w:hAnsi="宋体" w:eastAsia="宋体" w:cs="宋体"/>
                <w:color w:val="auto"/>
                <w:highlight w:val="none"/>
              </w:rPr>
            </w:pPr>
          </w:p>
        </w:tc>
        <w:tc>
          <w:tcPr>
            <w:tcW w:w="7133" w:type="dxa"/>
            <w:gridSpan w:val="2"/>
            <w:tcBorders>
              <w:top w:val="nil"/>
              <w:left w:val="single" w:color="000000" w:sz="4" w:space="0"/>
              <w:bottom w:val="single" w:color="000000" w:sz="4" w:space="0"/>
              <w:right w:val="single" w:color="000000" w:sz="4" w:space="0"/>
            </w:tcBorders>
          </w:tcPr>
          <w:p w14:paraId="0113EDA6">
            <w:pPr>
              <w:pStyle w:val="52"/>
              <w:spacing w:before="4"/>
              <w:ind w:left="102"/>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包括间接的控股或管理关系。</w:t>
            </w:r>
          </w:p>
        </w:tc>
      </w:tr>
    </w:tbl>
    <w:p w14:paraId="7927AD9A">
      <w:pPr>
        <w:pStyle w:val="53"/>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法定代表人（单位负责人）或其委托代理人（签字或电子签章）：</w:t>
      </w:r>
      <w:r>
        <w:rPr>
          <w:rFonts w:hint="eastAsia" w:ascii="宋体" w:hAnsi="宋体" w:eastAsia="宋体" w:cs="宋体"/>
          <w:color w:val="auto"/>
          <w:sz w:val="24"/>
          <w:szCs w:val="24"/>
          <w:highlight w:val="none"/>
          <w:u w:val="single"/>
        </w:rPr>
        <w:t xml:space="preserve">                  </w:t>
      </w:r>
    </w:p>
    <w:p w14:paraId="7E9C6EF1">
      <w:pPr>
        <w:pStyle w:val="53"/>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供应商名称（签章）：</w:t>
      </w:r>
      <w:r>
        <w:rPr>
          <w:rFonts w:hint="eastAsia" w:ascii="宋体" w:hAnsi="宋体" w:eastAsia="宋体" w:cs="宋体"/>
          <w:color w:val="auto"/>
          <w:sz w:val="24"/>
          <w:szCs w:val="24"/>
          <w:highlight w:val="none"/>
          <w:u w:val="single"/>
        </w:rPr>
        <w:t xml:space="preserve">                       </w:t>
      </w:r>
    </w:p>
    <w:p w14:paraId="076EE2E8">
      <w:pPr>
        <w:pStyle w:val="53"/>
        <w:spacing w:line="500" w:lineRule="exact"/>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14:paraId="7ED64C2B">
      <w:pPr>
        <w:pStyle w:val="46"/>
        <w:outlineLvl w:val="2"/>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75" w:name="_Toc6986"/>
      <w:bookmarkStart w:id="176" w:name="_Toc31735"/>
      <w:r>
        <w:rPr>
          <w:rFonts w:hint="eastAsia" w:ascii="宋体" w:hAnsi="宋体" w:eastAsia="宋体" w:cs="宋体"/>
          <w:color w:val="auto"/>
          <w:highlight w:val="none"/>
        </w:rPr>
        <w:t>（二）具有良好的商业信誉和健全的财务会计制度；</w:t>
      </w:r>
      <w:bookmarkEnd w:id="175"/>
      <w:bookmarkEnd w:id="176"/>
    </w:p>
    <w:p w14:paraId="44684508">
      <w:pPr>
        <w:pStyle w:val="4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color w:val="auto"/>
          <w:sz w:val="21"/>
          <w:szCs w:val="21"/>
          <w:highlight w:val="none"/>
          <w:lang w:eastAsia="zh-CN"/>
        </w:rPr>
      </w:pPr>
      <w:bookmarkStart w:id="177" w:name="_Toc11370"/>
      <w:bookmarkStart w:id="178" w:name="_Toc28292"/>
      <w:r>
        <w:rPr>
          <w:rFonts w:hint="eastAsia" w:ascii="宋体" w:hAnsi="宋体" w:eastAsia="宋体" w:cs="宋体"/>
          <w:b w:val="0"/>
          <w:bCs/>
          <w:color w:val="auto"/>
          <w:sz w:val="21"/>
          <w:szCs w:val="21"/>
          <w:highlight w:val="none"/>
          <w:lang w:val="en-US" w:eastAsia="zh-CN"/>
        </w:rPr>
        <w:t>投标时，若投标人成立超过一年需提供2021年、2022年、2023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ascii="宋体" w:hAnsi="宋体" w:eastAsia="宋体" w:cs="宋体"/>
          <w:b w:val="0"/>
          <w:bCs/>
          <w:color w:val="auto"/>
          <w:sz w:val="21"/>
          <w:szCs w:val="21"/>
          <w:highlight w:val="none"/>
          <w:lang w:eastAsia="zh-CN"/>
        </w:rPr>
        <w:t>。</w:t>
      </w:r>
    </w:p>
    <w:p w14:paraId="3D699336">
      <w:pPr>
        <w:pStyle w:val="46"/>
        <w:outlineLvl w:val="2"/>
        <w:rPr>
          <w:rFonts w:hint="eastAsia" w:ascii="宋体" w:hAnsi="宋体" w:eastAsia="宋体" w:cs="宋体"/>
          <w:color w:val="auto"/>
          <w:highlight w:val="none"/>
        </w:rPr>
      </w:pPr>
      <w:r>
        <w:rPr>
          <w:rFonts w:hint="eastAsia" w:ascii="宋体" w:hAnsi="宋体" w:eastAsia="宋体" w:cs="宋体"/>
          <w:color w:val="auto"/>
          <w:highlight w:val="none"/>
        </w:rPr>
        <w:t>（三）有依法缴纳税收和社会保障资金的良好记录</w:t>
      </w:r>
      <w:bookmarkEnd w:id="177"/>
      <w:bookmarkEnd w:id="178"/>
    </w:p>
    <w:p w14:paraId="0DFE1F5F">
      <w:pPr>
        <w:pStyle w:val="4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color w:val="auto"/>
          <w:sz w:val="21"/>
          <w:szCs w:val="21"/>
          <w:highlight w:val="none"/>
          <w:lang w:eastAsia="zh-CN"/>
        </w:rPr>
      </w:pPr>
      <w:bookmarkStart w:id="179" w:name="_Toc7342"/>
      <w:bookmarkStart w:id="180" w:name="_Toc19442"/>
      <w:r>
        <w:rPr>
          <w:rFonts w:hint="eastAsia" w:ascii="宋体" w:hAnsi="宋体" w:eastAsia="宋体" w:cs="宋体"/>
          <w:b w:val="0"/>
          <w:bCs/>
          <w:color w:val="auto"/>
          <w:sz w:val="21"/>
          <w:szCs w:val="21"/>
          <w:highlight w:val="none"/>
          <w:lang w:eastAsia="zh-CN"/>
        </w:rPr>
        <w:t xml:space="preserve">投标人依法缴纳税收的证明材料：本项目投标截止时间前 6 个月内（至少提供1个月）缴纳税收的凭据（完税证、缴款书、印花税票、银行代扣（代缴）转账凭证等均可）； </w:t>
      </w:r>
    </w:p>
    <w:p w14:paraId="1D6566F2">
      <w:pPr>
        <w:pStyle w:val="4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供应商依法缴纳社会保障资金的证明材料：本项目响应截止时间时间前 6个月内（至少提供1个月）缴纳社会保险的凭据（专用收据或社会保险交纳清单）； </w:t>
      </w:r>
    </w:p>
    <w:p w14:paraId="61E341DB">
      <w:pPr>
        <w:pStyle w:val="4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为其他组织或自然人的，也需要按此项规定提供缴纳税收的凭据和交纳社会保险的凭据。如供应商的社会保险为委托第三方代缴，还需同时提供供应商与第三方服务机构签署的服务合同（合同中应明确写明第三方为供应商代缴其社会保险）。</w:t>
      </w:r>
    </w:p>
    <w:p w14:paraId="38656C63">
      <w:pPr>
        <w:pStyle w:val="4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依法不需要缴纳社会保障资金的供应商，须提供相应文件证明其依法不需要缴纳社会保障资金。</w:t>
      </w:r>
    </w:p>
    <w:p w14:paraId="6684B59D">
      <w:pPr>
        <w:pStyle w:val="46"/>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auto"/>
          <w:highlight w:val="none"/>
        </w:rPr>
      </w:pPr>
      <w:r>
        <w:rPr>
          <w:rFonts w:hint="eastAsia" w:ascii="宋体" w:hAnsi="宋体" w:eastAsia="宋体" w:cs="宋体"/>
          <w:color w:val="auto"/>
          <w:highlight w:val="none"/>
        </w:rPr>
        <w:t>（四）供应商须具有履行合同所必需的设备和专业技术能力，须附相关证明材料或声明：</w:t>
      </w:r>
      <w:bookmarkEnd w:id="179"/>
      <w:bookmarkEnd w:id="180"/>
    </w:p>
    <w:p w14:paraId="4087F8B9">
      <w:pPr>
        <w:pStyle w:val="54"/>
        <w:autoSpaceDE w:val="0"/>
        <w:autoSpaceDN w:val="0"/>
        <w:adjustRightIn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格式：</w:t>
      </w:r>
    </w:p>
    <w:p w14:paraId="463167DF">
      <w:pPr>
        <w:pStyle w:val="54"/>
        <w:autoSpaceDE w:val="0"/>
        <w:autoSpaceDN w:val="0"/>
        <w:adjustRightInd w:val="0"/>
        <w:spacing w:line="440" w:lineRule="exact"/>
        <w:ind w:firstLine="120" w:firstLineChars="5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本供应商郑重声明：</w:t>
      </w:r>
    </w:p>
    <w:p w14:paraId="05428634">
      <w:pPr>
        <w:pStyle w:val="54"/>
        <w:autoSpaceDE w:val="0"/>
        <w:autoSpaceDN w:val="0"/>
        <w:adjustRightIn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本公司（或单位）具备本项目履行合同所必需的设备和专业技术能力，特此承诺。 </w:t>
      </w:r>
    </w:p>
    <w:p w14:paraId="1FE0F18F">
      <w:pPr>
        <w:pStyle w:val="53"/>
        <w:adjustRightInd w:val="0"/>
        <w:snapToGrid w:val="0"/>
        <w:spacing w:line="500" w:lineRule="exact"/>
        <w:rPr>
          <w:rFonts w:hint="eastAsia" w:ascii="宋体" w:hAnsi="宋体" w:eastAsia="宋体" w:cs="宋体"/>
          <w:color w:val="auto"/>
          <w:sz w:val="24"/>
          <w:szCs w:val="24"/>
          <w:highlight w:val="none"/>
        </w:rPr>
      </w:pPr>
    </w:p>
    <w:p w14:paraId="5BB63F23">
      <w:pPr>
        <w:pStyle w:val="53"/>
        <w:adjustRightInd w:val="0"/>
        <w:snapToGrid w:val="0"/>
        <w:spacing w:line="500" w:lineRule="exact"/>
        <w:rPr>
          <w:rFonts w:hint="eastAsia" w:ascii="宋体" w:hAnsi="宋体" w:eastAsia="宋体" w:cs="宋体"/>
          <w:color w:val="auto"/>
          <w:sz w:val="24"/>
          <w:szCs w:val="24"/>
          <w:highlight w:val="none"/>
        </w:rPr>
      </w:pPr>
    </w:p>
    <w:p w14:paraId="1B9564A8">
      <w:pPr>
        <w:pStyle w:val="53"/>
        <w:adjustRightInd w:val="0"/>
        <w:snapToGrid w:val="0"/>
        <w:spacing w:line="500" w:lineRule="exact"/>
        <w:rPr>
          <w:rFonts w:hint="eastAsia" w:ascii="宋体" w:hAnsi="宋体" w:eastAsia="宋体" w:cs="宋体"/>
          <w:color w:val="auto"/>
          <w:sz w:val="24"/>
          <w:szCs w:val="24"/>
          <w:highlight w:val="none"/>
        </w:rPr>
      </w:pPr>
    </w:p>
    <w:p w14:paraId="523BA6DC">
      <w:pPr>
        <w:pStyle w:val="53"/>
        <w:adjustRightInd w:val="0"/>
        <w:snapToGrid w:val="0"/>
        <w:spacing w:line="500" w:lineRule="exact"/>
        <w:rPr>
          <w:rFonts w:hint="eastAsia" w:ascii="宋体" w:hAnsi="宋体" w:eastAsia="宋体" w:cs="宋体"/>
          <w:color w:val="auto"/>
          <w:sz w:val="24"/>
          <w:szCs w:val="24"/>
          <w:highlight w:val="none"/>
        </w:rPr>
      </w:pPr>
    </w:p>
    <w:p w14:paraId="005950B1">
      <w:pPr>
        <w:pStyle w:val="53"/>
        <w:adjustRightInd w:val="0"/>
        <w:snapToGrid w:val="0"/>
        <w:spacing w:line="500" w:lineRule="exact"/>
        <w:rPr>
          <w:rFonts w:hint="eastAsia" w:ascii="宋体" w:hAnsi="宋体" w:eastAsia="宋体" w:cs="宋体"/>
          <w:color w:val="auto"/>
          <w:sz w:val="24"/>
          <w:szCs w:val="24"/>
          <w:highlight w:val="none"/>
        </w:rPr>
      </w:pPr>
    </w:p>
    <w:p w14:paraId="775F7154">
      <w:pPr>
        <w:pStyle w:val="53"/>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法定代表人（单位负责人）或其委托代理人（签字或电子签章）：</w:t>
      </w:r>
      <w:r>
        <w:rPr>
          <w:rFonts w:hint="eastAsia" w:ascii="宋体" w:hAnsi="宋体" w:eastAsia="宋体" w:cs="宋体"/>
          <w:color w:val="auto"/>
          <w:sz w:val="24"/>
          <w:szCs w:val="24"/>
          <w:highlight w:val="none"/>
          <w:u w:val="single"/>
        </w:rPr>
        <w:t xml:space="preserve">                  </w:t>
      </w:r>
    </w:p>
    <w:p w14:paraId="4860436E">
      <w:pPr>
        <w:pStyle w:val="53"/>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供应商名称（签章）：</w:t>
      </w:r>
      <w:r>
        <w:rPr>
          <w:rFonts w:hint="eastAsia" w:ascii="宋体" w:hAnsi="宋体" w:eastAsia="宋体" w:cs="宋体"/>
          <w:color w:val="auto"/>
          <w:sz w:val="24"/>
          <w:szCs w:val="24"/>
          <w:highlight w:val="none"/>
          <w:u w:val="single"/>
        </w:rPr>
        <w:t xml:space="preserve">                       </w:t>
      </w:r>
    </w:p>
    <w:p w14:paraId="0BF1FDFD">
      <w:pPr>
        <w:pStyle w:val="53"/>
        <w:spacing w:line="500" w:lineRule="exact"/>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14:paraId="3C5042B0">
      <w:pPr>
        <w:pStyle w:val="54"/>
        <w:adjustRightInd w:val="0"/>
        <w:snapToGrid w:val="0"/>
        <w:spacing w:line="360" w:lineRule="auto"/>
        <w:jc w:val="left"/>
        <w:rPr>
          <w:rFonts w:hint="eastAsia" w:ascii="宋体" w:hAnsi="宋体" w:eastAsia="宋体" w:cs="宋体"/>
          <w:b/>
          <w:color w:val="auto"/>
          <w:sz w:val="24"/>
          <w:szCs w:val="24"/>
          <w:highlight w:val="none"/>
        </w:rPr>
      </w:pPr>
    </w:p>
    <w:p w14:paraId="6E14EA75">
      <w:pPr>
        <w:pStyle w:val="46"/>
        <w:outlineLvl w:val="2"/>
        <w:rPr>
          <w:rFonts w:hint="eastAsia" w:ascii="宋体" w:hAnsi="宋体" w:eastAsia="宋体" w:cs="宋体"/>
          <w:color w:val="auto"/>
          <w:highlight w:val="none"/>
        </w:rPr>
        <w:sectPr>
          <w:pgSz w:w="11906" w:h="16838"/>
          <w:pgMar w:top="1440" w:right="1797" w:bottom="1440" w:left="1797" w:header="851" w:footer="992" w:gutter="0"/>
          <w:pgNumType w:fmt="decimal"/>
          <w:cols w:space="720" w:num="1"/>
        </w:sectPr>
      </w:pPr>
    </w:p>
    <w:p w14:paraId="1DFCD64A">
      <w:pPr>
        <w:pStyle w:val="46"/>
        <w:outlineLvl w:val="2"/>
        <w:rPr>
          <w:rFonts w:hint="eastAsia" w:ascii="宋体" w:hAnsi="宋体" w:eastAsia="宋体" w:cs="宋体"/>
          <w:color w:val="auto"/>
          <w:highlight w:val="none"/>
        </w:rPr>
      </w:pPr>
      <w:bookmarkStart w:id="181" w:name="_Toc16347"/>
      <w:bookmarkStart w:id="182" w:name="_Toc21544"/>
      <w:r>
        <w:rPr>
          <w:rFonts w:hint="eastAsia" w:ascii="宋体" w:hAnsi="宋体" w:eastAsia="宋体" w:cs="宋体"/>
          <w:color w:val="auto"/>
          <w:highlight w:val="none"/>
        </w:rPr>
        <w:t>（五）参加政府采购活动前三年内，在经营活动中没有重大违法记录的书面声明：</w:t>
      </w:r>
      <w:bookmarkEnd w:id="181"/>
      <w:bookmarkEnd w:id="182"/>
    </w:p>
    <w:p w14:paraId="1BE2C5A4">
      <w:pPr>
        <w:pStyle w:val="54"/>
        <w:adjustRightInd w:val="0"/>
        <w:snapToGrid w:val="0"/>
        <w:spacing w:line="360" w:lineRule="auto"/>
        <w:rPr>
          <w:rFonts w:hint="eastAsia" w:ascii="宋体" w:hAnsi="宋体" w:eastAsia="宋体" w:cs="宋体"/>
          <w:color w:val="auto"/>
          <w:sz w:val="24"/>
          <w:szCs w:val="24"/>
          <w:highlight w:val="none"/>
        </w:rPr>
      </w:pPr>
    </w:p>
    <w:p w14:paraId="73A0678C">
      <w:pPr>
        <w:pStyle w:val="54"/>
        <w:adjustRightInd w:val="0"/>
        <w:snapToGrid w:val="0"/>
        <w:spacing w:line="360" w:lineRule="auto"/>
        <w:rPr>
          <w:rFonts w:hint="eastAsia" w:ascii="宋体" w:hAnsi="宋体" w:eastAsia="宋体" w:cs="宋体"/>
          <w:color w:val="auto"/>
          <w:sz w:val="24"/>
          <w:szCs w:val="24"/>
          <w:highlight w:val="none"/>
        </w:rPr>
      </w:pPr>
    </w:p>
    <w:p w14:paraId="7B2F7D13">
      <w:pPr>
        <w:pStyle w:val="54"/>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w:t>
      </w:r>
    </w:p>
    <w:p w14:paraId="59C0002C">
      <w:pPr>
        <w:pStyle w:val="55"/>
        <w:adjustRightInd w:val="0"/>
        <w:snapToGrid w:val="0"/>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无重大违法记录声明书</w:t>
      </w:r>
    </w:p>
    <w:p w14:paraId="746D4169">
      <w:pPr>
        <w:pStyle w:val="54"/>
        <w:adjustRightInd w:val="0"/>
        <w:snapToGrid w:val="0"/>
        <w:spacing w:line="360" w:lineRule="auto"/>
        <w:rPr>
          <w:rFonts w:hint="eastAsia" w:ascii="宋体" w:hAnsi="宋体" w:eastAsia="宋体" w:cs="宋体"/>
          <w:color w:val="auto"/>
          <w:sz w:val="24"/>
          <w:szCs w:val="24"/>
          <w:highlight w:val="none"/>
        </w:rPr>
      </w:pPr>
    </w:p>
    <w:p w14:paraId="75B45E4B">
      <w:pPr>
        <w:pStyle w:val="54"/>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（采购人）         </w:t>
      </w:r>
      <w:r>
        <w:rPr>
          <w:rFonts w:hint="eastAsia" w:ascii="宋体" w:hAnsi="宋体" w:eastAsia="宋体" w:cs="宋体"/>
          <w:color w:val="auto"/>
          <w:sz w:val="24"/>
          <w:szCs w:val="24"/>
          <w:highlight w:val="none"/>
        </w:rPr>
        <w:t>：</w:t>
      </w:r>
    </w:p>
    <w:p w14:paraId="59F16A41">
      <w:pPr>
        <w:pStyle w:val="54"/>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4871494E">
      <w:pPr>
        <w:pStyle w:val="54"/>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特此声明</w:t>
      </w:r>
      <w:r>
        <w:rPr>
          <w:rFonts w:hint="eastAsia" w:ascii="宋体" w:hAnsi="宋体" w:cs="宋体"/>
          <w:color w:val="auto"/>
          <w:sz w:val="24"/>
          <w:szCs w:val="24"/>
          <w:highlight w:val="none"/>
          <w:lang w:eastAsia="zh-CN"/>
        </w:rPr>
        <w:t>！</w:t>
      </w:r>
    </w:p>
    <w:p w14:paraId="7185BD96">
      <w:pPr>
        <w:pStyle w:val="53"/>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法定代表人（单位负责人）或其委托代理人（签字或电子签章）：</w:t>
      </w:r>
      <w:r>
        <w:rPr>
          <w:rFonts w:hint="eastAsia" w:ascii="宋体" w:hAnsi="宋体" w:eastAsia="宋体" w:cs="宋体"/>
          <w:color w:val="auto"/>
          <w:sz w:val="24"/>
          <w:szCs w:val="24"/>
          <w:highlight w:val="none"/>
          <w:u w:val="single"/>
        </w:rPr>
        <w:t xml:space="preserve">                  </w:t>
      </w:r>
    </w:p>
    <w:p w14:paraId="0FC1F900">
      <w:pPr>
        <w:pStyle w:val="53"/>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供应商名称（签章）：</w:t>
      </w:r>
      <w:r>
        <w:rPr>
          <w:rFonts w:hint="eastAsia" w:ascii="宋体" w:hAnsi="宋体" w:eastAsia="宋体" w:cs="宋体"/>
          <w:color w:val="auto"/>
          <w:sz w:val="24"/>
          <w:szCs w:val="24"/>
          <w:highlight w:val="none"/>
          <w:u w:val="single"/>
        </w:rPr>
        <w:t xml:space="preserve">                       </w:t>
      </w:r>
    </w:p>
    <w:p w14:paraId="10332EB8">
      <w:pPr>
        <w:pStyle w:val="53"/>
        <w:spacing w:line="500" w:lineRule="exact"/>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14:paraId="17B78531">
      <w:pPr>
        <w:pStyle w:val="54"/>
        <w:adjustRightInd w:val="0"/>
        <w:snapToGrid w:val="0"/>
        <w:spacing w:line="360" w:lineRule="auto"/>
        <w:jc w:val="left"/>
        <w:rPr>
          <w:rFonts w:hint="eastAsia" w:ascii="宋体" w:hAnsi="宋体" w:eastAsia="宋体" w:cs="宋体"/>
          <w:color w:val="auto"/>
          <w:sz w:val="24"/>
          <w:szCs w:val="24"/>
          <w:highlight w:val="none"/>
        </w:rPr>
      </w:pPr>
    </w:p>
    <w:p w14:paraId="645DEFC2">
      <w:pPr>
        <w:pStyle w:val="54"/>
        <w:adjustRightInd w:val="0"/>
        <w:snapToGrid w:val="0"/>
        <w:spacing w:line="360" w:lineRule="auto"/>
        <w:jc w:val="left"/>
        <w:rPr>
          <w:rFonts w:hint="eastAsia" w:ascii="宋体" w:hAnsi="宋体" w:eastAsia="宋体" w:cs="宋体"/>
          <w:b/>
          <w:color w:val="auto"/>
          <w:kern w:val="0"/>
          <w:sz w:val="32"/>
          <w:szCs w:val="24"/>
          <w:highlight w:val="none"/>
        </w:rPr>
        <w:sectPr>
          <w:pgSz w:w="11906" w:h="16838"/>
          <w:pgMar w:top="1440" w:right="1797" w:bottom="1440" w:left="1797" w:header="851" w:footer="992" w:gutter="0"/>
          <w:pgNumType w:fmt="decimal"/>
          <w:cols w:space="720" w:num="1"/>
        </w:sectPr>
      </w:pPr>
    </w:p>
    <w:p w14:paraId="0EE4506F">
      <w:pPr>
        <w:pStyle w:val="46"/>
        <w:outlineLvl w:val="2"/>
        <w:rPr>
          <w:rFonts w:hint="eastAsia" w:ascii="宋体" w:hAnsi="宋体" w:eastAsia="宋体" w:cs="宋体"/>
          <w:color w:val="auto"/>
          <w:highlight w:val="none"/>
        </w:rPr>
      </w:pPr>
      <w:bookmarkStart w:id="183" w:name="_Toc31574"/>
      <w:bookmarkStart w:id="184" w:name="_Toc32053"/>
      <w:r>
        <w:rPr>
          <w:rFonts w:hint="eastAsia" w:ascii="宋体" w:hAnsi="宋体" w:eastAsia="宋体" w:cs="宋体"/>
          <w:color w:val="auto"/>
          <w:highlight w:val="none"/>
        </w:rPr>
        <w:t>（六）供应商未列入失信被执行人、重大税收违法案件当事人名单、政府采购严重违法失信行为记录名单</w:t>
      </w:r>
      <w:bookmarkEnd w:id="183"/>
      <w:bookmarkEnd w:id="184"/>
    </w:p>
    <w:p w14:paraId="0DAA6E47">
      <w:pPr>
        <w:pStyle w:val="48"/>
        <w:spacing w:line="360" w:lineRule="auto"/>
        <w:ind w:firstLine="504" w:firstLineChars="200"/>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“信用中国”网站或“中国政府采购网”查询信息：</w:t>
      </w:r>
    </w:p>
    <w:p w14:paraId="08F85DF7">
      <w:pPr>
        <w:pStyle w:val="48"/>
        <w:spacing w:line="360" w:lineRule="auto"/>
        <w:ind w:firstLine="504" w:firstLineChars="200"/>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 xml:space="preserve">①未被列入失信被执行人； </w:t>
      </w:r>
    </w:p>
    <w:p w14:paraId="02E15EAC">
      <w:pPr>
        <w:pStyle w:val="48"/>
        <w:spacing w:line="360" w:lineRule="auto"/>
        <w:ind w:firstLine="504" w:firstLineChars="200"/>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 xml:space="preserve">②不是重大税收违法案件当事人名单的供应商； </w:t>
      </w:r>
    </w:p>
    <w:p w14:paraId="1922B595">
      <w:pPr>
        <w:pStyle w:val="48"/>
        <w:spacing w:line="360" w:lineRule="auto"/>
        <w:ind w:firstLine="504" w:firstLineChars="200"/>
        <w:jc w:val="left"/>
        <w:rPr>
          <w:rFonts w:hint="eastAsia" w:ascii="宋体" w:hAnsi="宋体" w:eastAsia="宋体" w:cs="宋体"/>
          <w:color w:val="auto"/>
          <w:spacing w:val="6"/>
          <w:kern w:val="0"/>
          <w:sz w:val="24"/>
          <w:szCs w:val="24"/>
          <w:highlight w:val="none"/>
        </w:rPr>
        <w:sectPr>
          <w:pgSz w:w="11906" w:h="16838"/>
          <w:pgMar w:top="1440" w:right="1800" w:bottom="1440" w:left="1800" w:header="851" w:footer="992" w:gutter="0"/>
          <w:pgNumType w:fmt="decimal"/>
          <w:cols w:space="720" w:num="1"/>
        </w:sectPr>
      </w:pPr>
      <w:r>
        <w:rPr>
          <w:rFonts w:hint="eastAsia" w:ascii="宋体" w:hAnsi="宋体" w:eastAsia="宋体" w:cs="宋体"/>
          <w:color w:val="auto"/>
          <w:spacing w:val="6"/>
          <w:kern w:val="0"/>
          <w:sz w:val="24"/>
          <w:szCs w:val="24"/>
          <w:highlight w:val="none"/>
        </w:rPr>
        <w:t>③未被列入政府采购严重违法失信行为记录名单。</w:t>
      </w:r>
    </w:p>
    <w:p w14:paraId="056E9E16">
      <w:pPr>
        <w:pStyle w:val="46"/>
        <w:outlineLvl w:val="2"/>
        <w:rPr>
          <w:rFonts w:hint="eastAsia" w:ascii="宋体" w:hAnsi="宋体" w:eastAsia="宋体" w:cs="宋体"/>
          <w:color w:val="auto"/>
          <w:highlight w:val="none"/>
          <w:lang w:eastAsia="zh-CN"/>
        </w:rPr>
      </w:pPr>
      <w:bookmarkStart w:id="185" w:name="_Toc215"/>
      <w:bookmarkStart w:id="186" w:name="_Toc10667"/>
      <w:r>
        <w:rPr>
          <w:rFonts w:hint="eastAsia" w:ascii="宋体" w:hAnsi="宋体" w:eastAsia="宋体" w:cs="宋体"/>
          <w:color w:val="auto"/>
          <w:highlight w:val="none"/>
        </w:rPr>
        <w:t>（七）联合投标协议书</w:t>
      </w:r>
      <w:bookmarkEnd w:id="185"/>
      <w:bookmarkEnd w:id="186"/>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不适用</w:t>
      </w:r>
      <w:r>
        <w:rPr>
          <w:rFonts w:hint="eastAsia" w:ascii="宋体" w:hAnsi="宋体" w:eastAsia="宋体" w:cs="宋体"/>
          <w:color w:val="auto"/>
          <w:highlight w:val="none"/>
          <w:lang w:eastAsia="zh-CN"/>
        </w:rPr>
        <w:t>）</w:t>
      </w:r>
    </w:p>
    <w:p w14:paraId="6FC4235F">
      <w:pPr>
        <w:pStyle w:val="48"/>
        <w:spacing w:line="360" w:lineRule="auto"/>
        <w:ind w:firstLine="482" w:firstLineChars="20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联合投标协议书</w:t>
      </w:r>
    </w:p>
    <w:p w14:paraId="4E9C415B">
      <w:pPr>
        <w:pStyle w:val="56"/>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（所有成员单位名称）自愿组成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（联合体名称）联合体，共同参加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标段投标。现就联合体投标事宜订立如下协议。</w:t>
      </w:r>
    </w:p>
    <w:p w14:paraId="3A72AD9E">
      <w:pPr>
        <w:pStyle w:val="56"/>
        <w:spacing w:line="360" w:lineRule="auto"/>
        <w:ind w:firstLine="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（某成员单位名称）为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（联合体名称）牵头人。</w:t>
      </w:r>
    </w:p>
    <w:p w14:paraId="129B12E5">
      <w:pPr>
        <w:pStyle w:val="56"/>
        <w:spacing w:line="360" w:lineRule="auto"/>
        <w:ind w:firstLine="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14:paraId="02B23AA1">
      <w:pPr>
        <w:pStyle w:val="56"/>
        <w:spacing w:line="360" w:lineRule="auto"/>
        <w:ind w:firstLine="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3.联合体牵头人在本项目中签署的一切文件和处理的一切事宜，联合体各成员均予以承认。联合体各成员将严格按照磋商文件、响应文件和合同的要求全面履行义务，并向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承担连带责任。</w:t>
      </w:r>
    </w:p>
    <w:p w14:paraId="17BB52F0">
      <w:pPr>
        <w:pStyle w:val="56"/>
        <w:topLinePunct/>
        <w:spacing w:line="360" w:lineRule="auto"/>
        <w:ind w:left="141" w:leftChars="67"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4.联合体各成员单位内部的职责分工如下：</w:t>
      </w:r>
      <w:r>
        <w:rPr>
          <w:rFonts w:hint="eastAsia" w:ascii="宋体" w:hAnsi="宋体" w:eastAsia="宋体" w:cs="宋体"/>
          <w:color w:val="auto"/>
          <w:sz w:val="24"/>
          <w:szCs w:val="24"/>
          <w:highlight w:val="none"/>
          <w:u w:val="single"/>
        </w:rPr>
        <w:t>（牵头人名称）</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专业工程；</w:t>
      </w:r>
      <w:r>
        <w:rPr>
          <w:rFonts w:hint="eastAsia" w:ascii="宋体" w:hAnsi="宋体" w:eastAsia="宋体" w:cs="宋体"/>
          <w:color w:val="auto"/>
          <w:sz w:val="24"/>
          <w:szCs w:val="24"/>
          <w:highlight w:val="none"/>
          <w:u w:val="single"/>
        </w:rPr>
        <w:t>（成员一名称）</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专业工程；……。</w:t>
      </w:r>
    </w:p>
    <w:p w14:paraId="2850ECBF">
      <w:pPr>
        <w:pStyle w:val="56"/>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5.投标工作和联合体在中标后项目服务过程中的有关费用按各自承担的工作量分摊。</w:t>
      </w:r>
    </w:p>
    <w:p w14:paraId="1083218D">
      <w:pPr>
        <w:pStyle w:val="5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6.本协议书自所有成员单位法定代表人签字并加盖单位章之日起生效，合同履行完毕后自动失效。</w:t>
      </w:r>
    </w:p>
    <w:p w14:paraId="4040EE6A">
      <w:pPr>
        <w:pStyle w:val="5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7.本协议书一式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份，联合体成员和</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各执一份。</w:t>
      </w:r>
    </w:p>
    <w:p w14:paraId="2DF6B121">
      <w:pPr>
        <w:pStyle w:val="56"/>
        <w:spacing w:line="360" w:lineRule="auto"/>
        <w:ind w:firstLine="480" w:firstLineChars="200"/>
        <w:rPr>
          <w:rFonts w:hint="eastAsia" w:ascii="宋体" w:hAnsi="宋体" w:eastAsia="宋体" w:cs="宋体"/>
          <w:color w:val="auto"/>
          <w:sz w:val="24"/>
          <w:szCs w:val="24"/>
          <w:highlight w:val="none"/>
        </w:rPr>
      </w:pPr>
    </w:p>
    <w:p w14:paraId="5A43748D">
      <w:pPr>
        <w:pStyle w:val="56"/>
        <w:topLinePunct/>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联合体牵头人名称：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1DDB3B3C">
      <w:pPr>
        <w:pStyle w:val="56"/>
        <w:topLinePunct/>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6BE8B2DF">
      <w:pPr>
        <w:pStyle w:val="56"/>
        <w:topLinePunct/>
        <w:spacing w:line="360" w:lineRule="auto"/>
        <w:ind w:firstLine="470" w:firstLineChars="196"/>
        <w:rPr>
          <w:rFonts w:hint="eastAsia" w:ascii="宋体" w:hAnsi="宋体" w:eastAsia="宋体" w:cs="宋体"/>
          <w:color w:val="auto"/>
          <w:sz w:val="24"/>
          <w:szCs w:val="24"/>
          <w:highlight w:val="none"/>
        </w:rPr>
      </w:pPr>
    </w:p>
    <w:p w14:paraId="70704198">
      <w:pPr>
        <w:pStyle w:val="56"/>
        <w:topLinePunct/>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6C98E899">
      <w:pPr>
        <w:pStyle w:val="56"/>
        <w:topLinePunct/>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53051BFF">
      <w:pPr>
        <w:pStyle w:val="56"/>
        <w:topLinePunct/>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ADAF082">
      <w:pPr>
        <w:pStyle w:val="56"/>
        <w:topLinePunct/>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36DDA1FF">
      <w:pPr>
        <w:pStyle w:val="5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4CDFB8E6">
      <w:pPr>
        <w:pStyle w:val="56"/>
        <w:spacing w:line="360" w:lineRule="auto"/>
        <w:ind w:firstLine="480" w:firstLineChars="200"/>
        <w:rPr>
          <w:rFonts w:hint="eastAsia" w:ascii="宋体" w:hAnsi="宋体" w:eastAsia="宋体" w:cs="宋体"/>
          <w:color w:val="auto"/>
          <w:sz w:val="24"/>
          <w:szCs w:val="24"/>
          <w:highlight w:val="none"/>
        </w:rPr>
      </w:pPr>
    </w:p>
    <w:p w14:paraId="78C4A196">
      <w:pPr>
        <w:pStyle w:val="57"/>
        <w:spacing w:line="360" w:lineRule="auto"/>
        <w:ind w:firstLine="709"/>
        <w:jc w:val="right"/>
        <w:rPr>
          <w:rFonts w:hint="eastAsia" w:ascii="宋体" w:hAnsi="宋体" w:eastAsia="宋体" w:cs="宋体"/>
          <w:color w:val="auto"/>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9F6109E">
      <w:pPr>
        <w:pStyle w:val="46"/>
        <w:outlineLvl w:val="2"/>
        <w:rPr>
          <w:rFonts w:hint="eastAsia" w:ascii="宋体" w:hAnsi="宋体" w:eastAsia="宋体" w:cs="宋体"/>
          <w:color w:val="auto"/>
          <w:highlight w:val="none"/>
        </w:rPr>
      </w:pPr>
      <w:bookmarkStart w:id="187" w:name="_Toc19714"/>
      <w:bookmarkStart w:id="188" w:name="_Toc28173"/>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磋商保证金</w:t>
      </w:r>
      <w:bookmarkEnd w:id="187"/>
      <w:bookmarkEnd w:id="188"/>
    </w:p>
    <w:p w14:paraId="3AFDA333">
      <w:pPr>
        <w:pStyle w:val="59"/>
        <w:spacing w:line="360" w:lineRule="auto"/>
        <w:rPr>
          <w:rFonts w:hint="eastAsia" w:ascii="宋体" w:hAnsi="宋体" w:eastAsia="宋体" w:cs="宋体"/>
          <w:color w:val="auto"/>
          <w:highlight w:val="none"/>
        </w:rPr>
      </w:pPr>
    </w:p>
    <w:p w14:paraId="7C28B190">
      <w:pPr>
        <w:pStyle w:val="59"/>
        <w:spacing w:line="360" w:lineRule="auto"/>
        <w:rPr>
          <w:rFonts w:hint="eastAsia" w:ascii="宋体" w:hAnsi="宋体" w:eastAsia="宋体" w:cs="宋体"/>
          <w:color w:val="auto"/>
          <w:highlight w:val="none"/>
        </w:rPr>
      </w:pPr>
    </w:p>
    <w:p w14:paraId="44BBAFB7">
      <w:pPr>
        <w:pStyle w:val="60"/>
        <w:spacing w:line="360" w:lineRule="auto"/>
        <w:rPr>
          <w:rFonts w:hint="eastAsia" w:ascii="宋体" w:hAnsi="宋体" w:eastAsia="宋体" w:cs="宋体"/>
          <w:color w:val="auto"/>
          <w:highlight w:val="none"/>
        </w:rPr>
      </w:pPr>
      <w:r>
        <w:rPr>
          <w:rFonts w:hint="eastAsia" w:ascii="宋体" w:hAnsi="宋体" w:eastAsia="宋体" w:cs="宋体"/>
          <w:b w:val="0"/>
          <w:color w:val="auto"/>
          <w:spacing w:val="6"/>
          <w:sz w:val="24"/>
          <w:highlight w:val="none"/>
        </w:rPr>
        <w:t>说明：</w:t>
      </w:r>
      <w:r>
        <w:rPr>
          <w:rFonts w:hint="eastAsia" w:ascii="宋体" w:hAnsi="宋体" w:eastAsia="宋体" w:cs="宋体"/>
          <w:b w:val="0"/>
          <w:color w:val="auto"/>
          <w:spacing w:val="6"/>
          <w:sz w:val="24"/>
          <w:highlight w:val="none"/>
          <w:lang w:val="en-US" w:eastAsia="zh-CN"/>
        </w:rPr>
        <w:t>①电汇、转账形式，附投标保证金汇款底单复印件（要求复印件内容清晰，能看清采购代理机构、响应人的名称、账号、金额等）②支票、汇票、本票、保函等非现金形式提供对应的资料（如保函可提供保单）</w:t>
      </w:r>
      <w:r>
        <w:rPr>
          <w:rFonts w:hint="eastAsia" w:ascii="宋体" w:hAnsi="宋体" w:eastAsia="宋体" w:cs="宋体"/>
          <w:color w:val="auto"/>
          <w:highlight w:val="none"/>
        </w:rPr>
        <w:br w:type="page"/>
      </w:r>
    </w:p>
    <w:p w14:paraId="3B1D3FB6">
      <w:pPr>
        <w:pStyle w:val="46"/>
        <w:outlineLvl w:val="2"/>
        <w:rPr>
          <w:rFonts w:hint="eastAsia" w:ascii="宋体" w:hAnsi="宋体" w:eastAsia="宋体" w:cs="宋体"/>
          <w:color w:val="auto"/>
          <w:highlight w:val="none"/>
          <w:lang w:val="en-US" w:eastAsia="zh-CN"/>
        </w:rPr>
      </w:pPr>
      <w:bookmarkStart w:id="189" w:name="_Toc31877"/>
      <w:r>
        <w:rPr>
          <w:rFonts w:hint="eastAsia" w:ascii="宋体" w:hAnsi="宋体" w:eastAsia="宋体" w:cs="宋体"/>
          <w:color w:val="auto"/>
          <w:highlight w:val="none"/>
        </w:rPr>
        <w:t>（九）</w:t>
      </w:r>
      <w:r>
        <w:rPr>
          <w:rFonts w:hint="eastAsia" w:ascii="宋体" w:hAnsi="宋体" w:eastAsia="宋体" w:cs="宋体"/>
          <w:color w:val="auto"/>
          <w:highlight w:val="none"/>
          <w:lang w:val="en-US" w:eastAsia="zh-CN"/>
        </w:rPr>
        <w:t>资质条件：</w:t>
      </w:r>
      <w:bookmarkEnd w:id="189"/>
    </w:p>
    <w:p w14:paraId="3CEC2EB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6E26DAB7">
      <w:pPr>
        <w:pStyle w:val="46"/>
        <w:outlineLvl w:val="9"/>
        <w:rPr>
          <w:rFonts w:hint="eastAsia" w:ascii="宋体" w:hAnsi="宋体" w:eastAsia="宋体" w:cs="宋体"/>
          <w:color w:val="auto"/>
          <w:highlight w:val="none"/>
          <w:lang w:val="en-US" w:eastAsia="zh-CN"/>
        </w:rPr>
      </w:pPr>
    </w:p>
    <w:p w14:paraId="71F3BB56">
      <w:pPr>
        <w:adjustRightInd w:val="0"/>
        <w:snapToGrid w:val="0"/>
        <w:rPr>
          <w:rFonts w:hint="eastAsia" w:ascii="宋体" w:hAnsi="宋体" w:eastAsia="宋体" w:cs="宋体"/>
          <w:b/>
          <w:color w:val="auto"/>
          <w:highlight w:val="none"/>
        </w:rPr>
      </w:pPr>
    </w:p>
    <w:p w14:paraId="4A9A6551">
      <w:pPr>
        <w:pStyle w:val="46"/>
        <w:outlineLvl w:val="2"/>
        <w:rPr>
          <w:rFonts w:hint="eastAsia" w:ascii="宋体" w:hAnsi="宋体" w:eastAsia="宋体" w:cs="宋体"/>
          <w:color w:val="auto"/>
          <w:kern w:val="2"/>
          <w:highlight w:val="none"/>
          <w:lang w:eastAsia="zh-CN"/>
        </w:rPr>
      </w:pPr>
      <w:bookmarkStart w:id="190" w:name="_Toc82686381"/>
      <w:bookmarkStart w:id="191" w:name="_Toc70004534"/>
      <w:r>
        <w:rPr>
          <w:rFonts w:hint="eastAsia" w:ascii="宋体" w:hAnsi="宋体" w:eastAsia="宋体" w:cs="宋体"/>
          <w:color w:val="auto"/>
          <w:kern w:val="2"/>
          <w:highlight w:val="none"/>
          <w:lang w:val="en-US" w:eastAsia="zh-CN"/>
        </w:rPr>
        <w:t>（十）其他声明</w:t>
      </w:r>
      <w:r>
        <w:rPr>
          <w:rFonts w:hint="eastAsia" w:ascii="宋体" w:hAnsi="宋体" w:eastAsia="宋体" w:cs="宋体"/>
          <w:color w:val="auto"/>
          <w:kern w:val="2"/>
          <w:highlight w:val="none"/>
          <w:lang w:eastAsia="zh-CN"/>
        </w:rPr>
        <w:t>及文件材料</w:t>
      </w:r>
    </w:p>
    <w:p w14:paraId="48C1450A">
      <w:pPr>
        <w:numPr>
          <w:ilvl w:val="0"/>
          <w:numId w:val="0"/>
        </w:numPr>
        <w:spacing w:line="360" w:lineRule="auto"/>
        <w:ind w:leftChars="257"/>
        <w:rPr>
          <w:rFonts w:hint="eastAsia" w:ascii="宋体" w:hAnsi="宋体" w:eastAsia="宋体" w:cs="宋体"/>
          <w:color w:val="auto"/>
          <w:highlight w:val="none"/>
        </w:rPr>
      </w:pPr>
      <w:r>
        <w:rPr>
          <w:rFonts w:hint="eastAsia" w:ascii="宋体" w:hAnsi="宋体" w:eastAsia="宋体" w:cs="宋体"/>
          <w:b/>
          <w:bCs/>
          <w:color w:val="auto"/>
          <w:spacing w:val="6"/>
          <w:kern w:val="0"/>
          <w:sz w:val="28"/>
          <w:szCs w:val="28"/>
          <w:highlight w:val="none"/>
        </w:rPr>
        <w:t>政府采购履约担保函（若有，成交后提供）</w:t>
      </w:r>
      <w:bookmarkEnd w:id="190"/>
      <w:bookmarkEnd w:id="191"/>
    </w:p>
    <w:p w14:paraId="73A7CD69">
      <w:pPr>
        <w:spacing w:line="360" w:lineRule="auto"/>
        <w:ind w:firstLine="2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p w14:paraId="13E325E8">
      <w:pPr>
        <w:spacing w:line="360" w:lineRule="auto"/>
        <w:ind w:firstLine="210"/>
        <w:rPr>
          <w:rFonts w:hint="eastAsia" w:ascii="宋体" w:hAnsi="宋体" w:eastAsia="宋体" w:cs="宋体"/>
          <w:color w:val="auto"/>
          <w:sz w:val="24"/>
          <w:szCs w:val="24"/>
          <w:highlight w:val="none"/>
        </w:rPr>
      </w:pPr>
    </w:p>
    <w:p w14:paraId="7EBFD3D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鉴于你方与（以下简称供应商）于  年   月   日签定编号为   的《政府采购合同》（以下简称主合同），且依据该合同的约定，供应商应在年</w:t>
      </w:r>
    </w:p>
    <w:p w14:paraId="669536BF">
      <w:pPr>
        <w:spacing w:line="360" w:lineRule="auto"/>
        <w:ind w:firstLine="2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月日前向你方交纳履约保证金，且可以履约担保函的形式交纳履约保证金。应供应商的申请，我方以保证的方式向你方提供如下履约保证金担保：</w:t>
      </w:r>
    </w:p>
    <w:p w14:paraId="016B5ED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一、保证责任的情形及保证金额</w:t>
      </w:r>
    </w:p>
    <w:p w14:paraId="0AF55F8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（一）在供应商出现下列情形之一时，我方承担保证责任：</w:t>
      </w:r>
    </w:p>
    <w:p w14:paraId="186332F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1．将中标项目转让给他人，或者在响应文件中未说明，且未经采购招标机构人同意，将中标项目分包给他人的；</w:t>
      </w:r>
    </w:p>
    <w:p w14:paraId="0B959619">
      <w:pPr>
        <w:spacing w:line="360" w:lineRule="auto"/>
        <w:ind w:firstLine="2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2．主合同约定的应当缴纳履约保证金的情形: </w:t>
      </w:r>
    </w:p>
    <w:p w14:paraId="694922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（1）未按主合同约定的质量、数量和期限供应货物/提供服务/完成工程的；</w:t>
      </w:r>
    </w:p>
    <w:p w14:paraId="507A942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p w14:paraId="2A8CA6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（二）我方的保证范围是主合同约定的合同价款总额的%数额为元（大写），币种为。（即主合同履约保证金金额）</w:t>
      </w:r>
    </w:p>
    <w:p w14:paraId="28ABF9D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二、保证的方式及保证期间</w:t>
      </w:r>
    </w:p>
    <w:p w14:paraId="0FEB5D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我方保证的方式为：连带责任保证。</w:t>
      </w:r>
    </w:p>
    <w:p w14:paraId="65DB443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我方保证的期间为：自本合同生效之日起至供应商按照主合同约定的供货/完工期限届满后日内。</w:t>
      </w:r>
    </w:p>
    <w:p w14:paraId="4B148B5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如果供应商未按主合同约定向贵方供应货物/提供服务/完成工程的，由我方在保证金额内向你方支付上述款项。</w:t>
      </w:r>
    </w:p>
    <w:p w14:paraId="79BD27B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三、承担保证责任的程序</w:t>
      </w:r>
    </w:p>
    <w:p w14:paraId="25A89B2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1．你方要求我方承担保证责任的，应在本保函保证期间内向我方发出书面索赔通知。索赔通知应写明要求索赔的金额，支付款项应到达的帐号。并附有证明供应商违约事实的证明材料。</w:t>
      </w:r>
    </w:p>
    <w:p w14:paraId="4128F8E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如果你方与供应商因货物质量问题产生争议，你方还需同时提供部门出具的质量检测报告，或经诉讼（仲裁）程序裁决后的裁决书、调解书，本保证人即按照检测结果或裁决书、调解书决定是否承担保证责任。</w:t>
      </w:r>
    </w:p>
    <w:p w14:paraId="6A4360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我方收到你方的书面索赔通知及相应证明材料，在工作日内进行核定后按照本保函的承诺承担保证责任。</w:t>
      </w:r>
    </w:p>
    <w:p w14:paraId="5DBD905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四、保证责任的终止</w:t>
      </w:r>
    </w:p>
    <w:p w14:paraId="4CBD42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2C9E91D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2．我方按照本保函向你方履行了保证责任后，自我方向你方支付款项（支付款项从我方账户划出）之日起，保证责任即终止。</w:t>
      </w:r>
    </w:p>
    <w:p w14:paraId="202444D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3．按照法律法规的规定或出现应终止我方保证责任的其它情形的，我方在本保函项下的保证责任亦终止。</w:t>
      </w:r>
    </w:p>
    <w:p w14:paraId="6511B7F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4D6AB5F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五、免责条款</w:t>
      </w:r>
    </w:p>
    <w:p w14:paraId="408F62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1．因你方违反主合同约定致使供应商不能履行义务的，我方不承担保证责任。</w:t>
      </w:r>
    </w:p>
    <w:p w14:paraId="25B474D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2．依照法律法规的规定或你方与供应商的另行约定，全部或者部分免除供应商应缴纳的保证金义务的，我方亦免除相应的保证责任。</w:t>
      </w:r>
    </w:p>
    <w:p w14:paraId="01EDF6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3．因不可抗力造成供应商不能履行供货义务的，我方不承担保证责任。</w:t>
      </w:r>
    </w:p>
    <w:p w14:paraId="3273481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六、争议的解决</w:t>
      </w:r>
    </w:p>
    <w:p w14:paraId="48AB5A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因本保函发生的纠纷，由你我双方协商解决，协商不成的，通过诉讼程序解决，诉讼管辖地法院为法院。</w:t>
      </w:r>
    </w:p>
    <w:p w14:paraId="283F36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七、保函的生效</w:t>
      </w:r>
    </w:p>
    <w:p w14:paraId="0DD72F5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本保函自我方加盖公章之日起生效。</w:t>
      </w:r>
    </w:p>
    <w:p w14:paraId="62899F8B">
      <w:pPr>
        <w:spacing w:line="360" w:lineRule="auto"/>
        <w:ind w:firstLine="2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保证人：（公章）</w:t>
      </w:r>
    </w:p>
    <w:p w14:paraId="7A3124D7">
      <w:pPr>
        <w:pStyle w:val="61"/>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年     月      日</w:t>
      </w:r>
      <w:r>
        <w:rPr>
          <w:rFonts w:hint="eastAsia" w:ascii="宋体" w:hAnsi="宋体" w:eastAsia="宋体" w:cs="宋体"/>
          <w:color w:val="auto"/>
          <w:sz w:val="24"/>
          <w:highlight w:val="none"/>
        </w:rPr>
        <w:br w:type="page"/>
      </w:r>
      <w:r>
        <w:rPr>
          <w:rFonts w:hint="eastAsia" w:ascii="宋体" w:hAnsi="宋体" w:eastAsia="宋体" w:cs="宋体"/>
          <w:color w:val="auto"/>
          <w:highlight w:val="none"/>
        </w:rPr>
        <w:t>2、不参与围标串标承诺书</w:t>
      </w:r>
    </w:p>
    <w:p w14:paraId="43EA4065">
      <w:pPr>
        <w:pStyle w:val="62"/>
        <w:spacing w:line="640" w:lineRule="exact"/>
        <w:ind w:firstLine="480" w:firstLineChars="20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本人作为</w:t>
      </w:r>
      <w:r>
        <w:rPr>
          <w:rFonts w:hint="eastAsia" w:ascii="宋体" w:hAnsi="宋体" w:eastAsia="宋体" w:cs="宋体"/>
          <w:b w:val="0"/>
          <w:color w:val="auto"/>
          <w:sz w:val="24"/>
          <w:highlight w:val="none"/>
          <w:u w:val="single"/>
        </w:rPr>
        <w:t xml:space="preserve">（单位名称）                    </w:t>
      </w:r>
      <w:r>
        <w:rPr>
          <w:rFonts w:hint="eastAsia" w:ascii="宋体" w:hAnsi="宋体" w:eastAsia="宋体" w:cs="宋体"/>
          <w:b w:val="0"/>
          <w:color w:val="auto"/>
          <w:sz w:val="24"/>
          <w:highlight w:val="none"/>
        </w:rPr>
        <w:t>的法人，清楚知晓我公司本项目投标活动，对以下事项作出承诺：</w:t>
      </w:r>
    </w:p>
    <w:p w14:paraId="0D501473">
      <w:pPr>
        <w:pStyle w:val="62"/>
        <w:spacing w:line="640" w:lineRule="exact"/>
        <w:ind w:firstLine="480" w:firstLineChars="20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一、我单位遵循公开、公平、公正、诚实守信的原则，依法依规参与本项目竞标。</w:t>
      </w:r>
    </w:p>
    <w:p w14:paraId="74F48713">
      <w:pPr>
        <w:pStyle w:val="62"/>
        <w:spacing w:line="640" w:lineRule="exact"/>
        <w:ind w:firstLine="480" w:firstLineChars="20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二、我单位在本项目招标投标活动中，未参与围标串标。</w:t>
      </w:r>
    </w:p>
    <w:p w14:paraId="69203C55">
      <w:pPr>
        <w:pStyle w:val="62"/>
        <w:spacing w:line="640" w:lineRule="exact"/>
        <w:ind w:firstLine="480" w:firstLineChars="20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三、我单位如被查实在本项目招标投标活动中存在围标串标的，递交响应文件行为作为实施串通投标违法行为的关键环节，本人承担直接责任人员法律责任，接受相应行政处罚和失信惩戒。</w:t>
      </w:r>
    </w:p>
    <w:p w14:paraId="7EE8A253">
      <w:pPr>
        <w:pStyle w:val="62"/>
        <w:spacing w:line="640" w:lineRule="exac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项目编号：    </w:t>
      </w:r>
    </w:p>
    <w:p w14:paraId="563B0666">
      <w:pPr>
        <w:pStyle w:val="62"/>
        <w:spacing w:line="640" w:lineRule="exac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标段号：    </w:t>
      </w:r>
    </w:p>
    <w:p w14:paraId="3E19F4FA">
      <w:pPr>
        <w:pStyle w:val="62"/>
        <w:spacing w:line="640" w:lineRule="exac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供应商单位名称：</w:t>
      </w:r>
    </w:p>
    <w:p w14:paraId="197761A8">
      <w:pPr>
        <w:pStyle w:val="62"/>
        <w:spacing w:line="640" w:lineRule="exac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供应商法人签名：</w:t>
      </w:r>
    </w:p>
    <w:p w14:paraId="43A4D59E">
      <w:pPr>
        <w:pStyle w:val="62"/>
        <w:spacing w:line="640" w:lineRule="exac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                                  </w:t>
      </w:r>
    </w:p>
    <w:p w14:paraId="60FB1B00">
      <w:pPr>
        <w:pStyle w:val="62"/>
        <w:spacing w:line="640" w:lineRule="exact"/>
        <w:rPr>
          <w:rFonts w:hint="eastAsia" w:ascii="宋体" w:hAnsi="宋体" w:eastAsia="宋体" w:cs="宋体"/>
          <w:b w:val="0"/>
          <w:color w:val="auto"/>
          <w:sz w:val="24"/>
          <w:highlight w:val="none"/>
        </w:rPr>
      </w:pPr>
    </w:p>
    <w:p w14:paraId="3A694F96">
      <w:pPr>
        <w:pStyle w:val="62"/>
        <w:spacing w:line="640" w:lineRule="exact"/>
        <w:ind w:firstLine="4080" w:firstLineChars="170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      盖  章</w:t>
      </w:r>
    </w:p>
    <w:p w14:paraId="5F514FDE">
      <w:pPr>
        <w:pStyle w:val="62"/>
        <w:spacing w:line="640" w:lineRule="exact"/>
        <w:ind w:firstLine="4320" w:firstLineChars="180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 年   月   日</w:t>
      </w:r>
    </w:p>
    <w:p w14:paraId="03A7E8EF">
      <w:pPr>
        <w:pStyle w:val="63"/>
        <w:outlineLvl w:val="1"/>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92" w:name="_Toc18984"/>
      <w:bookmarkStart w:id="193" w:name="_Toc82686382"/>
      <w:bookmarkStart w:id="194" w:name="_Toc21378"/>
      <w:r>
        <w:rPr>
          <w:rFonts w:hint="eastAsia" w:ascii="宋体" w:hAnsi="宋体" w:eastAsia="宋体" w:cs="宋体"/>
          <w:color w:val="auto"/>
          <w:highlight w:val="none"/>
        </w:rPr>
        <w:t>三、商务文件</w:t>
      </w:r>
      <w:bookmarkEnd w:id="192"/>
      <w:bookmarkEnd w:id="193"/>
      <w:bookmarkEnd w:id="194"/>
    </w:p>
    <w:p w14:paraId="4143CEDF">
      <w:pPr>
        <w:pStyle w:val="64"/>
        <w:outlineLvl w:val="2"/>
        <w:rPr>
          <w:rFonts w:hint="eastAsia" w:ascii="宋体" w:hAnsi="宋体" w:eastAsia="宋体" w:cs="宋体"/>
          <w:color w:val="auto"/>
          <w:highlight w:val="none"/>
        </w:rPr>
      </w:pPr>
      <w:bookmarkStart w:id="195" w:name="_Toc31055"/>
      <w:bookmarkStart w:id="196" w:name="_Toc1700"/>
      <w:r>
        <w:rPr>
          <w:rFonts w:hint="eastAsia" w:ascii="宋体" w:hAnsi="宋体" w:eastAsia="宋体" w:cs="宋体"/>
          <w:color w:val="auto"/>
          <w:highlight w:val="none"/>
        </w:rPr>
        <w:t>（一）法定代表人身份证明及授权委托书</w:t>
      </w:r>
      <w:bookmarkEnd w:id="195"/>
      <w:bookmarkEnd w:id="196"/>
    </w:p>
    <w:p w14:paraId="20548118">
      <w:pPr>
        <w:pStyle w:val="65"/>
        <w:adjustRightInd w:val="0"/>
        <w:snapToGrid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法定代表人资格证明文件</w:t>
      </w:r>
    </w:p>
    <w:p w14:paraId="7ADD7F96">
      <w:pPr>
        <w:pStyle w:val="65"/>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（代理机构名称）</w:t>
      </w:r>
      <w:r>
        <w:rPr>
          <w:rFonts w:hint="eastAsia" w:ascii="宋体" w:hAnsi="宋体" w:eastAsia="宋体" w:cs="宋体"/>
          <w:color w:val="auto"/>
          <w:sz w:val="24"/>
          <w:szCs w:val="24"/>
          <w:highlight w:val="none"/>
        </w:rPr>
        <w:t>：</w:t>
      </w:r>
    </w:p>
    <w:p w14:paraId="116F13B1">
      <w:pPr>
        <w:pStyle w:val="65"/>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同志为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公司法定代表人，代表我公司办理一切社会公务事宜，具有法律效力。 </w:t>
      </w:r>
    </w:p>
    <w:p w14:paraId="61B32FC1">
      <w:pPr>
        <w:pStyle w:val="65"/>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附法定代表人基本情况： </w:t>
      </w:r>
    </w:p>
    <w:p w14:paraId="23656513">
      <w:pPr>
        <w:pStyle w:val="65"/>
        <w:adjustRightInd w:val="0"/>
        <w:snapToGrid w:val="0"/>
        <w:spacing w:line="500" w:lineRule="exact"/>
        <w:ind w:firstLine="480" w:firstLineChars="200"/>
        <w:rPr>
          <w:rFonts w:hint="eastAsia" w:ascii="宋体" w:hAnsi="宋体" w:eastAsia="宋体" w:cs="宋体"/>
          <w:color w:val="auto"/>
          <w:sz w:val="24"/>
          <w:szCs w:val="24"/>
          <w:highlight w:val="none"/>
        </w:rPr>
      </w:pPr>
    </w:p>
    <w:p w14:paraId="79A09641">
      <w:pPr>
        <w:pStyle w:val="65"/>
        <w:adjustRightInd w:val="0"/>
        <w:snapToGrid w:val="0"/>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5BA52FA9">
      <w:pPr>
        <w:pStyle w:val="65"/>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09B0B895">
      <w:pPr>
        <w:pStyle w:val="65"/>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u w:val="single"/>
        </w:rPr>
        <w:t xml:space="preserve">                       </w:t>
      </w:r>
    </w:p>
    <w:p w14:paraId="13F25DB5">
      <w:pPr>
        <w:pStyle w:val="65"/>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14:paraId="3745145C">
      <w:pPr>
        <w:pStyle w:val="65"/>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bl>
      <w:tblPr>
        <w:tblStyle w:val="25"/>
        <w:tblW w:w="0" w:type="auto"/>
        <w:tblInd w:w="7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9"/>
      </w:tblGrid>
      <w:tr w14:paraId="5A1A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7449" w:type="dxa"/>
            <w:tcBorders>
              <w:top w:val="single" w:color="auto" w:sz="4" w:space="0"/>
              <w:left w:val="single" w:color="auto" w:sz="4" w:space="0"/>
              <w:bottom w:val="single" w:color="auto" w:sz="4" w:space="0"/>
              <w:right w:val="single" w:color="auto" w:sz="4" w:space="0"/>
            </w:tcBorders>
          </w:tcPr>
          <w:p w14:paraId="0049FDDF">
            <w:pPr>
              <w:pStyle w:val="65"/>
              <w:adjustRightInd w:val="0"/>
              <w:snapToGrid w:val="0"/>
              <w:spacing w:line="500" w:lineRule="exact"/>
              <w:jc w:val="center"/>
              <w:rPr>
                <w:rFonts w:hint="eastAsia" w:ascii="宋体" w:hAnsi="宋体" w:eastAsia="宋体" w:cs="宋体"/>
                <w:color w:val="auto"/>
                <w:sz w:val="24"/>
                <w:szCs w:val="24"/>
                <w:highlight w:val="none"/>
              </w:rPr>
            </w:pPr>
          </w:p>
          <w:p w14:paraId="0B221C6E">
            <w:pPr>
              <w:pStyle w:val="65"/>
              <w:adjustRightInd w:val="0"/>
              <w:snapToGrid w:val="0"/>
              <w:spacing w:line="500" w:lineRule="exact"/>
              <w:jc w:val="center"/>
              <w:rPr>
                <w:rFonts w:hint="eastAsia" w:ascii="宋体" w:hAnsi="宋体" w:eastAsia="宋体" w:cs="宋体"/>
                <w:color w:val="auto"/>
                <w:sz w:val="24"/>
                <w:szCs w:val="24"/>
                <w:highlight w:val="none"/>
              </w:rPr>
            </w:pPr>
          </w:p>
          <w:p w14:paraId="4500A79A">
            <w:pPr>
              <w:pStyle w:val="65"/>
              <w:adjustRightInd w:val="0"/>
              <w:snapToGrid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法定代表人《居民身份证》扫描件</w:t>
            </w:r>
          </w:p>
        </w:tc>
      </w:tr>
    </w:tbl>
    <w:p w14:paraId="673389CF">
      <w:pPr>
        <w:pStyle w:val="65"/>
        <w:adjustRightInd w:val="0"/>
        <w:snapToGrid w:val="0"/>
        <w:spacing w:line="500" w:lineRule="exact"/>
        <w:rPr>
          <w:rFonts w:hint="eastAsia" w:ascii="宋体" w:hAnsi="宋体" w:eastAsia="宋体" w:cs="宋体"/>
          <w:color w:val="auto"/>
          <w:sz w:val="24"/>
          <w:szCs w:val="24"/>
          <w:highlight w:val="none"/>
        </w:rPr>
      </w:pPr>
    </w:p>
    <w:p w14:paraId="3A3C3FCC">
      <w:pPr>
        <w:pStyle w:val="65"/>
        <w:tabs>
          <w:tab w:val="left" w:pos="750"/>
        </w:tabs>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供应商名称（签章）：</w:t>
      </w:r>
      <w:r>
        <w:rPr>
          <w:rFonts w:hint="eastAsia" w:ascii="宋体" w:hAnsi="宋体" w:eastAsia="宋体" w:cs="宋体"/>
          <w:color w:val="auto"/>
          <w:sz w:val="24"/>
          <w:szCs w:val="24"/>
          <w:highlight w:val="none"/>
          <w:u w:val="single"/>
        </w:rPr>
        <w:t xml:space="preserve">           </w:t>
      </w:r>
    </w:p>
    <w:p w14:paraId="78FB09A2">
      <w:pPr>
        <w:pStyle w:val="65"/>
        <w:tabs>
          <w:tab w:val="left" w:pos="750"/>
        </w:tabs>
        <w:adjustRightInd w:val="0"/>
        <w:snapToGrid w:val="0"/>
        <w:spacing w:line="500" w:lineRule="exact"/>
        <w:rPr>
          <w:rFonts w:hint="eastAsia" w:ascii="宋体" w:hAnsi="宋体" w:eastAsia="宋体" w:cs="宋体"/>
          <w:color w:val="auto"/>
          <w:sz w:val="24"/>
          <w:szCs w:val="24"/>
          <w:highlight w:val="none"/>
        </w:rPr>
      </w:pPr>
    </w:p>
    <w:p w14:paraId="3DEF15C3">
      <w:pPr>
        <w:pStyle w:val="65"/>
        <w:tabs>
          <w:tab w:val="left" w:pos="750"/>
        </w:tabs>
        <w:adjustRightInd w:val="0"/>
        <w:snapToGrid w:val="0"/>
        <w:spacing w:line="5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法定代表人（签字或电子签章）：</w:t>
      </w:r>
      <w:r>
        <w:rPr>
          <w:rFonts w:hint="eastAsia" w:ascii="宋体" w:hAnsi="宋体" w:eastAsia="宋体" w:cs="宋体"/>
          <w:color w:val="auto"/>
          <w:sz w:val="24"/>
          <w:szCs w:val="24"/>
          <w:highlight w:val="none"/>
          <w:u w:val="single"/>
        </w:rPr>
        <w:t xml:space="preserve">           </w:t>
      </w:r>
    </w:p>
    <w:p w14:paraId="53ADD2A9">
      <w:pPr>
        <w:pStyle w:val="65"/>
        <w:tabs>
          <w:tab w:val="left" w:pos="750"/>
        </w:tabs>
        <w:adjustRightInd w:val="0"/>
        <w:snapToGrid w:val="0"/>
        <w:spacing w:line="500" w:lineRule="exact"/>
        <w:rPr>
          <w:rFonts w:hint="eastAsia" w:ascii="宋体" w:hAnsi="宋体" w:eastAsia="宋体" w:cs="宋体"/>
          <w:color w:val="auto"/>
          <w:sz w:val="24"/>
          <w:szCs w:val="24"/>
          <w:highlight w:val="none"/>
        </w:rPr>
      </w:pPr>
    </w:p>
    <w:p w14:paraId="21F06CC8">
      <w:pPr>
        <w:pStyle w:val="65"/>
        <w:tabs>
          <w:tab w:val="left" w:pos="750"/>
        </w:tabs>
        <w:adjustRightInd w:val="0"/>
        <w:snapToGrid w:val="0"/>
        <w:spacing w:line="5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4660F73">
      <w:pPr>
        <w:pStyle w:val="66"/>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366F524B">
      <w:pPr>
        <w:pStyle w:val="66"/>
        <w:outlineLvl w:val="9"/>
        <w:rPr>
          <w:rFonts w:hint="eastAsia" w:ascii="宋体" w:hAnsi="宋体" w:eastAsia="宋体" w:cs="宋体"/>
          <w:color w:val="auto"/>
          <w:highlight w:val="none"/>
        </w:rPr>
      </w:pPr>
    </w:p>
    <w:p w14:paraId="0BAA0E40">
      <w:pPr>
        <w:pStyle w:val="66"/>
        <w:outlineLvl w:val="9"/>
        <w:rPr>
          <w:rFonts w:hint="eastAsia" w:ascii="宋体" w:hAnsi="宋体" w:eastAsia="宋体" w:cs="宋体"/>
          <w:color w:val="auto"/>
          <w:highlight w:val="none"/>
        </w:rPr>
      </w:pPr>
    </w:p>
    <w:p w14:paraId="0003E82D">
      <w:pPr>
        <w:pStyle w:val="65"/>
        <w:rPr>
          <w:rFonts w:hint="eastAsia" w:ascii="宋体" w:hAnsi="宋体" w:eastAsia="宋体" w:cs="宋体"/>
          <w:color w:val="auto"/>
          <w:highlight w:val="none"/>
        </w:rPr>
      </w:pPr>
    </w:p>
    <w:p w14:paraId="0F0E68E0">
      <w:pPr>
        <w:pStyle w:val="65"/>
        <w:rPr>
          <w:rFonts w:hint="eastAsia" w:ascii="宋体" w:hAnsi="宋体" w:eastAsia="宋体" w:cs="宋体"/>
          <w:color w:val="auto"/>
          <w:highlight w:val="none"/>
        </w:rPr>
      </w:pPr>
    </w:p>
    <w:p w14:paraId="4042DC65">
      <w:pPr>
        <w:pStyle w:val="65"/>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法定代表人授权书</w:t>
      </w:r>
    </w:p>
    <w:p w14:paraId="40D2D22C">
      <w:pPr>
        <w:pStyle w:val="65"/>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（代理机构名称）</w:t>
      </w:r>
      <w:r>
        <w:rPr>
          <w:rFonts w:hint="eastAsia" w:ascii="宋体" w:hAnsi="宋体" w:eastAsia="宋体" w:cs="宋体"/>
          <w:color w:val="auto"/>
          <w:sz w:val="24"/>
          <w:szCs w:val="24"/>
          <w:highlight w:val="none"/>
        </w:rPr>
        <w:t>：</w:t>
      </w:r>
    </w:p>
    <w:p w14:paraId="6F224987">
      <w:pPr>
        <w:pStyle w:val="65"/>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同志为我公司参加贵单位组织的编号为</w:t>
      </w:r>
      <w:r>
        <w:rPr>
          <w:rFonts w:hint="eastAsia" w:ascii="宋体" w:hAnsi="宋体" w:eastAsia="宋体" w:cs="宋体"/>
          <w:color w:val="auto"/>
          <w:sz w:val="24"/>
          <w:szCs w:val="24"/>
          <w:highlight w:val="none"/>
          <w:u w:val="single"/>
        </w:rPr>
        <w:t>（项目编号）</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 目 名 称）</w:t>
      </w:r>
      <w:r>
        <w:rPr>
          <w:rFonts w:hint="eastAsia" w:ascii="宋体" w:hAnsi="宋体" w:eastAsia="宋体" w:cs="宋体"/>
          <w:color w:val="auto"/>
          <w:sz w:val="24"/>
          <w:szCs w:val="24"/>
          <w:highlight w:val="none"/>
        </w:rPr>
        <w:t>采购活动的投标代表人，全权代表我公司处理在该项目采购活动中的一切事宜。代理期限从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日止。 </w:t>
      </w:r>
    </w:p>
    <w:p w14:paraId="1AAEA6F8">
      <w:pPr>
        <w:pStyle w:val="65"/>
        <w:spacing w:line="500" w:lineRule="exact"/>
        <w:rPr>
          <w:rFonts w:hint="eastAsia" w:ascii="宋体" w:hAnsi="宋体" w:eastAsia="宋体" w:cs="宋体"/>
          <w:color w:val="auto"/>
          <w:sz w:val="24"/>
          <w:szCs w:val="24"/>
          <w:highlight w:val="none"/>
        </w:rPr>
      </w:pPr>
    </w:p>
    <w:p w14:paraId="3915E910">
      <w:pPr>
        <w:pStyle w:val="65"/>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供应商（签章）：</w:t>
      </w:r>
      <w:r>
        <w:rPr>
          <w:rFonts w:hint="eastAsia" w:ascii="宋体" w:hAnsi="宋体" w:eastAsia="宋体" w:cs="宋体"/>
          <w:color w:val="auto"/>
          <w:sz w:val="24"/>
          <w:szCs w:val="24"/>
          <w:highlight w:val="none"/>
          <w:u w:val="single"/>
        </w:rPr>
        <w:t xml:space="preserve">               </w:t>
      </w:r>
    </w:p>
    <w:p w14:paraId="41E57C0D">
      <w:pPr>
        <w:pStyle w:val="65"/>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法定代表人（签字或电子签章）：</w:t>
      </w:r>
      <w:r>
        <w:rPr>
          <w:rFonts w:hint="eastAsia" w:ascii="宋体" w:hAnsi="宋体" w:eastAsia="宋体" w:cs="宋体"/>
          <w:color w:val="auto"/>
          <w:sz w:val="24"/>
          <w:szCs w:val="24"/>
          <w:highlight w:val="none"/>
          <w:u w:val="single"/>
        </w:rPr>
        <w:t xml:space="preserve">       </w:t>
      </w:r>
    </w:p>
    <w:p w14:paraId="19671CBB">
      <w:pPr>
        <w:pStyle w:val="65"/>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签发日期：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BEF9814">
      <w:pPr>
        <w:pStyle w:val="65"/>
        <w:spacing w:line="500" w:lineRule="exact"/>
        <w:rPr>
          <w:rFonts w:hint="eastAsia" w:ascii="宋体" w:hAnsi="宋体" w:eastAsia="宋体" w:cs="宋体"/>
          <w:color w:val="auto"/>
          <w:sz w:val="24"/>
          <w:szCs w:val="24"/>
          <w:highlight w:val="none"/>
        </w:rPr>
      </w:pPr>
    </w:p>
    <w:p w14:paraId="2CE9FF01">
      <w:pPr>
        <w:pStyle w:val="65"/>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p>
    <w:p w14:paraId="6B2421E2">
      <w:pPr>
        <w:pStyle w:val="65"/>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代理人工作单位：</w:t>
      </w:r>
      <w:r>
        <w:rPr>
          <w:rFonts w:hint="eastAsia" w:ascii="宋体" w:hAnsi="宋体" w:eastAsia="宋体" w:cs="宋体"/>
          <w:color w:val="auto"/>
          <w:sz w:val="24"/>
          <w:szCs w:val="24"/>
          <w:highlight w:val="none"/>
          <w:u w:val="single"/>
        </w:rPr>
        <w:t xml:space="preserve">                          </w:t>
      </w:r>
    </w:p>
    <w:p w14:paraId="53F3CE8A">
      <w:pPr>
        <w:pStyle w:val="65"/>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p>
    <w:p w14:paraId="1F77486F">
      <w:pPr>
        <w:pStyle w:val="65"/>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6763D644">
      <w:pPr>
        <w:pStyle w:val="65"/>
        <w:tabs>
          <w:tab w:val="left" w:pos="750"/>
        </w:tabs>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法定代表人（单位负责人）或其委托代理人（签字或电子签章） ：</w:t>
      </w:r>
      <w:r>
        <w:rPr>
          <w:rFonts w:hint="eastAsia" w:ascii="宋体" w:hAnsi="宋体" w:eastAsia="宋体" w:cs="宋体"/>
          <w:color w:val="auto"/>
          <w:sz w:val="24"/>
          <w:szCs w:val="24"/>
          <w:highlight w:val="none"/>
          <w:u w:val="single"/>
        </w:rPr>
        <w:t xml:space="preserve">           </w:t>
      </w:r>
    </w:p>
    <w:p w14:paraId="18060761">
      <w:pPr>
        <w:pStyle w:val="65"/>
        <w:adjustRightInd w:val="0"/>
        <w:snapToGrid w:val="0"/>
        <w:spacing w:line="500" w:lineRule="exact"/>
        <w:ind w:left="-88" w:leftChars="-42" w:firstLine="600" w:firstLineChars="250"/>
        <w:rPr>
          <w:rFonts w:hint="eastAsia" w:ascii="宋体" w:hAnsi="宋体" w:eastAsia="宋体" w:cs="宋体"/>
          <w:color w:val="auto"/>
          <w:sz w:val="24"/>
          <w:szCs w:val="24"/>
          <w:highlight w:val="none"/>
          <w:u w:val="single"/>
        </w:rPr>
      </w:pPr>
    </w:p>
    <w:tbl>
      <w:tblPr>
        <w:tblStyle w:val="25"/>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14:paraId="388F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7668" w:type="dxa"/>
            <w:tcBorders>
              <w:top w:val="single" w:color="auto" w:sz="4" w:space="0"/>
              <w:left w:val="single" w:color="auto" w:sz="4" w:space="0"/>
              <w:bottom w:val="single" w:color="auto" w:sz="4" w:space="0"/>
              <w:right w:val="single" w:color="auto" w:sz="4" w:space="0"/>
            </w:tcBorders>
          </w:tcPr>
          <w:p w14:paraId="6CE7E7EF">
            <w:pPr>
              <w:pStyle w:val="65"/>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粘贴被授权人身份证（扫描件）</w:t>
            </w:r>
          </w:p>
        </w:tc>
      </w:tr>
    </w:tbl>
    <w:p w14:paraId="7C14E4A6">
      <w:pPr>
        <w:pStyle w:val="67"/>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B8683D1">
      <w:pPr>
        <w:pStyle w:val="67"/>
        <w:rPr>
          <w:rFonts w:hint="eastAsia" w:ascii="宋体" w:hAnsi="宋体" w:eastAsia="宋体" w:cs="宋体"/>
          <w:color w:val="auto"/>
          <w:highlight w:val="none"/>
        </w:rPr>
      </w:pPr>
    </w:p>
    <w:p w14:paraId="73644670">
      <w:pPr>
        <w:pStyle w:val="64"/>
        <w:outlineLvl w:val="2"/>
        <w:rPr>
          <w:rFonts w:hint="eastAsia" w:ascii="宋体" w:hAnsi="宋体" w:eastAsia="宋体" w:cs="宋体"/>
          <w:color w:val="auto"/>
          <w:highlight w:val="none"/>
        </w:rPr>
      </w:pPr>
      <w:bookmarkStart w:id="197" w:name="_Toc12747"/>
      <w:bookmarkStart w:id="198" w:name="_Toc14617"/>
      <w:r>
        <w:rPr>
          <w:rFonts w:hint="eastAsia" w:ascii="宋体" w:hAnsi="宋体" w:eastAsia="宋体" w:cs="宋体"/>
          <w:color w:val="auto"/>
          <w:highlight w:val="none"/>
        </w:rPr>
        <w:t>（二）开标一览表</w:t>
      </w:r>
      <w:bookmarkEnd w:id="197"/>
      <w:bookmarkEnd w:id="198"/>
    </w:p>
    <w:p w14:paraId="4DB31C36">
      <w:pPr>
        <w:pStyle w:val="68"/>
        <w:spacing w:line="360" w:lineRule="auto"/>
        <w:rPr>
          <w:rFonts w:hint="eastAsia" w:ascii="宋体" w:hAnsi="宋体" w:eastAsia="宋体" w:cs="宋体"/>
          <w:b/>
          <w:bCs/>
          <w:color w:val="auto"/>
          <w:kern w:val="44"/>
          <w:sz w:val="32"/>
          <w:szCs w:val="32"/>
          <w:highlight w:val="none"/>
        </w:rPr>
      </w:pPr>
    </w:p>
    <w:p w14:paraId="689CA016">
      <w:pPr>
        <w:pStyle w:val="6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tbl>
      <w:tblPr>
        <w:tblStyle w:val="25"/>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4"/>
        <w:gridCol w:w="6725"/>
      </w:tblGrid>
      <w:tr w14:paraId="5D3D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2394" w:type="dxa"/>
            <w:tcBorders>
              <w:top w:val="single" w:color="auto" w:sz="4" w:space="0"/>
              <w:left w:val="single" w:color="auto" w:sz="4" w:space="0"/>
              <w:bottom w:val="single" w:color="auto" w:sz="4" w:space="0"/>
              <w:right w:val="single" w:color="auto" w:sz="4" w:space="0"/>
            </w:tcBorders>
            <w:vAlign w:val="center"/>
          </w:tcPr>
          <w:p w14:paraId="47A0DA0B">
            <w:pPr>
              <w:pStyle w:val="68"/>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项目名称</w:t>
            </w:r>
          </w:p>
        </w:tc>
        <w:tc>
          <w:tcPr>
            <w:tcW w:w="6725" w:type="dxa"/>
            <w:tcBorders>
              <w:top w:val="single" w:color="auto" w:sz="4" w:space="0"/>
              <w:left w:val="single" w:color="auto" w:sz="4" w:space="0"/>
              <w:bottom w:val="single" w:color="auto" w:sz="4" w:space="0"/>
              <w:right w:val="single" w:color="auto" w:sz="4" w:space="0"/>
            </w:tcBorders>
            <w:vAlign w:val="center"/>
          </w:tcPr>
          <w:p w14:paraId="14C210D0">
            <w:pPr>
              <w:pStyle w:val="68"/>
              <w:tabs>
                <w:tab w:val="left" w:pos="1337"/>
              </w:tabs>
              <w:spacing w:line="360" w:lineRule="auto"/>
              <w:jc w:val="center"/>
              <w:rPr>
                <w:rFonts w:hint="eastAsia" w:ascii="宋体" w:hAnsi="宋体" w:eastAsia="宋体" w:cs="宋体"/>
                <w:bCs/>
                <w:color w:val="auto"/>
                <w:sz w:val="24"/>
                <w:szCs w:val="24"/>
                <w:highlight w:val="none"/>
              </w:rPr>
            </w:pPr>
          </w:p>
        </w:tc>
      </w:tr>
      <w:tr w14:paraId="0CDB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6" w:hRule="atLeast"/>
          <w:jc w:val="center"/>
        </w:trPr>
        <w:tc>
          <w:tcPr>
            <w:tcW w:w="2394" w:type="dxa"/>
            <w:tcBorders>
              <w:top w:val="single" w:color="auto" w:sz="4" w:space="0"/>
              <w:left w:val="single" w:color="auto" w:sz="4" w:space="0"/>
              <w:bottom w:val="single" w:color="auto" w:sz="4" w:space="0"/>
              <w:right w:val="single" w:color="auto" w:sz="4" w:space="0"/>
            </w:tcBorders>
            <w:vAlign w:val="center"/>
          </w:tcPr>
          <w:p w14:paraId="5478BC04">
            <w:pPr>
              <w:pStyle w:val="68"/>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w:t>
            </w:r>
            <w:r>
              <w:rPr>
                <w:rFonts w:hint="eastAsia" w:ascii="宋体" w:hAnsi="宋体" w:eastAsia="宋体" w:cs="宋体"/>
                <w:bCs/>
                <w:color w:val="auto"/>
                <w:sz w:val="24"/>
                <w:szCs w:val="24"/>
                <w:highlight w:val="none"/>
                <w:lang w:val="en-US" w:eastAsia="zh-CN"/>
              </w:rPr>
              <w:t>总</w:t>
            </w:r>
            <w:r>
              <w:rPr>
                <w:rFonts w:hint="eastAsia" w:ascii="宋体" w:hAnsi="宋体" w:eastAsia="宋体" w:cs="宋体"/>
                <w:bCs/>
                <w:color w:val="auto"/>
                <w:sz w:val="24"/>
                <w:szCs w:val="24"/>
                <w:highlight w:val="none"/>
              </w:rPr>
              <w:t>价（元）</w:t>
            </w:r>
          </w:p>
        </w:tc>
        <w:tc>
          <w:tcPr>
            <w:tcW w:w="6725" w:type="dxa"/>
            <w:tcBorders>
              <w:top w:val="single" w:color="auto" w:sz="4" w:space="0"/>
              <w:left w:val="single" w:color="auto" w:sz="4" w:space="0"/>
              <w:bottom w:val="single" w:color="auto" w:sz="4" w:space="0"/>
              <w:right w:val="single" w:color="auto" w:sz="4" w:space="0"/>
            </w:tcBorders>
            <w:vAlign w:val="center"/>
          </w:tcPr>
          <w:p w14:paraId="1D013F43">
            <w:pPr>
              <w:pStyle w:val="68"/>
              <w:tabs>
                <w:tab w:val="left" w:pos="1337"/>
              </w:tabs>
              <w:spacing w:line="360" w:lineRule="auto"/>
              <w:rPr>
                <w:rFonts w:hint="eastAsia" w:ascii="宋体" w:hAnsi="宋体" w:eastAsia="宋体" w:cs="宋体"/>
                <w:bCs/>
                <w:color w:val="auto"/>
                <w:sz w:val="24"/>
                <w:szCs w:val="24"/>
                <w:highlight w:val="none"/>
              </w:rPr>
            </w:pPr>
          </w:p>
          <w:p w14:paraId="3D6A2D77">
            <w:pPr>
              <w:pStyle w:val="68"/>
              <w:tabs>
                <w:tab w:val="left" w:pos="1337"/>
              </w:tabs>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5A866A60">
            <w:pPr>
              <w:pStyle w:val="68"/>
              <w:tabs>
                <w:tab w:val="left" w:pos="1337"/>
              </w:tabs>
              <w:spacing w:line="360" w:lineRule="auto"/>
              <w:rPr>
                <w:rFonts w:hint="eastAsia" w:ascii="宋体" w:hAnsi="宋体" w:eastAsia="宋体" w:cs="宋体"/>
                <w:bCs/>
                <w:color w:val="auto"/>
                <w:sz w:val="24"/>
                <w:szCs w:val="24"/>
                <w:highlight w:val="none"/>
              </w:rPr>
            </w:pPr>
          </w:p>
          <w:p w14:paraId="153DFDB7">
            <w:pPr>
              <w:pStyle w:val="68"/>
              <w:tabs>
                <w:tab w:val="left" w:pos="1337"/>
              </w:tabs>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0242255">
            <w:pPr>
              <w:pStyle w:val="68"/>
              <w:tabs>
                <w:tab w:val="left" w:pos="1337"/>
              </w:tabs>
              <w:spacing w:line="360" w:lineRule="auto"/>
              <w:rPr>
                <w:rFonts w:hint="eastAsia" w:ascii="宋体" w:hAnsi="宋体" w:eastAsia="宋体" w:cs="宋体"/>
                <w:color w:val="auto"/>
                <w:sz w:val="24"/>
                <w:szCs w:val="24"/>
                <w:highlight w:val="none"/>
              </w:rPr>
            </w:pPr>
          </w:p>
        </w:tc>
      </w:tr>
      <w:tr w14:paraId="07E9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394" w:type="dxa"/>
            <w:tcBorders>
              <w:top w:val="single" w:color="auto" w:sz="4" w:space="0"/>
              <w:left w:val="single" w:color="auto" w:sz="4" w:space="0"/>
              <w:bottom w:val="single" w:color="auto" w:sz="4" w:space="0"/>
              <w:right w:val="single" w:color="auto" w:sz="4" w:space="0"/>
            </w:tcBorders>
            <w:vAlign w:val="center"/>
          </w:tcPr>
          <w:p w14:paraId="5B2DA4DC">
            <w:pPr>
              <w:pStyle w:val="95"/>
              <w:pageBreakBefore w:val="0"/>
              <w:tabs>
                <w:tab w:val="left" w:pos="1337"/>
              </w:tabs>
              <w:kinsoku/>
              <w:wordWrap/>
              <w:overflowPunct/>
              <w:topLinePunct w:val="0"/>
              <w:bidi w:val="0"/>
              <w:spacing w:line="360" w:lineRule="auto"/>
              <w:jc w:val="center"/>
              <w:rPr>
                <w:rFonts w:hint="eastAsia" w:ascii="宋体" w:hAnsi="宋体" w:eastAsia="宋体" w:cs="宋体"/>
                <w:bCs/>
                <w:color w:val="auto"/>
                <w:sz w:val="24"/>
                <w:szCs w:val="24"/>
                <w:highlight w:val="none"/>
              </w:rPr>
            </w:pPr>
            <w:r>
              <w:rPr>
                <w:rFonts w:hint="eastAsia" w:ascii="宋体" w:hAnsi="宋体" w:cs="宋体"/>
                <w:bCs/>
                <w:color w:val="auto"/>
                <w:sz w:val="24"/>
                <w:highlight w:val="none"/>
                <w:lang w:val="en-US" w:eastAsia="zh-CN"/>
              </w:rPr>
              <w:t>服务</w:t>
            </w:r>
            <w:r>
              <w:rPr>
                <w:rFonts w:hint="eastAsia" w:ascii="宋体" w:hAnsi="宋体" w:eastAsia="宋体" w:cs="宋体"/>
                <w:bCs/>
                <w:color w:val="auto"/>
                <w:sz w:val="24"/>
                <w:highlight w:val="none"/>
              </w:rPr>
              <w:t>期</w:t>
            </w:r>
          </w:p>
        </w:tc>
        <w:tc>
          <w:tcPr>
            <w:tcW w:w="6725" w:type="dxa"/>
            <w:tcBorders>
              <w:top w:val="single" w:color="auto" w:sz="4" w:space="0"/>
              <w:left w:val="single" w:color="auto" w:sz="4" w:space="0"/>
              <w:bottom w:val="single" w:color="auto" w:sz="4" w:space="0"/>
              <w:right w:val="single" w:color="auto" w:sz="4" w:space="0"/>
            </w:tcBorders>
            <w:vAlign w:val="center"/>
          </w:tcPr>
          <w:p w14:paraId="14C8040C">
            <w:pPr>
              <w:pStyle w:val="95"/>
              <w:pageBreakBefore w:val="0"/>
              <w:tabs>
                <w:tab w:val="left" w:pos="1337"/>
              </w:tabs>
              <w:kinsoku/>
              <w:wordWrap/>
              <w:overflowPunct/>
              <w:topLinePunct w:val="0"/>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u w:val="single"/>
              </w:rPr>
              <w:t xml:space="preserve">                       </w:t>
            </w:r>
          </w:p>
        </w:tc>
      </w:tr>
      <w:tr w14:paraId="28562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2394" w:type="dxa"/>
            <w:tcBorders>
              <w:top w:val="single" w:color="auto" w:sz="4" w:space="0"/>
              <w:left w:val="single" w:color="auto" w:sz="4" w:space="0"/>
              <w:bottom w:val="single" w:color="auto" w:sz="4" w:space="0"/>
              <w:right w:val="single" w:color="auto" w:sz="4" w:space="0"/>
            </w:tcBorders>
            <w:vAlign w:val="center"/>
          </w:tcPr>
          <w:p w14:paraId="3D882D66">
            <w:pPr>
              <w:pStyle w:val="68"/>
              <w:tabs>
                <w:tab w:val="left" w:pos="1337"/>
              </w:tabs>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付款方式</w:t>
            </w:r>
          </w:p>
        </w:tc>
        <w:tc>
          <w:tcPr>
            <w:tcW w:w="6725" w:type="dxa"/>
            <w:tcBorders>
              <w:top w:val="single" w:color="auto" w:sz="4" w:space="0"/>
              <w:left w:val="single" w:color="auto" w:sz="4" w:space="0"/>
              <w:bottom w:val="single" w:color="auto" w:sz="4" w:space="0"/>
              <w:right w:val="single" w:color="auto" w:sz="4" w:space="0"/>
            </w:tcBorders>
            <w:vAlign w:val="center"/>
          </w:tcPr>
          <w:p w14:paraId="2E8660B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u w:val="single"/>
              </w:rPr>
              <w:t xml:space="preserve">                       </w:t>
            </w:r>
          </w:p>
        </w:tc>
      </w:tr>
      <w:tr w14:paraId="243D7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9119" w:type="dxa"/>
            <w:gridSpan w:val="2"/>
            <w:tcBorders>
              <w:top w:val="single" w:color="auto" w:sz="4" w:space="0"/>
              <w:left w:val="single" w:color="auto" w:sz="4" w:space="0"/>
              <w:bottom w:val="single" w:color="auto" w:sz="4" w:space="0"/>
              <w:right w:val="single" w:color="auto" w:sz="4" w:space="0"/>
            </w:tcBorders>
            <w:vAlign w:val="center"/>
          </w:tcPr>
          <w:p w14:paraId="4F219BB4">
            <w:pPr>
              <w:pStyle w:val="68"/>
              <w:tabs>
                <w:tab w:val="left" w:pos="1337"/>
              </w:tabs>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备注：</w:t>
            </w:r>
          </w:p>
        </w:tc>
      </w:tr>
    </w:tbl>
    <w:p w14:paraId="2449FFF4">
      <w:pPr>
        <w:pStyle w:val="68"/>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63A32A28">
      <w:pPr>
        <w:pStyle w:val="68"/>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1、供应商严格按照规定的格式填写。投标报价为优惠后报价，并作为评审及定标的依据。</w:t>
      </w:r>
    </w:p>
    <w:p w14:paraId="71D24871">
      <w:pPr>
        <w:pStyle w:val="68"/>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2、任何有选择或有条件的投标报价或表中某一包填写多个报价，均将导致投标被拒绝。</w:t>
      </w:r>
    </w:p>
    <w:p w14:paraId="5C32C410">
      <w:pPr>
        <w:pStyle w:val="68"/>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3、报价一经涂改，应在涂改处加盖单位公章或者由法定代表人或授权委托人签字或盖章，否则其磋商作无效处理。</w:t>
      </w:r>
    </w:p>
    <w:p w14:paraId="147CCB16">
      <w:pPr>
        <w:pStyle w:val="68"/>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4、须附详细的报价明细表，报价明细表中总金额和报价表金额一致。</w:t>
      </w:r>
    </w:p>
    <w:p w14:paraId="21A4B36A">
      <w:pPr>
        <w:pStyle w:val="68"/>
        <w:spacing w:line="360" w:lineRule="auto"/>
        <w:ind w:firstLine="480" w:firstLineChars="200"/>
        <w:rPr>
          <w:rFonts w:hint="eastAsia" w:ascii="宋体" w:hAnsi="宋体" w:eastAsia="宋体" w:cs="宋体"/>
          <w:color w:val="auto"/>
          <w:sz w:val="24"/>
          <w:szCs w:val="24"/>
          <w:highlight w:val="none"/>
        </w:rPr>
      </w:pPr>
    </w:p>
    <w:p w14:paraId="0FB1BCD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供应商（盖单位章）：</w:t>
      </w:r>
    </w:p>
    <w:p w14:paraId="28ACCDC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法定代表人或其委托代理人（签字或电子签章）：</w:t>
      </w:r>
      <w:r>
        <w:rPr>
          <w:rFonts w:hint="eastAsia" w:ascii="宋体" w:hAnsi="宋体" w:eastAsia="宋体" w:cs="宋体"/>
          <w:color w:val="auto"/>
          <w:sz w:val="24"/>
          <w:szCs w:val="24"/>
          <w:highlight w:val="none"/>
          <w:u w:val="single"/>
        </w:rPr>
        <w:t xml:space="preserve">       </w:t>
      </w:r>
    </w:p>
    <w:p w14:paraId="4E9621E5">
      <w:pPr>
        <w:pStyle w:val="6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ADD03B9">
      <w:pPr>
        <w:pStyle w:val="69"/>
        <w:jc w:val="center"/>
        <w:rPr>
          <w:rFonts w:hint="eastAsia" w:ascii="宋体" w:hAnsi="宋体" w:eastAsia="宋体" w:cs="宋体"/>
          <w:color w:val="auto"/>
          <w:highlight w:val="none"/>
        </w:rPr>
        <w:sectPr>
          <w:pgSz w:w="11906" w:h="16838"/>
          <w:pgMar w:top="1440" w:right="1800" w:bottom="1440" w:left="1800" w:header="851" w:footer="992" w:gutter="0"/>
          <w:pgNumType w:fmt="decimal"/>
          <w:cols w:space="720" w:num="1"/>
        </w:sectPr>
      </w:pPr>
    </w:p>
    <w:p w14:paraId="2B5C9D05">
      <w:pPr>
        <w:pStyle w:val="69"/>
        <w:jc w:val="center"/>
        <w:rPr>
          <w:rFonts w:hint="eastAsia" w:ascii="宋体" w:hAnsi="宋体" w:eastAsia="宋体" w:cs="宋体"/>
          <w:color w:val="auto"/>
          <w:highlight w:val="none"/>
        </w:rPr>
      </w:pPr>
    </w:p>
    <w:p w14:paraId="199C14D8">
      <w:pPr>
        <w:pStyle w:val="96"/>
        <w:pageBreakBefore w:val="0"/>
        <w:kinsoku/>
        <w:wordWrap/>
        <w:overflowPunct/>
        <w:topLinePunct w:val="0"/>
        <w:bidi w:val="0"/>
        <w:spacing w:line="360" w:lineRule="auto"/>
        <w:ind w:left="0" w:leftChars="0" w:firstLine="0" w:firstLineChars="0"/>
        <w:jc w:val="center"/>
        <w:rPr>
          <w:rFonts w:hint="default" w:ascii="宋体" w:hAnsi="宋体" w:eastAsia="宋体" w:cs="宋体"/>
          <w:b/>
          <w:bCs/>
          <w:color w:val="auto"/>
          <w:sz w:val="40"/>
          <w:szCs w:val="36"/>
          <w:highlight w:val="none"/>
          <w:lang w:val="en-US" w:eastAsia="zh-CN"/>
        </w:rPr>
      </w:pPr>
      <w:r>
        <w:rPr>
          <w:rFonts w:hint="eastAsia" w:ascii="宋体" w:hAnsi="宋体" w:cs="宋体"/>
          <w:b/>
          <w:bCs/>
          <w:color w:val="auto"/>
          <w:sz w:val="40"/>
          <w:szCs w:val="36"/>
          <w:highlight w:val="none"/>
          <w:lang w:val="en-US" w:eastAsia="zh-CN"/>
        </w:rPr>
        <w:t>明细报价表</w:t>
      </w:r>
    </w:p>
    <w:p w14:paraId="49105D8F">
      <w:pPr>
        <w:pStyle w:val="96"/>
        <w:pageBreakBefore w:val="0"/>
        <w:kinsoku/>
        <w:wordWrap/>
        <w:overflowPunct/>
        <w:topLinePunct w:val="0"/>
        <w:bidi w:val="0"/>
        <w:spacing w:line="36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价格单位：元</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7EE6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6EF77CE3">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序号</w:t>
            </w:r>
          </w:p>
        </w:tc>
        <w:tc>
          <w:tcPr>
            <w:tcW w:w="1420" w:type="dxa"/>
            <w:vAlign w:val="center"/>
          </w:tcPr>
          <w:p w14:paraId="70A4BEE0">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名称</w:t>
            </w:r>
          </w:p>
        </w:tc>
        <w:tc>
          <w:tcPr>
            <w:tcW w:w="1420" w:type="dxa"/>
            <w:vAlign w:val="center"/>
          </w:tcPr>
          <w:p w14:paraId="28351588">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计量单位</w:t>
            </w:r>
          </w:p>
        </w:tc>
        <w:tc>
          <w:tcPr>
            <w:tcW w:w="1420" w:type="dxa"/>
            <w:vAlign w:val="center"/>
          </w:tcPr>
          <w:p w14:paraId="230DDB58">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数量</w:t>
            </w:r>
          </w:p>
        </w:tc>
        <w:tc>
          <w:tcPr>
            <w:tcW w:w="1421" w:type="dxa"/>
            <w:vAlign w:val="center"/>
          </w:tcPr>
          <w:p w14:paraId="764D7CD7">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综合单价</w:t>
            </w:r>
          </w:p>
        </w:tc>
        <w:tc>
          <w:tcPr>
            <w:tcW w:w="1421" w:type="dxa"/>
            <w:vAlign w:val="center"/>
          </w:tcPr>
          <w:p w14:paraId="08CAE9CE">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总价</w:t>
            </w:r>
          </w:p>
        </w:tc>
      </w:tr>
      <w:tr w14:paraId="2F9F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590D189B">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w:t>
            </w:r>
          </w:p>
        </w:tc>
        <w:tc>
          <w:tcPr>
            <w:tcW w:w="1420" w:type="dxa"/>
            <w:vAlign w:val="center"/>
          </w:tcPr>
          <w:p w14:paraId="53589A66">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0" w:type="dxa"/>
            <w:vAlign w:val="center"/>
          </w:tcPr>
          <w:p w14:paraId="18467AEC">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0" w:type="dxa"/>
            <w:vAlign w:val="center"/>
          </w:tcPr>
          <w:p w14:paraId="305D8D09">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1" w:type="dxa"/>
            <w:vAlign w:val="center"/>
          </w:tcPr>
          <w:p w14:paraId="22C9B88C">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1" w:type="dxa"/>
            <w:vAlign w:val="center"/>
          </w:tcPr>
          <w:p w14:paraId="12DB58FD">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r>
      <w:tr w14:paraId="7749B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0A1C5EDB">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2</w:t>
            </w:r>
          </w:p>
        </w:tc>
        <w:tc>
          <w:tcPr>
            <w:tcW w:w="1420" w:type="dxa"/>
            <w:vAlign w:val="center"/>
          </w:tcPr>
          <w:p w14:paraId="00098B3E">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0" w:type="dxa"/>
            <w:vAlign w:val="center"/>
          </w:tcPr>
          <w:p w14:paraId="4D801DB3">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0" w:type="dxa"/>
            <w:vAlign w:val="center"/>
          </w:tcPr>
          <w:p w14:paraId="78C48A44">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1" w:type="dxa"/>
            <w:vAlign w:val="center"/>
          </w:tcPr>
          <w:p w14:paraId="1A7516C2">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1" w:type="dxa"/>
            <w:vAlign w:val="center"/>
          </w:tcPr>
          <w:p w14:paraId="0E90D59A">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r>
      <w:tr w14:paraId="0BF2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2794F5B0">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3</w:t>
            </w:r>
          </w:p>
        </w:tc>
        <w:tc>
          <w:tcPr>
            <w:tcW w:w="1420" w:type="dxa"/>
            <w:vAlign w:val="center"/>
          </w:tcPr>
          <w:p w14:paraId="0DFE0C42">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0" w:type="dxa"/>
            <w:vAlign w:val="center"/>
          </w:tcPr>
          <w:p w14:paraId="429EBDA3">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0" w:type="dxa"/>
            <w:vAlign w:val="center"/>
          </w:tcPr>
          <w:p w14:paraId="348199EB">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1" w:type="dxa"/>
            <w:vAlign w:val="center"/>
          </w:tcPr>
          <w:p w14:paraId="64E4F21B">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1" w:type="dxa"/>
            <w:vAlign w:val="center"/>
          </w:tcPr>
          <w:p w14:paraId="79096479">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r>
      <w:tr w14:paraId="51E7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55D13889">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4</w:t>
            </w:r>
          </w:p>
        </w:tc>
        <w:tc>
          <w:tcPr>
            <w:tcW w:w="1420" w:type="dxa"/>
            <w:vAlign w:val="center"/>
          </w:tcPr>
          <w:p w14:paraId="3366300A">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0" w:type="dxa"/>
            <w:vAlign w:val="center"/>
          </w:tcPr>
          <w:p w14:paraId="7D7B3FB6">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0" w:type="dxa"/>
            <w:vAlign w:val="center"/>
          </w:tcPr>
          <w:p w14:paraId="14A2E0A3">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1" w:type="dxa"/>
            <w:vAlign w:val="center"/>
          </w:tcPr>
          <w:p w14:paraId="5E76F3C0">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1" w:type="dxa"/>
            <w:vAlign w:val="center"/>
          </w:tcPr>
          <w:p w14:paraId="1FBECA22">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r>
      <w:tr w14:paraId="120F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4A027C36">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w:t>
            </w:r>
          </w:p>
        </w:tc>
        <w:tc>
          <w:tcPr>
            <w:tcW w:w="1420" w:type="dxa"/>
            <w:vAlign w:val="center"/>
          </w:tcPr>
          <w:p w14:paraId="0E01CDA5">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0" w:type="dxa"/>
            <w:vAlign w:val="center"/>
          </w:tcPr>
          <w:p w14:paraId="316BF21E">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0" w:type="dxa"/>
            <w:vAlign w:val="center"/>
          </w:tcPr>
          <w:p w14:paraId="0C7AF0B4">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1" w:type="dxa"/>
            <w:vAlign w:val="center"/>
          </w:tcPr>
          <w:p w14:paraId="16218889">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1" w:type="dxa"/>
            <w:vAlign w:val="center"/>
          </w:tcPr>
          <w:p w14:paraId="33A2DAFB">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r>
      <w:tr w14:paraId="3276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vAlign w:val="center"/>
          </w:tcPr>
          <w:p w14:paraId="2ABBB4EC">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r>
              <w:rPr>
                <w:rFonts w:hint="eastAsia" w:ascii="宋体" w:hAnsi="宋体" w:cs="宋体"/>
                <w:color w:val="auto"/>
                <w:sz w:val="24"/>
                <w:highlight w:val="none"/>
                <w:vertAlign w:val="baseline"/>
                <w:lang w:val="en-US" w:eastAsia="zh-CN"/>
              </w:rPr>
              <w:t>合计金额（小写）</w:t>
            </w:r>
          </w:p>
        </w:tc>
        <w:tc>
          <w:tcPr>
            <w:tcW w:w="5682" w:type="dxa"/>
            <w:gridSpan w:val="4"/>
            <w:vAlign w:val="center"/>
          </w:tcPr>
          <w:p w14:paraId="7963061A">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r>
      <w:tr w14:paraId="2138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vAlign w:val="center"/>
          </w:tcPr>
          <w:p w14:paraId="5DED4F1C">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r>
              <w:rPr>
                <w:rFonts w:hint="eastAsia" w:ascii="宋体" w:hAnsi="宋体" w:cs="宋体"/>
                <w:color w:val="auto"/>
                <w:sz w:val="24"/>
                <w:highlight w:val="none"/>
                <w:vertAlign w:val="baseline"/>
                <w:lang w:val="en-US" w:eastAsia="zh-CN"/>
              </w:rPr>
              <w:t>合计金额（大写）</w:t>
            </w:r>
          </w:p>
        </w:tc>
        <w:tc>
          <w:tcPr>
            <w:tcW w:w="5682" w:type="dxa"/>
            <w:gridSpan w:val="4"/>
            <w:vAlign w:val="center"/>
          </w:tcPr>
          <w:p w14:paraId="69A146C9">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r>
      <w:tr w14:paraId="0684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vAlign w:val="center"/>
          </w:tcPr>
          <w:p w14:paraId="088599C8">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r>
              <w:rPr>
                <w:rFonts w:hint="eastAsia" w:ascii="宋体" w:hAnsi="宋体" w:cs="宋体"/>
                <w:color w:val="auto"/>
                <w:sz w:val="24"/>
                <w:highlight w:val="none"/>
                <w:vertAlign w:val="baseline"/>
                <w:lang w:val="en-US" w:eastAsia="zh-CN"/>
              </w:rPr>
              <w:t>服务期限</w:t>
            </w:r>
          </w:p>
        </w:tc>
        <w:tc>
          <w:tcPr>
            <w:tcW w:w="5682" w:type="dxa"/>
            <w:gridSpan w:val="4"/>
            <w:vAlign w:val="center"/>
          </w:tcPr>
          <w:p w14:paraId="5D3DB497">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r>
    </w:tbl>
    <w:p w14:paraId="13C0ED8E">
      <w:pPr>
        <w:pStyle w:val="80"/>
        <w:pageBreakBefore w:val="0"/>
        <w:kinsoku/>
        <w:wordWrap/>
        <w:overflowPunct/>
        <w:topLinePunct w:val="0"/>
        <w:bidi w:val="0"/>
        <w:spacing w:line="360" w:lineRule="auto"/>
        <w:rPr>
          <w:rFonts w:hint="eastAsia" w:ascii="宋体" w:hAnsi="宋体" w:eastAsia="宋体" w:cs="宋体"/>
          <w:color w:val="auto"/>
          <w:sz w:val="24"/>
          <w:highlight w:val="none"/>
        </w:rPr>
      </w:pPr>
    </w:p>
    <w:p w14:paraId="228953F5">
      <w:pPr>
        <w:pStyle w:val="80"/>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r>
        <w:rPr>
          <w:rFonts w:hint="eastAsia" w:ascii="宋体" w:hAnsi="宋体" w:eastAsia="宋体" w:cs="宋体"/>
          <w:bCs/>
          <w:color w:val="auto"/>
          <w:sz w:val="24"/>
          <w:highlight w:val="none"/>
        </w:rPr>
        <w:t>投标人必须填写报价明细表，否则将导致投标被拒绝。</w:t>
      </w:r>
    </w:p>
    <w:p w14:paraId="08924B86">
      <w:pPr>
        <w:pStyle w:val="53"/>
        <w:pageBreakBefore w:val="0"/>
        <w:kinsoku/>
        <w:wordWrap/>
        <w:overflowPunct/>
        <w:topLinePunct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投标人法定代表人（</w:t>
      </w:r>
      <w:r>
        <w:rPr>
          <w:rFonts w:hint="eastAsia" w:ascii="宋体" w:hAnsi="宋体" w:eastAsia="宋体" w:cs="宋体"/>
          <w:color w:val="auto"/>
          <w:sz w:val="24"/>
          <w:szCs w:val="24"/>
          <w:highlight w:val="none"/>
          <w:lang w:eastAsia="zh-CN"/>
        </w:rPr>
        <w:t>签名或签章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140F43AC">
      <w:pPr>
        <w:pStyle w:val="53"/>
        <w:pageBreakBefore w:val="0"/>
        <w:kinsoku/>
        <w:wordWrap/>
        <w:overflowPunct/>
        <w:topLinePunct w:val="0"/>
        <w:bidi w:val="0"/>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投标人名称（盖章）：</w:t>
      </w:r>
      <w:r>
        <w:rPr>
          <w:rFonts w:hint="eastAsia" w:ascii="宋体" w:hAnsi="宋体" w:eastAsia="宋体" w:cs="宋体"/>
          <w:color w:val="auto"/>
          <w:sz w:val="24"/>
          <w:szCs w:val="24"/>
          <w:highlight w:val="none"/>
          <w:u w:val="single"/>
        </w:rPr>
        <w:t xml:space="preserve">                       </w:t>
      </w:r>
    </w:p>
    <w:p w14:paraId="5DA7A7A4">
      <w:pPr>
        <w:pStyle w:val="97"/>
        <w:pageBreakBefore w:val="0"/>
        <w:kinsoku/>
        <w:wordWrap/>
        <w:overflowPunct/>
        <w:topLinePunct w:val="0"/>
        <w:bidi w:val="0"/>
        <w:spacing w:line="360" w:lineRule="auto"/>
        <w:ind w:left="0" w:leftChars="0" w:firstLine="720" w:firstLineChars="300"/>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7BE1B29">
      <w:pPr>
        <w:pStyle w:val="97"/>
        <w:pageBreakBefore w:val="0"/>
        <w:kinsoku/>
        <w:wordWrap/>
        <w:overflowPunct/>
        <w:topLinePunct w:val="0"/>
        <w:bidi w:val="0"/>
        <w:spacing w:line="360" w:lineRule="auto"/>
        <w:ind w:left="0" w:leftChars="0" w:firstLine="720" w:firstLineChars="300"/>
        <w:rPr>
          <w:rFonts w:hint="eastAsia" w:ascii="宋体" w:hAnsi="宋体" w:eastAsia="宋体" w:cs="宋体"/>
          <w:color w:val="auto"/>
          <w:highlight w:val="none"/>
        </w:rPr>
      </w:pPr>
    </w:p>
    <w:p w14:paraId="5102A261">
      <w:pPr>
        <w:pStyle w:val="13"/>
        <w:adjustRightInd w:val="0"/>
        <w:snapToGrid w:val="0"/>
        <w:ind w:firstLine="24" w:firstLineChars="1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 </w:t>
      </w:r>
    </w:p>
    <w:p w14:paraId="783B920E">
      <w:pPr>
        <w:pStyle w:val="13"/>
        <w:adjustRightInd w:val="0"/>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.如果按单价计算的结果与总价不一致,以单价为准修正总价。</w:t>
      </w:r>
    </w:p>
    <w:p w14:paraId="44408552">
      <w:pPr>
        <w:pStyle w:val="13"/>
        <w:adjustRightInd w:val="0"/>
        <w:snapToGrid w:val="0"/>
        <w:ind w:firstLine="501" w:firstLineChars="20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.如果不提供详细分项报价将视为没有实质性响应招标文件。</w:t>
      </w:r>
    </w:p>
    <w:p w14:paraId="2E5C9602">
      <w:pPr>
        <w:pStyle w:val="13"/>
        <w:adjustRightInd w:val="0"/>
        <w:snapToGrid w:val="0"/>
        <w:ind w:firstLine="24" w:firstLineChars="1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3</w:t>
      </w:r>
      <w:r>
        <w:rPr>
          <w:rFonts w:hint="eastAsia" w:ascii="宋体" w:hAnsi="宋体" w:eastAsia="宋体" w:cs="宋体"/>
          <w:color w:val="auto"/>
          <w:sz w:val="24"/>
          <w:highlight w:val="none"/>
        </w:rPr>
        <w:t>.上述各项的详细分项报价，应另页描述。</w:t>
      </w:r>
    </w:p>
    <w:p w14:paraId="31D26E11">
      <w:pPr>
        <w:pStyle w:val="13"/>
        <w:adjustRightInd w:val="0"/>
        <w:snapToGrid w:val="0"/>
        <w:ind w:firstLine="501" w:firstLineChars="209"/>
        <w:rPr>
          <w:rFonts w:hint="eastAsia" w:ascii="宋体" w:hAnsi="宋体" w:eastAsia="宋体" w:cs="宋体"/>
          <w:color w:val="auto"/>
          <w:highlight w:val="none"/>
        </w:rPr>
        <w:sectPr>
          <w:pgSz w:w="11906" w:h="16838"/>
          <w:pgMar w:top="1440" w:right="1800" w:bottom="1440" w:left="1800" w:header="851" w:footer="992" w:gutter="0"/>
          <w:pgNumType w:fmt="decimal"/>
          <w:cols w:space="720" w:num="1"/>
        </w:sect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.如果开标一览表（报价表）内容与投标文件中明细表内容不一致的，以开标一览表（报价表）内容为准。</w:t>
      </w:r>
    </w:p>
    <w:p w14:paraId="0265495E">
      <w:pPr>
        <w:pStyle w:val="64"/>
        <w:outlineLvl w:val="2"/>
        <w:rPr>
          <w:rFonts w:hint="eastAsia" w:ascii="宋体" w:hAnsi="宋体" w:eastAsia="宋体" w:cs="宋体"/>
          <w:color w:val="auto"/>
          <w:highlight w:val="none"/>
        </w:rPr>
      </w:pPr>
      <w:bookmarkStart w:id="199" w:name="_Toc256000072"/>
      <w:bookmarkStart w:id="200" w:name="_Toc11629"/>
      <w:bookmarkStart w:id="201" w:name="_Toc5884"/>
      <w:r>
        <w:rPr>
          <w:rFonts w:hint="eastAsia" w:ascii="宋体" w:hAnsi="宋体" w:eastAsia="宋体" w:cs="宋体"/>
          <w:color w:val="auto"/>
          <w:highlight w:val="none"/>
        </w:rPr>
        <w:t>（三）</w:t>
      </w:r>
      <w:bookmarkEnd w:id="199"/>
      <w:bookmarkStart w:id="202" w:name="_Toc256000073"/>
      <w:r>
        <w:rPr>
          <w:rFonts w:hint="eastAsia" w:ascii="宋体" w:hAnsi="宋体" w:eastAsia="宋体" w:cs="宋体"/>
          <w:color w:val="auto"/>
          <w:highlight w:val="none"/>
        </w:rPr>
        <w:t>合同、商务条款偏离说明表</w:t>
      </w:r>
      <w:bookmarkEnd w:id="200"/>
      <w:bookmarkEnd w:id="201"/>
      <w:bookmarkEnd w:id="202"/>
    </w:p>
    <w:p w14:paraId="057EC931">
      <w:pPr>
        <w:pStyle w:val="73"/>
        <w:adjustRightInd w:val="0"/>
        <w:snapToGrid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合同、商务响应偏离说明表</w:t>
      </w:r>
    </w:p>
    <w:p w14:paraId="7BA54D0A">
      <w:pPr>
        <w:pStyle w:val="73"/>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FC48080">
      <w:pPr>
        <w:pStyle w:val="73"/>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712"/>
        <w:gridCol w:w="2589"/>
        <w:gridCol w:w="2702"/>
      </w:tblGrid>
      <w:tr w14:paraId="6A8B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25" w:type="dxa"/>
            <w:tcBorders>
              <w:top w:val="single" w:color="auto" w:sz="4" w:space="0"/>
              <w:left w:val="single" w:color="auto" w:sz="4" w:space="0"/>
              <w:bottom w:val="single" w:color="auto" w:sz="4" w:space="0"/>
              <w:right w:val="single" w:color="auto" w:sz="4" w:space="0"/>
            </w:tcBorders>
            <w:vAlign w:val="center"/>
          </w:tcPr>
          <w:p w14:paraId="627BF73C">
            <w:pPr>
              <w:pStyle w:val="73"/>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32749FEC">
            <w:pPr>
              <w:pStyle w:val="73"/>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磋商文件要求部分</w:t>
            </w:r>
          </w:p>
        </w:tc>
        <w:tc>
          <w:tcPr>
            <w:tcW w:w="2589" w:type="dxa"/>
            <w:tcBorders>
              <w:top w:val="single" w:color="auto" w:sz="4" w:space="0"/>
              <w:left w:val="single" w:color="auto" w:sz="4" w:space="0"/>
              <w:bottom w:val="single" w:color="auto" w:sz="4" w:space="0"/>
              <w:right w:val="single" w:color="auto" w:sz="4" w:space="0"/>
            </w:tcBorders>
            <w:vAlign w:val="center"/>
          </w:tcPr>
          <w:p w14:paraId="24E11737">
            <w:pPr>
              <w:pStyle w:val="73"/>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投标服务</w:t>
            </w:r>
          </w:p>
          <w:p w14:paraId="366F830C">
            <w:pPr>
              <w:pStyle w:val="73"/>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响应部分</w:t>
            </w:r>
          </w:p>
        </w:tc>
        <w:tc>
          <w:tcPr>
            <w:tcW w:w="2702" w:type="dxa"/>
            <w:tcBorders>
              <w:top w:val="single" w:color="auto" w:sz="4" w:space="0"/>
              <w:left w:val="single" w:color="auto" w:sz="4" w:space="0"/>
              <w:bottom w:val="single" w:color="auto" w:sz="4" w:space="0"/>
              <w:right w:val="single" w:color="auto" w:sz="4" w:space="0"/>
            </w:tcBorders>
            <w:vAlign w:val="center"/>
          </w:tcPr>
          <w:p w14:paraId="6F7FA271">
            <w:pPr>
              <w:pStyle w:val="73"/>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0D2F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25DAE00F">
            <w:pPr>
              <w:pStyle w:val="73"/>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7805A6C2">
            <w:pPr>
              <w:pStyle w:val="73"/>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3D3AF26B">
            <w:pPr>
              <w:pStyle w:val="73"/>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1F1C302B">
            <w:pPr>
              <w:pStyle w:val="73"/>
              <w:spacing w:line="500" w:lineRule="exact"/>
              <w:rPr>
                <w:rFonts w:hint="eastAsia" w:ascii="宋体" w:hAnsi="宋体" w:eastAsia="宋体" w:cs="宋体"/>
                <w:color w:val="auto"/>
                <w:sz w:val="24"/>
                <w:szCs w:val="24"/>
                <w:highlight w:val="none"/>
              </w:rPr>
            </w:pPr>
          </w:p>
        </w:tc>
      </w:tr>
      <w:tr w14:paraId="421A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73F73484">
            <w:pPr>
              <w:pStyle w:val="73"/>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712" w:type="dxa"/>
            <w:tcBorders>
              <w:top w:val="single" w:color="auto" w:sz="4" w:space="0"/>
              <w:left w:val="single" w:color="auto" w:sz="4" w:space="0"/>
              <w:bottom w:val="single" w:color="auto" w:sz="4" w:space="0"/>
              <w:right w:val="single" w:color="auto" w:sz="4" w:space="0"/>
            </w:tcBorders>
            <w:vAlign w:val="center"/>
          </w:tcPr>
          <w:p w14:paraId="6CCA5A00">
            <w:pPr>
              <w:pStyle w:val="73"/>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53BB9990">
            <w:pPr>
              <w:pStyle w:val="73"/>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59FAAAB9">
            <w:pPr>
              <w:pStyle w:val="73"/>
              <w:spacing w:line="500" w:lineRule="exact"/>
              <w:rPr>
                <w:rFonts w:hint="eastAsia" w:ascii="宋体" w:hAnsi="宋体" w:eastAsia="宋体" w:cs="宋体"/>
                <w:color w:val="auto"/>
                <w:sz w:val="24"/>
                <w:szCs w:val="24"/>
                <w:highlight w:val="none"/>
              </w:rPr>
            </w:pPr>
          </w:p>
        </w:tc>
      </w:tr>
      <w:tr w14:paraId="76C4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3643BBCF">
            <w:pPr>
              <w:pStyle w:val="73"/>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712" w:type="dxa"/>
            <w:tcBorders>
              <w:top w:val="single" w:color="auto" w:sz="4" w:space="0"/>
              <w:left w:val="single" w:color="auto" w:sz="4" w:space="0"/>
              <w:bottom w:val="single" w:color="auto" w:sz="4" w:space="0"/>
              <w:right w:val="single" w:color="auto" w:sz="4" w:space="0"/>
            </w:tcBorders>
            <w:vAlign w:val="center"/>
          </w:tcPr>
          <w:p w14:paraId="6F1661C0">
            <w:pPr>
              <w:pStyle w:val="73"/>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014E6F60">
            <w:pPr>
              <w:pStyle w:val="73"/>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5529373A">
            <w:pPr>
              <w:pStyle w:val="73"/>
              <w:spacing w:line="500" w:lineRule="exact"/>
              <w:rPr>
                <w:rFonts w:hint="eastAsia" w:ascii="宋体" w:hAnsi="宋体" w:eastAsia="宋体" w:cs="宋体"/>
                <w:color w:val="auto"/>
                <w:sz w:val="24"/>
                <w:szCs w:val="24"/>
                <w:highlight w:val="none"/>
              </w:rPr>
            </w:pPr>
          </w:p>
        </w:tc>
      </w:tr>
      <w:tr w14:paraId="6FCE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25F6F096">
            <w:pPr>
              <w:pStyle w:val="73"/>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712" w:type="dxa"/>
            <w:tcBorders>
              <w:top w:val="single" w:color="auto" w:sz="4" w:space="0"/>
              <w:left w:val="single" w:color="auto" w:sz="4" w:space="0"/>
              <w:bottom w:val="single" w:color="auto" w:sz="4" w:space="0"/>
              <w:right w:val="single" w:color="auto" w:sz="4" w:space="0"/>
            </w:tcBorders>
            <w:vAlign w:val="center"/>
          </w:tcPr>
          <w:p w14:paraId="2CF18FE1">
            <w:pPr>
              <w:pStyle w:val="73"/>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72250868">
            <w:pPr>
              <w:pStyle w:val="73"/>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1692B781">
            <w:pPr>
              <w:pStyle w:val="73"/>
              <w:spacing w:line="500" w:lineRule="exact"/>
              <w:rPr>
                <w:rFonts w:hint="eastAsia" w:ascii="宋体" w:hAnsi="宋体" w:eastAsia="宋体" w:cs="宋体"/>
                <w:color w:val="auto"/>
                <w:sz w:val="24"/>
                <w:szCs w:val="24"/>
                <w:highlight w:val="none"/>
              </w:rPr>
            </w:pPr>
          </w:p>
        </w:tc>
      </w:tr>
      <w:tr w14:paraId="181F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1C209249">
            <w:pPr>
              <w:pStyle w:val="73"/>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712" w:type="dxa"/>
            <w:tcBorders>
              <w:top w:val="single" w:color="auto" w:sz="4" w:space="0"/>
              <w:left w:val="single" w:color="auto" w:sz="4" w:space="0"/>
              <w:bottom w:val="single" w:color="auto" w:sz="4" w:space="0"/>
              <w:right w:val="single" w:color="auto" w:sz="4" w:space="0"/>
            </w:tcBorders>
            <w:vAlign w:val="center"/>
          </w:tcPr>
          <w:p w14:paraId="1CE2B78E">
            <w:pPr>
              <w:pStyle w:val="73"/>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44F6190A">
            <w:pPr>
              <w:pStyle w:val="73"/>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7449247D">
            <w:pPr>
              <w:pStyle w:val="73"/>
              <w:spacing w:line="500" w:lineRule="exact"/>
              <w:rPr>
                <w:rFonts w:hint="eastAsia" w:ascii="宋体" w:hAnsi="宋体" w:eastAsia="宋体" w:cs="宋体"/>
                <w:color w:val="auto"/>
                <w:sz w:val="24"/>
                <w:szCs w:val="24"/>
                <w:highlight w:val="none"/>
              </w:rPr>
            </w:pPr>
          </w:p>
        </w:tc>
      </w:tr>
      <w:tr w14:paraId="268D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791918AB">
            <w:pPr>
              <w:pStyle w:val="73"/>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712" w:type="dxa"/>
            <w:tcBorders>
              <w:top w:val="single" w:color="auto" w:sz="4" w:space="0"/>
              <w:left w:val="single" w:color="auto" w:sz="4" w:space="0"/>
              <w:bottom w:val="single" w:color="auto" w:sz="4" w:space="0"/>
              <w:right w:val="single" w:color="auto" w:sz="4" w:space="0"/>
            </w:tcBorders>
            <w:vAlign w:val="center"/>
          </w:tcPr>
          <w:p w14:paraId="568E9D8E">
            <w:pPr>
              <w:pStyle w:val="73"/>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08A939F7">
            <w:pPr>
              <w:pStyle w:val="73"/>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66F9E43E">
            <w:pPr>
              <w:pStyle w:val="73"/>
              <w:spacing w:line="500" w:lineRule="exact"/>
              <w:rPr>
                <w:rFonts w:hint="eastAsia" w:ascii="宋体" w:hAnsi="宋体" w:eastAsia="宋体" w:cs="宋体"/>
                <w:color w:val="auto"/>
                <w:sz w:val="24"/>
                <w:szCs w:val="24"/>
                <w:highlight w:val="none"/>
              </w:rPr>
            </w:pPr>
          </w:p>
        </w:tc>
      </w:tr>
      <w:tr w14:paraId="50B1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32E505AF">
            <w:pPr>
              <w:pStyle w:val="73"/>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712" w:type="dxa"/>
            <w:tcBorders>
              <w:top w:val="single" w:color="auto" w:sz="4" w:space="0"/>
              <w:left w:val="single" w:color="auto" w:sz="4" w:space="0"/>
              <w:bottom w:val="single" w:color="auto" w:sz="4" w:space="0"/>
              <w:right w:val="single" w:color="auto" w:sz="4" w:space="0"/>
            </w:tcBorders>
            <w:vAlign w:val="center"/>
          </w:tcPr>
          <w:p w14:paraId="27046CFB">
            <w:pPr>
              <w:pStyle w:val="73"/>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649FF381">
            <w:pPr>
              <w:pStyle w:val="73"/>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754E2931">
            <w:pPr>
              <w:pStyle w:val="73"/>
              <w:spacing w:line="500" w:lineRule="exact"/>
              <w:rPr>
                <w:rFonts w:hint="eastAsia" w:ascii="宋体" w:hAnsi="宋体" w:eastAsia="宋体" w:cs="宋体"/>
                <w:color w:val="auto"/>
                <w:sz w:val="24"/>
                <w:szCs w:val="24"/>
                <w:highlight w:val="none"/>
              </w:rPr>
            </w:pPr>
          </w:p>
        </w:tc>
      </w:tr>
      <w:tr w14:paraId="351C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18583A9C">
            <w:pPr>
              <w:pStyle w:val="73"/>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712" w:type="dxa"/>
            <w:tcBorders>
              <w:top w:val="single" w:color="auto" w:sz="4" w:space="0"/>
              <w:left w:val="single" w:color="auto" w:sz="4" w:space="0"/>
              <w:bottom w:val="single" w:color="auto" w:sz="4" w:space="0"/>
              <w:right w:val="single" w:color="auto" w:sz="4" w:space="0"/>
            </w:tcBorders>
            <w:vAlign w:val="center"/>
          </w:tcPr>
          <w:p w14:paraId="09A155DA">
            <w:pPr>
              <w:pStyle w:val="73"/>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5CA62489">
            <w:pPr>
              <w:pStyle w:val="73"/>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7771402A">
            <w:pPr>
              <w:pStyle w:val="73"/>
              <w:spacing w:line="500" w:lineRule="exact"/>
              <w:rPr>
                <w:rFonts w:hint="eastAsia" w:ascii="宋体" w:hAnsi="宋体" w:eastAsia="宋体" w:cs="宋体"/>
                <w:color w:val="auto"/>
                <w:sz w:val="24"/>
                <w:szCs w:val="24"/>
                <w:highlight w:val="none"/>
              </w:rPr>
            </w:pPr>
          </w:p>
        </w:tc>
      </w:tr>
      <w:tr w14:paraId="0110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387816C6">
            <w:pPr>
              <w:pStyle w:val="73"/>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712" w:type="dxa"/>
            <w:tcBorders>
              <w:top w:val="single" w:color="auto" w:sz="4" w:space="0"/>
              <w:left w:val="single" w:color="auto" w:sz="4" w:space="0"/>
              <w:bottom w:val="single" w:color="auto" w:sz="4" w:space="0"/>
              <w:right w:val="single" w:color="auto" w:sz="4" w:space="0"/>
            </w:tcBorders>
            <w:vAlign w:val="center"/>
          </w:tcPr>
          <w:p w14:paraId="54EECE05">
            <w:pPr>
              <w:pStyle w:val="73"/>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0553725D">
            <w:pPr>
              <w:pStyle w:val="73"/>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77F3ABC6">
            <w:pPr>
              <w:pStyle w:val="73"/>
              <w:spacing w:line="500" w:lineRule="exact"/>
              <w:rPr>
                <w:rFonts w:hint="eastAsia" w:ascii="宋体" w:hAnsi="宋体" w:eastAsia="宋体" w:cs="宋体"/>
                <w:color w:val="auto"/>
                <w:sz w:val="24"/>
                <w:szCs w:val="24"/>
                <w:highlight w:val="none"/>
              </w:rPr>
            </w:pPr>
          </w:p>
        </w:tc>
      </w:tr>
      <w:tr w14:paraId="6E80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1DE9C6A6">
            <w:pPr>
              <w:pStyle w:val="73"/>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712" w:type="dxa"/>
            <w:tcBorders>
              <w:top w:val="single" w:color="auto" w:sz="4" w:space="0"/>
              <w:left w:val="single" w:color="auto" w:sz="4" w:space="0"/>
              <w:bottom w:val="single" w:color="auto" w:sz="4" w:space="0"/>
              <w:right w:val="single" w:color="auto" w:sz="4" w:space="0"/>
            </w:tcBorders>
            <w:vAlign w:val="center"/>
          </w:tcPr>
          <w:p w14:paraId="1CF19FB8">
            <w:pPr>
              <w:pStyle w:val="73"/>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17B054AB">
            <w:pPr>
              <w:pStyle w:val="73"/>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3A422794">
            <w:pPr>
              <w:pStyle w:val="73"/>
              <w:spacing w:line="500" w:lineRule="exact"/>
              <w:rPr>
                <w:rFonts w:hint="eastAsia" w:ascii="宋体" w:hAnsi="宋体" w:eastAsia="宋体" w:cs="宋体"/>
                <w:color w:val="auto"/>
                <w:sz w:val="24"/>
                <w:szCs w:val="24"/>
                <w:highlight w:val="none"/>
              </w:rPr>
            </w:pPr>
          </w:p>
        </w:tc>
      </w:tr>
    </w:tbl>
    <w:p w14:paraId="40FDA7B2">
      <w:pPr>
        <w:pStyle w:val="73"/>
        <w:adjustRightInd w:val="0"/>
        <w:snapToGrid w:val="0"/>
        <w:spacing w:line="500" w:lineRule="exact"/>
        <w:rPr>
          <w:rFonts w:hint="eastAsia" w:ascii="宋体" w:hAnsi="宋体" w:eastAsia="宋体" w:cs="宋体"/>
          <w:color w:val="auto"/>
          <w:sz w:val="24"/>
          <w:szCs w:val="24"/>
          <w:highlight w:val="none"/>
        </w:rPr>
      </w:pPr>
    </w:p>
    <w:p w14:paraId="175003A2">
      <w:pPr>
        <w:pStyle w:val="73"/>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法定代表人（单位负责人）或其委托代理人（签字或电子签章）：</w:t>
      </w:r>
      <w:r>
        <w:rPr>
          <w:rFonts w:hint="eastAsia" w:ascii="宋体" w:hAnsi="宋体" w:eastAsia="宋体" w:cs="宋体"/>
          <w:color w:val="auto"/>
          <w:sz w:val="24"/>
          <w:szCs w:val="24"/>
          <w:highlight w:val="none"/>
          <w:u w:val="single"/>
        </w:rPr>
        <w:t xml:space="preserve">                  </w:t>
      </w:r>
    </w:p>
    <w:p w14:paraId="030A3C51">
      <w:pPr>
        <w:pStyle w:val="73"/>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供应商名称（签章）：</w:t>
      </w:r>
      <w:r>
        <w:rPr>
          <w:rFonts w:hint="eastAsia" w:ascii="宋体" w:hAnsi="宋体" w:eastAsia="宋体" w:cs="宋体"/>
          <w:color w:val="auto"/>
          <w:sz w:val="24"/>
          <w:szCs w:val="24"/>
          <w:highlight w:val="none"/>
          <w:u w:val="single"/>
        </w:rPr>
        <w:t xml:space="preserve">                       </w:t>
      </w:r>
    </w:p>
    <w:p w14:paraId="4F9FB65A">
      <w:pPr>
        <w:pStyle w:val="73"/>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14:paraId="16DCB43B">
      <w:pPr>
        <w:pStyle w:val="74"/>
        <w:spacing w:after="0" w:line="360" w:lineRule="auto"/>
        <w:rPr>
          <w:rFonts w:hint="eastAsia" w:ascii="宋体" w:hAnsi="宋体" w:eastAsia="宋体" w:cs="宋体"/>
          <w:color w:val="auto"/>
          <w:sz w:val="24"/>
          <w:highlight w:val="none"/>
        </w:rPr>
      </w:pPr>
    </w:p>
    <w:p w14:paraId="19912AA1">
      <w:pPr>
        <w:pStyle w:val="74"/>
        <w:spacing w:after="0" w:line="360" w:lineRule="auto"/>
        <w:rPr>
          <w:rFonts w:hint="eastAsia" w:ascii="宋体" w:hAnsi="宋体" w:eastAsia="宋体" w:cs="宋体"/>
          <w:color w:val="auto"/>
          <w:sz w:val="24"/>
          <w:highlight w:val="none"/>
        </w:rPr>
      </w:pPr>
    </w:p>
    <w:p w14:paraId="70B50EC5">
      <w:pPr>
        <w:pStyle w:val="64"/>
        <w:outlineLvl w:val="2"/>
        <w:rPr>
          <w:rFonts w:hint="eastAsia" w:ascii="宋体" w:hAnsi="宋体" w:eastAsia="宋体" w:cs="宋体"/>
          <w:color w:val="auto"/>
          <w:highlight w:val="none"/>
        </w:rPr>
      </w:pPr>
      <w:bookmarkStart w:id="203" w:name="_Toc3742"/>
      <w:bookmarkStart w:id="204" w:name="_Toc17807"/>
      <w:r>
        <w:rPr>
          <w:rFonts w:hint="eastAsia" w:ascii="宋体" w:hAnsi="宋体" w:eastAsia="宋体" w:cs="宋体"/>
          <w:color w:val="auto"/>
          <w:highlight w:val="none"/>
        </w:rPr>
        <w:t>（四）公司资质</w:t>
      </w:r>
      <w:bookmarkEnd w:id="203"/>
      <w:bookmarkEnd w:id="204"/>
    </w:p>
    <w:p w14:paraId="4C77AA54">
      <w:pPr>
        <w:autoSpaceDE w:val="0"/>
        <w:autoSpaceDN w:val="0"/>
        <w:adjustRightInd w:val="0"/>
        <w:spacing w:line="440" w:lineRule="exact"/>
        <w:ind w:firstLine="480" w:firstLineChars="200"/>
        <w:rPr>
          <w:rFonts w:hint="eastAsia" w:ascii="宋体" w:hAnsi="宋体" w:eastAsia="宋体" w:cs="宋体"/>
          <w:color w:val="auto"/>
          <w:sz w:val="24"/>
          <w:highlight w:val="none"/>
        </w:rPr>
        <w:sectPr>
          <w:pgSz w:w="11906" w:h="16838"/>
          <w:pgMar w:top="1440" w:right="1797" w:bottom="1440" w:left="1797" w:header="851" w:footer="992" w:gutter="0"/>
          <w:pgNumType w:fmt="decimal"/>
          <w:cols w:space="720" w:num="1"/>
          <w:titlePg/>
          <w:docGrid w:type="lines" w:linePitch="312" w:charSpace="0"/>
        </w:sectPr>
      </w:pPr>
      <w:r>
        <w:rPr>
          <w:rFonts w:hint="eastAsia" w:ascii="宋体" w:hAnsi="宋体" w:eastAsia="宋体" w:cs="宋体"/>
          <w:color w:val="auto"/>
          <w:sz w:val="24"/>
          <w:highlight w:val="none"/>
        </w:rPr>
        <w:t>建议按照评审标准提供相应资料</w:t>
      </w:r>
    </w:p>
    <w:p w14:paraId="35B07776">
      <w:pPr>
        <w:pStyle w:val="64"/>
        <w:ind w:firstLine="321" w:firstLineChars="100"/>
        <w:outlineLvl w:val="2"/>
        <w:rPr>
          <w:rFonts w:hint="eastAsia" w:ascii="宋体" w:hAnsi="宋体" w:eastAsia="宋体" w:cs="宋体"/>
          <w:color w:val="auto"/>
          <w:highlight w:val="none"/>
        </w:rPr>
      </w:pPr>
      <w:bookmarkStart w:id="205" w:name="_Toc8777"/>
      <w:bookmarkStart w:id="206" w:name="_Toc13064"/>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(五)</w:t>
      </w:r>
      <w:r>
        <w:rPr>
          <w:rFonts w:hint="eastAsia" w:ascii="宋体" w:hAnsi="宋体" w:eastAsia="宋体" w:cs="宋体"/>
          <w:color w:val="auto"/>
          <w:highlight w:val="none"/>
          <w:lang w:val="en-US" w:eastAsia="zh-CN"/>
        </w:rPr>
        <w:t xml:space="preserve"> </w:t>
      </w:r>
      <w:bookmarkEnd w:id="205"/>
      <w:bookmarkEnd w:id="206"/>
      <w:r>
        <w:rPr>
          <w:rFonts w:hint="eastAsia" w:ascii="宋体" w:hAnsi="宋体" w:eastAsia="宋体" w:cs="宋体"/>
          <w:color w:val="auto"/>
          <w:highlight w:val="none"/>
          <w:lang w:val="en-US" w:eastAsia="zh-CN"/>
        </w:rPr>
        <w:t>项目负责人简历表及拟投入本项目主要成员表</w:t>
      </w:r>
    </w:p>
    <w:p w14:paraId="289C8804">
      <w:pPr>
        <w:pStyle w:val="73"/>
        <w:spacing w:line="500" w:lineRule="exact"/>
        <w:rPr>
          <w:rFonts w:hint="eastAsia" w:ascii="宋体" w:hAnsi="宋体" w:eastAsia="宋体" w:cs="宋体"/>
          <w:color w:val="auto"/>
          <w:highlight w:val="none"/>
          <w:lang w:val="en-US" w:eastAsia="zh-CN"/>
        </w:rPr>
      </w:pP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rPr>
        <w:t>项目负责人简历表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421"/>
        <w:gridCol w:w="5"/>
        <w:gridCol w:w="1416"/>
        <w:gridCol w:w="1421"/>
        <w:gridCol w:w="1422"/>
        <w:gridCol w:w="1422"/>
      </w:tblGrid>
      <w:tr w14:paraId="6F5E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621D548E">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1"/>
                <w:szCs w:val="21"/>
                <w:highlight w:val="none"/>
              </w:rPr>
              <w:t>姓名</w:t>
            </w:r>
          </w:p>
        </w:tc>
        <w:tc>
          <w:tcPr>
            <w:tcW w:w="1426" w:type="dxa"/>
            <w:gridSpan w:val="2"/>
            <w:vAlign w:val="center"/>
          </w:tcPr>
          <w:p w14:paraId="39C3C8E7">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16" w:type="dxa"/>
            <w:vAlign w:val="center"/>
          </w:tcPr>
          <w:p w14:paraId="3E8176AD">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1"/>
                <w:szCs w:val="21"/>
                <w:highlight w:val="none"/>
              </w:rPr>
              <w:t>年龄</w:t>
            </w:r>
          </w:p>
        </w:tc>
        <w:tc>
          <w:tcPr>
            <w:tcW w:w="1421" w:type="dxa"/>
            <w:vAlign w:val="center"/>
          </w:tcPr>
          <w:p w14:paraId="71F6A621">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2" w:type="dxa"/>
            <w:vAlign w:val="center"/>
          </w:tcPr>
          <w:p w14:paraId="251E2C34">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1"/>
                <w:szCs w:val="21"/>
                <w:highlight w:val="none"/>
              </w:rPr>
              <w:t>身份证号码</w:t>
            </w:r>
          </w:p>
        </w:tc>
        <w:tc>
          <w:tcPr>
            <w:tcW w:w="1422" w:type="dxa"/>
            <w:vAlign w:val="center"/>
          </w:tcPr>
          <w:p w14:paraId="7C9A719F">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r>
      <w:tr w14:paraId="6726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43AD0E66">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毕业学校</w:t>
            </w:r>
          </w:p>
        </w:tc>
        <w:tc>
          <w:tcPr>
            <w:tcW w:w="4263" w:type="dxa"/>
            <w:gridSpan w:val="4"/>
            <w:vAlign w:val="center"/>
          </w:tcPr>
          <w:p w14:paraId="07502CCB">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2" w:type="dxa"/>
            <w:vAlign w:val="center"/>
          </w:tcPr>
          <w:p w14:paraId="113BCA32">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1"/>
                <w:szCs w:val="21"/>
                <w:highlight w:val="none"/>
              </w:rPr>
              <w:t>专业</w:t>
            </w:r>
          </w:p>
        </w:tc>
        <w:tc>
          <w:tcPr>
            <w:tcW w:w="1422" w:type="dxa"/>
            <w:vAlign w:val="center"/>
          </w:tcPr>
          <w:p w14:paraId="5D7774C8">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r>
      <w:tr w14:paraId="3BDD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51CB2629">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1"/>
                <w:szCs w:val="21"/>
                <w:highlight w:val="none"/>
              </w:rPr>
              <w:t>学位</w:t>
            </w:r>
          </w:p>
        </w:tc>
        <w:tc>
          <w:tcPr>
            <w:tcW w:w="1421" w:type="dxa"/>
            <w:vAlign w:val="center"/>
          </w:tcPr>
          <w:p w14:paraId="074A314C">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gridSpan w:val="2"/>
            <w:vAlign w:val="center"/>
          </w:tcPr>
          <w:p w14:paraId="5EB2B7B6">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1"/>
                <w:szCs w:val="21"/>
                <w:highlight w:val="none"/>
              </w:rPr>
              <w:t>职称</w:t>
            </w:r>
          </w:p>
        </w:tc>
        <w:tc>
          <w:tcPr>
            <w:tcW w:w="1421" w:type="dxa"/>
            <w:vAlign w:val="center"/>
          </w:tcPr>
          <w:p w14:paraId="38164C25">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2" w:type="dxa"/>
            <w:vAlign w:val="center"/>
          </w:tcPr>
          <w:p w14:paraId="453EC009">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1"/>
                <w:szCs w:val="21"/>
                <w:highlight w:val="none"/>
              </w:rPr>
              <w:t>职务</w:t>
            </w:r>
          </w:p>
        </w:tc>
        <w:tc>
          <w:tcPr>
            <w:tcW w:w="1422" w:type="dxa"/>
            <w:vAlign w:val="center"/>
          </w:tcPr>
          <w:p w14:paraId="4990FDD2">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r>
      <w:tr w14:paraId="077A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713E3BE4">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1"/>
                <w:szCs w:val="21"/>
                <w:highlight w:val="none"/>
              </w:rPr>
              <w:t>现所在机 构或部门</w:t>
            </w:r>
          </w:p>
        </w:tc>
        <w:tc>
          <w:tcPr>
            <w:tcW w:w="4263" w:type="dxa"/>
            <w:gridSpan w:val="4"/>
            <w:vAlign w:val="center"/>
          </w:tcPr>
          <w:p w14:paraId="1C16D4FB">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2" w:type="dxa"/>
            <w:vAlign w:val="center"/>
          </w:tcPr>
          <w:p w14:paraId="0463A523">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1"/>
                <w:szCs w:val="21"/>
                <w:highlight w:val="none"/>
              </w:rPr>
              <w:t>服务时间</w:t>
            </w:r>
          </w:p>
        </w:tc>
        <w:tc>
          <w:tcPr>
            <w:tcW w:w="1422" w:type="dxa"/>
            <w:vAlign w:val="center"/>
          </w:tcPr>
          <w:p w14:paraId="0C35812E">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r>
      <w:tr w14:paraId="5FFA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421" w:type="dxa"/>
            <w:vAlign w:val="center"/>
          </w:tcPr>
          <w:p w14:paraId="43D5FBD4">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1"/>
                <w:szCs w:val="21"/>
                <w:highlight w:val="none"/>
              </w:rPr>
              <w:t>主要经历</w:t>
            </w:r>
          </w:p>
        </w:tc>
        <w:tc>
          <w:tcPr>
            <w:tcW w:w="7107" w:type="dxa"/>
            <w:gridSpan w:val="6"/>
            <w:vAlign w:val="center"/>
          </w:tcPr>
          <w:p w14:paraId="617DD18D">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r>
      <w:tr w14:paraId="3F7F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497DB02D">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1"/>
                <w:szCs w:val="21"/>
                <w:highlight w:val="none"/>
              </w:rPr>
              <w:t>日期</w:t>
            </w:r>
          </w:p>
        </w:tc>
        <w:tc>
          <w:tcPr>
            <w:tcW w:w="2842" w:type="dxa"/>
            <w:gridSpan w:val="3"/>
            <w:vAlign w:val="center"/>
          </w:tcPr>
          <w:p w14:paraId="1D0B39D3">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1"/>
                <w:szCs w:val="21"/>
                <w:highlight w:val="none"/>
              </w:rPr>
              <w:t>参加过的项目名称</w:t>
            </w:r>
          </w:p>
        </w:tc>
        <w:tc>
          <w:tcPr>
            <w:tcW w:w="2843" w:type="dxa"/>
            <w:gridSpan w:val="2"/>
            <w:vAlign w:val="center"/>
          </w:tcPr>
          <w:p w14:paraId="561CF964">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1"/>
                <w:szCs w:val="21"/>
                <w:highlight w:val="none"/>
              </w:rPr>
              <w:t>担任何职务</w:t>
            </w:r>
          </w:p>
        </w:tc>
        <w:tc>
          <w:tcPr>
            <w:tcW w:w="1422" w:type="dxa"/>
            <w:vAlign w:val="center"/>
          </w:tcPr>
          <w:p w14:paraId="6F3E1A20">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1"/>
                <w:szCs w:val="21"/>
                <w:highlight w:val="none"/>
              </w:rPr>
              <w:t>备注</w:t>
            </w:r>
          </w:p>
        </w:tc>
      </w:tr>
      <w:tr w14:paraId="2602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6CDBFE88">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vAlign w:val="center"/>
          </w:tcPr>
          <w:p w14:paraId="50DC6481">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gridSpan w:val="2"/>
            <w:vAlign w:val="center"/>
          </w:tcPr>
          <w:p w14:paraId="2FB6CBD8">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vAlign w:val="center"/>
          </w:tcPr>
          <w:p w14:paraId="6CF3C27D">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2" w:type="dxa"/>
            <w:vAlign w:val="center"/>
          </w:tcPr>
          <w:p w14:paraId="43DDFA75">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2" w:type="dxa"/>
            <w:vAlign w:val="center"/>
          </w:tcPr>
          <w:p w14:paraId="672511A3">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r>
      <w:tr w14:paraId="050B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1970CB67">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vAlign w:val="center"/>
          </w:tcPr>
          <w:p w14:paraId="60B9201E">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gridSpan w:val="2"/>
            <w:vAlign w:val="center"/>
          </w:tcPr>
          <w:p w14:paraId="64443F8D">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vAlign w:val="center"/>
          </w:tcPr>
          <w:p w14:paraId="2FF25CA3">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2" w:type="dxa"/>
            <w:vAlign w:val="center"/>
          </w:tcPr>
          <w:p w14:paraId="60F6886F">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2" w:type="dxa"/>
            <w:vAlign w:val="center"/>
          </w:tcPr>
          <w:p w14:paraId="356C26A1">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r>
      <w:tr w14:paraId="797B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6819FF95">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vAlign w:val="center"/>
          </w:tcPr>
          <w:p w14:paraId="1BC4DDD5">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gridSpan w:val="2"/>
            <w:vAlign w:val="center"/>
          </w:tcPr>
          <w:p w14:paraId="7CA53EE7">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vAlign w:val="center"/>
          </w:tcPr>
          <w:p w14:paraId="6CF0C68C">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2" w:type="dxa"/>
            <w:vAlign w:val="center"/>
          </w:tcPr>
          <w:p w14:paraId="1D317B41">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2" w:type="dxa"/>
            <w:vAlign w:val="center"/>
          </w:tcPr>
          <w:p w14:paraId="5C9E5B60">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r>
    </w:tbl>
    <w:p w14:paraId="29979A48">
      <w:pPr>
        <w:pStyle w:val="73"/>
        <w:spacing w:line="500" w:lineRule="exact"/>
        <w:rPr>
          <w:rFonts w:hint="eastAsia" w:ascii="宋体" w:hAnsi="宋体" w:eastAsia="宋体" w:cs="宋体"/>
          <w:color w:val="auto"/>
          <w:highlight w:val="none"/>
        </w:rPr>
      </w:pPr>
    </w:p>
    <w:p w14:paraId="5C97E259">
      <w:pPr>
        <w:pStyle w:val="73"/>
        <w:spacing w:line="500" w:lineRule="exact"/>
        <w:rPr>
          <w:rFonts w:hint="eastAsia" w:ascii="宋体" w:hAnsi="宋体" w:eastAsia="宋体" w:cs="宋体"/>
          <w:color w:val="auto"/>
          <w:highlight w:val="none"/>
          <w:lang w:val="en-US" w:eastAsia="zh-CN"/>
        </w:rPr>
      </w:pPr>
      <w:r>
        <w:rPr>
          <w:rFonts w:hint="eastAsia" w:ascii="宋体" w:hAnsi="宋体" w:eastAsia="宋体" w:cs="宋体"/>
          <w:b/>
          <w:bCs/>
          <w:color w:val="000000"/>
          <w:sz w:val="24"/>
          <w:szCs w:val="24"/>
          <w:highlight w:val="none"/>
          <w:lang w:val="en-US" w:eastAsia="zh-CN"/>
        </w:rPr>
        <w:t>1、拟投入本项目的主要成员表</w:t>
      </w:r>
    </w:p>
    <w:tbl>
      <w:tblPr>
        <w:tblStyle w:val="26"/>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2019"/>
        <w:gridCol w:w="1421"/>
        <w:gridCol w:w="1421"/>
        <w:gridCol w:w="1422"/>
        <w:gridCol w:w="1744"/>
      </w:tblGrid>
      <w:tr w14:paraId="5C8A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14:paraId="20FE73D6">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序号</w:t>
            </w:r>
          </w:p>
        </w:tc>
        <w:tc>
          <w:tcPr>
            <w:tcW w:w="2019" w:type="dxa"/>
            <w:vAlign w:val="center"/>
          </w:tcPr>
          <w:p w14:paraId="253990AB">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0"/>
                <w:szCs w:val="20"/>
                <w:highlight w:val="none"/>
              </w:rPr>
              <w:t>姓名</w:t>
            </w:r>
          </w:p>
        </w:tc>
        <w:tc>
          <w:tcPr>
            <w:tcW w:w="1421" w:type="dxa"/>
            <w:vAlign w:val="center"/>
          </w:tcPr>
          <w:p w14:paraId="6B6C5B9A">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0"/>
                <w:szCs w:val="20"/>
                <w:highlight w:val="none"/>
              </w:rPr>
              <w:t>性别</w:t>
            </w:r>
          </w:p>
        </w:tc>
        <w:tc>
          <w:tcPr>
            <w:tcW w:w="1421" w:type="dxa"/>
            <w:vAlign w:val="center"/>
          </w:tcPr>
          <w:p w14:paraId="0FCE9FE1">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0"/>
                <w:szCs w:val="20"/>
                <w:highlight w:val="none"/>
              </w:rPr>
              <w:t>职称</w:t>
            </w:r>
          </w:p>
        </w:tc>
        <w:tc>
          <w:tcPr>
            <w:tcW w:w="1422" w:type="dxa"/>
            <w:vAlign w:val="center"/>
          </w:tcPr>
          <w:p w14:paraId="2B6D3FCE">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岗位</w:t>
            </w:r>
          </w:p>
        </w:tc>
        <w:tc>
          <w:tcPr>
            <w:tcW w:w="1744" w:type="dxa"/>
            <w:vAlign w:val="center"/>
          </w:tcPr>
          <w:p w14:paraId="52F83588">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0"/>
                <w:szCs w:val="20"/>
                <w:highlight w:val="none"/>
              </w:rPr>
              <w:t>从事该岗位时间</w:t>
            </w:r>
          </w:p>
        </w:tc>
      </w:tr>
      <w:tr w14:paraId="5677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14:paraId="66CB2FB5">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2019" w:type="dxa"/>
            <w:vAlign w:val="center"/>
          </w:tcPr>
          <w:p w14:paraId="1941079F">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vAlign w:val="center"/>
          </w:tcPr>
          <w:p w14:paraId="19A73869">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vAlign w:val="center"/>
          </w:tcPr>
          <w:p w14:paraId="212A5E98">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2" w:type="dxa"/>
            <w:vAlign w:val="center"/>
          </w:tcPr>
          <w:p w14:paraId="4EB2A15A">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744" w:type="dxa"/>
            <w:vAlign w:val="center"/>
          </w:tcPr>
          <w:p w14:paraId="63A97E2D">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r>
      <w:tr w14:paraId="0E3C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14:paraId="1E9A3D63">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2019" w:type="dxa"/>
            <w:vAlign w:val="center"/>
          </w:tcPr>
          <w:p w14:paraId="4EA7CC03">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vAlign w:val="center"/>
          </w:tcPr>
          <w:p w14:paraId="1240FC2F">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vAlign w:val="center"/>
          </w:tcPr>
          <w:p w14:paraId="1360A230">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2" w:type="dxa"/>
            <w:vAlign w:val="center"/>
          </w:tcPr>
          <w:p w14:paraId="7899D206">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744" w:type="dxa"/>
            <w:vAlign w:val="center"/>
          </w:tcPr>
          <w:p w14:paraId="51319F20">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r>
      <w:tr w14:paraId="0D17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14:paraId="168EEECE">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2019" w:type="dxa"/>
            <w:vAlign w:val="center"/>
          </w:tcPr>
          <w:p w14:paraId="4257BE0C">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vAlign w:val="center"/>
          </w:tcPr>
          <w:p w14:paraId="0390548C">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vAlign w:val="center"/>
          </w:tcPr>
          <w:p w14:paraId="23CCCA02">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2" w:type="dxa"/>
            <w:vAlign w:val="center"/>
          </w:tcPr>
          <w:p w14:paraId="06A397C3">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744" w:type="dxa"/>
            <w:vAlign w:val="center"/>
          </w:tcPr>
          <w:p w14:paraId="1E1F27E1">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r>
      <w:tr w14:paraId="3219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14:paraId="1DDF14AB">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2019" w:type="dxa"/>
            <w:vAlign w:val="center"/>
          </w:tcPr>
          <w:p w14:paraId="02032D1A">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vAlign w:val="center"/>
          </w:tcPr>
          <w:p w14:paraId="44A8BC8D">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vAlign w:val="center"/>
          </w:tcPr>
          <w:p w14:paraId="291384C6">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2" w:type="dxa"/>
            <w:vAlign w:val="center"/>
          </w:tcPr>
          <w:p w14:paraId="63DD613A">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744" w:type="dxa"/>
            <w:vAlign w:val="center"/>
          </w:tcPr>
          <w:p w14:paraId="3331E2D9">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r>
      <w:tr w14:paraId="411D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14:paraId="06E4952B">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2019" w:type="dxa"/>
            <w:vAlign w:val="center"/>
          </w:tcPr>
          <w:p w14:paraId="503471E4">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vAlign w:val="center"/>
          </w:tcPr>
          <w:p w14:paraId="3A576111">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vAlign w:val="center"/>
          </w:tcPr>
          <w:p w14:paraId="1AC16C55">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2" w:type="dxa"/>
            <w:vAlign w:val="center"/>
          </w:tcPr>
          <w:p w14:paraId="1DD85B1B">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744" w:type="dxa"/>
            <w:vAlign w:val="center"/>
          </w:tcPr>
          <w:p w14:paraId="18FAF906">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r>
    </w:tbl>
    <w:p w14:paraId="3F4E66AD">
      <w:pPr>
        <w:pStyle w:val="73"/>
        <w:spacing w:line="500" w:lineRule="exact"/>
        <w:rPr>
          <w:rFonts w:hint="eastAsia" w:ascii="宋体" w:hAnsi="宋体" w:eastAsia="宋体" w:cs="宋体"/>
          <w:color w:val="auto"/>
          <w:highlight w:val="none"/>
        </w:rPr>
      </w:pPr>
    </w:p>
    <w:p w14:paraId="49ABAACF">
      <w:pPr>
        <w:pStyle w:val="73"/>
        <w:spacing w:line="500" w:lineRule="exact"/>
        <w:rPr>
          <w:rFonts w:hint="eastAsia" w:ascii="宋体" w:hAnsi="宋体" w:eastAsia="宋体" w:cs="宋体"/>
          <w:color w:val="auto"/>
          <w:highlight w:val="none"/>
        </w:rPr>
      </w:pPr>
    </w:p>
    <w:p w14:paraId="7538DF6F">
      <w:pPr>
        <w:pStyle w:val="73"/>
        <w:spacing w:line="50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人员基本信息、资质证书、人员业绩等内容</w:t>
      </w:r>
      <w:r>
        <w:rPr>
          <w:rFonts w:hint="eastAsia" w:ascii="宋体" w:hAnsi="宋体" w:cs="宋体"/>
          <w:color w:val="auto"/>
          <w:highlight w:val="none"/>
          <w:lang w:eastAsia="zh-CN"/>
        </w:rPr>
        <w:t>。</w:t>
      </w:r>
    </w:p>
    <w:p w14:paraId="6F33D307">
      <w:pPr>
        <w:pStyle w:val="73"/>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（建议按照评审标准提供相应资料）。</w:t>
      </w:r>
    </w:p>
    <w:p w14:paraId="27989AB5">
      <w:pPr>
        <w:pStyle w:val="76"/>
        <w:outlineLvl w:val="1"/>
        <w:rPr>
          <w:rFonts w:hint="eastAsia" w:ascii="宋体" w:hAnsi="宋体" w:eastAsia="宋体" w:cs="宋体"/>
          <w:color w:val="auto"/>
          <w:highlight w:val="none"/>
        </w:rPr>
        <w:sectPr>
          <w:pgSz w:w="11906" w:h="16838"/>
          <w:pgMar w:top="1440" w:right="1797" w:bottom="1440" w:left="1797" w:header="851" w:footer="992" w:gutter="0"/>
          <w:pgNumType w:fmt="decimal"/>
          <w:cols w:space="720" w:num="1"/>
          <w:titlePg/>
          <w:docGrid w:type="lines" w:linePitch="312" w:charSpace="0"/>
        </w:sectPr>
      </w:pPr>
    </w:p>
    <w:p w14:paraId="3018E778">
      <w:pPr>
        <w:pStyle w:val="64"/>
        <w:ind w:firstLine="321" w:firstLineChars="100"/>
        <w:outlineLvl w:val="2"/>
        <w:rPr>
          <w:rFonts w:hint="eastAsia" w:ascii="宋体" w:hAnsi="宋体" w:eastAsia="宋体" w:cs="宋体"/>
          <w:color w:val="auto"/>
          <w:highlight w:val="none"/>
        </w:rPr>
      </w:pPr>
      <w:bookmarkStart w:id="207" w:name="_Toc25548"/>
      <w:bookmarkStart w:id="208" w:name="_Toc20772"/>
      <w:r>
        <w:rPr>
          <w:rFonts w:hint="eastAsia" w:ascii="宋体" w:hAnsi="宋体" w:eastAsia="宋体" w:cs="宋体"/>
          <w:color w:val="auto"/>
          <w:highlight w:val="none"/>
        </w:rPr>
        <w:t>（六）财务状况</w:t>
      </w:r>
      <w:bookmarkEnd w:id="207"/>
      <w:bookmarkEnd w:id="208"/>
    </w:p>
    <w:p w14:paraId="199B62D4">
      <w:pPr>
        <w:autoSpaceDE w:val="0"/>
        <w:autoSpaceDN w:val="0"/>
        <w:adjustRightInd w:val="0"/>
        <w:spacing w:line="440" w:lineRule="exact"/>
        <w:ind w:firstLine="480" w:firstLineChars="200"/>
        <w:rPr>
          <w:rFonts w:hint="eastAsia" w:ascii="宋体" w:hAnsi="宋体" w:eastAsia="宋体" w:cs="宋体"/>
          <w:color w:val="auto"/>
          <w:sz w:val="24"/>
          <w:highlight w:val="none"/>
        </w:rPr>
        <w:sectPr>
          <w:pgSz w:w="11906" w:h="16838"/>
          <w:pgMar w:top="1440" w:right="1797" w:bottom="1440" w:left="1797" w:header="851" w:footer="992" w:gutter="0"/>
          <w:pgNumType w:fmt="decimal"/>
          <w:cols w:space="720" w:num="1"/>
          <w:titlePg/>
          <w:docGrid w:type="lines" w:linePitch="312" w:charSpace="0"/>
        </w:sectPr>
      </w:pPr>
      <w:r>
        <w:rPr>
          <w:rFonts w:hint="eastAsia" w:ascii="宋体" w:hAnsi="宋体" w:eastAsia="宋体" w:cs="宋体"/>
          <w:color w:val="auto"/>
          <w:sz w:val="24"/>
          <w:highlight w:val="none"/>
        </w:rPr>
        <w:t>（建议按照评审标准提供相应资料）</w:t>
      </w:r>
    </w:p>
    <w:p w14:paraId="76C5AAFB">
      <w:pPr>
        <w:pStyle w:val="64"/>
        <w:ind w:firstLine="321" w:firstLineChars="100"/>
        <w:outlineLvl w:val="2"/>
        <w:rPr>
          <w:rFonts w:hint="eastAsia" w:ascii="宋体" w:hAnsi="宋体" w:eastAsia="宋体" w:cs="宋体"/>
          <w:color w:val="auto"/>
          <w:highlight w:val="none"/>
        </w:rPr>
      </w:pPr>
      <w:bookmarkStart w:id="209" w:name="_Toc6185"/>
      <w:bookmarkStart w:id="210" w:name="_Toc30633"/>
      <w:r>
        <w:rPr>
          <w:rFonts w:hint="eastAsia" w:ascii="宋体" w:hAnsi="宋体" w:eastAsia="宋体" w:cs="宋体"/>
          <w:color w:val="auto"/>
          <w:highlight w:val="none"/>
        </w:rPr>
        <w:t>（七）近年同类项目业绩</w:t>
      </w:r>
      <w:bookmarkEnd w:id="209"/>
      <w:bookmarkEnd w:id="210"/>
    </w:p>
    <w:p w14:paraId="23AD1739">
      <w:pPr>
        <w:pStyle w:val="53"/>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附：类似项目业绩表（</w:t>
      </w:r>
      <w:r>
        <w:rPr>
          <w:rFonts w:hint="eastAsia" w:ascii="宋体" w:hAnsi="宋体" w:eastAsia="宋体" w:cs="宋体"/>
          <w:color w:val="auto"/>
          <w:sz w:val="24"/>
          <w:highlight w:val="none"/>
        </w:rPr>
        <w:t>建议按照评审标准提供相应资料</w:t>
      </w:r>
      <w:r>
        <w:rPr>
          <w:rFonts w:hint="eastAsia" w:ascii="宋体" w:hAnsi="宋体" w:eastAsia="宋体" w:cs="宋体"/>
          <w:color w:val="auto"/>
          <w:sz w:val="24"/>
          <w:szCs w:val="24"/>
          <w:highlight w:val="none"/>
        </w:rPr>
        <w:t>）</w:t>
      </w:r>
    </w:p>
    <w:p w14:paraId="4FF78209">
      <w:pPr>
        <w:pStyle w:val="53"/>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B1E2ADC">
      <w:pPr>
        <w:pStyle w:val="53"/>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14:paraId="799D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vAlign w:val="center"/>
          </w:tcPr>
          <w:p w14:paraId="734DC798">
            <w:pPr>
              <w:pStyle w:val="5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200" w:type="dxa"/>
          </w:tcPr>
          <w:p w14:paraId="702F32EC">
            <w:pPr>
              <w:pStyle w:val="53"/>
              <w:tabs>
                <w:tab w:val="left" w:pos="2265"/>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p>
        </w:tc>
      </w:tr>
      <w:tr w14:paraId="3B16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vAlign w:val="center"/>
          </w:tcPr>
          <w:p w14:paraId="6D4E3CEF">
            <w:pPr>
              <w:pStyle w:val="5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项目单位名称</w:t>
            </w:r>
          </w:p>
        </w:tc>
        <w:tc>
          <w:tcPr>
            <w:tcW w:w="7200" w:type="dxa"/>
          </w:tcPr>
          <w:p w14:paraId="048394DD">
            <w:pPr>
              <w:pStyle w:val="53"/>
              <w:jc w:val="center"/>
              <w:rPr>
                <w:rFonts w:hint="eastAsia" w:ascii="宋体" w:hAnsi="宋体" w:eastAsia="宋体" w:cs="宋体"/>
                <w:color w:val="auto"/>
                <w:sz w:val="24"/>
                <w:szCs w:val="24"/>
                <w:highlight w:val="none"/>
              </w:rPr>
            </w:pPr>
          </w:p>
        </w:tc>
      </w:tr>
      <w:tr w14:paraId="5899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vAlign w:val="center"/>
          </w:tcPr>
          <w:p w14:paraId="1F9D61EC">
            <w:pPr>
              <w:pStyle w:val="5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项目单位联系人姓名及联系方式</w:t>
            </w:r>
          </w:p>
        </w:tc>
        <w:tc>
          <w:tcPr>
            <w:tcW w:w="7200" w:type="dxa"/>
          </w:tcPr>
          <w:p w14:paraId="2F82C97D">
            <w:pPr>
              <w:pStyle w:val="53"/>
              <w:jc w:val="center"/>
              <w:rPr>
                <w:rFonts w:hint="eastAsia" w:ascii="宋体" w:hAnsi="宋体" w:eastAsia="宋体" w:cs="宋体"/>
                <w:color w:val="auto"/>
                <w:sz w:val="24"/>
                <w:szCs w:val="24"/>
                <w:highlight w:val="none"/>
              </w:rPr>
            </w:pPr>
          </w:p>
        </w:tc>
      </w:tr>
      <w:tr w14:paraId="2287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08" w:type="dxa"/>
            <w:vAlign w:val="center"/>
          </w:tcPr>
          <w:p w14:paraId="57A1E606">
            <w:pPr>
              <w:pStyle w:val="5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tc>
        <w:tc>
          <w:tcPr>
            <w:tcW w:w="7200" w:type="dxa"/>
          </w:tcPr>
          <w:p w14:paraId="6D16F6C2">
            <w:pPr>
              <w:pStyle w:val="53"/>
              <w:jc w:val="center"/>
              <w:rPr>
                <w:rFonts w:hint="eastAsia" w:ascii="宋体" w:hAnsi="宋体" w:eastAsia="宋体" w:cs="宋体"/>
                <w:color w:val="auto"/>
                <w:sz w:val="24"/>
                <w:szCs w:val="24"/>
                <w:highlight w:val="none"/>
              </w:rPr>
            </w:pPr>
          </w:p>
        </w:tc>
      </w:tr>
      <w:tr w14:paraId="2156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908" w:type="dxa"/>
            <w:vAlign w:val="center"/>
          </w:tcPr>
          <w:p w14:paraId="57382A3B">
            <w:pPr>
              <w:pStyle w:val="5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p w14:paraId="4AE6D25B">
            <w:pPr>
              <w:pStyle w:val="5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200" w:type="dxa"/>
          </w:tcPr>
          <w:p w14:paraId="0FA9E174">
            <w:pPr>
              <w:pStyle w:val="53"/>
              <w:jc w:val="center"/>
              <w:rPr>
                <w:rFonts w:hint="eastAsia" w:ascii="宋体" w:hAnsi="宋体" w:eastAsia="宋体" w:cs="宋体"/>
                <w:color w:val="auto"/>
                <w:sz w:val="24"/>
                <w:szCs w:val="24"/>
                <w:highlight w:val="none"/>
              </w:rPr>
            </w:pPr>
          </w:p>
        </w:tc>
      </w:tr>
      <w:tr w14:paraId="2809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08" w:type="dxa"/>
            <w:vAlign w:val="center"/>
          </w:tcPr>
          <w:p w14:paraId="65E8CA48">
            <w:pPr>
              <w:pStyle w:val="5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项目实施时间</w:t>
            </w:r>
          </w:p>
        </w:tc>
        <w:tc>
          <w:tcPr>
            <w:tcW w:w="7200" w:type="dxa"/>
          </w:tcPr>
          <w:p w14:paraId="0085CB98">
            <w:pPr>
              <w:pStyle w:val="53"/>
              <w:jc w:val="center"/>
              <w:rPr>
                <w:rFonts w:hint="eastAsia" w:ascii="宋体" w:hAnsi="宋体" w:eastAsia="宋体" w:cs="宋体"/>
                <w:color w:val="auto"/>
                <w:sz w:val="24"/>
                <w:szCs w:val="24"/>
                <w:highlight w:val="none"/>
              </w:rPr>
            </w:pPr>
          </w:p>
        </w:tc>
      </w:tr>
      <w:tr w14:paraId="1267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vAlign w:val="center"/>
          </w:tcPr>
          <w:p w14:paraId="387AF9C0">
            <w:pPr>
              <w:pStyle w:val="5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项目内容说明</w:t>
            </w:r>
          </w:p>
        </w:tc>
        <w:tc>
          <w:tcPr>
            <w:tcW w:w="7200" w:type="dxa"/>
          </w:tcPr>
          <w:p w14:paraId="211F9EE8">
            <w:pPr>
              <w:pStyle w:val="53"/>
              <w:jc w:val="center"/>
              <w:rPr>
                <w:rFonts w:hint="eastAsia" w:ascii="宋体" w:hAnsi="宋体" w:eastAsia="宋体" w:cs="宋体"/>
                <w:color w:val="auto"/>
                <w:sz w:val="24"/>
                <w:szCs w:val="24"/>
                <w:highlight w:val="none"/>
              </w:rPr>
            </w:pPr>
          </w:p>
        </w:tc>
      </w:tr>
    </w:tbl>
    <w:p w14:paraId="388F895A">
      <w:pPr>
        <w:pStyle w:val="53"/>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说明：1．每个合同须单独附表，并附上相关证明材料，否则专家在评审时将不予采信；</w:t>
      </w:r>
    </w:p>
    <w:p w14:paraId="0F062861">
      <w:pPr>
        <w:pStyle w:val="53"/>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2．项目内容请简单说明所承担的具体工作内容；</w:t>
      </w:r>
    </w:p>
    <w:p w14:paraId="710B1C76">
      <w:pPr>
        <w:pStyle w:val="53"/>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法定代表人（单位负责人）或其委托代理人（签字或电子签章）：</w:t>
      </w:r>
      <w:r>
        <w:rPr>
          <w:rFonts w:hint="eastAsia" w:ascii="宋体" w:hAnsi="宋体" w:eastAsia="宋体" w:cs="宋体"/>
          <w:color w:val="auto"/>
          <w:sz w:val="24"/>
          <w:szCs w:val="24"/>
          <w:highlight w:val="none"/>
          <w:u w:val="single"/>
        </w:rPr>
        <w:t xml:space="preserve">                  </w:t>
      </w:r>
    </w:p>
    <w:p w14:paraId="13016DA3">
      <w:pPr>
        <w:pStyle w:val="53"/>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供应商名称（签章）：</w:t>
      </w:r>
      <w:r>
        <w:rPr>
          <w:rFonts w:hint="eastAsia" w:ascii="宋体" w:hAnsi="宋体" w:eastAsia="宋体" w:cs="宋体"/>
          <w:color w:val="auto"/>
          <w:sz w:val="24"/>
          <w:szCs w:val="24"/>
          <w:highlight w:val="none"/>
          <w:u w:val="single"/>
        </w:rPr>
        <w:t xml:space="preserve">                       </w:t>
      </w:r>
    </w:p>
    <w:p w14:paraId="1B71F908">
      <w:pPr>
        <w:pStyle w:val="53"/>
        <w:spacing w:line="500" w:lineRule="exact"/>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14:paraId="76F708DE">
      <w:pPr>
        <w:pStyle w:val="49"/>
        <w:outlineLvl w:val="2"/>
        <w:rPr>
          <w:rFonts w:hint="eastAsia" w:ascii="宋体" w:hAnsi="宋体" w:eastAsia="宋体" w:cs="宋体"/>
          <w:color w:val="auto"/>
          <w:highlight w:val="none"/>
        </w:rPr>
        <w:sectPr>
          <w:pgSz w:w="11906" w:h="16838"/>
          <w:pgMar w:top="1440" w:right="1797" w:bottom="1440" w:left="1797" w:header="851" w:footer="992" w:gutter="0"/>
          <w:pgNumType w:fmt="decimal"/>
          <w:cols w:space="720" w:num="1"/>
          <w:titlePg/>
          <w:docGrid w:type="lines" w:linePitch="312" w:charSpace="0"/>
        </w:sectPr>
      </w:pPr>
      <w:bookmarkStart w:id="211" w:name="_Toc256000075"/>
    </w:p>
    <w:p w14:paraId="044BC65E">
      <w:pPr>
        <w:pStyle w:val="49"/>
        <w:outlineLvl w:val="2"/>
        <w:rPr>
          <w:rFonts w:hint="eastAsia" w:ascii="宋体" w:hAnsi="宋体" w:eastAsia="宋体" w:cs="宋体"/>
          <w:color w:val="auto"/>
          <w:highlight w:val="none"/>
        </w:rPr>
      </w:pPr>
      <w:bookmarkStart w:id="212" w:name="_Toc2309"/>
      <w:bookmarkStart w:id="213" w:name="_Toc8269"/>
      <w:r>
        <w:rPr>
          <w:rFonts w:hint="eastAsia" w:ascii="宋体" w:hAnsi="宋体" w:eastAsia="宋体" w:cs="宋体"/>
          <w:color w:val="auto"/>
          <w:highlight w:val="none"/>
        </w:rPr>
        <w:t>（八）中小微企业、残疾人福利性单位、监狱企业声明函（如有）</w:t>
      </w:r>
      <w:bookmarkEnd w:id="212"/>
      <w:bookmarkEnd w:id="213"/>
    </w:p>
    <w:p w14:paraId="13BF5709">
      <w:pPr>
        <w:pStyle w:val="21"/>
        <w:shd w:val="clear" w:color="auto" w:fill="FFFFFF"/>
        <w:spacing w:line="360" w:lineRule="auto"/>
        <w:jc w:val="center"/>
        <w:rPr>
          <w:rFonts w:hint="eastAsia" w:ascii="宋体" w:hAnsi="宋体" w:eastAsia="宋体" w:cs="宋体"/>
          <w:b/>
          <w:color w:val="auto"/>
          <w:sz w:val="28"/>
          <w:szCs w:val="28"/>
          <w:highlight w:val="none"/>
          <w:shd w:val="clear" w:color="auto" w:fill="FFFFFF"/>
        </w:rPr>
      </w:pPr>
      <w:r>
        <w:rPr>
          <w:rFonts w:hint="eastAsia" w:ascii="宋体" w:hAnsi="宋体" w:eastAsia="宋体" w:cs="宋体"/>
          <w:b/>
          <w:color w:val="auto"/>
          <w:sz w:val="28"/>
          <w:szCs w:val="28"/>
          <w:highlight w:val="none"/>
          <w:shd w:val="clear" w:color="auto" w:fill="FFFFFF"/>
        </w:rPr>
        <w:t>1、中小企业声明函</w:t>
      </w:r>
    </w:p>
    <w:p w14:paraId="31926CD4">
      <w:pPr>
        <w:spacing w:before="145" w:beforeLines="50" w:after="145" w:afterLines="50" w:line="30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bCs/>
          <w:i/>
          <w:iCs/>
          <w:color w:val="auto"/>
          <w:sz w:val="24"/>
          <w:szCs w:val="24"/>
          <w:highlight w:val="none"/>
          <w:u w:val="single"/>
        </w:rPr>
        <w:t>单位名称</w:t>
      </w:r>
      <w:r>
        <w:rPr>
          <w:rFonts w:hint="eastAsia" w:ascii="宋体" w:hAnsi="宋体" w:eastAsia="宋体" w:cs="宋体"/>
          <w:bCs/>
          <w:color w:val="auto"/>
          <w:sz w:val="24"/>
          <w:szCs w:val="24"/>
          <w:highlight w:val="none"/>
        </w:rPr>
        <w:t>）的（</w:t>
      </w:r>
      <w:r>
        <w:rPr>
          <w:rFonts w:hint="eastAsia" w:ascii="宋体" w:hAnsi="宋体" w:eastAsia="宋体" w:cs="宋体"/>
          <w:bCs/>
          <w:i/>
          <w:iCs/>
          <w:color w:val="auto"/>
          <w:sz w:val="24"/>
          <w:szCs w:val="24"/>
          <w:highlight w:val="none"/>
          <w:u w:val="single"/>
        </w:rPr>
        <w:t>项目名称</w:t>
      </w:r>
      <w:r>
        <w:rPr>
          <w:rFonts w:hint="eastAsia" w:ascii="宋体" w:hAnsi="宋体" w:eastAsia="宋体" w:cs="宋体"/>
          <w:bCs/>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E4B8AA3">
      <w:pPr>
        <w:spacing w:before="145" w:beforeLines="50" w:after="145" w:afterLines="50" w:line="30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 （</w:t>
      </w:r>
      <w:r>
        <w:rPr>
          <w:rFonts w:hint="eastAsia" w:ascii="宋体" w:hAnsi="宋体" w:eastAsia="宋体" w:cs="宋体"/>
          <w:bCs/>
          <w:i/>
          <w:iCs/>
          <w:color w:val="auto"/>
          <w:sz w:val="24"/>
          <w:szCs w:val="24"/>
          <w:highlight w:val="none"/>
          <w:u w:val="single"/>
        </w:rPr>
        <w:t>标的名称</w:t>
      </w:r>
      <w:r>
        <w:rPr>
          <w:rFonts w:hint="eastAsia" w:ascii="宋体" w:hAnsi="宋体" w:eastAsia="宋体" w:cs="宋体"/>
          <w:bCs/>
          <w:color w:val="auto"/>
          <w:sz w:val="24"/>
          <w:szCs w:val="24"/>
          <w:highlight w:val="none"/>
        </w:rPr>
        <w:t>） ，属于</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val="en-US" w:eastAsia="zh-CN"/>
        </w:rPr>
        <w:t>采购文件中所明确的行业</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；承建（承接）企业为（</w:t>
      </w:r>
      <w:r>
        <w:rPr>
          <w:rFonts w:hint="eastAsia" w:ascii="宋体" w:hAnsi="宋体" w:eastAsia="宋体" w:cs="宋体"/>
          <w:bCs/>
          <w:i/>
          <w:iCs/>
          <w:color w:val="auto"/>
          <w:sz w:val="24"/>
          <w:szCs w:val="24"/>
          <w:highlight w:val="none"/>
          <w:u w:val="single"/>
        </w:rPr>
        <w:t>企业名称</w:t>
      </w:r>
      <w:r>
        <w:rPr>
          <w:rFonts w:hint="eastAsia" w:ascii="宋体" w:hAnsi="宋体" w:eastAsia="宋体" w:cs="宋体"/>
          <w:bCs/>
          <w:color w:val="auto"/>
          <w:sz w:val="24"/>
          <w:szCs w:val="24"/>
          <w:highlight w:val="none"/>
        </w:rPr>
        <w:t>），从业人员</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人，营业收入为</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万元，资产总额为</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万元，属于（</w:t>
      </w:r>
      <w:r>
        <w:rPr>
          <w:rFonts w:hint="eastAsia" w:ascii="宋体" w:hAnsi="宋体" w:eastAsia="宋体" w:cs="宋体"/>
          <w:bCs/>
          <w:i/>
          <w:iCs/>
          <w:color w:val="auto"/>
          <w:sz w:val="24"/>
          <w:szCs w:val="24"/>
          <w:highlight w:val="none"/>
          <w:u w:val="single"/>
        </w:rPr>
        <w:t>中型企业、小型企业、微型企业</w:t>
      </w:r>
      <w:r>
        <w:rPr>
          <w:rFonts w:hint="eastAsia" w:ascii="宋体" w:hAnsi="宋体" w:eastAsia="宋体" w:cs="宋体"/>
          <w:bCs/>
          <w:color w:val="auto"/>
          <w:sz w:val="24"/>
          <w:szCs w:val="24"/>
          <w:highlight w:val="none"/>
        </w:rPr>
        <w:t>）；</w:t>
      </w:r>
    </w:p>
    <w:p w14:paraId="2ABD0C62">
      <w:pPr>
        <w:spacing w:before="145" w:beforeLines="50" w:after="145" w:afterLines="50" w:line="30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 （</w:t>
      </w:r>
      <w:r>
        <w:rPr>
          <w:rFonts w:hint="eastAsia" w:ascii="宋体" w:hAnsi="宋体" w:eastAsia="宋体" w:cs="宋体"/>
          <w:bCs/>
          <w:i/>
          <w:iCs/>
          <w:color w:val="auto"/>
          <w:sz w:val="24"/>
          <w:szCs w:val="24"/>
          <w:highlight w:val="none"/>
          <w:u w:val="single"/>
        </w:rPr>
        <w:t>标的名称</w:t>
      </w:r>
      <w:r>
        <w:rPr>
          <w:rFonts w:hint="eastAsia" w:ascii="宋体" w:hAnsi="宋体" w:eastAsia="宋体" w:cs="宋体"/>
          <w:bCs/>
          <w:color w:val="auto"/>
          <w:sz w:val="24"/>
          <w:szCs w:val="24"/>
          <w:highlight w:val="none"/>
        </w:rPr>
        <w:t>） ，属于</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val="en-US" w:eastAsia="zh-CN"/>
        </w:rPr>
        <w:t>采购文件中所明确的行业</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；承建（承接）企业为（</w:t>
      </w:r>
      <w:r>
        <w:rPr>
          <w:rFonts w:hint="eastAsia" w:ascii="宋体" w:hAnsi="宋体" w:eastAsia="宋体" w:cs="宋体"/>
          <w:bCs/>
          <w:i/>
          <w:iCs/>
          <w:color w:val="auto"/>
          <w:sz w:val="24"/>
          <w:szCs w:val="24"/>
          <w:highlight w:val="none"/>
          <w:u w:val="single"/>
        </w:rPr>
        <w:t>企业名称</w:t>
      </w:r>
      <w:r>
        <w:rPr>
          <w:rFonts w:hint="eastAsia" w:ascii="宋体" w:hAnsi="宋体" w:eastAsia="宋体" w:cs="宋体"/>
          <w:bCs/>
          <w:color w:val="auto"/>
          <w:sz w:val="24"/>
          <w:szCs w:val="24"/>
          <w:highlight w:val="none"/>
        </w:rPr>
        <w:t>），从业人员</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人，营业收入为</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万元，资产总额为</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万元，属于（</w:t>
      </w:r>
      <w:r>
        <w:rPr>
          <w:rFonts w:hint="eastAsia" w:ascii="宋体" w:hAnsi="宋体" w:eastAsia="宋体" w:cs="宋体"/>
          <w:bCs/>
          <w:i/>
          <w:iCs/>
          <w:color w:val="auto"/>
          <w:sz w:val="24"/>
          <w:szCs w:val="24"/>
          <w:highlight w:val="none"/>
          <w:u w:val="single"/>
        </w:rPr>
        <w:t>中型企业、小型企业、微型企业</w:t>
      </w:r>
      <w:r>
        <w:rPr>
          <w:rFonts w:hint="eastAsia" w:ascii="宋体" w:hAnsi="宋体" w:eastAsia="宋体" w:cs="宋体"/>
          <w:bCs/>
          <w:color w:val="auto"/>
          <w:sz w:val="24"/>
          <w:szCs w:val="24"/>
          <w:highlight w:val="none"/>
        </w:rPr>
        <w:t>）；</w:t>
      </w:r>
    </w:p>
    <w:p w14:paraId="1374E5DD">
      <w:pPr>
        <w:spacing w:before="145" w:beforeLines="50" w:after="145" w:afterLines="50" w:line="30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EFC99E8">
      <w:pPr>
        <w:spacing w:before="145" w:beforeLines="50" w:after="145" w:afterLines="50" w:line="30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以上企业，不属于大企业的分支机构，不存在控股股东为大企业的情形，也不存在与大企业的负责人为同一人的情形。</w:t>
      </w:r>
    </w:p>
    <w:p w14:paraId="093BD4C4">
      <w:pPr>
        <w:spacing w:before="145" w:beforeLines="50" w:after="145" w:afterLines="50" w:line="30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本企业对上述声明内容的真实性负责。如有虚假，将依法承担相应责任。</w:t>
      </w:r>
    </w:p>
    <w:p w14:paraId="278997C6">
      <w:pPr>
        <w:spacing w:before="145" w:beforeLines="50" w:after="145" w:afterLines="50" w:line="300" w:lineRule="auto"/>
        <w:rPr>
          <w:rFonts w:hint="eastAsia" w:ascii="宋体" w:hAnsi="宋体" w:eastAsia="宋体" w:cs="宋体"/>
          <w:bCs/>
          <w:color w:val="auto"/>
          <w:sz w:val="24"/>
          <w:szCs w:val="24"/>
          <w:highlight w:val="none"/>
        </w:rPr>
      </w:pPr>
    </w:p>
    <w:p w14:paraId="102741CF">
      <w:pPr>
        <w:spacing w:before="145" w:beforeLines="50" w:after="145" w:afterLines="50" w:line="300" w:lineRule="auto"/>
        <w:rPr>
          <w:rFonts w:hint="eastAsia" w:ascii="宋体" w:hAnsi="宋体" w:eastAsia="宋体" w:cs="宋体"/>
          <w:bCs/>
          <w:color w:val="auto"/>
          <w:sz w:val="24"/>
          <w:szCs w:val="24"/>
          <w:highlight w:val="none"/>
        </w:rPr>
      </w:pPr>
    </w:p>
    <w:p w14:paraId="3CE220A6">
      <w:pPr>
        <w:spacing w:before="145" w:beforeLines="50" w:after="145" w:afterLines="50" w:line="300" w:lineRule="auto"/>
        <w:ind w:firstLine="4320" w:firstLineChars="18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企业名称（盖章）：</w:t>
      </w:r>
    </w:p>
    <w:p w14:paraId="2C5B6B1D">
      <w:pPr>
        <w:spacing w:before="145" w:beforeLines="50" w:after="145" w:afterLines="50" w:line="300" w:lineRule="auto"/>
        <w:ind w:firstLine="4320" w:firstLineChars="18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w:t>
      </w:r>
    </w:p>
    <w:p w14:paraId="3227FA56">
      <w:pPr>
        <w:pStyle w:val="21"/>
        <w:shd w:val="clear" w:color="auto" w:fill="auto"/>
        <w:spacing w:line="360" w:lineRule="auto"/>
        <w:ind w:right="1785" w:firstLine="5760" w:firstLineChars="2400"/>
        <w:rPr>
          <w:rFonts w:hint="eastAsia" w:ascii="宋体" w:hAnsi="宋体" w:eastAsia="宋体" w:cs="宋体"/>
          <w:bCs/>
          <w:color w:val="auto"/>
          <w:highlight w:val="none"/>
          <w:shd w:val="clear" w:color="auto" w:fill="FFFFFF"/>
        </w:rPr>
      </w:pPr>
      <w:r>
        <w:rPr>
          <w:rFonts w:hint="eastAsia" w:ascii="宋体" w:hAnsi="宋体" w:eastAsia="宋体" w:cs="宋体"/>
          <w:bCs/>
          <w:color w:val="auto"/>
          <w:highlight w:val="none"/>
          <w:shd w:val="clear" w:color="auto" w:fill="FFFFFF"/>
        </w:rPr>
        <w:t xml:space="preserve">            </w:t>
      </w:r>
    </w:p>
    <w:p w14:paraId="2CF8F86D">
      <w:pPr>
        <w:pStyle w:val="21"/>
        <w:shd w:val="clear" w:color="auto" w:fill="auto"/>
        <w:spacing w:line="360" w:lineRule="auto"/>
        <w:ind w:firstLine="480" w:firstLineChars="200"/>
        <w:rPr>
          <w:rFonts w:hint="eastAsia" w:ascii="宋体" w:hAnsi="宋体" w:eastAsia="宋体" w:cs="宋体"/>
          <w:bCs/>
          <w:color w:val="auto"/>
          <w:highlight w:val="none"/>
          <w:shd w:val="clear" w:color="auto" w:fill="FFFFFF"/>
        </w:rPr>
      </w:pPr>
    </w:p>
    <w:p w14:paraId="351F6982">
      <w:pPr>
        <w:pStyle w:val="21"/>
        <w:shd w:val="clear" w:color="auto" w:fill="auto"/>
        <w:spacing w:line="360" w:lineRule="auto"/>
        <w:ind w:firstLine="480" w:firstLineChars="200"/>
        <w:rPr>
          <w:rFonts w:hint="eastAsia" w:ascii="宋体" w:hAnsi="宋体" w:eastAsia="宋体" w:cs="宋体"/>
          <w:bCs/>
          <w:color w:val="auto"/>
          <w:highlight w:val="none"/>
          <w:shd w:val="clear" w:color="auto" w:fill="FFFFFF"/>
        </w:rPr>
      </w:pPr>
      <w:r>
        <w:rPr>
          <w:rFonts w:hint="eastAsia" w:ascii="宋体" w:hAnsi="宋体" w:eastAsia="宋体" w:cs="宋体"/>
          <w:bCs/>
          <w:color w:val="auto"/>
          <w:highlight w:val="none"/>
          <w:shd w:val="clear" w:color="auto" w:fill="FFFFFF"/>
        </w:rPr>
        <w:t>注：从业人员、营业收入、资产总额填报上一年度数据，无上一年度数据的新成立企业可不填报。</w:t>
      </w:r>
    </w:p>
    <w:p w14:paraId="6FC83476">
      <w:pPr>
        <w:pStyle w:val="77"/>
        <w:shd w:val="clear" w:color="auto" w:fill="auto"/>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说明：1、填写前请认真阅读</w:t>
      </w:r>
      <w:r>
        <w:rPr>
          <w:rFonts w:hint="eastAsia" w:ascii="宋体" w:hAnsi="宋体" w:eastAsia="宋体" w:cs="宋体"/>
          <w:color w:val="auto"/>
          <w:spacing w:val="6"/>
          <w:kern w:val="0"/>
          <w:sz w:val="24"/>
          <w:szCs w:val="24"/>
          <w:highlight w:val="none"/>
        </w:rPr>
        <w:t>《工业和信息化部、国家统计局、国家发展和改革委员会、财政部关于印发中小企业划型标准规定的通知》（工信部联企业</w:t>
      </w:r>
      <w:r>
        <w:rPr>
          <w:rFonts w:hint="eastAsia" w:ascii="宋体" w:hAnsi="宋体" w:eastAsia="宋体" w:cs="宋体"/>
          <w:color w:val="auto"/>
          <w:spacing w:val="6"/>
          <w:sz w:val="24"/>
          <w:szCs w:val="24"/>
          <w:highlight w:val="none"/>
        </w:rPr>
        <w:t>〔2011〕</w:t>
      </w:r>
      <w:r>
        <w:rPr>
          <w:rFonts w:hint="eastAsia" w:ascii="宋体" w:hAnsi="宋体" w:eastAsia="宋体" w:cs="宋体"/>
          <w:color w:val="auto"/>
          <w:spacing w:val="6"/>
          <w:kern w:val="0"/>
          <w:sz w:val="24"/>
          <w:szCs w:val="24"/>
          <w:highlight w:val="none"/>
        </w:rPr>
        <w:t>300号）和</w:t>
      </w:r>
      <w:r>
        <w:rPr>
          <w:rFonts w:hint="eastAsia" w:ascii="宋体" w:hAnsi="宋体" w:eastAsia="宋体" w:cs="宋体"/>
          <w:color w:val="auto"/>
          <w:spacing w:val="6"/>
          <w:sz w:val="24"/>
          <w:szCs w:val="24"/>
          <w:highlight w:val="none"/>
        </w:rPr>
        <w:t>财政部、工业和信息化部《关于印发&lt;政府采购促进中小企业发展管理办法&gt;的通知》（财库〔2020〕46号）</w:t>
      </w:r>
      <w:r>
        <w:rPr>
          <w:rFonts w:hint="eastAsia" w:ascii="宋体" w:hAnsi="宋体" w:eastAsia="宋体" w:cs="宋体"/>
          <w:color w:val="auto"/>
          <w:sz w:val="24"/>
          <w:szCs w:val="24"/>
          <w:highlight w:val="none"/>
        </w:rPr>
        <w:t>相关规定。</w:t>
      </w:r>
    </w:p>
    <w:p w14:paraId="1DB6751F">
      <w:pPr>
        <w:pStyle w:val="77"/>
        <w:shd w:val="clear" w:color="auto" w:fill="auto"/>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2、中小企业部分提供其他中小企业制造货物的应另附说明，并与后面的报价一栏表保持一致。</w:t>
      </w:r>
    </w:p>
    <w:p w14:paraId="728BFEC6">
      <w:pPr>
        <w:pStyle w:val="77"/>
        <w:shd w:val="clear" w:color="auto" w:fill="auto"/>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3、未按上述要求提供、填写的，评审时不予以考虑。</w:t>
      </w:r>
    </w:p>
    <w:p w14:paraId="5E6FEFA0">
      <w:pPr>
        <w:pStyle w:val="77"/>
        <w:adjustRightInd w:val="0"/>
        <w:snapToGrid w:val="0"/>
        <w:spacing w:line="360" w:lineRule="auto"/>
        <w:ind w:firstLine="600" w:firstLineChars="250"/>
        <w:rPr>
          <w:rFonts w:hint="eastAsia" w:ascii="宋体" w:hAnsi="宋体" w:eastAsia="宋体" w:cs="宋体"/>
          <w:color w:val="auto"/>
          <w:sz w:val="24"/>
          <w:szCs w:val="24"/>
          <w:highlight w:val="none"/>
        </w:rPr>
      </w:pPr>
    </w:p>
    <w:p w14:paraId="169D01E8">
      <w:pPr>
        <w:pStyle w:val="78"/>
        <w:spacing w:line="360" w:lineRule="auto"/>
        <w:ind w:firstLine="6000" w:firstLineChars="2500"/>
        <w:jc w:val="right"/>
        <w:rPr>
          <w:rFonts w:hint="eastAsia" w:ascii="宋体" w:hAnsi="宋体" w:eastAsia="宋体" w:cs="宋体"/>
          <w:color w:val="auto"/>
          <w:sz w:val="24"/>
          <w:highlight w:val="none"/>
        </w:rPr>
      </w:pPr>
    </w:p>
    <w:p w14:paraId="1842A795">
      <w:pPr>
        <w:pStyle w:val="77"/>
        <w:spacing w:line="440" w:lineRule="exact"/>
        <w:ind w:firstLine="420"/>
        <w:jc w:val="center"/>
        <w:rPr>
          <w:rFonts w:hint="eastAsia" w:ascii="宋体" w:hAnsi="宋体" w:eastAsia="宋体" w:cs="宋体"/>
          <w:b/>
          <w:bCs/>
          <w:color w:val="auto"/>
          <w:spacing w:val="6"/>
          <w:kern w:val="0"/>
          <w:sz w:val="28"/>
          <w:szCs w:val="28"/>
          <w:highlight w:val="none"/>
        </w:rPr>
        <w:sectPr>
          <w:pgSz w:w="11906" w:h="16838"/>
          <w:pgMar w:top="1440" w:right="1797" w:bottom="1440" w:left="1797" w:header="851" w:footer="992" w:gutter="0"/>
          <w:pgNumType w:fmt="decimal"/>
          <w:cols w:space="720" w:num="1"/>
          <w:titlePg/>
          <w:docGrid w:type="lines" w:linePitch="312" w:charSpace="0"/>
        </w:sectPr>
      </w:pPr>
    </w:p>
    <w:p w14:paraId="1E368A22">
      <w:pPr>
        <w:pStyle w:val="77"/>
        <w:spacing w:line="440" w:lineRule="exact"/>
        <w:ind w:firstLine="420"/>
        <w:jc w:val="center"/>
        <w:rPr>
          <w:rFonts w:hint="eastAsia" w:ascii="宋体" w:hAnsi="宋体" w:eastAsia="宋体" w:cs="宋体"/>
          <w:b/>
          <w:bCs/>
          <w:color w:val="auto"/>
          <w:spacing w:val="6"/>
          <w:kern w:val="0"/>
          <w:sz w:val="28"/>
          <w:szCs w:val="28"/>
          <w:highlight w:val="none"/>
        </w:rPr>
      </w:pPr>
      <w:r>
        <w:rPr>
          <w:rFonts w:hint="eastAsia" w:ascii="宋体" w:hAnsi="宋体" w:eastAsia="宋体" w:cs="宋体"/>
          <w:b/>
          <w:bCs/>
          <w:color w:val="auto"/>
          <w:spacing w:val="6"/>
          <w:kern w:val="0"/>
          <w:sz w:val="28"/>
          <w:szCs w:val="28"/>
          <w:highlight w:val="none"/>
        </w:rPr>
        <w:t>2、残疾人福利性单位声明函</w:t>
      </w:r>
    </w:p>
    <w:p w14:paraId="1D735669">
      <w:pPr>
        <w:pStyle w:val="78"/>
        <w:spacing w:line="588" w:lineRule="exact"/>
        <w:rPr>
          <w:rFonts w:hint="eastAsia" w:ascii="宋体" w:hAnsi="宋体" w:eastAsia="宋体" w:cs="宋体"/>
          <w:b/>
          <w:color w:val="auto"/>
          <w:spacing w:val="6"/>
          <w:sz w:val="30"/>
          <w:szCs w:val="30"/>
          <w:highlight w:val="none"/>
        </w:rPr>
      </w:pPr>
    </w:p>
    <w:p w14:paraId="4DFE1D65">
      <w:pPr>
        <w:pStyle w:val="78"/>
        <w:widowControl/>
        <w:adjustRightInd w:val="0"/>
        <w:snapToGrid w:val="0"/>
        <w:spacing w:before="156" w:beforeLines="50" w:line="360" w:lineRule="auto"/>
        <w:ind w:firstLine="504" w:firstLineChars="200"/>
        <w:jc w:val="left"/>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F6F556F">
      <w:pPr>
        <w:pStyle w:val="78"/>
        <w:widowControl/>
        <w:adjustRightInd w:val="0"/>
        <w:snapToGrid w:val="0"/>
        <w:spacing w:before="156" w:beforeLines="50" w:line="360" w:lineRule="auto"/>
        <w:ind w:firstLine="504" w:firstLineChars="200"/>
        <w:jc w:val="left"/>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本单位对上述声明的真实性负责。如有虚假，将依法承担相应责任。</w:t>
      </w:r>
    </w:p>
    <w:p w14:paraId="15B3B104">
      <w:pPr>
        <w:pStyle w:val="78"/>
        <w:spacing w:line="588" w:lineRule="exact"/>
        <w:ind w:firstLine="504" w:firstLineChars="200"/>
        <w:rPr>
          <w:rFonts w:hint="eastAsia" w:ascii="宋体" w:hAnsi="宋体" w:eastAsia="宋体" w:cs="宋体"/>
          <w:color w:val="auto"/>
          <w:spacing w:val="6"/>
          <w:sz w:val="24"/>
          <w:highlight w:val="none"/>
        </w:rPr>
      </w:pPr>
    </w:p>
    <w:p w14:paraId="7298162F">
      <w:pPr>
        <w:pStyle w:val="78"/>
        <w:widowControl/>
        <w:adjustRightInd w:val="0"/>
        <w:snapToGrid w:val="0"/>
        <w:spacing w:line="360" w:lineRule="auto"/>
        <w:rPr>
          <w:rFonts w:hint="eastAsia" w:ascii="宋体" w:hAnsi="宋体" w:eastAsia="宋体" w:cs="宋体"/>
          <w:color w:val="auto"/>
          <w:spacing w:val="6"/>
          <w:sz w:val="24"/>
          <w:highlight w:val="none"/>
        </w:rPr>
      </w:pPr>
    </w:p>
    <w:p w14:paraId="26BD684B">
      <w:pPr>
        <w:pStyle w:val="78"/>
        <w:widowControl/>
        <w:adjustRightInd w:val="0"/>
        <w:snapToGrid w:val="0"/>
        <w:spacing w:line="360" w:lineRule="auto"/>
        <w:ind w:firstLine="1386" w:firstLineChars="550"/>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 xml:space="preserve">供应商名称（盖单位章）： </w:t>
      </w:r>
    </w:p>
    <w:p w14:paraId="1B8C827A">
      <w:pPr>
        <w:pStyle w:val="78"/>
        <w:spacing w:line="360" w:lineRule="auto"/>
        <w:ind w:right="504" w:firstLine="3654" w:firstLineChars="1450"/>
        <w:rPr>
          <w:rFonts w:hint="eastAsia" w:ascii="宋体" w:hAnsi="宋体" w:eastAsia="宋体" w:cs="宋体"/>
          <w:color w:val="auto"/>
          <w:sz w:val="24"/>
          <w:highlight w:val="none"/>
        </w:rPr>
      </w:pPr>
      <w:r>
        <w:rPr>
          <w:rFonts w:hint="eastAsia" w:ascii="宋体" w:hAnsi="宋体" w:eastAsia="宋体" w:cs="宋体"/>
          <w:color w:val="auto"/>
          <w:spacing w:val="6"/>
          <w:kern w:val="0"/>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F5BD984">
      <w:pPr>
        <w:pStyle w:val="77"/>
        <w:adjustRightInd w:val="0"/>
        <w:snapToGrid w:val="0"/>
        <w:spacing w:line="360" w:lineRule="auto"/>
        <w:ind w:right="24"/>
        <w:rPr>
          <w:rFonts w:hint="eastAsia" w:ascii="宋体" w:hAnsi="宋体" w:eastAsia="宋体" w:cs="宋体"/>
          <w:b/>
          <w:color w:val="auto"/>
          <w:highlight w:val="none"/>
        </w:rPr>
      </w:pPr>
    </w:p>
    <w:p w14:paraId="5664116A">
      <w:pPr>
        <w:pStyle w:val="77"/>
        <w:spacing w:line="440" w:lineRule="exact"/>
        <w:ind w:firstLine="420"/>
        <w:jc w:val="center"/>
        <w:rPr>
          <w:rFonts w:hint="eastAsia" w:ascii="宋体" w:hAnsi="宋体" w:eastAsia="宋体" w:cs="宋体"/>
          <w:b/>
          <w:color w:val="auto"/>
          <w:highlight w:val="none"/>
        </w:rPr>
      </w:pPr>
    </w:p>
    <w:p w14:paraId="256BC922">
      <w:pPr>
        <w:pStyle w:val="77"/>
        <w:spacing w:line="440" w:lineRule="exact"/>
        <w:ind w:firstLine="420"/>
        <w:jc w:val="center"/>
        <w:rPr>
          <w:rFonts w:hint="eastAsia" w:ascii="宋体" w:hAnsi="宋体" w:eastAsia="宋体" w:cs="宋体"/>
          <w:b/>
          <w:bCs/>
          <w:color w:val="auto"/>
          <w:spacing w:val="6"/>
          <w:kern w:val="0"/>
          <w:sz w:val="28"/>
          <w:szCs w:val="28"/>
          <w:highlight w:val="none"/>
        </w:rPr>
        <w:sectPr>
          <w:pgSz w:w="11906" w:h="16838"/>
          <w:pgMar w:top="1440" w:right="1797" w:bottom="1440" w:left="1797" w:header="851" w:footer="992" w:gutter="0"/>
          <w:pgNumType w:fmt="decimal"/>
          <w:cols w:space="720" w:num="1"/>
          <w:titlePg/>
          <w:docGrid w:type="lines" w:linePitch="312" w:charSpace="0"/>
        </w:sectPr>
      </w:pPr>
    </w:p>
    <w:p w14:paraId="385DE49D">
      <w:pPr>
        <w:pStyle w:val="77"/>
        <w:spacing w:line="440" w:lineRule="exact"/>
        <w:ind w:firstLine="420"/>
        <w:jc w:val="center"/>
        <w:rPr>
          <w:rFonts w:hint="eastAsia" w:ascii="宋体" w:hAnsi="宋体" w:eastAsia="宋体" w:cs="宋体"/>
          <w:b/>
          <w:color w:val="auto"/>
          <w:sz w:val="28"/>
          <w:szCs w:val="28"/>
          <w:highlight w:val="none"/>
        </w:rPr>
      </w:pPr>
      <w:r>
        <w:rPr>
          <w:rFonts w:hint="eastAsia" w:ascii="宋体" w:hAnsi="宋体" w:eastAsia="宋体" w:cs="宋体"/>
          <w:b/>
          <w:bCs/>
          <w:color w:val="auto"/>
          <w:spacing w:val="6"/>
          <w:kern w:val="0"/>
          <w:sz w:val="28"/>
          <w:szCs w:val="28"/>
          <w:highlight w:val="none"/>
        </w:rPr>
        <w:t>3、监狱企业证明材料</w:t>
      </w:r>
    </w:p>
    <w:p w14:paraId="10251153">
      <w:pPr>
        <w:pStyle w:val="77"/>
        <w:spacing w:line="440" w:lineRule="exact"/>
        <w:ind w:firstLine="420"/>
        <w:rPr>
          <w:rFonts w:hint="eastAsia" w:ascii="宋体" w:hAnsi="宋体" w:eastAsia="宋体" w:cs="宋体"/>
          <w:b/>
          <w:color w:val="auto"/>
          <w:highlight w:val="none"/>
        </w:rPr>
      </w:pPr>
    </w:p>
    <w:p w14:paraId="23FF275F">
      <w:pPr>
        <w:pStyle w:val="77"/>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1.如属于监狱企业，需提供由省级以上监狱管理局、戒毒管理局（含新疆生产建设兵团）出具的属于监狱企业的证明文件；</w:t>
      </w:r>
    </w:p>
    <w:p w14:paraId="0A764514">
      <w:pPr>
        <w:pStyle w:val="77"/>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2.证明材料加盖供应商公章。</w:t>
      </w:r>
    </w:p>
    <w:p w14:paraId="3058821B">
      <w:pPr>
        <w:pStyle w:val="49"/>
        <w:outlineLvl w:val="2"/>
        <w:rPr>
          <w:rFonts w:hint="eastAsia" w:ascii="宋体" w:hAnsi="宋体" w:eastAsia="宋体" w:cs="宋体"/>
          <w:color w:val="auto"/>
          <w:highlight w:val="none"/>
        </w:rPr>
        <w:sectPr>
          <w:pgSz w:w="11906" w:h="16838"/>
          <w:pgMar w:top="1440" w:right="1797" w:bottom="1440" w:left="1797" w:header="851" w:footer="992" w:gutter="0"/>
          <w:pgNumType w:fmt="decimal"/>
          <w:cols w:space="720" w:num="1"/>
          <w:titlePg/>
          <w:docGrid w:type="lines" w:linePitch="312" w:charSpace="0"/>
        </w:sectPr>
      </w:pPr>
    </w:p>
    <w:p w14:paraId="161982A0">
      <w:pPr>
        <w:pStyle w:val="49"/>
        <w:outlineLvl w:val="2"/>
        <w:rPr>
          <w:rFonts w:hint="eastAsia" w:ascii="宋体" w:hAnsi="宋体" w:eastAsia="宋体" w:cs="宋体"/>
          <w:color w:val="auto"/>
          <w:highlight w:val="none"/>
        </w:rPr>
      </w:pPr>
      <w:bookmarkStart w:id="214" w:name="_Toc28611"/>
      <w:bookmarkStart w:id="215" w:name="_Toc10368"/>
      <w:r>
        <w:rPr>
          <w:rFonts w:hint="eastAsia" w:ascii="宋体" w:hAnsi="宋体" w:eastAsia="宋体" w:cs="宋体"/>
          <w:color w:val="auto"/>
          <w:highlight w:val="none"/>
        </w:rPr>
        <w:t>（九）节能、环保产品明细表（如有）</w:t>
      </w:r>
      <w:bookmarkEnd w:id="214"/>
      <w:bookmarkEnd w:id="215"/>
    </w:p>
    <w:p w14:paraId="189C0FC3">
      <w:pPr>
        <w:pStyle w:val="77"/>
        <w:spacing w:line="440" w:lineRule="exact"/>
        <w:ind w:firstLine="420"/>
        <w:rPr>
          <w:rFonts w:hint="eastAsia" w:ascii="宋体" w:hAnsi="宋体" w:eastAsia="宋体" w:cs="宋体"/>
          <w:color w:val="auto"/>
          <w:highlight w:val="none"/>
        </w:rPr>
      </w:pPr>
    </w:p>
    <w:p w14:paraId="0F130CBF">
      <w:pPr>
        <w:pStyle w:val="77"/>
        <w:spacing w:line="440" w:lineRule="exact"/>
        <w:ind w:firstLine="420"/>
        <w:rPr>
          <w:rFonts w:hint="eastAsia" w:ascii="宋体" w:hAnsi="宋体" w:eastAsia="宋体" w:cs="宋体"/>
          <w:color w:val="auto"/>
          <w:highlight w:val="none"/>
        </w:rPr>
      </w:pPr>
    </w:p>
    <w:p w14:paraId="6431F360">
      <w:pPr>
        <w:pStyle w:val="77"/>
        <w:spacing w:line="440" w:lineRule="exact"/>
        <w:ind w:firstLine="420"/>
        <w:rPr>
          <w:rFonts w:hint="eastAsia" w:ascii="宋体" w:hAnsi="宋体" w:eastAsia="宋体" w:cs="宋体"/>
          <w:color w:val="auto"/>
          <w:highlight w:val="none"/>
        </w:rPr>
        <w:sectPr>
          <w:pgSz w:w="11906" w:h="16838"/>
          <w:pgMar w:top="1440" w:right="1797" w:bottom="1440" w:left="1797" w:header="851" w:footer="992" w:gutter="0"/>
          <w:pgNumType w:fmt="decimal"/>
          <w:cols w:space="720" w:num="1"/>
          <w:titlePg/>
          <w:docGrid w:type="lines" w:linePitch="312" w:charSpace="0"/>
        </w:sectPr>
      </w:pPr>
      <w:r>
        <w:rPr>
          <w:rFonts w:hint="eastAsia" w:ascii="宋体" w:hAnsi="宋体" w:eastAsia="宋体" w:cs="宋体"/>
          <w:color w:val="auto"/>
          <w:highlight w:val="none"/>
        </w:rPr>
        <w:t>格式自拟</w:t>
      </w:r>
    </w:p>
    <w:p w14:paraId="265535CB">
      <w:pPr>
        <w:pStyle w:val="49"/>
        <w:outlineLvl w:val="2"/>
        <w:rPr>
          <w:rFonts w:hint="eastAsia" w:ascii="宋体" w:hAnsi="宋体" w:eastAsia="宋体" w:cs="宋体"/>
          <w:color w:val="auto"/>
          <w:highlight w:val="none"/>
        </w:rPr>
      </w:pPr>
      <w:bookmarkStart w:id="216" w:name="_Toc9733"/>
      <w:bookmarkStart w:id="217" w:name="_Toc17785"/>
      <w:r>
        <w:rPr>
          <w:rFonts w:hint="eastAsia" w:ascii="宋体" w:hAnsi="宋体" w:eastAsia="宋体" w:cs="宋体"/>
          <w:color w:val="auto"/>
          <w:highlight w:val="none"/>
        </w:rPr>
        <w:t>（十）供应商认为有必要提供的其他商务资料</w:t>
      </w:r>
      <w:bookmarkEnd w:id="216"/>
      <w:bookmarkEnd w:id="217"/>
    </w:p>
    <w:p w14:paraId="6263F96F">
      <w:pPr>
        <w:pStyle w:val="21"/>
        <w:shd w:val="clear" w:color="auto" w:fill="FFFFFF"/>
        <w:spacing w:line="360" w:lineRule="auto"/>
        <w:ind w:firstLine="480" w:firstLineChars="200"/>
        <w:rPr>
          <w:rFonts w:hint="eastAsia" w:ascii="宋体" w:hAnsi="宋体" w:eastAsia="宋体" w:cs="宋体"/>
          <w:color w:val="auto"/>
          <w:highlight w:val="none"/>
        </w:rPr>
      </w:pPr>
    </w:p>
    <w:p w14:paraId="2F06CF4A">
      <w:pPr>
        <w:pStyle w:val="21"/>
        <w:shd w:val="clear" w:color="auto" w:fill="FFFFFF"/>
        <w:spacing w:line="360" w:lineRule="auto"/>
        <w:ind w:firstLine="480" w:firstLineChars="200"/>
        <w:rPr>
          <w:rFonts w:hint="eastAsia" w:ascii="宋体" w:hAnsi="宋体" w:eastAsia="宋体" w:cs="宋体"/>
          <w:color w:val="auto"/>
          <w:highlight w:val="none"/>
        </w:rPr>
      </w:pPr>
    </w:p>
    <w:p w14:paraId="6A4F0615">
      <w:pPr>
        <w:pStyle w:val="21"/>
        <w:shd w:val="clear" w:color="auto" w:fill="FFFFFF"/>
        <w:spacing w:line="360" w:lineRule="auto"/>
        <w:ind w:firstLine="480" w:firstLineChars="200"/>
        <w:rPr>
          <w:rFonts w:hint="eastAsia" w:ascii="宋体" w:hAnsi="宋体" w:eastAsia="宋体" w:cs="宋体"/>
          <w:color w:val="auto"/>
          <w:highlight w:val="none"/>
        </w:rPr>
        <w:sectPr>
          <w:pgSz w:w="11906" w:h="16838"/>
          <w:pgMar w:top="1440" w:right="1797" w:bottom="1440" w:left="1797" w:header="851" w:footer="992" w:gutter="0"/>
          <w:pgNumType w:fmt="decimal"/>
          <w:cols w:space="720" w:num="1"/>
          <w:titlePg/>
          <w:docGrid w:type="lines" w:linePitch="312" w:charSpace="0"/>
        </w:sectPr>
      </w:pPr>
      <w:r>
        <w:rPr>
          <w:rFonts w:hint="eastAsia" w:ascii="宋体" w:hAnsi="宋体" w:eastAsia="宋体" w:cs="宋体"/>
          <w:color w:val="auto"/>
          <w:highlight w:val="none"/>
        </w:rPr>
        <w:t>格式自拟</w:t>
      </w:r>
    </w:p>
    <w:p w14:paraId="7209CED8">
      <w:pPr>
        <w:pStyle w:val="63"/>
        <w:outlineLvl w:val="1"/>
        <w:rPr>
          <w:rFonts w:hint="eastAsia" w:ascii="宋体" w:hAnsi="宋体" w:eastAsia="宋体" w:cs="宋体"/>
          <w:color w:val="auto"/>
          <w:highlight w:val="none"/>
        </w:rPr>
      </w:pPr>
      <w:bookmarkStart w:id="218" w:name="_Toc18309"/>
      <w:bookmarkStart w:id="219" w:name="_Toc21249"/>
      <w:r>
        <w:rPr>
          <w:rFonts w:hint="eastAsia" w:ascii="宋体" w:hAnsi="宋体" w:eastAsia="宋体" w:cs="宋体"/>
          <w:color w:val="auto"/>
          <w:highlight w:val="none"/>
        </w:rPr>
        <w:t>四、技术文件</w:t>
      </w:r>
      <w:bookmarkEnd w:id="218"/>
      <w:bookmarkEnd w:id="219"/>
    </w:p>
    <w:p w14:paraId="36AD65D5">
      <w:pPr>
        <w:pStyle w:val="49"/>
        <w:outlineLvl w:val="2"/>
        <w:rPr>
          <w:rFonts w:hint="eastAsia" w:ascii="宋体" w:hAnsi="宋体" w:eastAsia="宋体" w:cs="宋体"/>
          <w:color w:val="auto"/>
          <w:highlight w:val="none"/>
        </w:rPr>
      </w:pPr>
      <w:bookmarkStart w:id="220" w:name="_Toc28471"/>
      <w:bookmarkStart w:id="221" w:name="_Toc2410"/>
      <w:r>
        <w:rPr>
          <w:rFonts w:hint="eastAsia" w:ascii="宋体" w:hAnsi="宋体" w:eastAsia="宋体" w:cs="宋体"/>
          <w:color w:val="auto"/>
          <w:highlight w:val="none"/>
        </w:rPr>
        <w:t>（一）</w:t>
      </w:r>
      <w:bookmarkEnd w:id="211"/>
      <w:bookmarkStart w:id="222" w:name="_Hlk78746225"/>
      <w:r>
        <w:rPr>
          <w:rFonts w:hint="eastAsia" w:ascii="宋体" w:hAnsi="宋体" w:eastAsia="宋体" w:cs="宋体"/>
          <w:color w:val="auto"/>
          <w:highlight w:val="none"/>
        </w:rPr>
        <w:t>供应商自行编写的服务方案及相关文件</w:t>
      </w:r>
      <w:bookmarkEnd w:id="220"/>
      <w:bookmarkEnd w:id="221"/>
      <w:bookmarkEnd w:id="222"/>
    </w:p>
    <w:p w14:paraId="71F31F89">
      <w:pPr>
        <w:pStyle w:val="79"/>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包括但不限于以下内容、</w:t>
      </w:r>
      <w:r>
        <w:rPr>
          <w:rFonts w:hint="eastAsia" w:ascii="宋体" w:hAnsi="宋体" w:eastAsia="宋体" w:cs="宋体"/>
          <w:b/>
          <w:color w:val="auto"/>
          <w:sz w:val="24"/>
          <w:highlight w:val="none"/>
          <w:u w:val="single"/>
        </w:rPr>
        <w:t>建议按照评审标准提供相应资料</w:t>
      </w:r>
    </w:p>
    <w:p w14:paraId="0B19CB58">
      <w:pPr>
        <w:pStyle w:val="79"/>
        <w:spacing w:line="360" w:lineRule="auto"/>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w:t>
      </w:r>
      <w:r>
        <w:rPr>
          <w:rFonts w:hint="eastAsia" w:ascii="宋体" w:hAnsi="宋体" w:eastAsia="宋体" w:cs="宋体"/>
          <w:bCs/>
          <w:color w:val="auto"/>
          <w:sz w:val="24"/>
          <w:highlight w:val="none"/>
        </w:rPr>
        <w:t>针对本项目的</w:t>
      </w:r>
      <w:r>
        <w:rPr>
          <w:rFonts w:hint="eastAsia" w:ascii="宋体" w:hAnsi="宋体" w:eastAsia="宋体" w:cs="宋体"/>
          <w:bCs/>
          <w:color w:val="auto"/>
          <w:sz w:val="24"/>
          <w:highlight w:val="none"/>
          <w:lang w:val="en-US" w:eastAsia="zh-CN"/>
        </w:rPr>
        <w:t>项目实施方案</w:t>
      </w:r>
    </w:p>
    <w:p w14:paraId="14B62E43">
      <w:pPr>
        <w:pStyle w:val="79"/>
        <w:spacing w:line="360" w:lineRule="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①浇水排水、修剪、施肥、松土除草、清理树坑、扶植、死亡苗木更换、翻地播种、冬季防寒措施等；</w:t>
      </w:r>
    </w:p>
    <w:p w14:paraId="290A3E3F">
      <w:pPr>
        <w:pStyle w:val="79"/>
        <w:spacing w:line="360" w:lineRule="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②病虫害防治、树木涂白；</w:t>
      </w:r>
    </w:p>
    <w:p w14:paraId="6A063544">
      <w:pPr>
        <w:pStyle w:val="79"/>
        <w:spacing w:line="360" w:lineRule="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③乔木、灌木、花卉、地被、绿篱、草坪的养护；</w:t>
      </w:r>
    </w:p>
    <w:p w14:paraId="51DAA9F4">
      <w:pPr>
        <w:pStyle w:val="79"/>
        <w:spacing w:line="360" w:lineRule="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④清除死树枯枝、清理枯枝落叶、清运绿化垃圾的方案；</w:t>
      </w:r>
    </w:p>
    <w:p w14:paraId="5CA20D50">
      <w:pPr>
        <w:pStyle w:val="79"/>
        <w:spacing w:line="360" w:lineRule="auto"/>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⑤编制养护日志及建立植物档案库方案</w:t>
      </w:r>
      <w:r>
        <w:rPr>
          <w:rFonts w:hint="eastAsia" w:ascii="宋体" w:hAnsi="宋体" w:cs="宋体"/>
          <w:bCs/>
          <w:color w:val="auto"/>
          <w:sz w:val="24"/>
          <w:highlight w:val="none"/>
          <w:lang w:val="en-US" w:eastAsia="zh-CN"/>
        </w:rPr>
        <w:t>；</w:t>
      </w:r>
    </w:p>
    <w:p w14:paraId="3221CD27">
      <w:pPr>
        <w:pStyle w:val="79"/>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⑥安全施工作业方案等</w:t>
      </w:r>
      <w:r>
        <w:rPr>
          <w:rFonts w:hint="eastAsia" w:ascii="宋体" w:hAnsi="宋体" w:cs="宋体"/>
          <w:bCs/>
          <w:color w:val="auto"/>
          <w:sz w:val="24"/>
          <w:highlight w:val="none"/>
          <w:lang w:val="en-US" w:eastAsia="zh-CN"/>
        </w:rPr>
        <w:t>。</w:t>
      </w:r>
    </w:p>
    <w:p w14:paraId="125E992E">
      <w:pPr>
        <w:pStyle w:val="79"/>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2、作业管理制度方案</w:t>
      </w:r>
    </w:p>
    <w:p w14:paraId="2217A807">
      <w:pPr>
        <w:pStyle w:val="79"/>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①对人员的管理与培训方案；</w:t>
      </w:r>
    </w:p>
    <w:p w14:paraId="2F0A0AE3">
      <w:pPr>
        <w:pStyle w:val="79"/>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②对机具的管理；</w:t>
      </w:r>
    </w:p>
    <w:p w14:paraId="6B24FA91">
      <w:pPr>
        <w:pStyle w:val="79"/>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③针对各项维护内容的巡查措施；</w:t>
      </w:r>
    </w:p>
    <w:p w14:paraId="7D7E1A94">
      <w:pPr>
        <w:pStyle w:val="79"/>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④巡查岗位职责及巡查流程；</w:t>
      </w:r>
    </w:p>
    <w:p w14:paraId="78453A1A">
      <w:pPr>
        <w:pStyle w:val="79"/>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⑤发现问题、上报及处置机制等。</w:t>
      </w:r>
    </w:p>
    <w:p w14:paraId="2F7A1521">
      <w:pPr>
        <w:pStyle w:val="79"/>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3、质量控制方案</w:t>
      </w:r>
    </w:p>
    <w:p w14:paraId="29FC7112">
      <w:pPr>
        <w:pStyle w:val="79"/>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①质量控制目标；</w:t>
      </w:r>
    </w:p>
    <w:p w14:paraId="6B44C563">
      <w:pPr>
        <w:pStyle w:val="79"/>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②绿化管护质量控制措施等。</w:t>
      </w:r>
    </w:p>
    <w:p w14:paraId="4B60E710">
      <w:pPr>
        <w:pStyle w:val="79"/>
        <w:spacing w:line="360" w:lineRule="auto"/>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lang w:val="en-GB" w:eastAsia="zh-CN"/>
        </w:rPr>
        <w:t>本地化服务</w:t>
      </w:r>
      <w:r>
        <w:rPr>
          <w:rFonts w:hint="eastAsia" w:ascii="宋体" w:hAnsi="宋体" w:cs="宋体"/>
          <w:bCs/>
          <w:color w:val="auto"/>
          <w:sz w:val="24"/>
          <w:highlight w:val="none"/>
          <w:lang w:val="en-GB" w:eastAsia="zh-CN"/>
        </w:rPr>
        <w:t>（</w:t>
      </w:r>
      <w:r>
        <w:rPr>
          <w:rFonts w:hint="eastAsia" w:ascii="宋体" w:hAnsi="宋体" w:cs="宋体"/>
          <w:bCs/>
          <w:color w:val="auto"/>
          <w:sz w:val="24"/>
          <w:highlight w:val="none"/>
          <w:lang w:val="en-US" w:eastAsia="zh-CN"/>
        </w:rPr>
        <w:t>证明资料或承诺</w:t>
      </w:r>
      <w:r>
        <w:rPr>
          <w:rFonts w:hint="eastAsia" w:ascii="宋体" w:hAnsi="宋体" w:cs="宋体"/>
          <w:bCs/>
          <w:color w:val="auto"/>
          <w:sz w:val="24"/>
          <w:highlight w:val="none"/>
          <w:lang w:val="en-GB" w:eastAsia="zh-CN"/>
        </w:rPr>
        <w:t>）</w:t>
      </w:r>
      <w:r>
        <w:rPr>
          <w:rFonts w:hint="eastAsia" w:ascii="宋体" w:hAnsi="宋体" w:eastAsia="宋体" w:cs="宋体"/>
          <w:bCs/>
          <w:color w:val="auto"/>
          <w:sz w:val="24"/>
          <w:highlight w:val="none"/>
        </w:rPr>
        <w:t>；</w:t>
      </w:r>
    </w:p>
    <w:p w14:paraId="740B336F">
      <w:pPr>
        <w:pStyle w:val="79"/>
        <w:spacing w:line="360" w:lineRule="auto"/>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5、</w:t>
      </w:r>
      <w:r>
        <w:rPr>
          <w:rFonts w:hint="eastAsia" w:ascii="宋体" w:hAnsi="宋体" w:eastAsia="宋体" w:cs="宋体"/>
          <w:bCs/>
          <w:color w:val="auto"/>
          <w:sz w:val="24"/>
          <w:highlight w:val="none"/>
          <w:lang w:val="en-GB" w:eastAsia="zh-CN"/>
        </w:rPr>
        <w:t>服务承诺</w:t>
      </w:r>
      <w:r>
        <w:rPr>
          <w:rFonts w:hint="eastAsia" w:ascii="宋体" w:hAnsi="宋体" w:eastAsia="宋体" w:cs="宋体"/>
          <w:bCs/>
          <w:color w:val="auto"/>
          <w:sz w:val="24"/>
          <w:highlight w:val="none"/>
        </w:rPr>
        <w:t>；</w:t>
      </w:r>
    </w:p>
    <w:p w14:paraId="1360C026">
      <w:pPr>
        <w:pStyle w:val="80"/>
        <w:spacing w:line="360" w:lineRule="auto"/>
        <w:rPr>
          <w:rFonts w:hint="eastAsia" w:ascii="宋体" w:hAnsi="宋体" w:eastAsia="宋体" w:cs="宋体"/>
          <w:color w:val="auto"/>
          <w:sz w:val="24"/>
          <w:highlight w:val="none"/>
        </w:rPr>
      </w:pP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lang w:val="en-GB" w:eastAsia="zh-CN"/>
        </w:rPr>
        <w:t>应急保障</w:t>
      </w:r>
      <w:r>
        <w:rPr>
          <w:rFonts w:hint="eastAsia" w:ascii="宋体" w:hAnsi="宋体" w:cs="宋体"/>
          <w:bCs/>
          <w:color w:val="auto"/>
          <w:sz w:val="24"/>
          <w:highlight w:val="none"/>
          <w:lang w:val="en-GB" w:eastAsia="zh-CN"/>
        </w:rPr>
        <w:t>。</w:t>
      </w:r>
    </w:p>
    <w:p w14:paraId="354E30E8">
      <w:pPr>
        <w:pStyle w:val="79"/>
        <w:spacing w:line="360" w:lineRule="auto"/>
        <w:rPr>
          <w:rFonts w:hint="eastAsia" w:ascii="宋体" w:hAnsi="宋体" w:eastAsia="宋体" w:cs="宋体"/>
          <w:bCs/>
          <w:color w:val="auto"/>
          <w:sz w:val="24"/>
          <w:highlight w:val="none"/>
        </w:rPr>
      </w:pPr>
    </w:p>
    <w:p w14:paraId="66BAA0FA">
      <w:pPr>
        <w:pStyle w:val="79"/>
        <w:spacing w:line="360" w:lineRule="auto"/>
        <w:rPr>
          <w:rFonts w:hint="eastAsia" w:ascii="宋体" w:hAnsi="宋体" w:eastAsia="宋体" w:cs="宋体"/>
          <w:bCs/>
          <w:color w:val="auto"/>
          <w:sz w:val="24"/>
          <w:highlight w:val="none"/>
        </w:rPr>
      </w:pPr>
    </w:p>
    <w:p w14:paraId="03476F30">
      <w:pPr>
        <w:pStyle w:val="79"/>
        <w:spacing w:line="360" w:lineRule="auto"/>
        <w:rPr>
          <w:rFonts w:hint="eastAsia" w:ascii="宋体" w:hAnsi="宋体" w:eastAsia="宋体" w:cs="宋体"/>
          <w:bCs/>
          <w:color w:val="auto"/>
          <w:sz w:val="24"/>
          <w:highlight w:val="none"/>
        </w:rPr>
      </w:pPr>
    </w:p>
    <w:p w14:paraId="69597B18">
      <w:pPr>
        <w:pStyle w:val="79"/>
        <w:spacing w:line="360" w:lineRule="auto"/>
        <w:rPr>
          <w:rFonts w:hint="eastAsia" w:ascii="宋体" w:hAnsi="宋体" w:eastAsia="宋体" w:cs="宋体"/>
          <w:bCs/>
          <w:color w:val="auto"/>
          <w:sz w:val="24"/>
          <w:highlight w:val="none"/>
        </w:rPr>
        <w:sectPr>
          <w:pgSz w:w="11906" w:h="16838"/>
          <w:pgMar w:top="1440" w:right="1106" w:bottom="1440" w:left="1800" w:header="851" w:footer="752" w:gutter="0"/>
          <w:pgNumType w:fmt="decimal"/>
          <w:cols w:space="720" w:num="1"/>
          <w:docGrid w:type="lines" w:linePitch="312" w:charSpace="0"/>
        </w:sectPr>
      </w:pPr>
    </w:p>
    <w:p w14:paraId="79D2720C">
      <w:pPr>
        <w:pStyle w:val="49"/>
        <w:outlineLvl w:val="2"/>
        <w:rPr>
          <w:rFonts w:hint="eastAsia" w:ascii="宋体" w:hAnsi="宋体" w:eastAsia="宋体" w:cs="宋体"/>
          <w:color w:val="auto"/>
          <w:highlight w:val="none"/>
        </w:rPr>
      </w:pPr>
      <w:bookmarkStart w:id="223" w:name="_Toc13009"/>
      <w:bookmarkStart w:id="224" w:name="_Toc14789"/>
      <w:r>
        <w:rPr>
          <w:rFonts w:hint="eastAsia" w:ascii="宋体" w:hAnsi="宋体" w:eastAsia="宋体" w:cs="宋体"/>
          <w:color w:val="auto"/>
          <w:highlight w:val="none"/>
        </w:rPr>
        <w:t>（二）</w:t>
      </w:r>
      <w:bookmarkStart w:id="225" w:name="_Hlk78746508"/>
      <w:r>
        <w:rPr>
          <w:rFonts w:hint="eastAsia" w:ascii="宋体" w:hAnsi="宋体" w:eastAsia="宋体" w:cs="宋体"/>
          <w:color w:val="auto"/>
          <w:highlight w:val="none"/>
        </w:rPr>
        <w:t>技术规范偏离表</w:t>
      </w:r>
      <w:bookmarkEnd w:id="225"/>
      <w:r>
        <w:rPr>
          <w:rFonts w:hint="eastAsia" w:ascii="宋体" w:hAnsi="宋体" w:eastAsia="宋体" w:cs="宋体"/>
          <w:color w:val="auto"/>
          <w:highlight w:val="none"/>
        </w:rPr>
        <w:t>；</w:t>
      </w:r>
      <w:bookmarkEnd w:id="223"/>
      <w:bookmarkEnd w:id="224"/>
    </w:p>
    <w:p w14:paraId="2FFC7DD9">
      <w:pPr>
        <w:pStyle w:val="81"/>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14:paraId="63FE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vAlign w:val="center"/>
          </w:tcPr>
          <w:p w14:paraId="287EF4CD">
            <w:pPr>
              <w:pStyle w:val="79"/>
              <w:tabs>
                <w:tab w:val="left" w:pos="1337"/>
              </w:tabs>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序号</w:t>
            </w:r>
          </w:p>
        </w:tc>
        <w:tc>
          <w:tcPr>
            <w:tcW w:w="2101" w:type="dxa"/>
            <w:tcBorders>
              <w:top w:val="single" w:color="auto" w:sz="12" w:space="0"/>
            </w:tcBorders>
            <w:vAlign w:val="center"/>
          </w:tcPr>
          <w:p w14:paraId="68BE6DF8">
            <w:pPr>
              <w:pStyle w:val="79"/>
              <w:tabs>
                <w:tab w:val="left" w:pos="1337"/>
              </w:tabs>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服务名称及编号</w:t>
            </w:r>
          </w:p>
        </w:tc>
        <w:tc>
          <w:tcPr>
            <w:tcW w:w="1021" w:type="dxa"/>
            <w:tcBorders>
              <w:top w:val="single" w:color="auto" w:sz="12" w:space="0"/>
            </w:tcBorders>
            <w:vAlign w:val="center"/>
          </w:tcPr>
          <w:p w14:paraId="2EF46585">
            <w:pPr>
              <w:pStyle w:val="79"/>
              <w:tabs>
                <w:tab w:val="left" w:pos="1337"/>
              </w:tabs>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数量</w:t>
            </w:r>
          </w:p>
        </w:tc>
        <w:tc>
          <w:tcPr>
            <w:tcW w:w="1707" w:type="dxa"/>
            <w:tcBorders>
              <w:top w:val="single" w:color="auto" w:sz="12" w:space="0"/>
            </w:tcBorders>
            <w:vAlign w:val="center"/>
          </w:tcPr>
          <w:p w14:paraId="0887BF80">
            <w:pPr>
              <w:pStyle w:val="79"/>
              <w:tabs>
                <w:tab w:val="left" w:pos="1337"/>
              </w:tabs>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磋商文件技术规范、要求</w:t>
            </w:r>
          </w:p>
        </w:tc>
        <w:tc>
          <w:tcPr>
            <w:tcW w:w="1337" w:type="dxa"/>
            <w:tcBorders>
              <w:top w:val="single" w:color="auto" w:sz="12" w:space="0"/>
            </w:tcBorders>
            <w:vAlign w:val="center"/>
          </w:tcPr>
          <w:p w14:paraId="61907103">
            <w:pPr>
              <w:pStyle w:val="79"/>
              <w:tabs>
                <w:tab w:val="left" w:pos="1337"/>
              </w:tabs>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响应文件对应规范</w:t>
            </w:r>
          </w:p>
        </w:tc>
        <w:tc>
          <w:tcPr>
            <w:tcW w:w="1337" w:type="dxa"/>
            <w:tcBorders>
              <w:top w:val="single" w:color="auto" w:sz="12" w:space="0"/>
            </w:tcBorders>
            <w:vAlign w:val="center"/>
          </w:tcPr>
          <w:p w14:paraId="09DDDB3B">
            <w:pPr>
              <w:pStyle w:val="79"/>
              <w:tabs>
                <w:tab w:val="left" w:pos="1337"/>
              </w:tabs>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偏差</w:t>
            </w:r>
          </w:p>
        </w:tc>
        <w:tc>
          <w:tcPr>
            <w:tcW w:w="977" w:type="dxa"/>
            <w:tcBorders>
              <w:top w:val="single" w:color="auto" w:sz="12" w:space="0"/>
              <w:right w:val="single" w:color="auto" w:sz="12" w:space="0"/>
            </w:tcBorders>
            <w:vAlign w:val="center"/>
          </w:tcPr>
          <w:p w14:paraId="76DE9D5C">
            <w:pPr>
              <w:pStyle w:val="79"/>
              <w:tabs>
                <w:tab w:val="left" w:pos="1337"/>
              </w:tabs>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备注</w:t>
            </w:r>
          </w:p>
        </w:tc>
      </w:tr>
      <w:tr w14:paraId="3992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vAlign w:val="center"/>
          </w:tcPr>
          <w:p w14:paraId="55D2DC68">
            <w:pPr>
              <w:pStyle w:val="79"/>
              <w:tabs>
                <w:tab w:val="left" w:pos="1337"/>
              </w:tabs>
              <w:spacing w:line="360" w:lineRule="auto"/>
              <w:jc w:val="center"/>
              <w:rPr>
                <w:rFonts w:hint="eastAsia" w:ascii="宋体" w:hAnsi="宋体" w:eastAsia="宋体" w:cs="宋体"/>
                <w:color w:val="auto"/>
                <w:sz w:val="24"/>
                <w:highlight w:val="none"/>
              </w:rPr>
            </w:pPr>
          </w:p>
        </w:tc>
        <w:tc>
          <w:tcPr>
            <w:tcW w:w="2101" w:type="dxa"/>
            <w:vAlign w:val="center"/>
          </w:tcPr>
          <w:p w14:paraId="46286615">
            <w:pPr>
              <w:pStyle w:val="79"/>
              <w:tabs>
                <w:tab w:val="left" w:pos="1337"/>
              </w:tabs>
              <w:spacing w:line="360" w:lineRule="auto"/>
              <w:jc w:val="center"/>
              <w:rPr>
                <w:rFonts w:hint="eastAsia" w:ascii="宋体" w:hAnsi="宋体" w:eastAsia="宋体" w:cs="宋体"/>
                <w:color w:val="auto"/>
                <w:sz w:val="24"/>
                <w:highlight w:val="none"/>
              </w:rPr>
            </w:pPr>
          </w:p>
        </w:tc>
        <w:tc>
          <w:tcPr>
            <w:tcW w:w="1021" w:type="dxa"/>
            <w:vAlign w:val="center"/>
          </w:tcPr>
          <w:p w14:paraId="0705A875">
            <w:pPr>
              <w:pStyle w:val="79"/>
              <w:tabs>
                <w:tab w:val="left" w:pos="1337"/>
              </w:tabs>
              <w:spacing w:line="360" w:lineRule="auto"/>
              <w:jc w:val="center"/>
              <w:rPr>
                <w:rFonts w:hint="eastAsia" w:ascii="宋体" w:hAnsi="宋体" w:eastAsia="宋体" w:cs="宋体"/>
                <w:color w:val="auto"/>
                <w:sz w:val="24"/>
                <w:highlight w:val="none"/>
              </w:rPr>
            </w:pPr>
          </w:p>
        </w:tc>
        <w:tc>
          <w:tcPr>
            <w:tcW w:w="1707" w:type="dxa"/>
            <w:vAlign w:val="center"/>
          </w:tcPr>
          <w:p w14:paraId="30432E50">
            <w:pPr>
              <w:pStyle w:val="79"/>
              <w:tabs>
                <w:tab w:val="left" w:pos="1337"/>
              </w:tabs>
              <w:spacing w:line="360" w:lineRule="auto"/>
              <w:jc w:val="center"/>
              <w:rPr>
                <w:rFonts w:hint="eastAsia" w:ascii="宋体" w:hAnsi="宋体" w:eastAsia="宋体" w:cs="宋体"/>
                <w:color w:val="auto"/>
                <w:sz w:val="24"/>
                <w:highlight w:val="none"/>
              </w:rPr>
            </w:pPr>
          </w:p>
        </w:tc>
        <w:tc>
          <w:tcPr>
            <w:tcW w:w="1337" w:type="dxa"/>
            <w:vAlign w:val="center"/>
          </w:tcPr>
          <w:p w14:paraId="0F4B9104">
            <w:pPr>
              <w:pStyle w:val="79"/>
              <w:tabs>
                <w:tab w:val="left" w:pos="1337"/>
              </w:tabs>
              <w:spacing w:line="360" w:lineRule="auto"/>
              <w:jc w:val="center"/>
              <w:rPr>
                <w:rFonts w:hint="eastAsia" w:ascii="宋体" w:hAnsi="宋体" w:eastAsia="宋体" w:cs="宋体"/>
                <w:color w:val="auto"/>
                <w:sz w:val="24"/>
                <w:highlight w:val="none"/>
              </w:rPr>
            </w:pPr>
          </w:p>
        </w:tc>
        <w:tc>
          <w:tcPr>
            <w:tcW w:w="1337" w:type="dxa"/>
            <w:vAlign w:val="center"/>
          </w:tcPr>
          <w:p w14:paraId="32988340">
            <w:pPr>
              <w:pStyle w:val="79"/>
              <w:tabs>
                <w:tab w:val="left" w:pos="1337"/>
              </w:tabs>
              <w:spacing w:line="360" w:lineRule="auto"/>
              <w:jc w:val="center"/>
              <w:rPr>
                <w:rFonts w:hint="eastAsia" w:ascii="宋体" w:hAnsi="宋体" w:eastAsia="宋体" w:cs="宋体"/>
                <w:color w:val="auto"/>
                <w:sz w:val="24"/>
                <w:highlight w:val="none"/>
              </w:rPr>
            </w:pPr>
          </w:p>
        </w:tc>
        <w:tc>
          <w:tcPr>
            <w:tcW w:w="977" w:type="dxa"/>
            <w:tcBorders>
              <w:right w:val="single" w:color="auto" w:sz="12" w:space="0"/>
            </w:tcBorders>
            <w:vAlign w:val="center"/>
          </w:tcPr>
          <w:p w14:paraId="0282E654">
            <w:pPr>
              <w:pStyle w:val="79"/>
              <w:tabs>
                <w:tab w:val="left" w:pos="1337"/>
              </w:tabs>
              <w:spacing w:line="360" w:lineRule="auto"/>
              <w:jc w:val="center"/>
              <w:rPr>
                <w:rFonts w:hint="eastAsia" w:ascii="宋体" w:hAnsi="宋体" w:eastAsia="宋体" w:cs="宋体"/>
                <w:color w:val="auto"/>
                <w:sz w:val="24"/>
                <w:highlight w:val="none"/>
              </w:rPr>
            </w:pPr>
          </w:p>
        </w:tc>
      </w:tr>
      <w:tr w14:paraId="3AB1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vAlign w:val="center"/>
          </w:tcPr>
          <w:p w14:paraId="1711DE8B">
            <w:pPr>
              <w:pStyle w:val="79"/>
              <w:tabs>
                <w:tab w:val="left" w:pos="1337"/>
              </w:tabs>
              <w:spacing w:line="360" w:lineRule="auto"/>
              <w:jc w:val="center"/>
              <w:rPr>
                <w:rFonts w:hint="eastAsia" w:ascii="宋体" w:hAnsi="宋体" w:eastAsia="宋体" w:cs="宋体"/>
                <w:color w:val="auto"/>
                <w:sz w:val="24"/>
                <w:highlight w:val="none"/>
              </w:rPr>
            </w:pPr>
          </w:p>
        </w:tc>
        <w:tc>
          <w:tcPr>
            <w:tcW w:w="2101" w:type="dxa"/>
            <w:vAlign w:val="center"/>
          </w:tcPr>
          <w:p w14:paraId="6867C273">
            <w:pPr>
              <w:pStyle w:val="79"/>
              <w:tabs>
                <w:tab w:val="left" w:pos="1337"/>
              </w:tabs>
              <w:spacing w:line="360" w:lineRule="auto"/>
              <w:jc w:val="center"/>
              <w:rPr>
                <w:rFonts w:hint="eastAsia" w:ascii="宋体" w:hAnsi="宋体" w:eastAsia="宋体" w:cs="宋体"/>
                <w:color w:val="auto"/>
                <w:sz w:val="24"/>
                <w:highlight w:val="none"/>
              </w:rPr>
            </w:pPr>
          </w:p>
        </w:tc>
        <w:tc>
          <w:tcPr>
            <w:tcW w:w="1021" w:type="dxa"/>
            <w:vAlign w:val="center"/>
          </w:tcPr>
          <w:p w14:paraId="0B883AC4">
            <w:pPr>
              <w:pStyle w:val="79"/>
              <w:tabs>
                <w:tab w:val="left" w:pos="1337"/>
              </w:tabs>
              <w:spacing w:line="360" w:lineRule="auto"/>
              <w:jc w:val="center"/>
              <w:rPr>
                <w:rFonts w:hint="eastAsia" w:ascii="宋体" w:hAnsi="宋体" w:eastAsia="宋体" w:cs="宋体"/>
                <w:color w:val="auto"/>
                <w:sz w:val="24"/>
                <w:highlight w:val="none"/>
              </w:rPr>
            </w:pPr>
          </w:p>
        </w:tc>
        <w:tc>
          <w:tcPr>
            <w:tcW w:w="1707" w:type="dxa"/>
            <w:vAlign w:val="center"/>
          </w:tcPr>
          <w:p w14:paraId="21E553B1">
            <w:pPr>
              <w:pStyle w:val="79"/>
              <w:tabs>
                <w:tab w:val="left" w:pos="1337"/>
              </w:tabs>
              <w:spacing w:line="360" w:lineRule="auto"/>
              <w:jc w:val="center"/>
              <w:rPr>
                <w:rFonts w:hint="eastAsia" w:ascii="宋体" w:hAnsi="宋体" w:eastAsia="宋体" w:cs="宋体"/>
                <w:color w:val="auto"/>
                <w:sz w:val="24"/>
                <w:highlight w:val="none"/>
              </w:rPr>
            </w:pPr>
          </w:p>
        </w:tc>
        <w:tc>
          <w:tcPr>
            <w:tcW w:w="1337" w:type="dxa"/>
            <w:vAlign w:val="center"/>
          </w:tcPr>
          <w:p w14:paraId="18B1F7C4">
            <w:pPr>
              <w:pStyle w:val="79"/>
              <w:tabs>
                <w:tab w:val="left" w:pos="1337"/>
              </w:tabs>
              <w:spacing w:line="360" w:lineRule="auto"/>
              <w:jc w:val="center"/>
              <w:rPr>
                <w:rFonts w:hint="eastAsia" w:ascii="宋体" w:hAnsi="宋体" w:eastAsia="宋体" w:cs="宋体"/>
                <w:color w:val="auto"/>
                <w:sz w:val="24"/>
                <w:highlight w:val="none"/>
              </w:rPr>
            </w:pPr>
          </w:p>
        </w:tc>
        <w:tc>
          <w:tcPr>
            <w:tcW w:w="1337" w:type="dxa"/>
            <w:vAlign w:val="center"/>
          </w:tcPr>
          <w:p w14:paraId="0FE31918">
            <w:pPr>
              <w:pStyle w:val="79"/>
              <w:tabs>
                <w:tab w:val="left" w:pos="1337"/>
              </w:tabs>
              <w:spacing w:line="360" w:lineRule="auto"/>
              <w:jc w:val="center"/>
              <w:rPr>
                <w:rFonts w:hint="eastAsia" w:ascii="宋体" w:hAnsi="宋体" w:eastAsia="宋体" w:cs="宋体"/>
                <w:color w:val="auto"/>
                <w:sz w:val="24"/>
                <w:highlight w:val="none"/>
              </w:rPr>
            </w:pPr>
          </w:p>
        </w:tc>
        <w:tc>
          <w:tcPr>
            <w:tcW w:w="977" w:type="dxa"/>
            <w:tcBorders>
              <w:right w:val="single" w:color="auto" w:sz="12" w:space="0"/>
            </w:tcBorders>
            <w:vAlign w:val="center"/>
          </w:tcPr>
          <w:p w14:paraId="54E5530B">
            <w:pPr>
              <w:pStyle w:val="79"/>
              <w:tabs>
                <w:tab w:val="left" w:pos="1337"/>
              </w:tabs>
              <w:spacing w:line="360" w:lineRule="auto"/>
              <w:jc w:val="center"/>
              <w:rPr>
                <w:rFonts w:hint="eastAsia" w:ascii="宋体" w:hAnsi="宋体" w:eastAsia="宋体" w:cs="宋体"/>
                <w:color w:val="auto"/>
                <w:sz w:val="24"/>
                <w:highlight w:val="none"/>
              </w:rPr>
            </w:pPr>
          </w:p>
        </w:tc>
      </w:tr>
      <w:tr w14:paraId="1B84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bottom w:val="single" w:color="auto" w:sz="12" w:space="0"/>
            </w:tcBorders>
            <w:vAlign w:val="center"/>
          </w:tcPr>
          <w:p w14:paraId="061A00C4">
            <w:pPr>
              <w:pStyle w:val="79"/>
              <w:tabs>
                <w:tab w:val="left" w:pos="1337"/>
              </w:tabs>
              <w:spacing w:line="360" w:lineRule="auto"/>
              <w:jc w:val="center"/>
              <w:rPr>
                <w:rFonts w:hint="eastAsia" w:ascii="宋体" w:hAnsi="宋体" w:eastAsia="宋体" w:cs="宋体"/>
                <w:color w:val="auto"/>
                <w:sz w:val="24"/>
                <w:highlight w:val="none"/>
              </w:rPr>
            </w:pPr>
          </w:p>
        </w:tc>
        <w:tc>
          <w:tcPr>
            <w:tcW w:w="2101" w:type="dxa"/>
            <w:tcBorders>
              <w:bottom w:val="single" w:color="auto" w:sz="12" w:space="0"/>
            </w:tcBorders>
            <w:vAlign w:val="center"/>
          </w:tcPr>
          <w:p w14:paraId="07A62A92">
            <w:pPr>
              <w:pStyle w:val="79"/>
              <w:tabs>
                <w:tab w:val="left" w:pos="1337"/>
              </w:tabs>
              <w:spacing w:line="360" w:lineRule="auto"/>
              <w:jc w:val="center"/>
              <w:rPr>
                <w:rFonts w:hint="eastAsia" w:ascii="宋体" w:hAnsi="宋体" w:eastAsia="宋体" w:cs="宋体"/>
                <w:color w:val="auto"/>
                <w:sz w:val="24"/>
                <w:highlight w:val="none"/>
              </w:rPr>
            </w:pPr>
          </w:p>
        </w:tc>
        <w:tc>
          <w:tcPr>
            <w:tcW w:w="1021" w:type="dxa"/>
            <w:tcBorders>
              <w:bottom w:val="single" w:color="auto" w:sz="12" w:space="0"/>
            </w:tcBorders>
            <w:vAlign w:val="center"/>
          </w:tcPr>
          <w:p w14:paraId="4B2B0A9D">
            <w:pPr>
              <w:pStyle w:val="79"/>
              <w:tabs>
                <w:tab w:val="left" w:pos="1337"/>
              </w:tabs>
              <w:spacing w:line="360" w:lineRule="auto"/>
              <w:jc w:val="center"/>
              <w:rPr>
                <w:rFonts w:hint="eastAsia" w:ascii="宋体" w:hAnsi="宋体" w:eastAsia="宋体" w:cs="宋体"/>
                <w:color w:val="auto"/>
                <w:sz w:val="24"/>
                <w:highlight w:val="none"/>
              </w:rPr>
            </w:pPr>
          </w:p>
        </w:tc>
        <w:tc>
          <w:tcPr>
            <w:tcW w:w="1707" w:type="dxa"/>
            <w:tcBorders>
              <w:bottom w:val="single" w:color="auto" w:sz="12" w:space="0"/>
            </w:tcBorders>
            <w:vAlign w:val="center"/>
          </w:tcPr>
          <w:p w14:paraId="7536DC64">
            <w:pPr>
              <w:pStyle w:val="79"/>
              <w:tabs>
                <w:tab w:val="left" w:pos="1337"/>
              </w:tabs>
              <w:spacing w:line="360" w:lineRule="auto"/>
              <w:jc w:val="center"/>
              <w:rPr>
                <w:rFonts w:hint="eastAsia" w:ascii="宋体" w:hAnsi="宋体" w:eastAsia="宋体" w:cs="宋体"/>
                <w:color w:val="auto"/>
                <w:sz w:val="24"/>
                <w:highlight w:val="none"/>
              </w:rPr>
            </w:pPr>
          </w:p>
        </w:tc>
        <w:tc>
          <w:tcPr>
            <w:tcW w:w="1337" w:type="dxa"/>
            <w:tcBorders>
              <w:bottom w:val="single" w:color="auto" w:sz="12" w:space="0"/>
            </w:tcBorders>
            <w:vAlign w:val="center"/>
          </w:tcPr>
          <w:p w14:paraId="69573B37">
            <w:pPr>
              <w:pStyle w:val="79"/>
              <w:tabs>
                <w:tab w:val="left" w:pos="1337"/>
              </w:tabs>
              <w:spacing w:line="360" w:lineRule="auto"/>
              <w:jc w:val="center"/>
              <w:rPr>
                <w:rFonts w:hint="eastAsia" w:ascii="宋体" w:hAnsi="宋体" w:eastAsia="宋体" w:cs="宋体"/>
                <w:color w:val="auto"/>
                <w:sz w:val="24"/>
                <w:highlight w:val="none"/>
              </w:rPr>
            </w:pPr>
          </w:p>
        </w:tc>
        <w:tc>
          <w:tcPr>
            <w:tcW w:w="1337" w:type="dxa"/>
            <w:tcBorders>
              <w:bottom w:val="single" w:color="auto" w:sz="12" w:space="0"/>
            </w:tcBorders>
            <w:vAlign w:val="center"/>
          </w:tcPr>
          <w:p w14:paraId="222FCE1F">
            <w:pPr>
              <w:pStyle w:val="79"/>
              <w:tabs>
                <w:tab w:val="left" w:pos="1337"/>
              </w:tabs>
              <w:spacing w:line="360" w:lineRule="auto"/>
              <w:jc w:val="center"/>
              <w:rPr>
                <w:rFonts w:hint="eastAsia" w:ascii="宋体" w:hAnsi="宋体" w:eastAsia="宋体" w:cs="宋体"/>
                <w:color w:val="auto"/>
                <w:sz w:val="24"/>
                <w:highlight w:val="none"/>
              </w:rPr>
            </w:pPr>
          </w:p>
        </w:tc>
        <w:tc>
          <w:tcPr>
            <w:tcW w:w="977" w:type="dxa"/>
            <w:tcBorders>
              <w:bottom w:val="single" w:color="auto" w:sz="12" w:space="0"/>
              <w:right w:val="single" w:color="auto" w:sz="12" w:space="0"/>
            </w:tcBorders>
            <w:vAlign w:val="center"/>
          </w:tcPr>
          <w:p w14:paraId="0FCA57F1">
            <w:pPr>
              <w:pStyle w:val="79"/>
              <w:tabs>
                <w:tab w:val="left" w:pos="1337"/>
              </w:tabs>
              <w:spacing w:line="360" w:lineRule="auto"/>
              <w:jc w:val="center"/>
              <w:rPr>
                <w:rFonts w:hint="eastAsia" w:ascii="宋体" w:hAnsi="宋体" w:eastAsia="宋体" w:cs="宋体"/>
                <w:color w:val="auto"/>
                <w:sz w:val="24"/>
                <w:highlight w:val="none"/>
              </w:rPr>
            </w:pPr>
          </w:p>
        </w:tc>
      </w:tr>
    </w:tbl>
    <w:p w14:paraId="5D1CC61B">
      <w:pPr>
        <w:pStyle w:val="79"/>
        <w:spacing w:line="360" w:lineRule="auto"/>
        <w:ind w:left="2"/>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6B4C27B9">
      <w:pPr>
        <w:pStyle w:val="79"/>
        <w:spacing w:line="360" w:lineRule="auto"/>
        <w:ind w:left="2"/>
        <w:rPr>
          <w:rFonts w:hint="eastAsia" w:ascii="宋体" w:hAnsi="宋体" w:eastAsia="宋体" w:cs="宋体"/>
          <w:color w:val="auto"/>
          <w:sz w:val="24"/>
          <w:highlight w:val="none"/>
        </w:rPr>
      </w:pPr>
      <w:r>
        <w:rPr>
          <w:rFonts w:hint="eastAsia" w:ascii="宋体" w:hAnsi="宋体" w:eastAsia="宋体" w:cs="宋体"/>
          <w:color w:val="auto"/>
          <w:sz w:val="24"/>
          <w:highlight w:val="none"/>
        </w:rPr>
        <w:t>1.有偏离的技术条款须在该表中逐一列明，并在“</w:t>
      </w:r>
      <w:r>
        <w:rPr>
          <w:rFonts w:hint="eastAsia" w:ascii="宋体" w:hAnsi="宋体" w:eastAsia="宋体" w:cs="宋体"/>
          <w:bCs/>
          <w:color w:val="auto"/>
          <w:sz w:val="24"/>
          <w:highlight w:val="none"/>
        </w:rPr>
        <w:t>响应文件对应规范</w:t>
      </w:r>
      <w:r>
        <w:rPr>
          <w:rFonts w:hint="eastAsia" w:ascii="宋体" w:hAnsi="宋体" w:eastAsia="宋体" w:cs="宋体"/>
          <w:color w:val="auto"/>
          <w:sz w:val="24"/>
          <w:highlight w:val="none"/>
        </w:rPr>
        <w:t>”栏填写具体应答内容， 在“</w:t>
      </w:r>
      <w:r>
        <w:rPr>
          <w:rFonts w:hint="eastAsia" w:ascii="宋体" w:hAnsi="宋体" w:eastAsia="宋体" w:cs="宋体"/>
          <w:bCs/>
          <w:color w:val="auto"/>
          <w:sz w:val="24"/>
          <w:highlight w:val="none"/>
        </w:rPr>
        <w:t>偏差</w:t>
      </w:r>
      <w:r>
        <w:rPr>
          <w:rFonts w:hint="eastAsia" w:ascii="宋体" w:hAnsi="宋体" w:eastAsia="宋体" w:cs="宋体"/>
          <w:color w:val="auto"/>
          <w:sz w:val="24"/>
          <w:highlight w:val="none"/>
        </w:rPr>
        <w:t>”中说明偏离具体情形。若无偏离请在“</w:t>
      </w:r>
      <w:r>
        <w:rPr>
          <w:rFonts w:hint="eastAsia" w:ascii="宋体" w:hAnsi="宋体" w:eastAsia="宋体" w:cs="宋体"/>
          <w:bCs/>
          <w:color w:val="auto"/>
          <w:sz w:val="24"/>
          <w:highlight w:val="none"/>
        </w:rPr>
        <w:t>响应文件对应规范</w:t>
      </w:r>
      <w:r>
        <w:rPr>
          <w:rFonts w:hint="eastAsia" w:ascii="宋体" w:hAnsi="宋体" w:eastAsia="宋体" w:cs="宋体"/>
          <w:color w:val="auto"/>
          <w:sz w:val="24"/>
          <w:highlight w:val="none"/>
        </w:rPr>
        <w:t>”中填写“无偏离”。</w:t>
      </w:r>
    </w:p>
    <w:p w14:paraId="5E9295CA">
      <w:pPr>
        <w:pStyle w:val="79"/>
        <w:spacing w:line="360" w:lineRule="auto"/>
        <w:ind w:left="2"/>
        <w:rPr>
          <w:rFonts w:hint="eastAsia" w:ascii="宋体" w:hAnsi="宋体" w:eastAsia="宋体" w:cs="宋体"/>
          <w:color w:val="auto"/>
          <w:sz w:val="24"/>
          <w:highlight w:val="none"/>
        </w:rPr>
      </w:pPr>
      <w:r>
        <w:rPr>
          <w:rFonts w:hint="eastAsia" w:ascii="宋体" w:hAnsi="宋体" w:eastAsia="宋体" w:cs="宋体"/>
          <w:color w:val="auto"/>
          <w:sz w:val="24"/>
          <w:highlight w:val="none"/>
        </w:rPr>
        <w:t>2.未声明部分将被视为已接受</w:t>
      </w:r>
      <w:r>
        <w:rPr>
          <w:rFonts w:hint="eastAsia" w:ascii="宋体" w:hAnsi="宋体" w:eastAsia="宋体" w:cs="宋体"/>
          <w:color w:val="auto"/>
          <w:sz w:val="24"/>
          <w:highlight w:val="none"/>
          <w:lang w:eastAsia="zh-CN"/>
        </w:rPr>
        <w:t>磋商文件</w:t>
      </w:r>
      <w:r>
        <w:rPr>
          <w:rFonts w:hint="eastAsia" w:ascii="宋体" w:hAnsi="宋体" w:eastAsia="宋体" w:cs="宋体"/>
          <w:color w:val="auto"/>
          <w:sz w:val="24"/>
          <w:highlight w:val="none"/>
        </w:rPr>
        <w:t>要求，签约时未经采购人同意不得改变。</w:t>
      </w:r>
    </w:p>
    <w:p w14:paraId="5982A302">
      <w:pPr>
        <w:pStyle w:val="79"/>
        <w:spacing w:line="360" w:lineRule="auto"/>
        <w:ind w:left="2"/>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可根据其投标内容进一步细化上述表格，并可增添其它表格或说明以便进一步明确投标内容。</w:t>
      </w:r>
    </w:p>
    <w:p w14:paraId="4753DAE4">
      <w:pPr>
        <w:pStyle w:val="82"/>
        <w:spacing w:before="0" w:after="0" w:line="360" w:lineRule="auto"/>
        <w:ind w:right="96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供应商名称：</w:t>
      </w:r>
    </w:p>
    <w:p w14:paraId="4723B64F">
      <w:pPr>
        <w:pStyle w:val="82"/>
        <w:spacing w:before="0" w:after="0" w:line="360" w:lineRule="auto"/>
        <w:ind w:right="17"/>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3585FA7A">
      <w:pPr>
        <w:pStyle w:val="83"/>
        <w:outlineLvl w:val="2"/>
        <w:rPr>
          <w:rFonts w:hint="eastAsia" w:ascii="宋体" w:hAnsi="宋体" w:eastAsia="宋体" w:cs="宋体"/>
          <w:color w:val="auto"/>
          <w:sz w:val="24"/>
          <w:highlight w:val="none"/>
        </w:rPr>
      </w:pPr>
      <w:r>
        <w:rPr>
          <w:rFonts w:hint="eastAsia" w:ascii="宋体" w:hAnsi="宋体" w:eastAsia="宋体" w:cs="宋体"/>
          <w:color w:val="auto"/>
          <w:highlight w:val="none"/>
        </w:rPr>
        <w:br w:type="page"/>
      </w:r>
      <w:bookmarkStart w:id="226" w:name="_Toc21446"/>
      <w:bookmarkStart w:id="227" w:name="_Toc8825"/>
      <w:r>
        <w:rPr>
          <w:rFonts w:hint="eastAsia" w:ascii="宋体" w:hAnsi="宋体" w:eastAsia="宋体" w:cs="宋体"/>
          <w:color w:val="auto"/>
          <w:highlight w:val="none"/>
        </w:rPr>
        <w:t>（三）</w:t>
      </w:r>
      <w:bookmarkStart w:id="228" w:name="_Hlk78746520"/>
      <w:r>
        <w:rPr>
          <w:rFonts w:hint="eastAsia" w:ascii="宋体" w:hAnsi="宋体" w:eastAsia="宋体" w:cs="宋体"/>
          <w:color w:val="auto"/>
          <w:highlight w:val="none"/>
        </w:rPr>
        <w:t>供应商认为有必要提供的其他技术内容</w:t>
      </w:r>
      <w:bookmarkEnd w:id="226"/>
      <w:bookmarkEnd w:id="227"/>
      <w:r>
        <w:rPr>
          <w:rFonts w:hint="eastAsia" w:ascii="宋体" w:hAnsi="宋体" w:eastAsia="宋体" w:cs="宋体"/>
          <w:color w:val="auto"/>
          <w:sz w:val="24"/>
          <w:highlight w:val="none"/>
        </w:rPr>
        <w:t xml:space="preserve"> </w:t>
      </w:r>
    </w:p>
    <w:bookmarkEnd w:id="228"/>
    <w:p w14:paraId="6CDC9796">
      <w:pPr>
        <w:pStyle w:val="8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格式内容自拟</w:t>
      </w:r>
    </w:p>
    <w:p w14:paraId="20CFDD3D">
      <w:pPr>
        <w:pStyle w:val="63"/>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229" w:name="_Toc6685"/>
      <w:bookmarkStart w:id="230" w:name="_Toc23924"/>
      <w:r>
        <w:rPr>
          <w:rFonts w:hint="eastAsia" w:ascii="宋体" w:hAnsi="宋体" w:eastAsia="宋体" w:cs="宋体"/>
          <w:color w:val="auto"/>
          <w:highlight w:val="none"/>
        </w:rPr>
        <w:t>五、其他资料</w:t>
      </w:r>
      <w:bookmarkEnd w:id="229"/>
      <w:bookmarkEnd w:id="230"/>
    </w:p>
    <w:p w14:paraId="585C44FB">
      <w:pPr>
        <w:pStyle w:val="8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供应商认为有必要提供的其他资料，格式自拟</w:t>
      </w:r>
    </w:p>
    <w:p w14:paraId="76CB8708">
      <w:pPr>
        <w:rPr>
          <w:rFonts w:hint="eastAsia" w:ascii="宋体" w:hAnsi="宋体" w:eastAsia="宋体" w:cs="宋体"/>
          <w:color w:val="auto"/>
          <w:highlight w:val="none"/>
        </w:rPr>
      </w:pPr>
    </w:p>
    <w:p w14:paraId="2C3D5EFD">
      <w:pPr>
        <w:rPr>
          <w:rFonts w:hint="eastAsia" w:ascii="宋体" w:hAnsi="宋体" w:eastAsia="宋体" w:cs="宋体"/>
          <w:color w:val="auto"/>
          <w:highlight w:val="none"/>
        </w:rPr>
      </w:pPr>
    </w:p>
    <w:p w14:paraId="6EC062F9">
      <w:pPr>
        <w:rPr>
          <w:rFonts w:hint="eastAsia" w:ascii="宋体" w:hAnsi="宋体" w:eastAsia="宋体" w:cs="宋体"/>
          <w:color w:val="auto"/>
          <w:highlight w:val="none"/>
        </w:rPr>
      </w:pPr>
    </w:p>
    <w:sectPr>
      <w:pgSz w:w="11906" w:h="16838"/>
      <w:pgMar w:top="1440" w:right="1106" w:bottom="1440" w:left="1800" w:header="851" w:footer="75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SimSun">
    <w:altName w:val="宋体"/>
    <w:panose1 w:val="00000000000000000000"/>
    <w:charset w:val="86"/>
    <w:family w:val="roman"/>
    <w:pitch w:val="default"/>
    <w:sig w:usb0="00000000" w:usb1="00000000" w:usb2="00000010" w:usb3="00000000" w:csb0="00040000" w:csb1="00000000"/>
    <w:embedRegular r:id="rId1" w:fontKey="{0CEF9E1B-32B1-4794-98D6-31E4F81455A4}"/>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34E135BE-3151-4819-A8D3-1E074496B666}"/>
  </w:font>
  <w:font w:name="黑体;SimHei">
    <w:altName w:val="黑体"/>
    <w:panose1 w:val="00000000000000000000"/>
    <w:charset w:val="86"/>
    <w:family w:val="roman"/>
    <w:pitch w:val="default"/>
    <w:sig w:usb0="00000000" w:usb1="00000000" w:usb2="00000010" w:usb3="00000000" w:csb0="00040000" w:csb1="00000000"/>
  </w:font>
  <w:font w:name="Segoe UI">
    <w:panose1 w:val="020B0502040204020203"/>
    <w:charset w:val="00"/>
    <w:family w:val="auto"/>
    <w:pitch w:val="default"/>
    <w:sig w:usb0="E4002EFF" w:usb1="C000E47F" w:usb2="00000009" w:usb3="00000000" w:csb0="200001FF" w:csb1="00000000"/>
    <w:embedRegular r:id="rId3" w:fontKey="{FCCEEC6D-8E06-4253-9370-37D09D59E32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BD5A3">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74EDD">
    <w:pPr>
      <w:pStyle w:val="14"/>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B365CBE">
                          <w:pPr>
                            <w:pStyle w:val="14"/>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3B365CBE">
                    <w:pPr>
                      <w:pStyle w:val="14"/>
                    </w:pPr>
                    <w:r>
                      <w:fldChar w:fldCharType="begin"/>
                    </w:r>
                    <w:r>
                      <w:instrText xml:space="preserve"> PAGE  \* MERGEFORMAT </w:instrText>
                    </w:r>
                    <w:r>
                      <w:fldChar w:fldCharType="separate"/>
                    </w:r>
                    <w:r>
                      <w:t>- 1 -</w:t>
                    </w:r>
                    <w:r>
                      <w:fldChar w:fldCharType="end"/>
                    </w:r>
                  </w:p>
                </w:txbxContent>
              </v:textbox>
            </v:rect>
          </w:pict>
        </mc:Fallback>
      </mc:AlternateConten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1700A">
    <w:pPr>
      <w:pStyle w:val="15"/>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453EC">
    <w:pPr>
      <w:pStyle w:val="1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E6EF9"/>
    <w:multiLevelType w:val="singleLevel"/>
    <w:tmpl w:val="83AE6EF9"/>
    <w:lvl w:ilvl="0" w:tentative="0">
      <w:start w:val="1"/>
      <w:numFmt w:val="chineseCounting"/>
      <w:suff w:val="nothing"/>
      <w:lvlText w:val="（%1）"/>
      <w:lvlJc w:val="left"/>
      <w:pPr>
        <w:ind w:left="0" w:firstLine="420"/>
      </w:pPr>
      <w:rPr>
        <w:rFonts w:hint="eastAsia"/>
      </w:rPr>
    </w:lvl>
  </w:abstractNum>
  <w:abstractNum w:abstractNumId="1">
    <w:nsid w:val="EFE83AF4"/>
    <w:multiLevelType w:val="singleLevel"/>
    <w:tmpl w:val="EFE83AF4"/>
    <w:lvl w:ilvl="0" w:tentative="0">
      <w:start w:val="1"/>
      <w:numFmt w:val="decimal"/>
      <w:suff w:val="nothing"/>
      <w:lvlText w:val="（%1）"/>
      <w:lvlJc w:val="left"/>
    </w:lvl>
  </w:abstractNum>
  <w:abstractNum w:abstractNumId="2">
    <w:nsid w:val="00000000"/>
    <w:multiLevelType w:val="singleLevel"/>
    <w:tmpl w:val="00000000"/>
    <w:lvl w:ilvl="0" w:tentative="0">
      <w:start w:val="1"/>
      <w:numFmt w:val="decimal"/>
      <w:suff w:val="nothing"/>
      <w:lvlText w:val="%1、"/>
      <w:lvlJc w:val="left"/>
    </w:lvl>
  </w:abstractNum>
  <w:abstractNum w:abstractNumId="3">
    <w:nsid w:val="00000001"/>
    <w:multiLevelType w:val="singleLevel"/>
    <w:tmpl w:val="00000001"/>
    <w:lvl w:ilvl="0" w:tentative="0">
      <w:start w:val="1"/>
      <w:numFmt w:val="decimal"/>
      <w:suff w:val="nothing"/>
      <w:lvlText w:val="%1、"/>
      <w:lvlJc w:val="left"/>
    </w:lvl>
  </w:abstractNum>
  <w:abstractNum w:abstractNumId="4">
    <w:nsid w:val="00000003"/>
    <w:multiLevelType w:val="singleLevel"/>
    <w:tmpl w:val="00000003"/>
    <w:lvl w:ilvl="0" w:tentative="0">
      <w:start w:val="2"/>
      <w:numFmt w:val="chineseCounting"/>
      <w:suff w:val="space"/>
      <w:lvlText w:val="第%1章"/>
      <w:lvlJc w:val="left"/>
      <w:rPr>
        <w:rFonts w:hint="eastAsia"/>
      </w:rPr>
    </w:lvl>
  </w:abstractNum>
  <w:abstractNum w:abstractNumId="5">
    <w:nsid w:val="00000004"/>
    <w:multiLevelType w:val="multilevel"/>
    <w:tmpl w:val="00000004"/>
    <w:lvl w:ilvl="0" w:tentative="0">
      <w:start w:val="1"/>
      <w:numFmt w:val="none"/>
      <w:suff w:val="nothing"/>
      <w:lvlText w:val=""/>
      <w:lvlJc w:val="left"/>
    </w:lvl>
    <w:lvl w:ilvl="1" w:tentative="0">
      <w:start w:val="1"/>
      <w:numFmt w:val="none"/>
      <w:pStyle w:val="44"/>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6">
    <w:nsid w:val="00000006"/>
    <w:multiLevelType w:val="singleLevel"/>
    <w:tmpl w:val="00000006"/>
    <w:lvl w:ilvl="0" w:tentative="0">
      <w:start w:val="1"/>
      <w:numFmt w:val="chineseCounting"/>
      <w:suff w:val="space"/>
      <w:lvlText w:val="第%1章"/>
      <w:lvlJc w:val="left"/>
      <w:rPr>
        <w:rFonts w:hint="eastAsia"/>
      </w:rPr>
    </w:lvl>
  </w:abstractNum>
  <w:abstractNum w:abstractNumId="7">
    <w:nsid w:val="27ACFBCD"/>
    <w:multiLevelType w:val="singleLevel"/>
    <w:tmpl w:val="27ACFBCD"/>
    <w:lvl w:ilvl="0" w:tentative="0">
      <w:start w:val="1"/>
      <w:numFmt w:val="decimal"/>
      <w:pStyle w:val="17"/>
      <w:lvlText w:val="%1."/>
      <w:lvlJc w:val="left"/>
      <w:pPr>
        <w:tabs>
          <w:tab w:val="left" w:pos="2040"/>
        </w:tabs>
        <w:ind w:left="2040" w:hanging="360"/>
      </w:pPr>
    </w:lvl>
  </w:abstractNum>
  <w:abstractNum w:abstractNumId="8">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0" w:firstLine="0"/>
      </w:pPr>
      <w:rPr>
        <w:rFonts w:hint="eastAsia" w:ascii="宋体" w:hAnsi="宋体" w:eastAsia="宋体"/>
        <w:sz w:val="24"/>
        <w:szCs w:val="24"/>
        <w:lang w:val="en-US"/>
      </w:rPr>
    </w:lvl>
    <w:lvl w:ilvl="2" w:tentative="0">
      <w:start w:val="1"/>
      <w:numFmt w:val="chineseCountingThousand"/>
      <w:suff w:val="nothing"/>
      <w:lvlText w:val="(%3)"/>
      <w:lvlJc w:val="left"/>
      <w:pPr>
        <w:ind w:left="156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pStyle w:val="6"/>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
    <w:nsid w:val="6831E40C"/>
    <w:multiLevelType w:val="singleLevel"/>
    <w:tmpl w:val="6831E40C"/>
    <w:lvl w:ilvl="0" w:tentative="0">
      <w:start w:val="1"/>
      <w:numFmt w:val="chineseCounting"/>
      <w:suff w:val="space"/>
      <w:lvlText w:val="第%1条"/>
      <w:lvlJc w:val="left"/>
      <w:rPr>
        <w:rFonts w:hint="eastAsia"/>
      </w:rPr>
    </w:lvl>
  </w:abstractNum>
  <w:num w:numId="1">
    <w:abstractNumId w:val="8"/>
  </w:num>
  <w:num w:numId="2">
    <w:abstractNumId w:val="7"/>
  </w:num>
  <w:num w:numId="3">
    <w:abstractNumId w:val="5"/>
  </w:num>
  <w:num w:numId="4">
    <w:abstractNumId w:val="6"/>
  </w:num>
  <w:num w:numId="5">
    <w:abstractNumId w:val="4"/>
  </w:num>
  <w:num w:numId="6">
    <w:abstractNumId w:val="2"/>
  </w:num>
  <w:num w:numId="7">
    <w:abstractNumId w:val="9"/>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OWNjOTM4YTlhMWVkOTM5ODVkODkzZGRkNDZmMWUifQ=="/>
    <w:docVar w:name="KSO_WPS_MARK_KEY" w:val="246805ec-886c-46b9-8de4-929f9bfe2483"/>
  </w:docVars>
  <w:rsids>
    <w:rsidRoot w:val="00000000"/>
    <w:rsid w:val="002B24F8"/>
    <w:rsid w:val="00497DBB"/>
    <w:rsid w:val="00C10135"/>
    <w:rsid w:val="0100390C"/>
    <w:rsid w:val="010949BE"/>
    <w:rsid w:val="0135660B"/>
    <w:rsid w:val="018857F8"/>
    <w:rsid w:val="01DF6EA0"/>
    <w:rsid w:val="02D31B64"/>
    <w:rsid w:val="02D432A2"/>
    <w:rsid w:val="02F0575A"/>
    <w:rsid w:val="0325612E"/>
    <w:rsid w:val="034B4414"/>
    <w:rsid w:val="036451EC"/>
    <w:rsid w:val="03763AA5"/>
    <w:rsid w:val="039426B9"/>
    <w:rsid w:val="039F53AB"/>
    <w:rsid w:val="03A37061"/>
    <w:rsid w:val="043722D0"/>
    <w:rsid w:val="05133589"/>
    <w:rsid w:val="055D0409"/>
    <w:rsid w:val="0570558B"/>
    <w:rsid w:val="05772566"/>
    <w:rsid w:val="0578687F"/>
    <w:rsid w:val="058D187B"/>
    <w:rsid w:val="061677AC"/>
    <w:rsid w:val="066547C5"/>
    <w:rsid w:val="06C7174C"/>
    <w:rsid w:val="06CB201E"/>
    <w:rsid w:val="06CF7C57"/>
    <w:rsid w:val="07077788"/>
    <w:rsid w:val="072B44B8"/>
    <w:rsid w:val="072C24DE"/>
    <w:rsid w:val="07962E3E"/>
    <w:rsid w:val="08FF4362"/>
    <w:rsid w:val="096D58B6"/>
    <w:rsid w:val="0A9C4AC2"/>
    <w:rsid w:val="0AEE51FC"/>
    <w:rsid w:val="0B1964C2"/>
    <w:rsid w:val="0B87701C"/>
    <w:rsid w:val="0B9477BF"/>
    <w:rsid w:val="0BD60B41"/>
    <w:rsid w:val="0C0971FD"/>
    <w:rsid w:val="0C40570C"/>
    <w:rsid w:val="0C4259F6"/>
    <w:rsid w:val="0C5965C6"/>
    <w:rsid w:val="0C9002E4"/>
    <w:rsid w:val="0D4234FE"/>
    <w:rsid w:val="0D8B666F"/>
    <w:rsid w:val="0E434661"/>
    <w:rsid w:val="0E6D3691"/>
    <w:rsid w:val="0F8C3249"/>
    <w:rsid w:val="0FD64B42"/>
    <w:rsid w:val="10185A5F"/>
    <w:rsid w:val="103A6895"/>
    <w:rsid w:val="11194576"/>
    <w:rsid w:val="112433B6"/>
    <w:rsid w:val="113A2E92"/>
    <w:rsid w:val="125E1695"/>
    <w:rsid w:val="12680B18"/>
    <w:rsid w:val="130E43F8"/>
    <w:rsid w:val="134674D9"/>
    <w:rsid w:val="135C2D35"/>
    <w:rsid w:val="13715932"/>
    <w:rsid w:val="139D0128"/>
    <w:rsid w:val="13BA0AF5"/>
    <w:rsid w:val="13E250F3"/>
    <w:rsid w:val="14292753"/>
    <w:rsid w:val="14380D71"/>
    <w:rsid w:val="16524589"/>
    <w:rsid w:val="1699418F"/>
    <w:rsid w:val="16C3120C"/>
    <w:rsid w:val="177D685B"/>
    <w:rsid w:val="17DF5C01"/>
    <w:rsid w:val="189B2069"/>
    <w:rsid w:val="18F65D34"/>
    <w:rsid w:val="196906DE"/>
    <w:rsid w:val="1A9B5937"/>
    <w:rsid w:val="1B414DF5"/>
    <w:rsid w:val="1B9E5DA3"/>
    <w:rsid w:val="1CE378CF"/>
    <w:rsid w:val="1CFA00EC"/>
    <w:rsid w:val="1D074CAE"/>
    <w:rsid w:val="1DAC637A"/>
    <w:rsid w:val="1E064DFE"/>
    <w:rsid w:val="1EEB10CB"/>
    <w:rsid w:val="1F0C1276"/>
    <w:rsid w:val="1F455BC7"/>
    <w:rsid w:val="1F8A19A8"/>
    <w:rsid w:val="204153E9"/>
    <w:rsid w:val="206A3FBA"/>
    <w:rsid w:val="21EB1F78"/>
    <w:rsid w:val="21FC3824"/>
    <w:rsid w:val="23166B67"/>
    <w:rsid w:val="23C141CE"/>
    <w:rsid w:val="24057A5F"/>
    <w:rsid w:val="245931AF"/>
    <w:rsid w:val="24771887"/>
    <w:rsid w:val="25FC0296"/>
    <w:rsid w:val="264A6D7B"/>
    <w:rsid w:val="267B53C1"/>
    <w:rsid w:val="26AC0B02"/>
    <w:rsid w:val="28183292"/>
    <w:rsid w:val="28926599"/>
    <w:rsid w:val="28B562BD"/>
    <w:rsid w:val="28CA1E12"/>
    <w:rsid w:val="292D2DC8"/>
    <w:rsid w:val="2A6159F7"/>
    <w:rsid w:val="2A6601A2"/>
    <w:rsid w:val="2A796019"/>
    <w:rsid w:val="2AD0584D"/>
    <w:rsid w:val="2B3F2A32"/>
    <w:rsid w:val="2B533F99"/>
    <w:rsid w:val="2B852D4D"/>
    <w:rsid w:val="2BAE5BDD"/>
    <w:rsid w:val="2BBB7E42"/>
    <w:rsid w:val="2BF14E6B"/>
    <w:rsid w:val="2C4E2DD5"/>
    <w:rsid w:val="2C6E531E"/>
    <w:rsid w:val="2C930262"/>
    <w:rsid w:val="2CBA592E"/>
    <w:rsid w:val="2CF972DD"/>
    <w:rsid w:val="2D504B9E"/>
    <w:rsid w:val="2DC378EB"/>
    <w:rsid w:val="2DCC2C44"/>
    <w:rsid w:val="2E36630F"/>
    <w:rsid w:val="2EC8468F"/>
    <w:rsid w:val="2ED459A4"/>
    <w:rsid w:val="2F197408"/>
    <w:rsid w:val="2F43516E"/>
    <w:rsid w:val="2F921402"/>
    <w:rsid w:val="2FE74D81"/>
    <w:rsid w:val="304072AD"/>
    <w:rsid w:val="30DF243B"/>
    <w:rsid w:val="30E215FF"/>
    <w:rsid w:val="30E36492"/>
    <w:rsid w:val="313C50A4"/>
    <w:rsid w:val="32056724"/>
    <w:rsid w:val="330D43EF"/>
    <w:rsid w:val="336F512B"/>
    <w:rsid w:val="349778D8"/>
    <w:rsid w:val="34B67588"/>
    <w:rsid w:val="352C3A93"/>
    <w:rsid w:val="35985A6C"/>
    <w:rsid w:val="360F3BBE"/>
    <w:rsid w:val="364F647B"/>
    <w:rsid w:val="365E2D9E"/>
    <w:rsid w:val="365E3AB0"/>
    <w:rsid w:val="367E3385"/>
    <w:rsid w:val="36BD4B2C"/>
    <w:rsid w:val="3809025F"/>
    <w:rsid w:val="383E029A"/>
    <w:rsid w:val="392E47B3"/>
    <w:rsid w:val="39882115"/>
    <w:rsid w:val="39C31A0E"/>
    <w:rsid w:val="3A085004"/>
    <w:rsid w:val="3A287454"/>
    <w:rsid w:val="3A3F02FA"/>
    <w:rsid w:val="3A5B0916"/>
    <w:rsid w:val="3A6502A6"/>
    <w:rsid w:val="3AC32CD9"/>
    <w:rsid w:val="3B4C6D41"/>
    <w:rsid w:val="3BB529FA"/>
    <w:rsid w:val="3C5A63E5"/>
    <w:rsid w:val="3D2608AE"/>
    <w:rsid w:val="3DAC5CA6"/>
    <w:rsid w:val="3DE15EEB"/>
    <w:rsid w:val="3E3B8660"/>
    <w:rsid w:val="3E6E6C0B"/>
    <w:rsid w:val="3EE86715"/>
    <w:rsid w:val="3EF90CCE"/>
    <w:rsid w:val="3F7C45C1"/>
    <w:rsid w:val="3FFDEA7B"/>
    <w:rsid w:val="40355211"/>
    <w:rsid w:val="40A00A29"/>
    <w:rsid w:val="40A71C96"/>
    <w:rsid w:val="40D06208"/>
    <w:rsid w:val="41675108"/>
    <w:rsid w:val="416C4358"/>
    <w:rsid w:val="41797EEB"/>
    <w:rsid w:val="41F94E0C"/>
    <w:rsid w:val="41FB544E"/>
    <w:rsid w:val="42116559"/>
    <w:rsid w:val="42A17DA3"/>
    <w:rsid w:val="43300E14"/>
    <w:rsid w:val="436620F0"/>
    <w:rsid w:val="43702349"/>
    <w:rsid w:val="439928BC"/>
    <w:rsid w:val="43A02C80"/>
    <w:rsid w:val="44286FC3"/>
    <w:rsid w:val="443B2247"/>
    <w:rsid w:val="44770A59"/>
    <w:rsid w:val="44F950C6"/>
    <w:rsid w:val="45594B20"/>
    <w:rsid w:val="45717F01"/>
    <w:rsid w:val="4574179F"/>
    <w:rsid w:val="459F6155"/>
    <w:rsid w:val="46437FDB"/>
    <w:rsid w:val="46473D91"/>
    <w:rsid w:val="46E36306"/>
    <w:rsid w:val="476C09AB"/>
    <w:rsid w:val="47AB1AB1"/>
    <w:rsid w:val="48220F81"/>
    <w:rsid w:val="482E1962"/>
    <w:rsid w:val="490448E2"/>
    <w:rsid w:val="4958405A"/>
    <w:rsid w:val="49677FD5"/>
    <w:rsid w:val="49755123"/>
    <w:rsid w:val="498D1081"/>
    <w:rsid w:val="4A946440"/>
    <w:rsid w:val="4AEC002A"/>
    <w:rsid w:val="4AFC16B8"/>
    <w:rsid w:val="4B291855"/>
    <w:rsid w:val="4B483D6B"/>
    <w:rsid w:val="4BAA27F0"/>
    <w:rsid w:val="4BCF146D"/>
    <w:rsid w:val="4C1C1CF5"/>
    <w:rsid w:val="4C465518"/>
    <w:rsid w:val="4CC93D4A"/>
    <w:rsid w:val="4D2B756E"/>
    <w:rsid w:val="4ED17C62"/>
    <w:rsid w:val="4F155D56"/>
    <w:rsid w:val="4F216F70"/>
    <w:rsid w:val="4FD91FBE"/>
    <w:rsid w:val="50407AEF"/>
    <w:rsid w:val="505446A7"/>
    <w:rsid w:val="50740CF9"/>
    <w:rsid w:val="50831B78"/>
    <w:rsid w:val="508C2093"/>
    <w:rsid w:val="51B0525C"/>
    <w:rsid w:val="5372618D"/>
    <w:rsid w:val="53A30B09"/>
    <w:rsid w:val="53B4545D"/>
    <w:rsid w:val="53E23075"/>
    <w:rsid w:val="53FD2F8D"/>
    <w:rsid w:val="544F6E15"/>
    <w:rsid w:val="547355EA"/>
    <w:rsid w:val="54841990"/>
    <w:rsid w:val="54D73AF9"/>
    <w:rsid w:val="54FB1595"/>
    <w:rsid w:val="55443FF4"/>
    <w:rsid w:val="55766E6E"/>
    <w:rsid w:val="558772CD"/>
    <w:rsid w:val="55A439DB"/>
    <w:rsid w:val="59B1306D"/>
    <w:rsid w:val="59E16B55"/>
    <w:rsid w:val="5AAE0E58"/>
    <w:rsid w:val="5AC16E62"/>
    <w:rsid w:val="5B3D3F8A"/>
    <w:rsid w:val="5B603129"/>
    <w:rsid w:val="5BCC5A39"/>
    <w:rsid w:val="5C2C1C27"/>
    <w:rsid w:val="5D944335"/>
    <w:rsid w:val="5DE90BFC"/>
    <w:rsid w:val="5E3D6C59"/>
    <w:rsid w:val="5E945A64"/>
    <w:rsid w:val="5EB427B5"/>
    <w:rsid w:val="5EE61D0A"/>
    <w:rsid w:val="5EFA5929"/>
    <w:rsid w:val="5F6EEB2E"/>
    <w:rsid w:val="5FD62856"/>
    <w:rsid w:val="5FE234EB"/>
    <w:rsid w:val="60A26EBA"/>
    <w:rsid w:val="60CA52F4"/>
    <w:rsid w:val="61232419"/>
    <w:rsid w:val="61332AA2"/>
    <w:rsid w:val="619E34A5"/>
    <w:rsid w:val="61DF202D"/>
    <w:rsid w:val="625B643D"/>
    <w:rsid w:val="62961018"/>
    <w:rsid w:val="62B80AC5"/>
    <w:rsid w:val="62E55633"/>
    <w:rsid w:val="62F27F5B"/>
    <w:rsid w:val="632D70E9"/>
    <w:rsid w:val="63692337"/>
    <w:rsid w:val="64083E04"/>
    <w:rsid w:val="646B2897"/>
    <w:rsid w:val="649317EA"/>
    <w:rsid w:val="64DC5976"/>
    <w:rsid w:val="659A2E95"/>
    <w:rsid w:val="659C2113"/>
    <w:rsid w:val="66097AB2"/>
    <w:rsid w:val="67CE2AB3"/>
    <w:rsid w:val="67DE5980"/>
    <w:rsid w:val="681A7B2C"/>
    <w:rsid w:val="687A5583"/>
    <w:rsid w:val="68A25C7C"/>
    <w:rsid w:val="68FF36CC"/>
    <w:rsid w:val="692E389B"/>
    <w:rsid w:val="69514B90"/>
    <w:rsid w:val="697B0A9F"/>
    <w:rsid w:val="69807E63"/>
    <w:rsid w:val="69A63B4C"/>
    <w:rsid w:val="69AE2C22"/>
    <w:rsid w:val="69B35DA2"/>
    <w:rsid w:val="6AA658CB"/>
    <w:rsid w:val="6AC96361"/>
    <w:rsid w:val="6B381047"/>
    <w:rsid w:val="6BAD2A66"/>
    <w:rsid w:val="6BDEACFD"/>
    <w:rsid w:val="6C3D028D"/>
    <w:rsid w:val="6C9570A3"/>
    <w:rsid w:val="6D5A3E51"/>
    <w:rsid w:val="6DD8667D"/>
    <w:rsid w:val="6DFC3295"/>
    <w:rsid w:val="6E9945C7"/>
    <w:rsid w:val="6F8045B1"/>
    <w:rsid w:val="6F8B1D1D"/>
    <w:rsid w:val="6F9D4FF4"/>
    <w:rsid w:val="6FDF5C40"/>
    <w:rsid w:val="700D2CA9"/>
    <w:rsid w:val="701F1686"/>
    <w:rsid w:val="70A22DB5"/>
    <w:rsid w:val="70B47650"/>
    <w:rsid w:val="7100685D"/>
    <w:rsid w:val="71901F57"/>
    <w:rsid w:val="71950224"/>
    <w:rsid w:val="71C254BD"/>
    <w:rsid w:val="71D743EC"/>
    <w:rsid w:val="720E5BA6"/>
    <w:rsid w:val="72542645"/>
    <w:rsid w:val="72897D89"/>
    <w:rsid w:val="72B15C4F"/>
    <w:rsid w:val="73153FF7"/>
    <w:rsid w:val="733A1FE4"/>
    <w:rsid w:val="73685DD0"/>
    <w:rsid w:val="73820E1F"/>
    <w:rsid w:val="73AF405B"/>
    <w:rsid w:val="74C963E8"/>
    <w:rsid w:val="75C16645"/>
    <w:rsid w:val="75D35882"/>
    <w:rsid w:val="75F810D9"/>
    <w:rsid w:val="77E87EC7"/>
    <w:rsid w:val="77FBD999"/>
    <w:rsid w:val="78E01AB5"/>
    <w:rsid w:val="78EA2BAF"/>
    <w:rsid w:val="795450A1"/>
    <w:rsid w:val="79814453"/>
    <w:rsid w:val="79865022"/>
    <w:rsid w:val="79A61220"/>
    <w:rsid w:val="79E104AA"/>
    <w:rsid w:val="7B870735"/>
    <w:rsid w:val="7C00291F"/>
    <w:rsid w:val="7C0D1BD9"/>
    <w:rsid w:val="7E1D3B0D"/>
    <w:rsid w:val="7EE20F8A"/>
    <w:rsid w:val="7EF24F07"/>
    <w:rsid w:val="BFFF76E1"/>
    <w:rsid w:val="EF73B802"/>
    <w:rsid w:val="F6E6CAD1"/>
    <w:rsid w:val="FE6CB105"/>
    <w:rsid w:val="FFFF7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jc w:val="both"/>
    </w:pPr>
    <w:rPr>
      <w:rFonts w:ascii="Times New Roman" w:hAnsi="Times New Roman" w:eastAsia="宋体;SimSun" w:cs="Times New Roman"/>
      <w:kern w:val="2"/>
      <w:sz w:val="21"/>
      <w:szCs w:val="21"/>
      <w:lang w:val="en-US" w:eastAsia="zh-CN" w:bidi="ar-SA"/>
    </w:rPr>
  </w:style>
  <w:style w:type="paragraph" w:styleId="2">
    <w:name w:val="heading 1"/>
    <w:basedOn w:val="1"/>
    <w:next w:val="1"/>
    <w:autoRedefine/>
    <w:qFormat/>
    <w:uiPriority w:val="0"/>
    <w:pPr>
      <w:keepNext/>
      <w:keepLines/>
      <w:suppressAutoHyphens w:val="0"/>
      <w:spacing w:before="340" w:after="330" w:line="578" w:lineRule="auto"/>
      <w:outlineLvl w:val="0"/>
    </w:pPr>
    <w:rPr>
      <w:rFonts w:eastAsia="宋体"/>
      <w:bCs/>
      <w:kern w:val="44"/>
      <w:sz w:val="44"/>
      <w:szCs w:val="44"/>
    </w:rPr>
  </w:style>
  <w:style w:type="paragraph" w:styleId="3">
    <w:name w:val="heading 2"/>
    <w:basedOn w:val="1"/>
    <w:next w:val="1"/>
    <w:link w:val="47"/>
    <w:autoRedefine/>
    <w:qFormat/>
    <w:uiPriority w:val="0"/>
    <w:pPr>
      <w:keepNext/>
      <w:keepLines/>
      <w:spacing w:before="260" w:beforeAutospacing="0" w:after="260" w:afterAutospacing="0" w:line="413" w:lineRule="auto"/>
      <w:outlineLvl w:val="1"/>
    </w:pPr>
    <w:rPr>
      <w:rFonts w:ascii="Arial" w:hAnsi="Arial" w:eastAsia="黑体"/>
      <w:b/>
      <w:sz w:val="32"/>
    </w:rPr>
  </w:style>
  <w:style w:type="paragraph" w:styleId="4">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7"/>
    <w:basedOn w:val="1"/>
    <w:next w:val="1"/>
    <w:qFormat/>
    <w:uiPriority w:val="0"/>
    <w:pPr>
      <w:keepNext/>
      <w:keepLines/>
      <w:numPr>
        <w:ilvl w:val="6"/>
        <w:numId w:val="1"/>
      </w:numPr>
      <w:adjustRightInd w:val="0"/>
      <w:spacing w:before="240" w:after="64" w:line="320" w:lineRule="atLeast"/>
      <w:jc w:val="left"/>
      <w:textAlignment w:val="baseline"/>
      <w:outlineLvl w:val="6"/>
    </w:pPr>
    <w:rPr>
      <w:b/>
      <w:bCs/>
      <w:kern w:val="0"/>
      <w:sz w:val="24"/>
    </w:rPr>
  </w:style>
  <w:style w:type="character" w:default="1" w:styleId="27">
    <w:name w:val="Default Paragraph Font"/>
    <w:autoRedefine/>
    <w:qFormat/>
    <w:uiPriority w:val="0"/>
  </w:style>
  <w:style w:type="table" w:default="1" w:styleId="25">
    <w:name w:val="Normal Table"/>
    <w:autoRedefine/>
    <w:qFormat/>
    <w:uiPriority w:val="0"/>
    <w:tblPr>
      <w:tblCellMar>
        <w:top w:w="0" w:type="dxa"/>
        <w:left w:w="108" w:type="dxa"/>
        <w:bottom w:w="0" w:type="dxa"/>
        <w:right w:w="108" w:type="dxa"/>
      </w:tblCellMar>
    </w:tblPr>
  </w:style>
  <w:style w:type="paragraph" w:styleId="7">
    <w:name w:val="Normal Indent"/>
    <w:basedOn w:val="1"/>
    <w:next w:val="1"/>
    <w:autoRedefine/>
    <w:qFormat/>
    <w:uiPriority w:val="0"/>
    <w:pPr>
      <w:autoSpaceDE w:val="0"/>
      <w:autoSpaceDN w:val="0"/>
      <w:adjustRightInd w:val="0"/>
      <w:ind w:firstLine="420"/>
      <w:jc w:val="left"/>
      <w:textAlignment w:val="baseline"/>
    </w:pPr>
    <w:rPr>
      <w:rFonts w:ascii="宋体"/>
      <w:kern w:val="0"/>
      <w:sz w:val="34"/>
      <w:szCs w:val="20"/>
    </w:rPr>
  </w:style>
  <w:style w:type="paragraph" w:styleId="8">
    <w:name w:val="toa heading"/>
    <w:basedOn w:val="1"/>
    <w:next w:val="1"/>
    <w:autoRedefine/>
    <w:qFormat/>
    <w:uiPriority w:val="0"/>
    <w:pPr>
      <w:spacing w:before="120"/>
    </w:pPr>
    <w:rPr>
      <w:rFonts w:ascii="Cambria" w:hAnsi="Cambria"/>
      <w:sz w:val="24"/>
    </w:rPr>
  </w:style>
  <w:style w:type="paragraph" w:styleId="9">
    <w:name w:val="annotation text"/>
    <w:basedOn w:val="1"/>
    <w:autoRedefine/>
    <w:qFormat/>
    <w:uiPriority w:val="0"/>
    <w:pPr>
      <w:jc w:val="left"/>
    </w:pPr>
  </w:style>
  <w:style w:type="paragraph" w:styleId="10">
    <w:name w:val="Body Text"/>
    <w:basedOn w:val="1"/>
    <w:next w:val="1"/>
    <w:autoRedefine/>
    <w:qFormat/>
    <w:uiPriority w:val="0"/>
    <w:pPr>
      <w:spacing w:after="120"/>
    </w:pPr>
  </w:style>
  <w:style w:type="paragraph" w:styleId="11">
    <w:name w:val="Body Text Indent"/>
    <w:basedOn w:val="1"/>
    <w:next w:val="1"/>
    <w:autoRedefine/>
    <w:qFormat/>
    <w:uiPriority w:val="0"/>
    <w:pPr>
      <w:spacing w:line="360" w:lineRule="auto"/>
      <w:ind w:firstLine="570"/>
    </w:pPr>
    <w:rPr>
      <w:sz w:val="24"/>
      <w:szCs w:val="24"/>
    </w:rPr>
  </w:style>
  <w:style w:type="paragraph" w:styleId="12">
    <w:name w:val="toc 3"/>
    <w:basedOn w:val="1"/>
    <w:next w:val="1"/>
    <w:qFormat/>
    <w:uiPriority w:val="0"/>
    <w:pPr>
      <w:ind w:left="840" w:leftChars="400"/>
    </w:pPr>
  </w:style>
  <w:style w:type="paragraph" w:styleId="13">
    <w:name w:val="Plain Text"/>
    <w:basedOn w:val="1"/>
    <w:autoRedefine/>
    <w:qFormat/>
    <w:uiPriority w:val="0"/>
    <w:rPr>
      <w:rFonts w:ascii="宋体;SimSun" w:hAnsi="宋体;SimSun" w:cs="宋体;SimSun"/>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0"/>
  </w:style>
  <w:style w:type="paragraph" w:styleId="17">
    <w:name w:val="List Number 5"/>
    <w:basedOn w:val="1"/>
    <w:qFormat/>
    <w:uiPriority w:val="0"/>
    <w:pPr>
      <w:numPr>
        <w:ilvl w:val="0"/>
        <w:numId w:val="2"/>
      </w:numPr>
    </w:pPr>
  </w:style>
  <w:style w:type="paragraph" w:styleId="18">
    <w:name w:val="footnote text"/>
    <w:basedOn w:val="1"/>
    <w:next w:val="10"/>
    <w:unhideWhenUsed/>
    <w:qFormat/>
    <w:uiPriority w:val="99"/>
    <w:pPr>
      <w:snapToGrid w:val="0"/>
      <w:jc w:val="left"/>
    </w:pPr>
    <w:rPr>
      <w:sz w:val="18"/>
      <w:szCs w:val="18"/>
    </w:rPr>
  </w:style>
  <w:style w:type="paragraph" w:styleId="19">
    <w:name w:val="toc 2"/>
    <w:basedOn w:val="1"/>
    <w:next w:val="1"/>
    <w:qFormat/>
    <w:uiPriority w:val="0"/>
    <w:pPr>
      <w:ind w:left="420" w:leftChars="200"/>
    </w:p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qFormat/>
    <w:uiPriority w:val="0"/>
    <w:pPr>
      <w:spacing w:before="280" w:after="280"/>
      <w:jc w:val="left"/>
    </w:pPr>
    <w:rPr>
      <w:kern w:val="0"/>
      <w:sz w:val="24"/>
      <w:szCs w:val="24"/>
    </w:rPr>
  </w:style>
  <w:style w:type="paragraph" w:styleId="22">
    <w:name w:val="Title"/>
    <w:basedOn w:val="1"/>
    <w:next w:val="1"/>
    <w:qFormat/>
    <w:uiPriority w:val="0"/>
  </w:style>
  <w:style w:type="paragraph" w:styleId="23">
    <w:name w:val="Body Text First Indent"/>
    <w:basedOn w:val="10"/>
    <w:next w:val="1"/>
    <w:autoRedefine/>
    <w:qFormat/>
    <w:uiPriority w:val="0"/>
    <w:pPr>
      <w:ind w:firstLine="420"/>
    </w:pPr>
  </w:style>
  <w:style w:type="paragraph" w:styleId="24">
    <w:name w:val="Body Text First Indent 2"/>
    <w:basedOn w:val="11"/>
    <w:unhideWhenUsed/>
    <w:qFormat/>
    <w:uiPriority w:val="99"/>
    <w:pPr>
      <w:ind w:firstLine="420" w:firstLineChars="200"/>
    </w:pPr>
  </w:style>
  <w:style w:type="table" w:styleId="26">
    <w:name w:val="Table Grid"/>
    <w:basedOn w:val="25"/>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Hyperlink"/>
    <w:basedOn w:val="27"/>
    <w:qFormat/>
    <w:uiPriority w:val="0"/>
    <w:rPr>
      <w:color w:val="0000FF"/>
      <w:u w:val="single"/>
    </w:rPr>
  </w:style>
  <w:style w:type="paragraph" w:customStyle="1" w:styleId="31">
    <w:name w:val="_Style 3"/>
    <w:qFormat/>
    <w:uiPriority w:val="0"/>
    <w:rPr>
      <w:rFonts w:ascii="Times New Roman" w:hAnsi="Times New Roman" w:eastAsia="宋体" w:cs="Times New Roman"/>
      <w:sz w:val="22"/>
      <w:szCs w:val="22"/>
      <w:lang w:val="en-US" w:eastAsia="zh-CN" w:bidi="ar-SA"/>
    </w:rPr>
  </w:style>
  <w:style w:type="paragraph" w:customStyle="1" w:styleId="32">
    <w:name w:val="正文首行缩进 21"/>
    <w:basedOn w:val="11"/>
    <w:next w:val="13"/>
    <w:unhideWhenUsed/>
    <w:qFormat/>
    <w:uiPriority w:val="99"/>
    <w:pPr>
      <w:ind w:firstLine="420" w:firstLineChars="200"/>
    </w:pPr>
  </w:style>
  <w:style w:type="paragraph" w:customStyle="1" w:styleId="33">
    <w:name w:val="样式1"/>
    <w:basedOn w:val="1"/>
    <w:next w:val="5"/>
    <w:qFormat/>
    <w:uiPriority w:val="0"/>
    <w:pPr>
      <w:ind w:firstLine="420"/>
    </w:pPr>
    <w:rPr>
      <w:rFonts w:ascii="宋体" w:hAnsi="宋体"/>
      <w:szCs w:val="21"/>
    </w:rPr>
  </w:style>
  <w:style w:type="paragraph" w:customStyle="1" w:styleId="34">
    <w:name w:val="style4"/>
    <w:basedOn w:val="1"/>
    <w:next w:val="35"/>
    <w:autoRedefine/>
    <w:qFormat/>
    <w:uiPriority w:val="0"/>
    <w:pPr>
      <w:widowControl/>
      <w:spacing w:before="280" w:after="280"/>
    </w:pPr>
    <w:rPr>
      <w:rFonts w:ascii="宋体"/>
      <w:sz w:val="18"/>
    </w:rPr>
  </w:style>
  <w:style w:type="paragraph" w:customStyle="1" w:styleId="35">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36">
    <w:name w:val="正"/>
    <w:basedOn w:val="37"/>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37">
    <w:name w:val="正文_1"/>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38">
    <w:name w:val="TOC 21"/>
    <w:basedOn w:val="1"/>
    <w:next w:val="1"/>
    <w:qFormat/>
    <w:uiPriority w:val="0"/>
    <w:pPr>
      <w:ind w:left="420"/>
    </w:pPr>
  </w:style>
  <w:style w:type="character" w:customStyle="1" w:styleId="39">
    <w:name w:val="标题 2 字符"/>
    <w:link w:val="3"/>
    <w:qFormat/>
    <w:uiPriority w:val="0"/>
    <w:rPr>
      <w:rFonts w:ascii="Arial" w:hAnsi="Arial" w:eastAsia="黑体"/>
      <w:b/>
      <w:sz w:val="32"/>
    </w:rPr>
  </w:style>
  <w:style w:type="paragraph" w:customStyle="1" w:styleId="40">
    <w:name w:val="List Paragraph_b291becb-3792-4fdf-bc34-a5dd9e608fde"/>
    <w:basedOn w:val="1"/>
    <w:qFormat/>
    <w:uiPriority w:val="0"/>
    <w:pPr>
      <w:suppressAutoHyphens w:val="0"/>
      <w:spacing w:after="120"/>
      <w:ind w:firstLine="420" w:firstLineChars="200"/>
    </w:pPr>
    <w:rPr>
      <w:rFonts w:eastAsia="宋体"/>
      <w:szCs w:val="24"/>
    </w:rPr>
  </w:style>
  <w:style w:type="paragraph" w:customStyle="1" w:styleId="41">
    <w:name w:val="正文缩进2格"/>
    <w:basedOn w:val="1"/>
    <w:qFormat/>
    <w:uiPriority w:val="99"/>
    <w:pPr>
      <w:spacing w:line="600" w:lineRule="exact"/>
      <w:ind w:firstLine="639" w:firstLineChars="206"/>
    </w:pPr>
    <w:rPr>
      <w:rFonts w:hint="default" w:hAnsi="宋体" w:eastAsia="Times New Roman"/>
      <w:sz w:val="31"/>
      <w:szCs w:val="24"/>
    </w:rPr>
  </w:style>
  <w:style w:type="paragraph" w:customStyle="1" w:styleId="42">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Default Text"/>
    <w:qFormat/>
    <w:uiPriority w:val="0"/>
    <w:pPr>
      <w:widowControl w:val="0"/>
      <w:suppressAutoHyphens/>
      <w:autoSpaceDE w:val="0"/>
    </w:pPr>
    <w:rPr>
      <w:rFonts w:ascii="Times New Roman" w:hAnsi="Times New Roman" w:eastAsia="宋体;SimSun" w:cs="Times New Roman"/>
      <w:color w:val="000000"/>
      <w:sz w:val="24"/>
      <w:szCs w:val="24"/>
      <w:lang w:val="en-US" w:eastAsia="zh-CN" w:bidi="ar-SA"/>
    </w:rPr>
  </w:style>
  <w:style w:type="paragraph" w:customStyle="1" w:styleId="44">
    <w:name w:val="Heading 21"/>
    <w:basedOn w:val="1"/>
    <w:next w:val="1"/>
    <w:qFormat/>
    <w:uiPriority w:val="0"/>
    <w:pPr>
      <w:widowControl/>
      <w:numPr>
        <w:ilvl w:val="1"/>
        <w:numId w:val="3"/>
      </w:numPr>
      <w:spacing w:before="280" w:after="280"/>
      <w:jc w:val="left"/>
      <w:outlineLvl w:val="1"/>
    </w:pPr>
    <w:rPr>
      <w:rFonts w:ascii="宋体;SimSun" w:hAnsi="宋体;SimSun" w:cs="宋体;SimSun"/>
      <w:b/>
      <w:bCs/>
      <w:kern w:val="0"/>
      <w:sz w:val="36"/>
      <w:szCs w:val="36"/>
    </w:rPr>
  </w:style>
  <w:style w:type="paragraph" w:customStyle="1" w:styleId="45">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Normal_3"/>
    <w:autoRedefine/>
    <w:qFormat/>
    <w:uiPriority w:val="0"/>
    <w:rPr>
      <w:rFonts w:ascii="黑体" w:hAnsi="黑体" w:eastAsia="黑体" w:cs="Times New Roman"/>
      <w:b/>
      <w:sz w:val="32"/>
      <w:szCs w:val="24"/>
      <w:lang w:val="en-US" w:eastAsia="zh-CN" w:bidi="ar-SA"/>
    </w:rPr>
  </w:style>
  <w:style w:type="character" w:customStyle="1" w:styleId="47">
    <w:name w:val="标题 2 Char"/>
    <w:link w:val="3"/>
    <w:autoRedefine/>
    <w:qFormat/>
    <w:uiPriority w:val="0"/>
    <w:rPr>
      <w:rFonts w:ascii="Arial" w:hAnsi="Arial" w:eastAsia="黑体"/>
      <w:b/>
      <w:sz w:val="32"/>
    </w:rPr>
  </w:style>
  <w:style w:type="paragraph" w:customStyle="1" w:styleId="48">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49">
    <w:name w:val="Normal_17"/>
    <w:qFormat/>
    <w:uiPriority w:val="0"/>
    <w:rPr>
      <w:rFonts w:ascii="黑体" w:hAnsi="黑体" w:eastAsia="黑体" w:cs="Times New Roman"/>
      <w:b/>
      <w:sz w:val="32"/>
      <w:szCs w:val="24"/>
      <w:lang w:val="en-US" w:eastAsia="zh-CN" w:bidi="ar-SA"/>
    </w:rPr>
  </w:style>
  <w:style w:type="paragraph" w:customStyle="1" w:styleId="50">
    <w:name w:val="正文文本_1_0"/>
    <w:basedOn w:val="51"/>
    <w:autoRedefine/>
    <w:qFormat/>
    <w:uiPriority w:val="0"/>
    <w:pPr>
      <w:spacing w:after="120"/>
    </w:pPr>
    <w:rPr>
      <w:szCs w:val="22"/>
    </w:rPr>
  </w:style>
  <w:style w:type="paragraph" w:customStyle="1" w:styleId="51">
    <w:name w:val="正文_0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Table Paragraph"/>
    <w:basedOn w:val="51"/>
    <w:qFormat/>
    <w:uiPriority w:val="0"/>
    <w:pPr>
      <w:jc w:val="left"/>
    </w:pPr>
    <w:rPr>
      <w:kern w:val="0"/>
      <w:sz w:val="22"/>
      <w:szCs w:val="22"/>
      <w:lang w:eastAsia="en-US"/>
    </w:rPr>
  </w:style>
  <w:style w:type="paragraph" w:customStyle="1" w:styleId="53">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54">
    <w:name w:val="正文_0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文本_0"/>
    <w:basedOn w:val="42"/>
    <w:autoRedefine/>
    <w:qFormat/>
    <w:uiPriority w:val="0"/>
    <w:pPr>
      <w:spacing w:after="120"/>
    </w:pPr>
    <w:rPr>
      <w:rFonts w:ascii="Times New Roman" w:hAnsi="Times New Roman"/>
      <w:szCs w:val="24"/>
    </w:rPr>
  </w:style>
  <w:style w:type="paragraph" w:customStyle="1" w:styleId="59">
    <w:name w:val="Normal_4"/>
    <w:qFormat/>
    <w:uiPriority w:val="0"/>
    <w:rPr>
      <w:rFonts w:ascii="黑体" w:hAnsi="黑体" w:eastAsia="黑体" w:cs="Times New Roman"/>
      <w:b/>
      <w:sz w:val="32"/>
      <w:szCs w:val="24"/>
      <w:lang w:val="en-US" w:eastAsia="zh-CN" w:bidi="ar-SA"/>
    </w:rPr>
  </w:style>
  <w:style w:type="paragraph" w:customStyle="1" w:styleId="60">
    <w:name w:val="Normal_5"/>
    <w:qFormat/>
    <w:uiPriority w:val="0"/>
    <w:rPr>
      <w:rFonts w:ascii="黑体" w:hAnsi="黑体" w:eastAsia="黑体" w:cs="Times New Roman"/>
      <w:b/>
      <w:sz w:val="32"/>
      <w:szCs w:val="24"/>
      <w:lang w:val="en-US" w:eastAsia="zh-CN" w:bidi="ar-SA"/>
    </w:rPr>
  </w:style>
  <w:style w:type="paragraph" w:customStyle="1" w:styleId="61">
    <w:name w:val="Normal_6"/>
    <w:qFormat/>
    <w:uiPriority w:val="0"/>
    <w:rPr>
      <w:rFonts w:ascii="黑体" w:hAnsi="黑体" w:eastAsia="黑体" w:cs="Times New Roman"/>
      <w:b/>
      <w:sz w:val="32"/>
      <w:szCs w:val="24"/>
      <w:lang w:val="en-US" w:eastAsia="zh-CN" w:bidi="ar-SA"/>
    </w:rPr>
  </w:style>
  <w:style w:type="paragraph" w:customStyle="1" w:styleId="62">
    <w:name w:val="Normal_7"/>
    <w:autoRedefine/>
    <w:qFormat/>
    <w:uiPriority w:val="0"/>
    <w:pPr>
      <w:suppressAutoHyphens/>
    </w:pPr>
    <w:rPr>
      <w:rFonts w:ascii="黑体;SimHei" w:hAnsi="黑体;SimHei" w:eastAsia="黑体;SimHei" w:cs="黑体;SimHei"/>
      <w:b/>
      <w:bCs/>
      <w:sz w:val="32"/>
      <w:szCs w:val="32"/>
      <w:lang w:val="en-US" w:eastAsia="zh-CN" w:bidi="ar-SA"/>
    </w:rPr>
  </w:style>
  <w:style w:type="paragraph" w:customStyle="1" w:styleId="63">
    <w:name w:val="Normal_8"/>
    <w:qFormat/>
    <w:uiPriority w:val="0"/>
    <w:rPr>
      <w:rFonts w:ascii="黑体" w:hAnsi="黑体" w:eastAsia="黑体" w:cs="Times New Roman"/>
      <w:b/>
      <w:sz w:val="32"/>
      <w:szCs w:val="24"/>
      <w:lang w:val="en-US" w:eastAsia="zh-CN" w:bidi="ar-SA"/>
    </w:rPr>
  </w:style>
  <w:style w:type="paragraph" w:customStyle="1" w:styleId="64">
    <w:name w:val="Normal_14"/>
    <w:qFormat/>
    <w:uiPriority w:val="0"/>
    <w:rPr>
      <w:rFonts w:ascii="黑体" w:hAnsi="黑体" w:eastAsia="黑体" w:cs="Times New Roman"/>
      <w:b/>
      <w:sz w:val="32"/>
      <w:szCs w:val="24"/>
      <w:lang w:val="en-US" w:eastAsia="zh-CN" w:bidi="ar-SA"/>
    </w:rPr>
  </w:style>
  <w:style w:type="paragraph" w:customStyle="1" w:styleId="65">
    <w:name w:val="正文_0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66">
    <w:name w:val="标题 3_0_0"/>
    <w:basedOn w:val="65"/>
    <w:next w:val="65"/>
    <w:autoRedefine/>
    <w:qFormat/>
    <w:uiPriority w:val="0"/>
    <w:pPr>
      <w:autoSpaceDE w:val="0"/>
      <w:autoSpaceDN w:val="0"/>
      <w:adjustRightInd w:val="0"/>
      <w:spacing w:line="500" w:lineRule="exact"/>
      <w:jc w:val="center"/>
      <w:outlineLvl w:val="2"/>
    </w:pPr>
    <w:rPr>
      <w:rFonts w:ascii="宋体" w:hAnsi="宋体" w:eastAsia="宋体"/>
      <w:b/>
      <w:szCs w:val="28"/>
    </w:rPr>
  </w:style>
  <w:style w:type="paragraph" w:customStyle="1" w:styleId="67">
    <w:name w:val="Normal_10"/>
    <w:qFormat/>
    <w:uiPriority w:val="0"/>
    <w:rPr>
      <w:rFonts w:ascii="黑体" w:hAnsi="黑体" w:eastAsia="黑体" w:cs="Times New Roman"/>
      <w:b/>
      <w:sz w:val="32"/>
      <w:szCs w:val="24"/>
      <w:lang w:val="en-US" w:eastAsia="zh-CN" w:bidi="ar-SA"/>
    </w:rPr>
  </w:style>
  <w:style w:type="paragraph" w:customStyle="1" w:styleId="68">
    <w:name w:val="正文_4_0"/>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69">
    <w:name w:val="Normal_11"/>
    <w:qFormat/>
    <w:uiPriority w:val="0"/>
    <w:rPr>
      <w:rFonts w:ascii="黑体" w:hAnsi="黑体" w:eastAsia="黑体" w:cs="Times New Roman"/>
      <w:b/>
      <w:sz w:val="32"/>
      <w:szCs w:val="24"/>
      <w:lang w:val="en-US" w:eastAsia="zh-CN" w:bidi="ar-SA"/>
    </w:rPr>
  </w:style>
  <w:style w:type="paragraph" w:customStyle="1" w:styleId="70">
    <w:name w:val="Normal_13"/>
    <w:autoRedefine/>
    <w:qFormat/>
    <w:uiPriority w:val="0"/>
    <w:rPr>
      <w:rFonts w:ascii="黑体" w:hAnsi="黑体" w:eastAsia="黑体" w:cs="Times New Roman"/>
      <w:b/>
      <w:sz w:val="32"/>
      <w:szCs w:val="24"/>
      <w:lang w:val="en-US" w:eastAsia="zh-CN" w:bidi="ar-SA"/>
    </w:rPr>
  </w:style>
  <w:style w:type="paragraph" w:customStyle="1" w:styleId="71">
    <w:name w:val="正文文本缩进_1_0"/>
    <w:basedOn w:val="72"/>
    <w:autoRedefine/>
    <w:qFormat/>
    <w:uiPriority w:val="99"/>
    <w:pPr>
      <w:spacing w:after="120"/>
      <w:ind w:left="420" w:leftChars="200"/>
    </w:pPr>
    <w:rPr>
      <w:rFonts w:ascii="Calibri" w:hAnsi="Calibri" w:eastAsia="宋体"/>
    </w:rPr>
  </w:style>
  <w:style w:type="paragraph" w:customStyle="1" w:styleId="72">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正文_0_0_2"/>
    <w:qFormat/>
    <w:uiPriority w:val="0"/>
    <w:pPr>
      <w:widowControl w:val="0"/>
      <w:jc w:val="both"/>
    </w:pPr>
    <w:rPr>
      <w:rFonts w:ascii="Calibri" w:hAnsi="Calibri" w:eastAsia="宋体" w:cs="Times New Roman"/>
      <w:kern w:val="2"/>
      <w:sz w:val="28"/>
      <w:szCs w:val="22"/>
      <w:lang w:val="en-US" w:eastAsia="zh-CN" w:bidi="ar-SA"/>
    </w:rPr>
  </w:style>
  <w:style w:type="paragraph" w:customStyle="1" w:styleId="74">
    <w:name w:val="正文文本_4"/>
    <w:basedOn w:val="75"/>
    <w:autoRedefine/>
    <w:qFormat/>
    <w:uiPriority w:val="0"/>
    <w:pPr>
      <w:spacing w:after="120"/>
    </w:pPr>
    <w:rPr>
      <w:rFonts w:ascii="Times New Roman" w:hAnsi="Times New Roman" w:eastAsia="宋体"/>
      <w:szCs w:val="24"/>
    </w:rPr>
  </w:style>
  <w:style w:type="paragraph" w:customStyle="1" w:styleId="75">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Normal_16"/>
    <w:autoRedefine/>
    <w:qFormat/>
    <w:uiPriority w:val="0"/>
    <w:rPr>
      <w:rFonts w:ascii="黑体" w:hAnsi="黑体" w:eastAsia="黑体" w:cs="Times New Roman"/>
      <w:b/>
      <w:sz w:val="32"/>
      <w:szCs w:val="24"/>
      <w:lang w:val="en-US" w:eastAsia="zh-CN" w:bidi="ar-SA"/>
    </w:rPr>
  </w:style>
  <w:style w:type="paragraph" w:customStyle="1" w:styleId="77">
    <w:name w:val="正文_1_1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正文_4_0_0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79">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_1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文本缩进_2_0"/>
    <w:basedOn w:val="79"/>
    <w:autoRedefine/>
    <w:qFormat/>
    <w:uiPriority w:val="99"/>
    <w:pPr>
      <w:spacing w:after="120"/>
      <w:ind w:left="420" w:leftChars="200"/>
    </w:pPr>
    <w:rPr>
      <w:rFonts w:ascii="Calibri" w:hAnsi="Calibri" w:eastAsia="宋体"/>
    </w:rPr>
  </w:style>
  <w:style w:type="paragraph" w:customStyle="1" w:styleId="82">
    <w:name w:val="题注_0"/>
    <w:basedOn w:val="79"/>
    <w:next w:val="79"/>
    <w:qFormat/>
    <w:uiPriority w:val="0"/>
    <w:pPr>
      <w:spacing w:before="152" w:after="160"/>
    </w:pPr>
    <w:rPr>
      <w:rFonts w:ascii="Arial" w:hAnsi="Arial" w:eastAsia="黑体" w:cs="Arial"/>
      <w:sz w:val="20"/>
      <w:szCs w:val="20"/>
    </w:rPr>
  </w:style>
  <w:style w:type="paragraph" w:customStyle="1" w:styleId="83">
    <w:name w:val="Normal_19"/>
    <w:qFormat/>
    <w:uiPriority w:val="0"/>
    <w:rPr>
      <w:rFonts w:ascii="黑体" w:hAnsi="黑体" w:eastAsia="黑体" w:cs="Times New Roman"/>
      <w:b/>
      <w:sz w:val="32"/>
      <w:szCs w:val="24"/>
      <w:lang w:val="en-US" w:eastAsia="zh-CN" w:bidi="ar-SA"/>
    </w:rPr>
  </w:style>
  <w:style w:type="paragraph" w:customStyle="1" w:styleId="84">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85">
    <w:name w:val="Normal_36b807a6-4032-40ed-9e09-eb01aeaa7f6f"/>
    <w:qFormat/>
    <w:uiPriority w:val="0"/>
    <w:rPr>
      <w:rFonts w:ascii="Times New Roman" w:hAnsi="Times New Roman" w:eastAsia="Times New Roman" w:cs="Times New Roman"/>
      <w:sz w:val="24"/>
      <w:szCs w:val="24"/>
      <w:lang w:val="en-US" w:eastAsia="zh-CN" w:bidi="ar-SA"/>
    </w:rPr>
  </w:style>
  <w:style w:type="paragraph" w:customStyle="1" w:styleId="86">
    <w:name w:val="FootnoteText"/>
    <w:basedOn w:val="1"/>
    <w:autoRedefine/>
    <w:qFormat/>
    <w:uiPriority w:val="0"/>
    <w:pPr>
      <w:snapToGrid w:val="0"/>
      <w:jc w:val="left"/>
    </w:pPr>
    <w:rPr>
      <w:sz w:val="18"/>
    </w:rPr>
  </w:style>
  <w:style w:type="paragraph" w:customStyle="1" w:styleId="87">
    <w:name w:val="正文1"/>
    <w:autoRedefine/>
    <w:qFormat/>
    <w:uiPriority w:val="0"/>
    <w:pPr>
      <w:widowControl w:val="0"/>
      <w:jc w:val="both"/>
    </w:pPr>
    <w:rPr>
      <w:rFonts w:ascii="Calibri" w:hAnsi="Calibri" w:eastAsia="宋体" w:cs="Times New Roman"/>
      <w:lang w:val="en-US" w:eastAsia="zh-CN" w:bidi="ar-SA"/>
    </w:rPr>
  </w:style>
  <w:style w:type="paragraph" w:customStyle="1" w:styleId="88">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89">
    <w:name w:val="正文_2"/>
    <w:qFormat/>
    <w:uiPriority w:val="0"/>
    <w:pPr>
      <w:widowControl w:val="0"/>
      <w:jc w:val="both"/>
    </w:pPr>
    <w:rPr>
      <w:rFonts w:ascii="Calibri" w:hAnsi="Calibri" w:eastAsia="宋体" w:cs="Times New Roman"/>
      <w:lang w:val="en-US" w:eastAsia="zh-CN" w:bidi="ar-SA"/>
    </w:rPr>
  </w:style>
  <w:style w:type="character" w:customStyle="1" w:styleId="90">
    <w:name w:val="apple-style-span"/>
    <w:basedOn w:val="27"/>
    <w:qFormat/>
    <w:uiPriority w:val="0"/>
  </w:style>
  <w:style w:type="paragraph" w:customStyle="1" w:styleId="91">
    <w:name w:val="Normal_0"/>
    <w:autoRedefine/>
    <w:qFormat/>
    <w:uiPriority w:val="0"/>
    <w:rPr>
      <w:rFonts w:ascii="黑体" w:hAnsi="黑体" w:eastAsia="黑体" w:cs="Times New Roman"/>
      <w:b/>
      <w:sz w:val="32"/>
      <w:szCs w:val="24"/>
      <w:lang w:val="en-US" w:eastAsia="zh-CN" w:bidi="ar-SA"/>
    </w:rPr>
  </w:style>
  <w:style w:type="paragraph" w:customStyle="1" w:styleId="92">
    <w:name w:val="缺省文本"/>
    <w:autoRedefine/>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character" w:customStyle="1" w:styleId="93">
    <w:name w:val="font11"/>
    <w:basedOn w:val="27"/>
    <w:autoRedefine/>
    <w:qFormat/>
    <w:uiPriority w:val="0"/>
    <w:rPr>
      <w:rFonts w:hint="eastAsia" w:ascii="宋体" w:hAnsi="宋体" w:eastAsia="宋体" w:cs="宋体"/>
      <w:color w:val="000000"/>
      <w:sz w:val="21"/>
      <w:szCs w:val="21"/>
      <w:u w:val="none"/>
    </w:rPr>
  </w:style>
  <w:style w:type="character" w:customStyle="1" w:styleId="94">
    <w:name w:val="font21"/>
    <w:basedOn w:val="27"/>
    <w:autoRedefine/>
    <w:qFormat/>
    <w:uiPriority w:val="0"/>
    <w:rPr>
      <w:rFonts w:hint="default" w:ascii="Times New Roman" w:hAnsi="Times New Roman" w:cs="Times New Roman"/>
      <w:color w:val="000000"/>
      <w:sz w:val="21"/>
      <w:szCs w:val="21"/>
      <w:u w:val="none"/>
    </w:rPr>
  </w:style>
  <w:style w:type="paragraph" w:customStyle="1" w:styleId="95">
    <w:name w:val="正文_9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96">
    <w:name w:val="正文文本缩进_1_1"/>
    <w:basedOn w:val="80"/>
    <w:autoRedefine/>
    <w:qFormat/>
    <w:uiPriority w:val="0"/>
    <w:pPr>
      <w:spacing w:line="500" w:lineRule="exact"/>
      <w:ind w:left="1588" w:leftChars="832" w:firstLine="433" w:firstLineChars="196"/>
    </w:pPr>
    <w:rPr>
      <w:kern w:val="0"/>
      <w:sz w:val="24"/>
    </w:rPr>
  </w:style>
  <w:style w:type="paragraph" w:customStyle="1" w:styleId="97">
    <w:name w:val="正文文本缩进_0_1"/>
    <w:basedOn w:val="79"/>
    <w:autoRedefine/>
    <w:qFormat/>
    <w:uiPriority w:val="0"/>
    <w:pPr>
      <w:spacing w:line="500" w:lineRule="exact"/>
      <w:ind w:left="1588" w:leftChars="832" w:firstLine="433" w:firstLineChars="196"/>
    </w:pPr>
    <w:rPr>
      <w:kern w:val="0"/>
      <w:sz w:val="24"/>
    </w:rPr>
  </w:style>
  <w:style w:type="paragraph" w:customStyle="1" w:styleId="98">
    <w:name w:val="表格文字2"/>
    <w:basedOn w:val="87"/>
    <w:qFormat/>
    <w:uiPriority w:val="99"/>
    <w:pPr>
      <w:spacing w:before="25" w:after="25"/>
      <w:jc w:val="left"/>
    </w:pPr>
    <w:rPr>
      <w:bCs/>
      <w:spacing w:val="10"/>
      <w:kern w:val="0"/>
    </w:rPr>
  </w:style>
  <w:style w:type="paragraph" w:styleId="99">
    <w:name w:val="List Paragraph"/>
    <w:basedOn w:val="1"/>
    <w:unhideWhenUsed/>
    <w:qFormat/>
    <w:uiPriority w:val="99"/>
    <w:pPr>
      <w:ind w:firstLine="420" w:firstLineChars="200"/>
    </w:pPr>
  </w:style>
  <w:style w:type="paragraph" w:customStyle="1" w:styleId="100">
    <w:name w:val="TOC 标题1"/>
    <w:basedOn w:val="2"/>
    <w:next w:val="1"/>
    <w:qFormat/>
    <w:uiPriority w:val="0"/>
    <w:pPr>
      <w:outlineLvl w:val="9"/>
    </w:pPr>
    <w:rPr>
      <w:rFonts w:ascii="Calibri" w:hAnsi="Calibri"/>
    </w:rPr>
  </w:style>
  <w:style w:type="character" w:customStyle="1" w:styleId="101">
    <w:name w:val="页码1"/>
    <w:basedOn w:val="27"/>
    <w:qFormat/>
    <w:uiPriority w:val="0"/>
    <w:rPr>
      <w:rFonts w:cs="Times New Roman"/>
    </w:rPr>
  </w:style>
  <w:style w:type="character" w:customStyle="1" w:styleId="102">
    <w:name w:val="font131"/>
    <w:basedOn w:val="27"/>
    <w:qFormat/>
    <w:uiPriority w:val="0"/>
    <w:rPr>
      <w:rFonts w:hint="eastAsia" w:ascii="宋体" w:hAnsi="宋体" w:eastAsia="宋体" w:cs="宋体"/>
      <w:color w:val="000000"/>
      <w:sz w:val="20"/>
      <w:szCs w:val="20"/>
      <w:u w:val="none"/>
    </w:rPr>
  </w:style>
  <w:style w:type="character" w:customStyle="1" w:styleId="103">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3795</Words>
  <Characters>4449</Characters>
  <Paragraphs>1469</Paragraphs>
  <TotalTime>3</TotalTime>
  <ScaleCrop>false</ScaleCrop>
  <LinksUpToDate>false</LinksUpToDate>
  <CharactersWithSpaces>4518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2023-04-25T01:34:00Z</dcterms:created>
  <dc:creator>师翠婷</dc:creator>
  <cp:lastModifiedBy>程建军</cp:lastModifiedBy>
  <cp:lastPrinted>2025-01-08T09:23:00Z</cp:lastPrinted>
  <dcterms:modified xsi:type="dcterms:W3CDTF">2025-04-08T09:57:46Z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EA74C8EE3BF548E2ACE9FB4F5383B371_13</vt:lpwstr>
  </property>
  <property fmtid="{D5CDD505-2E9C-101B-9397-08002B2CF9AE}" pid="4" name="KSOTemplateDocerSaveRecord">
    <vt:lpwstr>eyJoZGlkIjoiN2M3NGVmYTkxODhkMTgzMWVkZWM0NjJiM2NlNmUyODQiLCJ1c2VySWQiOiIyMDMxNjIxNzkifQ==</vt:lpwstr>
  </property>
</Properties>
</file>