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E3FA48">
      <w:pPr>
        <w:pageBreakBefore w:val="0"/>
        <w:kinsoku/>
        <w:wordWrap/>
        <w:overflowPunct/>
        <w:topLinePunct w:val="0"/>
        <w:bidi w:val="0"/>
        <w:spacing w:line="360" w:lineRule="auto"/>
        <w:rPr>
          <w:rFonts w:hint="eastAsia" w:ascii="宋体" w:hAnsi="宋体" w:eastAsia="宋体" w:cs="宋体"/>
          <w:color w:val="auto"/>
          <w:highlight w:val="none"/>
        </w:rPr>
      </w:pPr>
      <w:bookmarkStart w:id="0" w:name="_Hlk83600134"/>
      <w:bookmarkEnd w:id="0"/>
    </w:p>
    <w:p w14:paraId="521DDA7C">
      <w:pPr>
        <w:pageBreakBefore w:val="0"/>
        <w:kinsoku/>
        <w:wordWrap/>
        <w:overflowPunct/>
        <w:topLinePunct w:val="0"/>
        <w:bidi w:val="0"/>
        <w:spacing w:line="360" w:lineRule="auto"/>
        <w:jc w:val="center"/>
        <w:rPr>
          <w:rFonts w:hint="eastAsia" w:ascii="宋体" w:hAnsi="宋体" w:eastAsia="宋体" w:cs="宋体"/>
          <w:b/>
          <w:color w:val="auto"/>
          <w:sz w:val="32"/>
          <w:szCs w:val="32"/>
          <w:highlight w:val="none"/>
        </w:rPr>
      </w:pPr>
      <w:r>
        <w:rPr>
          <w:rFonts w:hint="eastAsia" w:ascii="宋体" w:hAnsi="宋体" w:eastAsia="宋体" w:cs="宋体"/>
          <w:color w:val="auto"/>
          <w:highlight w:val="none"/>
        </w:rPr>
        <w:drawing>
          <wp:anchor distT="0" distB="0" distL="114300" distR="114300" simplePos="0" relativeHeight="251661312" behindDoc="0" locked="0" layoutInCell="1" allowOverlap="1">
            <wp:simplePos x="0" y="0"/>
            <wp:positionH relativeFrom="column">
              <wp:posOffset>2189480</wp:posOffset>
            </wp:positionH>
            <wp:positionV relativeFrom="paragraph">
              <wp:posOffset>359410</wp:posOffset>
            </wp:positionV>
            <wp:extent cx="1350010" cy="1701165"/>
            <wp:effectExtent l="0" t="0" r="6350" b="5715"/>
            <wp:wrapNone/>
            <wp:docPr id="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pic:cNvPicPr>
                      <a:picLocks noChangeAspect="1"/>
                    </pic:cNvPicPr>
                  </pic:nvPicPr>
                  <pic:blipFill>
                    <a:blip r:embed="rId8"/>
                    <a:stretch>
                      <a:fillRect/>
                    </a:stretch>
                  </pic:blipFill>
                  <pic:spPr>
                    <a:xfrm>
                      <a:off x="0" y="0"/>
                      <a:ext cx="1350010" cy="1701165"/>
                    </a:xfrm>
                    <a:prstGeom prst="rect">
                      <a:avLst/>
                    </a:prstGeom>
                    <a:noFill/>
                    <a:ln w="12700">
                      <a:noFill/>
                    </a:ln>
                  </pic:spPr>
                </pic:pic>
              </a:graphicData>
            </a:graphic>
          </wp:anchor>
        </w:drawing>
      </w:r>
    </w:p>
    <w:p w14:paraId="5F585AAD">
      <w:pPr>
        <w:pageBreakBefore w:val="0"/>
        <w:tabs>
          <w:tab w:val="left" w:pos="180"/>
        </w:tabs>
        <w:kinsoku/>
        <w:wordWrap/>
        <w:overflowPunct/>
        <w:topLinePunct w:val="0"/>
        <w:bidi w:val="0"/>
        <w:spacing w:line="360" w:lineRule="auto"/>
        <w:ind w:right="-1"/>
        <w:jc w:val="center"/>
        <w:rPr>
          <w:rFonts w:hint="eastAsia" w:ascii="宋体" w:hAnsi="宋体" w:eastAsia="宋体" w:cs="宋体"/>
          <w:b/>
          <w:color w:val="auto"/>
          <w:sz w:val="72"/>
          <w:highlight w:val="none"/>
        </w:rPr>
      </w:pPr>
    </w:p>
    <w:p w14:paraId="27BDD2E2">
      <w:pPr>
        <w:pageBreakBefore w:val="0"/>
        <w:tabs>
          <w:tab w:val="left" w:pos="180"/>
        </w:tabs>
        <w:kinsoku/>
        <w:wordWrap/>
        <w:overflowPunct/>
        <w:topLinePunct w:val="0"/>
        <w:bidi w:val="0"/>
        <w:spacing w:line="360" w:lineRule="auto"/>
        <w:ind w:right="-1"/>
        <w:jc w:val="center"/>
        <w:rPr>
          <w:rFonts w:hint="eastAsia" w:ascii="宋体" w:hAnsi="宋体" w:eastAsia="宋体" w:cs="宋体"/>
          <w:b/>
          <w:color w:val="auto"/>
          <w:sz w:val="72"/>
          <w:highlight w:val="none"/>
        </w:rPr>
      </w:pPr>
    </w:p>
    <w:p w14:paraId="5B1892EE">
      <w:pPr>
        <w:pageBreakBefore w:val="0"/>
        <w:tabs>
          <w:tab w:val="left" w:pos="180"/>
        </w:tabs>
        <w:kinsoku/>
        <w:wordWrap/>
        <w:overflowPunct/>
        <w:topLinePunct w:val="0"/>
        <w:bidi w:val="0"/>
        <w:spacing w:line="360" w:lineRule="auto"/>
        <w:ind w:right="-1"/>
        <w:jc w:val="center"/>
        <w:rPr>
          <w:rFonts w:hint="eastAsia" w:ascii="宋体" w:hAnsi="宋体" w:eastAsia="宋体" w:cs="宋体"/>
          <w:b/>
          <w:color w:val="auto"/>
          <w:sz w:val="72"/>
          <w:highlight w:val="none"/>
        </w:rPr>
      </w:pPr>
    </w:p>
    <w:p w14:paraId="014574FA">
      <w:pPr>
        <w:pageBreakBefore w:val="0"/>
        <w:tabs>
          <w:tab w:val="left" w:pos="180"/>
        </w:tabs>
        <w:kinsoku/>
        <w:wordWrap/>
        <w:overflowPunct/>
        <w:topLinePunct w:val="0"/>
        <w:bidi w:val="0"/>
        <w:spacing w:line="360" w:lineRule="auto"/>
        <w:ind w:right="-1"/>
        <w:jc w:val="center"/>
        <w:rPr>
          <w:rFonts w:hint="eastAsia" w:ascii="宋体" w:hAnsi="宋体" w:eastAsia="宋体" w:cs="宋体"/>
          <w:b/>
          <w:color w:val="auto"/>
          <w:sz w:val="72"/>
          <w:highlight w:val="none"/>
        </w:rPr>
      </w:pPr>
      <w:r>
        <w:rPr>
          <w:rFonts w:hint="eastAsia" w:ascii="宋体" w:hAnsi="宋体" w:eastAsia="宋体" w:cs="宋体"/>
          <w:b/>
          <w:color w:val="auto"/>
          <w:sz w:val="72"/>
          <w:highlight w:val="none"/>
          <w:lang w:val="en-US" w:eastAsia="zh-CN"/>
        </w:rPr>
        <w:t>竞争性磋商</w:t>
      </w:r>
      <w:r>
        <w:rPr>
          <w:rFonts w:hint="eastAsia" w:ascii="宋体" w:hAnsi="宋体" w:eastAsia="宋体" w:cs="宋体"/>
          <w:b/>
          <w:color w:val="auto"/>
          <w:sz w:val="72"/>
          <w:highlight w:val="none"/>
        </w:rPr>
        <w:t>文件</w:t>
      </w:r>
      <w:r>
        <w:rPr>
          <w:rFonts w:hint="eastAsia" w:ascii="宋体" w:hAnsi="宋体" w:eastAsia="宋体" w:cs="宋体"/>
          <w:b/>
          <w:color w:val="auto"/>
          <w:sz w:val="72"/>
          <w:highlight w:val="none"/>
        </w:rPr>
        <w:br w:type="textWrapping"/>
      </w:r>
    </w:p>
    <w:p w14:paraId="03388704">
      <w:pPr>
        <w:pStyle w:val="7"/>
        <w:rPr>
          <w:rFonts w:hint="eastAsia" w:ascii="宋体" w:hAnsi="宋体" w:eastAsia="宋体" w:cs="宋体"/>
          <w:color w:val="auto"/>
          <w:highlight w:val="none"/>
        </w:rPr>
      </w:pPr>
    </w:p>
    <w:p w14:paraId="6FFE29DA">
      <w:pPr>
        <w:rPr>
          <w:rFonts w:hint="eastAsia" w:ascii="宋体" w:hAnsi="宋体" w:eastAsia="宋体" w:cs="宋体"/>
          <w:color w:val="auto"/>
          <w:highlight w:val="none"/>
        </w:rPr>
      </w:pPr>
    </w:p>
    <w:p w14:paraId="6E818CBD">
      <w:pPr>
        <w:widowControl w:val="0"/>
        <w:adjustRightInd w:val="0"/>
        <w:snapToGrid w:val="0"/>
        <w:spacing w:line="480" w:lineRule="auto"/>
        <w:ind w:left="2092" w:leftChars="104" w:right="-361" w:rightChars="-172" w:hanging="1874" w:hangingChars="778"/>
        <w:rPr>
          <w:rFonts w:hint="default" w:ascii="宋体" w:hAnsi="宋体" w:eastAsia="宋体" w:cs="宋体"/>
          <w:b/>
          <w:bCs/>
          <w:color w:val="auto"/>
          <w:sz w:val="24"/>
          <w:highlight w:val="none"/>
          <w:lang w:val="en-US" w:eastAsia="zh-CN"/>
        </w:rPr>
      </w:pPr>
      <w:r>
        <w:rPr>
          <w:rFonts w:hint="eastAsia" w:ascii="宋体" w:hAnsi="宋体" w:eastAsia="宋体" w:cs="宋体"/>
          <w:b/>
          <w:bCs/>
          <w:color w:val="auto"/>
          <w:sz w:val="24"/>
          <w:highlight w:val="none"/>
          <w:lang w:val="en-US" w:eastAsia="zh-CN"/>
        </w:rPr>
        <w:t>项目编号：TC259H0CJ</w:t>
      </w:r>
    </w:p>
    <w:p w14:paraId="6BC05323">
      <w:pPr>
        <w:widowControl w:val="0"/>
        <w:adjustRightInd w:val="0"/>
        <w:snapToGrid w:val="0"/>
        <w:spacing w:line="480" w:lineRule="auto"/>
        <w:ind w:left="2092" w:leftChars="104" w:right="-361" w:rightChars="-172" w:hanging="1874" w:hangingChars="778"/>
        <w:rPr>
          <w:rFonts w:hint="eastAsia" w:ascii="宋体" w:hAnsi="宋体" w:eastAsia="宋体" w:cs="宋体"/>
          <w:b/>
          <w:bCs/>
          <w:color w:val="auto"/>
          <w:sz w:val="24"/>
          <w:highlight w:val="none"/>
          <w:lang w:eastAsia="zh-CN"/>
        </w:rPr>
      </w:pPr>
      <w:r>
        <w:rPr>
          <w:rFonts w:hint="eastAsia" w:ascii="宋体" w:hAnsi="宋体" w:eastAsia="宋体" w:cs="宋体"/>
          <w:b/>
          <w:bCs/>
          <w:color w:val="auto"/>
          <w:sz w:val="24"/>
          <w:highlight w:val="none"/>
        </w:rPr>
        <w:t>项目名称:新疆医科大学2025年雪莲山校区一期校园绿化养护服务项目</w:t>
      </w:r>
    </w:p>
    <w:p w14:paraId="5FE38E76">
      <w:pPr>
        <w:widowControl w:val="0"/>
        <w:adjustRightInd w:val="0"/>
        <w:snapToGrid w:val="0"/>
        <w:spacing w:line="480" w:lineRule="auto"/>
        <w:ind w:left="2092" w:leftChars="104" w:right="-361" w:rightChars="-172" w:hanging="1874" w:hangingChars="778"/>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采 购 人（盖章）：新疆医科大学</w:t>
      </w:r>
    </w:p>
    <w:p w14:paraId="00AFCAF4">
      <w:pPr>
        <w:widowControl w:val="0"/>
        <w:adjustRightInd w:val="0"/>
        <w:snapToGrid w:val="0"/>
        <w:spacing w:line="480" w:lineRule="auto"/>
        <w:ind w:left="2092" w:leftChars="104" w:right="-361" w:rightChars="-172" w:hanging="1874" w:hangingChars="778"/>
        <w:rPr>
          <w:rFonts w:hint="default" w:ascii="宋体" w:hAnsi="宋体" w:eastAsia="宋体" w:cs="宋体"/>
          <w:b/>
          <w:bCs/>
          <w:color w:val="auto"/>
          <w:sz w:val="24"/>
          <w:highlight w:val="none"/>
          <w:u w:val="single"/>
          <w:lang w:val="en-US"/>
        </w:rPr>
      </w:pPr>
      <w:r>
        <w:rPr>
          <w:rFonts w:hint="eastAsia" w:ascii="宋体" w:hAnsi="宋体" w:eastAsia="宋体" w:cs="宋体"/>
          <w:b/>
          <w:bCs/>
          <w:color w:val="auto"/>
          <w:sz w:val="24"/>
          <w:highlight w:val="none"/>
        </w:rPr>
        <w:t>联 系 人：</w:t>
      </w:r>
      <w:r>
        <w:rPr>
          <w:rFonts w:hint="eastAsia" w:ascii="宋体" w:hAnsi="宋体" w:eastAsia="宋体" w:cs="宋体"/>
          <w:b/>
          <w:bCs/>
          <w:color w:val="auto"/>
          <w:sz w:val="24"/>
          <w:highlight w:val="none"/>
          <w:lang w:val="en-US" w:eastAsia="zh-CN"/>
        </w:rPr>
        <w:t>董家正</w:t>
      </w:r>
    </w:p>
    <w:p w14:paraId="7F229F9F">
      <w:pPr>
        <w:widowControl w:val="0"/>
        <w:adjustRightInd w:val="0"/>
        <w:snapToGrid w:val="0"/>
        <w:spacing w:line="480" w:lineRule="auto"/>
        <w:ind w:left="2092" w:leftChars="104" w:hanging="1874" w:hangingChars="778"/>
        <w:rPr>
          <w:rFonts w:hint="default" w:ascii="宋体" w:hAnsi="宋体" w:eastAsia="宋体" w:cs="宋体"/>
          <w:b/>
          <w:bCs/>
          <w:color w:val="auto"/>
          <w:sz w:val="24"/>
          <w:highlight w:val="none"/>
          <w:lang w:val="en-US" w:eastAsia="zh-CN"/>
        </w:rPr>
      </w:pPr>
      <w:r>
        <w:rPr>
          <w:rFonts w:hint="eastAsia" w:ascii="宋体" w:hAnsi="宋体" w:eastAsia="宋体" w:cs="宋体"/>
          <w:b/>
          <w:bCs/>
          <w:color w:val="auto"/>
          <w:sz w:val="24"/>
          <w:highlight w:val="none"/>
        </w:rPr>
        <w:t>电    话：</w:t>
      </w:r>
      <w:r>
        <w:rPr>
          <w:rFonts w:hint="eastAsia" w:ascii="宋体" w:hAnsi="宋体" w:eastAsia="宋体" w:cs="宋体"/>
          <w:b/>
          <w:bCs/>
          <w:color w:val="auto"/>
          <w:sz w:val="24"/>
          <w:highlight w:val="none"/>
          <w:lang w:val="en-US" w:eastAsia="zh-CN"/>
        </w:rPr>
        <w:t>18609001412</w:t>
      </w:r>
    </w:p>
    <w:p w14:paraId="48C76391">
      <w:pPr>
        <w:widowControl w:val="0"/>
        <w:adjustRightInd w:val="0"/>
        <w:snapToGrid w:val="0"/>
        <w:spacing w:line="480" w:lineRule="auto"/>
        <w:ind w:left="2092" w:leftChars="104" w:right="-361" w:rightChars="-172" w:hanging="1874" w:hangingChars="778"/>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mc:AlternateContent>
          <mc:Choice Requires="wps">
            <w:drawing>
              <wp:anchor distT="0" distB="0" distL="114300" distR="114300" simplePos="0" relativeHeight="251660288" behindDoc="0" locked="0" layoutInCell="1" allowOverlap="1">
                <wp:simplePos x="0" y="0"/>
                <wp:positionH relativeFrom="column">
                  <wp:posOffset>94615</wp:posOffset>
                </wp:positionH>
                <wp:positionV relativeFrom="paragraph">
                  <wp:posOffset>93345</wp:posOffset>
                </wp:positionV>
                <wp:extent cx="5626735" cy="0"/>
                <wp:effectExtent l="0" t="6350" r="0" b="6350"/>
                <wp:wrapNone/>
                <wp:docPr id="3" name="直接连接符 3"/>
                <wp:cNvGraphicFramePr/>
                <a:graphic xmlns:a="http://schemas.openxmlformats.org/drawingml/2006/main">
                  <a:graphicData uri="http://schemas.microsoft.com/office/word/2010/wordprocessingShape">
                    <wps:wsp>
                      <wps:cNvCnPr/>
                      <wps:spPr>
                        <a:xfrm>
                          <a:off x="0" y="0"/>
                          <a:ext cx="5626735" cy="0"/>
                        </a:xfrm>
                        <a:prstGeom prst="line">
                          <a:avLst/>
                        </a:prstGeom>
                        <a:ln w="12700" cap="flat" cmpd="sng">
                          <a:solidFill>
                            <a:srgbClr val="000000"/>
                          </a:solidFill>
                          <a:prstDash val="sysDot"/>
                          <a:headEnd type="none" w="med" len="med"/>
                          <a:tailEnd type="none" w="med" len="med"/>
                        </a:ln>
                      </wps:spPr>
                      <wps:bodyPr upright="1"/>
                    </wps:wsp>
                  </a:graphicData>
                </a:graphic>
              </wp:anchor>
            </w:drawing>
          </mc:Choice>
          <mc:Fallback>
            <w:pict>
              <v:line id="_x0000_s1026" o:spid="_x0000_s1026" o:spt="20" style="position:absolute;left:0pt;margin-left:7.45pt;margin-top:7.35pt;height:0pt;width:443.05pt;z-index:251660288;mso-width-relative:page;mso-height-relative:page;" filled="f" stroked="t" coordsize="21600,21600" o:gfxdata="UEsDBAoAAAAAAIdO4kAAAAAAAAAAAAAAAAAEAAAAZHJzL1BLAwQUAAAACACHTuJA4sDrwNMAAAAI&#10;AQAADwAAAGRycy9kb3ducmV2LnhtbE1Py07DMBC8I/EP1iJxo3YQAhri9FABJ6hEKZy38ZJEtddR&#10;7D7g69mKQzmtZmc0j2p2CF7taEx9ZAvFxIAibqLrubWwen+6ugeVMrJDH5ksfFOCWX1+VmHp4p7f&#10;aLfMrRITTiVa6HIeSq1T01HANIkDsXBfcQyYBY6tdiPuxTx4fW3MrQ7YsyR0ONC8o2az3AYLc9O/&#10;Pr4s/HMRflabj09sm7xorb28KMwDqEyHfBLDsb5Uh1o6reOWXVJe8M1UlMd7B0r4qSlk2/rvoetK&#10;/x9Q/wJQSwMEFAAAAAgAh07iQKQSsaL5AQAA5gMAAA4AAABkcnMvZTJvRG9jLnhtbK1TzW4TMRC+&#10;I/EOlu9k86OmaJVNDw3lgiAS8AAT27tryX/yONnkJXgBJG5w4sidt6F9DMa7aQrtJYfuwTv2jL+Z&#10;75vx4mpvDdupiNq7ik9GY86UE15q11T886ebV685wwROgvFOVfygkF8tX75YdKFUU996I1VkBOKw&#10;7ELF25RCWRQoWmUBRz4oR87aRwuJtrEpZISO0K0ppuPxvOh8lCF6oRDpdDU4+RExngPo61oLtfJi&#10;a5VLA2pUBhJRwlYH5Mu+2rpWIn2oa1SJmYoT09SvlITsTV6L5QLKJkJotTiWAOeU8IiTBe0o6Qlq&#10;BQnYNuonUFaL6NHXaSS8LQYivSLEYjJ+pM3HFoLquZDUGE6i4/PBive7dWRaVnzGmQNLDb/9+uvP&#10;l+93v7/RevvzB5tlkbqAJcVeu3U87jCsY2a8r6PNf+LC9r2wh5Owap+YoMOL+XR+ObvgTNz7ioeL&#10;IWJ6q7xl2ai40S5zhhJ27zBRMgq9D8nHxrGO5nZ6OaYeCqAJrKnzZNpALNA1/WX0RssbbUy+grHZ&#10;XJvIdpCnoP8yJwL+LyxnWQG2QxwecOXTMCCtAvnGSZYOgQRy9C54LsIqyZlR9IyyRYhQJtDmnEjK&#10;bRyVkHUdlMzWxssDtWMbom5a0mLSl5k91P6+4OOo5vn6d98jPTzP5V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DiwOvA0wAAAAgBAAAPAAAAAAAAAAEAIAAAACIAAABkcnMvZG93bnJldi54bWxQSwEC&#10;FAAUAAAACACHTuJApBKxovkBAADmAwAADgAAAAAAAAABACAAAAAiAQAAZHJzL2Uyb0RvYy54bWxQ&#10;SwUGAAAAAAYABgBZAQAAjQUAAAAA&#10;">
                <v:fill on="f" focussize="0,0"/>
                <v:stroke weight="1pt" color="#000000" joinstyle="round" dashstyle="1 1"/>
                <v:imagedata o:title=""/>
                <o:lock v:ext="edit" aspectratio="f"/>
              </v:line>
            </w:pict>
          </mc:Fallback>
        </mc:AlternateContent>
      </w:r>
    </w:p>
    <w:p w14:paraId="23EC7B34">
      <w:pPr>
        <w:widowControl w:val="0"/>
        <w:adjustRightInd w:val="0"/>
        <w:snapToGrid w:val="0"/>
        <w:spacing w:line="480" w:lineRule="auto"/>
        <w:ind w:left="2092" w:leftChars="104" w:right="-361" w:rightChars="-172" w:hanging="1874" w:hangingChars="778"/>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采购代理机构（盖章）：</w:t>
      </w:r>
      <w:r>
        <w:rPr>
          <w:rFonts w:hint="eastAsia" w:ascii="宋体" w:hAnsi="宋体" w:eastAsia="宋体" w:cs="宋体"/>
          <w:b/>
          <w:bCs/>
          <w:color w:val="auto"/>
          <w:sz w:val="24"/>
          <w:highlight w:val="none"/>
          <w:lang w:val="en-US" w:eastAsia="zh-CN"/>
        </w:rPr>
        <w:t>中招国际招标有限公司</w:t>
      </w:r>
    </w:p>
    <w:p w14:paraId="6C2BC573">
      <w:pPr>
        <w:widowControl w:val="0"/>
        <w:adjustRightInd w:val="0"/>
        <w:snapToGrid w:val="0"/>
        <w:spacing w:line="480" w:lineRule="auto"/>
        <w:ind w:left="2092" w:leftChars="104" w:right="-361" w:rightChars="-172" w:hanging="1874" w:hangingChars="778"/>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项目联系人：</w:t>
      </w:r>
      <w:r>
        <w:rPr>
          <w:rFonts w:hint="eastAsia" w:ascii="宋体" w:hAnsi="宋体" w:eastAsia="宋体" w:cs="宋体"/>
          <w:b/>
          <w:bCs/>
          <w:color w:val="auto"/>
          <w:sz w:val="24"/>
          <w:highlight w:val="none"/>
          <w:lang w:val="en-US" w:eastAsia="zh-CN"/>
        </w:rPr>
        <w:t>程建军、师翠婷、</w:t>
      </w:r>
      <w:r>
        <w:rPr>
          <w:rFonts w:hint="eastAsia" w:ascii="宋体" w:hAnsi="宋体" w:eastAsia="宋体" w:cs="宋体"/>
          <w:b/>
          <w:bCs/>
          <w:color w:val="auto"/>
          <w:sz w:val="24"/>
          <w:highlight w:val="none"/>
          <w:lang w:eastAsia="zh-CN"/>
        </w:rPr>
        <w:t>张辉、</w:t>
      </w:r>
      <w:r>
        <w:rPr>
          <w:rFonts w:hint="eastAsia" w:ascii="宋体" w:hAnsi="宋体" w:eastAsia="宋体" w:cs="宋体"/>
          <w:b/>
          <w:bCs/>
          <w:color w:val="auto"/>
          <w:sz w:val="24"/>
          <w:highlight w:val="none"/>
          <w:lang w:val="en-US" w:eastAsia="zh-CN"/>
        </w:rPr>
        <w:t>徐中凤</w:t>
      </w:r>
    </w:p>
    <w:p w14:paraId="1D1DA9AD">
      <w:pPr>
        <w:widowControl w:val="0"/>
        <w:adjustRightInd w:val="0"/>
        <w:snapToGrid w:val="0"/>
        <w:spacing w:line="480" w:lineRule="auto"/>
        <w:ind w:left="2092" w:leftChars="104" w:right="-361" w:rightChars="-172" w:hanging="1874" w:hangingChars="778"/>
        <w:rPr>
          <w:rFonts w:hint="default" w:ascii="宋体" w:hAnsi="宋体" w:eastAsia="宋体" w:cs="宋体"/>
          <w:b/>
          <w:bCs/>
          <w:color w:val="auto"/>
          <w:sz w:val="24"/>
          <w:highlight w:val="none"/>
          <w:lang w:val="en-US"/>
        </w:rPr>
      </w:pPr>
      <w:r>
        <w:rPr>
          <w:rFonts w:hint="eastAsia" w:ascii="宋体" w:hAnsi="宋体" w:eastAsia="宋体" w:cs="宋体"/>
          <w:b/>
          <w:bCs/>
          <w:color w:val="auto"/>
          <w:sz w:val="24"/>
          <w:highlight w:val="none"/>
          <w:lang w:val="en-US" w:eastAsia="zh-CN"/>
        </w:rPr>
        <w:t>联系方式：</w:t>
      </w:r>
      <w:r>
        <w:rPr>
          <w:rFonts w:hint="eastAsia" w:ascii="宋体" w:hAnsi="宋体" w:eastAsia="宋体" w:cs="宋体"/>
          <w:b/>
          <w:bCs/>
          <w:color w:val="auto"/>
          <w:sz w:val="24"/>
          <w:highlight w:val="none"/>
          <w:lang w:eastAsia="zh-CN"/>
        </w:rPr>
        <w:t>1</w:t>
      </w:r>
      <w:r>
        <w:rPr>
          <w:rFonts w:hint="eastAsia" w:ascii="宋体" w:hAnsi="宋体" w:eastAsia="宋体" w:cs="宋体"/>
          <w:b/>
          <w:bCs/>
          <w:color w:val="auto"/>
          <w:sz w:val="24"/>
          <w:highlight w:val="none"/>
          <w:lang w:val="en-US" w:eastAsia="zh-CN"/>
        </w:rPr>
        <w:t>5699108282</w:t>
      </w:r>
    </w:p>
    <w:p w14:paraId="2C562BA9">
      <w:pPr>
        <w:widowControl w:val="0"/>
        <w:adjustRightInd w:val="0"/>
        <w:snapToGrid w:val="0"/>
        <w:spacing w:line="480" w:lineRule="auto"/>
        <w:ind w:left="2092" w:leftChars="104" w:right="-361" w:rightChars="-172" w:hanging="1874" w:hangingChars="778"/>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详细地址：乌鲁木齐市水磨沟区南湖北路486号南湖明珠大厦南区8楼</w:t>
      </w:r>
    </w:p>
    <w:p w14:paraId="42FA63FD">
      <w:pPr>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br w:type="page"/>
      </w:r>
    </w:p>
    <w:p w14:paraId="41AA11E9">
      <w:pPr>
        <w:pStyle w:val="7"/>
        <w:rPr>
          <w:rFonts w:hint="eastAsia" w:ascii="宋体" w:hAnsi="宋体" w:eastAsia="宋体" w:cs="宋体"/>
          <w:color w:val="auto"/>
          <w:highlight w:val="none"/>
        </w:rPr>
      </w:pPr>
    </w:p>
    <w:p w14:paraId="70FB4DFD">
      <w:pPr>
        <w:jc w:val="center"/>
        <w:rPr>
          <w:rFonts w:hint="eastAsia" w:ascii="宋体" w:hAnsi="宋体" w:eastAsia="宋体" w:cs="宋体"/>
          <w:b/>
          <w:bCs/>
          <w:color w:val="auto"/>
          <w:sz w:val="32"/>
          <w:szCs w:val="32"/>
          <w:highlight w:val="none"/>
        </w:rPr>
      </w:pPr>
    </w:p>
    <w:p w14:paraId="16D4D03E">
      <w:pPr>
        <w:jc w:val="center"/>
        <w:rPr>
          <w:rFonts w:hint="eastAsia" w:ascii="宋体" w:hAnsi="宋体" w:eastAsia="宋体" w:cs="宋体"/>
          <w:b/>
          <w:bCs/>
          <w:color w:val="auto"/>
          <w:sz w:val="32"/>
          <w:szCs w:val="32"/>
          <w:highlight w:val="none"/>
        </w:rPr>
        <w:sectPr>
          <w:headerReference r:id="rId3" w:type="default"/>
          <w:pgSz w:w="11906" w:h="16838"/>
          <w:pgMar w:top="1440" w:right="1106" w:bottom="1440" w:left="1800" w:header="851" w:footer="752" w:gutter="0"/>
          <w:pgNumType w:fmt="numberInDash"/>
          <w:cols w:space="720" w:num="1"/>
          <w:docGrid w:type="lines" w:linePitch="312" w:charSpace="0"/>
        </w:sectPr>
      </w:pPr>
    </w:p>
    <w:p w14:paraId="466EBC73">
      <w:pPr>
        <w:jc w:val="cente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目      录</w:t>
      </w:r>
    </w:p>
    <w:p w14:paraId="33787B92">
      <w:pPr>
        <w:pStyle w:val="36"/>
        <w:rPr>
          <w:rFonts w:hint="eastAsia" w:ascii="宋体" w:hAnsi="宋体" w:eastAsia="宋体" w:cs="宋体"/>
          <w:color w:val="auto"/>
          <w:highlight w:val="none"/>
        </w:rPr>
      </w:pPr>
    </w:p>
    <w:p w14:paraId="51A80BE7">
      <w:pPr>
        <w:pStyle w:val="16"/>
        <w:tabs>
          <w:tab w:val="right" w:leader="dot" w:pos="9000"/>
        </w:tabs>
        <w:spacing w:line="560" w:lineRule="exac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TOC \o "1-3" \h \z \u</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HYPERLINK \l _Toc18505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第一章 竞争性磋商公告</w:t>
      </w:r>
      <w:r>
        <w:rPr>
          <w:rFonts w:hint="eastAsia" w:ascii="宋体" w:hAnsi="宋体" w:eastAsia="宋体" w:cs="宋体"/>
          <w:color w:val="auto"/>
          <w:sz w:val="28"/>
          <w:szCs w:val="28"/>
          <w:highlight w:val="none"/>
        </w:rPr>
        <w:tab/>
      </w: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PAGEREF _Toc18505 \h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1</w:t>
      </w:r>
      <w:r>
        <w:rPr>
          <w:rFonts w:hint="eastAsia" w:ascii="宋体" w:hAnsi="宋体" w:eastAsia="宋体" w:cs="宋体"/>
          <w:color w:val="auto"/>
          <w:sz w:val="28"/>
          <w:szCs w:val="28"/>
          <w:highlight w:val="none"/>
        </w:rPr>
        <w:fldChar w:fldCharType="end"/>
      </w:r>
      <w:r>
        <w:rPr>
          <w:rFonts w:hint="eastAsia" w:ascii="宋体" w:hAnsi="宋体" w:eastAsia="宋体" w:cs="宋体"/>
          <w:color w:val="auto"/>
          <w:sz w:val="28"/>
          <w:szCs w:val="28"/>
          <w:highlight w:val="none"/>
        </w:rPr>
        <w:fldChar w:fldCharType="end"/>
      </w:r>
    </w:p>
    <w:p w14:paraId="1F91D94E">
      <w:pPr>
        <w:pStyle w:val="16"/>
        <w:tabs>
          <w:tab w:val="right" w:leader="dot" w:pos="9000"/>
        </w:tabs>
        <w:spacing w:line="560" w:lineRule="exac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HYPERLINK \l _Toc5674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第二章 供应商须知</w:t>
      </w:r>
      <w:r>
        <w:rPr>
          <w:rFonts w:hint="eastAsia" w:ascii="宋体" w:hAnsi="宋体" w:eastAsia="宋体" w:cs="宋体"/>
          <w:color w:val="auto"/>
          <w:sz w:val="28"/>
          <w:szCs w:val="28"/>
          <w:highlight w:val="none"/>
        </w:rPr>
        <w:tab/>
      </w: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PAGEREF _Toc5674 \h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5</w:t>
      </w:r>
      <w:r>
        <w:rPr>
          <w:rFonts w:hint="eastAsia" w:ascii="宋体" w:hAnsi="宋体" w:eastAsia="宋体" w:cs="宋体"/>
          <w:color w:val="auto"/>
          <w:sz w:val="28"/>
          <w:szCs w:val="28"/>
          <w:highlight w:val="none"/>
        </w:rPr>
        <w:fldChar w:fldCharType="end"/>
      </w:r>
      <w:r>
        <w:rPr>
          <w:rFonts w:hint="eastAsia" w:ascii="宋体" w:hAnsi="宋体" w:eastAsia="宋体" w:cs="宋体"/>
          <w:color w:val="auto"/>
          <w:sz w:val="28"/>
          <w:szCs w:val="28"/>
          <w:highlight w:val="none"/>
        </w:rPr>
        <w:fldChar w:fldCharType="end"/>
      </w:r>
    </w:p>
    <w:p w14:paraId="37E7FAFF">
      <w:pPr>
        <w:pStyle w:val="19"/>
        <w:tabs>
          <w:tab w:val="right" w:leader="dot" w:pos="9000"/>
        </w:tabs>
        <w:spacing w:line="560" w:lineRule="exact"/>
        <w:ind w:left="0" w:leftChars="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HYPERLINK \l _Toc24799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pacing w:val="6"/>
          <w:sz w:val="28"/>
          <w:szCs w:val="28"/>
          <w:highlight w:val="none"/>
        </w:rPr>
        <w:t>第三章 采购需求</w:t>
      </w:r>
      <w:r>
        <w:rPr>
          <w:rFonts w:hint="eastAsia" w:ascii="宋体" w:hAnsi="宋体" w:eastAsia="宋体" w:cs="宋体"/>
          <w:color w:val="auto"/>
          <w:sz w:val="28"/>
          <w:szCs w:val="28"/>
          <w:highlight w:val="none"/>
        </w:rPr>
        <w:tab/>
      </w: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PAGEREF _Toc24799 \h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27</w:t>
      </w:r>
      <w:r>
        <w:rPr>
          <w:rFonts w:hint="eastAsia" w:ascii="宋体" w:hAnsi="宋体" w:eastAsia="宋体" w:cs="宋体"/>
          <w:color w:val="auto"/>
          <w:sz w:val="28"/>
          <w:szCs w:val="28"/>
          <w:highlight w:val="none"/>
        </w:rPr>
        <w:fldChar w:fldCharType="end"/>
      </w:r>
      <w:r>
        <w:rPr>
          <w:rFonts w:hint="eastAsia" w:ascii="宋体" w:hAnsi="宋体" w:eastAsia="宋体" w:cs="宋体"/>
          <w:color w:val="auto"/>
          <w:sz w:val="28"/>
          <w:szCs w:val="28"/>
          <w:highlight w:val="none"/>
        </w:rPr>
        <w:fldChar w:fldCharType="end"/>
      </w:r>
    </w:p>
    <w:p w14:paraId="61DCB610">
      <w:pPr>
        <w:pStyle w:val="16"/>
        <w:tabs>
          <w:tab w:val="right" w:leader="dot" w:pos="9000"/>
        </w:tabs>
        <w:spacing w:line="560" w:lineRule="exac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HYPERLINK \l _Toc27504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第四章 合同条款</w:t>
      </w:r>
      <w:r>
        <w:rPr>
          <w:rFonts w:hint="eastAsia" w:ascii="宋体" w:hAnsi="宋体" w:eastAsia="宋体" w:cs="宋体"/>
          <w:color w:val="auto"/>
          <w:sz w:val="28"/>
          <w:szCs w:val="28"/>
          <w:highlight w:val="none"/>
        </w:rPr>
        <w:tab/>
      </w: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PAGEREF _Toc27504 \h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32</w:t>
      </w:r>
      <w:r>
        <w:rPr>
          <w:rFonts w:hint="eastAsia" w:ascii="宋体" w:hAnsi="宋体" w:eastAsia="宋体" w:cs="宋体"/>
          <w:color w:val="auto"/>
          <w:sz w:val="28"/>
          <w:szCs w:val="28"/>
          <w:highlight w:val="none"/>
        </w:rPr>
        <w:fldChar w:fldCharType="end"/>
      </w:r>
      <w:r>
        <w:rPr>
          <w:rFonts w:hint="eastAsia" w:ascii="宋体" w:hAnsi="宋体" w:eastAsia="宋体" w:cs="宋体"/>
          <w:color w:val="auto"/>
          <w:sz w:val="28"/>
          <w:szCs w:val="28"/>
          <w:highlight w:val="none"/>
        </w:rPr>
        <w:fldChar w:fldCharType="end"/>
      </w:r>
    </w:p>
    <w:p w14:paraId="39EEC599">
      <w:pPr>
        <w:pStyle w:val="19"/>
        <w:tabs>
          <w:tab w:val="right" w:leader="dot" w:pos="9000"/>
        </w:tabs>
        <w:spacing w:line="560" w:lineRule="exact"/>
        <w:ind w:left="0" w:leftChars="0"/>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HYPERLINK \l _Toc28125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第五章 评审办法</w:t>
      </w:r>
      <w:r>
        <w:rPr>
          <w:rFonts w:hint="eastAsia" w:ascii="宋体" w:hAnsi="宋体" w:eastAsia="宋体" w:cs="宋体"/>
          <w:color w:val="auto"/>
          <w:sz w:val="28"/>
          <w:szCs w:val="28"/>
          <w:highlight w:val="none"/>
        </w:rPr>
        <w:tab/>
      </w:r>
      <w:r>
        <w:rPr>
          <w:rFonts w:hint="eastAsia" w:ascii="宋体" w:hAnsi="宋体" w:eastAsia="宋体" w:cs="宋体"/>
          <w:color w:val="auto"/>
          <w:sz w:val="28"/>
          <w:szCs w:val="28"/>
          <w:highlight w:val="none"/>
          <w:lang w:val="en-US" w:eastAsia="zh-CN"/>
        </w:rPr>
        <w:t>4</w:t>
      </w:r>
      <w:r>
        <w:rPr>
          <w:rFonts w:hint="eastAsia" w:ascii="宋体" w:hAnsi="宋体" w:eastAsia="宋体" w:cs="宋体"/>
          <w:color w:val="auto"/>
          <w:sz w:val="28"/>
          <w:szCs w:val="28"/>
          <w:highlight w:val="none"/>
        </w:rPr>
        <w:fldChar w:fldCharType="end"/>
      </w:r>
      <w:r>
        <w:rPr>
          <w:rFonts w:hint="eastAsia" w:ascii="宋体" w:hAnsi="宋体" w:eastAsia="宋体" w:cs="宋体"/>
          <w:color w:val="auto"/>
          <w:sz w:val="28"/>
          <w:szCs w:val="28"/>
          <w:highlight w:val="none"/>
          <w:lang w:val="en-US" w:eastAsia="zh-CN"/>
        </w:rPr>
        <w:t>8</w:t>
      </w:r>
    </w:p>
    <w:p w14:paraId="1F099BD3">
      <w:pPr>
        <w:pStyle w:val="19"/>
        <w:tabs>
          <w:tab w:val="right" w:leader="dot" w:pos="9000"/>
        </w:tabs>
        <w:spacing w:line="560" w:lineRule="exact"/>
        <w:ind w:left="0" w:leftChars="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HYPERLINK \l _Toc28603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pacing w:val="6"/>
          <w:sz w:val="28"/>
          <w:szCs w:val="28"/>
          <w:highlight w:val="none"/>
        </w:rPr>
        <w:t>第六章 响应文件格式</w:t>
      </w:r>
      <w:r>
        <w:rPr>
          <w:rFonts w:hint="eastAsia" w:ascii="宋体" w:hAnsi="宋体" w:eastAsia="宋体" w:cs="宋体"/>
          <w:color w:val="auto"/>
          <w:sz w:val="28"/>
          <w:szCs w:val="28"/>
          <w:highlight w:val="none"/>
        </w:rPr>
        <w:tab/>
      </w: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PAGEREF _Toc28603 \h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51</w:t>
      </w:r>
      <w:r>
        <w:rPr>
          <w:rFonts w:hint="eastAsia" w:ascii="宋体" w:hAnsi="宋体" w:eastAsia="宋体" w:cs="宋体"/>
          <w:color w:val="auto"/>
          <w:sz w:val="28"/>
          <w:szCs w:val="28"/>
          <w:highlight w:val="none"/>
        </w:rPr>
        <w:fldChar w:fldCharType="end"/>
      </w:r>
      <w:r>
        <w:rPr>
          <w:rFonts w:hint="eastAsia" w:ascii="宋体" w:hAnsi="宋体" w:eastAsia="宋体" w:cs="宋体"/>
          <w:color w:val="auto"/>
          <w:sz w:val="28"/>
          <w:szCs w:val="28"/>
          <w:highlight w:val="none"/>
        </w:rPr>
        <w:fldChar w:fldCharType="end"/>
      </w:r>
    </w:p>
    <w:p w14:paraId="493847CE">
      <w:pPr>
        <w:pStyle w:val="16"/>
        <w:tabs>
          <w:tab w:val="right" w:leader="dot" w:pos="9000"/>
        </w:tabs>
        <w:spacing w:line="560" w:lineRule="exact"/>
        <w:ind w:left="420" w:leftChars="200"/>
        <w:rPr>
          <w:rFonts w:hint="eastAsia" w:ascii="宋体" w:hAnsi="宋体" w:eastAsia="宋体" w:cs="宋体"/>
          <w:color w:val="auto"/>
          <w:sz w:val="28"/>
          <w:szCs w:val="28"/>
          <w:highlight w:val="none"/>
        </w:rPr>
      </w:pPr>
    </w:p>
    <w:p w14:paraId="421B26A3">
      <w:pPr>
        <w:pStyle w:val="38"/>
        <w:tabs>
          <w:tab w:val="right" w:leader="dot" w:pos="9016"/>
        </w:tabs>
        <w:spacing w:line="560" w:lineRule="exact"/>
        <w:ind w:left="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fldChar w:fldCharType="end"/>
      </w:r>
    </w:p>
    <w:p w14:paraId="2F797060">
      <w:pPr>
        <w:pStyle w:val="38"/>
        <w:tabs>
          <w:tab w:val="right" w:leader="dot" w:pos="9016"/>
        </w:tabs>
        <w:spacing w:line="600" w:lineRule="exact"/>
        <w:ind w:left="0"/>
        <w:rPr>
          <w:rFonts w:hint="eastAsia" w:ascii="宋体" w:hAnsi="宋体" w:eastAsia="宋体" w:cs="宋体"/>
          <w:color w:val="auto"/>
          <w:highlight w:val="none"/>
        </w:rPr>
        <w:sectPr>
          <w:footerReference r:id="rId4" w:type="default"/>
          <w:pgSz w:w="11906" w:h="16838"/>
          <w:pgMar w:top="1440" w:right="1106" w:bottom="1440" w:left="1800" w:header="851" w:footer="752" w:gutter="0"/>
          <w:pgNumType w:fmt="decimal" w:start="1"/>
          <w:cols w:space="720" w:num="1"/>
          <w:docGrid w:type="lines" w:linePitch="312" w:charSpace="0"/>
        </w:sectPr>
      </w:pPr>
    </w:p>
    <w:p w14:paraId="6D717B3F">
      <w:pPr>
        <w:rPr>
          <w:rFonts w:hint="eastAsia" w:ascii="宋体" w:hAnsi="宋体" w:eastAsia="宋体" w:cs="宋体"/>
          <w:color w:val="auto"/>
          <w:highlight w:val="none"/>
        </w:rPr>
      </w:pPr>
    </w:p>
    <w:p w14:paraId="5664220B">
      <w:pPr>
        <w:widowControl/>
        <w:numPr>
          <w:ilvl w:val="0"/>
          <w:numId w:val="4"/>
        </w:numPr>
        <w:spacing w:line="480" w:lineRule="exact"/>
        <w:jc w:val="center"/>
        <w:outlineLvl w:val="0"/>
        <w:rPr>
          <w:rStyle w:val="39"/>
          <w:rFonts w:hint="eastAsia" w:ascii="宋体" w:hAnsi="宋体" w:eastAsia="宋体" w:cs="宋体"/>
          <w:color w:val="auto"/>
          <w:sz w:val="24"/>
          <w:szCs w:val="24"/>
          <w:highlight w:val="none"/>
        </w:rPr>
      </w:pPr>
      <w:bookmarkStart w:id="1" w:name="_Toc18505"/>
      <w:r>
        <w:rPr>
          <w:rStyle w:val="39"/>
          <w:rFonts w:hint="eastAsia" w:ascii="宋体" w:hAnsi="宋体" w:eastAsia="宋体" w:cs="宋体"/>
          <w:color w:val="auto"/>
          <w:sz w:val="24"/>
          <w:szCs w:val="24"/>
          <w:highlight w:val="none"/>
        </w:rPr>
        <w:t xml:space="preserve"> 竞争性磋商公告</w:t>
      </w:r>
      <w:bookmarkEnd w:id="1"/>
    </w:p>
    <w:p w14:paraId="310CA559">
      <w:pPr>
        <w:pageBreakBefore w:val="0"/>
        <w:widowControl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项目概况</w:t>
      </w:r>
    </w:p>
    <w:p w14:paraId="46B79272">
      <w:pPr>
        <w:pageBreakBefore w:val="0"/>
        <w:widowControl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lang w:eastAsia="zh-CN"/>
        </w:rPr>
        <w:t>新疆医科大学2025年雪莲山校区一期校园绿化养护服务项目</w:t>
      </w:r>
      <w:r>
        <w:rPr>
          <w:rFonts w:hint="eastAsia" w:ascii="宋体" w:hAnsi="宋体" w:eastAsia="宋体" w:cs="宋体"/>
          <w:color w:val="auto"/>
          <w:sz w:val="24"/>
          <w:szCs w:val="24"/>
          <w:highlight w:val="none"/>
        </w:rPr>
        <w:t>的潜在供应商应在政采云平台https://www.zcygov.cn/线上获取获取采购文件，并于202</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shd w:val="clear"/>
          <w:lang w:val="en-US" w:eastAsia="zh-CN"/>
        </w:rPr>
        <w:t>04月21日</w:t>
      </w:r>
      <w:r>
        <w:rPr>
          <w:rFonts w:hint="eastAsia" w:ascii="宋体" w:hAnsi="宋体" w:eastAsia="宋体" w:cs="宋体"/>
          <w:color w:val="auto"/>
          <w:sz w:val="24"/>
          <w:szCs w:val="24"/>
          <w:highlight w:val="none"/>
          <w:lang w:val="en-US" w:eastAsia="zh-CN"/>
        </w:rPr>
        <w:t>11:00</w:t>
      </w:r>
      <w:r>
        <w:rPr>
          <w:rFonts w:hint="eastAsia" w:ascii="宋体" w:hAnsi="宋体" w:eastAsia="宋体" w:cs="宋体"/>
          <w:color w:val="auto"/>
          <w:sz w:val="24"/>
          <w:szCs w:val="24"/>
          <w:highlight w:val="none"/>
        </w:rPr>
        <w:t>（北京时间）前提交响应文件。</w:t>
      </w:r>
    </w:p>
    <w:p w14:paraId="431572C6">
      <w:pPr>
        <w:pStyle w:val="3"/>
        <w:pageBreakBefore w:val="0"/>
        <w:widowControl w:val="0"/>
        <w:kinsoku/>
        <w:wordWrap/>
        <w:overflowPunct/>
        <w:topLinePunct w:val="0"/>
        <w:autoSpaceDE/>
        <w:autoSpaceDN/>
        <w:bidi w:val="0"/>
        <w:adjustRightInd/>
        <w:spacing w:line="360" w:lineRule="auto"/>
        <w:textAlignment w:val="auto"/>
        <w:rPr>
          <w:rFonts w:hint="eastAsia" w:ascii="宋体" w:hAnsi="宋体" w:eastAsia="宋体" w:cs="宋体"/>
          <w:b w:val="0"/>
          <w:color w:val="auto"/>
          <w:sz w:val="24"/>
          <w:szCs w:val="24"/>
          <w:highlight w:val="none"/>
        </w:rPr>
      </w:pPr>
      <w:bookmarkStart w:id="2" w:name="_Toc906292974"/>
      <w:bookmarkStart w:id="3" w:name="_Toc69378860"/>
      <w:r>
        <w:rPr>
          <w:rFonts w:hint="eastAsia" w:ascii="宋体" w:hAnsi="宋体" w:eastAsia="宋体" w:cs="宋体"/>
          <w:b w:val="0"/>
          <w:color w:val="auto"/>
          <w:sz w:val="24"/>
          <w:szCs w:val="24"/>
          <w:highlight w:val="none"/>
          <w:lang w:val="en-US" w:eastAsia="zh-CN"/>
        </w:rPr>
        <w:t>一、</w:t>
      </w:r>
      <w:r>
        <w:rPr>
          <w:rFonts w:hint="eastAsia" w:ascii="宋体" w:hAnsi="宋体" w:eastAsia="宋体" w:cs="宋体"/>
          <w:b w:val="0"/>
          <w:color w:val="auto"/>
          <w:sz w:val="24"/>
          <w:szCs w:val="24"/>
          <w:highlight w:val="none"/>
        </w:rPr>
        <w:t>项目基本情况</w:t>
      </w:r>
      <w:bookmarkEnd w:id="2"/>
      <w:bookmarkEnd w:id="3"/>
    </w:p>
    <w:p w14:paraId="34BCCB7E">
      <w:pPr>
        <w:pageBreakBefore w:val="0"/>
        <w:widowControl w:val="0"/>
        <w:kinsoku/>
        <w:wordWrap/>
        <w:overflowPunct/>
        <w:topLinePunct w:val="0"/>
        <w:autoSpaceDE/>
        <w:autoSpaceDN/>
        <w:bidi w:val="0"/>
        <w:adjustRightInd/>
        <w:spacing w:line="360" w:lineRule="auto"/>
        <w:ind w:firstLine="480" w:firstLineChars="200"/>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项目编号：TC259H</w:t>
      </w:r>
      <w:r>
        <w:rPr>
          <w:rFonts w:hint="eastAsia" w:ascii="宋体" w:hAnsi="宋体" w:eastAsia="宋体" w:cs="宋体"/>
          <w:color w:val="auto"/>
          <w:sz w:val="24"/>
          <w:szCs w:val="24"/>
          <w:highlight w:val="none"/>
          <w:lang w:val="en-US" w:eastAsia="zh-CN"/>
        </w:rPr>
        <w:t>0CJ</w:t>
      </w:r>
    </w:p>
    <w:p w14:paraId="57044CCA">
      <w:pPr>
        <w:pageBreakBefore w:val="0"/>
        <w:widowControl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项目名称：</w:t>
      </w:r>
      <w:r>
        <w:rPr>
          <w:rFonts w:hint="eastAsia" w:ascii="宋体" w:hAnsi="宋体" w:eastAsia="宋体" w:cs="宋体"/>
          <w:color w:val="auto"/>
          <w:sz w:val="24"/>
          <w:szCs w:val="24"/>
          <w:highlight w:val="none"/>
          <w:lang w:eastAsia="zh-CN"/>
        </w:rPr>
        <w:t>新疆医科大学2025年雪莲山校区一期校园绿化养护服务项目</w:t>
      </w:r>
    </w:p>
    <w:p w14:paraId="0B96BDFF">
      <w:pPr>
        <w:pageBreakBefore w:val="0"/>
        <w:widowControl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采购方式：竞争性磋商</w:t>
      </w:r>
    </w:p>
    <w:p w14:paraId="3E7D3A73">
      <w:pPr>
        <w:pageBreakBefore w:val="0"/>
        <w:widowControl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预算金额</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元</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888200.00</w:t>
      </w:r>
    </w:p>
    <w:p w14:paraId="5D4E18D9">
      <w:pPr>
        <w:pageBreakBefore w:val="0"/>
        <w:widowControl w:val="0"/>
        <w:kinsoku/>
        <w:wordWrap/>
        <w:overflowPunct/>
        <w:topLinePunct w:val="0"/>
        <w:autoSpaceDE/>
        <w:autoSpaceDN/>
        <w:bidi w:val="0"/>
        <w:adjustRightInd/>
        <w:spacing w:line="360" w:lineRule="auto"/>
        <w:ind w:firstLine="480" w:firstLineChars="200"/>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最高限价</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元</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888200.00</w:t>
      </w:r>
    </w:p>
    <w:p w14:paraId="3964F937">
      <w:pPr>
        <w:pageBreakBefore w:val="0"/>
        <w:widowControl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采购需求：</w:t>
      </w:r>
      <w:r>
        <w:rPr>
          <w:rFonts w:hint="eastAsia" w:ascii="宋体" w:hAnsi="宋体" w:eastAsia="宋体" w:cs="宋体"/>
          <w:color w:val="auto"/>
          <w:sz w:val="24"/>
          <w:szCs w:val="24"/>
          <w:highlight w:val="none"/>
          <w:lang w:val="en-US" w:eastAsia="zh-CN"/>
        </w:rPr>
        <w:t>新疆医科大学雪莲山校区一期绿化区域，面积16.63万平方米，包含</w:t>
      </w:r>
      <w:r>
        <w:rPr>
          <w:rFonts w:hint="eastAsia" w:ascii="宋体" w:hAnsi="宋体" w:eastAsia="宋体" w:cs="宋体"/>
          <w:b w:val="0"/>
          <w:bCs w:val="0"/>
          <w:color w:val="000000"/>
          <w:sz w:val="24"/>
          <w:szCs w:val="24"/>
        </w:rPr>
        <w:t>绿化养护、验收及售后服务等</w:t>
      </w:r>
      <w:r>
        <w:rPr>
          <w:rFonts w:hint="eastAsia" w:ascii="宋体" w:hAnsi="宋体" w:eastAsia="宋体" w:cs="宋体"/>
          <w:b w:val="0"/>
          <w:bCs w:val="0"/>
          <w:color w:val="000000"/>
          <w:sz w:val="24"/>
          <w:szCs w:val="24"/>
          <w:lang w:eastAsia="zh-CN"/>
        </w:rPr>
        <w:t>，</w:t>
      </w:r>
      <w:r>
        <w:rPr>
          <w:rFonts w:hint="eastAsia" w:ascii="宋体" w:hAnsi="宋体" w:eastAsia="宋体" w:cs="宋体"/>
          <w:b w:val="0"/>
          <w:bCs w:val="0"/>
          <w:color w:val="000000"/>
          <w:sz w:val="24"/>
          <w:szCs w:val="24"/>
        </w:rPr>
        <w:t>详见采购文件及技术参数要求</w:t>
      </w:r>
      <w:r>
        <w:rPr>
          <w:rFonts w:hint="eastAsia" w:ascii="宋体" w:hAnsi="宋体" w:eastAsia="宋体" w:cs="宋体"/>
          <w:color w:val="auto"/>
          <w:sz w:val="24"/>
          <w:szCs w:val="24"/>
          <w:highlight w:val="none"/>
          <w:lang w:val="en-US" w:eastAsia="zh-CN"/>
        </w:rPr>
        <w:t>。</w:t>
      </w:r>
    </w:p>
    <w:p w14:paraId="33487234">
      <w:pPr>
        <w:pageBreakBefore w:val="0"/>
        <w:widowControl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服务</w:t>
      </w:r>
      <w:r>
        <w:rPr>
          <w:rFonts w:hint="eastAsia" w:ascii="宋体" w:hAnsi="宋体" w:eastAsia="宋体" w:cs="宋体"/>
          <w:color w:val="auto"/>
          <w:sz w:val="24"/>
          <w:szCs w:val="24"/>
          <w:highlight w:val="none"/>
        </w:rPr>
        <w:t>期限：自合同签订后至</w:t>
      </w:r>
      <w:r>
        <w:rPr>
          <w:rFonts w:hint="eastAsia" w:ascii="宋体" w:hAnsi="宋体" w:eastAsia="宋体" w:cs="宋体"/>
          <w:color w:val="auto"/>
          <w:sz w:val="24"/>
          <w:szCs w:val="24"/>
          <w:highlight w:val="none"/>
          <w:lang w:val="en-US" w:eastAsia="zh-CN"/>
        </w:rPr>
        <w:t>2025年11月15日</w:t>
      </w:r>
      <w:r>
        <w:rPr>
          <w:rFonts w:hint="eastAsia" w:ascii="宋体" w:hAnsi="宋体" w:eastAsia="宋体" w:cs="宋体"/>
          <w:color w:val="auto"/>
          <w:sz w:val="24"/>
          <w:szCs w:val="24"/>
          <w:highlight w:val="none"/>
          <w:lang w:eastAsia="zh-CN"/>
        </w:rPr>
        <w:t>。</w:t>
      </w:r>
    </w:p>
    <w:p w14:paraId="19B88EF8">
      <w:pPr>
        <w:pageBreakBefore w:val="0"/>
        <w:widowControl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本项目（</w:t>
      </w:r>
      <w:r>
        <w:rPr>
          <w:rFonts w:hint="eastAsia" w:ascii="宋体" w:hAnsi="宋体" w:eastAsia="宋体" w:cs="宋体"/>
          <w:i/>
          <w:color w:val="auto"/>
          <w:sz w:val="24"/>
          <w:szCs w:val="24"/>
          <w:highlight w:val="none"/>
        </w:rPr>
        <w:t>是/否</w:t>
      </w:r>
      <w:r>
        <w:rPr>
          <w:rFonts w:hint="eastAsia" w:ascii="宋体" w:hAnsi="宋体" w:eastAsia="宋体" w:cs="宋体"/>
          <w:color w:val="auto"/>
          <w:sz w:val="24"/>
          <w:szCs w:val="24"/>
          <w:highlight w:val="none"/>
        </w:rPr>
        <w:t>）接受联合体投标：否</w:t>
      </w:r>
      <w:r>
        <w:rPr>
          <w:rFonts w:hint="eastAsia" w:ascii="宋体" w:hAnsi="宋体" w:eastAsia="宋体" w:cs="宋体"/>
          <w:color w:val="auto"/>
          <w:sz w:val="24"/>
          <w:szCs w:val="24"/>
          <w:highlight w:val="none"/>
          <w:lang w:eastAsia="zh-CN"/>
        </w:rPr>
        <w:t>。</w:t>
      </w:r>
    </w:p>
    <w:p w14:paraId="08E6E9DA">
      <w:pPr>
        <w:pStyle w:val="3"/>
        <w:pageBreakBefore w:val="0"/>
        <w:widowControl w:val="0"/>
        <w:numPr>
          <w:ilvl w:val="0"/>
          <w:numId w:val="0"/>
        </w:numPr>
        <w:kinsoku/>
        <w:wordWrap/>
        <w:overflowPunct/>
        <w:topLinePunct w:val="0"/>
        <w:autoSpaceDE/>
        <w:autoSpaceDN/>
        <w:bidi w:val="0"/>
        <w:adjustRightInd/>
        <w:spacing w:line="360" w:lineRule="auto"/>
        <w:ind w:left="240"/>
        <w:textAlignment w:val="auto"/>
        <w:rPr>
          <w:rFonts w:hint="eastAsia" w:ascii="宋体" w:hAnsi="宋体" w:eastAsia="宋体" w:cs="宋体"/>
          <w:b w:val="0"/>
          <w:color w:val="auto"/>
          <w:sz w:val="24"/>
          <w:szCs w:val="24"/>
          <w:highlight w:val="none"/>
        </w:rPr>
      </w:pPr>
      <w:bookmarkStart w:id="4" w:name="_Toc69378861"/>
      <w:bookmarkStart w:id="5" w:name="_Toc2111989494"/>
      <w:r>
        <w:rPr>
          <w:rFonts w:hint="eastAsia" w:ascii="宋体" w:hAnsi="宋体" w:eastAsia="宋体" w:cs="宋体"/>
          <w:b w:val="0"/>
          <w:color w:val="auto"/>
          <w:sz w:val="24"/>
          <w:szCs w:val="24"/>
          <w:highlight w:val="none"/>
        </w:rPr>
        <w:t>二、申请人的资格要求</w:t>
      </w:r>
      <w:bookmarkEnd w:id="4"/>
      <w:bookmarkEnd w:id="5"/>
    </w:p>
    <w:p w14:paraId="0A8D3960">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1.满足《中华人民共和国政府采购法》第二十二条规定；</w:t>
      </w:r>
    </w:p>
    <w:p w14:paraId="5C97DF42">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2.落实政府采购政策需满足的资格要求：本项目专门面向小微企业</w:t>
      </w:r>
      <w:r>
        <w:rPr>
          <w:rFonts w:hint="eastAsia" w:ascii="宋体" w:hAnsi="宋体" w:eastAsia="宋体" w:cs="宋体"/>
          <w:sz w:val="24"/>
          <w:szCs w:val="24"/>
          <w:highlight w:val="none"/>
        </w:rPr>
        <w:t>；</w:t>
      </w:r>
    </w:p>
    <w:p w14:paraId="05666C34">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3.本项目的特定资格要求:</w:t>
      </w:r>
    </w:p>
    <w:p w14:paraId="64C6AA61">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1）供应商近三年如在“信用中国”网站（www.creditchina.gov.cn）、中国政府采购网（www.ccgp.gov.cn）等渠道被列入失信被执行人、重大税收违法失信主体、政府采购严重违法失信行为记录名单及其它不符合《中华人民共和国政府采购法》第二十二条规定条件的投标人，尚在处罚期内的将被拒绝参加本次投标活动。（2）其他说明：（A）与采购人存在利害关系可能影响采购公正性的法人、其他组织或者个人，不得参加本次采购活动。（B）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w:t>
      </w:r>
    </w:p>
    <w:p w14:paraId="594411F8">
      <w:pPr>
        <w:pageBreakBefore w:val="0"/>
        <w:widowControl w:val="0"/>
        <w:kinsoku/>
        <w:wordWrap/>
        <w:overflowPunct/>
        <w:topLinePunct w:val="0"/>
        <w:autoSpaceDE/>
        <w:autoSpaceDN/>
        <w:bidi w:val="0"/>
        <w:adjustRightInd/>
        <w:spacing w:line="360" w:lineRule="auto"/>
        <w:ind w:firstLine="482" w:firstLineChars="200"/>
        <w:textAlignment w:val="auto"/>
        <w:outlineLvl w:val="1"/>
        <w:rPr>
          <w:rFonts w:hint="eastAsia" w:ascii="宋体" w:hAnsi="宋体" w:eastAsia="宋体" w:cs="宋体"/>
          <w:i/>
          <w:color w:val="auto"/>
          <w:sz w:val="24"/>
          <w:szCs w:val="24"/>
          <w:highlight w:val="none"/>
          <w:u w:val="single"/>
        </w:rPr>
      </w:pPr>
      <w:bookmarkStart w:id="6" w:name="_Toc69378862"/>
      <w:bookmarkStart w:id="7" w:name="_Toc450224395"/>
      <w:r>
        <w:rPr>
          <w:rFonts w:hint="eastAsia" w:ascii="宋体" w:hAnsi="宋体" w:eastAsia="宋体" w:cs="宋体"/>
          <w:b/>
          <w:color w:val="auto"/>
          <w:sz w:val="24"/>
          <w:szCs w:val="24"/>
          <w:highlight w:val="none"/>
        </w:rPr>
        <w:t>三、获取</w:t>
      </w:r>
      <w:r>
        <w:rPr>
          <w:rFonts w:hint="eastAsia" w:ascii="宋体" w:hAnsi="宋体" w:eastAsia="宋体" w:cs="宋体"/>
          <w:b/>
          <w:color w:val="auto"/>
          <w:sz w:val="24"/>
          <w:szCs w:val="24"/>
          <w:highlight w:val="none"/>
          <w:lang w:val="en-US" w:eastAsia="zh-CN"/>
        </w:rPr>
        <w:t>采购</w:t>
      </w:r>
      <w:r>
        <w:rPr>
          <w:rFonts w:hint="eastAsia" w:ascii="宋体" w:hAnsi="宋体" w:eastAsia="宋体" w:cs="宋体"/>
          <w:b/>
          <w:color w:val="auto"/>
          <w:sz w:val="24"/>
          <w:szCs w:val="24"/>
          <w:highlight w:val="none"/>
        </w:rPr>
        <w:t>文件</w:t>
      </w:r>
      <w:bookmarkEnd w:id="6"/>
      <w:bookmarkEnd w:id="7"/>
    </w:p>
    <w:p w14:paraId="11E3FFB6">
      <w:pPr>
        <w:pageBreakBefore w:val="0"/>
        <w:widowControl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sz w:val="24"/>
          <w:szCs w:val="24"/>
          <w:highlight w:val="none"/>
        </w:rPr>
      </w:pPr>
      <w:bookmarkStart w:id="8" w:name="_Toc1336518384"/>
      <w:bookmarkStart w:id="9" w:name="_Toc69378863"/>
      <w:r>
        <w:rPr>
          <w:rFonts w:hint="eastAsia" w:ascii="宋体" w:hAnsi="宋体" w:eastAsia="宋体" w:cs="宋体"/>
          <w:color w:val="auto"/>
          <w:sz w:val="24"/>
          <w:szCs w:val="24"/>
          <w:highlight w:val="none"/>
        </w:rPr>
        <w:t>时间</w:t>
      </w:r>
      <w:r>
        <w:rPr>
          <w:rFonts w:hint="eastAsia" w:ascii="宋体" w:hAnsi="宋体" w:eastAsia="宋体" w:cs="宋体"/>
          <w:color w:val="auto"/>
          <w:sz w:val="24"/>
          <w:szCs w:val="24"/>
          <w:highlight w:val="none"/>
          <w:lang w:val="en-US" w:eastAsia="zh-CN"/>
        </w:rPr>
        <w:t>：2025年04月09日至2025年04月15日，每天上午00:00至12:00，下午12:00至23:59（北京时间，法定节假日除外）</w:t>
      </w:r>
    </w:p>
    <w:p w14:paraId="1BDF27BD">
      <w:pPr>
        <w:pageBreakBefore w:val="0"/>
        <w:widowControl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地点：政采云平台https://www.zcygov.cn/线上获取 </w:t>
      </w:r>
    </w:p>
    <w:p w14:paraId="50E8EA61">
      <w:pPr>
        <w:pageBreakBefore w:val="0"/>
        <w:widowControl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方式：供应商登录政采云平台https://www.zcygov.cn/在线申请获取采购文件（进入“项目采购”应用，在获取采购文件菜单中选择项目，申请获取采购文件），或者点击采购公告底部潜在供应商“获取采购文件”，页面跳转后登陆，直接获取采购文件。 </w:t>
      </w:r>
    </w:p>
    <w:p w14:paraId="67CE6D37">
      <w:pPr>
        <w:pageBreakBefore w:val="0"/>
        <w:widowControl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售价（元）： 0 </w:t>
      </w:r>
    </w:p>
    <w:p w14:paraId="4B5D6A91">
      <w:pPr>
        <w:pageBreakBefore w:val="0"/>
        <w:widowControl w:val="0"/>
        <w:kinsoku/>
        <w:wordWrap/>
        <w:overflowPunct/>
        <w:topLinePunct w:val="0"/>
        <w:autoSpaceDE/>
        <w:autoSpaceDN/>
        <w:bidi w:val="0"/>
        <w:adjustRightInd/>
        <w:spacing w:line="360" w:lineRule="auto"/>
        <w:ind w:firstLine="482" w:firstLineChars="200"/>
        <w:textAlignment w:val="auto"/>
        <w:outlineLvl w:val="1"/>
        <w:rPr>
          <w:rFonts w:hint="eastAsia" w:ascii="宋体" w:hAnsi="宋体" w:eastAsia="宋体" w:cs="宋体"/>
          <w:b/>
          <w:color w:val="auto"/>
          <w:sz w:val="24"/>
          <w:szCs w:val="24"/>
          <w:highlight w:val="none"/>
          <w:lang w:val="en-US" w:eastAsia="zh-CN"/>
        </w:rPr>
      </w:pPr>
      <w:r>
        <w:rPr>
          <w:rFonts w:hint="eastAsia" w:ascii="宋体" w:hAnsi="宋体" w:eastAsia="宋体" w:cs="宋体"/>
          <w:b/>
          <w:color w:val="auto"/>
          <w:sz w:val="24"/>
          <w:szCs w:val="24"/>
          <w:highlight w:val="none"/>
        </w:rPr>
        <w:t>四、</w:t>
      </w:r>
      <w:bookmarkEnd w:id="8"/>
      <w:bookmarkEnd w:id="9"/>
      <w:r>
        <w:rPr>
          <w:rFonts w:hint="eastAsia" w:ascii="宋体" w:hAnsi="宋体" w:eastAsia="宋体" w:cs="宋体"/>
          <w:b/>
          <w:color w:val="auto"/>
          <w:sz w:val="24"/>
          <w:szCs w:val="24"/>
          <w:highlight w:val="none"/>
          <w:lang w:val="en-US" w:eastAsia="zh-CN"/>
        </w:rPr>
        <w:t>响应文件提交</w:t>
      </w:r>
    </w:p>
    <w:p w14:paraId="701AAD5D">
      <w:pPr>
        <w:pageBreakBefore w:val="0"/>
        <w:widowControl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kern w:val="0"/>
          <w:sz w:val="24"/>
          <w:szCs w:val="24"/>
          <w:highlight w:val="none"/>
        </w:rPr>
      </w:pPr>
      <w:bookmarkStart w:id="10" w:name="_Toc185532268"/>
      <w:bookmarkStart w:id="11" w:name="_Toc69378864"/>
      <w:r>
        <w:rPr>
          <w:rFonts w:hint="eastAsia" w:ascii="宋体" w:hAnsi="宋体" w:eastAsia="宋体" w:cs="宋体"/>
          <w:color w:val="auto"/>
          <w:kern w:val="0"/>
          <w:sz w:val="24"/>
          <w:szCs w:val="24"/>
          <w:highlight w:val="none"/>
        </w:rPr>
        <w:t>截止时间：</w:t>
      </w:r>
      <w:r>
        <w:rPr>
          <w:rFonts w:hint="eastAsia" w:ascii="宋体" w:hAnsi="宋体" w:eastAsia="宋体" w:cs="宋体"/>
          <w:color w:val="auto"/>
          <w:kern w:val="0"/>
          <w:sz w:val="24"/>
          <w:szCs w:val="24"/>
          <w:highlight w:val="none"/>
          <w:lang w:val="en-US" w:eastAsia="zh-CN"/>
        </w:rPr>
        <w:t>2025年</w:t>
      </w:r>
      <w:r>
        <w:rPr>
          <w:rFonts w:hint="eastAsia" w:ascii="宋体" w:hAnsi="宋体" w:eastAsia="宋体" w:cs="宋体"/>
          <w:color w:val="auto"/>
          <w:sz w:val="24"/>
          <w:szCs w:val="24"/>
          <w:highlight w:val="none"/>
          <w:lang w:val="en-US" w:eastAsia="zh-CN"/>
        </w:rPr>
        <w:t>04月21日11:00</w:t>
      </w:r>
      <w:r>
        <w:rPr>
          <w:rFonts w:hint="eastAsia" w:ascii="宋体" w:hAnsi="宋体" w:eastAsia="宋体" w:cs="宋体"/>
          <w:color w:val="auto"/>
          <w:kern w:val="0"/>
          <w:sz w:val="24"/>
          <w:szCs w:val="24"/>
          <w:highlight w:val="none"/>
        </w:rPr>
        <w:t>（北京时间）</w:t>
      </w:r>
    </w:p>
    <w:p w14:paraId="12D05C6E">
      <w:pPr>
        <w:pageBreakBefore w:val="0"/>
        <w:widowControl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b/>
          <w:color w:val="auto"/>
          <w:sz w:val="24"/>
          <w:szCs w:val="24"/>
          <w:highlight w:val="none"/>
        </w:rPr>
      </w:pPr>
      <w:r>
        <w:rPr>
          <w:rFonts w:hint="eastAsia" w:ascii="宋体" w:hAnsi="宋体" w:eastAsia="宋体" w:cs="宋体"/>
          <w:color w:val="auto"/>
          <w:kern w:val="0"/>
          <w:sz w:val="24"/>
          <w:szCs w:val="24"/>
          <w:highlight w:val="none"/>
        </w:rPr>
        <w:t>地点：请登录政采云平台线上投标</w:t>
      </w:r>
      <w:r>
        <w:rPr>
          <w:rFonts w:hint="eastAsia" w:ascii="宋体" w:hAnsi="宋体" w:eastAsia="宋体" w:cs="宋体"/>
          <w:b/>
          <w:color w:val="auto"/>
          <w:sz w:val="24"/>
          <w:szCs w:val="24"/>
          <w:highlight w:val="none"/>
        </w:rPr>
        <w:t xml:space="preserve"> </w:t>
      </w:r>
    </w:p>
    <w:p w14:paraId="45F76D32">
      <w:pPr>
        <w:pageBreakBefore w:val="0"/>
        <w:widowControl w:val="0"/>
        <w:kinsoku/>
        <w:wordWrap/>
        <w:overflowPunct/>
        <w:topLinePunct w:val="0"/>
        <w:autoSpaceDE/>
        <w:autoSpaceDN/>
        <w:bidi w:val="0"/>
        <w:adjustRightInd/>
        <w:spacing w:line="360" w:lineRule="auto"/>
        <w:ind w:firstLine="482" w:firstLineChars="200"/>
        <w:textAlignment w:val="auto"/>
        <w:outlineLvl w:val="1"/>
        <w:rPr>
          <w:rFonts w:hint="eastAsia" w:ascii="宋体" w:hAnsi="宋体" w:eastAsia="宋体" w:cs="宋体"/>
          <w:b/>
          <w:color w:val="auto"/>
          <w:sz w:val="24"/>
          <w:szCs w:val="24"/>
          <w:highlight w:val="none"/>
          <w:lang w:val="en-US" w:eastAsia="zh-CN"/>
        </w:rPr>
      </w:pPr>
      <w:r>
        <w:rPr>
          <w:rFonts w:hint="eastAsia" w:ascii="宋体" w:hAnsi="宋体" w:eastAsia="宋体" w:cs="宋体"/>
          <w:b/>
          <w:color w:val="auto"/>
          <w:sz w:val="24"/>
          <w:szCs w:val="24"/>
          <w:highlight w:val="none"/>
          <w:lang w:val="en-US" w:eastAsia="zh-CN"/>
        </w:rPr>
        <w:t>五、响应文件开启 </w:t>
      </w:r>
    </w:p>
    <w:p w14:paraId="22EF0252">
      <w:pPr>
        <w:pageBreakBefore w:val="0"/>
        <w:widowControl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开启时间：2025年</w:t>
      </w:r>
      <w:r>
        <w:rPr>
          <w:rFonts w:hint="eastAsia" w:ascii="宋体" w:hAnsi="宋体" w:eastAsia="宋体" w:cs="宋体"/>
          <w:color w:val="auto"/>
          <w:sz w:val="24"/>
          <w:szCs w:val="24"/>
          <w:highlight w:val="none"/>
          <w:lang w:val="en-US" w:eastAsia="zh-CN"/>
        </w:rPr>
        <w:t>04月21日11:00</w:t>
      </w:r>
      <w:r>
        <w:rPr>
          <w:rFonts w:hint="eastAsia" w:ascii="宋体" w:hAnsi="宋体" w:eastAsia="宋体" w:cs="宋体"/>
          <w:color w:val="auto"/>
          <w:kern w:val="0"/>
          <w:sz w:val="24"/>
          <w:szCs w:val="24"/>
          <w:highlight w:val="none"/>
        </w:rPr>
        <w:t>（北京时间）</w:t>
      </w:r>
    </w:p>
    <w:p w14:paraId="086B0EF8">
      <w:pPr>
        <w:pageBreakBefore w:val="0"/>
        <w:widowControl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地点：供应商登录政采云平台https://www.zcygov.cn/，进入“项目采购-开标评标-右边选择对应项目点击“进入项目”进入开标大厅。</w:t>
      </w:r>
    </w:p>
    <w:p w14:paraId="5E23BAEA">
      <w:pPr>
        <w:pageBreakBefore w:val="0"/>
        <w:widowControl w:val="0"/>
        <w:kinsoku/>
        <w:wordWrap/>
        <w:overflowPunct/>
        <w:topLinePunct w:val="0"/>
        <w:autoSpaceDE/>
        <w:autoSpaceDN/>
        <w:bidi w:val="0"/>
        <w:adjustRightInd/>
        <w:spacing w:line="360" w:lineRule="auto"/>
        <w:ind w:firstLine="482" w:firstLineChars="200"/>
        <w:textAlignment w:val="auto"/>
        <w:outlineLvl w:val="1"/>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val="en-US" w:eastAsia="zh-CN"/>
        </w:rPr>
        <w:t>六</w:t>
      </w:r>
      <w:r>
        <w:rPr>
          <w:rFonts w:hint="eastAsia" w:ascii="宋体" w:hAnsi="宋体" w:eastAsia="宋体" w:cs="宋体"/>
          <w:b/>
          <w:color w:val="auto"/>
          <w:sz w:val="24"/>
          <w:szCs w:val="24"/>
          <w:highlight w:val="none"/>
        </w:rPr>
        <w:t>、公告期限</w:t>
      </w:r>
      <w:bookmarkEnd w:id="10"/>
      <w:bookmarkEnd w:id="11"/>
    </w:p>
    <w:p w14:paraId="2FF0483B">
      <w:pPr>
        <w:pageBreakBefore w:val="0"/>
        <w:widowControl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自本公告发布之日起</w:t>
      </w:r>
      <w:r>
        <w:rPr>
          <w:rFonts w:hint="eastAsia" w:ascii="宋体" w:hAnsi="宋体" w:eastAsia="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个工作日。</w:t>
      </w:r>
    </w:p>
    <w:p w14:paraId="4B5B2E12">
      <w:pPr>
        <w:pageBreakBefore w:val="0"/>
        <w:widowControl w:val="0"/>
        <w:kinsoku/>
        <w:wordWrap/>
        <w:overflowPunct/>
        <w:topLinePunct w:val="0"/>
        <w:autoSpaceDE/>
        <w:autoSpaceDN/>
        <w:bidi w:val="0"/>
        <w:adjustRightInd/>
        <w:spacing w:line="360" w:lineRule="auto"/>
        <w:ind w:firstLine="482" w:firstLineChars="200"/>
        <w:textAlignment w:val="auto"/>
        <w:outlineLvl w:val="1"/>
        <w:rPr>
          <w:rFonts w:hint="eastAsia" w:ascii="宋体" w:hAnsi="宋体" w:eastAsia="宋体" w:cs="宋体"/>
          <w:b/>
          <w:color w:val="auto"/>
          <w:sz w:val="24"/>
          <w:szCs w:val="24"/>
          <w:highlight w:val="none"/>
        </w:rPr>
      </w:pPr>
      <w:bookmarkStart w:id="12" w:name="_Toc94572832"/>
      <w:bookmarkStart w:id="13" w:name="_Toc69378865"/>
      <w:r>
        <w:rPr>
          <w:rFonts w:hint="eastAsia" w:ascii="宋体" w:hAnsi="宋体" w:eastAsia="宋体" w:cs="宋体"/>
          <w:b/>
          <w:color w:val="auto"/>
          <w:sz w:val="24"/>
          <w:szCs w:val="24"/>
          <w:highlight w:val="none"/>
          <w:lang w:val="en-US" w:eastAsia="zh-CN"/>
        </w:rPr>
        <w:t>七</w:t>
      </w:r>
      <w:r>
        <w:rPr>
          <w:rFonts w:hint="eastAsia" w:ascii="宋体" w:hAnsi="宋体" w:eastAsia="宋体" w:cs="宋体"/>
          <w:b/>
          <w:color w:val="auto"/>
          <w:sz w:val="24"/>
          <w:szCs w:val="24"/>
          <w:highlight w:val="none"/>
        </w:rPr>
        <w:t>、其他补充事宜</w:t>
      </w:r>
      <w:bookmarkEnd w:id="12"/>
      <w:bookmarkEnd w:id="13"/>
    </w:p>
    <w:p w14:paraId="22A8ABE4">
      <w:pPr>
        <w:widowControl/>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1、本项目公告期限为</w:t>
      </w:r>
      <w:r>
        <w:rPr>
          <w:rFonts w:hint="eastAsia" w:ascii="宋体" w:hAnsi="宋体" w:eastAsia="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个工作日，供应商认为采购文件使自己的权益受到损害的，可以自收到采购文件之日（发售截止日之后收到采购文件的，以发售截止日为准）或者采购文件公告期限届满之日起7个工作日内，以书面形式向采购人和采购代理机构提出质疑。分散采购限额标准以上的项目，质疑供应商对采购人、采购代理机构的答复不满意或者采购人、采购代理机构未在规定的时间内作出答复的，可以在答复期满后十五个工作日内向同级政府采购监督管理部门投诉。</w:t>
      </w:r>
    </w:p>
    <w:p w14:paraId="038F5400">
      <w:pPr>
        <w:pStyle w:val="36"/>
        <w:spacing w:line="360" w:lineRule="auto"/>
        <w:rPr>
          <w:rFonts w:hint="eastAsia" w:ascii="宋体" w:hAnsi="宋体" w:eastAsia="宋体" w:cs="宋体"/>
          <w:color w:val="auto"/>
          <w:spacing w:val="0"/>
          <w:sz w:val="24"/>
          <w:szCs w:val="24"/>
          <w:highlight w:val="none"/>
        </w:rPr>
      </w:pPr>
      <w:bookmarkStart w:id="14" w:name="_Toc69378866"/>
      <w:bookmarkStart w:id="15" w:name="_Toc347688644"/>
      <w:r>
        <w:rPr>
          <w:rFonts w:hint="eastAsia" w:ascii="宋体" w:hAnsi="宋体" w:eastAsia="宋体" w:cs="宋体"/>
          <w:color w:val="auto"/>
          <w:spacing w:val="0"/>
          <w:sz w:val="24"/>
          <w:szCs w:val="24"/>
          <w:highlight w:val="none"/>
        </w:rPr>
        <w:t>2、供应商须注意事项：</w:t>
      </w:r>
    </w:p>
    <w:p w14:paraId="3F51997D">
      <w:pPr>
        <w:pStyle w:val="86"/>
        <w:spacing w:line="360" w:lineRule="auto"/>
        <w:ind w:firstLine="480" w:firstLineChars="200"/>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1、本项目实行电子招投标，供应商须登录</w:t>
      </w:r>
      <w:r>
        <w:rPr>
          <w:rFonts w:hint="eastAsia" w:ascii="宋体" w:hAnsi="宋体" w:eastAsia="宋体" w:cs="宋体"/>
          <w:color w:val="auto"/>
          <w:sz w:val="24"/>
          <w:szCs w:val="24"/>
          <w:highlight w:val="none"/>
        </w:rPr>
        <w:t>政采云平台https://www.zcygov.cn/</w:t>
      </w:r>
      <w:r>
        <w:rPr>
          <w:rFonts w:hint="eastAsia" w:ascii="宋体" w:hAnsi="宋体" w:eastAsia="宋体" w:cs="宋体"/>
          <w:bCs/>
          <w:color w:val="auto"/>
          <w:kern w:val="0"/>
          <w:sz w:val="24"/>
          <w:szCs w:val="24"/>
          <w:highlight w:val="none"/>
        </w:rPr>
        <w:t>申请获取采购文件，并通过政采云电子投标客户端制作响应文件，同时自行承担与投标有关的一切费用。</w:t>
      </w:r>
    </w:p>
    <w:p w14:paraId="66161F14">
      <w:pPr>
        <w:pStyle w:val="86"/>
        <w:spacing w:line="360" w:lineRule="auto"/>
        <w:ind w:firstLine="480" w:firstLineChars="200"/>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2、各供应商应在开标前确保成为</w:t>
      </w:r>
      <w:r>
        <w:rPr>
          <w:rFonts w:hint="eastAsia" w:ascii="宋体" w:hAnsi="宋体" w:eastAsia="宋体" w:cs="宋体"/>
          <w:bCs/>
          <w:color w:val="auto"/>
          <w:kern w:val="0"/>
          <w:sz w:val="24"/>
          <w:szCs w:val="24"/>
          <w:highlight w:val="none"/>
          <w:lang w:val="en-US" w:eastAsia="zh-CN"/>
        </w:rPr>
        <w:t>新疆</w:t>
      </w:r>
      <w:r>
        <w:rPr>
          <w:rFonts w:hint="eastAsia" w:ascii="宋体" w:hAnsi="宋体" w:eastAsia="宋体" w:cs="宋体"/>
          <w:bCs/>
          <w:color w:val="auto"/>
          <w:kern w:val="0"/>
          <w:sz w:val="24"/>
          <w:szCs w:val="24"/>
          <w:highlight w:val="none"/>
        </w:rPr>
        <w:t>政府采购网正式注册入库供应商，并完成CA数字证书申领（符合国密标准）。因未注册入库、未办理CA数字证书等原因造成无法投标或投标失败等后果由供应商自行承担。</w:t>
      </w:r>
    </w:p>
    <w:p w14:paraId="33D02F42">
      <w:pPr>
        <w:pStyle w:val="86"/>
        <w:spacing w:line="360" w:lineRule="auto"/>
        <w:ind w:firstLine="480" w:firstLineChars="200"/>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3、根据国办函〔2019〕41号文促进数字证书（CA）跨平台、跨部门、跨区域互认要求，政府采购云平台目前已支持包括新疆CA、翔晟CA及汇信CA等多家CA的办理及使用。供应商可通过政府采购网-办理指南—供应商—CA证书办理操作指南-进入CA办理界面，按需选择办理任意一家CA厂商的数字证书。CA证书办理操作指南链接：http://u3v.cn/5F3afc。</w:t>
      </w:r>
    </w:p>
    <w:p w14:paraId="3637A3E3">
      <w:pPr>
        <w:pStyle w:val="86"/>
        <w:spacing w:line="360" w:lineRule="auto"/>
        <w:ind w:firstLine="480" w:firstLineChars="200"/>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4、供应商将政采云电子交易客户端下载、安装完成后，可通过账号密码或CA登录客户端进行响应文件的制作。在使用政采云投标客户端时，建议使用WIN7及以上操作系统。客户端请至</w:t>
      </w:r>
      <w:r>
        <w:rPr>
          <w:rFonts w:hint="eastAsia" w:ascii="宋体" w:hAnsi="宋体" w:eastAsia="宋体" w:cs="宋体"/>
          <w:color w:val="auto"/>
          <w:sz w:val="24"/>
          <w:szCs w:val="24"/>
          <w:highlight w:val="none"/>
        </w:rPr>
        <w:t>政采云平台https://www.zcygov.cn/</w:t>
      </w:r>
      <w:r>
        <w:rPr>
          <w:rFonts w:hint="eastAsia" w:ascii="宋体" w:hAnsi="宋体" w:eastAsia="宋体" w:cs="宋体"/>
          <w:bCs/>
          <w:color w:val="auto"/>
          <w:kern w:val="0"/>
          <w:sz w:val="24"/>
          <w:szCs w:val="24"/>
          <w:highlight w:val="none"/>
        </w:rPr>
        <w:t>下载专区查看，如有问题可拨打政采云客户服务热线95763进行咨询。如因供应商自身原因导致在规定时间内无法正常解密的（如：浏览器故障、未安装相关驱动、网络故障、加密CA与解密CA不一致等），采购代理机构不予异常处理，视为供应商自动弃标。</w:t>
      </w:r>
    </w:p>
    <w:p w14:paraId="37440081">
      <w:pPr>
        <w:pStyle w:val="86"/>
        <w:spacing w:line="360" w:lineRule="auto"/>
        <w:ind w:firstLine="480" w:firstLineChars="200"/>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5、为支持和促进中小企业发展，进一步发挥政府采购政策功能，本采购项目适用于政府采购融资优惠、政采贷、电子保函相关政策，鼓励供应商使用电子保函代替现金缴纳各类保证金，在线完成保函的申请、审核、开票、出函等环节，投标企业注意区分办理保函类型，并确认投标有效期，供应商若想了解或使用相关金融服务，可登录【政府采购网】-顶部通栏【信用融资】、【办事指南】模块查看。</w:t>
      </w:r>
    </w:p>
    <w:p w14:paraId="1AC7FA51">
      <w:pPr>
        <w:pStyle w:val="3"/>
        <w:numPr>
          <w:ilvl w:val="0"/>
          <w:numId w:val="0"/>
        </w:numPr>
        <w:spacing w:line="360" w:lineRule="auto"/>
        <w:ind w:left="240"/>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七、</w:t>
      </w:r>
      <w:bookmarkEnd w:id="14"/>
      <w:bookmarkEnd w:id="15"/>
      <w:r>
        <w:rPr>
          <w:rFonts w:hint="eastAsia" w:ascii="宋体" w:hAnsi="宋体" w:eastAsia="宋体" w:cs="宋体"/>
          <w:b w:val="0"/>
          <w:color w:val="auto"/>
          <w:sz w:val="24"/>
          <w:szCs w:val="24"/>
          <w:highlight w:val="none"/>
        </w:rPr>
        <w:t>凡对本次招标提出询问，请按以下方式联系</w:t>
      </w:r>
    </w:p>
    <w:p w14:paraId="54B4D97A">
      <w:pPr>
        <w:widowControl/>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1.采购人信息</w:t>
      </w:r>
    </w:p>
    <w:p w14:paraId="6CC3CE6E">
      <w:pPr>
        <w:spacing w:line="360" w:lineRule="auto"/>
        <w:ind w:left="1079" w:leftChars="371" w:hanging="300" w:hangingChars="125"/>
        <w:jc w:val="left"/>
        <w:rPr>
          <w:rFonts w:hint="eastAsia" w:ascii="宋体" w:hAnsi="宋体" w:eastAsia="宋体" w:cs="宋体"/>
          <w:color w:val="auto"/>
          <w:sz w:val="24"/>
          <w:szCs w:val="24"/>
          <w:highlight w:val="none"/>
          <w:u w:val="none"/>
          <w:lang w:eastAsia="zh-CN"/>
        </w:rPr>
      </w:pPr>
      <w:r>
        <w:rPr>
          <w:rFonts w:hint="eastAsia" w:ascii="宋体" w:hAnsi="宋体" w:eastAsia="宋体" w:cs="宋体"/>
          <w:color w:val="auto"/>
          <w:sz w:val="24"/>
          <w:szCs w:val="24"/>
          <w:highlight w:val="none"/>
          <w:u w:val="none"/>
        </w:rPr>
        <w:t>名 称：</w:t>
      </w:r>
      <w:r>
        <w:rPr>
          <w:rFonts w:hint="eastAsia" w:ascii="宋体" w:hAnsi="宋体" w:eastAsia="宋体" w:cs="宋体"/>
          <w:color w:val="auto"/>
          <w:sz w:val="24"/>
          <w:szCs w:val="24"/>
          <w:highlight w:val="none"/>
          <w:u w:val="none"/>
          <w:lang w:eastAsia="zh-CN"/>
        </w:rPr>
        <w:t>新疆医科大学</w:t>
      </w:r>
    </w:p>
    <w:p w14:paraId="44F8FD9B">
      <w:pPr>
        <w:spacing w:line="360" w:lineRule="auto"/>
        <w:ind w:left="1079" w:leftChars="371" w:hanging="300" w:hangingChars="125"/>
        <w:jc w:val="left"/>
        <w:rPr>
          <w:rFonts w:hint="eastAsia" w:ascii="宋体" w:hAnsi="宋体" w:eastAsia="宋体" w:cs="宋体"/>
          <w:color w:val="auto"/>
          <w:sz w:val="24"/>
          <w:szCs w:val="24"/>
          <w:highlight w:val="none"/>
          <w:u w:val="none"/>
          <w:lang w:val="en-US" w:eastAsia="zh-CN"/>
        </w:rPr>
      </w:pPr>
      <w:r>
        <w:rPr>
          <w:rFonts w:hint="eastAsia" w:ascii="宋体" w:hAnsi="宋体" w:eastAsia="宋体" w:cs="宋体"/>
          <w:color w:val="auto"/>
          <w:sz w:val="24"/>
          <w:szCs w:val="24"/>
          <w:highlight w:val="none"/>
          <w:u w:val="none"/>
        </w:rPr>
        <w:t>地</w:t>
      </w:r>
      <w:r>
        <w:rPr>
          <w:rFonts w:hint="eastAsia" w:ascii="宋体" w:hAnsi="宋体" w:eastAsia="宋体" w:cs="宋体"/>
          <w:color w:val="auto"/>
          <w:sz w:val="24"/>
          <w:szCs w:val="24"/>
          <w:highlight w:val="none"/>
          <w:u w:val="none"/>
          <w:lang w:val="en-US" w:eastAsia="zh-CN"/>
        </w:rPr>
        <w:t xml:space="preserve"> </w:t>
      </w:r>
      <w:r>
        <w:rPr>
          <w:rFonts w:hint="eastAsia" w:ascii="宋体" w:hAnsi="宋体" w:eastAsia="宋体" w:cs="宋体"/>
          <w:color w:val="auto"/>
          <w:sz w:val="24"/>
          <w:szCs w:val="24"/>
          <w:highlight w:val="none"/>
          <w:u w:val="none"/>
        </w:rPr>
        <w:t>址：</w:t>
      </w:r>
      <w:r>
        <w:rPr>
          <w:rFonts w:hint="eastAsia" w:ascii="宋体" w:hAnsi="宋体" w:eastAsia="宋体" w:cs="宋体"/>
          <w:color w:val="auto"/>
          <w:sz w:val="24"/>
          <w:szCs w:val="24"/>
          <w:highlight w:val="none"/>
          <w:u w:val="none"/>
          <w:lang w:val="en-US" w:eastAsia="zh-CN"/>
        </w:rPr>
        <w:t>新疆乌鲁木齐市水磨沟区新疆医科大学雪莲山校区</w:t>
      </w:r>
    </w:p>
    <w:p w14:paraId="79E4E82D">
      <w:pPr>
        <w:spacing w:line="360" w:lineRule="auto"/>
        <w:ind w:left="1079" w:leftChars="371" w:hanging="300" w:hangingChars="125"/>
        <w:jc w:val="left"/>
        <w:rPr>
          <w:rFonts w:hint="default" w:ascii="宋体" w:hAnsi="宋体" w:eastAsia="宋体" w:cs="宋体"/>
          <w:color w:val="auto"/>
          <w:sz w:val="24"/>
          <w:szCs w:val="24"/>
          <w:highlight w:val="none"/>
          <w:u w:val="none"/>
          <w:lang w:val="en-US"/>
        </w:rPr>
      </w:pPr>
      <w:r>
        <w:rPr>
          <w:rFonts w:hint="eastAsia" w:ascii="宋体" w:hAnsi="宋体" w:eastAsia="宋体" w:cs="宋体"/>
          <w:color w:val="auto"/>
          <w:sz w:val="24"/>
          <w:szCs w:val="24"/>
          <w:highlight w:val="none"/>
          <w:u w:val="none"/>
          <w:lang w:val="en-US" w:eastAsia="zh-CN"/>
        </w:rPr>
        <w:t>联系人：董家正</w:t>
      </w:r>
    </w:p>
    <w:p w14:paraId="613DB87A">
      <w:pPr>
        <w:spacing w:line="360" w:lineRule="auto"/>
        <w:ind w:left="1079" w:leftChars="371" w:hanging="300" w:hangingChars="125"/>
        <w:jc w:val="left"/>
        <w:rPr>
          <w:rFonts w:hint="eastAsia" w:ascii="宋体" w:hAnsi="宋体" w:eastAsia="宋体" w:cs="宋体"/>
          <w:color w:val="auto"/>
          <w:sz w:val="24"/>
          <w:szCs w:val="24"/>
          <w:highlight w:val="none"/>
          <w:u w:val="none"/>
          <w:lang w:val="en-US" w:eastAsia="zh-CN"/>
        </w:rPr>
      </w:pPr>
      <w:r>
        <w:rPr>
          <w:rFonts w:hint="eastAsia" w:ascii="宋体" w:hAnsi="宋体" w:eastAsia="宋体" w:cs="宋体"/>
          <w:color w:val="auto"/>
          <w:sz w:val="24"/>
          <w:szCs w:val="24"/>
          <w:highlight w:val="none"/>
          <w:u w:val="none"/>
        </w:rPr>
        <w:t>联系方式：</w:t>
      </w:r>
      <w:r>
        <w:rPr>
          <w:rFonts w:hint="eastAsia" w:ascii="宋体" w:hAnsi="宋体" w:eastAsia="宋体" w:cs="宋体"/>
          <w:color w:val="auto"/>
          <w:sz w:val="24"/>
          <w:szCs w:val="24"/>
          <w:highlight w:val="none"/>
          <w:u w:val="none"/>
          <w:lang w:val="en-US" w:eastAsia="zh-CN"/>
        </w:rPr>
        <w:t>18609001412</w:t>
      </w:r>
    </w:p>
    <w:p w14:paraId="2D275580">
      <w:pPr>
        <w:spacing w:line="360" w:lineRule="auto"/>
        <w:ind w:left="1079" w:leftChars="371" w:hanging="300" w:hangingChars="125"/>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2.采购代理机构信息</w:t>
      </w:r>
    </w:p>
    <w:p w14:paraId="1BD1D48E">
      <w:pPr>
        <w:spacing w:line="360" w:lineRule="auto"/>
        <w:ind w:firstLine="720" w:firstLineChars="300"/>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rPr>
        <w:t xml:space="preserve">名 </w:t>
      </w:r>
      <w:r>
        <w:rPr>
          <w:rFonts w:hint="eastAsia" w:ascii="宋体" w:hAnsi="宋体" w:eastAsia="宋体" w:cs="宋体"/>
          <w:color w:val="auto"/>
          <w:sz w:val="24"/>
          <w:szCs w:val="24"/>
          <w:highlight w:val="none"/>
          <w:u w:val="none"/>
        </w:rPr>
        <w:t>称：中招国际招标有限公司</w:t>
      </w:r>
    </w:p>
    <w:p w14:paraId="2F504C7F">
      <w:pPr>
        <w:spacing w:line="360" w:lineRule="auto"/>
        <w:ind w:firstLine="720" w:firstLineChars="300"/>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地  址: 新疆乌鲁木齐市486号</w:t>
      </w:r>
      <w:r>
        <w:rPr>
          <w:rFonts w:hint="eastAsia" w:ascii="宋体" w:hAnsi="宋体" w:eastAsia="宋体" w:cs="宋体"/>
          <w:color w:val="auto"/>
          <w:sz w:val="24"/>
          <w:szCs w:val="24"/>
          <w:highlight w:val="none"/>
          <w:u w:val="none"/>
          <w:lang w:eastAsia="zh-CN"/>
        </w:rPr>
        <w:t>南湖明珠二期大厦南区8楼</w:t>
      </w:r>
    </w:p>
    <w:p w14:paraId="5F057410">
      <w:pPr>
        <w:pStyle w:val="13"/>
        <w:spacing w:line="360" w:lineRule="auto"/>
        <w:ind w:firstLine="720" w:firstLineChars="300"/>
        <w:rPr>
          <w:rFonts w:hint="eastAsia" w:ascii="宋体" w:hAnsi="宋体" w:eastAsia="宋体" w:cs="宋体"/>
          <w:color w:val="auto"/>
          <w:sz w:val="24"/>
          <w:szCs w:val="24"/>
          <w:highlight w:val="none"/>
          <w:u w:val="none"/>
          <w:lang w:val="en-US" w:eastAsia="zh-CN"/>
        </w:rPr>
      </w:pPr>
      <w:r>
        <w:rPr>
          <w:rFonts w:hint="eastAsia" w:ascii="宋体" w:hAnsi="宋体" w:eastAsia="宋体" w:cs="宋体"/>
          <w:color w:val="auto"/>
          <w:sz w:val="24"/>
          <w:szCs w:val="24"/>
          <w:highlight w:val="none"/>
          <w:u w:val="none"/>
        </w:rPr>
        <w:t>项目联系人：</w:t>
      </w:r>
      <w:r>
        <w:rPr>
          <w:rFonts w:hint="eastAsia" w:ascii="宋体" w:hAnsi="宋体" w:eastAsia="宋体" w:cs="宋体"/>
          <w:color w:val="auto"/>
          <w:sz w:val="24"/>
          <w:szCs w:val="24"/>
          <w:highlight w:val="none"/>
          <w:u w:val="none"/>
          <w:lang w:val="en-US" w:eastAsia="zh-CN"/>
        </w:rPr>
        <w:t>程建军、师翠婷、张辉、徐中凤</w:t>
      </w:r>
    </w:p>
    <w:p w14:paraId="6B83C5B9">
      <w:pPr>
        <w:spacing w:line="360" w:lineRule="auto"/>
        <w:ind w:firstLine="720" w:firstLineChars="300"/>
        <w:rPr>
          <w:rFonts w:hint="eastAsia" w:ascii="宋体" w:hAnsi="宋体" w:eastAsia="宋体" w:cs="宋体"/>
          <w:color w:val="auto"/>
          <w:sz w:val="24"/>
          <w:szCs w:val="24"/>
          <w:highlight w:val="none"/>
          <w:u w:val="none"/>
          <w:lang w:val="en-US"/>
        </w:rPr>
      </w:pPr>
      <w:r>
        <w:rPr>
          <w:rFonts w:hint="eastAsia" w:ascii="宋体" w:hAnsi="宋体" w:eastAsia="宋体" w:cs="宋体"/>
          <w:color w:val="auto"/>
          <w:sz w:val="24"/>
          <w:szCs w:val="24"/>
          <w:highlight w:val="none"/>
          <w:u w:val="none"/>
        </w:rPr>
        <w:t>联系方式：</w:t>
      </w:r>
      <w:r>
        <w:rPr>
          <w:rFonts w:hint="eastAsia" w:ascii="宋体" w:hAnsi="宋体" w:eastAsia="宋体" w:cs="宋体"/>
          <w:color w:val="auto"/>
          <w:sz w:val="24"/>
          <w:szCs w:val="24"/>
          <w:highlight w:val="none"/>
          <w:u w:val="none"/>
          <w:lang w:val="en-US" w:eastAsia="zh-CN"/>
        </w:rPr>
        <w:t>15699108282</w:t>
      </w:r>
    </w:p>
    <w:p w14:paraId="1513EDA5">
      <w:pPr>
        <w:pStyle w:val="22"/>
        <w:numPr>
          <w:ilvl w:val="0"/>
          <w:numId w:val="5"/>
        </w:numPr>
        <w:jc w:val="center"/>
        <w:outlineLvl w:val="0"/>
        <w:rPr>
          <w:rStyle w:val="39"/>
          <w:rFonts w:hint="eastAsia" w:ascii="宋体" w:hAnsi="宋体" w:eastAsia="宋体" w:cs="宋体"/>
          <w:color w:val="auto"/>
          <w:highlight w:val="none"/>
        </w:rPr>
      </w:pPr>
      <w:r>
        <w:rPr>
          <w:rFonts w:hint="eastAsia" w:ascii="宋体" w:hAnsi="宋体" w:eastAsia="宋体" w:cs="宋体"/>
          <w:color w:val="auto"/>
          <w:highlight w:val="none"/>
        </w:rPr>
        <w:br w:type="page"/>
      </w:r>
      <w:bookmarkStart w:id="16" w:name="_Toc37090958"/>
      <w:r>
        <w:rPr>
          <w:rStyle w:val="39"/>
          <w:rFonts w:hint="eastAsia" w:ascii="宋体" w:hAnsi="宋体" w:eastAsia="宋体" w:cs="宋体"/>
          <w:color w:val="auto"/>
          <w:highlight w:val="none"/>
        </w:rPr>
        <w:t xml:space="preserve"> </w:t>
      </w:r>
      <w:bookmarkEnd w:id="16"/>
      <w:bookmarkStart w:id="17" w:name="_Toc5674"/>
      <w:r>
        <w:rPr>
          <w:rStyle w:val="39"/>
          <w:rFonts w:hint="eastAsia" w:ascii="宋体" w:hAnsi="宋体" w:eastAsia="宋体" w:cs="宋体"/>
          <w:color w:val="auto"/>
          <w:highlight w:val="none"/>
        </w:rPr>
        <w:t>供应商须知</w:t>
      </w:r>
      <w:bookmarkEnd w:id="17"/>
    </w:p>
    <w:p w14:paraId="345DAED6">
      <w:pPr>
        <w:pStyle w:val="3"/>
        <w:spacing w:before="0" w:after="0" w:line="440" w:lineRule="exact"/>
        <w:jc w:val="center"/>
        <w:rPr>
          <w:rFonts w:hint="eastAsia" w:ascii="宋体" w:hAnsi="宋体" w:eastAsia="宋体" w:cs="宋体"/>
          <w:color w:val="auto"/>
          <w:sz w:val="30"/>
          <w:szCs w:val="30"/>
          <w:highlight w:val="none"/>
        </w:rPr>
      </w:pPr>
      <w:bookmarkStart w:id="18" w:name="_Toc16991"/>
      <w:bookmarkStart w:id="19" w:name="_Toc22248"/>
      <w:r>
        <w:rPr>
          <w:rFonts w:hint="eastAsia" w:ascii="宋体" w:hAnsi="宋体" w:eastAsia="宋体" w:cs="宋体"/>
          <w:color w:val="auto"/>
          <w:sz w:val="30"/>
          <w:szCs w:val="30"/>
          <w:highlight w:val="none"/>
        </w:rPr>
        <w:t>一、供应商须知前附表</w:t>
      </w:r>
      <w:bookmarkEnd w:id="18"/>
      <w:bookmarkEnd w:id="19"/>
    </w:p>
    <w:p w14:paraId="33BFA2F7">
      <w:pPr>
        <w:rPr>
          <w:rFonts w:hint="eastAsia" w:ascii="宋体" w:hAnsi="宋体" w:eastAsia="宋体" w:cs="宋体"/>
          <w:color w:val="auto"/>
          <w:highlight w:val="none"/>
        </w:rPr>
      </w:pPr>
    </w:p>
    <w:tbl>
      <w:tblPr>
        <w:tblStyle w:val="25"/>
        <w:tblW w:w="9882"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930"/>
        <w:gridCol w:w="7243"/>
      </w:tblGrid>
      <w:tr w14:paraId="65D868C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09" w:type="dxa"/>
            <w:tcBorders>
              <w:top w:val="single" w:color="auto" w:sz="4" w:space="0"/>
              <w:left w:val="single" w:color="auto" w:sz="4" w:space="0"/>
              <w:bottom w:val="single" w:color="auto" w:sz="4" w:space="0"/>
              <w:right w:val="single" w:color="auto" w:sz="4" w:space="0"/>
            </w:tcBorders>
            <w:vAlign w:val="center"/>
          </w:tcPr>
          <w:p w14:paraId="7482E6EB">
            <w:pPr>
              <w:shd w:val="clear" w:color="auto" w:fill="FFFFFF"/>
              <w:autoSpaceDE w:val="0"/>
              <w:autoSpaceDN w:val="0"/>
              <w:spacing w:line="360" w:lineRule="auto"/>
              <w:rPr>
                <w:rFonts w:hint="eastAsia" w:ascii="宋体" w:hAnsi="宋体" w:eastAsia="宋体" w:cs="宋体"/>
                <w:color w:val="auto"/>
                <w:kern w:val="0"/>
                <w:sz w:val="24"/>
                <w:szCs w:val="24"/>
                <w:highlight w:val="none"/>
              </w:rPr>
            </w:pPr>
            <w:bookmarkStart w:id="20" w:name="_Toc14359"/>
            <w:bookmarkStart w:id="21" w:name="_Toc37090959"/>
            <w:r>
              <w:rPr>
                <w:rFonts w:hint="eastAsia" w:ascii="宋体" w:hAnsi="宋体" w:eastAsia="宋体" w:cs="宋体"/>
                <w:color w:val="auto"/>
                <w:kern w:val="0"/>
                <w:sz w:val="24"/>
                <w:szCs w:val="24"/>
                <w:highlight w:val="none"/>
              </w:rPr>
              <w:t>项号</w:t>
            </w:r>
          </w:p>
        </w:tc>
        <w:tc>
          <w:tcPr>
            <w:tcW w:w="1930" w:type="dxa"/>
            <w:tcBorders>
              <w:top w:val="single" w:color="auto" w:sz="4" w:space="0"/>
              <w:left w:val="single" w:color="auto" w:sz="4" w:space="0"/>
              <w:bottom w:val="single" w:color="auto" w:sz="4" w:space="0"/>
              <w:right w:val="single" w:color="auto" w:sz="4" w:space="0"/>
            </w:tcBorders>
            <w:vAlign w:val="center"/>
          </w:tcPr>
          <w:p w14:paraId="5B60094B">
            <w:pPr>
              <w:shd w:val="clear" w:color="auto" w:fill="FFFFFF"/>
              <w:autoSpaceDE w:val="0"/>
              <w:autoSpaceDN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内  容</w:t>
            </w:r>
          </w:p>
        </w:tc>
        <w:tc>
          <w:tcPr>
            <w:tcW w:w="7243" w:type="dxa"/>
            <w:tcBorders>
              <w:top w:val="single" w:color="auto" w:sz="4" w:space="0"/>
              <w:left w:val="single" w:color="auto" w:sz="4" w:space="0"/>
              <w:bottom w:val="single" w:color="auto" w:sz="4" w:space="0"/>
              <w:right w:val="single" w:color="auto" w:sz="4" w:space="0"/>
            </w:tcBorders>
            <w:vAlign w:val="center"/>
          </w:tcPr>
          <w:p w14:paraId="236C6C28">
            <w:pPr>
              <w:shd w:val="clear" w:color="auto" w:fill="FFFFFF"/>
              <w:autoSpaceDE w:val="0"/>
              <w:autoSpaceDN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说明及要求</w:t>
            </w:r>
          </w:p>
        </w:tc>
      </w:tr>
      <w:tr w14:paraId="029B2F2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8" w:hRule="atLeast"/>
          <w:jc w:val="center"/>
        </w:trPr>
        <w:tc>
          <w:tcPr>
            <w:tcW w:w="709" w:type="dxa"/>
            <w:vMerge w:val="restart"/>
            <w:tcBorders>
              <w:top w:val="single" w:color="auto" w:sz="4" w:space="0"/>
              <w:left w:val="single" w:color="auto" w:sz="4" w:space="0"/>
              <w:bottom w:val="single" w:color="auto" w:sz="4" w:space="0"/>
              <w:right w:val="single" w:color="auto" w:sz="4" w:space="0"/>
            </w:tcBorders>
            <w:vAlign w:val="center"/>
          </w:tcPr>
          <w:p w14:paraId="6110265D">
            <w:pPr>
              <w:shd w:val="clear" w:color="auto" w:fill="FFFFFF"/>
              <w:autoSpaceDE w:val="0"/>
              <w:autoSpaceDN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１</w:t>
            </w:r>
          </w:p>
        </w:tc>
        <w:tc>
          <w:tcPr>
            <w:tcW w:w="1930" w:type="dxa"/>
            <w:tcBorders>
              <w:top w:val="single" w:color="auto" w:sz="4" w:space="0"/>
              <w:left w:val="single" w:color="auto" w:sz="4" w:space="0"/>
              <w:bottom w:val="single" w:color="auto" w:sz="4" w:space="0"/>
              <w:right w:val="single" w:color="auto" w:sz="4" w:space="0"/>
            </w:tcBorders>
            <w:vAlign w:val="center"/>
          </w:tcPr>
          <w:p w14:paraId="6F19D03E">
            <w:pPr>
              <w:shd w:val="clear" w:color="auto" w:fill="FFFFFF"/>
              <w:autoSpaceDE w:val="0"/>
              <w:autoSpaceDN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项目名称</w:t>
            </w:r>
          </w:p>
        </w:tc>
        <w:tc>
          <w:tcPr>
            <w:tcW w:w="7243" w:type="dxa"/>
            <w:tcBorders>
              <w:top w:val="single" w:color="auto" w:sz="4" w:space="0"/>
              <w:left w:val="single" w:color="auto" w:sz="4" w:space="0"/>
              <w:bottom w:val="single" w:color="auto" w:sz="4" w:space="0"/>
              <w:right w:val="single" w:color="auto" w:sz="4" w:space="0"/>
            </w:tcBorders>
            <w:vAlign w:val="center"/>
          </w:tcPr>
          <w:p w14:paraId="157AB0CC">
            <w:pPr>
              <w:shd w:val="clear" w:color="auto" w:fill="FFFFFF"/>
              <w:autoSpaceDE w:val="0"/>
              <w:autoSpaceDN w:val="0"/>
              <w:spacing w:line="360" w:lineRule="auto"/>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lang w:eastAsia="zh-CN"/>
              </w:rPr>
              <w:t>新疆医科大学2025年雪莲山校区一期校园绿化养护服务项目</w:t>
            </w:r>
          </w:p>
        </w:tc>
      </w:tr>
      <w:tr w14:paraId="348A4F2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709" w:type="dxa"/>
            <w:vMerge w:val="continue"/>
            <w:tcBorders>
              <w:top w:val="single" w:color="auto" w:sz="4" w:space="0"/>
              <w:left w:val="single" w:color="auto" w:sz="4" w:space="0"/>
              <w:bottom w:val="single" w:color="auto" w:sz="4" w:space="0"/>
              <w:right w:val="single" w:color="auto" w:sz="4" w:space="0"/>
            </w:tcBorders>
            <w:vAlign w:val="center"/>
          </w:tcPr>
          <w:p w14:paraId="01049F5C">
            <w:pPr>
              <w:shd w:val="clear" w:color="auto" w:fill="FFFFFF"/>
              <w:autoSpaceDE w:val="0"/>
              <w:autoSpaceDN w:val="0"/>
              <w:spacing w:line="360" w:lineRule="auto"/>
              <w:jc w:val="center"/>
              <w:rPr>
                <w:rFonts w:hint="eastAsia" w:ascii="宋体" w:hAnsi="宋体" w:eastAsia="宋体" w:cs="宋体"/>
                <w:color w:val="auto"/>
                <w:kern w:val="0"/>
                <w:sz w:val="24"/>
                <w:szCs w:val="24"/>
                <w:highlight w:val="none"/>
              </w:rPr>
            </w:pPr>
          </w:p>
        </w:tc>
        <w:tc>
          <w:tcPr>
            <w:tcW w:w="1930" w:type="dxa"/>
            <w:tcBorders>
              <w:top w:val="single" w:color="auto" w:sz="4" w:space="0"/>
              <w:left w:val="single" w:color="auto" w:sz="4" w:space="0"/>
              <w:bottom w:val="single" w:color="auto" w:sz="4" w:space="0"/>
              <w:right w:val="single" w:color="auto" w:sz="4" w:space="0"/>
            </w:tcBorders>
            <w:vAlign w:val="center"/>
          </w:tcPr>
          <w:p w14:paraId="35FDAFC7">
            <w:pPr>
              <w:shd w:val="clear" w:color="auto" w:fill="FFFFFF"/>
              <w:autoSpaceDE w:val="0"/>
              <w:autoSpaceDN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项目编号</w:t>
            </w:r>
          </w:p>
        </w:tc>
        <w:tc>
          <w:tcPr>
            <w:tcW w:w="7243" w:type="dxa"/>
            <w:tcBorders>
              <w:top w:val="single" w:color="auto" w:sz="4" w:space="0"/>
              <w:left w:val="single" w:color="auto" w:sz="4" w:space="0"/>
              <w:bottom w:val="single" w:color="auto" w:sz="4" w:space="0"/>
              <w:right w:val="single" w:color="auto" w:sz="4" w:space="0"/>
            </w:tcBorders>
            <w:vAlign w:val="center"/>
          </w:tcPr>
          <w:p w14:paraId="6C7B218D">
            <w:pPr>
              <w:shd w:val="clear" w:color="auto" w:fill="FFFFFF"/>
              <w:autoSpaceDE w:val="0"/>
              <w:autoSpaceDN w:val="0"/>
              <w:spacing w:line="360" w:lineRule="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TC259H</w:t>
            </w:r>
            <w:r>
              <w:rPr>
                <w:rFonts w:hint="eastAsia" w:ascii="宋体" w:hAnsi="宋体" w:eastAsia="宋体" w:cs="宋体"/>
                <w:color w:val="auto"/>
                <w:sz w:val="24"/>
                <w:szCs w:val="24"/>
                <w:highlight w:val="none"/>
                <w:lang w:val="en-US" w:eastAsia="zh-CN"/>
              </w:rPr>
              <w:t>0CJ</w:t>
            </w:r>
          </w:p>
        </w:tc>
      </w:tr>
      <w:tr w14:paraId="529287B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8" w:hRule="atLeast"/>
          <w:jc w:val="center"/>
        </w:trPr>
        <w:tc>
          <w:tcPr>
            <w:tcW w:w="709" w:type="dxa"/>
            <w:vMerge w:val="continue"/>
            <w:tcBorders>
              <w:top w:val="single" w:color="auto" w:sz="4" w:space="0"/>
              <w:left w:val="single" w:color="auto" w:sz="4" w:space="0"/>
              <w:bottom w:val="single" w:color="auto" w:sz="4" w:space="0"/>
              <w:right w:val="single" w:color="auto" w:sz="4" w:space="0"/>
            </w:tcBorders>
            <w:vAlign w:val="center"/>
          </w:tcPr>
          <w:p w14:paraId="7AE4B12D">
            <w:pPr>
              <w:shd w:val="clear" w:color="auto" w:fill="FFFFFF"/>
              <w:autoSpaceDE w:val="0"/>
              <w:autoSpaceDN w:val="0"/>
              <w:spacing w:line="360" w:lineRule="auto"/>
              <w:jc w:val="center"/>
              <w:rPr>
                <w:rFonts w:hint="eastAsia" w:ascii="宋体" w:hAnsi="宋体" w:eastAsia="宋体" w:cs="宋体"/>
                <w:color w:val="auto"/>
                <w:kern w:val="0"/>
                <w:sz w:val="24"/>
                <w:szCs w:val="24"/>
                <w:highlight w:val="none"/>
              </w:rPr>
            </w:pPr>
          </w:p>
        </w:tc>
        <w:tc>
          <w:tcPr>
            <w:tcW w:w="1930" w:type="dxa"/>
            <w:tcBorders>
              <w:top w:val="single" w:color="auto" w:sz="4" w:space="0"/>
              <w:left w:val="single" w:color="auto" w:sz="4" w:space="0"/>
              <w:bottom w:val="single" w:color="auto" w:sz="4" w:space="0"/>
              <w:right w:val="single" w:color="auto" w:sz="4" w:space="0"/>
            </w:tcBorders>
            <w:vAlign w:val="center"/>
          </w:tcPr>
          <w:p w14:paraId="4A293CA6">
            <w:pPr>
              <w:shd w:val="clear" w:color="auto" w:fill="FFFFFF"/>
              <w:autoSpaceDE w:val="0"/>
              <w:autoSpaceDN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采购方式</w:t>
            </w:r>
          </w:p>
        </w:tc>
        <w:tc>
          <w:tcPr>
            <w:tcW w:w="7243" w:type="dxa"/>
            <w:tcBorders>
              <w:top w:val="single" w:color="auto" w:sz="4" w:space="0"/>
              <w:left w:val="single" w:color="auto" w:sz="4" w:space="0"/>
              <w:bottom w:val="single" w:color="auto" w:sz="4" w:space="0"/>
              <w:right w:val="single" w:color="auto" w:sz="4" w:space="0"/>
            </w:tcBorders>
            <w:vAlign w:val="center"/>
          </w:tcPr>
          <w:p w14:paraId="0FE6CA17">
            <w:pPr>
              <w:shd w:val="clear" w:color="auto" w:fill="FFFFFF"/>
              <w:autoSpaceDE w:val="0"/>
              <w:autoSpaceDN w:val="0"/>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竞争性磋商</w:t>
            </w:r>
          </w:p>
        </w:tc>
      </w:tr>
      <w:tr w14:paraId="62CC541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09" w:type="dxa"/>
            <w:vMerge w:val="continue"/>
            <w:tcBorders>
              <w:top w:val="single" w:color="auto" w:sz="4" w:space="0"/>
              <w:left w:val="single" w:color="auto" w:sz="4" w:space="0"/>
              <w:bottom w:val="single" w:color="auto" w:sz="4" w:space="0"/>
              <w:right w:val="single" w:color="auto" w:sz="4" w:space="0"/>
            </w:tcBorders>
            <w:vAlign w:val="center"/>
          </w:tcPr>
          <w:p w14:paraId="31B5DE6B">
            <w:pPr>
              <w:shd w:val="clear" w:color="auto" w:fill="FFFFFF"/>
              <w:autoSpaceDE w:val="0"/>
              <w:autoSpaceDN w:val="0"/>
              <w:spacing w:line="360" w:lineRule="auto"/>
              <w:jc w:val="center"/>
              <w:rPr>
                <w:rFonts w:hint="eastAsia" w:ascii="宋体" w:hAnsi="宋体" w:eastAsia="宋体" w:cs="宋体"/>
                <w:color w:val="auto"/>
                <w:kern w:val="0"/>
                <w:sz w:val="24"/>
                <w:szCs w:val="24"/>
                <w:highlight w:val="none"/>
              </w:rPr>
            </w:pPr>
          </w:p>
        </w:tc>
        <w:tc>
          <w:tcPr>
            <w:tcW w:w="1930" w:type="dxa"/>
            <w:tcBorders>
              <w:top w:val="single" w:color="auto" w:sz="4" w:space="0"/>
              <w:left w:val="single" w:color="auto" w:sz="4" w:space="0"/>
              <w:bottom w:val="single" w:color="auto" w:sz="4" w:space="0"/>
              <w:right w:val="single" w:color="auto" w:sz="4" w:space="0"/>
            </w:tcBorders>
            <w:vAlign w:val="center"/>
          </w:tcPr>
          <w:p w14:paraId="515F4A15">
            <w:pPr>
              <w:shd w:val="clear" w:color="auto" w:fill="FFFFFF"/>
              <w:autoSpaceDE w:val="0"/>
              <w:autoSpaceDN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资金来源</w:t>
            </w:r>
          </w:p>
        </w:tc>
        <w:tc>
          <w:tcPr>
            <w:tcW w:w="7243" w:type="dxa"/>
            <w:tcBorders>
              <w:top w:val="single" w:color="auto" w:sz="4" w:space="0"/>
              <w:left w:val="single" w:color="auto" w:sz="4" w:space="0"/>
              <w:bottom w:val="single" w:color="auto" w:sz="4" w:space="0"/>
              <w:right w:val="single" w:color="auto" w:sz="4" w:space="0"/>
            </w:tcBorders>
            <w:vAlign w:val="center"/>
          </w:tcPr>
          <w:p w14:paraId="3DFF90D4">
            <w:pPr>
              <w:shd w:val="clear" w:color="auto" w:fill="FFFFFF"/>
              <w:autoSpaceDE w:val="0"/>
              <w:autoSpaceDN w:val="0"/>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财政性资金</w:t>
            </w:r>
          </w:p>
        </w:tc>
      </w:tr>
      <w:tr w14:paraId="76DB4D6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8" w:hRule="atLeast"/>
          <w:jc w:val="center"/>
        </w:trPr>
        <w:tc>
          <w:tcPr>
            <w:tcW w:w="709" w:type="dxa"/>
            <w:vMerge w:val="continue"/>
            <w:tcBorders>
              <w:top w:val="single" w:color="auto" w:sz="4" w:space="0"/>
              <w:left w:val="single" w:color="auto" w:sz="4" w:space="0"/>
              <w:bottom w:val="single" w:color="auto" w:sz="4" w:space="0"/>
              <w:right w:val="single" w:color="auto" w:sz="4" w:space="0"/>
            </w:tcBorders>
            <w:vAlign w:val="center"/>
          </w:tcPr>
          <w:p w14:paraId="3605FAE5">
            <w:pPr>
              <w:shd w:val="clear" w:color="auto" w:fill="FFFFFF"/>
              <w:autoSpaceDE w:val="0"/>
              <w:autoSpaceDN w:val="0"/>
              <w:spacing w:line="360" w:lineRule="auto"/>
              <w:jc w:val="center"/>
              <w:rPr>
                <w:rFonts w:hint="eastAsia" w:ascii="宋体" w:hAnsi="宋体" w:eastAsia="宋体" w:cs="宋体"/>
                <w:color w:val="auto"/>
                <w:kern w:val="0"/>
                <w:sz w:val="24"/>
                <w:szCs w:val="24"/>
                <w:highlight w:val="none"/>
              </w:rPr>
            </w:pPr>
          </w:p>
        </w:tc>
        <w:tc>
          <w:tcPr>
            <w:tcW w:w="1930" w:type="dxa"/>
            <w:tcBorders>
              <w:top w:val="single" w:color="auto" w:sz="4" w:space="0"/>
              <w:left w:val="single" w:color="auto" w:sz="4" w:space="0"/>
              <w:bottom w:val="single" w:color="auto" w:sz="4" w:space="0"/>
              <w:right w:val="single" w:color="auto" w:sz="4" w:space="0"/>
            </w:tcBorders>
            <w:vAlign w:val="center"/>
          </w:tcPr>
          <w:p w14:paraId="0652DF70">
            <w:pPr>
              <w:shd w:val="clear" w:color="auto" w:fill="FFFFFF"/>
              <w:autoSpaceDE w:val="0"/>
              <w:autoSpaceDN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资格审查方式</w:t>
            </w:r>
          </w:p>
        </w:tc>
        <w:tc>
          <w:tcPr>
            <w:tcW w:w="7243" w:type="dxa"/>
            <w:tcBorders>
              <w:top w:val="single" w:color="auto" w:sz="4" w:space="0"/>
              <w:left w:val="single" w:color="auto" w:sz="4" w:space="0"/>
              <w:bottom w:val="single" w:color="auto" w:sz="4" w:space="0"/>
              <w:right w:val="single" w:color="auto" w:sz="4" w:space="0"/>
            </w:tcBorders>
            <w:vAlign w:val="center"/>
          </w:tcPr>
          <w:p w14:paraId="6447064B">
            <w:pPr>
              <w:shd w:val="clear" w:color="auto" w:fill="FFFFFF"/>
              <w:autoSpaceDE w:val="0"/>
              <w:autoSpaceDN w:val="0"/>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资格后审</w:t>
            </w:r>
          </w:p>
        </w:tc>
      </w:tr>
      <w:tr w14:paraId="5910469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8" w:hRule="atLeast"/>
          <w:jc w:val="center"/>
        </w:trPr>
        <w:tc>
          <w:tcPr>
            <w:tcW w:w="709" w:type="dxa"/>
            <w:vMerge w:val="continue"/>
            <w:tcBorders>
              <w:top w:val="single" w:color="auto" w:sz="4" w:space="0"/>
              <w:left w:val="single" w:color="auto" w:sz="4" w:space="0"/>
              <w:bottom w:val="single" w:color="auto" w:sz="4" w:space="0"/>
              <w:right w:val="single" w:color="auto" w:sz="4" w:space="0"/>
            </w:tcBorders>
            <w:vAlign w:val="center"/>
          </w:tcPr>
          <w:p w14:paraId="073DC76C">
            <w:pPr>
              <w:shd w:val="clear" w:color="auto" w:fill="FFFFFF"/>
              <w:autoSpaceDE w:val="0"/>
              <w:autoSpaceDN w:val="0"/>
              <w:spacing w:line="360" w:lineRule="auto"/>
              <w:jc w:val="center"/>
              <w:rPr>
                <w:rFonts w:hint="eastAsia" w:ascii="宋体" w:hAnsi="宋体" w:eastAsia="宋体" w:cs="宋体"/>
                <w:color w:val="auto"/>
                <w:kern w:val="0"/>
                <w:sz w:val="24"/>
                <w:szCs w:val="24"/>
                <w:highlight w:val="none"/>
              </w:rPr>
            </w:pPr>
          </w:p>
        </w:tc>
        <w:tc>
          <w:tcPr>
            <w:tcW w:w="1930" w:type="dxa"/>
            <w:tcBorders>
              <w:top w:val="single" w:color="auto" w:sz="4" w:space="0"/>
              <w:left w:val="single" w:color="auto" w:sz="4" w:space="0"/>
              <w:bottom w:val="single" w:color="auto" w:sz="4" w:space="0"/>
              <w:right w:val="single" w:color="auto" w:sz="4" w:space="0"/>
            </w:tcBorders>
            <w:vAlign w:val="center"/>
          </w:tcPr>
          <w:p w14:paraId="411E545A">
            <w:pPr>
              <w:shd w:val="clear" w:color="auto" w:fill="FFFFFF"/>
              <w:autoSpaceDE w:val="0"/>
              <w:autoSpaceDN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采购内容</w:t>
            </w:r>
          </w:p>
        </w:tc>
        <w:tc>
          <w:tcPr>
            <w:tcW w:w="7243" w:type="dxa"/>
            <w:tcBorders>
              <w:top w:val="single" w:color="auto" w:sz="4" w:space="0"/>
              <w:left w:val="single" w:color="auto" w:sz="4" w:space="0"/>
              <w:bottom w:val="single" w:color="auto" w:sz="4" w:space="0"/>
              <w:right w:val="single" w:color="auto" w:sz="4" w:space="0"/>
            </w:tcBorders>
            <w:vAlign w:val="center"/>
          </w:tcPr>
          <w:p w14:paraId="2EEC0060">
            <w:pPr>
              <w:widowControl/>
              <w:shd w:val="clear" w:color="auto" w:fill="FFFFFF"/>
              <w:spacing w:line="360"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新疆医科大学雪莲山校区一期绿化区域，面积16.63万平方米。养护内容包含：乔灌花草的修剪、灌溉、防治病虫害、清除杂草、翻地播种、树木涂白（春秋季各一次）、灌溉水线使用维护及巡检、修理树坑、施肥、绿地垃圾清运、树木扶正、植物保活、植物防护（防严寒、干旱)、建立养护日志及职务档案库等工作。</w:t>
            </w:r>
          </w:p>
        </w:tc>
      </w:tr>
      <w:tr w14:paraId="7869E97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8" w:hRule="atLeast"/>
          <w:jc w:val="center"/>
        </w:trPr>
        <w:tc>
          <w:tcPr>
            <w:tcW w:w="709" w:type="dxa"/>
            <w:tcBorders>
              <w:top w:val="single" w:color="auto" w:sz="4" w:space="0"/>
              <w:left w:val="single" w:color="auto" w:sz="4" w:space="0"/>
              <w:bottom w:val="single" w:color="auto" w:sz="4" w:space="0"/>
              <w:right w:val="single" w:color="auto" w:sz="4" w:space="0"/>
            </w:tcBorders>
            <w:vAlign w:val="center"/>
          </w:tcPr>
          <w:p w14:paraId="5ADF7DE8">
            <w:pPr>
              <w:shd w:val="clear" w:color="auto" w:fill="FFFFFF"/>
              <w:autoSpaceDE w:val="0"/>
              <w:autoSpaceDN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p>
        </w:tc>
        <w:tc>
          <w:tcPr>
            <w:tcW w:w="1930" w:type="dxa"/>
            <w:tcBorders>
              <w:top w:val="single" w:color="auto" w:sz="4" w:space="0"/>
              <w:left w:val="single" w:color="auto" w:sz="4" w:space="0"/>
              <w:bottom w:val="single" w:color="auto" w:sz="4" w:space="0"/>
              <w:right w:val="single" w:color="auto" w:sz="4" w:space="0"/>
            </w:tcBorders>
            <w:vAlign w:val="center"/>
          </w:tcPr>
          <w:p w14:paraId="4503598F">
            <w:pPr>
              <w:shd w:val="clear" w:color="auto" w:fill="FFFFFF"/>
              <w:autoSpaceDE w:val="0"/>
              <w:autoSpaceDN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预算</w:t>
            </w:r>
            <w:r>
              <w:rPr>
                <w:rFonts w:hint="eastAsia" w:ascii="宋体" w:hAnsi="宋体" w:eastAsia="宋体" w:cs="宋体"/>
                <w:color w:val="auto"/>
                <w:sz w:val="24"/>
                <w:szCs w:val="24"/>
                <w:highlight w:val="none"/>
              </w:rPr>
              <w:t>及最高限价</w:t>
            </w:r>
          </w:p>
        </w:tc>
        <w:tc>
          <w:tcPr>
            <w:tcW w:w="7243" w:type="dxa"/>
            <w:tcBorders>
              <w:top w:val="single" w:color="auto" w:sz="4" w:space="0"/>
              <w:left w:val="single" w:color="auto" w:sz="4" w:space="0"/>
              <w:bottom w:val="single" w:color="auto" w:sz="4" w:space="0"/>
              <w:right w:val="single" w:color="auto" w:sz="4" w:space="0"/>
            </w:tcBorders>
            <w:vAlign w:val="center"/>
          </w:tcPr>
          <w:p w14:paraId="60526935">
            <w:pPr>
              <w:widowControl/>
              <w:shd w:val="clear" w:color="auto" w:fill="FFFFFF"/>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采购预算：</w:t>
            </w:r>
            <w:r>
              <w:rPr>
                <w:rFonts w:hint="eastAsia" w:ascii="宋体" w:hAnsi="宋体" w:eastAsia="宋体" w:cs="宋体"/>
                <w:color w:val="auto"/>
                <w:kern w:val="0"/>
                <w:sz w:val="24"/>
                <w:szCs w:val="24"/>
                <w:highlight w:val="none"/>
                <w:u w:val="single"/>
                <w:lang w:val="en-US" w:eastAsia="zh-CN"/>
              </w:rPr>
              <w:t>8882</w:t>
            </w:r>
            <w:r>
              <w:rPr>
                <w:rFonts w:hint="eastAsia" w:ascii="宋体" w:hAnsi="宋体" w:eastAsia="宋体" w:cs="宋体"/>
                <w:color w:val="auto"/>
                <w:kern w:val="0"/>
                <w:sz w:val="24"/>
                <w:szCs w:val="24"/>
                <w:highlight w:val="none"/>
                <w:u w:val="single"/>
                <w:lang w:eastAsia="zh-CN"/>
              </w:rPr>
              <w:t>00.00元</w:t>
            </w:r>
            <w:r>
              <w:rPr>
                <w:rFonts w:hint="eastAsia" w:ascii="宋体" w:hAnsi="宋体" w:eastAsia="宋体" w:cs="宋体"/>
                <w:color w:val="auto"/>
                <w:sz w:val="24"/>
                <w:szCs w:val="24"/>
                <w:highlight w:val="none"/>
              </w:rPr>
              <w:t>，最高限价：</w:t>
            </w:r>
            <w:r>
              <w:rPr>
                <w:rFonts w:hint="eastAsia" w:ascii="宋体" w:hAnsi="宋体" w:eastAsia="宋体" w:cs="宋体"/>
                <w:color w:val="auto"/>
                <w:kern w:val="0"/>
                <w:sz w:val="24"/>
                <w:szCs w:val="24"/>
                <w:highlight w:val="none"/>
                <w:u w:val="single"/>
                <w:lang w:val="en-US" w:eastAsia="zh-CN"/>
              </w:rPr>
              <w:t>888200.00元</w:t>
            </w:r>
            <w:r>
              <w:rPr>
                <w:rFonts w:hint="eastAsia" w:ascii="宋体" w:hAnsi="宋体" w:eastAsia="宋体" w:cs="宋体"/>
                <w:color w:val="auto"/>
                <w:sz w:val="24"/>
                <w:szCs w:val="24"/>
                <w:highlight w:val="none"/>
              </w:rPr>
              <w:t>；</w:t>
            </w:r>
            <w:r>
              <w:rPr>
                <w:rFonts w:hint="eastAsia" w:ascii="宋体" w:hAnsi="宋体" w:eastAsia="宋体" w:cs="宋体"/>
                <w:b/>
                <w:color w:val="auto"/>
                <w:sz w:val="24"/>
                <w:szCs w:val="24"/>
                <w:highlight w:val="none"/>
              </w:rPr>
              <w:t>供应商磋商报价若超过本项目采购预算或最高限价的，将视为未实质性响应竞争性磋商文件要求。</w:t>
            </w:r>
          </w:p>
        </w:tc>
      </w:tr>
      <w:tr w14:paraId="197DCBE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8" w:hRule="atLeast"/>
          <w:jc w:val="center"/>
        </w:trPr>
        <w:tc>
          <w:tcPr>
            <w:tcW w:w="709" w:type="dxa"/>
            <w:tcBorders>
              <w:top w:val="single" w:color="auto" w:sz="4" w:space="0"/>
              <w:left w:val="single" w:color="auto" w:sz="4" w:space="0"/>
              <w:bottom w:val="single" w:color="auto" w:sz="4" w:space="0"/>
              <w:right w:val="single" w:color="auto" w:sz="4" w:space="0"/>
            </w:tcBorders>
            <w:vAlign w:val="center"/>
          </w:tcPr>
          <w:p w14:paraId="7D54BE96">
            <w:pPr>
              <w:shd w:val="clear" w:color="auto" w:fill="FFFFFF"/>
              <w:autoSpaceDE w:val="0"/>
              <w:autoSpaceDN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w:t>
            </w:r>
          </w:p>
        </w:tc>
        <w:tc>
          <w:tcPr>
            <w:tcW w:w="1930" w:type="dxa"/>
            <w:tcBorders>
              <w:top w:val="single" w:color="auto" w:sz="4" w:space="0"/>
              <w:left w:val="single" w:color="auto" w:sz="4" w:space="0"/>
              <w:bottom w:val="single" w:color="auto" w:sz="4" w:space="0"/>
              <w:right w:val="single" w:color="auto" w:sz="4" w:space="0"/>
            </w:tcBorders>
            <w:vAlign w:val="center"/>
          </w:tcPr>
          <w:p w14:paraId="1EF45B40">
            <w:pPr>
              <w:shd w:val="clear" w:color="auto" w:fill="FFFFFF"/>
              <w:autoSpaceDE w:val="0"/>
              <w:autoSpaceDN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质量标准</w:t>
            </w:r>
          </w:p>
        </w:tc>
        <w:tc>
          <w:tcPr>
            <w:tcW w:w="7243" w:type="dxa"/>
            <w:tcBorders>
              <w:top w:val="single" w:color="auto" w:sz="4" w:space="0"/>
              <w:left w:val="single" w:color="auto" w:sz="4" w:space="0"/>
              <w:bottom w:val="single" w:color="auto" w:sz="4" w:space="0"/>
              <w:right w:val="single" w:color="auto" w:sz="4" w:space="0"/>
            </w:tcBorders>
            <w:vAlign w:val="center"/>
          </w:tcPr>
          <w:p w14:paraId="591FBEC0">
            <w:pPr>
              <w:shd w:val="clear" w:color="auto" w:fill="FFFFFF"/>
              <w:autoSpaceDE w:val="0"/>
              <w:autoSpaceDN w:val="0"/>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符合国家质量安全标准及</w:t>
            </w:r>
            <w:r>
              <w:rPr>
                <w:rFonts w:hint="eastAsia" w:ascii="宋体" w:hAnsi="宋体" w:eastAsia="宋体" w:cs="宋体"/>
                <w:color w:val="auto"/>
                <w:kern w:val="0"/>
                <w:sz w:val="24"/>
                <w:szCs w:val="24"/>
                <w:highlight w:val="none"/>
                <w:lang w:val="en-US" w:eastAsia="zh-CN"/>
              </w:rPr>
              <w:t>竞争性磋商</w:t>
            </w:r>
            <w:r>
              <w:rPr>
                <w:rFonts w:hint="eastAsia" w:ascii="宋体" w:hAnsi="宋体" w:eastAsia="宋体" w:cs="宋体"/>
                <w:color w:val="auto"/>
                <w:kern w:val="0"/>
                <w:sz w:val="24"/>
                <w:szCs w:val="24"/>
                <w:highlight w:val="none"/>
              </w:rPr>
              <w:t>文件、答疑附件的质量要求</w:t>
            </w:r>
          </w:p>
        </w:tc>
      </w:tr>
      <w:tr w14:paraId="54ACFDA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709" w:type="dxa"/>
            <w:tcBorders>
              <w:top w:val="single" w:color="auto" w:sz="4" w:space="0"/>
              <w:left w:val="single" w:color="auto" w:sz="4" w:space="0"/>
              <w:bottom w:val="single" w:color="auto" w:sz="4" w:space="0"/>
              <w:right w:val="single" w:color="auto" w:sz="4" w:space="0"/>
            </w:tcBorders>
            <w:vAlign w:val="center"/>
          </w:tcPr>
          <w:p w14:paraId="6A1490E8">
            <w:pPr>
              <w:shd w:val="clear" w:color="auto" w:fill="FFFFFF"/>
              <w:autoSpaceDE w:val="0"/>
              <w:autoSpaceDN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4</w:t>
            </w:r>
          </w:p>
        </w:tc>
        <w:tc>
          <w:tcPr>
            <w:tcW w:w="1930" w:type="dxa"/>
            <w:tcBorders>
              <w:top w:val="single" w:color="auto" w:sz="4" w:space="0"/>
              <w:left w:val="single" w:color="auto" w:sz="4" w:space="0"/>
              <w:bottom w:val="single" w:color="auto" w:sz="4" w:space="0"/>
              <w:right w:val="single" w:color="auto" w:sz="4" w:space="0"/>
            </w:tcBorders>
            <w:vAlign w:val="center"/>
          </w:tcPr>
          <w:p w14:paraId="2E48C8C7">
            <w:pPr>
              <w:shd w:val="clear" w:color="auto" w:fill="FFFFFF"/>
              <w:autoSpaceDE w:val="0"/>
              <w:autoSpaceDN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供应商资格</w:t>
            </w:r>
          </w:p>
        </w:tc>
        <w:tc>
          <w:tcPr>
            <w:tcW w:w="7243" w:type="dxa"/>
            <w:tcBorders>
              <w:top w:val="single" w:color="auto" w:sz="4" w:space="0"/>
              <w:left w:val="single" w:color="auto" w:sz="4" w:space="0"/>
              <w:bottom w:val="single" w:color="auto" w:sz="4" w:space="0"/>
              <w:right w:val="single" w:color="auto" w:sz="4" w:space="0"/>
            </w:tcBorders>
            <w:vAlign w:val="center"/>
          </w:tcPr>
          <w:p w14:paraId="6BA3F35B">
            <w:pPr>
              <w:shd w:val="clear" w:color="auto" w:fill="FFFFFF"/>
              <w:autoSpaceDE w:val="0"/>
              <w:autoSpaceDN w:val="0"/>
              <w:spacing w:line="360" w:lineRule="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1.满足《中华人民共和国政府采购法》第二十二条规定；</w:t>
            </w:r>
          </w:p>
          <w:p w14:paraId="1D3C81FB">
            <w:pPr>
              <w:shd w:val="clear" w:color="auto" w:fill="FFFFFF"/>
              <w:autoSpaceDE w:val="0"/>
              <w:autoSpaceDN w:val="0"/>
              <w:spacing w:line="360" w:lineRule="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2.落实政府采购政策需满足的资格要求：</w:t>
            </w:r>
            <w:r>
              <w:rPr>
                <w:rFonts w:hint="eastAsia" w:ascii="宋体" w:hAnsi="宋体" w:eastAsia="宋体" w:cs="宋体"/>
                <w:color w:val="auto"/>
                <w:sz w:val="24"/>
                <w:szCs w:val="24"/>
                <w:highlight w:val="none"/>
                <w:lang w:val="en-US" w:eastAsia="zh-CN"/>
              </w:rPr>
              <w:t>本项目专门面向小微企业</w:t>
            </w:r>
            <w:r>
              <w:rPr>
                <w:rFonts w:hint="eastAsia" w:ascii="宋体" w:hAnsi="宋体" w:eastAsia="宋体" w:cs="宋体"/>
                <w:sz w:val="24"/>
                <w:szCs w:val="24"/>
                <w:highlight w:val="none"/>
              </w:rPr>
              <w:t>；</w:t>
            </w:r>
          </w:p>
          <w:p w14:paraId="1EBC3CA4">
            <w:pPr>
              <w:shd w:val="clear" w:color="auto" w:fill="FFFFFF"/>
              <w:autoSpaceDE w:val="0"/>
              <w:autoSpaceDN w:val="0"/>
              <w:spacing w:line="360" w:lineRule="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3.本项目的特定资格要求:</w:t>
            </w:r>
          </w:p>
          <w:p w14:paraId="24CC0B04">
            <w:pPr>
              <w:shd w:val="clear" w:color="auto" w:fill="FFFFFF"/>
              <w:autoSpaceDE w:val="0"/>
              <w:autoSpaceDN w:val="0"/>
              <w:spacing w:line="360" w:lineRule="auto"/>
              <w:rPr>
                <w:rFonts w:hint="eastAsia" w:ascii="宋体" w:hAnsi="宋体" w:eastAsia="宋体" w:cs="宋体"/>
                <w:color w:val="auto"/>
                <w:kern w:val="0"/>
                <w:sz w:val="24"/>
                <w:szCs w:val="24"/>
                <w:highlight w:val="none"/>
                <w:lang w:val="en-US" w:eastAsia="zh-CN"/>
              </w:rPr>
            </w:pPr>
            <w:r>
              <w:rPr>
                <w:rFonts w:hint="default" w:ascii="宋体" w:hAnsi="宋体" w:eastAsia="宋体" w:cs="宋体"/>
                <w:color w:val="auto"/>
                <w:sz w:val="24"/>
                <w:szCs w:val="24"/>
                <w:highlight w:val="none"/>
                <w:lang w:val="en-US" w:eastAsia="zh-CN"/>
              </w:rPr>
              <w:t>（1）供应商近三年如在“信用中国”网站（www.creditchina.gov.cn）、中国政府采购网（www.ccgp.gov.cn）等渠道被列入失信被执行人、重大税收违法失信主体、政府采购严重违法失信行为记录名单及其它不符合《中华人民共和国政府采购法》第二十二条规定条件的投标人，尚在处罚期内的将被拒绝参加本次投标活动。（2）其他说明：（A）与采购人存在利害关系可能影响采购公正性的法人、其他组织或者个人，不得参加本次采购活动。（B）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w:t>
            </w:r>
          </w:p>
        </w:tc>
      </w:tr>
      <w:tr w14:paraId="2EB023E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09" w:type="dxa"/>
            <w:tcBorders>
              <w:top w:val="single" w:color="auto" w:sz="4" w:space="0"/>
              <w:left w:val="single" w:color="auto" w:sz="4" w:space="0"/>
              <w:bottom w:val="single" w:color="auto" w:sz="4" w:space="0"/>
              <w:right w:val="single" w:color="auto" w:sz="4" w:space="0"/>
            </w:tcBorders>
            <w:vAlign w:val="center"/>
          </w:tcPr>
          <w:p w14:paraId="6A6C4EED">
            <w:pPr>
              <w:shd w:val="clear" w:color="auto" w:fill="FFFFFF"/>
              <w:autoSpaceDE w:val="0"/>
              <w:autoSpaceDN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w:t>
            </w:r>
          </w:p>
        </w:tc>
        <w:tc>
          <w:tcPr>
            <w:tcW w:w="1930" w:type="dxa"/>
            <w:tcBorders>
              <w:top w:val="single" w:color="auto" w:sz="4" w:space="0"/>
              <w:left w:val="single" w:color="auto" w:sz="4" w:space="0"/>
              <w:bottom w:val="single" w:color="auto" w:sz="4" w:space="0"/>
              <w:right w:val="single" w:color="auto" w:sz="4" w:space="0"/>
            </w:tcBorders>
            <w:vAlign w:val="center"/>
          </w:tcPr>
          <w:p w14:paraId="58168E4A">
            <w:pPr>
              <w:shd w:val="clear" w:color="auto" w:fill="FFFFFF"/>
              <w:autoSpaceDE w:val="0"/>
              <w:autoSpaceDN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响应文件份数</w:t>
            </w:r>
          </w:p>
        </w:tc>
        <w:tc>
          <w:tcPr>
            <w:tcW w:w="7243" w:type="dxa"/>
            <w:tcBorders>
              <w:top w:val="single" w:color="auto" w:sz="4" w:space="0"/>
              <w:left w:val="single" w:color="auto" w:sz="4" w:space="0"/>
              <w:bottom w:val="single" w:color="auto" w:sz="4" w:space="0"/>
              <w:right w:val="single" w:color="auto" w:sz="4" w:space="0"/>
            </w:tcBorders>
            <w:vAlign w:val="center"/>
          </w:tcPr>
          <w:p w14:paraId="3772F9A7">
            <w:pPr>
              <w:shd w:val="clear" w:color="auto" w:fill="FFFFFF"/>
              <w:autoSpaceDE w:val="0"/>
              <w:autoSpaceDN w:val="0"/>
              <w:spacing w:line="360" w:lineRule="auto"/>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（1）本项目采用远程不见面电子标的方式开标/磋商，供应商开标/磋商时无需提供纸质响应文件，须在响应文件递交截止时间前通过</w:t>
            </w:r>
            <w:r>
              <w:rPr>
                <w:rFonts w:hint="eastAsia" w:ascii="宋体" w:hAnsi="宋体" w:eastAsia="宋体" w:cs="宋体"/>
                <w:b/>
                <w:color w:val="auto"/>
                <w:kern w:val="0"/>
                <w:sz w:val="24"/>
                <w:szCs w:val="24"/>
                <w:highlight w:val="none"/>
                <w:lang w:eastAsia="zh-CN"/>
              </w:rPr>
              <w:t>新疆政府采购网</w:t>
            </w:r>
            <w:r>
              <w:rPr>
                <w:rFonts w:hint="eastAsia" w:ascii="宋体" w:hAnsi="宋体" w:eastAsia="宋体" w:cs="宋体"/>
                <w:b/>
                <w:color w:val="auto"/>
                <w:kern w:val="0"/>
                <w:sz w:val="24"/>
                <w:szCs w:val="24"/>
                <w:highlight w:val="none"/>
              </w:rPr>
              <w:t>（</w:t>
            </w:r>
            <w:r>
              <w:rPr>
                <w:rFonts w:hint="eastAsia" w:ascii="宋体" w:hAnsi="宋体" w:eastAsia="宋体" w:cs="宋体"/>
                <w:b/>
                <w:color w:val="auto"/>
                <w:kern w:val="0"/>
                <w:sz w:val="24"/>
                <w:szCs w:val="24"/>
                <w:highlight w:val="none"/>
                <w:lang w:eastAsia="zh-CN"/>
              </w:rPr>
              <w:t>http://www.ccgp-xinjiang.gov.cn/</w:t>
            </w:r>
            <w:r>
              <w:rPr>
                <w:rFonts w:hint="eastAsia" w:ascii="宋体" w:hAnsi="宋体" w:eastAsia="宋体" w:cs="宋体"/>
                <w:b/>
                <w:color w:val="auto"/>
                <w:kern w:val="0"/>
                <w:sz w:val="24"/>
                <w:szCs w:val="24"/>
                <w:highlight w:val="none"/>
              </w:rPr>
              <w:t>）的”政采云登录入口”登录后，将加密</w:t>
            </w:r>
            <w:r>
              <w:rPr>
                <w:rFonts w:hint="eastAsia" w:ascii="宋体" w:hAnsi="宋体" w:eastAsia="宋体" w:cs="宋体"/>
                <w:b/>
                <w:color w:val="auto"/>
                <w:kern w:val="0"/>
                <w:sz w:val="24"/>
                <w:szCs w:val="24"/>
                <w:highlight w:val="none"/>
                <w:lang w:val="zh-CN"/>
              </w:rPr>
              <w:t>电子</w:t>
            </w:r>
            <w:r>
              <w:rPr>
                <w:rFonts w:hint="eastAsia" w:ascii="宋体" w:hAnsi="宋体" w:eastAsia="宋体" w:cs="宋体"/>
                <w:b/>
                <w:color w:val="auto"/>
                <w:kern w:val="0"/>
                <w:sz w:val="24"/>
                <w:szCs w:val="24"/>
                <w:highlight w:val="none"/>
              </w:rPr>
              <w:t>响应文件</w:t>
            </w:r>
            <w:r>
              <w:rPr>
                <w:rFonts w:hint="eastAsia" w:ascii="宋体" w:hAnsi="宋体" w:eastAsia="宋体" w:cs="宋体"/>
                <w:b/>
                <w:color w:val="auto"/>
                <w:kern w:val="0"/>
                <w:sz w:val="24"/>
                <w:szCs w:val="24"/>
                <w:highlight w:val="none"/>
                <w:lang w:val="zh-CN"/>
              </w:rPr>
              <w:t>（</w:t>
            </w:r>
            <w:r>
              <w:rPr>
                <w:rFonts w:hint="eastAsia" w:ascii="宋体" w:hAnsi="宋体" w:eastAsia="宋体" w:cs="宋体"/>
                <w:b/>
                <w:color w:val="auto"/>
                <w:kern w:val="0"/>
                <w:sz w:val="24"/>
                <w:szCs w:val="24"/>
                <w:highlight w:val="none"/>
              </w:rPr>
              <w:t>为.jmbs后缀格式</w:t>
            </w:r>
            <w:r>
              <w:rPr>
                <w:rFonts w:hint="eastAsia" w:ascii="宋体" w:hAnsi="宋体" w:eastAsia="宋体" w:cs="宋体"/>
                <w:b/>
                <w:color w:val="auto"/>
                <w:kern w:val="0"/>
                <w:sz w:val="24"/>
                <w:szCs w:val="24"/>
                <w:highlight w:val="none"/>
                <w:lang w:val="zh-CN"/>
              </w:rPr>
              <w:t>）</w:t>
            </w:r>
            <w:r>
              <w:rPr>
                <w:rFonts w:hint="eastAsia" w:ascii="宋体" w:hAnsi="宋体" w:eastAsia="宋体" w:cs="宋体"/>
                <w:b/>
                <w:color w:val="auto"/>
                <w:kern w:val="0"/>
                <w:sz w:val="24"/>
                <w:szCs w:val="24"/>
                <w:highlight w:val="none"/>
              </w:rPr>
              <w:t>上</w:t>
            </w:r>
            <w:r>
              <w:rPr>
                <w:rFonts w:hint="eastAsia" w:ascii="宋体" w:hAnsi="宋体" w:eastAsia="宋体" w:cs="宋体"/>
                <w:b/>
                <w:color w:val="auto"/>
                <w:kern w:val="0"/>
                <w:sz w:val="24"/>
                <w:szCs w:val="24"/>
                <w:highlight w:val="none"/>
                <w:lang w:val="zh-CN"/>
              </w:rPr>
              <w:t>传到</w:t>
            </w:r>
            <w:r>
              <w:rPr>
                <w:rFonts w:hint="eastAsia" w:ascii="宋体" w:hAnsi="宋体" w:eastAsia="宋体" w:cs="宋体"/>
                <w:b/>
                <w:color w:val="auto"/>
                <w:kern w:val="0"/>
                <w:sz w:val="24"/>
                <w:szCs w:val="24"/>
                <w:highlight w:val="none"/>
              </w:rPr>
              <w:t>对应项目的的</w:t>
            </w:r>
            <w:r>
              <w:rPr>
                <w:rFonts w:hint="eastAsia" w:ascii="宋体" w:hAnsi="宋体" w:eastAsia="宋体" w:cs="宋体"/>
                <w:b/>
                <w:color w:val="auto"/>
                <w:kern w:val="0"/>
                <w:sz w:val="24"/>
                <w:szCs w:val="24"/>
                <w:highlight w:val="none"/>
                <w:lang w:val="zh-CN"/>
              </w:rPr>
              <w:t>指定</w:t>
            </w:r>
            <w:r>
              <w:rPr>
                <w:rFonts w:hint="eastAsia" w:ascii="宋体" w:hAnsi="宋体" w:eastAsia="宋体" w:cs="宋体"/>
                <w:b/>
                <w:color w:val="auto"/>
                <w:kern w:val="0"/>
                <w:sz w:val="24"/>
                <w:szCs w:val="24"/>
                <w:highlight w:val="none"/>
              </w:rPr>
              <w:t>位置。</w:t>
            </w:r>
          </w:p>
        </w:tc>
      </w:tr>
      <w:tr w14:paraId="48B95F4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8" w:hRule="atLeast"/>
          <w:jc w:val="center"/>
        </w:trPr>
        <w:tc>
          <w:tcPr>
            <w:tcW w:w="709" w:type="dxa"/>
            <w:tcBorders>
              <w:top w:val="single" w:color="auto" w:sz="4" w:space="0"/>
              <w:left w:val="single" w:color="auto" w:sz="4" w:space="0"/>
              <w:bottom w:val="single" w:color="auto" w:sz="4" w:space="0"/>
              <w:right w:val="single" w:color="auto" w:sz="4" w:space="0"/>
            </w:tcBorders>
            <w:vAlign w:val="center"/>
          </w:tcPr>
          <w:p w14:paraId="2282C031">
            <w:pPr>
              <w:shd w:val="clear" w:color="auto" w:fill="FFFFFF"/>
              <w:autoSpaceDE w:val="0"/>
              <w:autoSpaceDN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6</w:t>
            </w:r>
          </w:p>
        </w:tc>
        <w:tc>
          <w:tcPr>
            <w:tcW w:w="1930" w:type="dxa"/>
            <w:tcBorders>
              <w:top w:val="single" w:color="auto" w:sz="4" w:space="0"/>
              <w:left w:val="single" w:color="auto" w:sz="4" w:space="0"/>
              <w:bottom w:val="single" w:color="auto" w:sz="4" w:space="0"/>
              <w:right w:val="single" w:color="auto" w:sz="4" w:space="0"/>
            </w:tcBorders>
            <w:vAlign w:val="center"/>
          </w:tcPr>
          <w:p w14:paraId="5FF69A6F">
            <w:pPr>
              <w:shd w:val="clear" w:color="auto" w:fill="FFFFFF"/>
              <w:autoSpaceDE w:val="0"/>
              <w:autoSpaceDN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响应文件递交截止时间</w:t>
            </w:r>
          </w:p>
        </w:tc>
        <w:tc>
          <w:tcPr>
            <w:tcW w:w="7243" w:type="dxa"/>
            <w:tcBorders>
              <w:top w:val="single" w:color="auto" w:sz="4" w:space="0"/>
              <w:left w:val="single" w:color="auto" w:sz="4" w:space="0"/>
              <w:bottom w:val="single" w:color="auto" w:sz="4" w:space="0"/>
              <w:right w:val="single" w:color="auto" w:sz="4" w:space="0"/>
            </w:tcBorders>
            <w:vAlign w:val="center"/>
          </w:tcPr>
          <w:p w14:paraId="72275AE4">
            <w:pPr>
              <w:shd w:val="clear" w:color="auto" w:fill="FFFFFF"/>
              <w:autoSpaceDE w:val="0"/>
              <w:autoSpaceDN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rPr>
              <w:t>2025年</w:t>
            </w:r>
            <w:r>
              <w:rPr>
                <w:rFonts w:hint="eastAsia" w:ascii="宋体" w:hAnsi="宋体" w:eastAsia="宋体" w:cs="宋体"/>
                <w:color w:val="auto"/>
                <w:sz w:val="24"/>
                <w:szCs w:val="24"/>
                <w:highlight w:val="none"/>
                <w:lang w:val="en-US" w:eastAsia="zh-CN"/>
              </w:rPr>
              <w:t>04月21日11:00</w:t>
            </w:r>
            <w:r>
              <w:rPr>
                <w:rFonts w:hint="eastAsia" w:ascii="宋体" w:hAnsi="宋体" w:eastAsia="宋体" w:cs="宋体"/>
                <w:color w:val="auto"/>
                <w:kern w:val="0"/>
                <w:sz w:val="24"/>
                <w:szCs w:val="24"/>
                <w:highlight w:val="none"/>
              </w:rPr>
              <w:t>（北京时间）</w:t>
            </w:r>
          </w:p>
        </w:tc>
      </w:tr>
      <w:tr w14:paraId="57B1257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8" w:hRule="atLeast"/>
          <w:jc w:val="center"/>
        </w:trPr>
        <w:tc>
          <w:tcPr>
            <w:tcW w:w="709" w:type="dxa"/>
            <w:tcBorders>
              <w:top w:val="single" w:color="auto" w:sz="4" w:space="0"/>
              <w:left w:val="single" w:color="auto" w:sz="4" w:space="0"/>
              <w:bottom w:val="single" w:color="auto" w:sz="4" w:space="0"/>
              <w:right w:val="single" w:color="auto" w:sz="4" w:space="0"/>
            </w:tcBorders>
            <w:vAlign w:val="center"/>
          </w:tcPr>
          <w:p w14:paraId="3D0E7504">
            <w:pPr>
              <w:shd w:val="clear" w:color="auto" w:fill="FFFFFF"/>
              <w:autoSpaceDE w:val="0"/>
              <w:autoSpaceDN w:val="0"/>
              <w:spacing w:line="360" w:lineRule="auto"/>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7</w:t>
            </w:r>
          </w:p>
        </w:tc>
        <w:tc>
          <w:tcPr>
            <w:tcW w:w="1930" w:type="dxa"/>
            <w:tcBorders>
              <w:top w:val="single" w:color="auto" w:sz="4" w:space="0"/>
              <w:left w:val="single" w:color="auto" w:sz="4" w:space="0"/>
              <w:bottom w:val="single" w:color="auto" w:sz="4" w:space="0"/>
              <w:right w:val="single" w:color="auto" w:sz="4" w:space="0"/>
            </w:tcBorders>
            <w:vAlign w:val="center"/>
          </w:tcPr>
          <w:p w14:paraId="17BAE59D">
            <w:pPr>
              <w:shd w:val="clear" w:color="auto" w:fill="FFFFFF"/>
              <w:autoSpaceDE w:val="0"/>
              <w:autoSpaceDN w:val="0"/>
              <w:spacing w:line="360" w:lineRule="auto"/>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联合体</w:t>
            </w:r>
          </w:p>
        </w:tc>
        <w:tc>
          <w:tcPr>
            <w:tcW w:w="7243" w:type="dxa"/>
            <w:tcBorders>
              <w:top w:val="single" w:color="auto" w:sz="4" w:space="0"/>
              <w:left w:val="single" w:color="auto" w:sz="4" w:space="0"/>
              <w:bottom w:val="single" w:color="auto" w:sz="4" w:space="0"/>
              <w:right w:val="single" w:color="auto" w:sz="4" w:space="0"/>
            </w:tcBorders>
            <w:vAlign w:val="center"/>
          </w:tcPr>
          <w:p w14:paraId="5EE2F3A3">
            <w:pPr>
              <w:shd w:val="clear" w:color="auto" w:fill="FFFFFF"/>
              <w:autoSpaceDE w:val="0"/>
              <w:autoSpaceDN w:val="0"/>
              <w:spacing w:line="360" w:lineRule="auto"/>
              <w:rPr>
                <w:rFonts w:hint="default"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不接受</w:t>
            </w:r>
          </w:p>
        </w:tc>
      </w:tr>
      <w:tr w14:paraId="42BE911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8" w:hRule="atLeast"/>
          <w:jc w:val="center"/>
        </w:trPr>
        <w:tc>
          <w:tcPr>
            <w:tcW w:w="709" w:type="dxa"/>
            <w:tcBorders>
              <w:top w:val="single" w:color="auto" w:sz="4" w:space="0"/>
              <w:left w:val="single" w:color="auto" w:sz="4" w:space="0"/>
              <w:bottom w:val="single" w:color="auto" w:sz="4" w:space="0"/>
              <w:right w:val="single" w:color="auto" w:sz="4" w:space="0"/>
            </w:tcBorders>
            <w:vAlign w:val="center"/>
          </w:tcPr>
          <w:p w14:paraId="44EF0AE3">
            <w:pPr>
              <w:shd w:val="clear" w:color="auto" w:fill="FFFFFF"/>
              <w:autoSpaceDE w:val="0"/>
              <w:autoSpaceDN w:val="0"/>
              <w:spacing w:line="360" w:lineRule="auto"/>
              <w:jc w:val="center"/>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lang w:val="en-US" w:eastAsia="zh-CN"/>
              </w:rPr>
              <w:t>8</w:t>
            </w:r>
          </w:p>
        </w:tc>
        <w:tc>
          <w:tcPr>
            <w:tcW w:w="1930" w:type="dxa"/>
            <w:tcBorders>
              <w:top w:val="single" w:color="auto" w:sz="4" w:space="0"/>
              <w:left w:val="single" w:color="auto" w:sz="4" w:space="0"/>
              <w:bottom w:val="single" w:color="auto" w:sz="4" w:space="0"/>
              <w:right w:val="single" w:color="auto" w:sz="4" w:space="0"/>
            </w:tcBorders>
            <w:vAlign w:val="center"/>
          </w:tcPr>
          <w:p w14:paraId="198074FA">
            <w:pPr>
              <w:shd w:val="clear" w:color="auto" w:fill="FFFFFF"/>
              <w:autoSpaceDE w:val="0"/>
              <w:autoSpaceDN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磋商有效期限</w:t>
            </w:r>
          </w:p>
        </w:tc>
        <w:tc>
          <w:tcPr>
            <w:tcW w:w="7243" w:type="dxa"/>
            <w:tcBorders>
              <w:top w:val="single" w:color="auto" w:sz="4" w:space="0"/>
              <w:left w:val="single" w:color="auto" w:sz="4" w:space="0"/>
              <w:bottom w:val="single" w:color="auto" w:sz="4" w:space="0"/>
              <w:right w:val="single" w:color="auto" w:sz="4" w:space="0"/>
            </w:tcBorders>
            <w:vAlign w:val="center"/>
          </w:tcPr>
          <w:p w14:paraId="22B9109B">
            <w:pPr>
              <w:shd w:val="clear" w:color="auto" w:fill="FFFFFF"/>
              <w:autoSpaceDE w:val="0"/>
              <w:autoSpaceDN w:val="0"/>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响应文件递交截止后</w:t>
            </w:r>
            <w:r>
              <w:rPr>
                <w:rFonts w:hint="eastAsia" w:ascii="宋体" w:hAnsi="宋体" w:eastAsia="宋体" w:cs="宋体"/>
                <w:color w:val="auto"/>
                <w:kern w:val="0"/>
                <w:sz w:val="24"/>
                <w:szCs w:val="24"/>
                <w:highlight w:val="none"/>
                <w:u w:val="single"/>
              </w:rPr>
              <w:t>90</w:t>
            </w:r>
            <w:r>
              <w:rPr>
                <w:rFonts w:hint="eastAsia" w:ascii="宋体" w:hAnsi="宋体" w:eastAsia="宋体" w:cs="宋体"/>
                <w:color w:val="auto"/>
                <w:kern w:val="0"/>
                <w:sz w:val="24"/>
                <w:szCs w:val="24"/>
                <w:highlight w:val="none"/>
              </w:rPr>
              <w:t>天（日历日）</w:t>
            </w:r>
          </w:p>
        </w:tc>
      </w:tr>
      <w:tr w14:paraId="2EBCCA9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8" w:hRule="atLeast"/>
          <w:jc w:val="center"/>
        </w:trPr>
        <w:tc>
          <w:tcPr>
            <w:tcW w:w="709" w:type="dxa"/>
            <w:tcBorders>
              <w:top w:val="single" w:color="auto" w:sz="4" w:space="0"/>
              <w:left w:val="single" w:color="auto" w:sz="4" w:space="0"/>
              <w:bottom w:val="single" w:color="auto" w:sz="4" w:space="0"/>
              <w:right w:val="single" w:color="auto" w:sz="4" w:space="0"/>
            </w:tcBorders>
            <w:vAlign w:val="center"/>
          </w:tcPr>
          <w:p w14:paraId="6C19FBDB">
            <w:pPr>
              <w:shd w:val="clear" w:color="auto" w:fill="FFFFFF"/>
              <w:autoSpaceDE w:val="0"/>
              <w:autoSpaceDN w:val="0"/>
              <w:spacing w:line="360" w:lineRule="auto"/>
              <w:jc w:val="center"/>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lang w:val="en-US" w:eastAsia="zh-CN"/>
              </w:rPr>
              <w:t>9</w:t>
            </w:r>
          </w:p>
        </w:tc>
        <w:tc>
          <w:tcPr>
            <w:tcW w:w="1930" w:type="dxa"/>
            <w:tcBorders>
              <w:top w:val="single" w:color="auto" w:sz="4" w:space="0"/>
              <w:left w:val="single" w:color="auto" w:sz="4" w:space="0"/>
              <w:bottom w:val="single" w:color="auto" w:sz="4" w:space="0"/>
              <w:right w:val="single" w:color="auto" w:sz="4" w:space="0"/>
            </w:tcBorders>
            <w:vAlign w:val="center"/>
          </w:tcPr>
          <w:p w14:paraId="34324FCF">
            <w:pPr>
              <w:shd w:val="clear" w:color="auto" w:fill="FFFFFF"/>
              <w:autoSpaceDE w:val="0"/>
              <w:autoSpaceDN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响应文件递交地点</w:t>
            </w:r>
          </w:p>
        </w:tc>
        <w:tc>
          <w:tcPr>
            <w:tcW w:w="7243" w:type="dxa"/>
            <w:tcBorders>
              <w:top w:val="single" w:color="auto" w:sz="4" w:space="0"/>
              <w:left w:val="single" w:color="auto" w:sz="4" w:space="0"/>
              <w:bottom w:val="single" w:color="auto" w:sz="4" w:space="0"/>
              <w:right w:val="single" w:color="auto" w:sz="4" w:space="0"/>
            </w:tcBorders>
            <w:vAlign w:val="center"/>
          </w:tcPr>
          <w:p w14:paraId="3E3B73F6">
            <w:pPr>
              <w:widowControl/>
              <w:shd w:val="clear" w:color="auto" w:fill="FFFFFF"/>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b/>
                <w:color w:val="auto"/>
                <w:kern w:val="0"/>
                <w:sz w:val="24"/>
                <w:szCs w:val="24"/>
                <w:highlight w:val="none"/>
              </w:rPr>
              <w:t>线上递交，通过</w:t>
            </w:r>
            <w:r>
              <w:rPr>
                <w:rFonts w:hint="eastAsia" w:ascii="宋体" w:hAnsi="宋体" w:eastAsia="宋体" w:cs="宋体"/>
                <w:b/>
                <w:color w:val="auto"/>
                <w:kern w:val="0"/>
                <w:sz w:val="24"/>
                <w:szCs w:val="24"/>
                <w:highlight w:val="none"/>
                <w:lang w:eastAsia="zh-CN"/>
              </w:rPr>
              <w:t>新疆政府采购网</w:t>
            </w:r>
            <w:r>
              <w:rPr>
                <w:rFonts w:hint="eastAsia" w:ascii="宋体" w:hAnsi="宋体" w:eastAsia="宋体" w:cs="宋体"/>
                <w:b/>
                <w:color w:val="auto"/>
                <w:kern w:val="0"/>
                <w:sz w:val="24"/>
                <w:szCs w:val="24"/>
                <w:highlight w:val="none"/>
              </w:rPr>
              <w:t>（</w:t>
            </w:r>
            <w:r>
              <w:rPr>
                <w:rFonts w:hint="eastAsia" w:ascii="宋体" w:hAnsi="宋体" w:eastAsia="宋体" w:cs="宋体"/>
                <w:b/>
                <w:color w:val="auto"/>
                <w:kern w:val="0"/>
                <w:sz w:val="24"/>
                <w:szCs w:val="24"/>
                <w:highlight w:val="none"/>
                <w:lang w:eastAsia="zh-CN"/>
              </w:rPr>
              <w:t>http://www.ccgp-xinjiang.gov.cn/</w:t>
            </w:r>
            <w:r>
              <w:rPr>
                <w:rFonts w:hint="eastAsia" w:ascii="宋体" w:hAnsi="宋体" w:eastAsia="宋体" w:cs="宋体"/>
                <w:b/>
                <w:color w:val="auto"/>
                <w:kern w:val="0"/>
                <w:sz w:val="24"/>
                <w:szCs w:val="24"/>
                <w:highlight w:val="none"/>
              </w:rPr>
              <w:t>）的”政采云登录入口”登录后，将加密</w:t>
            </w:r>
            <w:r>
              <w:rPr>
                <w:rFonts w:hint="eastAsia" w:ascii="宋体" w:hAnsi="宋体" w:eastAsia="宋体" w:cs="宋体"/>
                <w:b/>
                <w:color w:val="auto"/>
                <w:kern w:val="0"/>
                <w:sz w:val="24"/>
                <w:szCs w:val="24"/>
                <w:highlight w:val="none"/>
                <w:lang w:val="zh-CN"/>
              </w:rPr>
              <w:t>电子</w:t>
            </w:r>
            <w:r>
              <w:rPr>
                <w:rFonts w:hint="eastAsia" w:ascii="宋体" w:hAnsi="宋体" w:eastAsia="宋体" w:cs="宋体"/>
                <w:b/>
                <w:color w:val="auto"/>
                <w:kern w:val="0"/>
                <w:sz w:val="24"/>
                <w:szCs w:val="24"/>
                <w:highlight w:val="none"/>
              </w:rPr>
              <w:t>响应文件上</w:t>
            </w:r>
            <w:r>
              <w:rPr>
                <w:rFonts w:hint="eastAsia" w:ascii="宋体" w:hAnsi="宋体" w:eastAsia="宋体" w:cs="宋体"/>
                <w:b/>
                <w:color w:val="auto"/>
                <w:kern w:val="0"/>
                <w:sz w:val="24"/>
                <w:szCs w:val="24"/>
                <w:highlight w:val="none"/>
                <w:lang w:val="zh-CN"/>
              </w:rPr>
              <w:t>传到</w:t>
            </w:r>
            <w:r>
              <w:rPr>
                <w:rFonts w:hint="eastAsia" w:ascii="宋体" w:hAnsi="宋体" w:eastAsia="宋体" w:cs="宋体"/>
                <w:b/>
                <w:color w:val="auto"/>
                <w:kern w:val="0"/>
                <w:sz w:val="24"/>
                <w:szCs w:val="24"/>
                <w:highlight w:val="none"/>
              </w:rPr>
              <w:t>对应项目的的</w:t>
            </w:r>
            <w:r>
              <w:rPr>
                <w:rFonts w:hint="eastAsia" w:ascii="宋体" w:hAnsi="宋体" w:eastAsia="宋体" w:cs="宋体"/>
                <w:b/>
                <w:color w:val="auto"/>
                <w:kern w:val="0"/>
                <w:sz w:val="24"/>
                <w:szCs w:val="24"/>
                <w:highlight w:val="none"/>
                <w:lang w:val="zh-CN"/>
              </w:rPr>
              <w:t>指定</w:t>
            </w:r>
            <w:r>
              <w:rPr>
                <w:rFonts w:hint="eastAsia" w:ascii="宋体" w:hAnsi="宋体" w:eastAsia="宋体" w:cs="宋体"/>
                <w:b/>
                <w:color w:val="auto"/>
                <w:kern w:val="0"/>
                <w:sz w:val="24"/>
                <w:szCs w:val="24"/>
                <w:highlight w:val="none"/>
              </w:rPr>
              <w:t>位置</w:t>
            </w:r>
          </w:p>
        </w:tc>
      </w:tr>
      <w:tr w14:paraId="0D7FDB6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8" w:hRule="atLeast"/>
          <w:jc w:val="center"/>
        </w:trPr>
        <w:tc>
          <w:tcPr>
            <w:tcW w:w="709" w:type="dxa"/>
            <w:tcBorders>
              <w:top w:val="single" w:color="auto" w:sz="4" w:space="0"/>
              <w:left w:val="single" w:color="auto" w:sz="4" w:space="0"/>
              <w:bottom w:val="single" w:color="auto" w:sz="4" w:space="0"/>
              <w:right w:val="single" w:color="auto" w:sz="4" w:space="0"/>
            </w:tcBorders>
            <w:vAlign w:val="center"/>
          </w:tcPr>
          <w:p w14:paraId="37FCB6F3">
            <w:pPr>
              <w:shd w:val="clear" w:color="auto" w:fill="FFFFFF"/>
              <w:autoSpaceDE w:val="0"/>
              <w:autoSpaceDN w:val="0"/>
              <w:spacing w:line="360" w:lineRule="auto"/>
              <w:jc w:val="center"/>
              <w:rPr>
                <w:rFonts w:hint="default"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10</w:t>
            </w:r>
          </w:p>
        </w:tc>
        <w:tc>
          <w:tcPr>
            <w:tcW w:w="1930" w:type="dxa"/>
            <w:tcBorders>
              <w:top w:val="single" w:color="auto" w:sz="4" w:space="0"/>
              <w:left w:val="single" w:color="auto" w:sz="4" w:space="0"/>
              <w:bottom w:val="single" w:color="auto" w:sz="4" w:space="0"/>
              <w:right w:val="single" w:color="auto" w:sz="4" w:space="0"/>
            </w:tcBorders>
            <w:vAlign w:val="center"/>
          </w:tcPr>
          <w:p w14:paraId="1BEAB6F7">
            <w:pPr>
              <w:shd w:val="clear" w:color="auto" w:fill="FFFFFF"/>
              <w:autoSpaceDE w:val="0"/>
              <w:autoSpaceDN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磋商时间、磋商地点</w:t>
            </w:r>
          </w:p>
        </w:tc>
        <w:tc>
          <w:tcPr>
            <w:tcW w:w="7243" w:type="dxa"/>
            <w:tcBorders>
              <w:top w:val="single" w:color="auto" w:sz="4" w:space="0"/>
              <w:left w:val="single" w:color="auto" w:sz="4" w:space="0"/>
              <w:bottom w:val="single" w:color="auto" w:sz="4" w:space="0"/>
              <w:right w:val="single" w:color="auto" w:sz="4" w:space="0"/>
            </w:tcBorders>
            <w:vAlign w:val="center"/>
          </w:tcPr>
          <w:p w14:paraId="188C2241">
            <w:pPr>
              <w:keepNext w:val="0"/>
              <w:keepLines w:val="0"/>
              <w:pageBreakBefore w:val="0"/>
              <w:widowControl w:val="0"/>
              <w:shd w:val="clear" w:color="auto" w:fill="FFFFFF"/>
              <w:kinsoku/>
              <w:wordWrap w:val="0"/>
              <w:overflowPunct/>
              <w:topLinePunct w:val="0"/>
              <w:autoSpaceDE w:val="0"/>
              <w:autoSpaceDN w:val="0"/>
              <w:bidi w:val="0"/>
              <w:adjustRightInd/>
              <w:snapToGrid/>
              <w:spacing w:line="360" w:lineRule="auto"/>
              <w:textAlignment w:val="auto"/>
              <w:rPr>
                <w:rFonts w:hint="eastAsia" w:ascii="宋体" w:hAnsi="宋体" w:eastAsia="宋体" w:cs="宋体"/>
                <w:color w:val="auto"/>
                <w:sz w:val="24"/>
                <w:szCs w:val="24"/>
                <w:highlight w:val="none"/>
                <w:lang w:val="en-US"/>
              </w:rPr>
            </w:pPr>
            <w:r>
              <w:rPr>
                <w:rFonts w:hint="eastAsia" w:ascii="宋体" w:hAnsi="宋体" w:eastAsia="宋体" w:cs="宋体"/>
                <w:color w:val="auto"/>
                <w:kern w:val="0"/>
                <w:sz w:val="24"/>
                <w:szCs w:val="24"/>
                <w:highlight w:val="none"/>
              </w:rPr>
              <w:t>磋商</w:t>
            </w:r>
            <w:r>
              <w:rPr>
                <w:rFonts w:hint="eastAsia" w:ascii="宋体" w:hAnsi="宋体" w:eastAsia="宋体" w:cs="宋体"/>
                <w:color w:val="auto"/>
                <w:kern w:val="0"/>
                <w:sz w:val="24"/>
                <w:szCs w:val="24"/>
                <w:highlight w:val="none"/>
                <w:lang w:val="en-US"/>
              </w:rPr>
              <w:t>时间</w:t>
            </w: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lang w:val="en-US"/>
              </w:rPr>
              <w:t>同</w:t>
            </w:r>
            <w:r>
              <w:rPr>
                <w:rFonts w:hint="eastAsia" w:ascii="宋体" w:hAnsi="宋体" w:eastAsia="宋体" w:cs="宋体"/>
                <w:color w:val="auto"/>
                <w:kern w:val="0"/>
                <w:sz w:val="24"/>
                <w:szCs w:val="24"/>
                <w:highlight w:val="none"/>
              </w:rPr>
              <w:t>响应文件递交截止时间</w:t>
            </w:r>
          </w:p>
          <w:p w14:paraId="5DAAB915">
            <w:pPr>
              <w:keepNext w:val="0"/>
              <w:keepLines w:val="0"/>
              <w:pageBreakBefore w:val="0"/>
              <w:widowControl w:val="0"/>
              <w:shd w:val="clear" w:color="auto" w:fill="FFFFFF"/>
              <w:kinsoku/>
              <w:wordWrap w:val="0"/>
              <w:overflowPunct/>
              <w:topLinePunct w:val="0"/>
              <w:autoSpaceDE w:val="0"/>
              <w:autoSpaceDN w:val="0"/>
              <w:bidi w:val="0"/>
              <w:adjustRightInd/>
              <w:snapToGrid/>
              <w:spacing w:line="360" w:lineRule="auto"/>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磋商地址：</w:t>
            </w:r>
            <w:r>
              <w:rPr>
                <w:rFonts w:hint="eastAsia" w:ascii="宋体" w:hAnsi="宋体" w:eastAsia="宋体" w:cs="宋体"/>
                <w:bCs/>
                <w:color w:val="auto"/>
                <w:kern w:val="0"/>
                <w:sz w:val="24"/>
                <w:szCs w:val="24"/>
                <w:highlight w:val="none"/>
              </w:rPr>
              <w:t>通过</w:t>
            </w:r>
            <w:r>
              <w:rPr>
                <w:rFonts w:hint="eastAsia" w:ascii="宋体" w:hAnsi="宋体" w:eastAsia="宋体" w:cs="宋体"/>
                <w:bCs/>
                <w:color w:val="auto"/>
                <w:kern w:val="0"/>
                <w:sz w:val="24"/>
                <w:szCs w:val="24"/>
                <w:highlight w:val="none"/>
                <w:lang w:eastAsia="zh-CN"/>
              </w:rPr>
              <w:t>新疆政府采购网</w:t>
            </w:r>
            <w:r>
              <w:rPr>
                <w:rFonts w:hint="eastAsia" w:ascii="宋体" w:hAnsi="宋体" w:eastAsia="宋体" w:cs="宋体"/>
                <w:bCs/>
                <w:color w:val="auto"/>
                <w:kern w:val="0"/>
                <w:sz w:val="24"/>
                <w:szCs w:val="24"/>
                <w:highlight w:val="none"/>
              </w:rPr>
              <w:t>（</w:t>
            </w:r>
            <w:r>
              <w:rPr>
                <w:rFonts w:hint="eastAsia" w:ascii="宋体" w:hAnsi="宋体" w:eastAsia="宋体" w:cs="宋体"/>
                <w:bCs/>
                <w:color w:val="auto"/>
                <w:kern w:val="0"/>
                <w:sz w:val="24"/>
                <w:szCs w:val="24"/>
                <w:highlight w:val="none"/>
                <w:lang w:eastAsia="zh-CN"/>
              </w:rPr>
              <w:t>http://www.ccgp-xinjiang.gov.cn/</w:t>
            </w:r>
            <w:r>
              <w:rPr>
                <w:rFonts w:hint="eastAsia" w:ascii="宋体" w:hAnsi="宋体" w:eastAsia="宋体" w:cs="宋体"/>
                <w:bCs/>
                <w:color w:val="auto"/>
                <w:kern w:val="0"/>
                <w:sz w:val="24"/>
                <w:szCs w:val="24"/>
                <w:highlight w:val="none"/>
              </w:rPr>
              <w:t>）的”政采云登录入口”登录后，进入“</w:t>
            </w:r>
            <w:r>
              <w:rPr>
                <w:rFonts w:hint="eastAsia" w:ascii="宋体" w:hAnsi="宋体" w:eastAsia="宋体" w:cs="宋体"/>
                <w:color w:val="auto"/>
                <w:kern w:val="0"/>
                <w:sz w:val="24"/>
                <w:szCs w:val="24"/>
                <w:highlight w:val="none"/>
              </w:rPr>
              <w:t>政采云远程开标大厅</w:t>
            </w:r>
            <w:r>
              <w:rPr>
                <w:rFonts w:hint="eastAsia" w:ascii="宋体" w:hAnsi="宋体" w:eastAsia="宋体" w:cs="宋体"/>
                <w:bCs/>
                <w:color w:val="auto"/>
                <w:kern w:val="0"/>
                <w:sz w:val="24"/>
                <w:szCs w:val="24"/>
                <w:highlight w:val="none"/>
              </w:rPr>
              <w:t>”</w:t>
            </w:r>
          </w:p>
        </w:tc>
      </w:tr>
      <w:tr w14:paraId="3627459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8" w:hRule="atLeast"/>
          <w:jc w:val="center"/>
        </w:trPr>
        <w:tc>
          <w:tcPr>
            <w:tcW w:w="709" w:type="dxa"/>
            <w:tcBorders>
              <w:top w:val="single" w:color="auto" w:sz="4" w:space="0"/>
              <w:left w:val="single" w:color="auto" w:sz="4" w:space="0"/>
              <w:bottom w:val="single" w:color="auto" w:sz="4" w:space="0"/>
              <w:right w:val="single" w:color="auto" w:sz="4" w:space="0"/>
            </w:tcBorders>
            <w:vAlign w:val="center"/>
          </w:tcPr>
          <w:p w14:paraId="42462220">
            <w:pPr>
              <w:shd w:val="clear" w:color="auto" w:fill="FFFFFF"/>
              <w:autoSpaceDE w:val="0"/>
              <w:autoSpaceDN w:val="0"/>
              <w:spacing w:line="360" w:lineRule="auto"/>
              <w:jc w:val="center"/>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rPr>
              <w:t>1</w:t>
            </w:r>
            <w:r>
              <w:rPr>
                <w:rFonts w:hint="eastAsia" w:ascii="宋体" w:hAnsi="宋体" w:eastAsia="宋体" w:cs="宋体"/>
                <w:color w:val="auto"/>
                <w:kern w:val="0"/>
                <w:sz w:val="24"/>
                <w:szCs w:val="24"/>
                <w:highlight w:val="none"/>
                <w:lang w:val="en-US" w:eastAsia="zh-CN"/>
              </w:rPr>
              <w:t>1</w:t>
            </w:r>
          </w:p>
        </w:tc>
        <w:tc>
          <w:tcPr>
            <w:tcW w:w="1930" w:type="dxa"/>
            <w:tcBorders>
              <w:top w:val="single" w:color="auto" w:sz="4" w:space="0"/>
              <w:left w:val="single" w:color="auto" w:sz="4" w:space="0"/>
              <w:bottom w:val="single" w:color="auto" w:sz="4" w:space="0"/>
              <w:right w:val="single" w:color="auto" w:sz="4" w:space="0"/>
            </w:tcBorders>
            <w:vAlign w:val="center"/>
          </w:tcPr>
          <w:p w14:paraId="4E5775F8">
            <w:pPr>
              <w:shd w:val="clear" w:color="auto" w:fill="FFFFFF"/>
              <w:autoSpaceDE w:val="0"/>
              <w:autoSpaceDN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评审办法</w:t>
            </w:r>
          </w:p>
        </w:tc>
        <w:tc>
          <w:tcPr>
            <w:tcW w:w="7243" w:type="dxa"/>
            <w:tcBorders>
              <w:top w:val="single" w:color="auto" w:sz="4" w:space="0"/>
              <w:left w:val="single" w:color="auto" w:sz="4" w:space="0"/>
              <w:bottom w:val="single" w:color="auto" w:sz="4" w:space="0"/>
              <w:right w:val="single" w:color="auto" w:sz="4" w:space="0"/>
            </w:tcBorders>
            <w:vAlign w:val="center"/>
          </w:tcPr>
          <w:p w14:paraId="378DFCE7">
            <w:pPr>
              <w:pStyle w:val="36"/>
              <w:spacing w:line="360" w:lineRule="auto"/>
              <w:ind w:firstLine="0"/>
              <w:rPr>
                <w:rFonts w:hint="eastAsia" w:ascii="宋体" w:hAnsi="宋体" w:eastAsia="宋体" w:cs="宋体"/>
                <w:color w:val="auto"/>
                <w:sz w:val="24"/>
                <w:szCs w:val="24"/>
                <w:highlight w:val="none"/>
              </w:rPr>
            </w:pPr>
            <w:r>
              <w:rPr>
                <w:rFonts w:hint="eastAsia" w:ascii="宋体" w:hAnsi="宋体" w:eastAsia="宋体" w:cs="宋体"/>
                <w:color w:val="auto"/>
                <w:spacing w:val="0"/>
                <w:sz w:val="24"/>
                <w:szCs w:val="24"/>
                <w:highlight w:val="none"/>
              </w:rPr>
              <w:t>本项目的评审方法为：综合评分法，即供应商在通过初步审查，且提供最后报价的供应商进行商务、技术评审，磋商小组根据综合得分由高到低进行排序，推荐前三名为成交候选单位。经采购人确认后确定排名第一的供应商为本项目的成交供应商。</w:t>
            </w:r>
          </w:p>
        </w:tc>
      </w:tr>
      <w:tr w14:paraId="6517B24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8" w:hRule="atLeast"/>
          <w:jc w:val="center"/>
        </w:trPr>
        <w:tc>
          <w:tcPr>
            <w:tcW w:w="709" w:type="dxa"/>
            <w:tcBorders>
              <w:top w:val="single" w:color="auto" w:sz="4" w:space="0"/>
              <w:left w:val="single" w:color="auto" w:sz="4" w:space="0"/>
              <w:bottom w:val="single" w:color="auto" w:sz="4" w:space="0"/>
              <w:right w:val="single" w:color="auto" w:sz="4" w:space="0"/>
            </w:tcBorders>
            <w:vAlign w:val="center"/>
          </w:tcPr>
          <w:p w14:paraId="08954D80">
            <w:pPr>
              <w:shd w:val="clear" w:color="auto" w:fill="FFFFFF"/>
              <w:autoSpaceDE w:val="0"/>
              <w:autoSpaceDN w:val="0"/>
              <w:spacing w:line="360" w:lineRule="auto"/>
              <w:jc w:val="center"/>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rPr>
              <w:t>1</w:t>
            </w:r>
            <w:r>
              <w:rPr>
                <w:rFonts w:hint="eastAsia" w:ascii="宋体" w:hAnsi="宋体" w:eastAsia="宋体" w:cs="宋体"/>
                <w:color w:val="auto"/>
                <w:kern w:val="0"/>
                <w:sz w:val="24"/>
                <w:szCs w:val="24"/>
                <w:highlight w:val="none"/>
                <w:lang w:val="en-US" w:eastAsia="zh-CN"/>
              </w:rPr>
              <w:t>2</w:t>
            </w:r>
          </w:p>
        </w:tc>
        <w:tc>
          <w:tcPr>
            <w:tcW w:w="1930" w:type="dxa"/>
            <w:tcBorders>
              <w:top w:val="single" w:color="auto" w:sz="4" w:space="0"/>
              <w:left w:val="single" w:color="auto" w:sz="4" w:space="0"/>
              <w:bottom w:val="single" w:color="auto" w:sz="4" w:space="0"/>
              <w:right w:val="single" w:color="auto" w:sz="4" w:space="0"/>
            </w:tcBorders>
            <w:vAlign w:val="center"/>
          </w:tcPr>
          <w:p w14:paraId="3BF7E6CD">
            <w:pPr>
              <w:shd w:val="clear" w:color="auto" w:fill="FFFFFF"/>
              <w:autoSpaceDE w:val="0"/>
              <w:autoSpaceDN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磋商保证金</w:t>
            </w:r>
          </w:p>
        </w:tc>
        <w:tc>
          <w:tcPr>
            <w:tcW w:w="7243" w:type="dxa"/>
            <w:tcBorders>
              <w:top w:val="single" w:color="auto" w:sz="4" w:space="0"/>
              <w:left w:val="single" w:color="auto" w:sz="4" w:space="0"/>
              <w:bottom w:val="single" w:color="auto" w:sz="4" w:space="0"/>
              <w:right w:val="single" w:color="auto" w:sz="4" w:space="0"/>
            </w:tcBorders>
            <w:vAlign w:val="center"/>
          </w:tcPr>
          <w:p w14:paraId="0A664BAC">
            <w:pPr>
              <w:pStyle w:val="42"/>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 xml:space="preserve">不交纳 </w:t>
            </w:r>
          </w:p>
          <w:p w14:paraId="79E2E007">
            <w:pPr>
              <w:pStyle w:val="42"/>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交纳</w:t>
            </w:r>
          </w:p>
          <w:p w14:paraId="458B7937">
            <w:pPr>
              <w:pStyle w:val="87"/>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sz w:val="24"/>
                <w:szCs w:val="24"/>
                <w:highlight w:val="none"/>
              </w:rPr>
              <w:t>缴纳方式：电汇、网银转账或支票、汇票、本票、保函等非现金形式。</w:t>
            </w:r>
          </w:p>
          <w:p w14:paraId="764B6191">
            <w:pPr>
              <w:pStyle w:val="42"/>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0"/>
                <w:sz w:val="24"/>
                <w:szCs w:val="24"/>
                <w:highlight w:val="none"/>
              </w:rPr>
              <w:t>金额（小写）：</w:t>
            </w:r>
            <w:r>
              <w:rPr>
                <w:rFonts w:hint="eastAsia" w:ascii="宋体" w:hAnsi="宋体" w:cs="宋体"/>
                <w:color w:val="auto"/>
                <w:kern w:val="0"/>
                <w:sz w:val="24"/>
                <w:szCs w:val="24"/>
                <w:highlight w:val="none"/>
                <w:lang w:val="en-US" w:eastAsia="zh-CN"/>
              </w:rPr>
              <w:t>8</w:t>
            </w:r>
            <w:r>
              <w:rPr>
                <w:rFonts w:hint="eastAsia" w:ascii="宋体" w:hAnsi="宋体" w:eastAsia="宋体" w:cs="宋体"/>
                <w:color w:val="auto"/>
                <w:kern w:val="0"/>
                <w:sz w:val="24"/>
                <w:szCs w:val="24"/>
                <w:highlight w:val="none"/>
                <w:lang w:val="en-US" w:eastAsia="zh-CN"/>
              </w:rPr>
              <w:t>000元</w:t>
            </w:r>
          </w:p>
          <w:p w14:paraId="2F22F519">
            <w:pPr>
              <w:pStyle w:val="42"/>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Cs/>
                <w:color w:val="auto"/>
                <w:kern w:val="0"/>
                <w:sz w:val="24"/>
                <w:szCs w:val="24"/>
                <w:highlight w:val="none"/>
                <w:lang w:eastAsia="zh-CN"/>
              </w:rPr>
            </w:pPr>
            <w:r>
              <w:rPr>
                <w:rFonts w:hint="eastAsia" w:ascii="宋体" w:hAnsi="宋体" w:eastAsia="宋体" w:cs="宋体"/>
                <w:color w:val="auto"/>
                <w:kern w:val="0"/>
                <w:sz w:val="24"/>
                <w:szCs w:val="24"/>
                <w:highlight w:val="none"/>
              </w:rPr>
              <w:t>金额（大写）：</w:t>
            </w:r>
            <w:r>
              <w:rPr>
                <w:rFonts w:hint="eastAsia" w:ascii="宋体" w:hAnsi="宋体" w:cs="宋体"/>
                <w:color w:val="auto"/>
                <w:kern w:val="0"/>
                <w:sz w:val="24"/>
                <w:szCs w:val="24"/>
                <w:highlight w:val="none"/>
                <w:lang w:val="en-US" w:eastAsia="zh-CN"/>
              </w:rPr>
              <w:t>捌</w:t>
            </w:r>
            <w:r>
              <w:rPr>
                <w:rFonts w:hint="eastAsia" w:ascii="宋体" w:hAnsi="宋体" w:eastAsia="宋体" w:cs="宋体"/>
                <w:color w:val="auto"/>
                <w:kern w:val="0"/>
                <w:sz w:val="24"/>
                <w:szCs w:val="24"/>
                <w:highlight w:val="none"/>
                <w:lang w:val="en-US" w:eastAsia="zh-CN"/>
              </w:rPr>
              <w:t>仟元整</w:t>
            </w:r>
          </w:p>
          <w:p w14:paraId="31704354">
            <w:pPr>
              <w:pStyle w:val="58"/>
              <w:keepNext w:val="0"/>
              <w:keepLines w:val="0"/>
              <w:pageBreakBefore w:val="0"/>
              <w:widowControl w:val="0"/>
              <w:kinsoku/>
              <w:wordWrap/>
              <w:overflowPunct/>
              <w:topLinePunct w:val="0"/>
              <w:autoSpaceDE/>
              <w:autoSpaceDN/>
              <w:bidi w:val="0"/>
              <w:adjustRightInd/>
              <w:snapToGrid/>
              <w:spacing w:after="0"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账户名称：中招国际招标有限公司新疆分公司</w:t>
            </w:r>
          </w:p>
          <w:p w14:paraId="27B2EB85">
            <w:pPr>
              <w:pStyle w:val="58"/>
              <w:keepNext w:val="0"/>
              <w:keepLines w:val="0"/>
              <w:pageBreakBefore w:val="0"/>
              <w:widowControl w:val="0"/>
              <w:kinsoku/>
              <w:wordWrap/>
              <w:overflowPunct/>
              <w:topLinePunct w:val="0"/>
              <w:autoSpaceDE/>
              <w:autoSpaceDN/>
              <w:bidi w:val="0"/>
              <w:adjustRightInd/>
              <w:snapToGrid/>
              <w:spacing w:after="0"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开户行名称：中国工商银行股份有限公司南湖北路支行</w:t>
            </w:r>
          </w:p>
          <w:p w14:paraId="2FBECF8E">
            <w:pPr>
              <w:pStyle w:val="58"/>
              <w:keepNext w:val="0"/>
              <w:keepLines w:val="0"/>
              <w:pageBreakBefore w:val="0"/>
              <w:widowControl w:val="0"/>
              <w:kinsoku/>
              <w:wordWrap/>
              <w:overflowPunct/>
              <w:topLinePunct w:val="0"/>
              <w:autoSpaceDE/>
              <w:autoSpaceDN/>
              <w:bidi w:val="0"/>
              <w:adjustRightInd/>
              <w:snapToGrid/>
              <w:spacing w:after="0"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账号：3002 0128 1910 0057 504</w:t>
            </w:r>
          </w:p>
          <w:p w14:paraId="3B123CF5">
            <w:pPr>
              <w:pStyle w:val="58"/>
              <w:keepNext w:val="0"/>
              <w:keepLines w:val="0"/>
              <w:pageBreakBefore w:val="0"/>
              <w:widowControl w:val="0"/>
              <w:kinsoku/>
              <w:wordWrap/>
              <w:overflowPunct/>
              <w:topLinePunct w:val="0"/>
              <w:autoSpaceDE/>
              <w:autoSpaceDN/>
              <w:bidi w:val="0"/>
              <w:adjustRightInd/>
              <w:snapToGrid/>
              <w:spacing w:after="0" w:line="360" w:lineRule="auto"/>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到账截止时间：202</w:t>
            </w:r>
            <w:r>
              <w:rPr>
                <w:rFonts w:hint="eastAsia" w:ascii="宋体" w:hAnsi="宋体" w:cs="宋体"/>
                <w:b/>
                <w:color w:val="auto"/>
                <w:sz w:val="24"/>
                <w:szCs w:val="24"/>
                <w:highlight w:val="none"/>
                <w:lang w:val="en-US" w:eastAsia="zh-CN"/>
              </w:rPr>
              <w:t>5</w:t>
            </w:r>
            <w:r>
              <w:rPr>
                <w:rFonts w:hint="eastAsia" w:ascii="宋体" w:hAnsi="宋体" w:eastAsia="宋体" w:cs="宋体"/>
                <w:b/>
                <w:color w:val="auto"/>
                <w:sz w:val="24"/>
                <w:szCs w:val="24"/>
                <w:highlight w:val="none"/>
              </w:rPr>
              <w:t>年</w:t>
            </w:r>
            <w:r>
              <w:rPr>
                <w:rFonts w:hint="eastAsia" w:ascii="宋体" w:hAnsi="宋体" w:cs="宋体"/>
                <w:b/>
                <w:color w:val="auto"/>
                <w:sz w:val="24"/>
                <w:szCs w:val="24"/>
                <w:highlight w:val="none"/>
                <w:lang w:val="en-US" w:eastAsia="zh-CN"/>
              </w:rPr>
              <w:t>04</w:t>
            </w:r>
            <w:r>
              <w:rPr>
                <w:rFonts w:hint="eastAsia" w:ascii="宋体" w:hAnsi="宋体" w:eastAsia="宋体" w:cs="宋体"/>
                <w:b/>
                <w:color w:val="auto"/>
                <w:sz w:val="24"/>
                <w:szCs w:val="24"/>
                <w:highlight w:val="none"/>
                <w:lang w:val="en-US" w:eastAsia="zh-CN"/>
              </w:rPr>
              <w:t>月</w:t>
            </w:r>
            <w:r>
              <w:rPr>
                <w:rFonts w:hint="eastAsia" w:ascii="宋体" w:hAnsi="宋体" w:cs="宋体"/>
                <w:b/>
                <w:color w:val="auto"/>
                <w:sz w:val="24"/>
                <w:szCs w:val="24"/>
                <w:highlight w:val="none"/>
                <w:lang w:val="en-US" w:eastAsia="zh-CN"/>
              </w:rPr>
              <w:t>21</w:t>
            </w:r>
            <w:r>
              <w:rPr>
                <w:rFonts w:hint="eastAsia" w:ascii="宋体" w:hAnsi="宋体" w:eastAsia="宋体" w:cs="宋体"/>
                <w:b/>
                <w:color w:val="auto"/>
                <w:sz w:val="24"/>
                <w:szCs w:val="24"/>
                <w:highlight w:val="none"/>
                <w:lang w:val="en-US" w:eastAsia="zh-CN"/>
              </w:rPr>
              <w:t>日</w:t>
            </w:r>
            <w:r>
              <w:rPr>
                <w:rFonts w:hint="eastAsia" w:ascii="宋体" w:hAnsi="宋体" w:cs="宋体"/>
                <w:b/>
                <w:color w:val="auto"/>
                <w:sz w:val="24"/>
                <w:szCs w:val="24"/>
                <w:highlight w:val="none"/>
                <w:lang w:eastAsia="zh-CN"/>
              </w:rPr>
              <w:t>11:00</w:t>
            </w:r>
            <w:r>
              <w:rPr>
                <w:rFonts w:hint="eastAsia" w:ascii="宋体" w:hAnsi="宋体" w:eastAsia="宋体" w:cs="宋体"/>
                <w:b/>
                <w:color w:val="auto"/>
                <w:sz w:val="24"/>
                <w:szCs w:val="24"/>
                <w:highlight w:val="none"/>
              </w:rPr>
              <w:t>（北京时间）</w:t>
            </w:r>
          </w:p>
          <w:p w14:paraId="6652D20A">
            <w:pPr>
              <w:pStyle w:val="87"/>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kern w:val="2"/>
                <w:sz w:val="24"/>
                <w:szCs w:val="24"/>
                <w:highlight w:val="none"/>
              </w:rPr>
            </w:pPr>
            <w:r>
              <w:rPr>
                <w:rFonts w:hint="eastAsia" w:ascii="宋体" w:hAnsi="宋体" w:eastAsia="宋体" w:cs="宋体"/>
                <w:bCs/>
                <w:color w:val="auto"/>
                <w:sz w:val="24"/>
                <w:szCs w:val="24"/>
                <w:highlight w:val="none"/>
              </w:rPr>
              <w:t>注：</w:t>
            </w:r>
            <w:r>
              <w:rPr>
                <w:rFonts w:hint="eastAsia" w:ascii="宋体" w:hAnsi="宋体" w:eastAsia="宋体" w:cs="宋体"/>
                <w:color w:val="auto"/>
                <w:kern w:val="2"/>
                <w:sz w:val="24"/>
                <w:szCs w:val="24"/>
                <w:highlight w:val="none"/>
              </w:rPr>
              <w:t>1.如果发现供应商有围标、串标行为，其响应无效，且</w:t>
            </w:r>
            <w:r>
              <w:rPr>
                <w:rFonts w:hint="eastAsia" w:ascii="宋体" w:hAnsi="宋体" w:eastAsia="宋体" w:cs="宋体"/>
                <w:color w:val="auto"/>
                <w:kern w:val="2"/>
                <w:sz w:val="24"/>
                <w:szCs w:val="24"/>
                <w:highlight w:val="none"/>
                <w:lang w:val="en-US" w:eastAsia="zh-CN"/>
              </w:rPr>
              <w:t>磋商保证金</w:t>
            </w:r>
            <w:r>
              <w:rPr>
                <w:rFonts w:hint="eastAsia" w:ascii="宋体" w:hAnsi="宋体" w:eastAsia="宋体" w:cs="宋体"/>
                <w:color w:val="auto"/>
                <w:kern w:val="2"/>
                <w:sz w:val="24"/>
                <w:szCs w:val="24"/>
                <w:highlight w:val="none"/>
              </w:rPr>
              <w:t>将被没收，不予退还；</w:t>
            </w:r>
          </w:p>
          <w:p w14:paraId="65C554B2">
            <w:pPr>
              <w:pStyle w:val="87"/>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2.</w:t>
            </w:r>
            <w:r>
              <w:rPr>
                <w:rFonts w:hint="eastAsia" w:ascii="宋体" w:hAnsi="宋体" w:eastAsia="宋体" w:cs="宋体"/>
                <w:color w:val="auto"/>
                <w:kern w:val="2"/>
                <w:sz w:val="24"/>
                <w:szCs w:val="24"/>
                <w:highlight w:val="none"/>
                <w:lang w:val="en-US" w:eastAsia="zh-CN"/>
              </w:rPr>
              <w:t>磋商保证金</w:t>
            </w:r>
            <w:r>
              <w:rPr>
                <w:rFonts w:hint="eastAsia" w:ascii="宋体" w:hAnsi="宋体" w:eastAsia="宋体" w:cs="宋体"/>
                <w:color w:val="auto"/>
                <w:kern w:val="2"/>
                <w:sz w:val="24"/>
                <w:szCs w:val="24"/>
                <w:highlight w:val="none"/>
              </w:rPr>
              <w:t>未按规定时间缴纳或提交金额不足的，将被视为无效响应,其响应文件将不予接受。供应商应充分考虑资金在途时间）；</w:t>
            </w:r>
          </w:p>
          <w:p w14:paraId="269AA775">
            <w:pPr>
              <w:pStyle w:val="87"/>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3.供应商递交保证金时请在汇款时注明“项目</w:t>
            </w:r>
            <w:r>
              <w:rPr>
                <w:rFonts w:hint="eastAsia" w:ascii="宋体" w:hAnsi="宋体" w:eastAsia="宋体" w:cs="宋体"/>
                <w:color w:val="auto"/>
                <w:kern w:val="2"/>
                <w:sz w:val="24"/>
                <w:szCs w:val="24"/>
                <w:highlight w:val="none"/>
                <w:lang w:val="en-US" w:eastAsia="zh-CN"/>
              </w:rPr>
              <w:t>名称</w:t>
            </w:r>
            <w:r>
              <w:rPr>
                <w:rFonts w:hint="eastAsia" w:ascii="宋体" w:hAnsi="宋体" w:eastAsia="宋体" w:cs="宋体"/>
                <w:color w:val="auto"/>
                <w:kern w:val="2"/>
                <w:sz w:val="24"/>
                <w:szCs w:val="24"/>
                <w:highlight w:val="none"/>
              </w:rPr>
              <w:t>+</w:t>
            </w:r>
            <w:r>
              <w:rPr>
                <w:rFonts w:hint="eastAsia" w:ascii="宋体" w:hAnsi="宋体" w:eastAsia="宋体" w:cs="宋体"/>
                <w:color w:val="auto"/>
                <w:kern w:val="2"/>
                <w:sz w:val="24"/>
                <w:szCs w:val="24"/>
                <w:highlight w:val="none"/>
                <w:lang w:val="en-US" w:eastAsia="zh-CN"/>
              </w:rPr>
              <w:t>项目</w:t>
            </w:r>
            <w:r>
              <w:rPr>
                <w:rFonts w:hint="eastAsia" w:ascii="宋体" w:hAnsi="宋体" w:eastAsia="宋体" w:cs="宋体"/>
                <w:color w:val="auto"/>
                <w:kern w:val="2"/>
                <w:sz w:val="24"/>
                <w:szCs w:val="24"/>
                <w:highlight w:val="none"/>
              </w:rPr>
              <w:t>编号”，对因未注明项目简称及汇款事由而造成保证金不能及时到账的，后果由供应商自负。</w:t>
            </w:r>
          </w:p>
          <w:p w14:paraId="016AF405">
            <w:pPr>
              <w:pStyle w:val="87"/>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4.</w:t>
            </w:r>
            <w:r>
              <w:rPr>
                <w:rFonts w:hint="eastAsia" w:ascii="宋体" w:hAnsi="宋体" w:eastAsia="宋体" w:cs="宋体"/>
                <w:color w:val="auto"/>
                <w:kern w:val="2"/>
                <w:sz w:val="24"/>
                <w:szCs w:val="24"/>
                <w:highlight w:val="none"/>
                <w:lang w:val="en-US" w:eastAsia="zh-CN"/>
              </w:rPr>
              <w:t>供应商</w:t>
            </w:r>
            <w:r>
              <w:rPr>
                <w:rFonts w:hint="eastAsia" w:ascii="宋体" w:hAnsi="宋体" w:eastAsia="宋体" w:cs="宋体"/>
                <w:color w:val="auto"/>
                <w:kern w:val="2"/>
                <w:sz w:val="24"/>
                <w:szCs w:val="24"/>
                <w:highlight w:val="none"/>
              </w:rPr>
              <w:t>可以支票、汇票、本票或者金融机构、保险公司、担保机构出具的电子保函等非现金形式提交，优先以政采云电子保函方式缴纳，具体办理流程详见新疆政府采购网《新疆维吾尔自治区政府采购电子保函工作方案》。</w:t>
            </w:r>
            <w:r>
              <w:rPr>
                <w:rFonts w:hint="eastAsia" w:ascii="宋体" w:hAnsi="宋体" w:eastAsia="宋体" w:cs="宋体"/>
                <w:color w:val="auto"/>
                <w:kern w:val="2"/>
                <w:sz w:val="24"/>
                <w:szCs w:val="24"/>
                <w:highlight w:val="none"/>
                <w:lang w:val="en-US" w:eastAsia="zh-CN"/>
              </w:rPr>
              <w:t>供应商</w:t>
            </w:r>
            <w:r>
              <w:rPr>
                <w:rFonts w:hint="eastAsia" w:ascii="宋体" w:hAnsi="宋体" w:eastAsia="宋体" w:cs="宋体"/>
                <w:color w:val="auto"/>
                <w:kern w:val="2"/>
                <w:sz w:val="24"/>
                <w:szCs w:val="24"/>
                <w:highlight w:val="none"/>
              </w:rPr>
              <w:t>以电子保函形式缴纳</w:t>
            </w:r>
            <w:r>
              <w:rPr>
                <w:rFonts w:hint="eastAsia" w:ascii="宋体" w:hAnsi="宋体" w:eastAsia="宋体" w:cs="宋体"/>
                <w:color w:val="auto"/>
                <w:kern w:val="2"/>
                <w:sz w:val="24"/>
                <w:szCs w:val="24"/>
                <w:highlight w:val="none"/>
                <w:lang w:eastAsia="zh-CN"/>
              </w:rPr>
              <w:t>磋商保证金</w:t>
            </w:r>
            <w:r>
              <w:rPr>
                <w:rFonts w:hint="eastAsia" w:ascii="宋体" w:hAnsi="宋体" w:eastAsia="宋体" w:cs="宋体"/>
                <w:color w:val="auto"/>
                <w:kern w:val="2"/>
                <w:sz w:val="24"/>
                <w:szCs w:val="24"/>
                <w:highlight w:val="none"/>
              </w:rPr>
              <w:t>的，应通过“新疆政府采购网”的“电子保函”模块申请购买：</w:t>
            </w:r>
          </w:p>
          <w:p w14:paraId="4E735E1C">
            <w:pPr>
              <w:pStyle w:val="87"/>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直达链接（电子保函）：</w:t>
            </w:r>
          </w:p>
          <w:p w14:paraId="57F2F422">
            <w:pPr>
              <w:pStyle w:val="87"/>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https://jinrong.zcygov.cn/luban/finance/letter/xinjiang?pageModelFlag=650000</w:t>
            </w:r>
          </w:p>
          <w:p w14:paraId="19E0EB98">
            <w:pPr>
              <w:pStyle w:val="41"/>
              <w:keepNext w:val="0"/>
              <w:keepLines w:val="0"/>
              <w:pageBreakBefore w:val="0"/>
              <w:widowControl w:val="0"/>
              <w:shd w:val="clear" w:color="auto" w:fill="FFFFFF"/>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b/>
                <w:bCs/>
                <w:color w:val="auto"/>
                <w:sz w:val="24"/>
                <w:szCs w:val="24"/>
                <w:highlight w:val="none"/>
              </w:rPr>
            </w:pPr>
            <w:r>
              <w:rPr>
                <w:rFonts w:hint="eastAsia" w:ascii="宋体" w:hAnsi="宋体" w:eastAsia="宋体" w:cs="宋体"/>
                <w:color w:val="auto"/>
                <w:kern w:val="2"/>
                <w:sz w:val="24"/>
                <w:szCs w:val="24"/>
                <w:highlight w:val="none"/>
              </w:rPr>
              <w:t>金融服务支撑热线：0991-2661159。</w:t>
            </w:r>
          </w:p>
        </w:tc>
      </w:tr>
      <w:tr w14:paraId="4A72C1B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09" w:type="dxa"/>
            <w:tcBorders>
              <w:top w:val="single" w:color="auto" w:sz="4" w:space="0"/>
              <w:left w:val="single" w:color="auto" w:sz="4" w:space="0"/>
              <w:bottom w:val="single" w:color="auto" w:sz="4" w:space="0"/>
              <w:right w:val="single" w:color="auto" w:sz="4" w:space="0"/>
            </w:tcBorders>
            <w:vAlign w:val="center"/>
          </w:tcPr>
          <w:p w14:paraId="7D46DD5A">
            <w:pPr>
              <w:shd w:val="clear" w:color="auto" w:fill="FFFFFF"/>
              <w:autoSpaceDE w:val="0"/>
              <w:autoSpaceDN w:val="0"/>
              <w:spacing w:line="360" w:lineRule="auto"/>
              <w:jc w:val="center"/>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rPr>
              <w:t>1</w:t>
            </w:r>
            <w:r>
              <w:rPr>
                <w:rFonts w:hint="eastAsia" w:ascii="宋体" w:hAnsi="宋体" w:eastAsia="宋体" w:cs="宋体"/>
                <w:color w:val="auto"/>
                <w:kern w:val="0"/>
                <w:sz w:val="24"/>
                <w:szCs w:val="24"/>
                <w:highlight w:val="none"/>
                <w:lang w:val="en-US" w:eastAsia="zh-CN"/>
              </w:rPr>
              <w:t>3</w:t>
            </w:r>
          </w:p>
        </w:tc>
        <w:tc>
          <w:tcPr>
            <w:tcW w:w="1930" w:type="dxa"/>
            <w:tcBorders>
              <w:top w:val="single" w:color="auto" w:sz="4" w:space="0"/>
              <w:left w:val="single" w:color="auto" w:sz="4" w:space="0"/>
              <w:bottom w:val="single" w:color="auto" w:sz="4" w:space="0"/>
              <w:right w:val="single" w:color="auto" w:sz="4" w:space="0"/>
            </w:tcBorders>
            <w:vAlign w:val="center"/>
          </w:tcPr>
          <w:p w14:paraId="580C57F5">
            <w:pPr>
              <w:pStyle w:val="41"/>
              <w:shd w:val="clear" w:color="auto" w:fill="FFFFFF"/>
              <w:spacing w:line="360" w:lineRule="auto"/>
              <w:ind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对竞争性磋商文件的质疑</w:t>
            </w:r>
          </w:p>
        </w:tc>
        <w:tc>
          <w:tcPr>
            <w:tcW w:w="7243" w:type="dxa"/>
            <w:tcBorders>
              <w:top w:val="single" w:color="auto" w:sz="4" w:space="0"/>
              <w:left w:val="single" w:color="auto" w:sz="4" w:space="0"/>
              <w:bottom w:val="single" w:color="auto" w:sz="4" w:space="0"/>
              <w:right w:val="single" w:color="auto" w:sz="4" w:space="0"/>
            </w:tcBorders>
            <w:vAlign w:val="center"/>
          </w:tcPr>
          <w:p w14:paraId="03A6A947">
            <w:pPr>
              <w:pStyle w:val="41"/>
              <w:shd w:val="clear" w:color="auto" w:fill="FFFFFF"/>
              <w:spacing w:line="360" w:lineRule="auto"/>
              <w:ind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供应商若对竞争性磋商文件内容质疑，须按以下要求提出：</w:t>
            </w:r>
          </w:p>
          <w:p w14:paraId="0BFC7A1C">
            <w:pPr>
              <w:pStyle w:val="41"/>
              <w:shd w:val="clear" w:color="auto" w:fill="FFFFFF"/>
              <w:spacing w:line="360" w:lineRule="auto"/>
              <w:ind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对采购过程提出质疑时间：为各采购程序环节结束之日起七个工作日内。</w:t>
            </w:r>
          </w:p>
          <w:p w14:paraId="10FA0DAF">
            <w:pPr>
              <w:pStyle w:val="41"/>
              <w:shd w:val="clear" w:color="auto" w:fill="FFFFFF"/>
              <w:spacing w:line="360" w:lineRule="auto"/>
              <w:ind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对采购结果提出质疑时间：为中标结果公告发布次日后七个工作日内。</w:t>
            </w:r>
          </w:p>
          <w:p w14:paraId="1BA23346">
            <w:pPr>
              <w:pStyle w:val="41"/>
              <w:shd w:val="clear" w:color="auto" w:fill="FFFFFF"/>
              <w:spacing w:line="360" w:lineRule="auto"/>
              <w:ind w:firstLine="0" w:firstLineChars="0"/>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联系人：</w:t>
            </w:r>
            <w:r>
              <w:rPr>
                <w:rFonts w:hint="eastAsia" w:ascii="宋体" w:eastAsia="宋体" w:cs="宋体"/>
                <w:color w:val="auto"/>
                <w:sz w:val="24"/>
                <w:szCs w:val="24"/>
                <w:highlight w:val="none"/>
                <w:lang w:val="en-US" w:eastAsia="zh-CN"/>
              </w:rPr>
              <w:t>程建军</w:t>
            </w:r>
          </w:p>
          <w:p w14:paraId="275B0AA5">
            <w:pPr>
              <w:pStyle w:val="41"/>
              <w:shd w:val="clear" w:color="auto" w:fill="FFFFFF"/>
              <w:spacing w:line="360" w:lineRule="auto"/>
              <w:ind w:firstLine="0" w:firstLineChars="0"/>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联系电话：1</w:t>
            </w:r>
            <w:r>
              <w:rPr>
                <w:rFonts w:hint="eastAsia" w:ascii="宋体" w:eastAsia="宋体" w:cs="宋体"/>
                <w:color w:val="auto"/>
                <w:sz w:val="24"/>
                <w:szCs w:val="24"/>
                <w:highlight w:val="none"/>
                <w:lang w:val="en-US" w:eastAsia="zh-CN"/>
              </w:rPr>
              <w:t>5699108282</w:t>
            </w:r>
          </w:p>
          <w:p w14:paraId="32556E11">
            <w:pPr>
              <w:pStyle w:val="41"/>
              <w:shd w:val="clear" w:color="auto" w:fill="FFFFFF"/>
              <w:spacing w:line="360" w:lineRule="auto"/>
              <w:ind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提交方式：纸质版盖章询问函递交至招标代理公司。</w:t>
            </w:r>
          </w:p>
          <w:p w14:paraId="43AAB8BC">
            <w:pPr>
              <w:pStyle w:val="41"/>
              <w:shd w:val="clear" w:color="auto" w:fill="FFFFFF"/>
              <w:spacing w:line="360" w:lineRule="auto"/>
              <w:ind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注：①澄清、修改文件发出后，</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必须使用最新的澄清文件制作电子</w:t>
            </w:r>
            <w:r>
              <w:rPr>
                <w:rFonts w:hint="eastAsia" w:ascii="宋体" w:hAnsi="宋体" w:eastAsia="宋体" w:cs="宋体"/>
                <w:color w:val="auto"/>
                <w:sz w:val="24"/>
                <w:szCs w:val="24"/>
                <w:highlight w:val="none"/>
                <w:lang w:eastAsia="zh-CN"/>
              </w:rPr>
              <w:t>响应文件</w:t>
            </w:r>
            <w:r>
              <w:rPr>
                <w:rFonts w:hint="eastAsia" w:ascii="宋体" w:hAnsi="宋体" w:eastAsia="宋体" w:cs="宋体"/>
                <w:color w:val="auto"/>
                <w:sz w:val="24"/>
                <w:szCs w:val="24"/>
                <w:highlight w:val="none"/>
              </w:rPr>
              <w:t>。②采购单位无正当理由不按照依法推荐的中标候选</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顺序确定</w:t>
            </w:r>
            <w:r>
              <w:rPr>
                <w:rFonts w:hint="eastAsia" w:ascii="宋体" w:hAnsi="宋体" w:eastAsia="宋体" w:cs="宋体"/>
                <w:color w:val="auto"/>
                <w:sz w:val="24"/>
                <w:szCs w:val="24"/>
                <w:highlight w:val="none"/>
                <w:lang w:eastAsia="zh-CN"/>
              </w:rPr>
              <w:t>成交供应商</w:t>
            </w:r>
            <w:r>
              <w:rPr>
                <w:rFonts w:hint="eastAsia" w:ascii="宋体" w:hAnsi="宋体" w:eastAsia="宋体" w:cs="宋体"/>
                <w:color w:val="auto"/>
                <w:sz w:val="24"/>
                <w:szCs w:val="24"/>
                <w:highlight w:val="none"/>
              </w:rPr>
              <w:t>，或者在</w:t>
            </w:r>
            <w:r>
              <w:rPr>
                <w:rFonts w:hint="eastAsia" w:ascii="宋体" w:hAnsi="宋体" w:eastAsia="宋体" w:cs="宋体"/>
                <w:color w:val="auto"/>
                <w:sz w:val="24"/>
                <w:szCs w:val="24"/>
                <w:highlight w:val="none"/>
                <w:lang w:eastAsia="zh-CN"/>
              </w:rPr>
              <w:t>磋商小组</w:t>
            </w:r>
            <w:r>
              <w:rPr>
                <w:rFonts w:hint="eastAsia" w:ascii="宋体" w:hAnsi="宋体" w:eastAsia="宋体" w:cs="宋体"/>
                <w:color w:val="auto"/>
                <w:sz w:val="24"/>
                <w:szCs w:val="24"/>
                <w:highlight w:val="none"/>
              </w:rPr>
              <w:t>依法推荐的中标候选</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以外确定</w:t>
            </w:r>
            <w:r>
              <w:rPr>
                <w:rFonts w:hint="eastAsia" w:ascii="宋体" w:hAnsi="宋体" w:eastAsia="宋体" w:cs="宋体"/>
                <w:color w:val="auto"/>
                <w:sz w:val="24"/>
                <w:szCs w:val="24"/>
                <w:highlight w:val="none"/>
                <w:lang w:eastAsia="zh-CN"/>
              </w:rPr>
              <w:t>成交供应商</w:t>
            </w:r>
            <w:r>
              <w:rPr>
                <w:rFonts w:hint="eastAsia" w:ascii="宋体" w:hAnsi="宋体" w:eastAsia="宋体" w:cs="宋体"/>
                <w:color w:val="auto"/>
                <w:sz w:val="24"/>
                <w:szCs w:val="24"/>
                <w:highlight w:val="none"/>
              </w:rPr>
              <w:t>的质疑由采购单位受理。</w:t>
            </w:r>
          </w:p>
          <w:p w14:paraId="12730E93">
            <w:pPr>
              <w:pStyle w:val="41"/>
              <w:shd w:val="clear" w:color="auto" w:fill="FFFFFF"/>
              <w:spacing w:line="360" w:lineRule="auto"/>
              <w:ind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③</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应当在法定质疑期内一次性提出针对统一采购程序环节的质疑。</w:t>
            </w:r>
          </w:p>
        </w:tc>
      </w:tr>
      <w:tr w14:paraId="426195A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8" w:hRule="atLeast"/>
          <w:jc w:val="center"/>
        </w:trPr>
        <w:tc>
          <w:tcPr>
            <w:tcW w:w="709" w:type="dxa"/>
            <w:tcBorders>
              <w:top w:val="single" w:color="auto" w:sz="4" w:space="0"/>
              <w:left w:val="single" w:color="auto" w:sz="4" w:space="0"/>
              <w:bottom w:val="single" w:color="auto" w:sz="4" w:space="0"/>
              <w:right w:val="single" w:color="auto" w:sz="4" w:space="0"/>
            </w:tcBorders>
            <w:vAlign w:val="center"/>
          </w:tcPr>
          <w:p w14:paraId="394DA2F1">
            <w:pPr>
              <w:shd w:val="clear" w:color="auto" w:fill="FFFFFF"/>
              <w:autoSpaceDE w:val="0"/>
              <w:autoSpaceDN w:val="0"/>
              <w:spacing w:line="360" w:lineRule="auto"/>
              <w:jc w:val="center"/>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rPr>
              <w:t>1</w:t>
            </w:r>
            <w:r>
              <w:rPr>
                <w:rFonts w:hint="eastAsia" w:ascii="宋体" w:hAnsi="宋体" w:eastAsia="宋体" w:cs="宋体"/>
                <w:color w:val="auto"/>
                <w:kern w:val="0"/>
                <w:sz w:val="24"/>
                <w:szCs w:val="24"/>
                <w:highlight w:val="none"/>
                <w:lang w:val="en-US" w:eastAsia="zh-CN"/>
              </w:rPr>
              <w:t>4</w:t>
            </w:r>
          </w:p>
        </w:tc>
        <w:tc>
          <w:tcPr>
            <w:tcW w:w="1930" w:type="dxa"/>
            <w:tcBorders>
              <w:top w:val="single" w:color="auto" w:sz="4" w:space="0"/>
              <w:left w:val="single" w:color="auto" w:sz="4" w:space="0"/>
              <w:bottom w:val="single" w:color="auto" w:sz="4" w:space="0"/>
              <w:right w:val="single" w:color="auto" w:sz="4" w:space="0"/>
            </w:tcBorders>
            <w:vAlign w:val="center"/>
          </w:tcPr>
          <w:p w14:paraId="0B11AE41">
            <w:pPr>
              <w:shd w:val="clear" w:color="auto" w:fill="FFFFFF"/>
              <w:autoSpaceDE w:val="0"/>
              <w:autoSpaceDN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履约保证金</w:t>
            </w:r>
          </w:p>
        </w:tc>
        <w:tc>
          <w:tcPr>
            <w:tcW w:w="7243" w:type="dxa"/>
            <w:tcBorders>
              <w:top w:val="single" w:color="auto" w:sz="4" w:space="0"/>
              <w:left w:val="single" w:color="auto" w:sz="4" w:space="0"/>
              <w:bottom w:val="single" w:color="auto" w:sz="4" w:space="0"/>
              <w:right w:val="single" w:color="auto" w:sz="4" w:space="0"/>
            </w:tcBorders>
            <w:vAlign w:val="center"/>
          </w:tcPr>
          <w:p w14:paraId="4842CACA">
            <w:pPr>
              <w:pStyle w:val="89"/>
              <w:keepNext w:val="0"/>
              <w:keepLines w:val="0"/>
              <w:pageBreakBefore w:val="0"/>
              <w:kinsoku/>
              <w:wordWrap/>
              <w:overflowPunct/>
              <w:topLinePunct w:val="0"/>
              <w:bidi w:val="0"/>
              <w:snapToGrid/>
              <w:spacing w:line="440" w:lineRule="exact"/>
              <w:textAlignment w:val="auto"/>
              <w:rPr>
                <w:rFonts w:hint="default" w:ascii="宋体" w:hAnsi="宋体" w:eastAsia="宋体" w:cs="宋体"/>
                <w:color w:val="auto"/>
                <w:kern w:val="2"/>
                <w:sz w:val="24"/>
                <w:szCs w:val="24"/>
                <w:highlight w:val="none"/>
                <w:lang w:val="en-US" w:eastAsia="zh-CN" w:bidi="ar-SA"/>
              </w:rPr>
            </w:pPr>
            <w:r>
              <w:rPr>
                <w:rFonts w:hint="eastAsia" w:ascii="宋体" w:hAnsi="宋体" w:cs="宋体"/>
                <w:color w:val="auto"/>
                <w:kern w:val="2"/>
                <w:sz w:val="24"/>
                <w:szCs w:val="24"/>
                <w:highlight w:val="none"/>
                <w:lang w:val="en-US" w:eastAsia="zh-CN" w:bidi="ar-SA"/>
              </w:rPr>
              <w:t>本项目不适用。</w:t>
            </w:r>
          </w:p>
        </w:tc>
      </w:tr>
      <w:tr w14:paraId="7A36CF9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3" w:hRule="atLeast"/>
          <w:jc w:val="center"/>
        </w:trPr>
        <w:tc>
          <w:tcPr>
            <w:tcW w:w="709" w:type="dxa"/>
            <w:tcBorders>
              <w:top w:val="single" w:color="auto" w:sz="4" w:space="0"/>
              <w:left w:val="single" w:color="auto" w:sz="4" w:space="0"/>
              <w:bottom w:val="single" w:color="auto" w:sz="4" w:space="0"/>
              <w:right w:val="single" w:color="auto" w:sz="4" w:space="0"/>
            </w:tcBorders>
            <w:vAlign w:val="center"/>
          </w:tcPr>
          <w:p w14:paraId="0F28390D">
            <w:pPr>
              <w:shd w:val="clear" w:color="auto" w:fill="FFFFFF"/>
              <w:autoSpaceDE w:val="0"/>
              <w:autoSpaceDN w:val="0"/>
              <w:spacing w:line="360" w:lineRule="auto"/>
              <w:jc w:val="center"/>
              <w:rPr>
                <w:rFonts w:hint="default"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15</w:t>
            </w:r>
          </w:p>
        </w:tc>
        <w:tc>
          <w:tcPr>
            <w:tcW w:w="1930" w:type="dxa"/>
            <w:tcBorders>
              <w:top w:val="single" w:color="auto" w:sz="4" w:space="0"/>
              <w:left w:val="single" w:color="auto" w:sz="4" w:space="0"/>
              <w:bottom w:val="single" w:color="auto" w:sz="4" w:space="0"/>
              <w:right w:val="single" w:color="auto" w:sz="4" w:space="0"/>
            </w:tcBorders>
            <w:vAlign w:val="center"/>
          </w:tcPr>
          <w:p w14:paraId="1689368F">
            <w:pPr>
              <w:shd w:val="clear" w:color="auto" w:fill="FFFFFF"/>
              <w:autoSpaceDE w:val="0"/>
              <w:autoSpaceDN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服务地点</w:t>
            </w:r>
          </w:p>
        </w:tc>
        <w:tc>
          <w:tcPr>
            <w:tcW w:w="7243" w:type="dxa"/>
            <w:tcBorders>
              <w:top w:val="single" w:color="auto" w:sz="4" w:space="0"/>
              <w:left w:val="single" w:color="auto" w:sz="4" w:space="0"/>
              <w:bottom w:val="single" w:color="auto" w:sz="4" w:space="0"/>
              <w:right w:val="single" w:color="auto" w:sz="4" w:space="0"/>
            </w:tcBorders>
            <w:vAlign w:val="center"/>
          </w:tcPr>
          <w:p w14:paraId="197F4958">
            <w:pPr>
              <w:shd w:val="clear" w:color="auto" w:fill="FFFFFF"/>
              <w:autoSpaceDE w:val="0"/>
              <w:autoSpaceDN w:val="0"/>
              <w:spacing w:line="360" w:lineRule="auto"/>
              <w:jc w:val="both"/>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eastAsia="zh-CN"/>
              </w:rPr>
              <w:t>新疆医科大学</w:t>
            </w:r>
            <w:r>
              <w:rPr>
                <w:rFonts w:hint="eastAsia" w:ascii="宋体" w:hAnsi="宋体" w:eastAsia="宋体" w:cs="宋体"/>
                <w:color w:val="auto"/>
                <w:kern w:val="0"/>
                <w:sz w:val="24"/>
                <w:szCs w:val="24"/>
                <w:highlight w:val="none"/>
                <w:lang w:val="en-US" w:eastAsia="zh-CN"/>
              </w:rPr>
              <w:t>雪莲山校区指定地点</w:t>
            </w:r>
            <w:r>
              <w:rPr>
                <w:rFonts w:hint="eastAsia" w:ascii="宋体" w:hAnsi="宋体" w:eastAsia="宋体" w:cs="宋体"/>
                <w:color w:val="auto"/>
                <w:kern w:val="0"/>
                <w:sz w:val="24"/>
                <w:szCs w:val="24"/>
                <w:highlight w:val="none"/>
                <w:lang w:eastAsia="zh-CN"/>
              </w:rPr>
              <w:t>。</w:t>
            </w:r>
          </w:p>
        </w:tc>
      </w:tr>
      <w:tr w14:paraId="741BAD3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09" w:type="dxa"/>
            <w:tcBorders>
              <w:top w:val="single" w:color="auto" w:sz="4" w:space="0"/>
              <w:left w:val="single" w:color="auto" w:sz="4" w:space="0"/>
              <w:bottom w:val="single" w:color="auto" w:sz="4" w:space="0"/>
              <w:right w:val="single" w:color="auto" w:sz="4" w:space="0"/>
            </w:tcBorders>
            <w:vAlign w:val="center"/>
          </w:tcPr>
          <w:p w14:paraId="09285C0C">
            <w:pPr>
              <w:shd w:val="clear" w:color="auto" w:fill="FFFFFF"/>
              <w:autoSpaceDE w:val="0"/>
              <w:autoSpaceDN w:val="0"/>
              <w:spacing w:line="360" w:lineRule="auto"/>
              <w:jc w:val="center"/>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rPr>
              <w:t>1</w:t>
            </w:r>
            <w:r>
              <w:rPr>
                <w:rFonts w:hint="eastAsia" w:ascii="宋体" w:hAnsi="宋体" w:eastAsia="宋体" w:cs="宋体"/>
                <w:color w:val="auto"/>
                <w:kern w:val="0"/>
                <w:sz w:val="24"/>
                <w:szCs w:val="24"/>
                <w:highlight w:val="none"/>
                <w:lang w:val="en-US" w:eastAsia="zh-CN"/>
              </w:rPr>
              <w:t>6</w:t>
            </w:r>
          </w:p>
        </w:tc>
        <w:tc>
          <w:tcPr>
            <w:tcW w:w="1930" w:type="dxa"/>
            <w:tcBorders>
              <w:top w:val="single" w:color="auto" w:sz="4" w:space="0"/>
              <w:left w:val="single" w:color="auto" w:sz="4" w:space="0"/>
              <w:bottom w:val="single" w:color="auto" w:sz="4" w:space="0"/>
              <w:right w:val="single" w:color="auto" w:sz="4" w:space="0"/>
            </w:tcBorders>
            <w:vAlign w:val="center"/>
          </w:tcPr>
          <w:p w14:paraId="48445350">
            <w:pPr>
              <w:shd w:val="clear" w:color="auto" w:fill="FFFFFF"/>
              <w:autoSpaceDE w:val="0"/>
              <w:autoSpaceDN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付款方式</w:t>
            </w:r>
          </w:p>
        </w:tc>
        <w:tc>
          <w:tcPr>
            <w:tcW w:w="7243" w:type="dxa"/>
            <w:tcBorders>
              <w:top w:val="single" w:color="auto" w:sz="4" w:space="0"/>
              <w:left w:val="single" w:color="auto" w:sz="4" w:space="0"/>
              <w:bottom w:val="single" w:color="auto" w:sz="4" w:space="0"/>
              <w:right w:val="single" w:color="auto" w:sz="4" w:space="0"/>
            </w:tcBorders>
            <w:vAlign w:val="center"/>
          </w:tcPr>
          <w:p w14:paraId="0F985B10">
            <w:pPr>
              <w:shd w:val="clear" w:color="auto" w:fill="FFFFFF"/>
              <w:autoSpaceDE w:val="0"/>
              <w:autoSpaceDN w:val="0"/>
              <w:spacing w:line="360" w:lineRule="auto"/>
              <w:jc w:val="both"/>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按照时间周期进行付款，自合同签订并养护至3个月，期间符合甲方执行要求，支付合同款项的50%；待整体养护周期结束并验收合格后，支付合同款剩余部分。</w:t>
            </w:r>
          </w:p>
        </w:tc>
      </w:tr>
      <w:tr w14:paraId="724E1A2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8" w:hRule="atLeast"/>
          <w:jc w:val="center"/>
        </w:trPr>
        <w:tc>
          <w:tcPr>
            <w:tcW w:w="709" w:type="dxa"/>
            <w:tcBorders>
              <w:top w:val="single" w:color="auto" w:sz="4" w:space="0"/>
              <w:left w:val="single" w:color="auto" w:sz="4" w:space="0"/>
              <w:bottom w:val="single" w:color="auto" w:sz="4" w:space="0"/>
              <w:right w:val="single" w:color="auto" w:sz="4" w:space="0"/>
            </w:tcBorders>
            <w:vAlign w:val="center"/>
          </w:tcPr>
          <w:p w14:paraId="5DBC023C">
            <w:pPr>
              <w:shd w:val="clear" w:color="auto" w:fill="FFFFFF"/>
              <w:autoSpaceDE w:val="0"/>
              <w:autoSpaceDN w:val="0"/>
              <w:spacing w:line="360" w:lineRule="auto"/>
              <w:jc w:val="center"/>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rPr>
              <w:t>1</w:t>
            </w:r>
            <w:r>
              <w:rPr>
                <w:rFonts w:hint="eastAsia" w:ascii="宋体" w:hAnsi="宋体" w:eastAsia="宋体" w:cs="宋体"/>
                <w:color w:val="auto"/>
                <w:kern w:val="0"/>
                <w:sz w:val="24"/>
                <w:szCs w:val="24"/>
                <w:highlight w:val="none"/>
                <w:lang w:val="en-US" w:eastAsia="zh-CN"/>
              </w:rPr>
              <w:t>7</w:t>
            </w:r>
          </w:p>
        </w:tc>
        <w:tc>
          <w:tcPr>
            <w:tcW w:w="1930" w:type="dxa"/>
            <w:tcBorders>
              <w:top w:val="single" w:color="auto" w:sz="4" w:space="0"/>
              <w:left w:val="single" w:color="auto" w:sz="4" w:space="0"/>
              <w:bottom w:val="single" w:color="auto" w:sz="4" w:space="0"/>
              <w:right w:val="single" w:color="auto" w:sz="4" w:space="0"/>
            </w:tcBorders>
            <w:vAlign w:val="center"/>
          </w:tcPr>
          <w:p w14:paraId="52AB75C6">
            <w:pPr>
              <w:shd w:val="clear" w:color="auto" w:fill="FFFFFF"/>
              <w:autoSpaceDE w:val="0"/>
              <w:autoSpaceDN w:val="0"/>
              <w:spacing w:line="360" w:lineRule="auto"/>
              <w:jc w:val="center"/>
              <w:rPr>
                <w:rFonts w:hint="eastAsia" w:ascii="宋体" w:hAnsi="宋体" w:eastAsia="宋体" w:cs="宋体"/>
                <w:color w:val="auto"/>
                <w:kern w:val="1"/>
                <w:sz w:val="24"/>
                <w:szCs w:val="24"/>
                <w:highlight w:val="none"/>
              </w:rPr>
            </w:pPr>
            <w:r>
              <w:rPr>
                <w:rFonts w:hint="eastAsia" w:ascii="宋体" w:hAnsi="宋体" w:eastAsia="宋体" w:cs="宋体"/>
                <w:color w:val="auto"/>
                <w:kern w:val="1"/>
                <w:sz w:val="24"/>
                <w:szCs w:val="24"/>
                <w:highlight w:val="none"/>
              </w:rPr>
              <w:t>政府采购政策</w:t>
            </w:r>
          </w:p>
        </w:tc>
        <w:tc>
          <w:tcPr>
            <w:tcW w:w="7243" w:type="dxa"/>
            <w:tcBorders>
              <w:top w:val="single" w:color="auto" w:sz="4" w:space="0"/>
              <w:left w:val="single" w:color="auto" w:sz="4" w:space="0"/>
              <w:bottom w:val="single" w:color="auto" w:sz="4" w:space="0"/>
              <w:right w:val="single" w:color="auto" w:sz="4" w:space="0"/>
            </w:tcBorders>
            <w:vAlign w:val="center"/>
          </w:tcPr>
          <w:p w14:paraId="44A2B27F">
            <w:pPr>
              <w:pStyle w:val="42"/>
              <w:keepNext w:val="0"/>
              <w:keepLines w:val="0"/>
              <w:pageBreakBefore w:val="0"/>
              <w:kinsoku/>
              <w:wordWrap/>
              <w:overflowPunct/>
              <w:topLinePunct w:val="0"/>
              <w:bidi w:val="0"/>
              <w:snapToGrid/>
              <w:spacing w:line="460" w:lineRule="exac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根据财政部发布的《政府采购促进中小企业发展管理办法》（财库〔2020〕46号）、《财政部关于进一步加大政府采购支持中小企业力度的通知》（财库〔2022〕19号）、工信部等部委发布的《关于印发中小企业划型标准规定的通知》（工信部联企业[2011]300号）规定执行</w:t>
            </w:r>
            <w:r>
              <w:rPr>
                <w:rFonts w:hint="eastAsia" w:ascii="宋体" w:hAnsi="宋体" w:eastAsia="宋体" w:cs="宋体"/>
                <w:color w:val="auto"/>
                <w:kern w:val="0"/>
                <w:sz w:val="24"/>
                <w:szCs w:val="24"/>
                <w:highlight w:val="none"/>
                <w:lang w:val="en-US" w:eastAsia="zh-CN"/>
              </w:rPr>
              <w:t>、关于落实好政府采购支持中小企业发展的通知（新财购〔2022〕22号）</w:t>
            </w:r>
            <w:r>
              <w:rPr>
                <w:rFonts w:hint="eastAsia" w:ascii="宋体" w:hAnsi="宋体" w:eastAsia="宋体" w:cs="宋体"/>
                <w:color w:val="auto"/>
                <w:kern w:val="0"/>
                <w:sz w:val="24"/>
                <w:szCs w:val="24"/>
                <w:highlight w:val="none"/>
              </w:rPr>
              <w:t>；</w:t>
            </w:r>
          </w:p>
          <w:p w14:paraId="74EA4113">
            <w:pPr>
              <w:shd w:val="clear" w:color="auto" w:fill="FFFFFF"/>
              <w:autoSpaceDE w:val="0"/>
              <w:autoSpaceDN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lang w:val="en-US" w:eastAsia="zh-CN"/>
              </w:rPr>
              <w:t>2</w:t>
            </w:r>
            <w:r>
              <w:rPr>
                <w:rFonts w:hint="eastAsia" w:ascii="宋体" w:hAnsi="宋体" w:eastAsia="宋体" w:cs="宋体"/>
                <w:color w:val="auto"/>
                <w:kern w:val="0"/>
                <w:sz w:val="24"/>
                <w:szCs w:val="24"/>
                <w:highlight w:val="none"/>
              </w:rPr>
              <w:t>）价格扣除幅度：</w:t>
            </w:r>
            <w:r>
              <w:rPr>
                <w:rFonts w:hint="eastAsia" w:ascii="宋体" w:hAnsi="宋体" w:eastAsia="宋体" w:cs="宋体"/>
                <w:color w:val="auto"/>
                <w:kern w:val="0"/>
                <w:sz w:val="24"/>
                <w:szCs w:val="24"/>
                <w:highlight w:val="none"/>
                <w:lang w:val="en-US" w:eastAsia="zh-CN"/>
              </w:rPr>
              <w:t>无</w:t>
            </w:r>
            <w:r>
              <w:rPr>
                <w:rFonts w:hint="eastAsia" w:ascii="宋体" w:hAnsi="宋体" w:eastAsia="宋体" w:cs="宋体"/>
                <w:color w:val="auto"/>
                <w:kern w:val="0"/>
                <w:sz w:val="24"/>
                <w:szCs w:val="24"/>
                <w:highlight w:val="none"/>
              </w:rPr>
              <w:t>。</w:t>
            </w:r>
          </w:p>
          <w:p w14:paraId="1919A902">
            <w:pPr>
              <w:shd w:val="clear" w:color="auto" w:fill="FFFFFF"/>
              <w:autoSpaceDE w:val="0"/>
              <w:autoSpaceDN w:val="0"/>
              <w:spacing w:line="360" w:lineRule="auto"/>
              <w:jc w:val="left"/>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rPr>
              <w:t>（3）</w:t>
            </w:r>
            <w:r>
              <w:rPr>
                <w:rFonts w:hint="eastAsia" w:ascii="宋体" w:hAnsi="宋体" w:eastAsia="宋体" w:cs="宋体"/>
                <w:b/>
                <w:bCs/>
                <w:color w:val="auto"/>
                <w:kern w:val="0"/>
                <w:sz w:val="24"/>
                <w:szCs w:val="24"/>
                <w:highlight w:val="none"/>
              </w:rPr>
              <w:t>本项目所属行业：农、林、牧、渔业</w:t>
            </w:r>
            <w:r>
              <w:rPr>
                <w:rFonts w:hint="eastAsia" w:ascii="宋体" w:hAnsi="宋体" w:eastAsia="宋体" w:cs="宋体"/>
                <w:b/>
                <w:bCs/>
                <w:color w:val="auto"/>
                <w:kern w:val="0"/>
                <w:sz w:val="24"/>
                <w:szCs w:val="24"/>
                <w:highlight w:val="none"/>
                <w:lang w:eastAsia="zh-CN"/>
              </w:rPr>
              <w:t>。</w:t>
            </w:r>
          </w:p>
          <w:p w14:paraId="20AAFCE8">
            <w:pPr>
              <w:shd w:val="clear" w:color="auto" w:fill="FFFFFF"/>
              <w:autoSpaceDE w:val="0"/>
              <w:autoSpaceDN w:val="0"/>
              <w:spacing w:line="360" w:lineRule="auto"/>
              <w:jc w:val="left"/>
              <w:rPr>
                <w:rFonts w:hint="eastAsia" w:ascii="宋体" w:hAnsi="宋体" w:eastAsia="宋体" w:cs="宋体"/>
                <w:color w:val="auto"/>
                <w:kern w:val="1"/>
                <w:sz w:val="24"/>
                <w:szCs w:val="24"/>
                <w:highlight w:val="none"/>
                <w:lang w:val="en-US" w:eastAsia="zh-CN"/>
              </w:rPr>
            </w:pPr>
            <w:r>
              <w:rPr>
                <w:rFonts w:hint="eastAsia" w:ascii="宋体" w:hAnsi="宋体" w:eastAsia="宋体" w:cs="宋体"/>
                <w:color w:val="auto"/>
                <w:kern w:val="0"/>
                <w:sz w:val="24"/>
                <w:szCs w:val="24"/>
                <w:highlight w:val="none"/>
              </w:rPr>
              <w:t>（4）</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应按照采购文件格式要求提供《中小企业声明函》，否则不享受相应政策，并对提交的《中小企业声明函》的真实性负责，提交的《中小企业声明函》不真实的，应承担相应的法律责任。</w:t>
            </w:r>
          </w:p>
        </w:tc>
      </w:tr>
      <w:tr w14:paraId="6DBF2B9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8" w:hRule="atLeast"/>
          <w:jc w:val="center"/>
        </w:trPr>
        <w:tc>
          <w:tcPr>
            <w:tcW w:w="709" w:type="dxa"/>
            <w:tcBorders>
              <w:top w:val="single" w:color="auto" w:sz="4" w:space="0"/>
              <w:left w:val="single" w:color="auto" w:sz="4" w:space="0"/>
              <w:bottom w:val="single" w:color="auto" w:sz="4" w:space="0"/>
              <w:right w:val="single" w:color="auto" w:sz="4" w:space="0"/>
            </w:tcBorders>
            <w:vAlign w:val="center"/>
          </w:tcPr>
          <w:p w14:paraId="1C195C2B">
            <w:pPr>
              <w:shd w:val="clear" w:color="auto" w:fill="FFFFFF"/>
              <w:autoSpaceDE w:val="0"/>
              <w:autoSpaceDN w:val="0"/>
              <w:spacing w:line="360" w:lineRule="auto"/>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18</w:t>
            </w:r>
          </w:p>
        </w:tc>
        <w:tc>
          <w:tcPr>
            <w:tcW w:w="1930" w:type="dxa"/>
            <w:tcBorders>
              <w:top w:val="single" w:color="auto" w:sz="4" w:space="0"/>
              <w:left w:val="single" w:color="auto" w:sz="4" w:space="0"/>
              <w:bottom w:val="single" w:color="auto" w:sz="4" w:space="0"/>
              <w:right w:val="single" w:color="auto" w:sz="4" w:space="0"/>
            </w:tcBorders>
            <w:vAlign w:val="center"/>
          </w:tcPr>
          <w:p w14:paraId="177671BD">
            <w:pPr>
              <w:shd w:val="clear" w:color="auto" w:fill="FFFFFF"/>
              <w:autoSpaceDE w:val="0"/>
              <w:autoSpaceDN w:val="0"/>
              <w:spacing w:line="360" w:lineRule="auto"/>
              <w:jc w:val="center"/>
              <w:rPr>
                <w:rFonts w:hint="eastAsia" w:ascii="宋体" w:hAnsi="宋体" w:eastAsia="宋体" w:cs="宋体"/>
                <w:color w:val="auto"/>
                <w:kern w:val="1"/>
                <w:sz w:val="24"/>
                <w:szCs w:val="24"/>
                <w:highlight w:val="none"/>
              </w:rPr>
            </w:pPr>
            <w:r>
              <w:rPr>
                <w:rFonts w:hint="eastAsia" w:ascii="宋体" w:hAnsi="宋体" w:eastAsia="宋体" w:cs="宋体"/>
                <w:color w:val="auto"/>
                <w:kern w:val="0"/>
                <w:sz w:val="24"/>
                <w:szCs w:val="24"/>
                <w:highlight w:val="none"/>
                <w:lang w:val="en-US" w:eastAsia="zh-CN" w:bidi="ar-SA"/>
              </w:rPr>
              <w:t>低于成本价不正当竞争预防措施(实质性要求)</w:t>
            </w:r>
          </w:p>
        </w:tc>
        <w:tc>
          <w:tcPr>
            <w:tcW w:w="7243" w:type="dxa"/>
            <w:tcBorders>
              <w:top w:val="single" w:color="auto" w:sz="4" w:space="0"/>
              <w:left w:val="single" w:color="auto" w:sz="4" w:space="0"/>
              <w:bottom w:val="single" w:color="auto" w:sz="4" w:space="0"/>
              <w:right w:val="single" w:color="auto" w:sz="4" w:space="0"/>
            </w:tcBorders>
            <w:vAlign w:val="center"/>
          </w:tcPr>
          <w:p w14:paraId="1B1FF361">
            <w:pPr>
              <w:pStyle w:val="46"/>
              <w:spacing w:line="360" w:lineRule="exact"/>
              <w:rPr>
                <w:rFonts w:hint="eastAsia" w:ascii="宋体" w:hAnsi="宋体" w:eastAsia="宋体" w:cs="宋体"/>
                <w:b w:val="0"/>
                <w:bCs/>
                <w:color w:val="auto"/>
                <w:sz w:val="24"/>
                <w:szCs w:val="24"/>
                <w:highlight w:val="none"/>
                <w:lang w:eastAsia="zh-CN"/>
              </w:rPr>
            </w:pPr>
            <w:r>
              <w:rPr>
                <w:rFonts w:hint="eastAsia" w:ascii="宋体" w:hAnsi="宋体" w:eastAsia="宋体" w:cs="宋体"/>
                <w:b w:val="0"/>
                <w:bCs/>
                <w:color w:val="auto"/>
                <w:sz w:val="24"/>
                <w:szCs w:val="24"/>
                <w:highlight w:val="none"/>
                <w:lang w:eastAsia="zh-CN"/>
              </w:rPr>
              <w:t>在评审过程中，磋商小组认为</w:t>
            </w:r>
            <w:r>
              <w:rPr>
                <w:rFonts w:hint="eastAsia" w:ascii="宋体" w:hAnsi="宋体" w:eastAsia="宋体" w:cs="宋体"/>
                <w:b w:val="0"/>
                <w:bCs/>
                <w:color w:val="auto"/>
                <w:sz w:val="24"/>
                <w:szCs w:val="24"/>
                <w:highlight w:val="none"/>
                <w:lang w:val="en-US" w:eastAsia="zh-CN"/>
              </w:rPr>
              <w:t>供应商</w:t>
            </w:r>
            <w:r>
              <w:rPr>
                <w:rFonts w:hint="eastAsia" w:ascii="宋体" w:hAnsi="宋体" w:eastAsia="宋体" w:cs="宋体"/>
                <w:b w:val="0"/>
                <w:bCs/>
                <w:color w:val="auto"/>
                <w:sz w:val="24"/>
                <w:szCs w:val="24"/>
                <w:highlight w:val="none"/>
                <w:lang w:eastAsia="zh-CN"/>
              </w:rPr>
              <w:t>报价低于成本价，有可能影响产品质量或者不能诚信履约的，磋商小组应当要求其在评标现场合理的时间内提供成本构成书面说明，并提交相关证明材料。供应商书面说明应当按照国家财务会计制度的规定要求，逐项就供应商提供的货物、工程和服务的主营业务成本(应根据供应商企业类型予以区别)、税金及附加、销售费用、管理费用、财务费用等成本构成事项详细陈述。供应商书面说明应当签字确认或者加盖公章，否则无效。书面说明的签字确认，供应商为法人的，由其法定代表人或者代理人签字确认;供应商为其他组织的，由其主要负责人或者代理人签字确认;供应商为自然人的，由其本人或者代理人签字确认。</w:t>
            </w:r>
          </w:p>
          <w:p w14:paraId="2FA7B8DC">
            <w:pPr>
              <w:pStyle w:val="46"/>
              <w:spacing w:line="360" w:lineRule="exact"/>
              <w:rPr>
                <w:rFonts w:hint="eastAsia" w:ascii="宋体" w:hAnsi="宋体" w:eastAsia="宋体" w:cs="宋体"/>
                <w:b/>
                <w:bCs/>
                <w:color w:val="auto"/>
                <w:kern w:val="1"/>
                <w:sz w:val="24"/>
                <w:szCs w:val="24"/>
                <w:highlight w:val="none"/>
                <w:lang w:val="en-US" w:eastAsia="zh-CN"/>
              </w:rPr>
            </w:pPr>
            <w:r>
              <w:rPr>
                <w:rFonts w:hint="eastAsia" w:ascii="宋体" w:hAnsi="宋体" w:eastAsia="宋体" w:cs="宋体"/>
                <w:b w:val="0"/>
                <w:bCs/>
                <w:color w:val="auto"/>
                <w:sz w:val="24"/>
                <w:szCs w:val="24"/>
                <w:highlight w:val="none"/>
                <w:lang w:eastAsia="zh-CN"/>
              </w:rPr>
              <w:t>供应商提供书面说明后，磋商小组应当结合采购项目采购需求、专业实际情况、供应商财务状况报告、与其他供应商比较情况等就供应商书面说明进行审查评价。供应商拒绝或者变相拒绝提供有效书面说明或者书面说明不能证明其报价合理性的，磋商小组应当将其响应文件作为无效处理。</w:t>
            </w:r>
          </w:p>
        </w:tc>
      </w:tr>
      <w:tr w14:paraId="6759033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8" w:hRule="atLeast"/>
          <w:jc w:val="center"/>
        </w:trPr>
        <w:tc>
          <w:tcPr>
            <w:tcW w:w="709" w:type="dxa"/>
            <w:tcBorders>
              <w:top w:val="single" w:color="auto" w:sz="4" w:space="0"/>
              <w:left w:val="single" w:color="auto" w:sz="4" w:space="0"/>
              <w:bottom w:val="single" w:color="auto" w:sz="4" w:space="0"/>
              <w:right w:val="single" w:color="auto" w:sz="4" w:space="0"/>
            </w:tcBorders>
            <w:vAlign w:val="center"/>
          </w:tcPr>
          <w:p w14:paraId="6A2E3227">
            <w:pPr>
              <w:shd w:val="clear" w:color="auto" w:fill="FFFFFF"/>
              <w:autoSpaceDE w:val="0"/>
              <w:autoSpaceDN w:val="0"/>
              <w:spacing w:line="360" w:lineRule="auto"/>
              <w:jc w:val="center"/>
              <w:rPr>
                <w:rFonts w:hint="default"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19</w:t>
            </w:r>
          </w:p>
        </w:tc>
        <w:tc>
          <w:tcPr>
            <w:tcW w:w="1930" w:type="dxa"/>
            <w:tcBorders>
              <w:top w:val="single" w:color="auto" w:sz="4" w:space="0"/>
              <w:left w:val="single" w:color="auto" w:sz="4" w:space="0"/>
              <w:bottom w:val="single" w:color="auto" w:sz="4" w:space="0"/>
              <w:right w:val="single" w:color="auto" w:sz="4" w:space="0"/>
            </w:tcBorders>
            <w:vAlign w:val="center"/>
          </w:tcPr>
          <w:p w14:paraId="30F19102">
            <w:pPr>
              <w:pStyle w:val="42"/>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其他说明</w:t>
            </w:r>
          </w:p>
        </w:tc>
        <w:tc>
          <w:tcPr>
            <w:tcW w:w="7243" w:type="dxa"/>
            <w:tcBorders>
              <w:top w:val="single" w:color="auto" w:sz="4" w:space="0"/>
              <w:left w:val="single" w:color="auto" w:sz="4" w:space="0"/>
              <w:bottom w:val="single" w:color="auto" w:sz="4" w:space="0"/>
              <w:right w:val="single" w:color="auto" w:sz="4" w:space="0"/>
            </w:tcBorders>
            <w:vAlign w:val="center"/>
          </w:tcPr>
          <w:p w14:paraId="27E84F2C">
            <w:pPr>
              <w:pStyle w:val="42"/>
              <w:spacing w:line="360" w:lineRule="auto"/>
              <w:jc w:val="left"/>
              <w:rPr>
                <w:rFonts w:hint="eastAsia" w:ascii="宋体" w:hAnsi="宋体" w:eastAsia="宋体" w:cs="宋体"/>
                <w:color w:val="auto"/>
                <w:kern w:val="0"/>
                <w:sz w:val="24"/>
                <w:szCs w:val="24"/>
                <w:highlight w:val="none"/>
                <w:lang w:eastAsia="zh-CN"/>
              </w:rPr>
            </w:pPr>
            <w:r>
              <w:rPr>
                <w:rFonts w:hint="eastAsia" w:ascii="宋体" w:hAnsi="宋体" w:cs="宋体"/>
                <w:color w:val="auto"/>
                <w:kern w:val="0"/>
                <w:sz w:val="24"/>
                <w:szCs w:val="24"/>
                <w:highlight w:val="none"/>
                <w:lang w:val="en-US" w:eastAsia="zh-CN"/>
              </w:rPr>
              <w:t>无</w:t>
            </w:r>
          </w:p>
        </w:tc>
      </w:tr>
      <w:tr w14:paraId="6D8D660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709" w:type="dxa"/>
            <w:tcBorders>
              <w:top w:val="single" w:color="auto" w:sz="4" w:space="0"/>
              <w:left w:val="single" w:color="auto" w:sz="4" w:space="0"/>
              <w:bottom w:val="single" w:color="auto" w:sz="4" w:space="0"/>
              <w:right w:val="single" w:color="auto" w:sz="4" w:space="0"/>
            </w:tcBorders>
            <w:vAlign w:val="center"/>
          </w:tcPr>
          <w:p w14:paraId="562FF254">
            <w:pPr>
              <w:shd w:val="clear" w:color="auto" w:fill="FFFFFF"/>
              <w:autoSpaceDE w:val="0"/>
              <w:autoSpaceDN w:val="0"/>
              <w:spacing w:line="360" w:lineRule="auto"/>
              <w:jc w:val="center"/>
              <w:rPr>
                <w:rFonts w:hint="default"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20</w:t>
            </w:r>
          </w:p>
        </w:tc>
        <w:tc>
          <w:tcPr>
            <w:tcW w:w="9173" w:type="dxa"/>
            <w:gridSpan w:val="2"/>
            <w:tcBorders>
              <w:top w:val="single" w:color="auto" w:sz="4" w:space="0"/>
              <w:left w:val="single" w:color="auto" w:sz="4" w:space="0"/>
              <w:bottom w:val="single" w:color="auto" w:sz="4" w:space="0"/>
              <w:right w:val="single" w:color="auto" w:sz="4" w:space="0"/>
            </w:tcBorders>
            <w:vAlign w:val="center"/>
          </w:tcPr>
          <w:p w14:paraId="2F7921DB">
            <w:pPr>
              <w:pStyle w:val="43"/>
              <w:spacing w:line="360" w:lineRule="auto"/>
              <w:jc w:val="both"/>
              <w:rPr>
                <w:rFonts w:hint="eastAsia" w:ascii="宋体" w:hAnsi="宋体" w:eastAsia="宋体" w:cs="宋体"/>
                <w:color w:val="auto"/>
                <w:kern w:val="2"/>
                <w:sz w:val="24"/>
                <w:szCs w:val="24"/>
                <w:highlight w:val="none"/>
              </w:rPr>
            </w:pPr>
            <w:r>
              <w:rPr>
                <w:rFonts w:hint="eastAsia" w:ascii="宋体" w:hAnsi="宋体" w:eastAsia="宋体" w:cs="宋体"/>
                <w:color w:val="auto"/>
                <w:kern w:val="1"/>
                <w:sz w:val="24"/>
                <w:szCs w:val="24"/>
                <w:highlight w:val="none"/>
              </w:rPr>
              <w:t>在评审过程直至签订合同前的任何时间，如经证实发现供应商提供虚假投标资料(包括技术支持资料)或信息骗取成交的，或者未按本竞争性磋商文件要求提交履约保证金的（如有要求），将取消其成交资格，没收其磋商保证金，并报主管部门备案。</w:t>
            </w:r>
          </w:p>
        </w:tc>
      </w:tr>
      <w:tr w14:paraId="78A56E2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65" w:hRule="atLeast"/>
          <w:jc w:val="center"/>
        </w:trPr>
        <w:tc>
          <w:tcPr>
            <w:tcW w:w="709" w:type="dxa"/>
            <w:tcBorders>
              <w:top w:val="single" w:color="auto" w:sz="4" w:space="0"/>
              <w:left w:val="single" w:color="auto" w:sz="4" w:space="0"/>
              <w:bottom w:val="single" w:color="auto" w:sz="4" w:space="0"/>
              <w:right w:val="single" w:color="auto" w:sz="4" w:space="0"/>
            </w:tcBorders>
            <w:vAlign w:val="center"/>
          </w:tcPr>
          <w:p w14:paraId="15794E66">
            <w:pPr>
              <w:shd w:val="clear" w:color="auto" w:fill="FFFFFF"/>
              <w:autoSpaceDE w:val="0"/>
              <w:autoSpaceDN w:val="0"/>
              <w:spacing w:line="360" w:lineRule="auto"/>
              <w:jc w:val="center"/>
              <w:rPr>
                <w:rFonts w:hint="default"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21</w:t>
            </w:r>
          </w:p>
        </w:tc>
        <w:tc>
          <w:tcPr>
            <w:tcW w:w="9173" w:type="dxa"/>
            <w:gridSpan w:val="2"/>
            <w:tcBorders>
              <w:top w:val="single" w:color="auto" w:sz="4" w:space="0"/>
              <w:left w:val="single" w:color="auto" w:sz="4" w:space="0"/>
              <w:bottom w:val="single" w:color="auto" w:sz="4" w:space="0"/>
              <w:right w:val="single" w:color="auto" w:sz="4" w:space="0"/>
            </w:tcBorders>
            <w:vAlign w:val="center"/>
          </w:tcPr>
          <w:p w14:paraId="760D6656">
            <w:pPr>
              <w:pStyle w:val="43"/>
              <w:spacing w:line="360" w:lineRule="auto"/>
              <w:jc w:val="both"/>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注意事项：</w:t>
            </w:r>
          </w:p>
          <w:p w14:paraId="5014664E">
            <w:pPr>
              <w:pStyle w:val="43"/>
              <w:numPr>
                <w:ilvl w:val="0"/>
                <w:numId w:val="6"/>
              </w:numPr>
              <w:spacing w:line="360" w:lineRule="auto"/>
              <w:jc w:val="both"/>
              <w:rPr>
                <w:rFonts w:hint="eastAsia" w:ascii="宋体" w:hAnsi="宋体" w:eastAsia="宋体" w:cs="宋体"/>
                <w:b/>
                <w:color w:val="auto"/>
                <w:kern w:val="1"/>
                <w:sz w:val="24"/>
                <w:szCs w:val="24"/>
                <w:highlight w:val="none"/>
              </w:rPr>
            </w:pPr>
            <w:r>
              <w:rPr>
                <w:rFonts w:hint="eastAsia" w:ascii="宋体" w:hAnsi="宋体" w:eastAsia="宋体" w:cs="宋体"/>
                <w:b/>
                <w:color w:val="auto"/>
                <w:kern w:val="1"/>
                <w:sz w:val="24"/>
                <w:szCs w:val="24"/>
                <w:highlight w:val="none"/>
              </w:rPr>
              <w:t>电子标书加盖</w:t>
            </w:r>
            <w:r>
              <w:rPr>
                <w:rFonts w:hint="eastAsia" w:ascii="宋体" w:hAnsi="宋体" w:eastAsia="宋体" w:cs="宋体"/>
                <w:b/>
                <w:color w:val="auto"/>
                <w:kern w:val="1"/>
                <w:sz w:val="24"/>
                <w:szCs w:val="24"/>
                <w:highlight w:val="none"/>
                <w:lang w:val="en-US" w:eastAsia="zh-CN"/>
              </w:rPr>
              <w:t>印</w:t>
            </w:r>
            <w:r>
              <w:rPr>
                <w:rFonts w:hint="eastAsia" w:ascii="宋体" w:hAnsi="宋体" w:eastAsia="宋体" w:cs="宋体"/>
                <w:b/>
                <w:color w:val="auto"/>
                <w:kern w:val="1"/>
                <w:sz w:val="24"/>
                <w:szCs w:val="24"/>
                <w:highlight w:val="none"/>
              </w:rPr>
              <w:t>章的两种方式:一种为电子章；另一种为纸质版盖章后扫描，两种方式的任意一种在评审时均予认可。</w:t>
            </w:r>
          </w:p>
          <w:p w14:paraId="0367EEB9">
            <w:pPr>
              <w:pStyle w:val="43"/>
              <w:numPr>
                <w:ilvl w:val="0"/>
                <w:numId w:val="6"/>
              </w:numPr>
              <w:spacing w:line="360" w:lineRule="auto"/>
              <w:jc w:val="both"/>
              <w:rPr>
                <w:rFonts w:hint="eastAsia" w:ascii="宋体" w:hAnsi="宋体" w:eastAsia="宋体" w:cs="宋体"/>
                <w:b/>
                <w:bCs/>
                <w:color w:val="auto"/>
                <w:kern w:val="2"/>
                <w:sz w:val="24"/>
                <w:szCs w:val="24"/>
                <w:highlight w:val="none"/>
              </w:rPr>
            </w:pPr>
            <w:r>
              <w:rPr>
                <w:rFonts w:hint="eastAsia" w:ascii="宋体" w:hAnsi="宋体" w:eastAsia="宋体" w:cs="宋体"/>
                <w:b/>
                <w:bCs/>
                <w:color w:val="auto"/>
                <w:kern w:val="2"/>
                <w:sz w:val="24"/>
                <w:szCs w:val="24"/>
                <w:highlight w:val="none"/>
              </w:rPr>
              <w:t>潜在供应商领取文件须提前完成注册、CA证书和电子签章申领和绑定、下载投标客户端。因未注册入库、未办理CA数字证书、CA证书故障、操作不当等原因造成无法投标或投标失败等后果由供应商自行承担。CA证书办理可通过在线APP“新疆政务通”或新疆CA网点办理CA数字证书和电子签章；若单位已经办理过新疆CA证书且证书符合国产密码算法要求，可直接联系发证机构，申请增加“政采云”招投标电子签章，无需重新办理。</w:t>
            </w:r>
          </w:p>
          <w:p w14:paraId="669B6480">
            <w:pPr>
              <w:pStyle w:val="43"/>
              <w:numPr>
                <w:ilvl w:val="0"/>
                <w:numId w:val="6"/>
              </w:numPr>
              <w:spacing w:line="360" w:lineRule="auto"/>
              <w:jc w:val="both"/>
              <w:rPr>
                <w:rFonts w:hint="eastAsia" w:ascii="宋体" w:hAnsi="宋体" w:eastAsia="宋体" w:cs="宋体"/>
                <w:b/>
                <w:bCs/>
                <w:color w:val="auto"/>
                <w:kern w:val="2"/>
                <w:sz w:val="24"/>
                <w:szCs w:val="24"/>
                <w:highlight w:val="none"/>
              </w:rPr>
            </w:pPr>
            <w:r>
              <w:rPr>
                <w:rFonts w:hint="eastAsia" w:ascii="宋体" w:hAnsi="宋体" w:eastAsia="宋体" w:cs="宋体"/>
                <w:b/>
                <w:bCs/>
                <w:color w:val="auto"/>
                <w:kern w:val="2"/>
                <w:sz w:val="24"/>
                <w:szCs w:val="24"/>
                <w:highlight w:val="none"/>
              </w:rPr>
              <w:t>供应商操作指南详见</w:t>
            </w:r>
            <w:r>
              <w:rPr>
                <w:rFonts w:hint="eastAsia" w:ascii="宋体" w:hAnsi="宋体" w:eastAsia="宋体" w:cs="宋体"/>
                <w:b/>
                <w:bCs/>
                <w:color w:val="auto"/>
                <w:kern w:val="2"/>
                <w:sz w:val="24"/>
                <w:szCs w:val="24"/>
                <w:highlight w:val="none"/>
                <w:lang w:eastAsia="zh-CN"/>
              </w:rPr>
              <w:t>新疆政府采购网</w:t>
            </w:r>
            <w:r>
              <w:rPr>
                <w:rFonts w:hint="eastAsia" w:ascii="宋体" w:hAnsi="宋体" w:eastAsia="宋体" w:cs="宋体"/>
                <w:b/>
                <w:bCs/>
                <w:color w:val="auto"/>
                <w:kern w:val="2"/>
                <w:sz w:val="24"/>
                <w:szCs w:val="24"/>
                <w:highlight w:val="none"/>
              </w:rPr>
              <w:t>（</w:t>
            </w:r>
            <w:r>
              <w:rPr>
                <w:rFonts w:hint="eastAsia" w:ascii="宋体" w:hAnsi="宋体" w:eastAsia="宋体" w:cs="宋体"/>
                <w:b/>
                <w:bCs/>
                <w:color w:val="auto"/>
                <w:kern w:val="2"/>
                <w:sz w:val="24"/>
                <w:szCs w:val="24"/>
                <w:highlight w:val="none"/>
                <w:lang w:eastAsia="zh-CN"/>
              </w:rPr>
              <w:t>http://w</w:t>
            </w:r>
            <w:bookmarkStart w:id="232" w:name="_GoBack"/>
            <w:bookmarkEnd w:id="232"/>
            <w:r>
              <w:rPr>
                <w:rFonts w:hint="eastAsia" w:ascii="宋体" w:hAnsi="宋体" w:eastAsia="宋体" w:cs="宋体"/>
                <w:b/>
                <w:bCs/>
                <w:color w:val="auto"/>
                <w:kern w:val="2"/>
                <w:sz w:val="24"/>
                <w:szCs w:val="24"/>
                <w:highlight w:val="none"/>
                <w:lang w:eastAsia="zh-CN"/>
              </w:rPr>
              <w:t>ww.ccgp-xinjiang.gov.cn/</w:t>
            </w:r>
            <w:r>
              <w:rPr>
                <w:rFonts w:hint="eastAsia" w:ascii="宋体" w:hAnsi="宋体" w:eastAsia="宋体" w:cs="宋体"/>
                <w:b/>
                <w:bCs/>
                <w:color w:val="auto"/>
                <w:kern w:val="2"/>
                <w:sz w:val="24"/>
                <w:szCs w:val="24"/>
                <w:highlight w:val="none"/>
              </w:rPr>
              <w:t>）—办事指南—操作指南</w:t>
            </w:r>
          </w:p>
          <w:p w14:paraId="1329AC7B">
            <w:pPr>
              <w:pStyle w:val="43"/>
              <w:numPr>
                <w:ilvl w:val="0"/>
                <w:numId w:val="6"/>
              </w:numPr>
              <w:spacing w:line="360" w:lineRule="auto"/>
              <w:jc w:val="both"/>
              <w:rPr>
                <w:rFonts w:hint="eastAsia" w:ascii="宋体" w:hAnsi="宋体" w:eastAsia="宋体" w:cs="宋体"/>
                <w:b/>
                <w:bCs/>
                <w:color w:val="auto"/>
                <w:kern w:val="2"/>
                <w:sz w:val="24"/>
                <w:szCs w:val="24"/>
                <w:highlight w:val="none"/>
              </w:rPr>
            </w:pPr>
            <w:r>
              <w:rPr>
                <w:rFonts w:hint="eastAsia" w:ascii="宋体" w:hAnsi="宋体" w:eastAsia="宋体" w:cs="宋体"/>
                <w:b/>
                <w:bCs/>
                <w:color w:val="auto"/>
                <w:kern w:val="2"/>
                <w:sz w:val="24"/>
                <w:szCs w:val="24"/>
                <w:highlight w:val="none"/>
              </w:rPr>
              <w:t>系统操作问题请咨询技术支持电话0991-2899144，CA办理问题请咨询新疆CA服务电话0991-2819290，或加QQ号800175577。</w:t>
            </w:r>
          </w:p>
          <w:p w14:paraId="66FF3DFA">
            <w:pPr>
              <w:pStyle w:val="43"/>
              <w:numPr>
                <w:ilvl w:val="0"/>
                <w:numId w:val="6"/>
              </w:numPr>
              <w:spacing w:line="360" w:lineRule="auto"/>
              <w:jc w:val="both"/>
              <w:rPr>
                <w:rFonts w:hint="eastAsia" w:ascii="宋体" w:hAnsi="宋体" w:eastAsia="宋体" w:cs="宋体"/>
                <w:b/>
                <w:bCs/>
                <w:color w:val="auto"/>
                <w:kern w:val="2"/>
                <w:sz w:val="24"/>
                <w:szCs w:val="24"/>
                <w:highlight w:val="none"/>
              </w:rPr>
            </w:pPr>
            <w:r>
              <w:rPr>
                <w:rFonts w:hint="eastAsia" w:ascii="宋体" w:hAnsi="宋体" w:eastAsia="宋体" w:cs="宋体"/>
                <w:b/>
                <w:bCs/>
                <w:color w:val="auto"/>
                <w:kern w:val="2"/>
                <w:sz w:val="24"/>
                <w:szCs w:val="24"/>
                <w:highlight w:val="none"/>
              </w:rPr>
              <w:t>为支持和促进中小企业发展，进一步发挥政府采购政策功能，鼓励金融机构积极开发灵活适用的政府采购金融服务产品，拓宽企业融资渠道。鼓励供应商使用政采云电子保函代替现金缴纳</w:t>
            </w:r>
            <w:r>
              <w:rPr>
                <w:rFonts w:hint="eastAsia" w:ascii="宋体" w:hAnsi="宋体" w:eastAsia="宋体" w:cs="宋体"/>
                <w:b/>
                <w:bCs/>
                <w:color w:val="auto"/>
                <w:kern w:val="2"/>
                <w:sz w:val="24"/>
                <w:szCs w:val="24"/>
                <w:highlight w:val="none"/>
                <w:lang w:eastAsia="zh-CN"/>
              </w:rPr>
              <w:t>磋商保证金</w:t>
            </w:r>
            <w:r>
              <w:rPr>
                <w:rFonts w:hint="eastAsia" w:ascii="宋体" w:hAnsi="宋体" w:eastAsia="宋体" w:cs="宋体"/>
                <w:b/>
                <w:bCs/>
                <w:color w:val="auto"/>
                <w:kern w:val="2"/>
                <w:sz w:val="24"/>
                <w:szCs w:val="24"/>
                <w:highlight w:val="none"/>
              </w:rPr>
              <w:t>，如履约保证金与预付款保证金等，具体可登录【新疆政府采购网】-【电子保函】模块查看：直达链接：</w:t>
            </w:r>
          </w:p>
          <w:p w14:paraId="434288E8">
            <w:pPr>
              <w:pStyle w:val="43"/>
              <w:numPr>
                <w:ilvl w:val="0"/>
                <w:numId w:val="0"/>
              </w:numPr>
              <w:spacing w:line="360" w:lineRule="auto"/>
              <w:jc w:val="both"/>
              <w:rPr>
                <w:rFonts w:hint="eastAsia" w:ascii="宋体" w:hAnsi="宋体" w:eastAsia="宋体" w:cs="宋体"/>
                <w:color w:val="auto"/>
                <w:kern w:val="2"/>
                <w:sz w:val="24"/>
                <w:szCs w:val="24"/>
                <w:highlight w:val="none"/>
              </w:rPr>
            </w:pPr>
            <w:r>
              <w:rPr>
                <w:rFonts w:hint="eastAsia" w:ascii="宋体" w:hAnsi="宋体" w:eastAsia="宋体" w:cs="宋体"/>
                <w:b/>
                <w:bCs/>
                <w:color w:val="auto"/>
                <w:kern w:val="2"/>
                <w:sz w:val="24"/>
                <w:szCs w:val="24"/>
                <w:highlight w:val="none"/>
              </w:rPr>
              <w:fldChar w:fldCharType="begin"/>
            </w:r>
            <w:r>
              <w:rPr>
                <w:rFonts w:hint="eastAsia" w:ascii="宋体" w:hAnsi="宋体" w:eastAsia="宋体" w:cs="宋体"/>
                <w:b/>
                <w:bCs/>
                <w:color w:val="auto"/>
                <w:kern w:val="2"/>
                <w:sz w:val="24"/>
                <w:szCs w:val="24"/>
                <w:highlight w:val="none"/>
              </w:rPr>
              <w:instrText xml:space="preserve"> HYPERLINK "https://jinrong.zcygov.cn/luban/finance/letter/xinjiang?pageModelFlag=650000" </w:instrText>
            </w:r>
            <w:r>
              <w:rPr>
                <w:rFonts w:hint="eastAsia" w:ascii="宋体" w:hAnsi="宋体" w:eastAsia="宋体" w:cs="宋体"/>
                <w:b/>
                <w:bCs/>
                <w:color w:val="auto"/>
                <w:kern w:val="2"/>
                <w:sz w:val="24"/>
                <w:szCs w:val="24"/>
                <w:highlight w:val="none"/>
              </w:rPr>
              <w:fldChar w:fldCharType="separate"/>
            </w:r>
            <w:r>
              <w:rPr>
                <w:rStyle w:val="30"/>
                <w:rFonts w:hint="eastAsia" w:ascii="宋体" w:hAnsi="宋体" w:eastAsia="宋体" w:cs="宋体"/>
                <w:b/>
                <w:bCs/>
                <w:color w:val="auto"/>
                <w:kern w:val="2"/>
                <w:sz w:val="24"/>
                <w:szCs w:val="24"/>
                <w:highlight w:val="none"/>
              </w:rPr>
              <w:t>https://jinrong.zcygov.cn/luban/finance/letter/xinjiang?pageModelFlag=650000</w:t>
            </w:r>
            <w:r>
              <w:rPr>
                <w:rFonts w:hint="eastAsia" w:ascii="宋体" w:hAnsi="宋体" w:eastAsia="宋体" w:cs="宋体"/>
                <w:b/>
                <w:bCs/>
                <w:color w:val="auto"/>
                <w:kern w:val="2"/>
                <w:sz w:val="24"/>
                <w:szCs w:val="24"/>
                <w:highlight w:val="none"/>
              </w:rPr>
              <w:fldChar w:fldCharType="end"/>
            </w:r>
          </w:p>
          <w:p w14:paraId="08813ACA">
            <w:pPr>
              <w:pStyle w:val="43"/>
              <w:numPr>
                <w:ilvl w:val="0"/>
                <w:numId w:val="6"/>
              </w:numPr>
              <w:spacing w:line="360" w:lineRule="auto"/>
              <w:jc w:val="both"/>
              <w:rPr>
                <w:rFonts w:hint="eastAsia" w:ascii="宋体" w:hAnsi="宋体" w:eastAsia="宋体" w:cs="宋体"/>
                <w:color w:val="auto"/>
                <w:kern w:val="2"/>
                <w:sz w:val="24"/>
                <w:szCs w:val="24"/>
                <w:highlight w:val="none"/>
              </w:rPr>
            </w:pPr>
            <w:r>
              <w:rPr>
                <w:rFonts w:hint="eastAsia" w:ascii="宋体" w:hAnsi="宋体" w:eastAsia="宋体" w:cs="宋体"/>
                <w:b/>
                <w:bCs/>
                <w:color w:val="auto"/>
                <w:kern w:val="2"/>
                <w:sz w:val="24"/>
                <w:szCs w:val="24"/>
                <w:highlight w:val="none"/>
              </w:rPr>
              <w:t>供应商在上传电子</w:t>
            </w:r>
            <w:r>
              <w:rPr>
                <w:rFonts w:hint="eastAsia" w:ascii="宋体" w:hAnsi="宋体" w:eastAsia="宋体" w:cs="宋体"/>
                <w:b/>
                <w:bCs/>
                <w:color w:val="auto"/>
                <w:kern w:val="2"/>
                <w:sz w:val="24"/>
                <w:szCs w:val="24"/>
                <w:highlight w:val="none"/>
                <w:lang w:eastAsia="zh-CN"/>
              </w:rPr>
              <w:t>响应文件</w:t>
            </w:r>
            <w:r>
              <w:rPr>
                <w:rFonts w:hint="eastAsia" w:ascii="宋体" w:hAnsi="宋体" w:eastAsia="宋体" w:cs="宋体"/>
                <w:b/>
                <w:bCs/>
                <w:color w:val="auto"/>
                <w:kern w:val="2"/>
                <w:sz w:val="24"/>
                <w:szCs w:val="24"/>
                <w:highlight w:val="none"/>
              </w:rPr>
              <w:t>时，需在“商务技术响应文件”中按</w:t>
            </w:r>
            <w:r>
              <w:rPr>
                <w:rFonts w:hint="eastAsia" w:ascii="宋体" w:hAnsi="宋体" w:eastAsia="宋体" w:cs="宋体"/>
                <w:b/>
                <w:bCs/>
                <w:color w:val="auto"/>
                <w:kern w:val="2"/>
                <w:sz w:val="24"/>
                <w:szCs w:val="24"/>
                <w:highlight w:val="none"/>
                <w:lang w:eastAsia="zh-CN"/>
              </w:rPr>
              <w:t>响应文件</w:t>
            </w:r>
            <w:r>
              <w:rPr>
                <w:rFonts w:hint="eastAsia" w:ascii="宋体" w:hAnsi="宋体" w:eastAsia="宋体" w:cs="宋体"/>
                <w:b/>
                <w:bCs/>
                <w:color w:val="auto"/>
                <w:kern w:val="2"/>
                <w:sz w:val="24"/>
                <w:szCs w:val="24"/>
                <w:highlight w:val="none"/>
              </w:rPr>
              <w:t>格式要求上传完整的</w:t>
            </w:r>
            <w:r>
              <w:rPr>
                <w:rFonts w:hint="eastAsia" w:ascii="宋体" w:hAnsi="宋体" w:eastAsia="宋体" w:cs="宋体"/>
                <w:b/>
                <w:bCs/>
                <w:color w:val="auto"/>
                <w:kern w:val="2"/>
                <w:sz w:val="24"/>
                <w:szCs w:val="24"/>
                <w:highlight w:val="none"/>
                <w:lang w:eastAsia="zh-CN"/>
              </w:rPr>
              <w:t>响应文件</w:t>
            </w:r>
            <w:r>
              <w:rPr>
                <w:rFonts w:hint="eastAsia" w:ascii="宋体" w:hAnsi="宋体" w:eastAsia="宋体" w:cs="宋体"/>
                <w:b/>
                <w:bCs/>
                <w:color w:val="auto"/>
                <w:kern w:val="2"/>
                <w:sz w:val="24"/>
                <w:szCs w:val="24"/>
                <w:highlight w:val="none"/>
              </w:rPr>
              <w:t>（从封面开始至最后一页）。</w:t>
            </w:r>
          </w:p>
        </w:tc>
      </w:tr>
      <w:tr w14:paraId="2C9A778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709" w:type="dxa"/>
            <w:tcBorders>
              <w:top w:val="single" w:color="auto" w:sz="4" w:space="0"/>
              <w:left w:val="single" w:color="auto" w:sz="4" w:space="0"/>
              <w:bottom w:val="single" w:color="auto" w:sz="4" w:space="0"/>
              <w:right w:val="single" w:color="auto" w:sz="4" w:space="0"/>
            </w:tcBorders>
            <w:vAlign w:val="center"/>
          </w:tcPr>
          <w:p w14:paraId="6FE06A16">
            <w:pPr>
              <w:shd w:val="clear" w:color="auto" w:fill="FFFFFF"/>
              <w:autoSpaceDE w:val="0"/>
              <w:autoSpaceDN w:val="0"/>
              <w:spacing w:line="360" w:lineRule="auto"/>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rPr>
              <w:t>2</w:t>
            </w:r>
            <w:r>
              <w:rPr>
                <w:rFonts w:hint="eastAsia" w:ascii="宋体" w:hAnsi="宋体" w:eastAsia="宋体" w:cs="宋体"/>
                <w:color w:val="auto"/>
                <w:kern w:val="0"/>
                <w:sz w:val="24"/>
                <w:szCs w:val="24"/>
                <w:highlight w:val="none"/>
                <w:lang w:val="en-US" w:eastAsia="zh-CN"/>
              </w:rPr>
              <w:t>2</w:t>
            </w:r>
          </w:p>
        </w:tc>
        <w:tc>
          <w:tcPr>
            <w:tcW w:w="9173" w:type="dxa"/>
            <w:gridSpan w:val="2"/>
            <w:tcBorders>
              <w:top w:val="single" w:color="auto" w:sz="4" w:space="0"/>
              <w:left w:val="single" w:color="auto" w:sz="4" w:space="0"/>
              <w:bottom w:val="single" w:color="auto" w:sz="4" w:space="0"/>
              <w:right w:val="single" w:color="auto" w:sz="4" w:space="0"/>
            </w:tcBorders>
            <w:vAlign w:val="center"/>
          </w:tcPr>
          <w:p w14:paraId="68FDCB6F">
            <w:pPr>
              <w:pStyle w:val="89"/>
              <w:keepNext w:val="0"/>
              <w:keepLines w:val="0"/>
              <w:pageBreakBefore w:val="0"/>
              <w:kinsoku/>
              <w:wordWrap/>
              <w:overflowPunct/>
              <w:topLinePunct w:val="0"/>
              <w:bidi w:val="0"/>
              <w:snapToGrid/>
              <w:spacing w:line="440" w:lineRule="exact"/>
              <w:textAlignment w:val="auto"/>
              <w:rPr>
                <w:rFonts w:hint="eastAsia" w:ascii="宋体" w:hAnsi="宋体" w:eastAsia="宋体" w:cs="宋体"/>
                <w:color w:val="auto"/>
                <w:sz w:val="24"/>
                <w:szCs w:val="24"/>
                <w:highlight w:val="none"/>
                <w:u w:val="none"/>
                <w:lang w:val="en-US" w:eastAsia="zh-CN" w:bidi="ar-SA"/>
              </w:rPr>
            </w:pPr>
            <w:r>
              <w:rPr>
                <w:rFonts w:hint="eastAsia" w:ascii="宋体" w:hAnsi="宋体" w:cs="宋体"/>
                <w:color w:val="auto"/>
                <w:sz w:val="24"/>
                <w:szCs w:val="24"/>
                <w:highlight w:val="none"/>
                <w:u w:val="none"/>
                <w:lang w:val="en-US" w:eastAsia="zh-CN" w:bidi="ar-SA"/>
              </w:rPr>
              <w:t>代理</w:t>
            </w:r>
            <w:r>
              <w:rPr>
                <w:rFonts w:hint="eastAsia" w:ascii="宋体" w:hAnsi="宋体" w:eastAsia="宋体" w:cs="宋体"/>
                <w:color w:val="auto"/>
                <w:sz w:val="24"/>
                <w:szCs w:val="24"/>
                <w:highlight w:val="none"/>
                <w:u w:val="none"/>
                <w:lang w:val="en-US" w:eastAsia="zh-CN" w:bidi="ar-SA"/>
              </w:rPr>
              <w:t>服务费：</w:t>
            </w:r>
          </w:p>
          <w:p w14:paraId="2B0FD3D8">
            <w:pPr>
              <w:pStyle w:val="89"/>
              <w:keepNext w:val="0"/>
              <w:keepLines w:val="0"/>
              <w:pageBreakBefore w:val="0"/>
              <w:kinsoku/>
              <w:wordWrap/>
              <w:overflowPunct/>
              <w:topLinePunct w:val="0"/>
              <w:bidi w:val="0"/>
              <w:snapToGrid/>
              <w:spacing w:line="440" w:lineRule="exact"/>
              <w:textAlignment w:val="auto"/>
              <w:rPr>
                <w:rFonts w:hint="eastAsia" w:ascii="宋体" w:hAnsi="宋体" w:eastAsia="宋体" w:cs="宋体"/>
                <w:color w:val="auto"/>
                <w:sz w:val="24"/>
                <w:szCs w:val="24"/>
                <w:highlight w:val="none"/>
                <w:u w:val="none"/>
                <w:lang w:val="en-US" w:eastAsia="zh-CN" w:bidi="ar-SA"/>
              </w:rPr>
            </w:pPr>
            <w:r>
              <w:rPr>
                <w:rFonts w:hint="eastAsia" w:ascii="宋体" w:hAnsi="宋体" w:eastAsia="宋体" w:cs="宋体"/>
                <w:color w:val="auto"/>
                <w:sz w:val="24"/>
                <w:szCs w:val="24"/>
                <w:highlight w:val="none"/>
                <w:u w:val="none"/>
                <w:lang w:val="en-US" w:eastAsia="zh-CN" w:bidi="ar-SA"/>
              </w:rPr>
              <w:t>1、本项目招标代理服务费</w:t>
            </w:r>
            <w:r>
              <w:rPr>
                <w:rFonts w:hint="eastAsia" w:ascii="宋体" w:hAnsi="宋体" w:cs="宋体"/>
                <w:color w:val="auto"/>
                <w:sz w:val="24"/>
                <w:szCs w:val="24"/>
                <w:highlight w:val="none"/>
                <w:u w:val="none"/>
                <w:lang w:val="en-US" w:eastAsia="zh-CN" w:bidi="ar-SA"/>
              </w:rPr>
              <w:t>参照</w:t>
            </w:r>
            <w:r>
              <w:rPr>
                <w:rFonts w:hint="eastAsia" w:ascii="宋体" w:hAnsi="宋体" w:eastAsia="宋体" w:cs="宋体"/>
                <w:color w:val="auto"/>
                <w:sz w:val="24"/>
                <w:szCs w:val="24"/>
                <w:highlight w:val="none"/>
                <w:u w:val="none"/>
                <w:lang w:val="en-US" w:eastAsia="zh-CN" w:bidi="ar-SA"/>
              </w:rPr>
              <w:t>《招标代理服务收费管理暂行办法》计价格[2002]1980号文件（发改办价格[2003]857号文件）及财库[2018]2号文件计算的招标代理服务费下浮50%由</w:t>
            </w:r>
            <w:r>
              <w:rPr>
                <w:rFonts w:hint="eastAsia" w:ascii="宋体" w:hAnsi="宋体" w:cs="宋体"/>
                <w:color w:val="auto"/>
                <w:sz w:val="24"/>
                <w:szCs w:val="24"/>
                <w:highlight w:val="none"/>
                <w:u w:val="none"/>
                <w:lang w:val="en-US" w:eastAsia="zh-CN" w:bidi="ar-SA"/>
              </w:rPr>
              <w:t>中标</w:t>
            </w:r>
            <w:r>
              <w:rPr>
                <w:rFonts w:hint="eastAsia" w:ascii="宋体" w:hAnsi="宋体" w:eastAsia="宋体" w:cs="宋体"/>
                <w:color w:val="auto"/>
                <w:sz w:val="24"/>
                <w:szCs w:val="24"/>
                <w:highlight w:val="none"/>
                <w:u w:val="none"/>
                <w:lang w:val="en-US" w:eastAsia="zh-CN" w:bidi="ar-SA"/>
              </w:rPr>
              <w:t>人向招标代理支付。</w:t>
            </w:r>
          </w:p>
          <w:p w14:paraId="53583498">
            <w:pPr>
              <w:pStyle w:val="43"/>
              <w:spacing w:line="360" w:lineRule="auto"/>
              <w:jc w:val="both"/>
              <w:rPr>
                <w:rFonts w:hint="eastAsia" w:ascii="宋体" w:hAnsi="宋体" w:eastAsia="宋体" w:cs="宋体"/>
                <w:color w:val="auto"/>
                <w:sz w:val="24"/>
                <w:szCs w:val="24"/>
                <w:highlight w:val="none"/>
                <w:u w:val="none"/>
                <w:lang w:eastAsia="zh-CN"/>
              </w:rPr>
            </w:pPr>
            <w:r>
              <w:rPr>
                <w:rFonts w:hint="eastAsia" w:ascii="宋体" w:hAnsi="宋体" w:eastAsia="宋体" w:cs="宋体"/>
                <w:color w:val="auto"/>
                <w:sz w:val="24"/>
                <w:szCs w:val="24"/>
                <w:highlight w:val="none"/>
                <w:u w:val="none"/>
                <w:lang w:eastAsia="zh-CN"/>
              </w:rPr>
              <w:t>二、付款方式</w:t>
            </w:r>
          </w:p>
          <w:p w14:paraId="7CD4E5F0">
            <w:pPr>
              <w:pStyle w:val="43"/>
              <w:spacing w:line="360" w:lineRule="auto"/>
              <w:jc w:val="both"/>
              <w:rPr>
                <w:rFonts w:hint="eastAsia" w:ascii="宋体" w:hAnsi="宋体" w:eastAsia="宋体" w:cs="宋体"/>
                <w:color w:val="auto"/>
                <w:sz w:val="24"/>
                <w:szCs w:val="24"/>
                <w:highlight w:val="none"/>
                <w:u w:val="none"/>
                <w:lang w:eastAsia="zh-CN"/>
              </w:rPr>
            </w:pPr>
            <w:r>
              <w:rPr>
                <w:rFonts w:hint="eastAsia" w:ascii="宋体" w:hAnsi="宋体" w:eastAsia="宋体" w:cs="宋体"/>
                <w:color w:val="auto"/>
                <w:sz w:val="24"/>
                <w:szCs w:val="24"/>
                <w:highlight w:val="none"/>
                <w:u w:val="none"/>
                <w:lang w:eastAsia="zh-CN"/>
              </w:rPr>
              <w:t>1、</w:t>
            </w:r>
            <w:r>
              <w:rPr>
                <w:rFonts w:hint="eastAsia" w:ascii="宋体" w:hAnsi="宋体" w:eastAsia="宋体" w:cs="宋体"/>
                <w:color w:val="auto"/>
                <w:sz w:val="24"/>
                <w:szCs w:val="24"/>
                <w:highlight w:val="none"/>
                <w:u w:val="none"/>
                <w:lang w:val="en-US" w:eastAsia="zh-CN"/>
              </w:rPr>
              <w:t>参照</w:t>
            </w:r>
            <w:r>
              <w:rPr>
                <w:rFonts w:hint="eastAsia" w:ascii="宋体" w:hAnsi="宋体" w:eastAsia="宋体" w:cs="宋体"/>
                <w:color w:val="auto"/>
                <w:sz w:val="24"/>
                <w:szCs w:val="24"/>
                <w:highlight w:val="none"/>
                <w:u w:val="none"/>
                <w:lang w:eastAsia="zh-CN"/>
              </w:rPr>
              <w:t>国家发改委《关于招标代理服务费有关问题的通知》（发改办[2003]857号文件）第二条，将计价格[2002]1980号第十条中“招标代理服务实行谁委托谁付费”，修改为“招标代理服务费就由招标人支付”，招标人、招标代理机构与投标人另有约定的，</w:t>
            </w:r>
            <w:r>
              <w:rPr>
                <w:rFonts w:hint="eastAsia" w:ascii="宋体" w:hAnsi="宋体" w:eastAsia="宋体" w:cs="宋体"/>
                <w:color w:val="auto"/>
                <w:sz w:val="24"/>
                <w:szCs w:val="24"/>
                <w:highlight w:val="none"/>
                <w:u w:val="none"/>
                <w:lang w:val="en-US" w:eastAsia="zh-CN"/>
              </w:rPr>
              <w:t>参照</w:t>
            </w:r>
            <w:r>
              <w:rPr>
                <w:rFonts w:hint="eastAsia" w:ascii="宋体" w:hAnsi="宋体" w:eastAsia="宋体" w:cs="宋体"/>
                <w:color w:val="auto"/>
                <w:sz w:val="24"/>
                <w:szCs w:val="24"/>
                <w:highlight w:val="none"/>
                <w:u w:val="none"/>
                <w:lang w:eastAsia="zh-CN"/>
              </w:rPr>
              <w:t>财库[2018]2号文件从其约定的要求，经各方一致同意，招标代理服务费由中标人向招标代理支付，采购人不承担付款义务。</w:t>
            </w:r>
          </w:p>
          <w:p w14:paraId="4B47A3AC">
            <w:pPr>
              <w:pStyle w:val="43"/>
              <w:spacing w:line="360" w:lineRule="auto"/>
              <w:jc w:val="both"/>
              <w:rPr>
                <w:rFonts w:hint="eastAsia" w:ascii="宋体" w:hAnsi="宋体" w:eastAsia="宋体" w:cs="宋体"/>
                <w:color w:val="auto"/>
                <w:sz w:val="24"/>
                <w:szCs w:val="24"/>
                <w:highlight w:val="none"/>
                <w:u w:val="none"/>
                <w:lang w:eastAsia="zh-CN"/>
              </w:rPr>
            </w:pPr>
            <w:r>
              <w:rPr>
                <w:rFonts w:hint="eastAsia" w:ascii="宋体" w:hAnsi="宋体" w:eastAsia="宋体" w:cs="宋体"/>
                <w:color w:val="auto"/>
                <w:sz w:val="24"/>
                <w:szCs w:val="24"/>
                <w:highlight w:val="none"/>
                <w:u w:val="none"/>
                <w:lang w:eastAsia="zh-CN"/>
              </w:rPr>
              <w:t>2、中标人于中标公示发布后7个工作日内一次性向招标代理公司支付代理服务费。</w:t>
            </w:r>
          </w:p>
          <w:p w14:paraId="20E0D75C">
            <w:pPr>
              <w:pStyle w:val="43"/>
              <w:spacing w:line="360" w:lineRule="auto"/>
              <w:jc w:val="both"/>
              <w:rPr>
                <w:rFonts w:hint="eastAsia" w:ascii="宋体" w:hAnsi="宋体" w:eastAsia="宋体" w:cs="宋体"/>
                <w:color w:val="auto"/>
                <w:sz w:val="24"/>
                <w:szCs w:val="24"/>
                <w:highlight w:val="none"/>
                <w:u w:val="none"/>
                <w:lang w:eastAsia="zh-CN"/>
              </w:rPr>
            </w:pPr>
            <w:r>
              <w:rPr>
                <w:rFonts w:hint="eastAsia" w:ascii="宋体" w:hAnsi="宋体" w:eastAsia="宋体" w:cs="宋体"/>
                <w:color w:val="auto"/>
                <w:sz w:val="24"/>
                <w:szCs w:val="24"/>
                <w:highlight w:val="none"/>
                <w:u w:val="none"/>
                <w:lang w:eastAsia="zh-CN"/>
              </w:rPr>
              <w:t>三、责任认定</w:t>
            </w:r>
          </w:p>
          <w:p w14:paraId="53D08472">
            <w:pPr>
              <w:pStyle w:val="43"/>
              <w:spacing w:line="360" w:lineRule="auto"/>
              <w:jc w:val="both"/>
              <w:rPr>
                <w:rFonts w:hint="eastAsia" w:ascii="宋体" w:hAnsi="宋体" w:eastAsia="宋体" w:cs="宋体"/>
                <w:color w:val="auto"/>
                <w:sz w:val="24"/>
                <w:szCs w:val="24"/>
                <w:highlight w:val="none"/>
                <w:u w:val="none"/>
                <w:lang w:eastAsia="zh-CN"/>
              </w:rPr>
            </w:pPr>
            <w:r>
              <w:rPr>
                <w:rFonts w:hint="eastAsia" w:ascii="宋体" w:hAnsi="宋体" w:eastAsia="宋体" w:cs="宋体"/>
                <w:color w:val="auto"/>
                <w:sz w:val="24"/>
                <w:szCs w:val="24"/>
                <w:highlight w:val="none"/>
                <w:u w:val="none"/>
                <w:lang w:eastAsia="zh-CN"/>
              </w:rPr>
              <w:t>1、中标人应如实向招标代理公司履行付款义务，中标人的付款金额以前款约定的协议金额为限；因中标人不能向招标代理公司按时付款所发生的一切法律纠纷均与采购人无关，如因此导致采购人承担责任或造成损失，采购人有权向其全额追偿。</w:t>
            </w:r>
          </w:p>
          <w:p w14:paraId="5FC32A17">
            <w:pPr>
              <w:pStyle w:val="43"/>
              <w:spacing w:line="360" w:lineRule="auto"/>
              <w:jc w:val="both"/>
              <w:rPr>
                <w:rFonts w:hint="eastAsia" w:ascii="宋体" w:hAnsi="宋体" w:eastAsia="宋体" w:cs="宋体"/>
                <w:b/>
                <w:color w:val="auto"/>
                <w:kern w:val="1"/>
                <w:sz w:val="24"/>
                <w:szCs w:val="24"/>
                <w:highlight w:val="none"/>
                <w:lang w:eastAsia="zh-CN"/>
              </w:rPr>
            </w:pPr>
            <w:r>
              <w:rPr>
                <w:rFonts w:hint="eastAsia" w:ascii="宋体" w:hAnsi="宋体" w:eastAsia="宋体" w:cs="宋体"/>
                <w:color w:val="auto"/>
                <w:sz w:val="24"/>
                <w:szCs w:val="24"/>
                <w:highlight w:val="none"/>
                <w:u w:val="none"/>
                <w:lang w:eastAsia="zh-CN"/>
              </w:rPr>
              <w:t>2、协议履行过程中，招标代理公司不得以中标人未支付本协议约定的招标代理费用为由，拒绝向中标人发放中标通知书，在协议履行期间因此产生的法律纠纷及争议均由招标代理公司与中标人自行解决，与采购人无关。</w:t>
            </w:r>
          </w:p>
        </w:tc>
      </w:tr>
      <w:bookmarkEnd w:id="20"/>
      <w:bookmarkEnd w:id="21"/>
    </w:tbl>
    <w:p w14:paraId="6D8D319C">
      <w:pPr>
        <w:pStyle w:val="44"/>
        <w:spacing w:before="0" w:line="44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highlight w:val="none"/>
        </w:rPr>
        <w:br w:type="page"/>
      </w:r>
      <w:bookmarkStart w:id="22" w:name="_Toc13766989"/>
      <w:bookmarkStart w:id="23" w:name="_Toc1898"/>
      <w:bookmarkStart w:id="24" w:name="_Toc28642"/>
      <w:r>
        <w:rPr>
          <w:rFonts w:hint="eastAsia" w:ascii="宋体" w:hAnsi="宋体" w:eastAsia="宋体" w:cs="宋体"/>
          <w:color w:val="auto"/>
          <w:sz w:val="28"/>
          <w:szCs w:val="28"/>
          <w:highlight w:val="none"/>
        </w:rPr>
        <w:t>二、</w:t>
      </w:r>
      <w:bookmarkEnd w:id="22"/>
      <w:r>
        <w:rPr>
          <w:rFonts w:hint="eastAsia" w:ascii="宋体" w:hAnsi="宋体" w:eastAsia="宋体" w:cs="宋体"/>
          <w:color w:val="auto"/>
          <w:sz w:val="28"/>
          <w:szCs w:val="24"/>
          <w:highlight w:val="none"/>
        </w:rPr>
        <w:t>供应商须知</w:t>
      </w:r>
      <w:bookmarkEnd w:id="23"/>
      <w:bookmarkEnd w:id="24"/>
    </w:p>
    <w:p w14:paraId="7FA3CFA4">
      <w:pPr>
        <w:spacing w:before="156" w:beforeLines="50" w:after="156" w:afterLines="50" w:line="440" w:lineRule="exact"/>
        <w:jc w:val="center"/>
        <w:rPr>
          <w:rFonts w:hint="eastAsia" w:ascii="宋体" w:hAnsi="宋体" w:eastAsia="宋体" w:cs="宋体"/>
          <w:b/>
          <w:color w:val="auto"/>
          <w:kern w:val="0"/>
          <w:sz w:val="24"/>
          <w:szCs w:val="24"/>
          <w:highlight w:val="none"/>
          <w:lang w:val="zh-CN"/>
        </w:rPr>
      </w:pPr>
      <w:bookmarkStart w:id="25" w:name="_Toc37090625"/>
      <w:bookmarkStart w:id="26" w:name="_Toc21030"/>
      <w:bookmarkStart w:id="27" w:name="_Toc37090961"/>
      <w:bookmarkStart w:id="28" w:name="_Toc13766990"/>
      <w:r>
        <w:rPr>
          <w:rFonts w:hint="eastAsia" w:ascii="宋体" w:hAnsi="宋体" w:eastAsia="宋体" w:cs="宋体"/>
          <w:b/>
          <w:color w:val="auto"/>
          <w:kern w:val="0"/>
          <w:sz w:val="24"/>
          <w:szCs w:val="24"/>
          <w:highlight w:val="none"/>
          <w:lang w:val="zh-CN"/>
        </w:rPr>
        <w:t>（一）总则</w:t>
      </w:r>
      <w:bookmarkEnd w:id="25"/>
      <w:bookmarkEnd w:id="26"/>
      <w:bookmarkEnd w:id="27"/>
    </w:p>
    <w:p w14:paraId="5D36AA1C">
      <w:pPr>
        <w:spacing w:line="440" w:lineRule="exact"/>
        <w:ind w:firstLine="482" w:firstLineChars="200"/>
        <w:rPr>
          <w:rFonts w:hint="eastAsia" w:ascii="宋体" w:hAnsi="宋体" w:eastAsia="宋体" w:cs="宋体"/>
          <w:b/>
          <w:bCs/>
          <w:color w:val="auto"/>
          <w:sz w:val="24"/>
          <w:szCs w:val="24"/>
          <w:highlight w:val="none"/>
        </w:rPr>
      </w:pPr>
      <w:bookmarkStart w:id="29" w:name="_Toc37090962"/>
      <w:bookmarkStart w:id="30" w:name="_Toc37090626"/>
      <w:bookmarkStart w:id="31" w:name="_Toc29497"/>
      <w:r>
        <w:rPr>
          <w:rFonts w:hint="eastAsia" w:ascii="宋体" w:hAnsi="宋体" w:eastAsia="宋体" w:cs="宋体"/>
          <w:b/>
          <w:bCs/>
          <w:color w:val="auto"/>
          <w:sz w:val="24"/>
          <w:szCs w:val="24"/>
          <w:highlight w:val="none"/>
        </w:rPr>
        <w:t>1. 项目说明</w:t>
      </w:r>
      <w:bookmarkEnd w:id="29"/>
      <w:bookmarkEnd w:id="30"/>
      <w:bookmarkEnd w:id="31"/>
    </w:p>
    <w:p w14:paraId="5AFC3A70">
      <w:pPr>
        <w:shd w:val="clear" w:color="auto" w:fill="FFFFFF"/>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 本项目的说明详见供应商须知前附表（以下简称“前附表”）所述。</w:t>
      </w:r>
    </w:p>
    <w:p w14:paraId="34896F7F">
      <w:pPr>
        <w:shd w:val="clear" w:color="auto" w:fill="FFFFFF"/>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1.2本采购项目已经批准，采购人为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新疆医科大学 </w:t>
      </w:r>
      <w:r>
        <w:rPr>
          <w:rFonts w:hint="eastAsia" w:ascii="宋体" w:hAnsi="宋体" w:eastAsia="宋体" w:cs="宋体"/>
          <w:color w:val="auto"/>
          <w:sz w:val="24"/>
          <w:szCs w:val="24"/>
          <w:highlight w:val="none"/>
        </w:rPr>
        <w:t>，该项目已具备采购条件，现对该项目进行竞争性磋商。</w:t>
      </w:r>
    </w:p>
    <w:p w14:paraId="72AFEAB0">
      <w:pPr>
        <w:shd w:val="clear" w:color="auto" w:fill="FFFFFF"/>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1.3</w:t>
      </w:r>
      <w:r>
        <w:rPr>
          <w:rFonts w:hint="eastAsia" w:ascii="宋体" w:hAnsi="宋体" w:eastAsia="宋体" w:cs="宋体"/>
          <w:color w:val="auto"/>
          <w:sz w:val="24"/>
          <w:szCs w:val="24"/>
          <w:highlight w:val="none"/>
        </w:rPr>
        <w:t>本采购项目供应商的资格审查采取资格后审方式。本次磋商</w:t>
      </w:r>
      <w:r>
        <w:rPr>
          <w:rFonts w:hint="eastAsia" w:ascii="宋体" w:hAnsi="宋体" w:eastAsia="宋体" w:cs="宋体"/>
          <w:color w:val="auto"/>
          <w:sz w:val="24"/>
          <w:szCs w:val="24"/>
          <w:highlight w:val="none"/>
          <w:u w:val="single"/>
        </w:rPr>
        <w:t>不接受</w:t>
      </w:r>
      <w:r>
        <w:rPr>
          <w:rFonts w:hint="eastAsia" w:ascii="宋体" w:hAnsi="宋体" w:eastAsia="宋体" w:cs="宋体"/>
          <w:color w:val="auto"/>
          <w:sz w:val="24"/>
          <w:szCs w:val="24"/>
          <w:highlight w:val="none"/>
        </w:rPr>
        <w:t>联合体、不接受备选方案。</w:t>
      </w:r>
    </w:p>
    <w:p w14:paraId="69276A3F">
      <w:pPr>
        <w:shd w:val="clear" w:color="auto" w:fill="FFFFFF"/>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供应商资格必须符合供应商须知前附表说明，通过资格后审的供应商为合格的供应商。合格的供应商必须符合竞争性磋商文件中对供应商的规定，且具备独立完成所投项目或所投标项的</w:t>
      </w:r>
      <w:r>
        <w:rPr>
          <w:rFonts w:hint="eastAsia" w:ascii="宋体" w:hAnsi="宋体" w:eastAsia="宋体" w:cs="宋体"/>
          <w:color w:val="auto"/>
          <w:kern w:val="10"/>
          <w:sz w:val="24"/>
          <w:szCs w:val="24"/>
          <w:highlight w:val="none"/>
        </w:rPr>
        <w:t>能</w:t>
      </w:r>
      <w:r>
        <w:rPr>
          <w:rFonts w:hint="eastAsia" w:ascii="宋体" w:hAnsi="宋体" w:eastAsia="宋体" w:cs="宋体"/>
          <w:color w:val="auto"/>
          <w:sz w:val="24"/>
          <w:szCs w:val="24"/>
          <w:highlight w:val="none"/>
        </w:rPr>
        <w:t>力，成交后不允许转包、违法分包。</w:t>
      </w:r>
    </w:p>
    <w:p w14:paraId="358E9718">
      <w:pPr>
        <w:shd w:val="clear" w:color="auto" w:fill="FFFFFF"/>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 资格后审包括下列的内容</w:t>
      </w:r>
    </w:p>
    <w:p w14:paraId="597F23A2">
      <w:pPr>
        <w:shd w:val="clear" w:color="auto" w:fill="FFFFFF"/>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1.4.1 供应商具有独立法人资格并满足“前附表”规定的资格要求；</w:t>
      </w:r>
    </w:p>
    <w:p w14:paraId="72534BE4">
      <w:pPr>
        <w:shd w:val="clear" w:color="auto" w:fill="FFFFFF"/>
        <w:spacing w:line="440" w:lineRule="exac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1.4.2</w:t>
      </w:r>
      <w:r>
        <w:rPr>
          <w:rFonts w:hint="eastAsia" w:ascii="宋体" w:hAnsi="宋体" w:eastAsia="宋体" w:cs="宋体"/>
          <w:color w:val="auto"/>
          <w:kern w:val="0"/>
          <w:sz w:val="24"/>
          <w:szCs w:val="24"/>
          <w:highlight w:val="none"/>
        </w:rPr>
        <w:t>竞争性磋商文件有要求供应商法定代表人或其授权代表签字或盖章和加盖供应商公章要求的，供应商须按竞争性磋商文件要求签署；</w:t>
      </w:r>
    </w:p>
    <w:p w14:paraId="2362188B">
      <w:pPr>
        <w:shd w:val="clear" w:color="auto" w:fill="FFFFFF"/>
        <w:spacing w:line="440" w:lineRule="exac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1.4.3服务期限符合竞争性磋商文件要求；</w:t>
      </w:r>
    </w:p>
    <w:p w14:paraId="023ABAF6">
      <w:pPr>
        <w:shd w:val="clear" w:color="auto" w:fill="FFFFFF"/>
        <w:spacing w:line="440" w:lineRule="exac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1.4.4服务地点符合竞争性磋商文件规定；</w:t>
      </w:r>
    </w:p>
    <w:p w14:paraId="3C6DCD64">
      <w:pPr>
        <w:shd w:val="clear" w:color="auto" w:fill="FFFFFF"/>
        <w:spacing w:line="440" w:lineRule="exac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1.4.5投标内容质量、服务等满足竞争性磋商文件要求；</w:t>
      </w:r>
    </w:p>
    <w:p w14:paraId="4ADA45A6">
      <w:pPr>
        <w:shd w:val="clear" w:color="auto" w:fill="FFFFFF"/>
        <w:spacing w:line="440" w:lineRule="exac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1.4.6响应文件中所提条件均须符合采购人的要求；</w:t>
      </w:r>
    </w:p>
    <w:p w14:paraId="1812F766">
      <w:pPr>
        <w:shd w:val="clear" w:color="auto" w:fill="FFFFFF"/>
        <w:spacing w:line="440" w:lineRule="exac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1.4.7符合竞争性磋商文件中规定的其他实质性要求；</w:t>
      </w:r>
    </w:p>
    <w:p w14:paraId="5F1F2ADB">
      <w:pPr>
        <w:shd w:val="clear" w:color="auto" w:fill="FFFFFF"/>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1.4.8无法律、法规和规章禁止的其他情况。</w:t>
      </w:r>
    </w:p>
    <w:p w14:paraId="5349D904">
      <w:pPr>
        <w:spacing w:line="440" w:lineRule="exact"/>
        <w:ind w:firstLine="482" w:firstLineChars="200"/>
        <w:rPr>
          <w:rFonts w:hint="eastAsia" w:ascii="宋体" w:hAnsi="宋体" w:eastAsia="宋体" w:cs="宋体"/>
          <w:b/>
          <w:bCs/>
          <w:color w:val="auto"/>
          <w:sz w:val="24"/>
          <w:szCs w:val="24"/>
          <w:highlight w:val="none"/>
        </w:rPr>
      </w:pPr>
      <w:bookmarkStart w:id="32" w:name="_Toc37090627"/>
      <w:bookmarkStart w:id="33" w:name="_Toc17644"/>
      <w:bookmarkStart w:id="34" w:name="_Toc37090963"/>
      <w:r>
        <w:rPr>
          <w:rFonts w:hint="eastAsia" w:ascii="宋体" w:hAnsi="宋体" w:eastAsia="宋体" w:cs="宋体"/>
          <w:b/>
          <w:bCs/>
          <w:color w:val="auto"/>
          <w:sz w:val="24"/>
          <w:szCs w:val="24"/>
          <w:highlight w:val="none"/>
        </w:rPr>
        <w:t xml:space="preserve">2. </w:t>
      </w:r>
      <w:bookmarkEnd w:id="32"/>
      <w:bookmarkEnd w:id="33"/>
      <w:bookmarkEnd w:id="34"/>
      <w:r>
        <w:rPr>
          <w:rFonts w:hint="eastAsia" w:ascii="宋体" w:hAnsi="宋体" w:eastAsia="宋体" w:cs="宋体"/>
          <w:b/>
          <w:bCs/>
          <w:color w:val="auto"/>
          <w:sz w:val="24"/>
          <w:szCs w:val="24"/>
          <w:highlight w:val="none"/>
        </w:rPr>
        <w:t>采购范围</w:t>
      </w:r>
    </w:p>
    <w:p w14:paraId="4C91806D">
      <w:pPr>
        <w:shd w:val="clear" w:color="auto" w:fill="FFFFFF"/>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2.1本采购项目的采购范围</w:t>
      </w:r>
      <w:r>
        <w:rPr>
          <w:rFonts w:hint="eastAsia" w:ascii="宋体" w:hAnsi="宋体" w:eastAsia="宋体" w:cs="宋体"/>
          <w:color w:val="auto"/>
          <w:kern w:val="0"/>
          <w:sz w:val="24"/>
          <w:szCs w:val="24"/>
          <w:highlight w:val="none"/>
        </w:rPr>
        <w:t>已通过“前附表”第1项</w:t>
      </w:r>
      <w:r>
        <w:rPr>
          <w:rFonts w:hint="eastAsia" w:ascii="宋体" w:hAnsi="宋体" w:eastAsia="宋体" w:cs="宋体"/>
          <w:color w:val="auto"/>
          <w:sz w:val="24"/>
          <w:szCs w:val="24"/>
          <w:highlight w:val="none"/>
        </w:rPr>
        <w:t>采购内容</w:t>
      </w:r>
      <w:r>
        <w:rPr>
          <w:rFonts w:hint="eastAsia" w:ascii="宋体" w:hAnsi="宋体" w:eastAsia="宋体" w:cs="宋体"/>
          <w:color w:val="auto"/>
          <w:kern w:val="0"/>
          <w:sz w:val="24"/>
          <w:szCs w:val="24"/>
          <w:highlight w:val="none"/>
        </w:rPr>
        <w:t>所述，</w:t>
      </w:r>
      <w:r>
        <w:rPr>
          <w:rFonts w:hint="eastAsia" w:ascii="宋体" w:hAnsi="宋体" w:eastAsia="宋体" w:cs="宋体"/>
          <w:color w:val="auto"/>
          <w:sz w:val="24"/>
          <w:szCs w:val="24"/>
          <w:highlight w:val="none"/>
        </w:rPr>
        <w:t>指本项目竞争性磋商文件中范围内所要求的所有工作内容。</w:t>
      </w:r>
    </w:p>
    <w:p w14:paraId="2A0C4E84">
      <w:pPr>
        <w:spacing w:line="440" w:lineRule="exact"/>
        <w:ind w:firstLine="482" w:firstLineChars="200"/>
        <w:rPr>
          <w:rFonts w:hint="eastAsia" w:ascii="宋体" w:hAnsi="宋体" w:eastAsia="宋体" w:cs="宋体"/>
          <w:b/>
          <w:bCs/>
          <w:color w:val="auto"/>
          <w:sz w:val="24"/>
          <w:szCs w:val="24"/>
          <w:highlight w:val="none"/>
        </w:rPr>
      </w:pPr>
      <w:bookmarkStart w:id="35" w:name="_Toc26876"/>
      <w:bookmarkStart w:id="36" w:name="_Toc37090964"/>
      <w:bookmarkStart w:id="37" w:name="_Toc37090628"/>
      <w:r>
        <w:rPr>
          <w:rFonts w:hint="eastAsia" w:ascii="宋体" w:hAnsi="宋体" w:eastAsia="宋体" w:cs="宋体"/>
          <w:b/>
          <w:bCs/>
          <w:color w:val="auto"/>
          <w:sz w:val="24"/>
          <w:szCs w:val="24"/>
          <w:highlight w:val="none"/>
        </w:rPr>
        <w:t>3. 适用法律及约束力</w:t>
      </w:r>
      <w:bookmarkEnd w:id="35"/>
      <w:bookmarkEnd w:id="36"/>
      <w:bookmarkEnd w:id="37"/>
    </w:p>
    <w:p w14:paraId="7576210A">
      <w:pPr>
        <w:shd w:val="clear" w:color="auto" w:fill="FFFFFF"/>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3.1 本次磋商及由本次磋商产生的合同受中华人民共和国的相关法律、法规制约和保护。供应商一旦领取了竞争性磋商文件并参加本项目，即被认为接受了竞争性磋商文件中的所有条件和规定。</w:t>
      </w:r>
    </w:p>
    <w:p w14:paraId="170DBEB7">
      <w:pPr>
        <w:shd w:val="clear" w:color="auto" w:fill="FFFFFF"/>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3.2供应商应保证，在中华人民共和国境内使用投标成果、服务或其任何一部分时，不会产生因第三方提出侵犯其专利权或其它知识产权而引起的法律和经济纠纷。</w:t>
      </w:r>
    </w:p>
    <w:p w14:paraId="54C98A31">
      <w:pPr>
        <w:spacing w:line="440" w:lineRule="exact"/>
        <w:ind w:firstLine="482" w:firstLineChars="200"/>
        <w:rPr>
          <w:rFonts w:hint="eastAsia" w:ascii="宋体" w:hAnsi="宋体" w:eastAsia="宋体" w:cs="宋体"/>
          <w:b/>
          <w:bCs/>
          <w:color w:val="auto"/>
          <w:sz w:val="24"/>
          <w:szCs w:val="24"/>
          <w:highlight w:val="none"/>
        </w:rPr>
      </w:pPr>
      <w:bookmarkStart w:id="38" w:name="_Toc37090629"/>
      <w:bookmarkStart w:id="39" w:name="_Toc18819"/>
      <w:bookmarkStart w:id="40" w:name="_Toc37090965"/>
      <w:r>
        <w:rPr>
          <w:rFonts w:hint="eastAsia" w:ascii="宋体" w:hAnsi="宋体" w:eastAsia="宋体" w:cs="宋体"/>
          <w:b/>
          <w:bCs/>
          <w:color w:val="auto"/>
          <w:sz w:val="24"/>
          <w:szCs w:val="24"/>
          <w:highlight w:val="none"/>
        </w:rPr>
        <w:t>4. 采购项目实施要求</w:t>
      </w:r>
      <w:bookmarkEnd w:id="38"/>
      <w:bookmarkEnd w:id="39"/>
      <w:bookmarkEnd w:id="40"/>
    </w:p>
    <w:p w14:paraId="10A89AF9">
      <w:pPr>
        <w:shd w:val="clear" w:color="auto" w:fill="FFFFFF"/>
        <w:spacing w:line="440" w:lineRule="exac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4.1质量标准已通过“前附表”第3项所述，本采购项目的质量等级标准为合格（通过采购人及有关部门组织的项目验收）。</w:t>
      </w:r>
    </w:p>
    <w:p w14:paraId="3A1ADCC2">
      <w:pPr>
        <w:shd w:val="clear" w:color="auto" w:fill="FFFFFF"/>
        <w:spacing w:line="440" w:lineRule="exac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4.2 供应方与采购人签订合同后，按照竞争性磋商文件及合同相关的要求编制现场服务计划。</w:t>
      </w:r>
    </w:p>
    <w:p w14:paraId="60EDF7D6">
      <w:pPr>
        <w:spacing w:line="440" w:lineRule="exact"/>
        <w:ind w:firstLine="482" w:firstLineChars="200"/>
        <w:rPr>
          <w:rFonts w:hint="eastAsia" w:ascii="宋体" w:hAnsi="宋体" w:eastAsia="宋体" w:cs="宋体"/>
          <w:b/>
          <w:bCs/>
          <w:color w:val="auto"/>
          <w:sz w:val="24"/>
          <w:szCs w:val="24"/>
          <w:highlight w:val="none"/>
        </w:rPr>
      </w:pPr>
      <w:bookmarkStart w:id="41" w:name="_Toc37090630"/>
      <w:bookmarkStart w:id="42" w:name="_Toc14650"/>
      <w:bookmarkStart w:id="43" w:name="_Toc37090966"/>
      <w:r>
        <w:rPr>
          <w:rFonts w:hint="eastAsia" w:ascii="宋体" w:hAnsi="宋体" w:eastAsia="宋体" w:cs="宋体"/>
          <w:b/>
          <w:bCs/>
          <w:color w:val="auto"/>
          <w:sz w:val="24"/>
          <w:szCs w:val="24"/>
          <w:highlight w:val="none"/>
        </w:rPr>
        <w:t>5. 服务期限及服务地点</w:t>
      </w:r>
      <w:bookmarkEnd w:id="41"/>
      <w:bookmarkEnd w:id="42"/>
      <w:bookmarkEnd w:id="43"/>
    </w:p>
    <w:p w14:paraId="70857D75">
      <w:pPr>
        <w:shd w:val="clear" w:color="auto" w:fill="FFFFFF"/>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5.1 服务期限已</w:t>
      </w:r>
      <w:r>
        <w:rPr>
          <w:rFonts w:hint="eastAsia" w:ascii="宋体" w:hAnsi="宋体" w:eastAsia="宋体" w:cs="宋体"/>
          <w:color w:val="auto"/>
          <w:kern w:val="0"/>
          <w:sz w:val="24"/>
          <w:szCs w:val="24"/>
          <w:highlight w:val="none"/>
        </w:rPr>
        <w:t>通过“前附表”所述，</w:t>
      </w:r>
      <w:r>
        <w:rPr>
          <w:rFonts w:hint="eastAsia" w:ascii="宋体" w:hAnsi="宋体" w:eastAsia="宋体" w:cs="宋体"/>
          <w:color w:val="auto"/>
          <w:sz w:val="24"/>
          <w:szCs w:val="24"/>
          <w:highlight w:val="none"/>
        </w:rPr>
        <w:t>是指完成本项目采购内容及配套服务工作、验收合格并移交采购人的时间；服务地点已</w:t>
      </w:r>
      <w:r>
        <w:rPr>
          <w:rFonts w:hint="eastAsia" w:ascii="宋体" w:hAnsi="宋体" w:eastAsia="宋体" w:cs="宋体"/>
          <w:color w:val="auto"/>
          <w:kern w:val="0"/>
          <w:sz w:val="24"/>
          <w:szCs w:val="24"/>
          <w:highlight w:val="none"/>
        </w:rPr>
        <w:t>通过“前附表”所述</w:t>
      </w:r>
      <w:r>
        <w:rPr>
          <w:rFonts w:hint="eastAsia" w:ascii="宋体" w:hAnsi="宋体" w:eastAsia="宋体" w:cs="宋体"/>
          <w:color w:val="auto"/>
          <w:sz w:val="24"/>
          <w:szCs w:val="24"/>
          <w:highlight w:val="none"/>
        </w:rPr>
        <w:t>。</w:t>
      </w:r>
    </w:p>
    <w:p w14:paraId="62EEEDF2">
      <w:pPr>
        <w:spacing w:line="440" w:lineRule="exact"/>
        <w:ind w:firstLine="482" w:firstLineChars="200"/>
        <w:rPr>
          <w:rFonts w:hint="eastAsia" w:ascii="宋体" w:hAnsi="宋体" w:eastAsia="宋体" w:cs="宋体"/>
          <w:b/>
          <w:bCs/>
          <w:color w:val="auto"/>
          <w:sz w:val="24"/>
          <w:szCs w:val="24"/>
          <w:highlight w:val="none"/>
        </w:rPr>
      </w:pPr>
      <w:bookmarkStart w:id="44" w:name="_Toc37090967"/>
      <w:bookmarkStart w:id="45" w:name="_Toc4069"/>
      <w:bookmarkStart w:id="46" w:name="_Toc37090631"/>
      <w:r>
        <w:rPr>
          <w:rFonts w:hint="eastAsia" w:ascii="宋体" w:hAnsi="宋体" w:eastAsia="宋体" w:cs="宋体"/>
          <w:b/>
          <w:bCs/>
          <w:color w:val="auto"/>
          <w:sz w:val="24"/>
          <w:szCs w:val="24"/>
          <w:highlight w:val="none"/>
        </w:rPr>
        <w:t>6. 资金来源</w:t>
      </w:r>
      <w:bookmarkEnd w:id="44"/>
      <w:bookmarkEnd w:id="45"/>
      <w:bookmarkEnd w:id="46"/>
    </w:p>
    <w:p w14:paraId="29AC820B">
      <w:pPr>
        <w:shd w:val="clear" w:color="auto" w:fill="FFFFFF"/>
        <w:spacing w:line="440" w:lineRule="exact"/>
        <w:ind w:firstLine="480" w:firstLineChars="200"/>
        <w:rPr>
          <w:rFonts w:hint="eastAsia" w:ascii="宋体" w:hAnsi="宋体" w:eastAsia="宋体" w:cs="宋体"/>
          <w:b/>
          <w:color w:val="auto"/>
          <w:kern w:val="0"/>
          <w:sz w:val="24"/>
          <w:szCs w:val="24"/>
          <w:highlight w:val="none"/>
        </w:rPr>
      </w:pPr>
      <w:r>
        <w:rPr>
          <w:rFonts w:hint="eastAsia" w:ascii="宋体" w:hAnsi="宋体" w:eastAsia="宋体" w:cs="宋体"/>
          <w:color w:val="auto"/>
          <w:kern w:val="0"/>
          <w:sz w:val="24"/>
          <w:szCs w:val="24"/>
          <w:highlight w:val="none"/>
        </w:rPr>
        <w:t>6.1采购单位的资金通过“前附表”第1项所述的方式获得，并将部分资金用于本项目合同下的合格支付。</w:t>
      </w:r>
    </w:p>
    <w:p w14:paraId="1E8EB8FF">
      <w:pPr>
        <w:spacing w:line="440" w:lineRule="exact"/>
        <w:ind w:firstLine="482" w:firstLineChars="200"/>
        <w:rPr>
          <w:rFonts w:hint="eastAsia" w:ascii="宋体" w:hAnsi="宋体" w:eastAsia="宋体" w:cs="宋体"/>
          <w:b/>
          <w:bCs/>
          <w:color w:val="auto"/>
          <w:sz w:val="24"/>
          <w:szCs w:val="24"/>
          <w:highlight w:val="none"/>
        </w:rPr>
      </w:pPr>
      <w:bookmarkStart w:id="47" w:name="_Toc19811"/>
      <w:bookmarkStart w:id="48" w:name="_Toc37090968"/>
      <w:bookmarkStart w:id="49" w:name="_Toc37090632"/>
      <w:r>
        <w:rPr>
          <w:rFonts w:hint="eastAsia" w:ascii="宋体" w:hAnsi="宋体" w:eastAsia="宋体" w:cs="宋体"/>
          <w:b/>
          <w:bCs/>
          <w:color w:val="auto"/>
          <w:sz w:val="24"/>
          <w:szCs w:val="24"/>
          <w:highlight w:val="none"/>
        </w:rPr>
        <w:t>7. 供应商资格要求</w:t>
      </w:r>
      <w:bookmarkEnd w:id="47"/>
      <w:bookmarkEnd w:id="48"/>
      <w:bookmarkEnd w:id="49"/>
    </w:p>
    <w:p w14:paraId="0B8A21F6">
      <w:pPr>
        <w:shd w:val="clear" w:color="auto" w:fill="FFFFFF"/>
        <w:spacing w:line="440" w:lineRule="exac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供应商资格要求须满足“前附表”第4项要求。</w:t>
      </w:r>
    </w:p>
    <w:p w14:paraId="4A2EC968">
      <w:pPr>
        <w:spacing w:line="440" w:lineRule="exact"/>
        <w:ind w:firstLine="482" w:firstLineChars="200"/>
        <w:rPr>
          <w:rFonts w:hint="eastAsia" w:ascii="宋体" w:hAnsi="宋体" w:eastAsia="宋体" w:cs="宋体"/>
          <w:b/>
          <w:bCs/>
          <w:color w:val="auto"/>
          <w:sz w:val="24"/>
          <w:szCs w:val="24"/>
          <w:highlight w:val="none"/>
        </w:rPr>
      </w:pPr>
      <w:bookmarkStart w:id="50" w:name="_Toc30617"/>
      <w:bookmarkStart w:id="51" w:name="_Toc37090633"/>
      <w:bookmarkStart w:id="52" w:name="_Toc37090969"/>
      <w:r>
        <w:rPr>
          <w:rFonts w:hint="eastAsia" w:ascii="宋体" w:hAnsi="宋体" w:eastAsia="宋体" w:cs="宋体"/>
          <w:b/>
          <w:bCs/>
          <w:color w:val="auto"/>
          <w:sz w:val="24"/>
          <w:szCs w:val="24"/>
          <w:highlight w:val="none"/>
        </w:rPr>
        <w:t>8. 投标费用</w:t>
      </w:r>
      <w:bookmarkEnd w:id="50"/>
      <w:bookmarkEnd w:id="51"/>
      <w:bookmarkEnd w:id="52"/>
    </w:p>
    <w:p w14:paraId="6FBBAB29">
      <w:pPr>
        <w:shd w:val="clear" w:color="auto" w:fill="FFFFFF"/>
        <w:spacing w:line="440" w:lineRule="exac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供应商应承担其编制响应文件与递交响应文件所涉及的一切费用，不论投标结果如何，采购人或采购代理机构均无义务和责任承担这些费用。</w:t>
      </w:r>
    </w:p>
    <w:p w14:paraId="7A5CF2A9">
      <w:pPr>
        <w:pStyle w:val="45"/>
        <w:spacing w:line="440" w:lineRule="exact"/>
        <w:ind w:firstLine="482" w:firstLineChars="200"/>
        <w:rPr>
          <w:rFonts w:hint="eastAsia" w:ascii="宋体" w:hAnsi="宋体" w:eastAsia="宋体" w:cs="宋体"/>
          <w:b/>
          <w:color w:val="auto"/>
          <w:sz w:val="24"/>
          <w:highlight w:val="none"/>
        </w:rPr>
      </w:pPr>
      <w:r>
        <w:rPr>
          <w:rFonts w:hint="eastAsia" w:ascii="宋体" w:hAnsi="宋体" w:eastAsia="宋体" w:cs="宋体"/>
          <w:b/>
          <w:color w:val="auto"/>
          <w:sz w:val="24"/>
          <w:highlight w:val="none"/>
        </w:rPr>
        <w:t>9.合格供应商的条件</w:t>
      </w:r>
    </w:p>
    <w:p w14:paraId="3632B939">
      <w:pPr>
        <w:pStyle w:val="45"/>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9.1具有本项目实施能力，符合、承认并承诺履行本文件各项规定的国内法人、其他组织或自然人均可参加投标。</w:t>
      </w:r>
    </w:p>
    <w:p w14:paraId="02C5EB23">
      <w:pPr>
        <w:pStyle w:val="45"/>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9.2 遵守有关的国家法律、法规和条例，具备《中华人民共和国政府采购法》和本文件中规定的条件：</w:t>
      </w:r>
    </w:p>
    <w:p w14:paraId="06347671">
      <w:pPr>
        <w:pStyle w:val="45"/>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9.2.1具有独立承担民事责任的能力； </w:t>
      </w:r>
    </w:p>
    <w:p w14:paraId="038D552B">
      <w:pPr>
        <w:pStyle w:val="45"/>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9.2.2具有良好的商业信誉和健全的财务会计制度；</w:t>
      </w:r>
    </w:p>
    <w:p w14:paraId="31218D9A">
      <w:pPr>
        <w:pStyle w:val="45"/>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9.2.3具有履行合同所必需的设备和专业技术能力；</w:t>
      </w:r>
    </w:p>
    <w:p w14:paraId="5A1401A1">
      <w:pPr>
        <w:pStyle w:val="45"/>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9.2.4具有依法缴纳税收和社会保障资金的良好记录；</w:t>
      </w:r>
    </w:p>
    <w:p w14:paraId="351B794E">
      <w:pPr>
        <w:pStyle w:val="45"/>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9.2.5参加政府采购活动前三年内，在经营活动中没有重大违法记录；</w:t>
      </w:r>
    </w:p>
    <w:p w14:paraId="1BB19A60">
      <w:pPr>
        <w:pStyle w:val="45"/>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9.2.6法律、行政法规规定的其他条件；</w:t>
      </w:r>
    </w:p>
    <w:p w14:paraId="7AD075E2">
      <w:pPr>
        <w:pStyle w:val="45"/>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9.2.7具有本竞争性磋商文件第二部分“供应商须知前附表”中第4项规定的资格条件。</w:t>
      </w:r>
    </w:p>
    <w:p w14:paraId="20358E61">
      <w:pPr>
        <w:pStyle w:val="45"/>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9.3供应商之间如果存在下列情形之一的，不得同时参加同一包（标段）或者不分包（标段）的同一项目投标：</w:t>
      </w:r>
    </w:p>
    <w:p w14:paraId="63F6E8E1">
      <w:pPr>
        <w:pStyle w:val="45"/>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9.3.1法定代表人为同一个人的两个及两个以上法人；</w:t>
      </w:r>
    </w:p>
    <w:p w14:paraId="1C201548">
      <w:pPr>
        <w:pStyle w:val="45"/>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9.3.2母公司、全资子公司及其控股公司；</w:t>
      </w:r>
    </w:p>
    <w:p w14:paraId="1BCE6815">
      <w:pPr>
        <w:pStyle w:val="45"/>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9.3.3参加投标的其他组织之间存在特殊的利害关系的；</w:t>
      </w:r>
    </w:p>
    <w:p w14:paraId="63602D72">
      <w:pPr>
        <w:pStyle w:val="45"/>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9.3.4法律和行政法规规定的其他情形。</w:t>
      </w:r>
    </w:p>
    <w:p w14:paraId="6D03F1D9">
      <w:pPr>
        <w:pStyle w:val="45"/>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9.4供应商授权代表须持有《法定代表人授权委托书》。</w:t>
      </w:r>
    </w:p>
    <w:p w14:paraId="3FB5A100">
      <w:pPr>
        <w:pStyle w:val="45"/>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9.5供应商</w:t>
      </w:r>
      <w:r>
        <w:rPr>
          <w:rFonts w:hint="eastAsia" w:ascii="宋体" w:hAnsi="宋体" w:eastAsia="宋体" w:cs="宋体"/>
          <w:bCs/>
          <w:color w:val="auto"/>
          <w:kern w:val="0"/>
          <w:sz w:val="24"/>
          <w:szCs w:val="24"/>
          <w:highlight w:val="none"/>
        </w:rPr>
        <w:t>通过</w:t>
      </w:r>
      <w:r>
        <w:rPr>
          <w:rFonts w:hint="eastAsia" w:ascii="宋体" w:hAnsi="宋体" w:eastAsia="宋体" w:cs="宋体"/>
          <w:bCs/>
          <w:color w:val="auto"/>
          <w:kern w:val="0"/>
          <w:sz w:val="24"/>
          <w:szCs w:val="24"/>
          <w:highlight w:val="none"/>
          <w:lang w:eastAsia="zh-CN"/>
        </w:rPr>
        <w:t>新疆政府采购网</w:t>
      </w:r>
      <w:r>
        <w:rPr>
          <w:rFonts w:hint="eastAsia" w:ascii="宋体" w:hAnsi="宋体" w:eastAsia="宋体" w:cs="宋体"/>
          <w:bCs/>
          <w:color w:val="auto"/>
          <w:kern w:val="0"/>
          <w:sz w:val="24"/>
          <w:szCs w:val="24"/>
          <w:highlight w:val="none"/>
        </w:rPr>
        <w:t>（</w:t>
      </w:r>
      <w:r>
        <w:rPr>
          <w:rFonts w:hint="eastAsia" w:ascii="宋体" w:hAnsi="宋体" w:eastAsia="宋体" w:cs="宋体"/>
          <w:bCs/>
          <w:color w:val="auto"/>
          <w:kern w:val="0"/>
          <w:sz w:val="24"/>
          <w:szCs w:val="24"/>
          <w:highlight w:val="none"/>
          <w:lang w:eastAsia="zh-CN"/>
        </w:rPr>
        <w:t>http://www.ccgp-xinjiang.gov.cn/</w:t>
      </w:r>
      <w:r>
        <w:rPr>
          <w:rFonts w:hint="eastAsia" w:ascii="宋体" w:hAnsi="宋体" w:eastAsia="宋体" w:cs="宋体"/>
          <w:bCs/>
          <w:color w:val="auto"/>
          <w:kern w:val="0"/>
          <w:sz w:val="24"/>
          <w:szCs w:val="24"/>
          <w:highlight w:val="none"/>
        </w:rPr>
        <w:t>）的”政采云登录入口”登录后，在</w:t>
      </w:r>
      <w:r>
        <w:rPr>
          <w:rFonts w:hint="eastAsia" w:ascii="宋体" w:hAnsi="宋体" w:eastAsia="宋体" w:cs="宋体"/>
          <w:color w:val="auto"/>
          <w:sz w:val="24"/>
          <w:highlight w:val="none"/>
        </w:rPr>
        <w:t>“项目采购”项下的“获取采购文件”自行领取竞争性磋商文件。</w:t>
      </w:r>
    </w:p>
    <w:p w14:paraId="28564737">
      <w:pPr>
        <w:pStyle w:val="45"/>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9.6供应商按时足额交纳磋商保证金。</w:t>
      </w:r>
    </w:p>
    <w:p w14:paraId="7986EE7F">
      <w:pPr>
        <w:spacing w:line="440" w:lineRule="exact"/>
        <w:ind w:firstLine="482" w:firstLineChars="200"/>
        <w:rPr>
          <w:rFonts w:hint="eastAsia" w:ascii="宋体" w:hAnsi="宋体" w:eastAsia="宋体" w:cs="宋体"/>
          <w:b/>
          <w:bCs/>
          <w:color w:val="auto"/>
          <w:sz w:val="24"/>
          <w:szCs w:val="24"/>
          <w:highlight w:val="none"/>
        </w:rPr>
      </w:pPr>
      <w:bookmarkStart w:id="53" w:name="_Toc37090971"/>
      <w:bookmarkStart w:id="54" w:name="_Toc6998"/>
      <w:bookmarkStart w:id="55" w:name="_Toc37090635"/>
      <w:r>
        <w:rPr>
          <w:rFonts w:hint="eastAsia" w:ascii="宋体" w:hAnsi="宋体" w:eastAsia="宋体" w:cs="宋体"/>
          <w:b/>
          <w:bCs/>
          <w:color w:val="auto"/>
          <w:sz w:val="24"/>
          <w:szCs w:val="24"/>
          <w:highlight w:val="none"/>
        </w:rPr>
        <w:t>10. 联合体</w:t>
      </w:r>
      <w:bookmarkEnd w:id="53"/>
      <w:bookmarkEnd w:id="54"/>
      <w:bookmarkEnd w:id="55"/>
    </w:p>
    <w:p w14:paraId="59AFBFB4">
      <w:pPr>
        <w:shd w:val="clear" w:color="auto" w:fill="FFFFFF"/>
        <w:spacing w:line="440" w:lineRule="exac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10.1供应商须知前附表中接受联合体的，供应商可以联合体形式参加磋商，否则联合体投标视为无效响应；接受联合体的，除应符合本章第7</w:t>
      </w:r>
      <w:r>
        <w:rPr>
          <w:rFonts w:hint="eastAsia" w:ascii="宋体" w:hAnsi="宋体" w:eastAsia="宋体" w:cs="宋体"/>
          <w:color w:val="auto"/>
          <w:kern w:val="0"/>
          <w:sz w:val="24"/>
          <w:szCs w:val="24"/>
          <w:highlight w:val="none"/>
          <w:lang w:val="zh-CN"/>
        </w:rPr>
        <w:t>款</w:t>
      </w:r>
      <w:r>
        <w:rPr>
          <w:rFonts w:hint="eastAsia" w:ascii="宋体" w:hAnsi="宋体" w:eastAsia="宋体" w:cs="宋体"/>
          <w:color w:val="auto"/>
          <w:kern w:val="0"/>
          <w:sz w:val="24"/>
          <w:szCs w:val="24"/>
          <w:highlight w:val="none"/>
        </w:rPr>
        <w:t xml:space="preserve">规定外，还应遵守以下规定： </w:t>
      </w:r>
    </w:p>
    <w:p w14:paraId="55E5C8FE">
      <w:pPr>
        <w:shd w:val="clear" w:color="auto" w:fill="FFFFFF"/>
        <w:spacing w:line="440" w:lineRule="exac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10.1.1联合体各方应按竞争性磋商文件提供的格式签订</w:t>
      </w:r>
      <w:r>
        <w:rPr>
          <w:rFonts w:hint="eastAsia" w:ascii="宋体" w:hAnsi="宋体" w:eastAsia="宋体" w:cs="宋体"/>
          <w:color w:val="auto"/>
          <w:kern w:val="0"/>
          <w:sz w:val="24"/>
          <w:szCs w:val="24"/>
          <w:highlight w:val="none"/>
          <w:u w:val="single"/>
        </w:rPr>
        <w:t>联合体协议</w:t>
      </w:r>
      <w:r>
        <w:rPr>
          <w:rFonts w:hint="eastAsia" w:ascii="宋体" w:hAnsi="宋体" w:eastAsia="宋体" w:cs="宋体"/>
          <w:color w:val="auto"/>
          <w:kern w:val="0"/>
          <w:sz w:val="24"/>
          <w:szCs w:val="24"/>
          <w:highlight w:val="none"/>
        </w:rPr>
        <w:t>，明确联合体牵头人和各方的权利义务、合同工作量比例；</w:t>
      </w:r>
    </w:p>
    <w:p w14:paraId="7234363A">
      <w:pPr>
        <w:shd w:val="clear" w:color="auto" w:fill="FFFFFF"/>
        <w:spacing w:line="440" w:lineRule="exac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10.1.2联合体各方签订联合体协议书后，不得再单独参加或者与其他供应商组成新的联合体参加同一项目的采购活动。</w:t>
      </w:r>
    </w:p>
    <w:p w14:paraId="36C9E06B">
      <w:pPr>
        <w:shd w:val="clear" w:color="auto" w:fill="FFFFFF"/>
        <w:spacing w:line="440" w:lineRule="exact"/>
        <w:ind w:firstLine="482" w:firstLineChars="200"/>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11.信用信息查询</w:t>
      </w:r>
    </w:p>
    <w:p w14:paraId="6A08024E">
      <w:pPr>
        <w:shd w:val="clear" w:color="auto" w:fill="FFFFFF"/>
        <w:spacing w:line="440" w:lineRule="exac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11.1查询渠道：“信用中国”网站（www.creditchina.gov.cn）、中国政府采购网（</w:t>
      </w: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HYPERLINK "http://www.ccgp.gov.cn"</w:instrText>
      </w:r>
      <w:r>
        <w:rPr>
          <w:rFonts w:hint="eastAsia" w:ascii="宋体" w:hAnsi="宋体" w:eastAsia="宋体" w:cs="宋体"/>
          <w:color w:val="auto"/>
          <w:szCs w:val="24"/>
          <w:highlight w:val="none"/>
        </w:rPr>
        <w:fldChar w:fldCharType="separate"/>
      </w:r>
      <w:r>
        <w:rPr>
          <w:rStyle w:val="30"/>
          <w:rFonts w:hint="eastAsia" w:ascii="宋体" w:hAnsi="宋体" w:eastAsia="宋体" w:cs="宋体"/>
          <w:color w:val="auto"/>
          <w:kern w:val="0"/>
          <w:sz w:val="24"/>
          <w:szCs w:val="24"/>
          <w:highlight w:val="none"/>
          <w:u w:val="none"/>
        </w:rPr>
        <w:t>www.ccgp.gov.cn</w:t>
      </w:r>
      <w:r>
        <w:rPr>
          <w:rFonts w:hint="eastAsia" w:ascii="宋体" w:hAnsi="宋体" w:eastAsia="宋体" w:cs="宋体"/>
          <w:color w:val="auto"/>
          <w:kern w:val="0"/>
          <w:sz w:val="24"/>
          <w:szCs w:val="24"/>
          <w:highlight w:val="none"/>
        </w:rPr>
        <w:fldChar w:fldCharType="end"/>
      </w:r>
      <w:r>
        <w:rPr>
          <w:rFonts w:hint="eastAsia" w:ascii="宋体" w:hAnsi="宋体" w:eastAsia="宋体" w:cs="宋体"/>
          <w:color w:val="auto"/>
          <w:kern w:val="0"/>
          <w:sz w:val="24"/>
          <w:szCs w:val="24"/>
          <w:highlight w:val="none"/>
        </w:rPr>
        <w:t>）。</w:t>
      </w:r>
    </w:p>
    <w:p w14:paraId="571A8006">
      <w:pPr>
        <w:shd w:val="clear" w:color="auto" w:fill="FFFFFF"/>
        <w:spacing w:line="440" w:lineRule="exac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11.2查询截止时间：</w:t>
      </w:r>
      <w:r>
        <w:rPr>
          <w:rFonts w:hint="eastAsia" w:ascii="宋体" w:hAnsi="宋体" w:eastAsia="宋体" w:cs="宋体"/>
          <w:color w:val="auto"/>
          <w:sz w:val="24"/>
          <w:szCs w:val="24"/>
          <w:highlight w:val="none"/>
          <w:lang w:val="en-US" w:eastAsia="zh-CN"/>
        </w:rPr>
        <w:t>同响应截止时间</w:t>
      </w:r>
      <w:r>
        <w:rPr>
          <w:rFonts w:hint="eastAsia" w:ascii="宋体" w:hAnsi="宋体" w:eastAsia="宋体" w:cs="宋体"/>
          <w:color w:val="auto"/>
          <w:sz w:val="24"/>
          <w:szCs w:val="24"/>
          <w:highlight w:val="none"/>
        </w:rPr>
        <w:t>。</w:t>
      </w:r>
    </w:p>
    <w:p w14:paraId="2396364C">
      <w:pPr>
        <w:shd w:val="clear" w:color="auto" w:fill="FFFFFF"/>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11.3根据《关于在政府采购活动中查询及使用信用记录有关问题的通知》(财库[2016]125号)的规定，对被列入“失信被执行人”、“重大税收违法案件当事人名单”、“政府采购严重违法失信行为记录名单”的供应商，拒绝参与本项目政府采购活动。</w:t>
      </w:r>
    </w:p>
    <w:p w14:paraId="3A051474">
      <w:pPr>
        <w:shd w:val="clear" w:color="auto" w:fill="FFFFFF"/>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11.4信用信息查询由采购代理机构在开标/磋商后通过本须知11.1所述渠道进行网上查询，对存在本须知11.3所述情形的供应商，将对其查询结果的网页截图作为查询记录和证据留存。</w:t>
      </w:r>
    </w:p>
    <w:p w14:paraId="0E760083">
      <w:pPr>
        <w:shd w:val="clear" w:color="auto" w:fill="FFFFFF"/>
        <w:spacing w:line="440" w:lineRule="exac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11.5两个以上的自然人、法人或者其他组织组成一个联合体，以一个供应商的身份共同参加政府采购活动的，将对所有联合体成员进行信用记录查询，联合体成员存在不良信用记录的，视同联合体存在不良信用记录。</w:t>
      </w:r>
    </w:p>
    <w:bookmarkEnd w:id="28"/>
    <w:p w14:paraId="3E956B13">
      <w:pPr>
        <w:spacing w:before="156" w:beforeLines="50" w:after="156" w:afterLines="50" w:line="440" w:lineRule="exact"/>
        <w:jc w:val="center"/>
        <w:rPr>
          <w:rFonts w:hint="eastAsia" w:ascii="宋体" w:hAnsi="宋体" w:eastAsia="宋体" w:cs="宋体"/>
          <w:b/>
          <w:color w:val="auto"/>
          <w:kern w:val="0"/>
          <w:sz w:val="24"/>
          <w:szCs w:val="24"/>
          <w:highlight w:val="none"/>
          <w:lang w:val="zh-CN"/>
        </w:rPr>
      </w:pPr>
      <w:bookmarkStart w:id="56" w:name="_Toc37090636"/>
      <w:bookmarkStart w:id="57" w:name="_Toc37090972"/>
      <w:r>
        <w:rPr>
          <w:rFonts w:hint="eastAsia" w:ascii="宋体" w:hAnsi="宋体" w:eastAsia="宋体" w:cs="宋体"/>
          <w:b/>
          <w:color w:val="auto"/>
          <w:kern w:val="0"/>
          <w:sz w:val="24"/>
          <w:szCs w:val="24"/>
          <w:highlight w:val="none"/>
          <w:lang w:val="zh-CN"/>
        </w:rPr>
        <w:t>（二）</w:t>
      </w:r>
      <w:bookmarkEnd w:id="56"/>
      <w:bookmarkEnd w:id="57"/>
      <w:r>
        <w:rPr>
          <w:rFonts w:hint="eastAsia" w:ascii="宋体" w:hAnsi="宋体" w:eastAsia="宋体" w:cs="宋体"/>
          <w:b/>
          <w:color w:val="auto"/>
          <w:kern w:val="0"/>
          <w:sz w:val="24"/>
          <w:szCs w:val="24"/>
          <w:highlight w:val="none"/>
          <w:lang w:val="zh-CN"/>
        </w:rPr>
        <w:t>竞争性磋商文件</w:t>
      </w:r>
    </w:p>
    <w:p w14:paraId="6588BC20">
      <w:pPr>
        <w:spacing w:line="440" w:lineRule="exact"/>
        <w:ind w:firstLine="482" w:firstLineChars="200"/>
        <w:rPr>
          <w:rFonts w:hint="eastAsia" w:ascii="宋体" w:hAnsi="宋体" w:eastAsia="宋体" w:cs="宋体"/>
          <w:b/>
          <w:bCs/>
          <w:color w:val="auto"/>
          <w:sz w:val="24"/>
          <w:szCs w:val="24"/>
          <w:highlight w:val="none"/>
        </w:rPr>
      </w:pPr>
      <w:bookmarkStart w:id="58" w:name="_Toc10669"/>
      <w:bookmarkStart w:id="59" w:name="_Toc37090637"/>
      <w:bookmarkStart w:id="60" w:name="_Toc37090973"/>
      <w:r>
        <w:rPr>
          <w:rFonts w:hint="eastAsia" w:ascii="宋体" w:hAnsi="宋体" w:eastAsia="宋体" w:cs="宋体"/>
          <w:b/>
          <w:bCs/>
          <w:color w:val="auto"/>
          <w:sz w:val="24"/>
          <w:szCs w:val="24"/>
          <w:highlight w:val="none"/>
        </w:rPr>
        <w:t>12. 竞争性磋商文件的组成</w:t>
      </w:r>
      <w:bookmarkEnd w:id="58"/>
      <w:bookmarkEnd w:id="59"/>
      <w:bookmarkEnd w:id="60"/>
    </w:p>
    <w:p w14:paraId="1F9C4FF1">
      <w:pPr>
        <w:shd w:val="clear" w:color="auto" w:fill="FFFFFF"/>
        <w:spacing w:line="440" w:lineRule="exac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12.1 竞争性磋商文件包括下列内容</w:t>
      </w:r>
    </w:p>
    <w:p w14:paraId="4D5510F8">
      <w:pPr>
        <w:shd w:val="clear" w:color="auto" w:fill="FFFFFF"/>
        <w:spacing w:line="440" w:lineRule="exac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第一章 竞争性磋商公告</w:t>
      </w:r>
    </w:p>
    <w:p w14:paraId="3B7DFDD8">
      <w:pPr>
        <w:shd w:val="clear" w:color="auto" w:fill="FFFFFF"/>
        <w:spacing w:line="440" w:lineRule="exac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第二章 供应商须知</w:t>
      </w:r>
    </w:p>
    <w:p w14:paraId="4CCD6A2E">
      <w:pPr>
        <w:shd w:val="clear" w:color="auto" w:fill="FFFFFF"/>
        <w:spacing w:line="440" w:lineRule="exac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第三章 合同条款</w:t>
      </w:r>
    </w:p>
    <w:p w14:paraId="6DC7E9BD">
      <w:pPr>
        <w:shd w:val="clear" w:color="auto" w:fill="FFFFFF"/>
        <w:spacing w:line="440" w:lineRule="exac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第四章 采购需求</w:t>
      </w:r>
    </w:p>
    <w:p w14:paraId="69D52207">
      <w:pPr>
        <w:shd w:val="clear" w:color="auto" w:fill="FFFFFF"/>
        <w:spacing w:line="440" w:lineRule="exac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第五章 评审办法</w:t>
      </w:r>
    </w:p>
    <w:p w14:paraId="10EEBCA3">
      <w:pPr>
        <w:shd w:val="clear" w:color="auto" w:fill="FFFFFF"/>
        <w:spacing w:line="440" w:lineRule="exac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第六章 响应文件格式</w:t>
      </w:r>
    </w:p>
    <w:p w14:paraId="4990AEA7">
      <w:pPr>
        <w:shd w:val="clear" w:color="auto" w:fill="FFFFFF"/>
        <w:autoSpaceDE w:val="0"/>
        <w:autoSpaceDN w:val="0"/>
        <w:adjustRightInd w:val="0"/>
        <w:spacing w:line="440" w:lineRule="exact"/>
        <w:ind w:firstLine="480" w:firstLineChars="20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 xml:space="preserve">12.2 </w:t>
      </w:r>
      <w:r>
        <w:rPr>
          <w:rFonts w:hint="eastAsia" w:ascii="宋体" w:hAnsi="宋体" w:eastAsia="宋体" w:cs="宋体"/>
          <w:b/>
          <w:bCs/>
          <w:color w:val="auto"/>
          <w:sz w:val="24"/>
          <w:szCs w:val="24"/>
          <w:highlight w:val="none"/>
        </w:rPr>
        <w:t>本次磋商</w:t>
      </w:r>
      <w:r>
        <w:rPr>
          <w:rFonts w:hint="eastAsia" w:ascii="宋体" w:hAnsi="宋体" w:eastAsia="宋体" w:cs="宋体"/>
          <w:b/>
          <w:color w:val="auto"/>
          <w:sz w:val="24"/>
          <w:szCs w:val="24"/>
          <w:highlight w:val="none"/>
          <w:lang w:val="zh-CN"/>
        </w:rPr>
        <w:t>的最小单位是标项。竞争性磋商文件未分标项的，供应商须对全部</w:t>
      </w:r>
      <w:r>
        <w:rPr>
          <w:rFonts w:hint="eastAsia" w:ascii="宋体" w:hAnsi="宋体" w:eastAsia="宋体" w:cs="宋体"/>
          <w:b/>
          <w:color w:val="auto"/>
          <w:sz w:val="24"/>
          <w:szCs w:val="24"/>
          <w:highlight w:val="none"/>
        </w:rPr>
        <w:t>采购</w:t>
      </w:r>
      <w:r>
        <w:rPr>
          <w:rFonts w:hint="eastAsia" w:ascii="宋体" w:hAnsi="宋体" w:eastAsia="宋体" w:cs="宋体"/>
          <w:b/>
          <w:color w:val="auto"/>
          <w:sz w:val="24"/>
          <w:szCs w:val="24"/>
          <w:highlight w:val="none"/>
          <w:lang w:val="zh-CN"/>
        </w:rPr>
        <w:t>内容投标，不得部分投标；竞争性磋商文件分标项的，供应商应当以标项为单位编制并提交响应文件</w:t>
      </w:r>
      <w:r>
        <w:rPr>
          <w:rFonts w:hint="eastAsia" w:ascii="宋体" w:hAnsi="宋体" w:eastAsia="宋体" w:cs="宋体"/>
          <w:color w:val="auto"/>
          <w:sz w:val="24"/>
          <w:szCs w:val="24"/>
          <w:highlight w:val="none"/>
          <w:lang w:val="zh-CN"/>
        </w:rPr>
        <w:t>。</w:t>
      </w:r>
    </w:p>
    <w:p w14:paraId="4FA33E81">
      <w:pPr>
        <w:shd w:val="clear" w:color="auto" w:fill="FFFFFF"/>
        <w:spacing w:line="440" w:lineRule="exac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lang w:val="zh-CN"/>
        </w:rPr>
        <w:t>12.3 竞争性磋商文件如果要求供应商提交备选投标方案的，供应商可以提交备选方案；否则，备选方案将被拒绝。</w:t>
      </w:r>
    </w:p>
    <w:p w14:paraId="371D596E">
      <w:pPr>
        <w:shd w:val="clear" w:color="auto" w:fill="FFFFFF"/>
        <w:spacing w:line="440" w:lineRule="exact"/>
        <w:ind w:firstLine="480" w:firstLineChars="20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12.4 竞争性磋商文件由本文件及由采购人按竞争性磋商文件有关规定发出的竞争性磋商文件补充构成。</w:t>
      </w:r>
    </w:p>
    <w:p w14:paraId="38FC9E4F">
      <w:pPr>
        <w:shd w:val="clear" w:color="auto" w:fill="FFFFFF"/>
        <w:spacing w:line="440" w:lineRule="exact"/>
        <w:ind w:firstLine="480" w:firstLineChars="20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12.5 竞争性磋商文件的澄清、修改、</w:t>
      </w:r>
      <w:r>
        <w:rPr>
          <w:rFonts w:hint="eastAsia" w:ascii="宋体" w:hAnsi="宋体" w:eastAsia="宋体" w:cs="宋体"/>
          <w:color w:val="auto"/>
          <w:sz w:val="24"/>
          <w:szCs w:val="24"/>
          <w:highlight w:val="none"/>
        </w:rPr>
        <w:t>磋商</w:t>
      </w:r>
      <w:r>
        <w:rPr>
          <w:rFonts w:hint="eastAsia" w:ascii="宋体" w:hAnsi="宋体" w:eastAsia="宋体" w:cs="宋体"/>
          <w:color w:val="auto"/>
          <w:sz w:val="24"/>
          <w:szCs w:val="24"/>
          <w:highlight w:val="none"/>
          <w:lang w:val="zh-CN"/>
        </w:rPr>
        <w:t>答疑会纪要等书面材料在本采购项目中均称竞争性磋商文件补充。</w:t>
      </w:r>
    </w:p>
    <w:p w14:paraId="5B72B578">
      <w:pPr>
        <w:shd w:val="clear" w:color="auto" w:fill="FFFFFF"/>
        <w:spacing w:line="440" w:lineRule="exact"/>
        <w:ind w:firstLine="480" w:firstLineChars="20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12.6 竞争性磋商文件补充作为竞争性磋商文件的组成部分，对供应商起同等约束作用。如果竞争性磋商文件补充内容与在此竞争性磋商文件补充发出之前的竞争性磋商文件等书面材料中相关内容相冲突，请供应商执行竞争性磋商文件补充的相关内容，先前发出的竞争性磋商文件等书面材料中相关内容自动废止。</w:t>
      </w:r>
    </w:p>
    <w:p w14:paraId="0DB2A0F4">
      <w:pPr>
        <w:shd w:val="clear" w:color="auto" w:fill="FFFFFF"/>
        <w:spacing w:line="440" w:lineRule="exact"/>
        <w:ind w:firstLine="480" w:firstLineChars="20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12.7 供应商应认真审阅和理解竞争性磋商文件所有内容，尤其注意可能引起“否决投标”、“拒绝评审”、“无效响应”、“评审不予通过”等的条款，按照竞争性磋商文件要求编制响应文件。任何对竞争性磋商文件的忽略或误解不能作为响应文件存在缺陷或瑕疵的理由，其风险由供应商承担。</w:t>
      </w:r>
    </w:p>
    <w:p w14:paraId="788C096E">
      <w:pPr>
        <w:spacing w:line="440" w:lineRule="exact"/>
        <w:ind w:firstLine="482" w:firstLineChars="200"/>
        <w:rPr>
          <w:rFonts w:hint="eastAsia" w:ascii="宋体" w:hAnsi="宋体" w:eastAsia="宋体" w:cs="宋体"/>
          <w:b/>
          <w:bCs/>
          <w:color w:val="auto"/>
          <w:sz w:val="24"/>
          <w:szCs w:val="24"/>
          <w:highlight w:val="none"/>
          <w:lang w:val="zh-CN"/>
        </w:rPr>
      </w:pPr>
      <w:bookmarkStart w:id="61" w:name="_Toc37090638"/>
      <w:bookmarkStart w:id="62" w:name="_Toc12268"/>
      <w:bookmarkStart w:id="63" w:name="_Toc37090974"/>
      <w:r>
        <w:rPr>
          <w:rFonts w:hint="eastAsia" w:ascii="宋体" w:hAnsi="宋体" w:eastAsia="宋体" w:cs="宋体"/>
          <w:b/>
          <w:bCs/>
          <w:color w:val="auto"/>
          <w:sz w:val="24"/>
          <w:szCs w:val="24"/>
          <w:highlight w:val="none"/>
          <w:lang w:val="zh-CN"/>
        </w:rPr>
        <w:t>13. 竞争性磋商文件的获取</w:t>
      </w:r>
      <w:bookmarkEnd w:id="61"/>
      <w:bookmarkEnd w:id="62"/>
      <w:bookmarkEnd w:id="63"/>
    </w:p>
    <w:p w14:paraId="270A4D95">
      <w:pPr>
        <w:shd w:val="clear" w:color="auto" w:fill="FFFFFF"/>
        <w:spacing w:line="440" w:lineRule="exac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13.1竞争性磋商文件的提供期限自开始发出之日起不得少于五个工作日。具体提供期限见</w:t>
      </w:r>
      <w:r>
        <w:rPr>
          <w:rFonts w:hint="eastAsia" w:ascii="宋体" w:hAnsi="宋体" w:eastAsia="宋体" w:cs="宋体"/>
          <w:b/>
          <w:color w:val="auto"/>
          <w:kern w:val="0"/>
          <w:sz w:val="24"/>
          <w:szCs w:val="24"/>
          <w:highlight w:val="none"/>
        </w:rPr>
        <w:t>竞争性磋商公告</w:t>
      </w:r>
      <w:r>
        <w:rPr>
          <w:rFonts w:hint="eastAsia" w:ascii="宋体" w:hAnsi="宋体" w:eastAsia="宋体" w:cs="宋体"/>
          <w:color w:val="auto"/>
          <w:kern w:val="0"/>
          <w:sz w:val="24"/>
          <w:szCs w:val="24"/>
          <w:highlight w:val="none"/>
        </w:rPr>
        <w:t>。</w:t>
      </w:r>
    </w:p>
    <w:p w14:paraId="3B2D8977">
      <w:pPr>
        <w:shd w:val="clear" w:color="auto" w:fill="FFFFFF"/>
        <w:spacing w:line="440" w:lineRule="exac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13.2凡符合资格要求并有意参加磋商的供应商,</w:t>
      </w:r>
      <w:r>
        <w:rPr>
          <w:rFonts w:hint="eastAsia" w:ascii="宋体" w:hAnsi="宋体" w:eastAsia="宋体" w:cs="宋体"/>
          <w:bCs/>
          <w:color w:val="auto"/>
          <w:kern w:val="0"/>
          <w:sz w:val="24"/>
          <w:szCs w:val="24"/>
          <w:highlight w:val="none"/>
        </w:rPr>
        <w:t>通过</w:t>
      </w:r>
      <w:r>
        <w:rPr>
          <w:rFonts w:hint="eastAsia" w:ascii="宋体" w:hAnsi="宋体" w:eastAsia="宋体" w:cs="宋体"/>
          <w:bCs/>
          <w:color w:val="auto"/>
          <w:kern w:val="0"/>
          <w:sz w:val="24"/>
          <w:szCs w:val="24"/>
          <w:highlight w:val="none"/>
          <w:lang w:eastAsia="zh-CN"/>
        </w:rPr>
        <w:t>新疆政府采购网</w:t>
      </w:r>
      <w:r>
        <w:rPr>
          <w:rFonts w:hint="eastAsia" w:ascii="宋体" w:hAnsi="宋体" w:eastAsia="宋体" w:cs="宋体"/>
          <w:bCs/>
          <w:color w:val="auto"/>
          <w:kern w:val="0"/>
          <w:sz w:val="24"/>
          <w:szCs w:val="24"/>
          <w:highlight w:val="none"/>
        </w:rPr>
        <w:t>（</w:t>
      </w:r>
      <w:r>
        <w:rPr>
          <w:rFonts w:hint="eastAsia" w:ascii="宋体" w:hAnsi="宋体" w:eastAsia="宋体" w:cs="宋体"/>
          <w:bCs/>
          <w:color w:val="auto"/>
          <w:kern w:val="0"/>
          <w:sz w:val="24"/>
          <w:szCs w:val="24"/>
          <w:highlight w:val="none"/>
          <w:lang w:eastAsia="zh-CN"/>
        </w:rPr>
        <w:t>http://www.ccgp-xinjiang.gov.cn/</w:t>
      </w:r>
      <w:r>
        <w:rPr>
          <w:rFonts w:hint="eastAsia" w:ascii="宋体" w:hAnsi="宋体" w:eastAsia="宋体" w:cs="宋体"/>
          <w:bCs/>
          <w:color w:val="auto"/>
          <w:kern w:val="0"/>
          <w:sz w:val="24"/>
          <w:szCs w:val="24"/>
          <w:highlight w:val="none"/>
        </w:rPr>
        <w:t>）的”政采云登录入口”登录递交申请资料，经采购代理机构审核通过后，在</w:t>
      </w:r>
      <w:r>
        <w:rPr>
          <w:rFonts w:hint="eastAsia" w:ascii="宋体" w:hAnsi="宋体" w:eastAsia="宋体" w:cs="宋体"/>
          <w:color w:val="auto"/>
          <w:sz w:val="24"/>
          <w:highlight w:val="none"/>
        </w:rPr>
        <w:t>“项目采购”项下的“获取采购文件”自行领取竞争性磋商文件。</w:t>
      </w:r>
    </w:p>
    <w:p w14:paraId="74DECCBD">
      <w:pPr>
        <w:spacing w:line="440" w:lineRule="exact"/>
        <w:ind w:firstLine="482" w:firstLineChars="200"/>
        <w:rPr>
          <w:rFonts w:hint="eastAsia" w:ascii="宋体" w:hAnsi="宋体" w:eastAsia="宋体" w:cs="宋体"/>
          <w:b/>
          <w:bCs/>
          <w:color w:val="auto"/>
          <w:sz w:val="24"/>
          <w:szCs w:val="24"/>
          <w:highlight w:val="none"/>
          <w:lang w:val="zh-CN"/>
        </w:rPr>
      </w:pPr>
      <w:bookmarkStart w:id="64" w:name="_Toc37090639"/>
      <w:bookmarkStart w:id="65" w:name="_Toc28565"/>
      <w:bookmarkStart w:id="66" w:name="_Toc37090975"/>
      <w:r>
        <w:rPr>
          <w:rFonts w:hint="eastAsia" w:ascii="宋体" w:hAnsi="宋体" w:eastAsia="宋体" w:cs="宋体"/>
          <w:b/>
          <w:bCs/>
          <w:color w:val="auto"/>
          <w:sz w:val="24"/>
          <w:szCs w:val="24"/>
          <w:highlight w:val="none"/>
          <w:lang w:val="zh-CN"/>
        </w:rPr>
        <w:t>14. 竞争性磋商文件的澄清或修改</w:t>
      </w:r>
      <w:bookmarkEnd w:id="64"/>
      <w:bookmarkEnd w:id="65"/>
      <w:bookmarkEnd w:id="66"/>
    </w:p>
    <w:p w14:paraId="695C1E8D">
      <w:pPr>
        <w:shd w:val="clear" w:color="auto" w:fill="FFFFFF"/>
        <w:spacing w:line="440" w:lineRule="exac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14.1供应商若对竞争性磋商文件有任何疑问，应当在获取竞争性磋商文件或者竞争性磋商文件公告期限届满之日起7个工作日内提出。本项目接受对竞争性磋商文件质疑的截止时间见“前附表”第12项，供应商须在截止时间前一次性提出对竞争性磋商文件质疑内容。供应商提出质疑应当提交质疑函和必要的证明材料。质疑函应当包括下列内容：</w:t>
      </w:r>
    </w:p>
    <w:p w14:paraId="0428BBF6">
      <w:pPr>
        <w:shd w:val="clear" w:color="auto" w:fill="FFFFFF"/>
        <w:spacing w:line="440" w:lineRule="exac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14.1.1供应商的姓名或者名称、地址、邮编、联系人及联系电话；</w:t>
      </w:r>
    </w:p>
    <w:p w14:paraId="07B19FDC">
      <w:pPr>
        <w:shd w:val="clear" w:color="auto" w:fill="FFFFFF"/>
        <w:spacing w:line="440" w:lineRule="exac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14.1.2质疑项目的名称、编号；</w:t>
      </w:r>
    </w:p>
    <w:p w14:paraId="1E766734">
      <w:pPr>
        <w:shd w:val="clear" w:color="auto" w:fill="FFFFFF"/>
        <w:spacing w:line="440" w:lineRule="exac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14.1.3具体、明确的质疑事项和与质疑事项相关的请求；</w:t>
      </w:r>
    </w:p>
    <w:p w14:paraId="07CB1368">
      <w:pPr>
        <w:shd w:val="clear" w:color="auto" w:fill="FFFFFF"/>
        <w:spacing w:line="440" w:lineRule="exac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14.1.4事实依据；</w:t>
      </w:r>
    </w:p>
    <w:p w14:paraId="04C649A9">
      <w:pPr>
        <w:shd w:val="clear" w:color="auto" w:fill="FFFFFF"/>
        <w:spacing w:line="440" w:lineRule="exac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14.1.5必要的法律依据；</w:t>
      </w:r>
    </w:p>
    <w:p w14:paraId="5246D102">
      <w:pPr>
        <w:shd w:val="clear" w:color="auto" w:fill="FFFFFF"/>
        <w:spacing w:line="440" w:lineRule="exac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14.1.6提出质疑的日期。</w:t>
      </w:r>
    </w:p>
    <w:p w14:paraId="79C6CEA5">
      <w:pPr>
        <w:shd w:val="clear" w:color="auto" w:fill="FFFFFF"/>
        <w:spacing w:line="440" w:lineRule="exac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lang w:val="zh-CN"/>
        </w:rPr>
        <w:t>供应商为自然人的，应当由本人签字；供应商为法人或者其他组织的，应当由法定代表人、主要负责人，或者其授权代表签字或者盖章，并加盖投标单位公章。</w:t>
      </w:r>
    </w:p>
    <w:p w14:paraId="1F3A748B">
      <w:pPr>
        <w:shd w:val="clear" w:color="auto" w:fill="FFFFFF"/>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zh-CN"/>
        </w:rPr>
        <w:t>14.2</w:t>
      </w:r>
      <w:r>
        <w:rPr>
          <w:rFonts w:hint="eastAsia" w:ascii="宋体" w:hAnsi="宋体" w:eastAsia="宋体" w:cs="宋体"/>
          <w:color w:val="auto"/>
          <w:sz w:val="24"/>
          <w:szCs w:val="24"/>
          <w:highlight w:val="none"/>
        </w:rPr>
        <w:t xml:space="preserve"> 在响应文件递交截止期前的任何时候，无论出于何种原因，采购人均可主动地或在解答供应商提出的澄清问题时对竞争性磋商文件进行修改。</w:t>
      </w:r>
    </w:p>
    <w:p w14:paraId="1F0C7044">
      <w:pPr>
        <w:shd w:val="clear" w:color="auto" w:fill="FFFFFF"/>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14.3 竞争性磋商文件的修改将以书面形式通知所有参与磋商的供应商，并对其具有约束力，供应商应立即以传真形式回复采购人，确认已收到修改文件。</w:t>
      </w:r>
    </w:p>
    <w:p w14:paraId="0FCE98F6">
      <w:pPr>
        <w:shd w:val="clear" w:color="auto" w:fill="FFFFFF"/>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14.4为使供应商有充分的时间对竞争性磋商文件的修改文件进行研究，采购人有权推迟磋商时间，并将此变更书面通知所有参与磋商的供应商。</w:t>
      </w:r>
    </w:p>
    <w:p w14:paraId="0D287198">
      <w:pPr>
        <w:shd w:val="clear" w:color="auto" w:fill="FFFFFF"/>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14.5 在上述情况下，采购人与供应商响应文件递交截止日前的全部权利、责任和义务，将适用于延长后的响应文件递交截止期。</w:t>
      </w:r>
    </w:p>
    <w:p w14:paraId="7E20518C">
      <w:pPr>
        <w:shd w:val="clear" w:color="auto" w:fill="FFFFFF"/>
        <w:spacing w:line="440" w:lineRule="exac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14.6 </w:t>
      </w:r>
      <w:r>
        <w:rPr>
          <w:rFonts w:hint="eastAsia" w:ascii="宋体" w:hAnsi="宋体" w:eastAsia="宋体" w:cs="宋体"/>
          <w:color w:val="auto"/>
          <w:sz w:val="24"/>
          <w:szCs w:val="24"/>
          <w:highlight w:val="none"/>
        </w:rPr>
        <w:t>供应商领取竞争性磋商文件后，应仔细检查竞争性磋商文件的所有内容，如有残缺应在领到竞争性磋商文件后5日内向采购代理机构提出，否则，由此引起的损失自负；供应商同时应认真审阅竞争性磋商文件所有的事项、格式、条款和规范要求等，如果供应商没有按竞争性磋商文件要求提交全部资料或者没有对竞争性磋商文件做出实质性响应，其风险应由供应商自行承担。</w:t>
      </w:r>
    </w:p>
    <w:p w14:paraId="59A2558E">
      <w:pPr>
        <w:shd w:val="clear" w:color="auto" w:fill="FFFFFF"/>
        <w:spacing w:line="440" w:lineRule="exact"/>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kern w:val="0"/>
          <w:sz w:val="24"/>
          <w:szCs w:val="24"/>
          <w:highlight w:val="none"/>
        </w:rPr>
        <w:t>14.6响应文件递交截止时间前，供应商须随时关注本项目竞争性磋商公告发布网站（</w:t>
      </w:r>
      <w:r>
        <w:rPr>
          <w:rFonts w:hint="eastAsia" w:ascii="宋体" w:hAnsi="宋体" w:eastAsia="宋体" w:cs="宋体"/>
          <w:color w:val="auto"/>
          <w:kern w:val="0"/>
          <w:sz w:val="24"/>
          <w:szCs w:val="24"/>
          <w:highlight w:val="none"/>
          <w:lang w:eastAsia="zh-CN"/>
        </w:rPr>
        <w:t>新疆政府采购网</w:t>
      </w: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lang w:eastAsia="zh-CN"/>
        </w:rPr>
        <w:t>http://www.ccgp-xinjiang.gov.cn/</w:t>
      </w:r>
      <w:r>
        <w:rPr>
          <w:rFonts w:hint="eastAsia" w:ascii="宋体" w:hAnsi="宋体" w:eastAsia="宋体" w:cs="宋体"/>
          <w:color w:val="auto"/>
          <w:kern w:val="0"/>
          <w:sz w:val="24"/>
          <w:szCs w:val="24"/>
          <w:highlight w:val="none"/>
        </w:rPr>
        <w:t>））上本项目的最新</w:t>
      </w:r>
      <w:r>
        <w:rPr>
          <w:rFonts w:hint="eastAsia" w:ascii="宋体" w:hAnsi="宋体" w:eastAsia="宋体" w:cs="宋体"/>
          <w:color w:val="auto"/>
          <w:sz w:val="24"/>
          <w:szCs w:val="24"/>
          <w:highlight w:val="none"/>
        </w:rPr>
        <w:t>的变更公告、更正公告、澄清公告等相关信息，并对上述查看行为自行承担责任；供应商对索取书面修改或者澄清文件或者查阅电子修改或者澄清文件的行为自行承担责任，在响应文件递交截止时间后递交的响应文件视为无效响应文件。</w:t>
      </w:r>
    </w:p>
    <w:p w14:paraId="33B3004F">
      <w:pPr>
        <w:spacing w:line="440" w:lineRule="exact"/>
        <w:ind w:firstLine="482" w:firstLineChars="200"/>
        <w:rPr>
          <w:rFonts w:hint="eastAsia" w:ascii="宋体" w:hAnsi="宋体" w:eastAsia="宋体" w:cs="宋体"/>
          <w:b/>
          <w:bCs/>
          <w:color w:val="auto"/>
          <w:sz w:val="24"/>
          <w:szCs w:val="24"/>
          <w:highlight w:val="none"/>
          <w:lang w:val="zh-CN"/>
        </w:rPr>
      </w:pPr>
      <w:bookmarkStart w:id="67" w:name="_Toc37090640"/>
      <w:bookmarkStart w:id="68" w:name="_Toc37090976"/>
      <w:bookmarkStart w:id="69" w:name="_Toc18141"/>
      <w:r>
        <w:rPr>
          <w:rFonts w:hint="eastAsia" w:ascii="宋体" w:hAnsi="宋体" w:eastAsia="宋体" w:cs="宋体"/>
          <w:b/>
          <w:bCs/>
          <w:color w:val="auto"/>
          <w:sz w:val="24"/>
          <w:szCs w:val="24"/>
          <w:highlight w:val="none"/>
          <w:lang w:val="zh-CN"/>
        </w:rPr>
        <w:t xml:space="preserve">15. </w:t>
      </w:r>
      <w:r>
        <w:rPr>
          <w:rFonts w:hint="eastAsia" w:ascii="宋体" w:hAnsi="宋体" w:eastAsia="宋体" w:cs="宋体"/>
          <w:b/>
          <w:bCs/>
          <w:color w:val="auto"/>
          <w:sz w:val="24"/>
          <w:szCs w:val="24"/>
          <w:highlight w:val="none"/>
        </w:rPr>
        <w:t xml:space="preserve"> 磋商</w:t>
      </w:r>
      <w:r>
        <w:rPr>
          <w:rFonts w:hint="eastAsia" w:ascii="宋体" w:hAnsi="宋体" w:eastAsia="宋体" w:cs="宋体"/>
          <w:b/>
          <w:bCs/>
          <w:color w:val="auto"/>
          <w:sz w:val="24"/>
          <w:szCs w:val="24"/>
          <w:highlight w:val="none"/>
          <w:lang w:val="zh-CN"/>
        </w:rPr>
        <w:t>报价</w:t>
      </w:r>
      <w:bookmarkEnd w:id="67"/>
      <w:bookmarkEnd w:id="68"/>
      <w:bookmarkEnd w:id="69"/>
    </w:p>
    <w:p w14:paraId="1C684310">
      <w:pPr>
        <w:shd w:val="clear" w:color="auto" w:fill="FFFFFF"/>
        <w:spacing w:line="440" w:lineRule="exac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15.1 本采购项目使用的货币为</w:t>
      </w:r>
      <w:r>
        <w:rPr>
          <w:rFonts w:hint="eastAsia" w:ascii="宋体" w:hAnsi="宋体" w:eastAsia="宋体" w:cs="宋体"/>
          <w:color w:val="auto"/>
          <w:kern w:val="0"/>
          <w:sz w:val="24"/>
          <w:szCs w:val="24"/>
          <w:highlight w:val="none"/>
          <w:u w:val="single"/>
        </w:rPr>
        <w:t xml:space="preserve"> 人民币 </w:t>
      </w:r>
      <w:r>
        <w:rPr>
          <w:rFonts w:hint="eastAsia" w:ascii="宋体" w:hAnsi="宋体" w:eastAsia="宋体" w:cs="宋体"/>
          <w:color w:val="auto"/>
          <w:kern w:val="0"/>
          <w:sz w:val="24"/>
          <w:szCs w:val="24"/>
          <w:highlight w:val="none"/>
        </w:rPr>
        <w:t>，实施时亦以</w:t>
      </w:r>
      <w:r>
        <w:rPr>
          <w:rFonts w:hint="eastAsia" w:ascii="宋体" w:hAnsi="宋体" w:eastAsia="宋体" w:cs="宋体"/>
          <w:color w:val="auto"/>
          <w:kern w:val="0"/>
          <w:sz w:val="24"/>
          <w:szCs w:val="24"/>
          <w:highlight w:val="none"/>
          <w:u w:val="single"/>
        </w:rPr>
        <w:t xml:space="preserve"> 人民币 </w:t>
      </w:r>
      <w:r>
        <w:rPr>
          <w:rFonts w:hint="eastAsia" w:ascii="宋体" w:hAnsi="宋体" w:eastAsia="宋体" w:cs="宋体"/>
          <w:color w:val="auto"/>
          <w:kern w:val="0"/>
          <w:sz w:val="24"/>
          <w:szCs w:val="24"/>
          <w:highlight w:val="none"/>
        </w:rPr>
        <w:t>支付。</w:t>
      </w:r>
    </w:p>
    <w:p w14:paraId="035BF353">
      <w:pPr>
        <w:shd w:val="clear" w:color="auto" w:fill="FFFFFF"/>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15.2 磋商报价为本竞争性磋商文件所确定的采购范围内的全部工作内容的价格体现。任何有选</w:t>
      </w:r>
      <w:r>
        <w:rPr>
          <w:rFonts w:hint="eastAsia" w:ascii="宋体" w:hAnsi="宋体" w:eastAsia="宋体" w:cs="宋体"/>
          <w:color w:val="auto"/>
          <w:sz w:val="24"/>
          <w:szCs w:val="24"/>
          <w:highlight w:val="none"/>
        </w:rPr>
        <w:t>择的报价将不予接受（除非采购人另有约定），否则，在评审时将其视为无效响应。</w:t>
      </w:r>
    </w:p>
    <w:p w14:paraId="1B906B7F">
      <w:pPr>
        <w:shd w:val="clear" w:color="auto" w:fill="FFFFFF"/>
        <w:adjustRightInd w:val="0"/>
        <w:snapToGrid w:val="0"/>
        <w:spacing w:line="440" w:lineRule="exac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15.3 磋商价格应包括：价格部分是对磋商服务价格构成的说明，每一项服务仅接受一个价格。磋商报价包括供应商为实施本项目提供全部服务内容所包括的全部价格的体现。</w:t>
      </w:r>
    </w:p>
    <w:p w14:paraId="2D9F7B36">
      <w:pPr>
        <w:shd w:val="clear" w:color="auto" w:fill="FFFFFF"/>
        <w:adjustRightInd w:val="0"/>
        <w:snapToGrid w:val="0"/>
        <w:spacing w:line="440" w:lineRule="exac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15.3.1磋商报价为含税价，应是完成竞争性磋商文件及合同条款上所列采购范围及所需的全部服务费用，供应商不得以任何理由予以重复，未列和没有填写的项目费用，视为已考虑在磋商总报价中。</w:t>
      </w:r>
    </w:p>
    <w:p w14:paraId="2F2665B0">
      <w:pPr>
        <w:shd w:val="clear" w:color="auto" w:fill="FFFFFF"/>
        <w:adjustRightInd w:val="0"/>
        <w:snapToGrid w:val="0"/>
        <w:spacing w:line="440" w:lineRule="exac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15.3.2供应商的任何错漏、优惠、竞争性报价不得作为减轻责任、减少服务、增加收费、降低质量的理由。供应商必须自行考虑本项目在实施期间的一切可能产生的费用。在合同执行过程中，采购人将不再另行支付与本项目相关的任何费用（非本项目要求的其它内容除外）。</w:t>
      </w:r>
    </w:p>
    <w:p w14:paraId="112278BE">
      <w:pPr>
        <w:shd w:val="clear" w:color="auto" w:fill="FFFFFF"/>
        <w:adjustRightInd w:val="0"/>
        <w:snapToGrid w:val="0"/>
        <w:spacing w:line="440" w:lineRule="exac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15.3.3供应商应在《响应文件报价一览表》标明供应商磋商报价；在《报价明细表》提供明细报价。</w:t>
      </w:r>
    </w:p>
    <w:p w14:paraId="19282B63">
      <w:pPr>
        <w:pStyle w:val="23"/>
        <w:snapToGrid w:val="0"/>
        <w:spacing w:after="0" w:line="440" w:lineRule="exact"/>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rPr>
        <w:t>15.3.4本</w:t>
      </w:r>
      <w:r>
        <w:rPr>
          <w:rFonts w:hint="eastAsia" w:ascii="宋体" w:hAnsi="宋体" w:eastAsia="宋体" w:cs="宋体"/>
          <w:b/>
          <w:bCs/>
          <w:color w:val="auto"/>
          <w:sz w:val="24"/>
          <w:szCs w:val="24"/>
          <w:highlight w:val="none"/>
        </w:rPr>
        <w:t>次磋商实行两次报价，加密的响应文件中提供的供应商报价为一次报价，在磋商小组对各供应商的响应文件进行初步评审（资格评审、符合性评审）后，由磋商小组开启二次报价，各供应商须在二次报价开启后的</w:t>
      </w:r>
      <w:r>
        <w:rPr>
          <w:rFonts w:hint="eastAsia" w:ascii="宋体" w:hAnsi="宋体" w:eastAsia="宋体" w:cs="宋体"/>
          <w:b/>
          <w:bCs/>
          <w:color w:val="auto"/>
          <w:sz w:val="24"/>
          <w:szCs w:val="24"/>
          <w:highlight w:val="none"/>
          <w:lang w:eastAsia="zh-CN"/>
        </w:rPr>
        <w:t>30分钟</w:t>
      </w:r>
      <w:r>
        <w:rPr>
          <w:rFonts w:hint="eastAsia" w:ascii="宋体" w:hAnsi="宋体" w:eastAsia="宋体" w:cs="宋体"/>
          <w:b/>
          <w:bCs/>
          <w:color w:val="auto"/>
          <w:sz w:val="24"/>
          <w:szCs w:val="24"/>
          <w:highlight w:val="none"/>
        </w:rPr>
        <w:t>内登录政采云系统进行二次（最后）报价。因供应商自身原因未在系统内及时填报二次报价的，其责任由供应商承担。</w:t>
      </w:r>
    </w:p>
    <w:p w14:paraId="51C18CAF">
      <w:pPr>
        <w:shd w:val="clear" w:color="auto" w:fill="FFFFFF"/>
        <w:spacing w:line="440" w:lineRule="exact"/>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提示：开标/磋商时，请供应商随时关注政采云账号内的站内信；注册时留下的注册人的手机短息（系统会推送短信至注册联系人的手机），但此短信仅系友情提示，并不具有任何约束性和必要性，采购代理机构不承担供应商未收到短信而引起的一切后果和法律责任。</w:t>
      </w:r>
    </w:p>
    <w:p w14:paraId="3B11CEDE">
      <w:pPr>
        <w:shd w:val="clear" w:color="auto" w:fill="FFFFFF"/>
        <w:spacing w:line="440" w:lineRule="exact"/>
        <w:ind w:firstLine="482" w:firstLineChars="200"/>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16.磋商保证金</w:t>
      </w:r>
    </w:p>
    <w:p w14:paraId="3B2B1A26">
      <w:pPr>
        <w:shd w:val="clear" w:color="auto" w:fill="FFFFFF"/>
        <w:spacing w:line="440" w:lineRule="exac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16.1磋商保证金是为了保护采购人和采购代理机构免遭因供应商的违规、违约行为而引起的风险，采购人/代理机构在受到损害时可根据本须知的有关规定没收供应商的磋商保证金。成交供应商如未能按竞争性磋商文件要求与采购人签署项目合同并提交建设履约保证金，视为供应商违约，则采购人有权提取成交供应商磋商保证金。</w:t>
      </w:r>
    </w:p>
    <w:p w14:paraId="7799D320">
      <w:pPr>
        <w:shd w:val="clear" w:color="auto" w:fill="FFFFFF"/>
        <w:spacing w:line="440" w:lineRule="exac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16.2 供应商应提交磋商保证金，并作为其响应文件的一部分。竞争性磋商文件前附表规定交纳磋商保证金的，供应商应按竞争性磋商文件前附表规定的要求提交保证金，磋商保证金有效期应与竞争性磋商文件规定的磋商有效期一致。供应商未按照竞争性磋商文件要求提交磋商保证金的，投标无效。</w:t>
      </w:r>
    </w:p>
    <w:p w14:paraId="2A9F002F">
      <w:pPr>
        <w:shd w:val="clear" w:color="auto" w:fill="FFFFFF"/>
        <w:spacing w:line="440" w:lineRule="exac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16.3 磋商保证金缴纳方式要求见供应商须知前附表。</w:t>
      </w:r>
      <w:r>
        <w:rPr>
          <w:rFonts w:hint="eastAsia" w:ascii="宋体" w:hAnsi="宋体" w:eastAsia="宋体" w:cs="宋体"/>
          <w:b/>
          <w:bCs/>
          <w:color w:val="auto"/>
          <w:kern w:val="0"/>
          <w:sz w:val="24"/>
          <w:szCs w:val="24"/>
          <w:highlight w:val="none"/>
        </w:rPr>
        <w:t>凡未按竞争性磋商文件要求提交磋商保证金的，将视为非实质性响应性磋商文件要求，其响应文件将被拒绝。</w:t>
      </w:r>
    </w:p>
    <w:p w14:paraId="17B768D4">
      <w:pPr>
        <w:shd w:val="clear" w:color="auto" w:fill="FFFFFF"/>
        <w:spacing w:line="440" w:lineRule="exac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16.4竞争性磋商文件接受联合体投标的，可以由联合体中的一方或者共同提交磋商保证金。以一方名义提交磋商保证金的，对联合体各方均具有约束力。</w:t>
      </w:r>
    </w:p>
    <w:p w14:paraId="79CFEA92">
      <w:pPr>
        <w:shd w:val="clear" w:color="auto" w:fill="FFFFFF"/>
        <w:spacing w:line="440" w:lineRule="exact"/>
        <w:ind w:firstLine="480" w:firstLineChars="200"/>
        <w:rPr>
          <w:rFonts w:hint="eastAsia" w:ascii="宋体" w:hAnsi="宋体" w:eastAsia="宋体" w:cs="宋体"/>
          <w:b/>
          <w:color w:val="auto"/>
          <w:kern w:val="0"/>
          <w:sz w:val="24"/>
          <w:szCs w:val="24"/>
          <w:highlight w:val="none"/>
        </w:rPr>
      </w:pPr>
      <w:r>
        <w:rPr>
          <w:rFonts w:hint="eastAsia" w:ascii="宋体" w:hAnsi="宋体" w:eastAsia="宋体" w:cs="宋体"/>
          <w:color w:val="auto"/>
          <w:kern w:val="0"/>
          <w:sz w:val="24"/>
          <w:szCs w:val="24"/>
          <w:highlight w:val="none"/>
        </w:rPr>
        <w:t>16.5 未成交供应商的磋商保证金，将在《成交通知书》发出5个工作日内退还。因违反规定被没收的磋商保证金不予退回。</w:t>
      </w:r>
    </w:p>
    <w:p w14:paraId="659C53F9">
      <w:pPr>
        <w:shd w:val="clear" w:color="auto" w:fill="FFFFFF"/>
        <w:spacing w:line="440" w:lineRule="exac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16.6 成交供应商的磋商保证金自采购合同签订之日起5个工作日内退还。</w:t>
      </w:r>
    </w:p>
    <w:p w14:paraId="4971D6F7">
      <w:pPr>
        <w:shd w:val="clear" w:color="auto" w:fill="FFFFFF"/>
        <w:spacing w:line="440" w:lineRule="exac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16.7 </w:t>
      </w:r>
      <w:r>
        <w:rPr>
          <w:rFonts w:hint="eastAsia" w:ascii="宋体" w:hAnsi="宋体" w:eastAsia="宋体" w:cs="宋体"/>
          <w:b/>
          <w:color w:val="auto"/>
          <w:kern w:val="0"/>
          <w:sz w:val="24"/>
          <w:szCs w:val="24"/>
          <w:highlight w:val="none"/>
        </w:rPr>
        <w:t>下列任何情况发生时，磋商保证金将可能被没收：</w:t>
      </w:r>
    </w:p>
    <w:p w14:paraId="2AECE0DC">
      <w:pPr>
        <w:shd w:val="clear" w:color="auto" w:fill="FFFFFF"/>
        <w:spacing w:line="440" w:lineRule="exac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16.7.1 供应商在规定的磋商有效期内撤回其响应文件的；</w:t>
      </w:r>
    </w:p>
    <w:p w14:paraId="4A5198D2">
      <w:pPr>
        <w:shd w:val="clear" w:color="auto" w:fill="FFFFFF"/>
        <w:spacing w:line="440" w:lineRule="exac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16.7.2 成交供应商无正当理由拒绝按规定与采购人签订合同或未能在规定期限内签署合同的或未按竞争性磋商文件要求提交履约保证金的；</w:t>
      </w:r>
    </w:p>
    <w:p w14:paraId="01914C32">
      <w:pPr>
        <w:shd w:val="clear" w:color="auto" w:fill="FFFFFF"/>
        <w:autoSpaceDE w:val="0"/>
        <w:autoSpaceDN w:val="0"/>
        <w:adjustRightInd w:val="0"/>
        <w:spacing w:line="440" w:lineRule="exac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16.8 </w:t>
      </w:r>
      <w:r>
        <w:rPr>
          <w:rFonts w:hint="eastAsia" w:ascii="宋体" w:hAnsi="宋体" w:eastAsia="宋体" w:cs="宋体"/>
          <w:b/>
          <w:color w:val="auto"/>
          <w:kern w:val="0"/>
          <w:sz w:val="24"/>
          <w:szCs w:val="24"/>
          <w:highlight w:val="none"/>
        </w:rPr>
        <w:t>供应商办理磋商保证金退款申请手续须提供以下资料：</w:t>
      </w:r>
    </w:p>
    <w:p w14:paraId="398FDB03">
      <w:pPr>
        <w:shd w:val="clear" w:color="auto" w:fill="FFFFFF"/>
        <w:spacing w:line="440" w:lineRule="exac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16.8.1供应商须给采购代理机构提供账户信息（单位名称、开户银行名称、银行账号、银行行号）</w:t>
      </w:r>
    </w:p>
    <w:p w14:paraId="5EFEBD99">
      <w:pPr>
        <w:shd w:val="clear" w:color="auto" w:fill="FFFFFF"/>
        <w:spacing w:line="440" w:lineRule="exac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16.8.2 成交供应商办理磋商保证金退款申请时，除16.8.1项要求外，还须提供与采购人签订的已加盖成交供应商公章的合同全本复印件一份及PDF扫描件一份（代理机构存档备查）。</w:t>
      </w:r>
    </w:p>
    <w:p w14:paraId="3D146889">
      <w:pPr>
        <w:shd w:val="clear" w:color="auto" w:fill="FFFFFF"/>
        <w:spacing w:line="440" w:lineRule="exac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特殊说明：成交供应商须自项目验收合格后5个工作日内，将经采购人签章确认的《验收书》原件壹份（及复印件壹份加盖成交供应商公章）提交至采购代理机构。</w:t>
      </w:r>
    </w:p>
    <w:p w14:paraId="119FFCFD">
      <w:pPr>
        <w:spacing w:line="440" w:lineRule="exact"/>
        <w:ind w:firstLine="482" w:firstLineChars="200"/>
        <w:rPr>
          <w:rFonts w:hint="eastAsia" w:ascii="宋体" w:hAnsi="宋体" w:eastAsia="宋体" w:cs="宋体"/>
          <w:b/>
          <w:bCs/>
          <w:color w:val="auto"/>
          <w:sz w:val="24"/>
          <w:szCs w:val="24"/>
          <w:highlight w:val="none"/>
          <w:lang w:val="zh-CN"/>
        </w:rPr>
      </w:pPr>
      <w:bookmarkStart w:id="70" w:name="_Toc5612"/>
      <w:bookmarkStart w:id="71" w:name="_Toc37090977"/>
      <w:bookmarkStart w:id="72" w:name="_Toc37090641"/>
      <w:r>
        <w:rPr>
          <w:rFonts w:hint="eastAsia" w:ascii="宋体" w:hAnsi="宋体" w:eastAsia="宋体" w:cs="宋体"/>
          <w:b/>
          <w:bCs/>
          <w:color w:val="auto"/>
          <w:sz w:val="24"/>
          <w:szCs w:val="24"/>
          <w:highlight w:val="none"/>
          <w:lang w:val="zh-CN"/>
        </w:rPr>
        <w:t xml:space="preserve">17. </w:t>
      </w:r>
      <w:r>
        <w:rPr>
          <w:rFonts w:hint="eastAsia" w:ascii="宋体" w:hAnsi="宋体" w:eastAsia="宋体" w:cs="宋体"/>
          <w:b/>
          <w:bCs/>
          <w:color w:val="auto"/>
          <w:sz w:val="24"/>
          <w:szCs w:val="24"/>
          <w:highlight w:val="none"/>
        </w:rPr>
        <w:t>磋商</w:t>
      </w:r>
      <w:r>
        <w:rPr>
          <w:rFonts w:hint="eastAsia" w:ascii="宋体" w:hAnsi="宋体" w:eastAsia="宋体" w:cs="宋体"/>
          <w:b/>
          <w:bCs/>
          <w:color w:val="auto"/>
          <w:sz w:val="24"/>
          <w:szCs w:val="24"/>
          <w:highlight w:val="none"/>
          <w:lang w:val="zh-CN"/>
        </w:rPr>
        <w:t>答疑会和现场踏勘</w:t>
      </w:r>
      <w:bookmarkEnd w:id="70"/>
      <w:bookmarkEnd w:id="71"/>
      <w:bookmarkEnd w:id="72"/>
    </w:p>
    <w:p w14:paraId="472CB0D9">
      <w:pPr>
        <w:spacing w:line="440" w:lineRule="exact"/>
        <w:ind w:firstLine="480" w:firstLineChars="200"/>
        <w:rPr>
          <w:rFonts w:hint="eastAsia" w:ascii="宋体" w:hAnsi="宋体" w:eastAsia="宋体" w:cs="宋体"/>
          <w:color w:val="auto"/>
          <w:sz w:val="24"/>
          <w:szCs w:val="24"/>
          <w:highlight w:val="none"/>
          <w:lang w:val="zh-CN"/>
        </w:rPr>
      </w:pPr>
      <w:bookmarkStart w:id="73" w:name="_Toc8947"/>
      <w:bookmarkStart w:id="74" w:name="_Toc37090642"/>
      <w:bookmarkStart w:id="75" w:name="_Toc37090978"/>
      <w:r>
        <w:rPr>
          <w:rFonts w:hint="eastAsia" w:ascii="宋体" w:hAnsi="宋体" w:eastAsia="宋体" w:cs="宋体"/>
          <w:color w:val="auto"/>
          <w:sz w:val="24"/>
          <w:szCs w:val="24"/>
          <w:highlight w:val="none"/>
        </w:rPr>
        <w:t>17.1</w:t>
      </w:r>
      <w:r>
        <w:rPr>
          <w:rFonts w:hint="eastAsia" w:ascii="宋体" w:hAnsi="宋体" w:eastAsia="宋体" w:cs="宋体"/>
          <w:color w:val="auto"/>
          <w:sz w:val="24"/>
          <w:szCs w:val="24"/>
          <w:highlight w:val="none"/>
          <w:lang w:val="zh-CN"/>
        </w:rPr>
        <w:t xml:space="preserve"> 磋商须知前附表规定组织磋商答疑会和现场踏勘的，采购人按磋商须知前附表规定的时间、地点组织供应商</w:t>
      </w:r>
      <w:r>
        <w:rPr>
          <w:rFonts w:hint="eastAsia" w:ascii="宋体" w:hAnsi="宋体" w:eastAsia="宋体" w:cs="宋体"/>
          <w:color w:val="auto"/>
          <w:sz w:val="24"/>
          <w:szCs w:val="24"/>
          <w:highlight w:val="none"/>
        </w:rPr>
        <w:t>磋商</w:t>
      </w:r>
      <w:r>
        <w:rPr>
          <w:rFonts w:hint="eastAsia" w:ascii="宋体" w:hAnsi="宋体" w:eastAsia="宋体" w:cs="宋体"/>
          <w:color w:val="auto"/>
          <w:sz w:val="24"/>
          <w:szCs w:val="24"/>
          <w:highlight w:val="none"/>
          <w:lang w:val="zh-CN"/>
        </w:rPr>
        <w:t>答疑会</w:t>
      </w:r>
      <w:r>
        <w:rPr>
          <w:rFonts w:hint="eastAsia" w:ascii="宋体" w:hAnsi="宋体" w:eastAsia="宋体" w:cs="宋体"/>
          <w:color w:val="auto"/>
          <w:sz w:val="24"/>
          <w:szCs w:val="24"/>
          <w:highlight w:val="none"/>
        </w:rPr>
        <w:t>及</w:t>
      </w:r>
      <w:r>
        <w:rPr>
          <w:rFonts w:hint="eastAsia" w:ascii="宋体" w:hAnsi="宋体" w:eastAsia="宋体" w:cs="宋体"/>
          <w:color w:val="auto"/>
          <w:sz w:val="24"/>
          <w:szCs w:val="24"/>
          <w:highlight w:val="none"/>
          <w:lang w:val="zh-CN"/>
        </w:rPr>
        <w:t xml:space="preserve">踏勘项目现场。 </w:t>
      </w:r>
    </w:p>
    <w:p w14:paraId="7EC2BE4B">
      <w:pPr>
        <w:spacing w:line="440" w:lineRule="exact"/>
        <w:ind w:firstLine="480" w:firstLineChars="20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rPr>
        <w:t>17.2</w:t>
      </w:r>
      <w:r>
        <w:rPr>
          <w:rFonts w:hint="eastAsia" w:ascii="宋体" w:hAnsi="宋体" w:eastAsia="宋体" w:cs="宋体"/>
          <w:color w:val="auto"/>
          <w:sz w:val="24"/>
          <w:szCs w:val="24"/>
          <w:highlight w:val="none"/>
          <w:lang w:val="zh-CN"/>
        </w:rPr>
        <w:t xml:space="preserve"> 供应商踏勘现场发生的费用自理。</w:t>
      </w:r>
    </w:p>
    <w:p w14:paraId="73D5F56B">
      <w:pPr>
        <w:spacing w:line="440" w:lineRule="exact"/>
        <w:ind w:firstLine="480" w:firstLineChars="20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rPr>
        <w:t>17.3</w:t>
      </w:r>
      <w:r>
        <w:rPr>
          <w:rFonts w:hint="eastAsia" w:ascii="宋体" w:hAnsi="宋体" w:eastAsia="宋体" w:cs="宋体"/>
          <w:color w:val="auto"/>
          <w:sz w:val="24"/>
          <w:szCs w:val="24"/>
          <w:highlight w:val="none"/>
          <w:lang w:val="zh-CN"/>
        </w:rPr>
        <w:t xml:space="preserve"> 除采购人的原因外，供应商自行负责在踏勘现场中所发生的人员伤亡和财产损失。</w:t>
      </w:r>
    </w:p>
    <w:p w14:paraId="32975FC3">
      <w:pPr>
        <w:spacing w:line="440" w:lineRule="exact"/>
        <w:ind w:firstLine="480" w:firstLineChars="200"/>
        <w:rPr>
          <w:rFonts w:hint="eastAsia" w:ascii="宋体" w:hAnsi="宋体" w:eastAsia="宋体" w:cs="宋体"/>
          <w:b/>
          <w:bCs/>
          <w:color w:val="auto"/>
          <w:sz w:val="24"/>
          <w:szCs w:val="24"/>
          <w:highlight w:val="none"/>
          <w:lang w:val="zh-CN"/>
        </w:rPr>
      </w:pPr>
      <w:r>
        <w:rPr>
          <w:rFonts w:hint="eastAsia" w:ascii="宋体" w:hAnsi="宋体" w:eastAsia="宋体" w:cs="宋体"/>
          <w:color w:val="auto"/>
          <w:sz w:val="24"/>
          <w:szCs w:val="24"/>
          <w:highlight w:val="none"/>
        </w:rPr>
        <w:t>17.4</w:t>
      </w:r>
      <w:r>
        <w:rPr>
          <w:rFonts w:hint="eastAsia" w:ascii="宋体" w:hAnsi="宋体" w:eastAsia="宋体" w:cs="宋体"/>
          <w:color w:val="auto"/>
          <w:sz w:val="24"/>
          <w:szCs w:val="24"/>
          <w:highlight w:val="none"/>
          <w:lang w:val="zh-CN"/>
        </w:rPr>
        <w:t xml:space="preserve"> 采购人在踏勘现场中介绍的工程场地和相关的周边环境情况，供应商在编制响应文件时参考，采购人不对供应商据此作出的判断和决策负责</w:t>
      </w:r>
      <w:r>
        <w:rPr>
          <w:rFonts w:hint="eastAsia" w:ascii="宋体" w:hAnsi="宋体" w:eastAsia="宋体" w:cs="宋体"/>
          <w:b/>
          <w:bCs/>
          <w:color w:val="auto"/>
          <w:sz w:val="24"/>
          <w:szCs w:val="24"/>
          <w:highlight w:val="none"/>
          <w:lang w:val="zh-CN"/>
        </w:rPr>
        <w:t>。</w:t>
      </w:r>
    </w:p>
    <w:p w14:paraId="5E2AEBDC">
      <w:pPr>
        <w:spacing w:line="440" w:lineRule="exact"/>
        <w:ind w:firstLine="482" w:firstLineChars="200"/>
        <w:rPr>
          <w:rFonts w:hint="eastAsia" w:ascii="宋体" w:hAnsi="宋体" w:eastAsia="宋体" w:cs="宋体"/>
          <w:b/>
          <w:bCs/>
          <w:color w:val="auto"/>
          <w:sz w:val="24"/>
          <w:szCs w:val="24"/>
          <w:highlight w:val="none"/>
          <w:lang w:val="zh-CN"/>
        </w:rPr>
      </w:pPr>
      <w:r>
        <w:rPr>
          <w:rFonts w:hint="eastAsia" w:ascii="宋体" w:hAnsi="宋体" w:eastAsia="宋体" w:cs="宋体"/>
          <w:b/>
          <w:bCs/>
          <w:color w:val="auto"/>
          <w:sz w:val="24"/>
          <w:szCs w:val="24"/>
          <w:highlight w:val="none"/>
          <w:lang w:val="zh-CN"/>
        </w:rPr>
        <w:t xml:space="preserve">18. </w:t>
      </w:r>
      <w:bookmarkEnd w:id="73"/>
      <w:bookmarkEnd w:id="74"/>
      <w:bookmarkEnd w:id="75"/>
      <w:r>
        <w:rPr>
          <w:rFonts w:hint="eastAsia" w:ascii="宋体" w:hAnsi="宋体" w:eastAsia="宋体" w:cs="宋体"/>
          <w:b/>
          <w:bCs/>
          <w:color w:val="auto"/>
          <w:sz w:val="24"/>
          <w:szCs w:val="24"/>
          <w:highlight w:val="none"/>
          <w:lang w:val="zh-CN"/>
        </w:rPr>
        <w:t>磋商有效期</w:t>
      </w:r>
    </w:p>
    <w:p w14:paraId="6B74AFF5">
      <w:pPr>
        <w:shd w:val="clear" w:color="auto" w:fill="FFFFFF"/>
        <w:spacing w:line="440" w:lineRule="exac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18.1 磋商有效期见本须知前附表所规定的期限，在此期限内，凡符合本竞争性磋商文件要求的响应文件均保持有效。磋商有效期不足的，在评审时将其视为无效响应。</w:t>
      </w:r>
    </w:p>
    <w:p w14:paraId="51779435">
      <w:pPr>
        <w:shd w:val="clear" w:color="auto" w:fill="FFFFFF"/>
        <w:spacing w:line="440" w:lineRule="exac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18.2 在特殊情况下，采购人在原定的磋商有效期内，可以根据需要以书面形式向供应商提出延长磋商有效期的要求，对此要求供应商须以书面形式予以答复。供应商拒绝延长的，其投标在原磋商有效期期届满后将不再有效，但有权收回其磋商保证金；同意延长磋商有效期的供应商既不能要求也不允许修改或撤回其响应文件。</w:t>
      </w:r>
    </w:p>
    <w:p w14:paraId="60186EB9">
      <w:pPr>
        <w:spacing w:before="156" w:beforeLines="50" w:after="156" w:afterLines="50" w:line="440" w:lineRule="exact"/>
        <w:jc w:val="center"/>
        <w:rPr>
          <w:rFonts w:hint="eastAsia" w:ascii="宋体" w:hAnsi="宋体" w:eastAsia="宋体" w:cs="宋体"/>
          <w:b/>
          <w:color w:val="auto"/>
          <w:kern w:val="0"/>
          <w:sz w:val="24"/>
          <w:szCs w:val="24"/>
          <w:highlight w:val="none"/>
        </w:rPr>
      </w:pPr>
      <w:bookmarkStart w:id="76" w:name="_Toc25205"/>
      <w:bookmarkStart w:id="77" w:name="_Toc37090643"/>
      <w:bookmarkStart w:id="78" w:name="_Toc37090979"/>
      <w:r>
        <w:rPr>
          <w:rFonts w:hint="eastAsia" w:ascii="宋体" w:hAnsi="宋体" w:eastAsia="宋体" w:cs="宋体"/>
          <w:b/>
          <w:color w:val="auto"/>
          <w:kern w:val="0"/>
          <w:sz w:val="24"/>
          <w:szCs w:val="24"/>
          <w:highlight w:val="none"/>
          <w:lang w:val="zh-CN"/>
        </w:rPr>
        <w:t>（</w:t>
      </w:r>
      <w:r>
        <w:rPr>
          <w:rFonts w:hint="eastAsia" w:ascii="宋体" w:hAnsi="宋体" w:eastAsia="宋体" w:cs="宋体"/>
          <w:b/>
          <w:color w:val="auto"/>
          <w:kern w:val="0"/>
          <w:sz w:val="24"/>
          <w:szCs w:val="24"/>
          <w:highlight w:val="none"/>
        </w:rPr>
        <w:t>三</w:t>
      </w:r>
      <w:r>
        <w:rPr>
          <w:rFonts w:hint="eastAsia" w:ascii="宋体" w:hAnsi="宋体" w:eastAsia="宋体" w:cs="宋体"/>
          <w:b/>
          <w:color w:val="auto"/>
          <w:kern w:val="0"/>
          <w:sz w:val="24"/>
          <w:szCs w:val="24"/>
          <w:highlight w:val="none"/>
          <w:lang w:val="zh-CN"/>
        </w:rPr>
        <w:t>）</w:t>
      </w:r>
      <w:r>
        <w:rPr>
          <w:rFonts w:hint="eastAsia" w:ascii="宋体" w:hAnsi="宋体" w:eastAsia="宋体" w:cs="宋体"/>
          <w:b/>
          <w:color w:val="auto"/>
          <w:kern w:val="0"/>
          <w:sz w:val="24"/>
          <w:szCs w:val="24"/>
          <w:highlight w:val="none"/>
        </w:rPr>
        <w:t>响应文件的编制</w:t>
      </w:r>
      <w:bookmarkEnd w:id="76"/>
    </w:p>
    <w:p w14:paraId="42BC225F">
      <w:pPr>
        <w:spacing w:line="440" w:lineRule="exact"/>
        <w:ind w:firstLine="482" w:firstLineChars="200"/>
        <w:rPr>
          <w:rFonts w:hint="eastAsia" w:ascii="宋体" w:hAnsi="宋体" w:eastAsia="宋体" w:cs="宋体"/>
          <w:b/>
          <w:bCs/>
          <w:color w:val="auto"/>
          <w:sz w:val="24"/>
          <w:szCs w:val="24"/>
          <w:highlight w:val="none"/>
          <w:lang w:val="zh-CN"/>
        </w:rPr>
      </w:pPr>
      <w:bookmarkStart w:id="79" w:name="_Toc12448"/>
      <w:r>
        <w:rPr>
          <w:rFonts w:hint="eastAsia" w:ascii="宋体" w:hAnsi="宋体" w:eastAsia="宋体" w:cs="宋体"/>
          <w:b/>
          <w:bCs/>
          <w:color w:val="auto"/>
          <w:sz w:val="24"/>
          <w:szCs w:val="24"/>
          <w:highlight w:val="none"/>
          <w:lang w:val="zh-CN"/>
        </w:rPr>
        <w:t>19. 响应文件编制要求</w:t>
      </w:r>
      <w:bookmarkEnd w:id="77"/>
      <w:bookmarkEnd w:id="78"/>
      <w:bookmarkEnd w:id="79"/>
    </w:p>
    <w:p w14:paraId="0E385FC8">
      <w:pPr>
        <w:shd w:val="clear" w:color="auto" w:fill="FFFFFF"/>
        <w:spacing w:line="440" w:lineRule="exac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19.1供应商提交的响应文件及供应商与采购代理机构就有关投标的所有来往函电均使用中文。</w:t>
      </w:r>
    </w:p>
    <w:p w14:paraId="7184603F">
      <w:pPr>
        <w:spacing w:line="440" w:lineRule="exact"/>
        <w:ind w:firstLine="482" w:firstLineChars="200"/>
        <w:rPr>
          <w:rFonts w:hint="eastAsia" w:ascii="宋体" w:hAnsi="宋体" w:eastAsia="宋体" w:cs="宋体"/>
          <w:b/>
          <w:bCs/>
          <w:color w:val="auto"/>
          <w:sz w:val="24"/>
          <w:szCs w:val="24"/>
          <w:highlight w:val="none"/>
          <w:lang w:val="zh-CN"/>
        </w:rPr>
      </w:pPr>
      <w:bookmarkStart w:id="80" w:name="_Toc7871"/>
      <w:bookmarkStart w:id="81" w:name="_Toc37090644"/>
      <w:bookmarkStart w:id="82" w:name="_Toc37090980"/>
      <w:r>
        <w:rPr>
          <w:rFonts w:hint="eastAsia" w:ascii="宋体" w:hAnsi="宋体" w:eastAsia="宋体" w:cs="宋体"/>
          <w:b/>
          <w:bCs/>
          <w:color w:val="auto"/>
          <w:sz w:val="24"/>
          <w:szCs w:val="24"/>
          <w:highlight w:val="none"/>
          <w:lang w:val="zh-CN"/>
        </w:rPr>
        <w:t>20. 响应文件编制的依据</w:t>
      </w:r>
      <w:bookmarkEnd w:id="80"/>
      <w:bookmarkEnd w:id="81"/>
      <w:bookmarkEnd w:id="82"/>
    </w:p>
    <w:p w14:paraId="68FB8691">
      <w:pPr>
        <w:shd w:val="clear" w:color="auto" w:fill="FFFFFF"/>
        <w:spacing w:line="440" w:lineRule="exac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20.1 采购人提供的采购需求及有关资料；</w:t>
      </w:r>
    </w:p>
    <w:p w14:paraId="210EF2A0">
      <w:pPr>
        <w:shd w:val="clear" w:color="auto" w:fill="FFFFFF"/>
        <w:spacing w:line="440" w:lineRule="exac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20.2 本竞争性磋商文件及竞争性磋商文件的修改或者澄清；</w:t>
      </w:r>
    </w:p>
    <w:p w14:paraId="275731DD">
      <w:pPr>
        <w:shd w:val="clear" w:color="auto" w:fill="FFFFFF"/>
        <w:spacing w:line="440" w:lineRule="exac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20.3 相关的法律、法规和规定。</w:t>
      </w:r>
    </w:p>
    <w:p w14:paraId="150DDD2A">
      <w:pPr>
        <w:shd w:val="clear" w:color="auto" w:fill="FFFFFF"/>
        <w:spacing w:line="440" w:lineRule="exact"/>
        <w:ind w:firstLine="482" w:firstLineChars="200"/>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21. 响应文件的组成：响应书、资格证明文件、商务部分、技术部分。</w:t>
      </w:r>
    </w:p>
    <w:p w14:paraId="5F464DAB">
      <w:pPr>
        <w:spacing w:line="440" w:lineRule="exact"/>
        <w:ind w:firstLine="482" w:firstLineChars="200"/>
        <w:rPr>
          <w:rFonts w:hint="eastAsia" w:ascii="宋体" w:hAnsi="宋体" w:eastAsia="宋体" w:cs="宋体"/>
          <w:b/>
          <w:bCs/>
          <w:color w:val="auto"/>
          <w:sz w:val="24"/>
          <w:szCs w:val="24"/>
          <w:highlight w:val="none"/>
          <w:lang w:val="zh-CN"/>
        </w:rPr>
      </w:pPr>
      <w:bookmarkStart w:id="83" w:name="_Toc37090645"/>
      <w:bookmarkStart w:id="84" w:name="_Toc37090981"/>
      <w:bookmarkStart w:id="85" w:name="_Toc3695"/>
      <w:r>
        <w:rPr>
          <w:rFonts w:hint="eastAsia" w:ascii="宋体" w:hAnsi="宋体" w:eastAsia="宋体" w:cs="宋体"/>
          <w:b/>
          <w:bCs/>
          <w:color w:val="auto"/>
          <w:sz w:val="24"/>
          <w:szCs w:val="24"/>
          <w:highlight w:val="none"/>
          <w:lang w:val="zh-CN"/>
        </w:rPr>
        <w:t>22. 响应文件的编制及格式</w:t>
      </w:r>
      <w:bookmarkEnd w:id="83"/>
      <w:bookmarkEnd w:id="84"/>
      <w:bookmarkEnd w:id="85"/>
    </w:p>
    <w:p w14:paraId="60B19D00">
      <w:pPr>
        <w:shd w:val="clear" w:color="auto" w:fill="FFFFFF"/>
        <w:spacing w:line="440" w:lineRule="exact"/>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22.1 供应商提供的响应文件应按照本须知第21条规定的内容编制，供应商在响应文件中必须提供有关材料，如果缺项，或不符合要求，将导致响应文件无效。</w:t>
      </w:r>
    </w:p>
    <w:p w14:paraId="342B0345">
      <w:pPr>
        <w:shd w:val="clear" w:color="auto" w:fill="FFFFFF"/>
        <w:spacing w:line="440" w:lineRule="exac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22.2供应商提供的响应文件应当使用竞争性磋商文件所提供响应文件格式（表格可按照同样格式扩展），并保证所提供的资料的真实性。未提供格式的，供应商可自行编制。</w:t>
      </w:r>
    </w:p>
    <w:p w14:paraId="0F571CCE">
      <w:pPr>
        <w:shd w:val="clear" w:color="auto" w:fill="FFFFFF"/>
        <w:spacing w:line="440" w:lineRule="exac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22.3</w:t>
      </w:r>
      <w:r>
        <w:rPr>
          <w:rFonts w:hint="eastAsia" w:ascii="宋体" w:hAnsi="宋体" w:eastAsia="宋体" w:cs="宋体"/>
          <w:color w:val="auto"/>
          <w:sz w:val="24"/>
          <w:szCs w:val="24"/>
          <w:highlight w:val="none"/>
        </w:rPr>
        <w:t>本竞争性磋商文件规定的响应文件编制中所需提交的证明材料须加盖供应商电子公章，且内容须清晰可辩</w:t>
      </w:r>
      <w:r>
        <w:rPr>
          <w:rFonts w:hint="eastAsia" w:ascii="宋体" w:hAnsi="宋体" w:eastAsia="宋体" w:cs="宋体"/>
          <w:b/>
          <w:color w:val="auto"/>
          <w:sz w:val="24"/>
          <w:szCs w:val="24"/>
          <w:highlight w:val="none"/>
        </w:rPr>
        <w:t>。</w:t>
      </w:r>
    </w:p>
    <w:p w14:paraId="15AB2D09">
      <w:pPr>
        <w:shd w:val="clear" w:color="auto" w:fill="FFFFFF"/>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22.4 响应文件严禁涂改或行间插字和增删。除非这些修改是根据采购人的指示进行的，或者是供应商造成的必须修改的错误，</w:t>
      </w:r>
      <w:r>
        <w:rPr>
          <w:rFonts w:hint="eastAsia" w:ascii="宋体" w:hAnsi="宋体" w:eastAsia="宋体" w:cs="宋体"/>
          <w:color w:val="auto"/>
          <w:sz w:val="24"/>
          <w:szCs w:val="24"/>
          <w:highlight w:val="none"/>
        </w:rPr>
        <w:t>必要的修改处必须有供应商法人代表或其授权代表人签字。</w:t>
      </w:r>
    </w:p>
    <w:p w14:paraId="3893626B">
      <w:pPr>
        <w:shd w:val="clear" w:color="auto" w:fill="FFFFFF"/>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22.5 竞争性磋商文件中分标段的，</w:t>
      </w:r>
      <w:r>
        <w:rPr>
          <w:rFonts w:hint="eastAsia" w:ascii="宋体" w:hAnsi="宋体" w:eastAsia="宋体" w:cs="宋体"/>
          <w:color w:val="auto"/>
          <w:sz w:val="24"/>
          <w:szCs w:val="24"/>
          <w:highlight w:val="none"/>
          <w:lang w:val="zh-CN"/>
        </w:rPr>
        <w:t>供应商须针对本单位所投标段分别编制响应文件并单独提交。</w:t>
      </w:r>
      <w:r>
        <w:rPr>
          <w:rFonts w:hint="eastAsia" w:ascii="宋体" w:hAnsi="宋体" w:eastAsia="宋体" w:cs="宋体"/>
          <w:color w:val="auto"/>
          <w:sz w:val="24"/>
          <w:szCs w:val="24"/>
          <w:highlight w:val="none"/>
        </w:rPr>
        <w:t>供应商应当按照竞争性磋商文件的要求编制响应文件。响应文件应当对竞争性磋商文件提出的要求和条件作出明确响应。</w:t>
      </w:r>
    </w:p>
    <w:p w14:paraId="5F79B810">
      <w:pPr>
        <w:pStyle w:val="45"/>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22.6电子响应文件制作时，按照竞争性磋商文件中明确的响应文件目录和格式进行编制，保证目录清晰、内容完整。操作方法详见本须知前附表</w:t>
      </w:r>
      <w:r>
        <w:rPr>
          <w:rFonts w:hint="eastAsia" w:ascii="宋体" w:hAnsi="宋体" w:eastAsia="宋体" w:cs="宋体"/>
          <w:color w:val="auto"/>
          <w:sz w:val="24"/>
          <w:highlight w:val="yellow"/>
        </w:rPr>
        <w:t xml:space="preserve">第24项。   </w:t>
      </w:r>
      <w:r>
        <w:rPr>
          <w:rFonts w:hint="eastAsia" w:ascii="宋体" w:hAnsi="宋体" w:eastAsia="宋体" w:cs="宋体"/>
          <w:color w:val="auto"/>
          <w:sz w:val="24"/>
          <w:highlight w:val="none"/>
        </w:rPr>
        <w:t xml:space="preserve">        </w:t>
      </w:r>
    </w:p>
    <w:p w14:paraId="63D0B1B5">
      <w:pPr>
        <w:pStyle w:val="45"/>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22.7电子响应文件须使用供应商电子公章以及法定代表人的电子签名（或手写签名的扫描件）。</w:t>
      </w:r>
      <w:r>
        <w:rPr>
          <w:rFonts w:hint="eastAsia" w:ascii="宋体" w:hAnsi="宋体" w:eastAsia="宋体" w:cs="宋体"/>
          <w:b/>
          <w:color w:val="auto"/>
          <w:sz w:val="24"/>
          <w:highlight w:val="none"/>
        </w:rPr>
        <w:t>若无电子签章/签名，则视为无效响应。</w:t>
      </w:r>
    </w:p>
    <w:p w14:paraId="42CBE677">
      <w:pPr>
        <w:pStyle w:val="45"/>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22.8电子招响应文件具有法律效力，与其他形式的招响应文件在内容和格式上等同，若响应文件与竞争性磋商文件要求不一致，其内容影响成交结果时，责任由供应商自行承担。</w:t>
      </w:r>
      <w:r>
        <w:rPr>
          <w:rFonts w:hint="eastAsia" w:ascii="宋体" w:hAnsi="宋体" w:eastAsia="宋体" w:cs="宋体"/>
          <w:b/>
          <w:color w:val="auto"/>
          <w:sz w:val="24"/>
          <w:highlight w:val="none"/>
        </w:rPr>
        <w:t>供应商递交的电子响应文件因供应商自身原因而导致无法导入电子辅助评审系统，该响应文件视为无效响应文件，将导致其投标被拒绝。</w:t>
      </w:r>
    </w:p>
    <w:p w14:paraId="33129B94">
      <w:pPr>
        <w:spacing w:line="440" w:lineRule="exact"/>
        <w:ind w:firstLine="482" w:firstLineChars="200"/>
        <w:rPr>
          <w:rFonts w:hint="eastAsia" w:ascii="宋体" w:hAnsi="宋体" w:eastAsia="宋体" w:cs="宋体"/>
          <w:b/>
          <w:bCs/>
          <w:color w:val="auto"/>
          <w:sz w:val="24"/>
          <w:szCs w:val="24"/>
          <w:highlight w:val="none"/>
          <w:lang w:val="zh-CN"/>
        </w:rPr>
      </w:pPr>
      <w:bookmarkStart w:id="86" w:name="_Toc1377"/>
      <w:bookmarkStart w:id="87" w:name="_Toc37090646"/>
      <w:bookmarkStart w:id="88" w:name="_Toc37090982"/>
      <w:r>
        <w:rPr>
          <w:rFonts w:hint="eastAsia" w:ascii="宋体" w:hAnsi="宋体" w:eastAsia="宋体" w:cs="宋体"/>
          <w:b/>
          <w:bCs/>
          <w:color w:val="auto"/>
          <w:sz w:val="24"/>
          <w:szCs w:val="24"/>
          <w:highlight w:val="none"/>
          <w:lang w:val="zh-CN"/>
        </w:rPr>
        <w:t>23. 响应文件的份数和签署</w:t>
      </w:r>
      <w:bookmarkEnd w:id="86"/>
      <w:bookmarkEnd w:id="87"/>
      <w:bookmarkEnd w:id="88"/>
    </w:p>
    <w:p w14:paraId="140F7A73">
      <w:pPr>
        <w:shd w:val="clear" w:color="auto" w:fill="FFFFFF"/>
        <w:spacing w:line="44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zh-CN"/>
        </w:rPr>
        <w:t>23.1 供应商应当按照本须知前附表</w:t>
      </w:r>
      <w:r>
        <w:rPr>
          <w:rFonts w:hint="eastAsia" w:ascii="宋体" w:hAnsi="宋体" w:eastAsia="宋体" w:cs="宋体"/>
          <w:color w:val="auto"/>
          <w:sz w:val="24"/>
          <w:szCs w:val="24"/>
          <w:highlight w:val="yellow"/>
          <w:lang w:val="zh-CN"/>
        </w:rPr>
        <w:t>第</w:t>
      </w:r>
      <w:r>
        <w:rPr>
          <w:rFonts w:hint="eastAsia" w:ascii="宋体" w:hAnsi="宋体" w:eastAsia="宋体" w:cs="宋体"/>
          <w:color w:val="auto"/>
          <w:sz w:val="24"/>
          <w:szCs w:val="24"/>
          <w:highlight w:val="yellow"/>
        </w:rPr>
        <w:t>6</w:t>
      </w:r>
      <w:r>
        <w:rPr>
          <w:rFonts w:hint="eastAsia" w:ascii="宋体" w:hAnsi="宋体" w:eastAsia="宋体" w:cs="宋体"/>
          <w:color w:val="auto"/>
          <w:sz w:val="24"/>
          <w:szCs w:val="24"/>
          <w:highlight w:val="yellow"/>
          <w:lang w:val="zh-CN"/>
        </w:rPr>
        <w:t>项规</w:t>
      </w:r>
      <w:r>
        <w:rPr>
          <w:rFonts w:hint="eastAsia" w:ascii="宋体" w:hAnsi="宋体" w:eastAsia="宋体" w:cs="宋体"/>
          <w:color w:val="auto"/>
          <w:sz w:val="24"/>
          <w:szCs w:val="24"/>
          <w:highlight w:val="none"/>
          <w:lang w:val="zh-CN"/>
        </w:rPr>
        <w:t>定的</w:t>
      </w:r>
      <w:r>
        <w:rPr>
          <w:rFonts w:hint="eastAsia" w:ascii="宋体" w:hAnsi="宋体" w:eastAsia="宋体" w:cs="宋体"/>
          <w:color w:val="auto"/>
          <w:sz w:val="24"/>
          <w:szCs w:val="24"/>
          <w:highlight w:val="none"/>
        </w:rPr>
        <w:t>响应文件递交截止时间前</w:t>
      </w:r>
      <w:r>
        <w:rPr>
          <w:rFonts w:hint="eastAsia" w:ascii="宋体" w:hAnsi="宋体" w:eastAsia="宋体" w:cs="宋体"/>
          <w:b/>
          <w:color w:val="auto"/>
          <w:kern w:val="0"/>
          <w:sz w:val="24"/>
          <w:szCs w:val="24"/>
          <w:highlight w:val="none"/>
        </w:rPr>
        <w:t>通过</w:t>
      </w:r>
      <w:r>
        <w:rPr>
          <w:rFonts w:hint="eastAsia" w:ascii="宋体" w:hAnsi="宋体" w:eastAsia="宋体" w:cs="宋体"/>
          <w:b/>
          <w:color w:val="auto"/>
          <w:kern w:val="0"/>
          <w:sz w:val="24"/>
          <w:szCs w:val="24"/>
          <w:highlight w:val="none"/>
          <w:lang w:eastAsia="zh-CN"/>
        </w:rPr>
        <w:t>新疆政府采购网</w:t>
      </w:r>
      <w:r>
        <w:rPr>
          <w:rFonts w:hint="eastAsia" w:ascii="宋体" w:hAnsi="宋体" w:eastAsia="宋体" w:cs="宋体"/>
          <w:b/>
          <w:color w:val="auto"/>
          <w:kern w:val="0"/>
          <w:sz w:val="24"/>
          <w:szCs w:val="24"/>
          <w:highlight w:val="none"/>
        </w:rPr>
        <w:t>（</w:t>
      </w:r>
      <w:r>
        <w:rPr>
          <w:rFonts w:hint="eastAsia" w:ascii="宋体" w:hAnsi="宋体" w:eastAsia="宋体" w:cs="宋体"/>
          <w:b/>
          <w:color w:val="auto"/>
          <w:kern w:val="0"/>
          <w:sz w:val="24"/>
          <w:szCs w:val="24"/>
          <w:highlight w:val="none"/>
          <w:lang w:eastAsia="zh-CN"/>
        </w:rPr>
        <w:t>http://www.ccgp-xinjiang.gov.cn/</w:t>
      </w:r>
      <w:r>
        <w:rPr>
          <w:rFonts w:hint="eastAsia" w:ascii="宋体" w:hAnsi="宋体" w:eastAsia="宋体" w:cs="宋体"/>
          <w:b/>
          <w:color w:val="auto"/>
          <w:kern w:val="0"/>
          <w:sz w:val="24"/>
          <w:szCs w:val="24"/>
          <w:highlight w:val="none"/>
        </w:rPr>
        <w:t>）的”政采云登录入口”登录后，将加密</w:t>
      </w:r>
      <w:r>
        <w:rPr>
          <w:rFonts w:hint="eastAsia" w:ascii="宋体" w:hAnsi="宋体" w:eastAsia="宋体" w:cs="宋体"/>
          <w:b/>
          <w:color w:val="auto"/>
          <w:kern w:val="0"/>
          <w:sz w:val="24"/>
          <w:szCs w:val="24"/>
          <w:highlight w:val="none"/>
          <w:lang w:val="zh-CN"/>
        </w:rPr>
        <w:t>电子</w:t>
      </w:r>
      <w:r>
        <w:rPr>
          <w:rFonts w:hint="eastAsia" w:ascii="宋体" w:hAnsi="宋体" w:eastAsia="宋体" w:cs="宋体"/>
          <w:b/>
          <w:color w:val="auto"/>
          <w:kern w:val="0"/>
          <w:sz w:val="24"/>
          <w:szCs w:val="24"/>
          <w:highlight w:val="none"/>
        </w:rPr>
        <w:t>响应文件</w:t>
      </w:r>
      <w:r>
        <w:rPr>
          <w:rFonts w:hint="eastAsia" w:ascii="宋体" w:hAnsi="宋体" w:eastAsia="宋体" w:cs="宋体"/>
          <w:b/>
          <w:color w:val="auto"/>
          <w:kern w:val="0"/>
          <w:sz w:val="24"/>
          <w:szCs w:val="24"/>
          <w:highlight w:val="none"/>
          <w:lang w:val="zh-CN"/>
        </w:rPr>
        <w:t>（</w:t>
      </w:r>
      <w:r>
        <w:rPr>
          <w:rFonts w:hint="eastAsia" w:ascii="宋体" w:hAnsi="宋体" w:eastAsia="宋体" w:cs="宋体"/>
          <w:b/>
          <w:color w:val="auto"/>
          <w:kern w:val="0"/>
          <w:sz w:val="24"/>
          <w:szCs w:val="24"/>
          <w:highlight w:val="none"/>
        </w:rPr>
        <w:t>为.jmbs后缀格式</w:t>
      </w:r>
      <w:r>
        <w:rPr>
          <w:rFonts w:hint="eastAsia" w:ascii="宋体" w:hAnsi="宋体" w:eastAsia="宋体" w:cs="宋体"/>
          <w:b/>
          <w:color w:val="auto"/>
          <w:kern w:val="0"/>
          <w:sz w:val="24"/>
          <w:szCs w:val="24"/>
          <w:highlight w:val="none"/>
          <w:lang w:val="zh-CN"/>
        </w:rPr>
        <w:t>）</w:t>
      </w:r>
      <w:r>
        <w:rPr>
          <w:rFonts w:hint="eastAsia" w:ascii="宋体" w:hAnsi="宋体" w:eastAsia="宋体" w:cs="宋体"/>
          <w:b/>
          <w:color w:val="auto"/>
          <w:kern w:val="0"/>
          <w:sz w:val="24"/>
          <w:szCs w:val="24"/>
          <w:highlight w:val="none"/>
        </w:rPr>
        <w:t>上</w:t>
      </w:r>
      <w:r>
        <w:rPr>
          <w:rFonts w:hint="eastAsia" w:ascii="宋体" w:hAnsi="宋体" w:eastAsia="宋体" w:cs="宋体"/>
          <w:b/>
          <w:color w:val="auto"/>
          <w:kern w:val="0"/>
          <w:sz w:val="24"/>
          <w:szCs w:val="24"/>
          <w:highlight w:val="none"/>
          <w:lang w:val="zh-CN"/>
        </w:rPr>
        <w:t>传到</w:t>
      </w:r>
      <w:r>
        <w:rPr>
          <w:rFonts w:hint="eastAsia" w:ascii="宋体" w:hAnsi="宋体" w:eastAsia="宋体" w:cs="宋体"/>
          <w:b/>
          <w:color w:val="auto"/>
          <w:kern w:val="0"/>
          <w:sz w:val="24"/>
          <w:szCs w:val="24"/>
          <w:highlight w:val="none"/>
        </w:rPr>
        <w:t>对应项目的的</w:t>
      </w:r>
      <w:r>
        <w:rPr>
          <w:rFonts w:hint="eastAsia" w:ascii="宋体" w:hAnsi="宋体" w:eastAsia="宋体" w:cs="宋体"/>
          <w:b/>
          <w:color w:val="auto"/>
          <w:kern w:val="0"/>
          <w:sz w:val="24"/>
          <w:szCs w:val="24"/>
          <w:highlight w:val="none"/>
          <w:lang w:val="zh-CN"/>
        </w:rPr>
        <w:t>指定</w:t>
      </w:r>
      <w:r>
        <w:rPr>
          <w:rFonts w:hint="eastAsia" w:ascii="宋体" w:hAnsi="宋体" w:eastAsia="宋体" w:cs="宋体"/>
          <w:b/>
          <w:color w:val="auto"/>
          <w:kern w:val="0"/>
          <w:sz w:val="24"/>
          <w:szCs w:val="24"/>
          <w:highlight w:val="none"/>
        </w:rPr>
        <w:t>位置。</w:t>
      </w:r>
    </w:p>
    <w:p w14:paraId="3E7B98A2">
      <w:pPr>
        <w:pStyle w:val="45"/>
        <w:spacing w:line="440" w:lineRule="exact"/>
        <w:ind w:firstLine="480" w:firstLineChars="200"/>
        <w:jc w:val="left"/>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rPr>
        <w:t>23.2</w:t>
      </w:r>
      <w:r>
        <w:rPr>
          <w:rFonts w:hint="eastAsia" w:ascii="宋体" w:hAnsi="宋体" w:eastAsia="宋体" w:cs="宋体"/>
          <w:color w:val="auto"/>
          <w:sz w:val="24"/>
          <w:szCs w:val="24"/>
          <w:highlight w:val="none"/>
          <w:lang w:val="zh-CN"/>
        </w:rPr>
        <w:t>成交</w:t>
      </w:r>
      <w:r>
        <w:rPr>
          <w:rFonts w:hint="eastAsia" w:ascii="宋体" w:hAnsi="宋体" w:eastAsia="宋体" w:cs="宋体"/>
          <w:color w:val="auto"/>
          <w:sz w:val="24"/>
          <w:szCs w:val="24"/>
          <w:highlight w:val="none"/>
        </w:rPr>
        <w:t>的供应商</w:t>
      </w:r>
      <w:r>
        <w:rPr>
          <w:rFonts w:hint="eastAsia" w:ascii="宋体" w:hAnsi="宋体" w:eastAsia="宋体" w:cs="宋体"/>
          <w:color w:val="auto"/>
          <w:sz w:val="24"/>
          <w:szCs w:val="24"/>
          <w:highlight w:val="none"/>
          <w:lang w:val="zh-CN"/>
        </w:rPr>
        <w:t>在领取成交通知书时须向</w:t>
      </w:r>
      <w:r>
        <w:rPr>
          <w:rFonts w:hint="eastAsia" w:ascii="宋体" w:hAnsi="宋体" w:eastAsia="宋体" w:cs="宋体"/>
          <w:color w:val="auto"/>
          <w:sz w:val="24"/>
          <w:szCs w:val="24"/>
          <w:highlight w:val="none"/>
        </w:rPr>
        <w:t>采购</w:t>
      </w:r>
      <w:r>
        <w:rPr>
          <w:rFonts w:hint="eastAsia" w:ascii="宋体" w:hAnsi="宋体" w:eastAsia="宋体" w:cs="宋体"/>
          <w:color w:val="auto"/>
          <w:sz w:val="24"/>
          <w:szCs w:val="24"/>
          <w:highlight w:val="none"/>
          <w:lang w:val="zh-CN"/>
        </w:rPr>
        <w:t>代理机构递交纸质响应文件三份、格式为PDF的电子响应文件一份（U盘存储）。</w:t>
      </w:r>
    </w:p>
    <w:p w14:paraId="457051FA">
      <w:pPr>
        <w:pStyle w:val="45"/>
        <w:spacing w:line="440" w:lineRule="exact"/>
        <w:ind w:firstLine="482" w:firstLineChars="200"/>
        <w:jc w:val="left"/>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（四） 响应文件的递交</w:t>
      </w:r>
    </w:p>
    <w:p w14:paraId="5986CB10">
      <w:pPr>
        <w:spacing w:line="440" w:lineRule="exact"/>
        <w:ind w:firstLine="482" w:firstLineChars="200"/>
        <w:rPr>
          <w:rFonts w:hint="eastAsia" w:ascii="宋体" w:hAnsi="宋体" w:eastAsia="宋体" w:cs="宋体"/>
          <w:b/>
          <w:bCs/>
          <w:color w:val="auto"/>
          <w:sz w:val="24"/>
          <w:szCs w:val="24"/>
          <w:highlight w:val="none"/>
          <w:lang w:val="zh-CN"/>
        </w:rPr>
      </w:pPr>
      <w:bookmarkStart w:id="89" w:name="_Toc12789"/>
      <w:bookmarkStart w:id="90" w:name="_Toc37090648"/>
      <w:bookmarkStart w:id="91" w:name="_Toc37090984"/>
      <w:r>
        <w:rPr>
          <w:rFonts w:hint="eastAsia" w:ascii="宋体" w:hAnsi="宋体" w:eastAsia="宋体" w:cs="宋体"/>
          <w:b/>
          <w:bCs/>
          <w:color w:val="auto"/>
          <w:sz w:val="24"/>
          <w:szCs w:val="24"/>
          <w:highlight w:val="none"/>
        </w:rPr>
        <w:t>24</w:t>
      </w:r>
      <w:r>
        <w:rPr>
          <w:rFonts w:hint="eastAsia" w:ascii="宋体" w:hAnsi="宋体" w:eastAsia="宋体" w:cs="宋体"/>
          <w:b/>
          <w:bCs/>
          <w:color w:val="auto"/>
          <w:sz w:val="24"/>
          <w:szCs w:val="24"/>
          <w:highlight w:val="none"/>
          <w:lang w:val="zh-CN"/>
        </w:rPr>
        <w:t>. 响应文件的提交</w:t>
      </w:r>
      <w:bookmarkEnd w:id="89"/>
      <w:bookmarkEnd w:id="90"/>
      <w:bookmarkEnd w:id="91"/>
    </w:p>
    <w:p w14:paraId="7B224E02">
      <w:pPr>
        <w:shd w:val="clear" w:color="auto" w:fill="FFFFFF"/>
        <w:spacing w:line="440" w:lineRule="exact"/>
        <w:ind w:firstLine="480" w:firstLineChars="200"/>
        <w:jc w:val="left"/>
        <w:rPr>
          <w:rFonts w:hint="eastAsia" w:ascii="宋体" w:hAnsi="宋体" w:eastAsia="宋体" w:cs="宋体"/>
          <w:color w:val="auto"/>
          <w:kern w:val="0"/>
          <w:sz w:val="24"/>
          <w:szCs w:val="24"/>
          <w:highlight w:val="none"/>
        </w:rPr>
      </w:pPr>
      <w:bookmarkStart w:id="92" w:name="_Toc3502"/>
      <w:bookmarkStart w:id="93" w:name="_Toc37090985"/>
      <w:bookmarkStart w:id="94" w:name="_Toc37090649"/>
      <w:r>
        <w:rPr>
          <w:rFonts w:hint="eastAsia" w:ascii="宋体" w:hAnsi="宋体" w:eastAsia="宋体" w:cs="宋体"/>
          <w:color w:val="auto"/>
          <w:kern w:val="0"/>
          <w:sz w:val="24"/>
          <w:szCs w:val="24"/>
          <w:highlight w:val="none"/>
        </w:rPr>
        <w:t>24.1 供应商在响应文件递交截至时间前</w:t>
      </w:r>
      <w:bookmarkEnd w:id="92"/>
      <w:r>
        <w:rPr>
          <w:rFonts w:hint="eastAsia" w:ascii="宋体" w:hAnsi="宋体" w:eastAsia="宋体" w:cs="宋体"/>
          <w:color w:val="auto"/>
          <w:kern w:val="0"/>
          <w:sz w:val="24"/>
          <w:szCs w:val="24"/>
          <w:highlight w:val="none"/>
        </w:rPr>
        <w:t>通过</w:t>
      </w:r>
      <w:r>
        <w:rPr>
          <w:rFonts w:hint="eastAsia" w:ascii="宋体" w:hAnsi="宋体" w:eastAsia="宋体" w:cs="宋体"/>
          <w:color w:val="auto"/>
          <w:kern w:val="0"/>
          <w:sz w:val="24"/>
          <w:szCs w:val="24"/>
          <w:highlight w:val="none"/>
          <w:lang w:eastAsia="zh-CN"/>
        </w:rPr>
        <w:t>新</w:t>
      </w:r>
      <w:r>
        <w:rPr>
          <w:rFonts w:hint="eastAsia" w:ascii="宋体" w:hAnsi="宋体" w:eastAsia="宋体" w:cs="宋体"/>
          <w:color w:val="auto"/>
          <w:kern w:val="0"/>
          <w:sz w:val="24"/>
          <w:szCs w:val="24"/>
          <w:highlight w:val="none"/>
          <w:lang w:val="en-US"/>
        </w:rPr>
        <w:t>疆</w:t>
      </w:r>
      <w:r>
        <w:rPr>
          <w:rFonts w:hint="eastAsia" w:ascii="宋体" w:hAnsi="宋体" w:eastAsia="宋体" w:cs="宋体"/>
          <w:color w:val="auto"/>
          <w:kern w:val="0"/>
          <w:sz w:val="24"/>
          <w:szCs w:val="24"/>
          <w:highlight w:val="none"/>
          <w:lang w:eastAsia="zh-CN"/>
        </w:rPr>
        <w:t>政府采购网</w:t>
      </w: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lang w:eastAsia="zh-CN"/>
        </w:rPr>
        <w:t>http://www.ccgp-xinjiang.gov.cn/</w:t>
      </w:r>
      <w:r>
        <w:rPr>
          <w:rFonts w:hint="eastAsia" w:ascii="宋体" w:hAnsi="宋体" w:eastAsia="宋体" w:cs="宋体"/>
          <w:color w:val="auto"/>
          <w:kern w:val="0"/>
          <w:sz w:val="24"/>
          <w:szCs w:val="24"/>
          <w:highlight w:val="none"/>
        </w:rPr>
        <w:t>）的”政采云登录入口”登录后，将加密电子响应文件（为.jmbs后缀格式）上传到对应项目的的指定位置</w:t>
      </w:r>
    </w:p>
    <w:p w14:paraId="37FE0005">
      <w:pPr>
        <w:spacing w:line="440" w:lineRule="exact"/>
        <w:ind w:firstLine="482" w:firstLineChars="200"/>
        <w:rPr>
          <w:rFonts w:hint="eastAsia" w:ascii="宋体" w:hAnsi="宋体" w:eastAsia="宋体" w:cs="宋体"/>
          <w:b/>
          <w:bCs/>
          <w:color w:val="auto"/>
          <w:sz w:val="24"/>
          <w:szCs w:val="24"/>
          <w:highlight w:val="none"/>
        </w:rPr>
      </w:pPr>
      <w:bookmarkStart w:id="95" w:name="_Toc21786"/>
      <w:r>
        <w:rPr>
          <w:rFonts w:hint="eastAsia" w:ascii="宋体" w:hAnsi="宋体" w:eastAsia="宋体" w:cs="宋体"/>
          <w:b/>
          <w:bCs/>
          <w:color w:val="auto"/>
          <w:sz w:val="24"/>
          <w:szCs w:val="24"/>
          <w:highlight w:val="none"/>
        </w:rPr>
        <w:t>25. 响应文件提交的截止时间</w:t>
      </w:r>
      <w:bookmarkEnd w:id="93"/>
      <w:bookmarkEnd w:id="94"/>
      <w:bookmarkEnd w:id="95"/>
    </w:p>
    <w:p w14:paraId="315DB0DF">
      <w:pPr>
        <w:shd w:val="clear" w:color="auto" w:fill="FFFFFF"/>
        <w:spacing w:line="440" w:lineRule="exac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25.1 响应文件提交的截止时间详见本供应商须知前附表规定。</w:t>
      </w:r>
    </w:p>
    <w:p w14:paraId="0E37EED0">
      <w:pPr>
        <w:shd w:val="clear" w:color="auto" w:fill="FFFFFF"/>
        <w:spacing w:line="440" w:lineRule="exac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25.2 采购人可按本须知第14条规定以修改补充通知的方式，酌情延长提交投标书的截止时间。在上述情况下，采购人与供应商在原响应文件递交截止时间前的全部权力和义务，将适用于延长后新的响应文件递交截止时间。</w:t>
      </w:r>
    </w:p>
    <w:p w14:paraId="42BD6FB7">
      <w:pPr>
        <w:shd w:val="clear" w:color="auto" w:fill="FFFFFF"/>
        <w:spacing w:line="440" w:lineRule="exac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25.3 截至响应文件递交截止时间，采购人收到的响应文件少于3个的，采购人将依法重新组织采购活动。评审过程中有效供应商少于3个的，应终止评审，由采购人依法重新组织采购活动，政府购买服务项目（含政府和社会资本合作项目），在采购过程中符合要求的供应商（社会资本）只有2家的，竞争性磋商采购活动可以继续进行。</w:t>
      </w:r>
    </w:p>
    <w:p w14:paraId="3E29DBF4">
      <w:pPr>
        <w:spacing w:line="440" w:lineRule="exact"/>
        <w:ind w:firstLine="482" w:firstLineChars="200"/>
        <w:rPr>
          <w:rFonts w:hint="eastAsia" w:ascii="宋体" w:hAnsi="宋体" w:eastAsia="宋体" w:cs="宋体"/>
          <w:b/>
          <w:bCs/>
          <w:color w:val="auto"/>
          <w:sz w:val="24"/>
          <w:szCs w:val="24"/>
          <w:highlight w:val="none"/>
        </w:rPr>
      </w:pPr>
      <w:bookmarkStart w:id="96" w:name="_Toc12863"/>
      <w:bookmarkStart w:id="97" w:name="_Toc37090986"/>
      <w:bookmarkStart w:id="98" w:name="_Toc37090650"/>
      <w:r>
        <w:rPr>
          <w:rFonts w:hint="eastAsia" w:ascii="宋体" w:hAnsi="宋体" w:eastAsia="宋体" w:cs="宋体"/>
          <w:b/>
          <w:bCs/>
          <w:color w:val="auto"/>
          <w:sz w:val="24"/>
          <w:szCs w:val="24"/>
          <w:highlight w:val="none"/>
        </w:rPr>
        <w:t>26. 迟交的</w:t>
      </w:r>
      <w:bookmarkEnd w:id="96"/>
      <w:bookmarkEnd w:id="97"/>
      <w:bookmarkEnd w:id="98"/>
      <w:r>
        <w:rPr>
          <w:rFonts w:hint="eastAsia" w:ascii="宋体" w:hAnsi="宋体" w:eastAsia="宋体" w:cs="宋体"/>
          <w:b/>
          <w:bCs/>
          <w:color w:val="auto"/>
          <w:sz w:val="24"/>
          <w:szCs w:val="24"/>
          <w:highlight w:val="none"/>
        </w:rPr>
        <w:t>响应文件</w:t>
      </w:r>
    </w:p>
    <w:p w14:paraId="3D860267">
      <w:pPr>
        <w:shd w:val="clear" w:color="auto" w:fill="FFFFFF"/>
        <w:spacing w:line="440" w:lineRule="exac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供应商在本供应商须知前附表规定的响应文件递交截止时间以后送达的响应文件，“政采云平台”将拒绝接受，采购人对于逾期未上传到指定位置的响应文件不予受理。</w:t>
      </w:r>
    </w:p>
    <w:p w14:paraId="7537F2BF">
      <w:pPr>
        <w:spacing w:line="440" w:lineRule="exact"/>
        <w:ind w:firstLine="482" w:firstLineChars="200"/>
        <w:rPr>
          <w:rFonts w:hint="eastAsia" w:ascii="宋体" w:hAnsi="宋体" w:eastAsia="宋体" w:cs="宋体"/>
          <w:b/>
          <w:bCs/>
          <w:color w:val="auto"/>
          <w:sz w:val="24"/>
          <w:szCs w:val="24"/>
          <w:highlight w:val="none"/>
        </w:rPr>
      </w:pPr>
      <w:bookmarkStart w:id="99" w:name="_Toc30465"/>
      <w:r>
        <w:rPr>
          <w:rFonts w:hint="eastAsia" w:ascii="宋体" w:hAnsi="宋体" w:eastAsia="宋体" w:cs="宋体"/>
          <w:b/>
          <w:bCs/>
          <w:color w:val="auto"/>
          <w:sz w:val="24"/>
          <w:szCs w:val="24"/>
          <w:highlight w:val="none"/>
        </w:rPr>
        <w:t>27. 响应文件的补充、修改与撤回</w:t>
      </w:r>
      <w:bookmarkEnd w:id="99"/>
    </w:p>
    <w:p w14:paraId="7C1497D8">
      <w:pPr>
        <w:shd w:val="clear" w:color="auto" w:fill="FFFFFF"/>
        <w:spacing w:line="440" w:lineRule="exac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27.1 供应商在供应商须知前附表规定的响应文件递交截止时间之前，可在政采云平台上随时撤回已上传的电子响应文件，将修改好的电子响应文件在响应文件递交截止时间前重新上传到政采云平台的</w:t>
      </w:r>
      <w:r>
        <w:rPr>
          <w:rFonts w:hint="eastAsia" w:ascii="宋体" w:hAnsi="宋体" w:eastAsia="宋体" w:cs="宋体"/>
          <w:color w:val="auto"/>
          <w:kern w:val="0"/>
          <w:sz w:val="24"/>
          <w:szCs w:val="24"/>
          <w:highlight w:val="none"/>
          <w:lang w:val="en-US" w:eastAsia="zh-CN"/>
        </w:rPr>
        <w:t>指</w:t>
      </w:r>
      <w:r>
        <w:rPr>
          <w:rFonts w:hint="eastAsia" w:ascii="宋体" w:hAnsi="宋体" w:eastAsia="宋体" w:cs="宋体"/>
          <w:color w:val="auto"/>
          <w:kern w:val="0"/>
          <w:sz w:val="24"/>
          <w:szCs w:val="24"/>
          <w:highlight w:val="none"/>
        </w:rPr>
        <w:t>定位置。</w:t>
      </w:r>
    </w:p>
    <w:p w14:paraId="0D5063F2">
      <w:pPr>
        <w:shd w:val="clear" w:color="auto" w:fill="FFFFFF"/>
        <w:spacing w:before="156" w:beforeLines="50" w:after="156" w:afterLines="50" w:line="440" w:lineRule="exact"/>
        <w:jc w:val="center"/>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（五） 开标/磋商</w:t>
      </w:r>
    </w:p>
    <w:p w14:paraId="7FB3E45E">
      <w:pPr>
        <w:spacing w:line="440" w:lineRule="exact"/>
        <w:ind w:firstLine="482" w:firstLineChars="200"/>
        <w:rPr>
          <w:rFonts w:hint="eastAsia" w:ascii="宋体" w:hAnsi="宋体" w:eastAsia="宋体" w:cs="宋体"/>
          <w:b/>
          <w:bCs/>
          <w:color w:val="auto"/>
          <w:sz w:val="24"/>
          <w:szCs w:val="24"/>
          <w:highlight w:val="none"/>
        </w:rPr>
      </w:pPr>
      <w:bookmarkStart w:id="100" w:name="_Toc28893"/>
      <w:bookmarkStart w:id="101" w:name="_Toc37090652"/>
      <w:bookmarkStart w:id="102" w:name="_Toc37090988"/>
      <w:r>
        <w:rPr>
          <w:rFonts w:hint="eastAsia" w:ascii="宋体" w:hAnsi="宋体" w:eastAsia="宋体" w:cs="宋体"/>
          <w:b/>
          <w:bCs/>
          <w:color w:val="auto"/>
          <w:sz w:val="24"/>
          <w:szCs w:val="24"/>
          <w:highlight w:val="none"/>
        </w:rPr>
        <w:t>28.</w:t>
      </w:r>
      <w:bookmarkEnd w:id="100"/>
      <w:r>
        <w:rPr>
          <w:rFonts w:hint="eastAsia" w:ascii="宋体" w:hAnsi="宋体" w:eastAsia="宋体" w:cs="宋体"/>
          <w:b/>
          <w:bCs/>
          <w:color w:val="auto"/>
          <w:sz w:val="24"/>
          <w:szCs w:val="24"/>
          <w:highlight w:val="none"/>
        </w:rPr>
        <w:t>开标/磋商</w:t>
      </w:r>
    </w:p>
    <w:p w14:paraId="06EA8793">
      <w:pPr>
        <w:shd w:val="clear" w:color="auto" w:fill="FFFFFF"/>
        <w:spacing w:line="440" w:lineRule="exact"/>
        <w:ind w:firstLine="480" w:firstLineChars="200"/>
        <w:rPr>
          <w:rFonts w:hint="eastAsia" w:ascii="宋体" w:hAnsi="宋体" w:eastAsia="宋体" w:cs="宋体"/>
          <w:color w:val="auto"/>
          <w:sz w:val="24"/>
          <w:highlight w:val="none"/>
        </w:rPr>
      </w:pPr>
      <w:bookmarkStart w:id="103" w:name="_Toc21715"/>
      <w:r>
        <w:rPr>
          <w:rFonts w:hint="eastAsia" w:ascii="宋体" w:hAnsi="宋体" w:eastAsia="宋体" w:cs="宋体"/>
          <w:color w:val="auto"/>
          <w:sz w:val="24"/>
          <w:highlight w:val="none"/>
        </w:rPr>
        <w:t>28.1采购人在规定的响应文件递交截止时间（开标/磋商时间）和供应商须知前附表规定的地点进行不见面远程开标/磋商。供应商的法定代表人或其委托代理人无需到达开标/磋商现场，仅需在任意地点</w:t>
      </w:r>
      <w:r>
        <w:rPr>
          <w:rFonts w:hint="eastAsia" w:ascii="宋体" w:hAnsi="宋体" w:eastAsia="宋体" w:cs="宋体"/>
          <w:b/>
          <w:color w:val="auto"/>
          <w:kern w:val="0"/>
          <w:sz w:val="24"/>
          <w:szCs w:val="24"/>
          <w:highlight w:val="none"/>
        </w:rPr>
        <w:t>通过</w:t>
      </w:r>
      <w:r>
        <w:rPr>
          <w:rFonts w:hint="eastAsia" w:ascii="宋体" w:hAnsi="宋体" w:eastAsia="宋体" w:cs="宋体"/>
          <w:b/>
          <w:color w:val="auto"/>
          <w:kern w:val="0"/>
          <w:sz w:val="24"/>
          <w:szCs w:val="24"/>
          <w:highlight w:val="none"/>
          <w:lang w:eastAsia="zh-CN"/>
        </w:rPr>
        <w:t>新疆政府采购网</w:t>
      </w:r>
      <w:r>
        <w:rPr>
          <w:rFonts w:hint="eastAsia" w:ascii="宋体" w:hAnsi="宋体" w:eastAsia="宋体" w:cs="宋体"/>
          <w:b/>
          <w:color w:val="auto"/>
          <w:kern w:val="0"/>
          <w:sz w:val="24"/>
          <w:szCs w:val="24"/>
          <w:highlight w:val="none"/>
        </w:rPr>
        <w:t>（</w:t>
      </w:r>
      <w:r>
        <w:rPr>
          <w:rFonts w:hint="eastAsia" w:ascii="宋体" w:hAnsi="宋体" w:eastAsia="宋体" w:cs="宋体"/>
          <w:b/>
          <w:color w:val="auto"/>
          <w:kern w:val="0"/>
          <w:sz w:val="24"/>
          <w:szCs w:val="24"/>
          <w:highlight w:val="none"/>
          <w:lang w:eastAsia="zh-CN"/>
        </w:rPr>
        <w:t>http://www.ccgp-xinjiang.gov.cn/</w:t>
      </w:r>
      <w:r>
        <w:rPr>
          <w:rFonts w:hint="eastAsia" w:ascii="宋体" w:hAnsi="宋体" w:eastAsia="宋体" w:cs="宋体"/>
          <w:b/>
          <w:color w:val="auto"/>
          <w:kern w:val="0"/>
          <w:sz w:val="24"/>
          <w:szCs w:val="24"/>
          <w:highlight w:val="none"/>
        </w:rPr>
        <w:t>）的”政采云登录入口”登录后，进入“</w:t>
      </w:r>
      <w:r>
        <w:rPr>
          <w:rFonts w:hint="eastAsia" w:ascii="宋体" w:hAnsi="宋体" w:eastAsia="宋体" w:cs="宋体"/>
          <w:color w:val="auto"/>
          <w:sz w:val="24"/>
          <w:highlight w:val="none"/>
        </w:rPr>
        <w:t>政采云远程开标大厅”参加开标/磋商会议，并使用CA密钥完成远程解密、提疑澄清、开标/磋商唱标、二次报价、结果公布等交互环节。</w:t>
      </w:r>
      <w:bookmarkEnd w:id="103"/>
    </w:p>
    <w:p w14:paraId="2450D4B5">
      <w:pPr>
        <w:shd w:val="clear" w:color="auto" w:fill="FFFFFF"/>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28.2开标/磋商时，各供应商应在规定的解密时间（</w:t>
      </w:r>
      <w:r>
        <w:rPr>
          <w:rFonts w:hint="eastAsia" w:ascii="宋体" w:hAnsi="宋体" w:eastAsia="宋体" w:cs="宋体"/>
          <w:color w:val="auto"/>
          <w:sz w:val="24"/>
          <w:highlight w:val="none"/>
          <w:lang w:eastAsia="zh-CN"/>
        </w:rPr>
        <w:t>30分钟</w:t>
      </w:r>
      <w:r>
        <w:rPr>
          <w:rFonts w:hint="eastAsia" w:ascii="宋体" w:hAnsi="宋体" w:eastAsia="宋体" w:cs="宋体"/>
          <w:color w:val="auto"/>
          <w:sz w:val="24"/>
          <w:highlight w:val="none"/>
        </w:rPr>
        <w:t>）内对本单位加密的电子响应文件进行解密，如在规定的解密时间内仍有供应商未解密，采购代理机构将采取“异常处理”，开启该单位的备份标书。采购代理机构工作人员在监督人员或公证人员监督下开启响应文件。</w:t>
      </w:r>
    </w:p>
    <w:bookmarkEnd w:id="101"/>
    <w:bookmarkEnd w:id="102"/>
    <w:p w14:paraId="549956D1">
      <w:pPr>
        <w:pStyle w:val="45"/>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28.3公证员对开标/磋商过程进行全程公证。</w:t>
      </w:r>
    </w:p>
    <w:p w14:paraId="5C7495A2">
      <w:pPr>
        <w:shd w:val="clear" w:color="auto" w:fill="FFFFFF"/>
        <w:spacing w:before="156" w:beforeLines="50" w:after="156" w:afterLines="50" w:line="440" w:lineRule="exact"/>
        <w:jc w:val="center"/>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（七） 磋商小组与评审</w:t>
      </w:r>
    </w:p>
    <w:p w14:paraId="0AB3485C">
      <w:pPr>
        <w:shd w:val="clear" w:color="auto" w:fill="FFFFFF"/>
        <w:spacing w:line="440" w:lineRule="exac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29.评审工作由采购人依法组建的磋商小组负责。磋商小组的名单在评审结果公告前应当保密。</w:t>
      </w:r>
    </w:p>
    <w:p w14:paraId="2AE7672F">
      <w:pPr>
        <w:shd w:val="clear" w:color="auto" w:fill="FFFFFF"/>
        <w:spacing w:line="440" w:lineRule="exac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29.1 本项目磋商小组由</w:t>
      </w:r>
      <w:r>
        <w:rPr>
          <w:rFonts w:hint="eastAsia" w:ascii="宋体" w:hAnsi="宋体" w:eastAsia="宋体" w:cs="宋体"/>
          <w:color w:val="auto"/>
          <w:kern w:val="0"/>
          <w:sz w:val="24"/>
          <w:szCs w:val="24"/>
          <w:highlight w:val="none"/>
          <w:u w:val="single"/>
        </w:rPr>
        <w:t xml:space="preserve"> 3 </w:t>
      </w:r>
      <w:r>
        <w:rPr>
          <w:rFonts w:hint="eastAsia" w:ascii="宋体" w:hAnsi="宋体" w:eastAsia="宋体" w:cs="宋体"/>
          <w:color w:val="auto"/>
          <w:kern w:val="0"/>
          <w:sz w:val="24"/>
          <w:szCs w:val="24"/>
          <w:highlight w:val="none"/>
        </w:rPr>
        <w:t>人组成，其中：专家库中随机抽取专家</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u w:val="single"/>
          <w:lang w:val="en-US" w:eastAsia="zh-CN"/>
        </w:rPr>
        <w:t xml:space="preserve">3 </w:t>
      </w:r>
      <w:r>
        <w:rPr>
          <w:rFonts w:hint="eastAsia" w:ascii="宋体" w:hAnsi="宋体" w:eastAsia="宋体" w:cs="宋体"/>
          <w:color w:val="auto"/>
          <w:kern w:val="0"/>
          <w:sz w:val="24"/>
          <w:szCs w:val="24"/>
          <w:highlight w:val="none"/>
        </w:rPr>
        <w:t>人,采购人代表</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u w:val="single"/>
          <w:lang w:val="en-US" w:eastAsia="zh-CN"/>
        </w:rPr>
        <w:t xml:space="preserve">0 </w:t>
      </w:r>
      <w:r>
        <w:rPr>
          <w:rFonts w:hint="eastAsia" w:ascii="宋体" w:hAnsi="宋体" w:eastAsia="宋体" w:cs="宋体"/>
          <w:color w:val="auto"/>
          <w:kern w:val="0"/>
          <w:sz w:val="24"/>
          <w:szCs w:val="24"/>
          <w:highlight w:val="none"/>
        </w:rPr>
        <w:t>人。</w:t>
      </w:r>
    </w:p>
    <w:p w14:paraId="602587D6">
      <w:pPr>
        <w:shd w:val="clear" w:color="auto" w:fill="FFFFFF"/>
        <w:spacing w:line="440" w:lineRule="exac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29.2参与过本项目的论证专家不得作为评审专家参加评审，采购人不得以专家身份参与评审。</w:t>
      </w:r>
    </w:p>
    <w:p w14:paraId="7ED0BEC6">
      <w:pPr>
        <w:shd w:val="clear" w:color="auto" w:fill="FFFFFF"/>
        <w:spacing w:line="440" w:lineRule="exac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29.3 磋商小组主任由磋商小组成员推举产生，并与磋商小组其他成员有同等的权利和义务。采购人代表不得担任磋商小组组长。</w:t>
      </w:r>
    </w:p>
    <w:p w14:paraId="0D16E37B">
      <w:pPr>
        <w:shd w:val="clear" w:color="auto" w:fill="FFFFFF"/>
        <w:spacing w:line="440" w:lineRule="exac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29.4 磋商小组成员应当客观、公正地履行职责，遵守职业道德，对所提出的评审意见承担个人责任。</w:t>
      </w:r>
    </w:p>
    <w:p w14:paraId="33C63E04">
      <w:pPr>
        <w:shd w:val="clear" w:color="auto" w:fill="FFFFFF"/>
        <w:spacing w:line="440" w:lineRule="exac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29.5 磋商小组根据竞争性磋商文件确定的评比标准和方法，对响应文件进行系统地评审和比较。竞争性磋商文件中没有规定的标准和方法不得作为评审的依据。</w:t>
      </w:r>
    </w:p>
    <w:p w14:paraId="4A32FF88">
      <w:pPr>
        <w:shd w:val="clear" w:color="auto" w:fill="FFFFFF"/>
        <w:spacing w:line="440" w:lineRule="exact"/>
        <w:ind w:firstLine="480" w:firstLineChars="200"/>
        <w:rPr>
          <w:rFonts w:hint="eastAsia" w:ascii="宋体" w:hAnsi="宋体" w:eastAsia="宋体" w:cs="宋体"/>
          <w:color w:val="auto"/>
          <w:kern w:val="0"/>
          <w:sz w:val="24"/>
          <w:szCs w:val="24"/>
          <w:highlight w:val="none"/>
          <w:u w:val="single"/>
        </w:rPr>
      </w:pPr>
      <w:r>
        <w:rPr>
          <w:rFonts w:hint="eastAsia" w:ascii="宋体" w:hAnsi="宋体" w:eastAsia="宋体" w:cs="宋体"/>
          <w:color w:val="auto"/>
          <w:kern w:val="0"/>
          <w:sz w:val="24"/>
          <w:szCs w:val="24"/>
          <w:highlight w:val="none"/>
        </w:rPr>
        <w:t>29.6在评审过程中，磋商小组发现有证据表明供应商以他人的名义投标、串通投标、以行贿手段谋取成交或者以其他弄虚作假方式参加磋商的，该供应商的响应文件作无效处理。并在评审报告中说明。</w:t>
      </w:r>
    </w:p>
    <w:p w14:paraId="35B87ABD">
      <w:pPr>
        <w:shd w:val="clear" w:color="auto" w:fill="FFFFFF"/>
        <w:spacing w:before="156" w:beforeLines="50" w:after="156" w:afterLines="50" w:line="440" w:lineRule="exact"/>
        <w:jc w:val="center"/>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（八） 授予合同</w:t>
      </w:r>
    </w:p>
    <w:p w14:paraId="2B8275DD">
      <w:pPr>
        <w:spacing w:line="440" w:lineRule="exact"/>
        <w:ind w:firstLine="482" w:firstLineChars="200"/>
        <w:rPr>
          <w:rFonts w:hint="eastAsia" w:ascii="宋体" w:hAnsi="宋体" w:eastAsia="宋体" w:cs="宋体"/>
          <w:b/>
          <w:bCs/>
          <w:color w:val="auto"/>
          <w:sz w:val="24"/>
          <w:szCs w:val="24"/>
          <w:highlight w:val="none"/>
        </w:rPr>
      </w:pPr>
      <w:bookmarkStart w:id="104" w:name="_Toc37090661"/>
      <w:bookmarkStart w:id="105" w:name="_Toc37090997"/>
      <w:bookmarkStart w:id="106" w:name="_Toc30338"/>
      <w:r>
        <w:rPr>
          <w:rFonts w:hint="eastAsia" w:ascii="宋体" w:hAnsi="宋体" w:eastAsia="宋体" w:cs="宋体"/>
          <w:b/>
          <w:bCs/>
          <w:color w:val="auto"/>
          <w:sz w:val="24"/>
          <w:szCs w:val="24"/>
          <w:highlight w:val="none"/>
        </w:rPr>
        <w:t>30. 确定</w:t>
      </w:r>
      <w:bookmarkEnd w:id="104"/>
      <w:bookmarkEnd w:id="105"/>
      <w:bookmarkEnd w:id="106"/>
      <w:r>
        <w:rPr>
          <w:rFonts w:hint="eastAsia" w:ascii="宋体" w:hAnsi="宋体" w:eastAsia="宋体" w:cs="宋体"/>
          <w:b/>
          <w:bCs/>
          <w:color w:val="auto"/>
          <w:sz w:val="24"/>
          <w:szCs w:val="24"/>
          <w:highlight w:val="none"/>
        </w:rPr>
        <w:t>成交供应商</w:t>
      </w:r>
    </w:p>
    <w:p w14:paraId="3E3D9454">
      <w:pPr>
        <w:shd w:val="clear" w:color="auto" w:fill="FFFFFF"/>
        <w:spacing w:line="440" w:lineRule="exact"/>
        <w:ind w:firstLine="484" w:firstLineChars="202"/>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30.1 成交的标准</w:t>
      </w:r>
    </w:p>
    <w:p w14:paraId="025103F5">
      <w:pPr>
        <w:shd w:val="clear" w:color="auto" w:fill="FFFFFF"/>
        <w:spacing w:line="440" w:lineRule="exact"/>
        <w:ind w:firstLine="484" w:firstLineChars="202"/>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30.1.1响应文件满足竞争性磋商文件全部实质性要求；</w:t>
      </w:r>
    </w:p>
    <w:p w14:paraId="23D1A020">
      <w:pPr>
        <w:shd w:val="clear" w:color="auto" w:fill="FFFFFF"/>
        <w:spacing w:line="440" w:lineRule="exact"/>
        <w:ind w:firstLine="484" w:firstLineChars="202"/>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30.1.2 具有良好的履行合同的能力和条件；</w:t>
      </w:r>
    </w:p>
    <w:p w14:paraId="12220072">
      <w:pPr>
        <w:shd w:val="clear" w:color="auto" w:fill="FFFFFF"/>
        <w:spacing w:line="440" w:lineRule="exact"/>
        <w:ind w:firstLine="484" w:firstLineChars="202"/>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30.1.3 能够最大限度满足竞争性磋商文件的各项要求；</w:t>
      </w:r>
    </w:p>
    <w:p w14:paraId="12B4C288">
      <w:pPr>
        <w:shd w:val="clear" w:color="auto" w:fill="FFFFFF"/>
        <w:spacing w:line="440" w:lineRule="exact"/>
        <w:ind w:firstLine="484" w:firstLineChars="202"/>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30.2 采购人将确定资格合格的成交候选人为成交供应商。</w:t>
      </w:r>
    </w:p>
    <w:p w14:paraId="4CA38190">
      <w:pPr>
        <w:spacing w:line="440" w:lineRule="exact"/>
        <w:ind w:firstLine="482" w:firstLineChars="200"/>
        <w:rPr>
          <w:rFonts w:hint="eastAsia" w:ascii="宋体" w:hAnsi="宋体" w:eastAsia="宋体" w:cs="宋体"/>
          <w:b/>
          <w:bCs/>
          <w:color w:val="auto"/>
          <w:sz w:val="24"/>
          <w:szCs w:val="24"/>
          <w:highlight w:val="none"/>
        </w:rPr>
      </w:pPr>
      <w:bookmarkStart w:id="107" w:name="_Toc37090998"/>
      <w:bookmarkStart w:id="108" w:name="_Toc8758"/>
      <w:bookmarkStart w:id="109" w:name="_Toc37090662"/>
      <w:r>
        <w:rPr>
          <w:rFonts w:hint="eastAsia" w:ascii="宋体" w:hAnsi="宋体" w:eastAsia="宋体" w:cs="宋体"/>
          <w:b/>
          <w:bCs/>
          <w:color w:val="auto"/>
          <w:sz w:val="24"/>
          <w:szCs w:val="24"/>
          <w:highlight w:val="none"/>
        </w:rPr>
        <w:t>31. 授予合同的准则</w:t>
      </w:r>
      <w:bookmarkEnd w:id="107"/>
      <w:bookmarkEnd w:id="108"/>
      <w:bookmarkEnd w:id="109"/>
    </w:p>
    <w:p w14:paraId="58F4DCE9">
      <w:pPr>
        <w:shd w:val="clear" w:color="auto" w:fill="FFFFFF"/>
        <w:spacing w:line="440" w:lineRule="exact"/>
        <w:ind w:firstLine="484" w:firstLineChars="202"/>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31.1 采购人将把合同授予经确认的成交供应商。</w:t>
      </w:r>
    </w:p>
    <w:p w14:paraId="0C911ED7">
      <w:pPr>
        <w:shd w:val="clear" w:color="auto" w:fill="FFFFFF"/>
        <w:spacing w:before="156" w:beforeLines="50" w:after="156" w:afterLines="50" w:line="440" w:lineRule="exact"/>
        <w:jc w:val="center"/>
        <w:rPr>
          <w:rFonts w:hint="eastAsia" w:ascii="宋体" w:hAnsi="宋体" w:eastAsia="宋体" w:cs="宋体"/>
          <w:b/>
          <w:color w:val="auto"/>
          <w:kern w:val="0"/>
          <w:sz w:val="24"/>
          <w:szCs w:val="24"/>
          <w:highlight w:val="none"/>
        </w:rPr>
      </w:pPr>
      <w:bookmarkStart w:id="110" w:name="_Toc37090663"/>
      <w:bookmarkStart w:id="111" w:name="_Toc16518"/>
      <w:bookmarkStart w:id="112" w:name="_Toc37090999"/>
      <w:r>
        <w:rPr>
          <w:rFonts w:hint="eastAsia" w:ascii="宋体" w:hAnsi="宋体" w:eastAsia="宋体" w:cs="宋体"/>
          <w:b/>
          <w:color w:val="auto"/>
          <w:kern w:val="0"/>
          <w:sz w:val="24"/>
          <w:szCs w:val="24"/>
          <w:highlight w:val="none"/>
        </w:rPr>
        <w:t>（九） 成交通知书</w:t>
      </w:r>
      <w:bookmarkEnd w:id="110"/>
      <w:bookmarkEnd w:id="111"/>
      <w:bookmarkEnd w:id="112"/>
    </w:p>
    <w:p w14:paraId="7851B547">
      <w:pPr>
        <w:spacing w:line="440" w:lineRule="exact"/>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32.成交通知书</w:t>
      </w:r>
    </w:p>
    <w:p w14:paraId="7B651312">
      <w:pPr>
        <w:shd w:val="clear" w:color="auto" w:fill="FFFFFF"/>
        <w:spacing w:line="440" w:lineRule="exact"/>
        <w:ind w:firstLine="484" w:firstLineChars="202"/>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32.1采购人依据磋商小组推荐的成交候选人排序确定排名第一的成交候选人为成交供应商后，将</w:t>
      </w:r>
      <w:r>
        <w:rPr>
          <w:rFonts w:hint="eastAsia" w:ascii="宋体" w:hAnsi="宋体" w:eastAsia="宋体" w:cs="宋体"/>
          <w:color w:val="auto"/>
          <w:sz w:val="24"/>
          <w:szCs w:val="24"/>
          <w:highlight w:val="none"/>
        </w:rPr>
        <w:t>对成交结果公示1工作日，同时向成交供应商发出《成交通知书》。</w:t>
      </w:r>
    </w:p>
    <w:p w14:paraId="1B2B9A13">
      <w:pPr>
        <w:shd w:val="clear" w:color="auto" w:fill="FFFFFF"/>
        <w:spacing w:line="440" w:lineRule="exact"/>
        <w:ind w:firstLine="484" w:firstLineChars="202"/>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32.2《成交通知书》对成交供应商和成交供应商具有法律约束力。《成交通知书》发出后，采购人不得违法改变成交结果，成交供应商无正当理由不得放弃成交。 </w:t>
      </w:r>
    </w:p>
    <w:p w14:paraId="7B2ECB32">
      <w:pPr>
        <w:shd w:val="clear" w:color="auto" w:fill="FFFFFF"/>
        <w:spacing w:before="156" w:beforeLines="50" w:after="156" w:afterLines="50" w:line="440" w:lineRule="exact"/>
        <w:jc w:val="center"/>
        <w:rPr>
          <w:rFonts w:hint="eastAsia" w:ascii="宋体" w:hAnsi="宋体" w:eastAsia="宋体" w:cs="宋体"/>
          <w:b/>
          <w:color w:val="auto"/>
          <w:kern w:val="0"/>
          <w:sz w:val="24"/>
          <w:szCs w:val="24"/>
          <w:highlight w:val="none"/>
        </w:rPr>
      </w:pPr>
      <w:bookmarkStart w:id="113" w:name="_Toc17984"/>
      <w:bookmarkStart w:id="114" w:name="_Toc37091000"/>
      <w:bookmarkStart w:id="115" w:name="_Toc37090664"/>
      <w:r>
        <w:rPr>
          <w:rFonts w:hint="eastAsia" w:ascii="宋体" w:hAnsi="宋体" w:eastAsia="宋体" w:cs="宋体"/>
          <w:b/>
          <w:color w:val="auto"/>
          <w:kern w:val="0"/>
          <w:sz w:val="24"/>
          <w:szCs w:val="24"/>
          <w:highlight w:val="none"/>
        </w:rPr>
        <w:t>（九）合同的签订</w:t>
      </w:r>
      <w:bookmarkEnd w:id="113"/>
    </w:p>
    <w:p w14:paraId="43B42F62">
      <w:pPr>
        <w:spacing w:line="440" w:lineRule="exact"/>
        <w:ind w:firstLine="482" w:firstLineChars="200"/>
        <w:rPr>
          <w:rFonts w:hint="eastAsia" w:ascii="宋体" w:hAnsi="宋体" w:eastAsia="宋体" w:cs="宋体"/>
          <w:b/>
          <w:bCs/>
          <w:color w:val="auto"/>
          <w:sz w:val="24"/>
          <w:szCs w:val="24"/>
          <w:highlight w:val="none"/>
        </w:rPr>
      </w:pPr>
      <w:bookmarkStart w:id="116" w:name="_Toc1090"/>
      <w:r>
        <w:rPr>
          <w:rFonts w:hint="eastAsia" w:ascii="宋体" w:hAnsi="宋体" w:eastAsia="宋体" w:cs="宋体"/>
          <w:b/>
          <w:bCs/>
          <w:color w:val="auto"/>
          <w:sz w:val="24"/>
          <w:szCs w:val="24"/>
          <w:highlight w:val="none"/>
        </w:rPr>
        <w:t>33. 合同的签订</w:t>
      </w:r>
      <w:bookmarkEnd w:id="114"/>
      <w:bookmarkEnd w:id="115"/>
      <w:bookmarkEnd w:id="116"/>
    </w:p>
    <w:p w14:paraId="15F577AE">
      <w:pPr>
        <w:shd w:val="clear" w:color="auto" w:fill="FFFFFF"/>
        <w:spacing w:line="440" w:lineRule="exact"/>
        <w:ind w:firstLine="484" w:firstLineChars="202"/>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33.1采购人应当自《成交通知书》发出之日起30日内，按照竞争性磋商文件和成交供应商响应文件的规定，与成交供应商签订书面合同。所签订的合同不得对竞争性磋商文件确定的事项和成交供应商响应文件作实质性修改。</w:t>
      </w:r>
    </w:p>
    <w:p w14:paraId="3D09C4AA">
      <w:pPr>
        <w:shd w:val="clear" w:color="auto" w:fill="FFFFFF"/>
        <w:spacing w:line="440" w:lineRule="exact"/>
        <w:ind w:firstLine="484" w:firstLineChars="202"/>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33.2 竞争性磋商文件要求成交供应商提交履约保证金或者其他形式履约担保的，成交供应商应当提交；拒绝提交的，视为放弃成交项目。</w:t>
      </w:r>
    </w:p>
    <w:p w14:paraId="3C32AFC7">
      <w:pPr>
        <w:shd w:val="clear" w:color="auto" w:fill="FFFFFF"/>
        <w:spacing w:line="440" w:lineRule="exact"/>
        <w:ind w:firstLine="484" w:firstLineChars="202"/>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33.3 竞争性磋商文件和成交供应商的响应文件均是该书面合同的附件。</w:t>
      </w:r>
    </w:p>
    <w:p w14:paraId="38F5791F">
      <w:pPr>
        <w:shd w:val="clear" w:color="auto" w:fill="FFFFFF"/>
        <w:spacing w:line="440" w:lineRule="exact"/>
        <w:ind w:firstLine="484" w:firstLineChars="202"/>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33.4 成交供应商因不可抗力或自身原因不能履行采购合同的，采购人可以与排位在成交供应商之后第一位的成交候选人签订采购合同，以此类推。或采购人重新组织采购活动。</w:t>
      </w:r>
    </w:p>
    <w:p w14:paraId="19BEB83A">
      <w:pPr>
        <w:shd w:val="clear" w:color="auto" w:fill="FFFFFF"/>
        <w:spacing w:line="440" w:lineRule="exact"/>
        <w:ind w:firstLine="484" w:firstLineChars="202"/>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33.5 政府采购项目的采购合同自签订之日起七个工作日内，采购人应当将合同副本报同级政府采购监督管理部门和有关部门备案。</w:t>
      </w:r>
    </w:p>
    <w:p w14:paraId="727D227B">
      <w:pPr>
        <w:shd w:val="clear" w:color="auto" w:fill="FFFFFF"/>
        <w:spacing w:before="156" w:beforeLines="50" w:after="156" w:afterLines="50" w:line="440" w:lineRule="exact"/>
        <w:jc w:val="center"/>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（十）买方授标时更改采购服务数量的权利</w:t>
      </w:r>
    </w:p>
    <w:p w14:paraId="7E1368AE">
      <w:pPr>
        <w:shd w:val="clear" w:color="auto" w:fill="FFFFFF"/>
        <w:spacing w:line="440" w:lineRule="exac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34.采购人在授予合同时有权按“供应商须知前附表”第17项约定的内容对采购需求中规定物资数量予以局部增加或减少，但不得实质性内容做任何改变，对增减的数量按同类型成交服务价结算。</w:t>
      </w:r>
    </w:p>
    <w:p w14:paraId="029AEDD9">
      <w:pPr>
        <w:shd w:val="clear" w:color="auto" w:fill="FFFFFF"/>
        <w:spacing w:before="156" w:beforeLines="50" w:after="156" w:afterLines="50" w:line="440" w:lineRule="exact"/>
        <w:jc w:val="center"/>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（十一）质疑与投诉</w:t>
      </w:r>
    </w:p>
    <w:p w14:paraId="52E6B016">
      <w:pPr>
        <w:shd w:val="clear" w:color="auto" w:fill="FFFFFF"/>
        <w:spacing w:line="440" w:lineRule="exact"/>
        <w:ind w:firstLine="472" w:firstLineChars="196"/>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35.质疑与投诉</w:t>
      </w:r>
    </w:p>
    <w:p w14:paraId="1655FC33">
      <w:pPr>
        <w:shd w:val="clear" w:color="auto" w:fill="FFFFFF"/>
        <w:spacing w:line="440" w:lineRule="exact"/>
        <w:ind w:firstLine="484" w:firstLineChars="20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35.1供应商认为竞争性磋商文件、采购过程、成交或者成交结果使自己的权益受到损害的，可以在知道或者应知其权益受到损害之日起七个工作日内，向采购人、采购代理机构提出质疑。供应商须在法定质疑期内一次性提出针对同一采购程序环节的质疑。</w:t>
      </w:r>
    </w:p>
    <w:p w14:paraId="079B9CB1">
      <w:pPr>
        <w:shd w:val="clear" w:color="auto" w:fill="FFFFFF"/>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35.2质疑函的必备内容</w:t>
      </w:r>
    </w:p>
    <w:p w14:paraId="1DA7E41B">
      <w:pPr>
        <w:shd w:val="clear" w:color="auto" w:fill="FFFFFF"/>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35.2.1供应商提交的质疑函必须注明单位名称、地址、邮编、可供查询的单位和法定代表人的电话号码、联系人电话；</w:t>
      </w:r>
    </w:p>
    <w:p w14:paraId="46E3B427">
      <w:pPr>
        <w:shd w:val="clear" w:color="auto" w:fill="FFFFFF"/>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35.2.2质疑项目的名称、编号；</w:t>
      </w:r>
    </w:p>
    <w:p w14:paraId="35229A20">
      <w:pPr>
        <w:shd w:val="clear" w:color="auto" w:fill="FFFFFF"/>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35.2.3具体质疑事项和与质疑事项相关的请求；</w:t>
      </w:r>
    </w:p>
    <w:p w14:paraId="4A99B782">
      <w:pPr>
        <w:shd w:val="clear" w:color="auto" w:fill="FFFFFF"/>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35.2.4事实依据；</w:t>
      </w:r>
    </w:p>
    <w:p w14:paraId="0C564973">
      <w:pPr>
        <w:shd w:val="clear" w:color="auto" w:fill="FFFFFF"/>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35.2.5提起质疑的日期；</w:t>
      </w:r>
    </w:p>
    <w:p w14:paraId="33388212">
      <w:pPr>
        <w:shd w:val="clear" w:color="auto" w:fill="FFFFFF"/>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35.2.6质疑函须加盖单位公章，由法定代表人签章。</w:t>
      </w:r>
    </w:p>
    <w:p w14:paraId="524C214B">
      <w:pPr>
        <w:shd w:val="clear" w:color="auto" w:fill="FFFFFF"/>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35.2.7委托代理人递交质疑函的，还须提交委托质疑事项的授权委托书（附法定代表人和被授权人的身份证正反面），加盖单位公章和法定代表人签章和被授权人签字，同时出示被授权人身份证。</w:t>
      </w:r>
    </w:p>
    <w:p w14:paraId="547FDF32">
      <w:pPr>
        <w:shd w:val="clear" w:color="auto" w:fill="FFFFFF"/>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35.3质疑应符合下列条件：</w:t>
      </w:r>
    </w:p>
    <w:p w14:paraId="24E279C5">
      <w:pPr>
        <w:shd w:val="clear" w:color="auto" w:fill="FFFFFF"/>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35.3.1质疑人是参与所质疑项目的采购活动的供应商；</w:t>
      </w:r>
    </w:p>
    <w:p w14:paraId="59A6DC7A">
      <w:pPr>
        <w:shd w:val="clear" w:color="auto" w:fill="FFFFFF"/>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35.3.2质疑函内容符合相关的规定；</w:t>
      </w:r>
    </w:p>
    <w:p w14:paraId="26CB72A1">
      <w:pPr>
        <w:shd w:val="clear" w:color="auto" w:fill="FFFFFF"/>
        <w:tabs>
          <w:tab w:val="left" w:pos="929"/>
        </w:tabs>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35.3.3在规定的有效期限内提起质疑；</w:t>
      </w:r>
    </w:p>
    <w:p w14:paraId="40F730C2">
      <w:pPr>
        <w:shd w:val="clear" w:color="auto" w:fill="FFFFFF"/>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35.3.4招投标监管部门规定的其他条件。</w:t>
      </w:r>
    </w:p>
    <w:p w14:paraId="5B430F1A">
      <w:pPr>
        <w:shd w:val="clear" w:color="auto" w:fill="FFFFFF"/>
        <w:spacing w:line="440" w:lineRule="exact"/>
        <w:ind w:firstLine="484" w:firstLineChars="20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35.4采购人在收到供应商的书面质疑后七个工作日内作出答复，并以书面形式通知质疑供应商和其他有关供应商，但答复的内容不涉及商业秘密。作出答复前，将暂停招标采购活动。</w:t>
      </w:r>
    </w:p>
    <w:p w14:paraId="7F81DA09">
      <w:pPr>
        <w:shd w:val="clear" w:color="auto" w:fill="FFFFFF"/>
        <w:adjustRightInd w:val="0"/>
        <w:snapToGrid w:val="0"/>
        <w:spacing w:line="440" w:lineRule="exac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35.5提出质疑的供应商对答复不满意的，可以在答复期满后十五个工作日内向同级政府招标采购监督管理部门投诉。政府招标采购监督管理部门应当在收到投诉三十个工作日内，对投诉事项作出处理决定，并以书面形式通知投诉人和与投诉事项相关的当事人。</w:t>
      </w:r>
    </w:p>
    <w:p w14:paraId="266EED65">
      <w:pPr>
        <w:shd w:val="clear" w:color="auto" w:fill="FFFFFF"/>
        <w:spacing w:before="156" w:beforeLines="50" w:after="156" w:afterLines="50" w:line="440" w:lineRule="exact"/>
        <w:jc w:val="center"/>
        <w:rPr>
          <w:rFonts w:hint="eastAsia" w:ascii="宋体" w:hAnsi="宋体" w:eastAsia="宋体" w:cs="宋体"/>
          <w:b/>
          <w:color w:val="auto"/>
          <w:kern w:val="0"/>
          <w:sz w:val="24"/>
          <w:szCs w:val="24"/>
          <w:highlight w:val="none"/>
        </w:rPr>
      </w:pPr>
      <w:bookmarkStart w:id="117" w:name="_Toc37090665"/>
      <w:bookmarkStart w:id="118" w:name="_Toc37091001"/>
      <w:r>
        <w:rPr>
          <w:rFonts w:hint="eastAsia" w:ascii="宋体" w:hAnsi="宋体" w:eastAsia="宋体" w:cs="宋体"/>
          <w:b/>
          <w:color w:val="auto"/>
          <w:kern w:val="0"/>
          <w:sz w:val="24"/>
          <w:szCs w:val="24"/>
          <w:highlight w:val="none"/>
        </w:rPr>
        <w:t>（十二）履约担保</w:t>
      </w:r>
    </w:p>
    <w:p w14:paraId="7870F1D8">
      <w:pPr>
        <w:spacing w:line="440" w:lineRule="exact"/>
        <w:ind w:firstLine="482" w:firstLineChars="200"/>
        <w:rPr>
          <w:rFonts w:hint="eastAsia" w:ascii="宋体" w:hAnsi="宋体" w:eastAsia="宋体" w:cs="宋体"/>
          <w:b/>
          <w:bCs/>
          <w:color w:val="auto"/>
          <w:sz w:val="24"/>
          <w:szCs w:val="24"/>
          <w:highlight w:val="none"/>
        </w:rPr>
      </w:pPr>
      <w:bookmarkStart w:id="119" w:name="_Toc18714"/>
      <w:r>
        <w:rPr>
          <w:rFonts w:hint="eastAsia" w:ascii="宋体" w:hAnsi="宋体" w:eastAsia="宋体" w:cs="宋体"/>
          <w:b/>
          <w:bCs/>
          <w:color w:val="auto"/>
          <w:sz w:val="24"/>
          <w:szCs w:val="24"/>
          <w:highlight w:val="none"/>
        </w:rPr>
        <w:t>36. 履约担保</w:t>
      </w:r>
      <w:bookmarkEnd w:id="117"/>
      <w:bookmarkEnd w:id="118"/>
      <w:bookmarkEnd w:id="119"/>
    </w:p>
    <w:p w14:paraId="4EB2D441">
      <w:pPr>
        <w:shd w:val="clear" w:color="auto" w:fill="FFFFFF"/>
        <w:adjustRightInd w:val="0"/>
        <w:snapToGrid w:val="0"/>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36.1 成交供应商须在与采购人签署合同前按竞争性磋商文件有关要求提交履约担保。成交供应商应按照下列规定的方式和金额向采购人提交履约担保。</w:t>
      </w:r>
    </w:p>
    <w:p w14:paraId="7F7210BB">
      <w:pPr>
        <w:shd w:val="clear" w:color="auto" w:fill="FFFFFF"/>
        <w:adjustRightInd w:val="0"/>
        <w:snapToGrid w:val="0"/>
        <w:spacing w:line="440" w:lineRule="exact"/>
        <w:ind w:firstLine="480" w:firstLineChars="200"/>
        <w:rPr>
          <w:rFonts w:hint="eastAsia" w:ascii="宋体" w:hAnsi="宋体" w:eastAsia="宋体" w:cs="宋体"/>
          <w:color w:val="auto"/>
          <w:sz w:val="24"/>
          <w:szCs w:val="24"/>
          <w:highlight w:val="none"/>
        </w:rPr>
      </w:pPr>
      <w:bookmarkStart w:id="120" w:name="_Toc30886"/>
      <w:bookmarkStart w:id="121" w:name="_Toc37090666"/>
      <w:bookmarkStart w:id="122" w:name="_Toc37091002"/>
      <w:r>
        <w:rPr>
          <w:rFonts w:hint="eastAsia" w:ascii="宋体" w:hAnsi="宋体" w:eastAsia="宋体" w:cs="宋体"/>
          <w:color w:val="auto"/>
          <w:sz w:val="24"/>
          <w:szCs w:val="24"/>
          <w:highlight w:val="none"/>
        </w:rPr>
        <w:t>36.2 履约担保采用下列</w:t>
      </w:r>
      <w:r>
        <w:rPr>
          <w:rFonts w:hint="eastAsia" w:ascii="宋体" w:hAnsi="宋体" w:eastAsia="宋体" w:cs="宋体"/>
          <w:color w:val="auto"/>
          <w:sz w:val="24"/>
          <w:szCs w:val="24"/>
          <w:highlight w:val="none"/>
          <w:u w:val="single"/>
        </w:rPr>
        <w:t xml:space="preserve">  /  </w:t>
      </w:r>
      <w:r>
        <w:rPr>
          <w:rFonts w:hint="eastAsia" w:ascii="宋体" w:hAnsi="宋体" w:eastAsia="宋体" w:cs="宋体"/>
          <w:color w:val="auto"/>
          <w:sz w:val="24"/>
          <w:szCs w:val="24"/>
          <w:highlight w:val="none"/>
        </w:rPr>
        <w:t>方式</w:t>
      </w:r>
      <w:bookmarkEnd w:id="120"/>
      <w:bookmarkEnd w:id="121"/>
      <w:bookmarkEnd w:id="122"/>
    </w:p>
    <w:p w14:paraId="77FC5A0E">
      <w:pPr>
        <w:shd w:val="clear" w:color="auto" w:fill="FFFFFF"/>
        <w:adjustRightInd w:val="0"/>
        <w:snapToGrid w:val="0"/>
        <w:spacing w:line="440" w:lineRule="exact"/>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36.2.1 履约保证金担保方式：</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w:t>
      </w:r>
      <w:r>
        <w:rPr>
          <w:rFonts w:hint="eastAsia" w:ascii="宋体" w:hAnsi="宋体" w:eastAsia="宋体" w:cs="宋体"/>
          <w:color w:val="auto"/>
          <w:sz w:val="24"/>
          <w:szCs w:val="24"/>
          <w:highlight w:val="none"/>
          <w:u w:val="single"/>
        </w:rPr>
        <w:t xml:space="preserve"> </w:t>
      </w:r>
    </w:p>
    <w:p w14:paraId="3BE59141">
      <w:pPr>
        <w:shd w:val="clear" w:color="auto" w:fill="FFFFFF"/>
        <w:spacing w:line="440" w:lineRule="exac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1） 银行汇票；2） 支票；</w:t>
      </w:r>
      <w:r>
        <w:rPr>
          <w:rFonts w:hint="eastAsia" w:ascii="宋体" w:hAnsi="宋体" w:eastAsia="宋体" w:cs="宋体"/>
          <w:color w:val="auto"/>
          <w:kern w:val="0"/>
          <w:sz w:val="24"/>
          <w:szCs w:val="24"/>
          <w:highlight w:val="none"/>
        </w:rPr>
        <w:t>3）银行转账；4）担保公司担保；</w:t>
      </w:r>
      <w:r>
        <w:rPr>
          <w:rFonts w:hint="eastAsia" w:ascii="宋体" w:hAnsi="宋体" w:eastAsia="宋体" w:cs="宋体"/>
          <w:color w:val="auto"/>
          <w:sz w:val="24"/>
          <w:szCs w:val="24"/>
          <w:highlight w:val="none"/>
        </w:rPr>
        <w:t>5）采购人与供应商协商确定的其他担保方式。</w:t>
      </w:r>
    </w:p>
    <w:p w14:paraId="3F74C123">
      <w:pPr>
        <w:shd w:val="clear" w:color="auto" w:fill="FFFFFF"/>
        <w:spacing w:line="440" w:lineRule="exact"/>
        <w:ind w:firstLine="484" w:firstLineChars="202"/>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36.2.3 如成交供应商不能按照供应商须知第35条的规定执行，采购人将视为成交供应商放弃成交项目；已经订立合同的，采购人有充分理由解除合同，给采购人造成损失的，放弃成交项目的成交供应商应当赔偿。</w:t>
      </w:r>
    </w:p>
    <w:p w14:paraId="57504182">
      <w:pPr>
        <w:shd w:val="clear" w:color="auto" w:fill="FFFFFF"/>
        <w:spacing w:before="156" w:beforeLines="50" w:after="156" w:afterLines="50" w:line="440" w:lineRule="exact"/>
        <w:jc w:val="center"/>
        <w:rPr>
          <w:rFonts w:hint="eastAsia" w:ascii="宋体" w:hAnsi="宋体" w:eastAsia="宋体" w:cs="宋体"/>
          <w:b/>
          <w:color w:val="auto"/>
          <w:kern w:val="0"/>
          <w:sz w:val="24"/>
          <w:szCs w:val="24"/>
          <w:highlight w:val="none"/>
        </w:rPr>
      </w:pPr>
      <w:bookmarkStart w:id="123" w:name="_Toc228180139"/>
      <w:r>
        <w:rPr>
          <w:rFonts w:hint="eastAsia" w:ascii="宋体" w:hAnsi="宋体" w:eastAsia="宋体" w:cs="宋体"/>
          <w:b/>
          <w:color w:val="auto"/>
          <w:kern w:val="0"/>
          <w:sz w:val="24"/>
          <w:szCs w:val="24"/>
          <w:highlight w:val="none"/>
        </w:rPr>
        <w:t>（十三）其他</w:t>
      </w:r>
    </w:p>
    <w:p w14:paraId="1C1BCC79">
      <w:pPr>
        <w:shd w:val="clear" w:color="auto" w:fill="FFFFFF"/>
        <w:spacing w:line="440" w:lineRule="exact"/>
        <w:ind w:firstLine="487" w:firstLineChars="202"/>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37.</w:t>
      </w:r>
      <w:bookmarkEnd w:id="123"/>
      <w:r>
        <w:rPr>
          <w:rFonts w:hint="eastAsia" w:ascii="宋体" w:hAnsi="宋体" w:eastAsia="宋体" w:cs="宋体"/>
          <w:b/>
          <w:color w:val="auto"/>
          <w:kern w:val="0"/>
          <w:sz w:val="24"/>
          <w:szCs w:val="24"/>
          <w:highlight w:val="none"/>
        </w:rPr>
        <w:t>成交服务费</w:t>
      </w:r>
    </w:p>
    <w:p w14:paraId="0ECCF3DB">
      <w:pPr>
        <w:pStyle w:val="88"/>
        <w:pageBreakBefore w:val="0"/>
        <w:widowControl w:val="0"/>
        <w:kinsoku/>
        <w:wordWrap/>
        <w:overflowPunct/>
        <w:topLinePunct w:val="0"/>
        <w:autoSpaceDE/>
        <w:autoSpaceDN/>
        <w:bidi w:val="0"/>
        <w:spacing w:line="360" w:lineRule="auto"/>
        <w:ind w:firstLine="470" w:firstLineChars="196"/>
        <w:rPr>
          <w:rFonts w:hint="eastAsia" w:ascii="宋体" w:hAnsi="宋体" w:eastAsia="宋体" w:cs="宋体"/>
          <w:color w:val="auto"/>
          <w:kern w:val="2"/>
          <w:sz w:val="24"/>
          <w:szCs w:val="24"/>
          <w:highlight w:val="none"/>
        </w:rPr>
      </w:pPr>
      <w:r>
        <w:rPr>
          <w:rFonts w:hint="eastAsia" w:ascii="宋体" w:hAnsi="宋体" w:eastAsia="宋体" w:cs="宋体"/>
          <w:color w:val="auto"/>
          <w:kern w:val="0"/>
          <w:sz w:val="24"/>
          <w:szCs w:val="24"/>
          <w:highlight w:val="none"/>
        </w:rPr>
        <w:t xml:space="preserve">37.1 </w:t>
      </w:r>
      <w:r>
        <w:rPr>
          <w:rFonts w:hint="eastAsia" w:ascii="宋体" w:hAnsi="宋体" w:eastAsia="宋体" w:cs="宋体"/>
          <w:color w:val="auto"/>
          <w:kern w:val="2"/>
          <w:sz w:val="24"/>
          <w:szCs w:val="24"/>
          <w:highlight w:val="none"/>
        </w:rPr>
        <w:t>代理服务费按照招标文件第二部分“投标人须知前附表”中第2</w:t>
      </w:r>
      <w:r>
        <w:rPr>
          <w:rFonts w:hint="eastAsia" w:ascii="宋体" w:hAnsi="宋体" w:eastAsia="宋体" w:cs="宋体"/>
          <w:color w:val="auto"/>
          <w:kern w:val="2"/>
          <w:sz w:val="24"/>
          <w:szCs w:val="24"/>
          <w:highlight w:val="none"/>
          <w:lang w:val="en-US" w:eastAsia="zh-CN"/>
        </w:rPr>
        <w:t>1</w:t>
      </w:r>
      <w:r>
        <w:rPr>
          <w:rFonts w:hint="eastAsia" w:ascii="宋体" w:hAnsi="宋体" w:eastAsia="宋体" w:cs="宋体"/>
          <w:color w:val="auto"/>
          <w:kern w:val="2"/>
          <w:sz w:val="24"/>
          <w:szCs w:val="24"/>
          <w:highlight w:val="none"/>
        </w:rPr>
        <w:t>项的规定由中标人交纳，请投标人在测算投标报价时充分考虑这一因素。</w:t>
      </w:r>
      <w:r>
        <w:rPr>
          <w:rFonts w:hint="eastAsia" w:ascii="宋体" w:hAnsi="宋体" w:eastAsia="宋体" w:cs="宋体"/>
          <w:color w:val="auto"/>
          <w:kern w:val="2"/>
          <w:sz w:val="24"/>
          <w:szCs w:val="24"/>
          <w:highlight w:val="none"/>
        </w:rPr>
        <w:br w:type="textWrapping"/>
      </w:r>
      <w:r>
        <w:rPr>
          <w:rFonts w:hint="eastAsia" w:ascii="宋体" w:hAnsi="宋体" w:eastAsia="宋体" w:cs="宋体"/>
          <w:color w:val="auto"/>
          <w:kern w:val="2"/>
          <w:sz w:val="24"/>
          <w:szCs w:val="24"/>
          <w:highlight w:val="none"/>
          <w:lang w:val="en-US" w:eastAsia="zh-CN"/>
        </w:rPr>
        <w:t xml:space="preserve">    37.2</w:t>
      </w:r>
      <w:r>
        <w:rPr>
          <w:rFonts w:hint="eastAsia" w:ascii="宋体" w:hAnsi="宋体" w:eastAsia="宋体" w:cs="宋体"/>
          <w:color w:val="auto"/>
          <w:kern w:val="2"/>
          <w:sz w:val="24"/>
          <w:szCs w:val="24"/>
          <w:highlight w:val="none"/>
        </w:rPr>
        <w:t>本项目招标代理服务费</w:t>
      </w:r>
      <w:r>
        <w:rPr>
          <w:rFonts w:hint="eastAsia" w:ascii="宋体" w:hAnsi="宋体" w:eastAsia="宋体" w:cs="宋体"/>
          <w:color w:val="auto"/>
          <w:kern w:val="2"/>
          <w:sz w:val="24"/>
          <w:szCs w:val="24"/>
          <w:highlight w:val="none"/>
          <w:lang w:val="en-US" w:eastAsia="zh-CN"/>
        </w:rPr>
        <w:t>参照</w:t>
      </w:r>
      <w:r>
        <w:rPr>
          <w:rFonts w:hint="eastAsia" w:ascii="宋体" w:hAnsi="宋体" w:eastAsia="宋体" w:cs="宋体"/>
          <w:color w:val="auto"/>
          <w:kern w:val="2"/>
          <w:sz w:val="24"/>
          <w:szCs w:val="24"/>
          <w:highlight w:val="none"/>
        </w:rPr>
        <w:t>《招标代理服务收费管理暂行办法》计价格[2002]1980号文件（发改办价格[2003]857号文件）及财库[2018]2号文件计算的招标代理服务费下浮50%由中标人向招标代理支付。</w:t>
      </w:r>
    </w:p>
    <w:p w14:paraId="1B445F4D">
      <w:pPr>
        <w:pStyle w:val="88"/>
        <w:pageBreakBefore w:val="0"/>
        <w:widowControl w:val="0"/>
        <w:kinsoku/>
        <w:wordWrap/>
        <w:overflowPunct/>
        <w:topLinePunct w:val="0"/>
        <w:autoSpaceDE/>
        <w:autoSpaceDN/>
        <w:bidi w:val="0"/>
        <w:spacing w:line="360" w:lineRule="auto"/>
        <w:ind w:firstLine="470" w:firstLineChars="196"/>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rPr>
        <w:t>37.3</w:t>
      </w:r>
      <w:r>
        <w:rPr>
          <w:rFonts w:hint="eastAsia" w:ascii="宋体" w:hAnsi="宋体" w:eastAsia="宋体" w:cs="宋体"/>
          <w:color w:val="auto"/>
          <w:kern w:val="2"/>
          <w:sz w:val="24"/>
          <w:szCs w:val="24"/>
          <w:highlight w:val="none"/>
        </w:rPr>
        <w:t>中标人不再支付其他任何费用和款项。</w:t>
      </w:r>
    </w:p>
    <w:p w14:paraId="70AB10E9">
      <w:pPr>
        <w:pStyle w:val="88"/>
        <w:pageBreakBefore w:val="0"/>
        <w:widowControl w:val="0"/>
        <w:kinsoku/>
        <w:wordWrap/>
        <w:overflowPunct/>
        <w:topLinePunct w:val="0"/>
        <w:autoSpaceDE/>
        <w:autoSpaceDN/>
        <w:bidi w:val="0"/>
        <w:spacing w:line="360" w:lineRule="auto"/>
        <w:ind w:firstLine="470" w:firstLineChars="196"/>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rPr>
        <w:t>37.4</w:t>
      </w:r>
      <w:r>
        <w:rPr>
          <w:rFonts w:hint="eastAsia" w:ascii="宋体" w:hAnsi="宋体" w:eastAsia="宋体" w:cs="宋体"/>
          <w:color w:val="auto"/>
          <w:kern w:val="2"/>
          <w:sz w:val="24"/>
          <w:szCs w:val="24"/>
          <w:highlight w:val="none"/>
        </w:rPr>
        <w:t>具体费用详见本项目中标结果公告中第六条“代理服务收费标准及金额”</w:t>
      </w:r>
    </w:p>
    <w:p w14:paraId="1CFF1929">
      <w:pPr>
        <w:pStyle w:val="88"/>
        <w:pageBreakBefore w:val="0"/>
        <w:widowControl w:val="0"/>
        <w:kinsoku/>
        <w:wordWrap/>
        <w:overflowPunct/>
        <w:topLinePunct w:val="0"/>
        <w:autoSpaceDE/>
        <w:autoSpaceDN/>
        <w:bidi w:val="0"/>
        <w:spacing w:line="360" w:lineRule="auto"/>
        <w:ind w:firstLine="470" w:firstLineChars="196"/>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rPr>
        <w:t>37.5参照</w:t>
      </w:r>
      <w:r>
        <w:rPr>
          <w:rFonts w:hint="eastAsia" w:ascii="宋体" w:hAnsi="宋体" w:eastAsia="宋体" w:cs="宋体"/>
          <w:color w:val="auto"/>
          <w:kern w:val="2"/>
          <w:sz w:val="24"/>
          <w:szCs w:val="24"/>
          <w:highlight w:val="none"/>
        </w:rPr>
        <w:t>国家发改委《关于招标代理服务费有关问题的通知》（发改办[2003]857号文件）第二条，将计价格[2002]1980号第十条中“招标代理服务实行谁委托谁付费”，修改为“招标代理服务费就由招标人支付”，招标人、招标代理机构与投标人另有约定的，</w:t>
      </w:r>
      <w:r>
        <w:rPr>
          <w:rFonts w:hint="eastAsia" w:ascii="宋体" w:hAnsi="宋体" w:eastAsia="宋体" w:cs="宋体"/>
          <w:color w:val="auto"/>
          <w:kern w:val="2"/>
          <w:sz w:val="24"/>
          <w:szCs w:val="24"/>
          <w:highlight w:val="none"/>
          <w:lang w:val="en-US" w:eastAsia="zh-CN"/>
        </w:rPr>
        <w:t>参照</w:t>
      </w:r>
      <w:r>
        <w:rPr>
          <w:rFonts w:hint="eastAsia" w:ascii="宋体" w:hAnsi="宋体" w:eastAsia="宋体" w:cs="宋体"/>
          <w:color w:val="auto"/>
          <w:kern w:val="2"/>
          <w:sz w:val="24"/>
          <w:szCs w:val="24"/>
          <w:highlight w:val="none"/>
        </w:rPr>
        <w:t>财库[2018]2号文件从其约定的要求，经各方一致同意，招标代理服务费由中标人向招标代理支付，采购人不承担付款义务。</w:t>
      </w:r>
    </w:p>
    <w:p w14:paraId="3D44A28F">
      <w:pPr>
        <w:pStyle w:val="88"/>
        <w:pageBreakBefore w:val="0"/>
        <w:widowControl w:val="0"/>
        <w:kinsoku/>
        <w:wordWrap/>
        <w:overflowPunct/>
        <w:topLinePunct w:val="0"/>
        <w:autoSpaceDE/>
        <w:autoSpaceDN/>
        <w:bidi w:val="0"/>
        <w:spacing w:line="360" w:lineRule="auto"/>
        <w:ind w:firstLine="470" w:firstLineChars="196"/>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rPr>
        <w:t>37.6</w:t>
      </w:r>
      <w:r>
        <w:rPr>
          <w:rFonts w:hint="eastAsia" w:ascii="宋体" w:hAnsi="宋体" w:eastAsia="宋体" w:cs="宋体"/>
          <w:color w:val="auto"/>
          <w:kern w:val="2"/>
          <w:sz w:val="24"/>
          <w:szCs w:val="24"/>
          <w:highlight w:val="none"/>
        </w:rPr>
        <w:t>中标人于中标公示发布后7个工作日内一次性向招标代理公司支付代理服务费。</w:t>
      </w:r>
    </w:p>
    <w:p w14:paraId="042BD022">
      <w:pPr>
        <w:pStyle w:val="88"/>
        <w:pageBreakBefore w:val="0"/>
        <w:widowControl w:val="0"/>
        <w:kinsoku/>
        <w:wordWrap/>
        <w:overflowPunct/>
        <w:topLinePunct w:val="0"/>
        <w:autoSpaceDE/>
        <w:autoSpaceDN/>
        <w:bidi w:val="0"/>
        <w:spacing w:line="360" w:lineRule="auto"/>
        <w:ind w:firstLine="470" w:firstLineChars="196"/>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rPr>
        <w:t>37.7</w:t>
      </w:r>
      <w:r>
        <w:rPr>
          <w:rFonts w:hint="eastAsia" w:ascii="宋体" w:hAnsi="宋体" w:eastAsia="宋体" w:cs="宋体"/>
          <w:color w:val="auto"/>
          <w:kern w:val="2"/>
          <w:sz w:val="24"/>
          <w:szCs w:val="24"/>
          <w:highlight w:val="none"/>
        </w:rPr>
        <w:t>责任认定</w:t>
      </w:r>
    </w:p>
    <w:p w14:paraId="441FA446">
      <w:pPr>
        <w:pStyle w:val="88"/>
        <w:pageBreakBefore w:val="0"/>
        <w:widowControl w:val="0"/>
        <w:kinsoku/>
        <w:wordWrap/>
        <w:overflowPunct/>
        <w:topLinePunct w:val="0"/>
        <w:autoSpaceDE/>
        <w:autoSpaceDN/>
        <w:bidi w:val="0"/>
        <w:spacing w:line="360" w:lineRule="auto"/>
        <w:ind w:firstLine="470" w:firstLineChars="196"/>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rPr>
        <w:t>37.7.1</w:t>
      </w:r>
      <w:r>
        <w:rPr>
          <w:rFonts w:hint="eastAsia" w:ascii="宋体" w:hAnsi="宋体" w:eastAsia="宋体" w:cs="宋体"/>
          <w:color w:val="auto"/>
          <w:kern w:val="2"/>
          <w:sz w:val="24"/>
          <w:szCs w:val="24"/>
          <w:highlight w:val="none"/>
        </w:rPr>
        <w:t>中标人应如实向招标代理公司履行付款义务，中标人的付款金额以前款约定的协议金额为限；因中标人不能向招标代理公司按时付款所发生的一切法律纠纷均与采购人无关，如因此导致采购人承担责任或造成损失，采购人有权向其全额追偿。</w:t>
      </w:r>
    </w:p>
    <w:p w14:paraId="4ECEADD5">
      <w:pPr>
        <w:pageBreakBefore w:val="0"/>
        <w:widowControl w:val="0"/>
        <w:kinsoku/>
        <w:wordWrap/>
        <w:overflowPunct/>
        <w:topLinePunct w:val="0"/>
        <w:autoSpaceDE/>
        <w:autoSpaceDN/>
        <w:bidi w:val="0"/>
        <w:spacing w:line="360" w:lineRule="auto"/>
        <w:ind w:firstLine="480" w:firstLineChars="200"/>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rPr>
        <w:t>37.7.2</w:t>
      </w:r>
      <w:r>
        <w:rPr>
          <w:rFonts w:hint="eastAsia" w:ascii="宋体" w:hAnsi="宋体" w:eastAsia="宋体" w:cs="宋体"/>
          <w:color w:val="auto"/>
          <w:kern w:val="2"/>
          <w:sz w:val="24"/>
          <w:szCs w:val="24"/>
          <w:highlight w:val="none"/>
        </w:rPr>
        <w:t>协议履行过程中，招标代理公司不得以中标人未支付本协议约定的招标代理费用为由，拒绝向中标人发放中标通知书，在协议履行期间因此产生的法律纠纷及争议均由招标代理公司与中标人自行解决，与采购人无关。</w:t>
      </w:r>
    </w:p>
    <w:p w14:paraId="65A34D70">
      <w:pPr>
        <w:pageBreakBefore w:val="0"/>
        <w:widowControl w:val="0"/>
        <w:kinsoku/>
        <w:wordWrap/>
        <w:overflowPunct/>
        <w:topLinePunct w:val="0"/>
        <w:autoSpaceDE/>
        <w:autoSpaceDN/>
        <w:bidi w:val="0"/>
        <w:spacing w:line="360" w:lineRule="auto"/>
        <w:ind w:firstLine="480" w:firstLineChars="200"/>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rPr>
        <w:t>37.7.3</w:t>
      </w:r>
      <w:r>
        <w:rPr>
          <w:rFonts w:hint="eastAsia" w:ascii="宋体" w:hAnsi="宋体" w:eastAsia="宋体" w:cs="宋体"/>
          <w:color w:val="auto"/>
          <w:kern w:val="2"/>
          <w:sz w:val="24"/>
          <w:szCs w:val="24"/>
          <w:highlight w:val="none"/>
        </w:rPr>
        <w:t>中华人民共和国国家计划委员会[计价格 ［2002］1980号]招标代理服务收费管理暂行办法 (2002-10-15发布)</w:t>
      </w:r>
    </w:p>
    <w:p w14:paraId="6036261B">
      <w:pPr>
        <w:pageBreakBefore w:val="0"/>
        <w:widowControl w:val="0"/>
        <w:kinsoku/>
        <w:wordWrap/>
        <w:overflowPunct/>
        <w:topLinePunct w:val="0"/>
        <w:autoSpaceDE/>
        <w:autoSpaceDN/>
        <w:bidi w:val="0"/>
        <w:spacing w:line="360" w:lineRule="auto"/>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color w:val="auto"/>
          <w:kern w:val="2"/>
          <w:sz w:val="24"/>
          <w:szCs w:val="24"/>
          <w:highlight w:val="none"/>
        </w:rPr>
        <w:t>  第一条 为规范招标代理服务收费行为，维护招标人、投标人和招标代理机构的合法权益，根据《中华人民共和国价格法》、《中华人民共和国招标投标法》及有关法律</w:t>
      </w:r>
      <w:r>
        <w:rPr>
          <w:rFonts w:hint="eastAsia" w:ascii="宋体" w:hAnsi="宋体" w:eastAsia="宋体" w:cs="宋体"/>
          <w:i w:val="0"/>
          <w:iCs w:val="0"/>
          <w:caps w:val="0"/>
          <w:color w:val="auto"/>
          <w:spacing w:val="0"/>
          <w:sz w:val="24"/>
          <w:szCs w:val="24"/>
          <w:highlight w:val="none"/>
        </w:rPr>
        <w:t>、行政法规，制定本办法。</w:t>
      </w:r>
      <w:r>
        <w:rPr>
          <w:rFonts w:hint="eastAsia" w:ascii="宋体" w:hAnsi="宋体" w:eastAsia="宋体" w:cs="宋体"/>
          <w:i w:val="0"/>
          <w:iCs w:val="0"/>
          <w:caps w:val="0"/>
          <w:color w:val="auto"/>
          <w:spacing w:val="0"/>
          <w:sz w:val="24"/>
          <w:szCs w:val="24"/>
          <w:highlight w:val="none"/>
        </w:rPr>
        <w:br w:type="textWrapping"/>
      </w:r>
      <w:r>
        <w:rPr>
          <w:rFonts w:hint="eastAsia" w:ascii="宋体" w:hAnsi="宋体" w:eastAsia="宋体" w:cs="宋体"/>
          <w:i w:val="0"/>
          <w:iCs w:val="0"/>
          <w:caps w:val="0"/>
          <w:color w:val="auto"/>
          <w:spacing w:val="0"/>
          <w:sz w:val="24"/>
          <w:szCs w:val="24"/>
          <w:highlight w:val="none"/>
        </w:rPr>
        <w:t>  第二条 中华人民共和国境内发生的各类招标代理服务的收费行为，适用本办法。</w:t>
      </w:r>
      <w:r>
        <w:rPr>
          <w:rFonts w:hint="eastAsia" w:ascii="宋体" w:hAnsi="宋体" w:eastAsia="宋体" w:cs="宋体"/>
          <w:i w:val="0"/>
          <w:iCs w:val="0"/>
          <w:caps w:val="0"/>
          <w:color w:val="auto"/>
          <w:spacing w:val="0"/>
          <w:sz w:val="24"/>
          <w:szCs w:val="24"/>
          <w:highlight w:val="none"/>
        </w:rPr>
        <w:br w:type="textWrapping"/>
      </w:r>
      <w:r>
        <w:rPr>
          <w:rFonts w:hint="eastAsia" w:ascii="宋体" w:hAnsi="宋体" w:eastAsia="宋体" w:cs="宋体"/>
          <w:i w:val="0"/>
          <w:iCs w:val="0"/>
          <w:caps w:val="0"/>
          <w:color w:val="auto"/>
          <w:spacing w:val="0"/>
          <w:sz w:val="24"/>
          <w:szCs w:val="24"/>
          <w:highlight w:val="none"/>
        </w:rPr>
        <w:t>  第三条 本办法所称招标代理服务收费，是指招标代理机构接受招标人委托，从事编制招标文件（包括编制资格预审文件和标底），审查投标人资格，组织投标人踏勘现场并答疑，组织开标、评标、定标，以及提供招标前期咨询、协调合同的签订等业务所收取的费用。</w:t>
      </w:r>
      <w:r>
        <w:rPr>
          <w:rFonts w:hint="eastAsia" w:ascii="宋体" w:hAnsi="宋体" w:eastAsia="宋体" w:cs="宋体"/>
          <w:i w:val="0"/>
          <w:iCs w:val="0"/>
          <w:caps w:val="0"/>
          <w:color w:val="auto"/>
          <w:spacing w:val="0"/>
          <w:sz w:val="24"/>
          <w:szCs w:val="24"/>
          <w:highlight w:val="none"/>
        </w:rPr>
        <w:br w:type="textWrapping"/>
      </w:r>
      <w:r>
        <w:rPr>
          <w:rFonts w:hint="eastAsia" w:ascii="宋体" w:hAnsi="宋体" w:eastAsia="宋体" w:cs="宋体"/>
          <w:i w:val="0"/>
          <w:iCs w:val="0"/>
          <w:caps w:val="0"/>
          <w:color w:val="auto"/>
          <w:spacing w:val="0"/>
          <w:sz w:val="24"/>
          <w:szCs w:val="24"/>
          <w:highlight w:val="none"/>
        </w:rPr>
        <w:t>  第四条 招标代理机构从事招标代理业务并收取服务费用的，必须符合《中华人民共和国招标投标法》第十三条、第十四条规定的条件，具备独立法人资格和相应资质。</w:t>
      </w:r>
      <w:r>
        <w:rPr>
          <w:rFonts w:hint="eastAsia" w:ascii="宋体" w:hAnsi="宋体" w:eastAsia="宋体" w:cs="宋体"/>
          <w:i w:val="0"/>
          <w:iCs w:val="0"/>
          <w:caps w:val="0"/>
          <w:color w:val="auto"/>
          <w:spacing w:val="0"/>
          <w:sz w:val="24"/>
          <w:szCs w:val="24"/>
          <w:highlight w:val="none"/>
        </w:rPr>
        <w:br w:type="textWrapping"/>
      </w:r>
      <w:r>
        <w:rPr>
          <w:rFonts w:hint="eastAsia" w:ascii="宋体" w:hAnsi="宋体" w:eastAsia="宋体" w:cs="宋体"/>
          <w:i w:val="0"/>
          <w:iCs w:val="0"/>
          <w:caps w:val="0"/>
          <w:color w:val="auto"/>
          <w:spacing w:val="0"/>
          <w:sz w:val="24"/>
          <w:szCs w:val="24"/>
          <w:highlight w:val="none"/>
        </w:rPr>
        <w:t>  第五条 招标代理机构应当在招标人委托的范围内办理招标事宜，遵守国家法律、法规及政策规定，符合招标人的技术、质量要求。</w:t>
      </w:r>
      <w:r>
        <w:rPr>
          <w:rFonts w:hint="eastAsia" w:ascii="宋体" w:hAnsi="宋体" w:eastAsia="宋体" w:cs="宋体"/>
          <w:i w:val="0"/>
          <w:iCs w:val="0"/>
          <w:caps w:val="0"/>
          <w:color w:val="auto"/>
          <w:spacing w:val="0"/>
          <w:sz w:val="24"/>
          <w:szCs w:val="24"/>
          <w:highlight w:val="none"/>
        </w:rPr>
        <w:br w:type="textWrapping"/>
      </w:r>
      <w:r>
        <w:rPr>
          <w:rFonts w:hint="eastAsia" w:ascii="宋体" w:hAnsi="宋体" w:eastAsia="宋体" w:cs="宋体"/>
          <w:i w:val="0"/>
          <w:iCs w:val="0"/>
          <w:caps w:val="0"/>
          <w:color w:val="auto"/>
          <w:spacing w:val="0"/>
          <w:sz w:val="24"/>
          <w:szCs w:val="24"/>
          <w:highlight w:val="none"/>
        </w:rPr>
        <w:t>  第六条 招标代理服务应当遵循公开、公正、平等、自愿、有偿的原则。严格禁止任何单位和个人为招标人强制指定招标代理机构或强制具有自行招标资格的单位接受代理并收取费用。</w:t>
      </w:r>
      <w:r>
        <w:rPr>
          <w:rFonts w:hint="eastAsia" w:ascii="宋体" w:hAnsi="宋体" w:eastAsia="宋体" w:cs="宋体"/>
          <w:i w:val="0"/>
          <w:iCs w:val="0"/>
          <w:caps w:val="0"/>
          <w:color w:val="auto"/>
          <w:spacing w:val="0"/>
          <w:sz w:val="24"/>
          <w:szCs w:val="24"/>
          <w:highlight w:val="none"/>
        </w:rPr>
        <w:br w:type="textWrapping"/>
      </w:r>
      <w:r>
        <w:rPr>
          <w:rFonts w:hint="eastAsia" w:ascii="宋体" w:hAnsi="宋体" w:eastAsia="宋体" w:cs="宋体"/>
          <w:i w:val="0"/>
          <w:iCs w:val="0"/>
          <w:caps w:val="0"/>
          <w:color w:val="auto"/>
          <w:spacing w:val="0"/>
          <w:sz w:val="24"/>
          <w:szCs w:val="24"/>
          <w:highlight w:val="none"/>
        </w:rPr>
        <w:t>  第七条 招标代理服务收费按照招标代理业务性质分为：</w:t>
      </w:r>
      <w:r>
        <w:rPr>
          <w:rFonts w:hint="eastAsia" w:ascii="宋体" w:hAnsi="宋体" w:eastAsia="宋体" w:cs="宋体"/>
          <w:i w:val="0"/>
          <w:iCs w:val="0"/>
          <w:caps w:val="0"/>
          <w:color w:val="auto"/>
          <w:spacing w:val="0"/>
          <w:sz w:val="24"/>
          <w:szCs w:val="24"/>
          <w:highlight w:val="none"/>
        </w:rPr>
        <w:br w:type="textWrapping"/>
      </w:r>
      <w:r>
        <w:rPr>
          <w:rFonts w:hint="eastAsia" w:ascii="宋体" w:hAnsi="宋体" w:eastAsia="宋体" w:cs="宋体"/>
          <w:i w:val="0"/>
          <w:iCs w:val="0"/>
          <w:caps w:val="0"/>
          <w:color w:val="auto"/>
          <w:spacing w:val="0"/>
          <w:sz w:val="24"/>
          <w:szCs w:val="24"/>
          <w:highlight w:val="none"/>
        </w:rPr>
        <w:t>  （一）各类土木工程、建筑工程、设备安装、管道线路敷设、装饰装修等建设以及附带服务的工程招标代理服务收费。</w:t>
      </w:r>
      <w:r>
        <w:rPr>
          <w:rFonts w:hint="eastAsia" w:ascii="宋体" w:hAnsi="宋体" w:eastAsia="宋体" w:cs="宋体"/>
          <w:i w:val="0"/>
          <w:iCs w:val="0"/>
          <w:caps w:val="0"/>
          <w:color w:val="auto"/>
          <w:spacing w:val="0"/>
          <w:sz w:val="24"/>
          <w:szCs w:val="24"/>
          <w:highlight w:val="none"/>
        </w:rPr>
        <w:br w:type="textWrapping"/>
      </w:r>
      <w:r>
        <w:rPr>
          <w:rFonts w:hint="eastAsia" w:ascii="宋体" w:hAnsi="宋体" w:eastAsia="宋体" w:cs="宋体"/>
          <w:i w:val="0"/>
          <w:iCs w:val="0"/>
          <w:caps w:val="0"/>
          <w:color w:val="auto"/>
          <w:spacing w:val="0"/>
          <w:sz w:val="24"/>
          <w:szCs w:val="24"/>
          <w:highlight w:val="none"/>
        </w:rPr>
        <w:t>  （二）原材料、产品、设备和固态、液态或气态物体和电力等货物及其附带服务的货物招标代理服务收费。</w:t>
      </w:r>
      <w:r>
        <w:rPr>
          <w:rFonts w:hint="eastAsia" w:ascii="宋体" w:hAnsi="宋体" w:eastAsia="宋体" w:cs="宋体"/>
          <w:i w:val="0"/>
          <w:iCs w:val="0"/>
          <w:caps w:val="0"/>
          <w:color w:val="auto"/>
          <w:spacing w:val="0"/>
          <w:sz w:val="24"/>
          <w:szCs w:val="24"/>
          <w:highlight w:val="none"/>
        </w:rPr>
        <w:br w:type="textWrapping"/>
      </w:r>
      <w:r>
        <w:rPr>
          <w:rFonts w:hint="eastAsia" w:ascii="宋体" w:hAnsi="宋体" w:eastAsia="宋体" w:cs="宋体"/>
          <w:i w:val="0"/>
          <w:iCs w:val="0"/>
          <w:caps w:val="0"/>
          <w:color w:val="auto"/>
          <w:spacing w:val="0"/>
          <w:sz w:val="24"/>
          <w:szCs w:val="24"/>
          <w:highlight w:val="none"/>
        </w:rPr>
        <w:t>  （三）工程勘察、设计、咨询、监理，矿业权、土地使用权出让、转让和保险等工程和货物以外的服务招标代理服务收费。</w:t>
      </w:r>
      <w:r>
        <w:rPr>
          <w:rFonts w:hint="eastAsia" w:ascii="宋体" w:hAnsi="宋体" w:eastAsia="宋体" w:cs="宋体"/>
          <w:i w:val="0"/>
          <w:iCs w:val="0"/>
          <w:caps w:val="0"/>
          <w:color w:val="auto"/>
          <w:spacing w:val="0"/>
          <w:sz w:val="24"/>
          <w:szCs w:val="24"/>
          <w:highlight w:val="none"/>
        </w:rPr>
        <w:br w:type="textWrapping"/>
      </w:r>
      <w:r>
        <w:rPr>
          <w:rFonts w:hint="eastAsia" w:ascii="宋体" w:hAnsi="宋体" w:eastAsia="宋体" w:cs="宋体"/>
          <w:i w:val="0"/>
          <w:iCs w:val="0"/>
          <w:caps w:val="0"/>
          <w:color w:val="auto"/>
          <w:spacing w:val="0"/>
          <w:sz w:val="24"/>
          <w:szCs w:val="24"/>
          <w:highlight w:val="none"/>
        </w:rPr>
        <w:t>   第八条 招标代理服务收费实行政府指导价。</w:t>
      </w:r>
      <w:r>
        <w:rPr>
          <w:rFonts w:hint="eastAsia" w:ascii="宋体" w:hAnsi="宋体" w:eastAsia="宋体" w:cs="宋体"/>
          <w:i w:val="0"/>
          <w:iCs w:val="0"/>
          <w:caps w:val="0"/>
          <w:color w:val="auto"/>
          <w:spacing w:val="0"/>
          <w:sz w:val="24"/>
          <w:szCs w:val="24"/>
          <w:highlight w:val="none"/>
        </w:rPr>
        <w:br w:type="textWrapping"/>
      </w:r>
      <w:r>
        <w:rPr>
          <w:rFonts w:hint="eastAsia" w:ascii="宋体" w:hAnsi="宋体" w:eastAsia="宋体" w:cs="宋体"/>
          <w:i w:val="0"/>
          <w:iCs w:val="0"/>
          <w:caps w:val="0"/>
          <w:color w:val="auto"/>
          <w:spacing w:val="0"/>
          <w:sz w:val="24"/>
          <w:szCs w:val="24"/>
          <w:highlight w:val="none"/>
        </w:rPr>
        <w:t>   第九条 招标代理服务收费采用差额定率累进计费方式。收费标准按本办法附件规定执行，上下浮动幅度不超过20％。具体收费额由招标代理机构和招标委托人在规定的收费标准和浮动幅度内协商确定。</w:t>
      </w:r>
      <w:r>
        <w:rPr>
          <w:rFonts w:hint="eastAsia" w:ascii="宋体" w:hAnsi="宋体" w:eastAsia="宋体" w:cs="宋体"/>
          <w:i w:val="0"/>
          <w:iCs w:val="0"/>
          <w:caps w:val="0"/>
          <w:color w:val="auto"/>
          <w:spacing w:val="0"/>
          <w:sz w:val="24"/>
          <w:szCs w:val="24"/>
          <w:highlight w:val="none"/>
        </w:rPr>
        <w:br w:type="textWrapping"/>
      </w:r>
      <w:r>
        <w:rPr>
          <w:rFonts w:hint="eastAsia" w:ascii="宋体" w:hAnsi="宋体" w:eastAsia="宋体" w:cs="宋体"/>
          <w:i w:val="0"/>
          <w:iCs w:val="0"/>
          <w:caps w:val="0"/>
          <w:color w:val="auto"/>
          <w:spacing w:val="0"/>
          <w:sz w:val="24"/>
          <w:szCs w:val="24"/>
          <w:highlight w:val="none"/>
        </w:rPr>
        <w:t>   第十条 招标代理服务实行"谁委托谁付费"。</w:t>
      </w:r>
      <w:r>
        <w:rPr>
          <w:rFonts w:hint="eastAsia" w:ascii="宋体" w:hAnsi="宋体" w:eastAsia="宋体" w:cs="宋体"/>
          <w:i w:val="0"/>
          <w:iCs w:val="0"/>
          <w:caps w:val="0"/>
          <w:color w:val="auto"/>
          <w:spacing w:val="0"/>
          <w:sz w:val="24"/>
          <w:szCs w:val="24"/>
          <w:highlight w:val="none"/>
        </w:rPr>
        <w:br w:type="textWrapping"/>
      </w:r>
      <w:r>
        <w:rPr>
          <w:rFonts w:hint="eastAsia" w:ascii="宋体" w:hAnsi="宋体" w:eastAsia="宋体" w:cs="宋体"/>
          <w:i w:val="0"/>
          <w:iCs w:val="0"/>
          <w:caps w:val="0"/>
          <w:color w:val="auto"/>
          <w:spacing w:val="0"/>
          <w:sz w:val="24"/>
          <w:szCs w:val="24"/>
          <w:highlight w:val="none"/>
        </w:rPr>
        <w:t>   工程招标委托人支付的招标代理服务费，可计入工程前期费用。货物招标和服务招标委托人支付的招标代理服务费，按照财政部门规定列支。</w:t>
      </w:r>
      <w:r>
        <w:rPr>
          <w:rFonts w:hint="eastAsia" w:ascii="宋体" w:hAnsi="宋体" w:eastAsia="宋体" w:cs="宋体"/>
          <w:i w:val="0"/>
          <w:iCs w:val="0"/>
          <w:caps w:val="0"/>
          <w:color w:val="auto"/>
          <w:spacing w:val="0"/>
          <w:sz w:val="24"/>
          <w:szCs w:val="24"/>
          <w:highlight w:val="none"/>
        </w:rPr>
        <w:br w:type="textWrapping"/>
      </w:r>
      <w:r>
        <w:rPr>
          <w:rFonts w:hint="eastAsia" w:ascii="宋体" w:hAnsi="宋体" w:eastAsia="宋体" w:cs="宋体"/>
          <w:i w:val="0"/>
          <w:iCs w:val="0"/>
          <w:caps w:val="0"/>
          <w:color w:val="auto"/>
          <w:spacing w:val="0"/>
          <w:sz w:val="24"/>
          <w:szCs w:val="24"/>
          <w:highlight w:val="none"/>
        </w:rPr>
        <w:t>   第十一条 招标代理机构按规定收取代理费用和出售招标文件后，不得再要求招标委托人无偿提供食宿、交通等或收取其他费用。</w:t>
      </w:r>
      <w:r>
        <w:rPr>
          <w:rFonts w:hint="eastAsia" w:ascii="宋体" w:hAnsi="宋体" w:eastAsia="宋体" w:cs="宋体"/>
          <w:i w:val="0"/>
          <w:iCs w:val="0"/>
          <w:caps w:val="0"/>
          <w:color w:val="auto"/>
          <w:spacing w:val="0"/>
          <w:sz w:val="24"/>
          <w:szCs w:val="24"/>
          <w:highlight w:val="none"/>
        </w:rPr>
        <w:br w:type="textWrapping"/>
      </w:r>
      <w:r>
        <w:rPr>
          <w:rFonts w:hint="eastAsia" w:ascii="宋体" w:hAnsi="宋体" w:eastAsia="宋体" w:cs="宋体"/>
          <w:i w:val="0"/>
          <w:iCs w:val="0"/>
          <w:caps w:val="0"/>
          <w:color w:val="auto"/>
          <w:spacing w:val="0"/>
          <w:sz w:val="24"/>
          <w:szCs w:val="24"/>
          <w:highlight w:val="none"/>
        </w:rPr>
        <w:t>   第十二条 招标代理业务中有超过本办法第三条规定的要求的，招标代理机构可与招标委托人就所增加的工作量，另行协商确定服务费用。</w:t>
      </w:r>
      <w:r>
        <w:rPr>
          <w:rFonts w:hint="eastAsia" w:ascii="宋体" w:hAnsi="宋体" w:eastAsia="宋体" w:cs="宋体"/>
          <w:i w:val="0"/>
          <w:iCs w:val="0"/>
          <w:caps w:val="0"/>
          <w:color w:val="auto"/>
          <w:spacing w:val="0"/>
          <w:sz w:val="24"/>
          <w:szCs w:val="24"/>
          <w:highlight w:val="none"/>
        </w:rPr>
        <w:br w:type="textWrapping"/>
      </w:r>
      <w:r>
        <w:rPr>
          <w:rFonts w:hint="eastAsia" w:ascii="宋体" w:hAnsi="宋体" w:eastAsia="宋体" w:cs="宋体"/>
          <w:i w:val="0"/>
          <w:iCs w:val="0"/>
          <w:caps w:val="0"/>
          <w:color w:val="auto"/>
          <w:spacing w:val="0"/>
          <w:sz w:val="24"/>
          <w:szCs w:val="24"/>
          <w:highlight w:val="none"/>
        </w:rPr>
        <w:t>   第十三条 招标代理服务收费纠纷，依据《中华人民共和国价格法》、《中华人民共和国合同法》及其他有关法律、法规处理。</w:t>
      </w:r>
      <w:r>
        <w:rPr>
          <w:rFonts w:hint="eastAsia" w:ascii="宋体" w:hAnsi="宋体" w:eastAsia="宋体" w:cs="宋体"/>
          <w:i w:val="0"/>
          <w:iCs w:val="0"/>
          <w:caps w:val="0"/>
          <w:color w:val="auto"/>
          <w:spacing w:val="0"/>
          <w:sz w:val="24"/>
          <w:szCs w:val="24"/>
          <w:highlight w:val="none"/>
        </w:rPr>
        <w:br w:type="textWrapping"/>
      </w:r>
      <w:r>
        <w:rPr>
          <w:rFonts w:hint="eastAsia" w:ascii="宋体" w:hAnsi="宋体" w:eastAsia="宋体" w:cs="宋体"/>
          <w:i w:val="0"/>
          <w:iCs w:val="0"/>
          <w:caps w:val="0"/>
          <w:color w:val="auto"/>
          <w:spacing w:val="0"/>
          <w:sz w:val="24"/>
          <w:szCs w:val="24"/>
          <w:highlight w:val="none"/>
        </w:rPr>
        <w:t>   第十四条 各级政府有关部门或者其授权、委托的单位，按照国务院关于招标投标管理职能分工规定履行监督职能，要求招标投标当事人履行审批、备案及其他手续的，一律不得收费。</w:t>
      </w:r>
      <w:r>
        <w:rPr>
          <w:rFonts w:hint="eastAsia" w:ascii="宋体" w:hAnsi="宋体" w:eastAsia="宋体" w:cs="宋体"/>
          <w:i w:val="0"/>
          <w:iCs w:val="0"/>
          <w:caps w:val="0"/>
          <w:color w:val="auto"/>
          <w:spacing w:val="0"/>
          <w:sz w:val="24"/>
          <w:szCs w:val="24"/>
          <w:highlight w:val="none"/>
        </w:rPr>
        <w:br w:type="textWrapping"/>
      </w:r>
      <w:r>
        <w:rPr>
          <w:rFonts w:hint="eastAsia" w:ascii="宋体" w:hAnsi="宋体" w:eastAsia="宋体" w:cs="宋体"/>
          <w:i w:val="0"/>
          <w:iCs w:val="0"/>
          <w:caps w:val="0"/>
          <w:color w:val="auto"/>
          <w:spacing w:val="0"/>
          <w:sz w:val="24"/>
          <w:szCs w:val="24"/>
          <w:highlight w:val="none"/>
        </w:rPr>
        <w:t>违反前款规定，擅自设立收费项目、制定收费标准以及收取管理性费用的，由政府价格主管部门予以处罚。</w:t>
      </w:r>
      <w:r>
        <w:rPr>
          <w:rFonts w:hint="eastAsia" w:ascii="宋体" w:hAnsi="宋体" w:eastAsia="宋体" w:cs="宋体"/>
          <w:i w:val="0"/>
          <w:iCs w:val="0"/>
          <w:caps w:val="0"/>
          <w:color w:val="auto"/>
          <w:spacing w:val="0"/>
          <w:sz w:val="24"/>
          <w:szCs w:val="24"/>
          <w:highlight w:val="none"/>
        </w:rPr>
        <w:br w:type="textWrapping"/>
      </w:r>
      <w:r>
        <w:rPr>
          <w:rFonts w:hint="eastAsia" w:ascii="宋体" w:hAnsi="宋体" w:eastAsia="宋体" w:cs="宋体"/>
          <w:i w:val="0"/>
          <w:iCs w:val="0"/>
          <w:caps w:val="0"/>
          <w:color w:val="auto"/>
          <w:spacing w:val="0"/>
          <w:sz w:val="24"/>
          <w:szCs w:val="24"/>
          <w:highlight w:val="none"/>
        </w:rPr>
        <w:t>   第十五条 招标代理机构违反本办法规定的，由政府主管部门依据《中华人民共和国价格法》和《价格违法行为行政处罚规定》予以查处。</w:t>
      </w:r>
      <w:r>
        <w:rPr>
          <w:rFonts w:hint="eastAsia" w:ascii="宋体" w:hAnsi="宋体" w:eastAsia="宋体" w:cs="宋体"/>
          <w:i w:val="0"/>
          <w:iCs w:val="0"/>
          <w:caps w:val="0"/>
          <w:color w:val="auto"/>
          <w:spacing w:val="0"/>
          <w:sz w:val="24"/>
          <w:szCs w:val="24"/>
          <w:highlight w:val="none"/>
        </w:rPr>
        <w:br w:type="textWrapping"/>
      </w:r>
      <w:r>
        <w:rPr>
          <w:rFonts w:hint="eastAsia" w:ascii="宋体" w:hAnsi="宋体" w:eastAsia="宋体" w:cs="宋体"/>
          <w:i w:val="0"/>
          <w:iCs w:val="0"/>
          <w:caps w:val="0"/>
          <w:color w:val="auto"/>
          <w:spacing w:val="0"/>
          <w:sz w:val="24"/>
          <w:szCs w:val="24"/>
          <w:highlight w:val="none"/>
        </w:rPr>
        <w:t>   第十六条 本办法由国家计委负责解释。</w:t>
      </w:r>
      <w:r>
        <w:rPr>
          <w:rFonts w:hint="eastAsia" w:ascii="宋体" w:hAnsi="宋体" w:eastAsia="宋体" w:cs="宋体"/>
          <w:i w:val="0"/>
          <w:iCs w:val="0"/>
          <w:caps w:val="0"/>
          <w:color w:val="auto"/>
          <w:spacing w:val="0"/>
          <w:sz w:val="24"/>
          <w:szCs w:val="24"/>
          <w:highlight w:val="none"/>
        </w:rPr>
        <w:br w:type="textWrapping"/>
      </w:r>
      <w:r>
        <w:rPr>
          <w:rFonts w:hint="eastAsia" w:ascii="宋体" w:hAnsi="宋体" w:eastAsia="宋体" w:cs="宋体"/>
          <w:i w:val="0"/>
          <w:iCs w:val="0"/>
          <w:caps w:val="0"/>
          <w:color w:val="auto"/>
          <w:spacing w:val="0"/>
          <w:sz w:val="24"/>
          <w:szCs w:val="24"/>
          <w:highlight w:val="none"/>
        </w:rPr>
        <w:t>   第十七条 本办法自2003年1月1日起执行。国家计委及有关部门、各省、自治区、直辖市价格主管部门制定的相关规定，凡与本办法相抵触的，自本办法生效之日起废止。</w:t>
      </w:r>
    </w:p>
    <w:p w14:paraId="731A8C6E">
      <w:pPr>
        <w:pageBreakBefore w:val="0"/>
        <w:widowControl w:val="0"/>
        <w:kinsoku/>
        <w:wordWrap/>
        <w:overflowPunct/>
        <w:topLinePunct w:val="0"/>
        <w:autoSpaceDE/>
        <w:autoSpaceDN/>
        <w:bidi w:val="0"/>
        <w:spacing w:line="360" w:lineRule="auto"/>
        <w:ind w:firstLine="720" w:firstLineChars="300"/>
        <w:rPr>
          <w:rFonts w:hint="eastAsia" w:ascii="宋体" w:hAnsi="宋体" w:eastAsia="宋体" w:cs="宋体"/>
          <w:i w:val="0"/>
          <w:iCs w:val="0"/>
          <w:caps w:val="0"/>
          <w:color w:val="auto"/>
          <w:spacing w:val="0"/>
          <w:kern w:val="0"/>
          <w:sz w:val="24"/>
          <w:szCs w:val="24"/>
          <w:highlight w:val="none"/>
          <w:lang w:val="en-US" w:eastAsia="zh-CN" w:bidi="ar"/>
        </w:rPr>
      </w:pPr>
      <w:r>
        <w:rPr>
          <w:rFonts w:hint="eastAsia" w:ascii="宋体" w:hAnsi="宋体" w:eastAsia="宋体" w:cs="宋体"/>
          <w:i w:val="0"/>
          <w:iCs w:val="0"/>
          <w:caps w:val="0"/>
          <w:color w:val="auto"/>
          <w:spacing w:val="0"/>
          <w:kern w:val="0"/>
          <w:sz w:val="24"/>
          <w:szCs w:val="24"/>
          <w:highlight w:val="none"/>
          <w:lang w:val="en-US" w:eastAsia="zh-CN" w:bidi="ar"/>
        </w:rPr>
        <w:t>招标代理服务收费按差额定率累进法计算。</w:t>
      </w:r>
    </w:p>
    <w:p w14:paraId="346C0011">
      <w:pPr>
        <w:pageBreakBefore w:val="0"/>
        <w:widowControl w:val="0"/>
        <w:tabs>
          <w:tab w:val="left" w:pos="567"/>
        </w:tabs>
        <w:kinsoku/>
        <w:wordWrap/>
        <w:overflowPunct/>
        <w:topLinePunct w:val="0"/>
        <w:autoSpaceDE/>
        <w:autoSpaceDN/>
        <w:bidi w:val="0"/>
        <w:snapToGrid w:val="0"/>
        <w:spacing w:line="360" w:lineRule="auto"/>
        <w:rPr>
          <w:rFonts w:hint="eastAsia" w:ascii="宋体" w:hAnsi="宋体" w:eastAsia="宋体" w:cs="宋体"/>
          <w:i w:val="0"/>
          <w:iCs w:val="0"/>
          <w:caps w:val="0"/>
          <w:color w:val="auto"/>
          <w:spacing w:val="0"/>
          <w:kern w:val="0"/>
          <w:sz w:val="24"/>
          <w:szCs w:val="24"/>
          <w:highlight w:val="none"/>
          <w:lang w:val="en-US" w:eastAsia="zh-CN" w:bidi="ar"/>
        </w:rPr>
      </w:pPr>
      <w:r>
        <w:rPr>
          <w:rFonts w:hint="eastAsia" w:ascii="宋体" w:hAnsi="宋体" w:eastAsia="宋体" w:cs="宋体"/>
          <w:i w:val="0"/>
          <w:iCs w:val="0"/>
          <w:caps w:val="0"/>
          <w:color w:val="auto"/>
          <w:spacing w:val="0"/>
          <w:kern w:val="0"/>
          <w:sz w:val="24"/>
          <w:szCs w:val="24"/>
          <w:highlight w:val="none"/>
          <w:lang w:val="en-US" w:eastAsia="zh-CN" w:bidi="ar"/>
        </w:rPr>
        <w:t>例如：某工程招标代理业务中标金额为6000万元，计算招标代理服务费额如下：</w:t>
      </w:r>
      <w:r>
        <w:rPr>
          <w:rFonts w:hint="eastAsia" w:ascii="宋体" w:hAnsi="宋体" w:eastAsia="宋体" w:cs="宋体"/>
          <w:i w:val="0"/>
          <w:iCs w:val="0"/>
          <w:caps w:val="0"/>
          <w:color w:val="auto"/>
          <w:spacing w:val="0"/>
          <w:kern w:val="0"/>
          <w:sz w:val="24"/>
          <w:szCs w:val="24"/>
          <w:highlight w:val="none"/>
          <w:lang w:val="en-US" w:eastAsia="zh-CN" w:bidi="ar"/>
        </w:rPr>
        <w:br w:type="textWrapping"/>
      </w:r>
      <w:r>
        <w:rPr>
          <w:rFonts w:hint="eastAsia" w:ascii="宋体" w:hAnsi="宋体" w:eastAsia="宋体" w:cs="宋体"/>
          <w:i w:val="0"/>
          <w:iCs w:val="0"/>
          <w:caps w:val="0"/>
          <w:color w:val="auto"/>
          <w:spacing w:val="0"/>
          <w:kern w:val="0"/>
          <w:sz w:val="24"/>
          <w:szCs w:val="24"/>
          <w:highlight w:val="none"/>
          <w:lang w:val="en-US" w:eastAsia="zh-CN" w:bidi="ar"/>
        </w:rPr>
        <w:t xml:space="preserve"> 100万元×1.0％＝1万元</w:t>
      </w:r>
      <w:r>
        <w:rPr>
          <w:rFonts w:hint="eastAsia" w:ascii="宋体" w:hAnsi="宋体" w:eastAsia="宋体" w:cs="宋体"/>
          <w:i w:val="0"/>
          <w:iCs w:val="0"/>
          <w:caps w:val="0"/>
          <w:color w:val="auto"/>
          <w:spacing w:val="0"/>
          <w:kern w:val="0"/>
          <w:sz w:val="24"/>
          <w:szCs w:val="24"/>
          <w:highlight w:val="none"/>
          <w:lang w:val="en-US" w:eastAsia="zh-CN" w:bidi="ar"/>
        </w:rPr>
        <w:br w:type="textWrapping"/>
      </w:r>
      <w:r>
        <w:rPr>
          <w:rFonts w:hint="eastAsia" w:ascii="宋体" w:hAnsi="宋体" w:eastAsia="宋体" w:cs="宋体"/>
          <w:i w:val="0"/>
          <w:iCs w:val="0"/>
          <w:caps w:val="0"/>
          <w:color w:val="auto"/>
          <w:spacing w:val="0"/>
          <w:kern w:val="0"/>
          <w:sz w:val="24"/>
          <w:szCs w:val="24"/>
          <w:highlight w:val="none"/>
          <w:lang w:val="en-US" w:eastAsia="zh-CN" w:bidi="ar"/>
        </w:rPr>
        <w:t xml:space="preserve"> （500－100）万元×0.7％＝2.8万元</w:t>
      </w:r>
      <w:r>
        <w:rPr>
          <w:rFonts w:hint="eastAsia" w:ascii="宋体" w:hAnsi="宋体" w:eastAsia="宋体" w:cs="宋体"/>
          <w:i w:val="0"/>
          <w:iCs w:val="0"/>
          <w:caps w:val="0"/>
          <w:color w:val="auto"/>
          <w:spacing w:val="0"/>
          <w:kern w:val="0"/>
          <w:sz w:val="24"/>
          <w:szCs w:val="24"/>
          <w:highlight w:val="none"/>
          <w:lang w:val="en-US" w:eastAsia="zh-CN" w:bidi="ar"/>
        </w:rPr>
        <w:br w:type="textWrapping"/>
      </w:r>
      <w:r>
        <w:rPr>
          <w:rFonts w:hint="eastAsia" w:ascii="宋体" w:hAnsi="宋体" w:eastAsia="宋体" w:cs="宋体"/>
          <w:i w:val="0"/>
          <w:iCs w:val="0"/>
          <w:caps w:val="0"/>
          <w:color w:val="auto"/>
          <w:spacing w:val="0"/>
          <w:kern w:val="0"/>
          <w:sz w:val="24"/>
          <w:szCs w:val="24"/>
          <w:highlight w:val="none"/>
          <w:lang w:val="en-US" w:eastAsia="zh-CN" w:bidi="ar"/>
        </w:rPr>
        <w:t xml:space="preserve"> （1000－500）万元×0.55％＝2.75万元</w:t>
      </w:r>
      <w:r>
        <w:rPr>
          <w:rFonts w:hint="eastAsia" w:ascii="宋体" w:hAnsi="宋体" w:eastAsia="宋体" w:cs="宋体"/>
          <w:i w:val="0"/>
          <w:iCs w:val="0"/>
          <w:caps w:val="0"/>
          <w:color w:val="auto"/>
          <w:spacing w:val="0"/>
          <w:kern w:val="0"/>
          <w:sz w:val="24"/>
          <w:szCs w:val="24"/>
          <w:highlight w:val="none"/>
          <w:lang w:val="en-US" w:eastAsia="zh-CN" w:bidi="ar"/>
        </w:rPr>
        <w:br w:type="textWrapping"/>
      </w:r>
      <w:r>
        <w:rPr>
          <w:rFonts w:hint="eastAsia" w:ascii="宋体" w:hAnsi="宋体" w:eastAsia="宋体" w:cs="宋体"/>
          <w:i w:val="0"/>
          <w:iCs w:val="0"/>
          <w:caps w:val="0"/>
          <w:color w:val="auto"/>
          <w:spacing w:val="0"/>
          <w:kern w:val="0"/>
          <w:sz w:val="24"/>
          <w:szCs w:val="24"/>
          <w:highlight w:val="none"/>
          <w:lang w:val="en-US" w:eastAsia="zh-CN" w:bidi="ar"/>
        </w:rPr>
        <w:t xml:space="preserve"> （5000－1000）万元×0.35％＝14万元</w:t>
      </w:r>
      <w:r>
        <w:rPr>
          <w:rFonts w:hint="eastAsia" w:ascii="宋体" w:hAnsi="宋体" w:eastAsia="宋体" w:cs="宋体"/>
          <w:i w:val="0"/>
          <w:iCs w:val="0"/>
          <w:caps w:val="0"/>
          <w:color w:val="auto"/>
          <w:spacing w:val="0"/>
          <w:kern w:val="0"/>
          <w:sz w:val="24"/>
          <w:szCs w:val="24"/>
          <w:highlight w:val="none"/>
          <w:lang w:val="en-US" w:eastAsia="zh-CN" w:bidi="ar"/>
        </w:rPr>
        <w:br w:type="textWrapping"/>
      </w:r>
      <w:r>
        <w:rPr>
          <w:rFonts w:hint="eastAsia" w:ascii="宋体" w:hAnsi="宋体" w:eastAsia="宋体" w:cs="宋体"/>
          <w:i w:val="0"/>
          <w:iCs w:val="0"/>
          <w:caps w:val="0"/>
          <w:color w:val="auto"/>
          <w:spacing w:val="0"/>
          <w:kern w:val="0"/>
          <w:sz w:val="24"/>
          <w:szCs w:val="24"/>
          <w:highlight w:val="none"/>
          <w:lang w:val="en-US" w:eastAsia="zh-CN" w:bidi="ar"/>
        </w:rPr>
        <w:t xml:space="preserve"> （6000－5000）万元×0.2％＝2万元</w:t>
      </w:r>
      <w:r>
        <w:rPr>
          <w:rFonts w:hint="eastAsia" w:ascii="宋体" w:hAnsi="宋体" w:eastAsia="宋体" w:cs="宋体"/>
          <w:i w:val="0"/>
          <w:iCs w:val="0"/>
          <w:caps w:val="0"/>
          <w:color w:val="auto"/>
          <w:spacing w:val="0"/>
          <w:kern w:val="0"/>
          <w:sz w:val="24"/>
          <w:szCs w:val="24"/>
          <w:highlight w:val="none"/>
          <w:lang w:val="en-US" w:eastAsia="zh-CN" w:bidi="ar"/>
        </w:rPr>
        <w:br w:type="textWrapping"/>
      </w:r>
      <w:r>
        <w:rPr>
          <w:rFonts w:hint="eastAsia" w:ascii="宋体" w:hAnsi="宋体" w:eastAsia="宋体" w:cs="宋体"/>
          <w:i w:val="0"/>
          <w:iCs w:val="0"/>
          <w:caps w:val="0"/>
          <w:color w:val="auto"/>
          <w:spacing w:val="0"/>
          <w:kern w:val="0"/>
          <w:sz w:val="24"/>
          <w:szCs w:val="24"/>
          <w:highlight w:val="none"/>
          <w:lang w:val="en-US" w:eastAsia="zh-CN" w:bidi="ar"/>
        </w:rPr>
        <w:t xml:space="preserve"> 合计收费＝1＋2.8＋2.75＋14＋2＝22.55(万元)：</w:t>
      </w:r>
    </w:p>
    <w:tbl>
      <w:tblPr>
        <w:tblStyle w:val="2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41"/>
        <w:gridCol w:w="1748"/>
        <w:gridCol w:w="1748"/>
        <w:gridCol w:w="1748"/>
      </w:tblGrid>
      <w:tr w14:paraId="51FF91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3341" w:type="dxa"/>
            <w:noWrap w:val="0"/>
            <w:vAlign w:val="top"/>
          </w:tcPr>
          <w:p w14:paraId="079ED5BD">
            <w:pPr>
              <w:wordWrap w:val="0"/>
              <w:snapToGrid w:val="0"/>
              <w:spacing w:line="240" w:lineRule="atLeas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mc:AlternateContent>
                <mc:Choice Requires="wps">
                  <w:drawing>
                    <wp:anchor distT="0" distB="0" distL="114300" distR="114300" simplePos="0" relativeHeight="251662336" behindDoc="0" locked="0" layoutInCell="1" allowOverlap="1">
                      <wp:simplePos x="0" y="0"/>
                      <wp:positionH relativeFrom="column">
                        <wp:posOffset>949325</wp:posOffset>
                      </wp:positionH>
                      <wp:positionV relativeFrom="paragraph">
                        <wp:posOffset>1905</wp:posOffset>
                      </wp:positionV>
                      <wp:extent cx="1104900" cy="714375"/>
                      <wp:effectExtent l="4445" t="6350" r="18415" b="10795"/>
                      <wp:wrapNone/>
                      <wp:docPr id="2" name="直接箭头连接符 2"/>
                      <wp:cNvGraphicFramePr/>
                      <a:graphic xmlns:a="http://schemas.openxmlformats.org/drawingml/2006/main">
                        <a:graphicData uri="http://schemas.microsoft.com/office/word/2010/wordprocessingShape">
                          <wps:wsp>
                            <wps:cNvCnPr>
                              <a:cxnSpLocks noChangeShapeType="1"/>
                            </wps:cNvCnPr>
                            <wps:spPr bwMode="auto">
                              <a:xfrm flipH="1" flipV="1">
                                <a:off x="0" y="0"/>
                                <a:ext cx="1104900" cy="714375"/>
                              </a:xfrm>
                              <a:prstGeom prst="straightConnector1">
                                <a:avLst/>
                              </a:prstGeom>
                              <a:noFill/>
                              <a:ln w="15875">
                                <a:solidFill>
                                  <a:srgbClr val="739CC3"/>
                                </a:solidFill>
                                <a:round/>
                              </a:ln>
                              <a:effectLst/>
                            </wps:spPr>
                            <wps:bodyPr/>
                          </wps:wsp>
                        </a:graphicData>
                      </a:graphic>
                    </wp:anchor>
                  </w:drawing>
                </mc:Choice>
                <mc:Fallback>
                  <w:pict>
                    <v:shape id="_x0000_s1026" o:spid="_x0000_s1026" o:spt="32" type="#_x0000_t32" style="position:absolute;left:0pt;flip:x y;margin-left:74.75pt;margin-top:0.15pt;height:56.25pt;width:87pt;z-index:251662336;mso-width-relative:page;mso-height-relative:page;" filled="f" stroked="t" coordsize="21600,21600" o:gfxdata="UEsDBAoAAAAAAIdO4kAAAAAAAAAAAAAAAAAEAAAAZHJzL1BLAwQUAAAACACHTuJAxhKf7dUAAAAI&#10;AQAADwAAAGRycy9kb3ducmV2LnhtbE2PwU7DMBBE70j8g7VI3KidpEUhjVOJSpWQOJHyAU68JFHj&#10;dYidtvD1LCc4zs5o5m25u7pRnHEOgycNyUqBQGq9HajT8H48POQgQjRkzegJNXxhgF11e1OawvoL&#10;veG5jp3gEgqF0dDHOBVShrZHZ8LKT0jsffjZmchy7qSdzYXL3ShTpR6lMwPxQm8m3PfYnurF8Uiz&#10;fB7a+FI/50FN+++wWb/SpPX9XaK2ICJe418YfvEZHSpmavxCNoiR9fppw1ENGQi2szRj2fA9SXOQ&#10;VSn/P1D9AFBLAwQUAAAACACHTuJAkpG4jQsCAADmAwAADgAAAGRycy9lMm9Eb2MueG1srVPBctMw&#10;EL0zwz9odCe2k5a0njg9OFM4FOhMC3dFlm0NslYjKXHyE/wAM5woJ+DUO18D5TNYyWlKy6UHLp6V&#10;Vu+93bfr2cmmU2QtrJOgC5qNUkqE5lBJ3RT07eXpsyNKnGe6Ygq0KOhWOHoyf/pk1ptcjKEFVQlL&#10;kES7vDcFbb03eZI43oqOuREYoTFZg+2Yx6NtksqyHtk7lYzT9HnSg62MBS6cw9vFkKQ7RvsYQqhr&#10;ycUC+KoT2g+sVijmsSXXSuPoPFZb14L7N3XthCeqoNipj18UwXgZvsl8xvLGMtNKviuBPaaEBz11&#10;TGoU3VMtmGdkZeU/VJ3kFhzUfsShS4ZGoiPYRZY+8OaiZUbEXtBqZ/amu/9Hy1+vzy2RVUHHlGjW&#10;4cBvPl7/+nB18/3bz8/Xv398CvHXL2QcrOqNyxFR6nMbmuUbfWHOgL93REPZMt2IWPLl1iBPFhDJ&#10;PUg4OIOCy/4VVPiGrTxE3za17UitpHkZgDF6F6Iggy6RTRzZdj8ysfGE42WWpQfHKU6TY26aHUym&#10;h1GW5YExoI11/oWAjoSgoM5bJpvWl6A1bgfYQYOtz5wP9d4BAljDqVQqLonSpEe9wyNUCCkHSlYh&#10;Gw+2WZbKkjXDPZtOjstysivj3jMLK10NKkoHnIgrupO+dWfweQnV9tzeWojjj8XtVjXs19/naPTd&#10;7zn/A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MYSn+3VAAAACAEAAA8AAAAAAAAAAQAgAAAAIgAA&#10;AGRycy9kb3ducmV2LnhtbFBLAQIUABQAAAAIAIdO4kCSkbiNCwIAAOYDAAAOAAAAAAAAAAEAIAAA&#10;ACQBAABkcnMvZTJvRG9jLnhtbFBLBQYAAAAABgAGAFkBAAChBQAAAAA=&#10;">
                      <v:fill on="f" focussize="0,0"/>
                      <v:stroke weight="1.25pt" color="#739CC3" joinstyle="round"/>
                      <v:imagedata o:title=""/>
                      <o:lock v:ext="edit" aspectratio="f"/>
                    </v:shape>
                  </w:pict>
                </mc:Fallback>
              </mc:AlternateContent>
            </w:r>
            <w:r>
              <w:rPr>
                <w:rFonts w:hint="eastAsia" w:ascii="宋体" w:hAnsi="宋体" w:eastAsia="宋体" w:cs="宋体"/>
                <w:color w:val="auto"/>
                <w:sz w:val="24"/>
                <w:szCs w:val="24"/>
                <w:highlight w:val="none"/>
              </w:rPr>
              <w:t>费率              服务类型</w:t>
            </w:r>
          </w:p>
          <w:p w14:paraId="32700262">
            <w:pPr>
              <w:wordWrap w:val="0"/>
              <w:snapToGrid w:val="0"/>
              <w:spacing w:line="240" w:lineRule="atLeas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mc:AlternateContent>
                <mc:Choice Requires="wps">
                  <w:drawing>
                    <wp:anchor distT="0" distB="0" distL="114300" distR="114300" simplePos="0" relativeHeight="251663360" behindDoc="0" locked="0" layoutInCell="1" allowOverlap="1">
                      <wp:simplePos x="0" y="0"/>
                      <wp:positionH relativeFrom="column">
                        <wp:posOffset>-41275</wp:posOffset>
                      </wp:positionH>
                      <wp:positionV relativeFrom="paragraph">
                        <wp:posOffset>122555</wp:posOffset>
                      </wp:positionV>
                      <wp:extent cx="2095500" cy="421005"/>
                      <wp:effectExtent l="1270" t="7620" r="6350" b="13335"/>
                      <wp:wrapNone/>
                      <wp:docPr id="1" name="直接箭头连接符 1"/>
                      <wp:cNvGraphicFramePr/>
                      <a:graphic xmlns:a="http://schemas.openxmlformats.org/drawingml/2006/main">
                        <a:graphicData uri="http://schemas.microsoft.com/office/word/2010/wordprocessingShape">
                          <wps:wsp>
                            <wps:cNvCnPr>
                              <a:cxnSpLocks noChangeShapeType="1"/>
                            </wps:cNvCnPr>
                            <wps:spPr bwMode="auto">
                              <a:xfrm flipH="1" flipV="1">
                                <a:off x="0" y="0"/>
                                <a:ext cx="2095500" cy="421005"/>
                              </a:xfrm>
                              <a:prstGeom prst="straightConnector1">
                                <a:avLst/>
                              </a:prstGeom>
                              <a:noFill/>
                              <a:ln w="15875">
                                <a:solidFill>
                                  <a:srgbClr val="739CC3"/>
                                </a:solidFill>
                                <a:round/>
                              </a:ln>
                              <a:effectLst/>
                            </wps:spPr>
                            <wps:bodyPr/>
                          </wps:wsp>
                        </a:graphicData>
                      </a:graphic>
                    </wp:anchor>
                  </w:drawing>
                </mc:Choice>
                <mc:Fallback>
                  <w:pict>
                    <v:shape id="_x0000_s1026" o:spid="_x0000_s1026" o:spt="32" type="#_x0000_t32" style="position:absolute;left:0pt;flip:x y;margin-left:-3.25pt;margin-top:9.65pt;height:33.15pt;width:165pt;z-index:251663360;mso-width-relative:page;mso-height-relative:page;" filled="f" stroked="t" coordsize="21600,21600" o:gfxdata="UEsDBAoAAAAAAIdO4kAAAAAAAAAAAAAAAAAEAAAAZHJzL1BLAwQUAAAACACHTuJAcM4MEtYAAAAI&#10;AQAADwAAAGRycy9kb3ducmV2LnhtbE2PwU7DMBBE70j8g7VI3Fq7DYlCGqcSlSohcSLwAU68JFHj&#10;dYidtvD1LCc47sxo5m25v7pRnHEOgycNm7UCgdR6O1Cn4f3tuMpBhGjImtETavjCAPvq9qY0hfUX&#10;esVzHTvBJRQKo6GPcSqkDG2PzoS1n5DY+/CzM5HPuZN2Nhcud6PcKpVJZwbihd5MeOixPdWL45Fm&#10;+Ty28bl+yoOaDt8hfXihSev7u43agYh4jX9h+MVndKiYqfEL2SBGDass5STrjwkI9pNtwkKjIU8z&#10;kFUp/z9Q/QBQSwMEFAAAAAgAh07iQHx3x+oNAgAA5gMAAA4AAABkcnMvZTJvRG9jLnhtbK1TwXLT&#10;MBC9M8M/aHQndlJCW0+cHpwpHAp0poW7Isu2BkmrkZQ4+Ql+gBlOlBNw6p2vgfIZrOQ00HLpgYtn&#10;Je2+fe/tenay0YqshfMSTEnHo5wSYTjU0rQlfXN5+uSIEh+YqZkCI0q6FZ6ezB8/mvW2EBPoQNXC&#10;EQQxvuhtSbsQbJFlnndCMz8CKww+NuA0C3h0bVY71iO6Vtkkz59lPbjaOuDCe7xdDI90h+geAghN&#10;I7lYAF9pYcKA6oRiASX5TlpP54lt0wgeXjeNF4GokqLSkL7YBONl/GbzGStax2wn+Y4CewiFe5o0&#10;kwab7qEWLDCycvIfKC25Aw9NGHHQ2SAkOYIqxvk9by46ZkXSglZ7uzfd/z9Y/mp97oiscRMoMUzj&#10;wG8+XP98f3Xz7euPT9e/vn+M8ZfPZByt6q0vsKIy5y6K5RtzYc+Av/PEQNUx04pE+XJrESdVZHdK&#10;4sFbbLjsX0KNOWwVIPm2aZwmjZL2RWISo7cxim3QJbJJI9vuRyY2gXC8nOTH02mO0+T49nQyzvNp&#10;JJqxIiLGaut8eC5AkxiU1AfHZNuFCozB7QA39GDrMx+GwtuCWGzgVCqVlkQZ0iOj6dHhNLHyoGQd&#10;X2Oed+2yUo6sGe7Z4cFxVR3saNxJc7Ay9dBFmVgn0oruWt+6M/i8hHp77mJyvMfxJ1W7VY379fc5&#10;Zf35Pee/A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HDODBLWAAAACAEAAA8AAAAAAAAAAQAgAAAA&#10;IgAAAGRycy9kb3ducmV2LnhtbFBLAQIUABQAAAAIAIdO4kB8d8fqDQIAAOYDAAAOAAAAAAAAAAEA&#10;IAAAACUBAABkcnMvZTJvRG9jLnhtbFBLBQYAAAAABgAGAFkBAACkBQAAAAA=&#10;">
                      <v:fill on="f" focussize="0,0"/>
                      <v:stroke weight="1.25pt" color="#739CC3" joinstyle="round"/>
                      <v:imagedata o:title=""/>
                      <o:lock v:ext="edit" aspectratio="f"/>
                    </v:shape>
                  </w:pict>
                </mc:Fallback>
              </mc:AlternateContent>
            </w:r>
          </w:p>
          <w:p w14:paraId="3ECE9A15">
            <w:pPr>
              <w:wordWrap w:val="0"/>
              <w:snapToGrid w:val="0"/>
              <w:spacing w:line="240" w:lineRule="atLeast"/>
              <w:rPr>
                <w:rFonts w:hint="eastAsia" w:ascii="宋体" w:hAnsi="宋体" w:eastAsia="宋体" w:cs="宋体"/>
                <w:color w:val="auto"/>
                <w:sz w:val="24"/>
                <w:szCs w:val="24"/>
                <w:highlight w:val="none"/>
              </w:rPr>
            </w:pPr>
          </w:p>
          <w:p w14:paraId="6CE52F6D">
            <w:pPr>
              <w:wordWrap w:val="0"/>
              <w:snapToGrid w:val="0"/>
              <w:spacing w:line="240" w:lineRule="atLeas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成交金额N（万元）</w:t>
            </w:r>
          </w:p>
        </w:tc>
        <w:tc>
          <w:tcPr>
            <w:tcW w:w="1748" w:type="dxa"/>
            <w:noWrap w:val="0"/>
            <w:vAlign w:val="center"/>
          </w:tcPr>
          <w:p w14:paraId="54CF2F95">
            <w:pPr>
              <w:wordWrap w:val="0"/>
              <w:snapToGrid w:val="0"/>
              <w:spacing w:line="240" w:lineRule="atLeas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货物类采购</w:t>
            </w:r>
          </w:p>
        </w:tc>
        <w:tc>
          <w:tcPr>
            <w:tcW w:w="1748" w:type="dxa"/>
            <w:noWrap w:val="0"/>
            <w:vAlign w:val="center"/>
          </w:tcPr>
          <w:p w14:paraId="7978599D">
            <w:pPr>
              <w:wordWrap w:val="0"/>
              <w:snapToGrid w:val="0"/>
              <w:spacing w:line="240" w:lineRule="atLeas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服务类采购</w:t>
            </w:r>
          </w:p>
        </w:tc>
        <w:tc>
          <w:tcPr>
            <w:tcW w:w="1748" w:type="dxa"/>
            <w:noWrap w:val="0"/>
            <w:vAlign w:val="center"/>
          </w:tcPr>
          <w:p w14:paraId="044AEDDA">
            <w:pPr>
              <w:wordWrap w:val="0"/>
              <w:snapToGrid w:val="0"/>
              <w:spacing w:line="240" w:lineRule="atLeas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工程类采购</w:t>
            </w:r>
          </w:p>
        </w:tc>
      </w:tr>
      <w:tr w14:paraId="570332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3341" w:type="dxa"/>
            <w:noWrap w:val="0"/>
            <w:vAlign w:val="center"/>
          </w:tcPr>
          <w:p w14:paraId="60A77EE9">
            <w:pPr>
              <w:wordWrap w:val="0"/>
              <w:snapToGrid w:val="0"/>
              <w:spacing w:line="240" w:lineRule="atLeas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N≤100</w:t>
            </w:r>
          </w:p>
        </w:tc>
        <w:tc>
          <w:tcPr>
            <w:tcW w:w="1748" w:type="dxa"/>
            <w:noWrap w:val="0"/>
            <w:vAlign w:val="center"/>
          </w:tcPr>
          <w:p w14:paraId="5DC2D787">
            <w:pPr>
              <w:wordWrap w:val="0"/>
              <w:snapToGrid w:val="0"/>
              <w:spacing w:line="240" w:lineRule="atLeas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w:t>
            </w:r>
          </w:p>
        </w:tc>
        <w:tc>
          <w:tcPr>
            <w:tcW w:w="1748" w:type="dxa"/>
            <w:noWrap w:val="0"/>
            <w:vAlign w:val="center"/>
          </w:tcPr>
          <w:p w14:paraId="4EE368B9">
            <w:pPr>
              <w:wordWrap w:val="0"/>
              <w:snapToGrid w:val="0"/>
              <w:spacing w:line="240" w:lineRule="atLeas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w:t>
            </w:r>
          </w:p>
        </w:tc>
        <w:tc>
          <w:tcPr>
            <w:tcW w:w="1748" w:type="dxa"/>
            <w:noWrap w:val="0"/>
            <w:vAlign w:val="center"/>
          </w:tcPr>
          <w:p w14:paraId="5DBBF6C5">
            <w:pPr>
              <w:wordWrap w:val="0"/>
              <w:snapToGrid w:val="0"/>
              <w:spacing w:line="240" w:lineRule="atLeas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w:t>
            </w:r>
          </w:p>
        </w:tc>
      </w:tr>
      <w:tr w14:paraId="69AFEF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3341" w:type="dxa"/>
            <w:noWrap w:val="0"/>
            <w:vAlign w:val="center"/>
          </w:tcPr>
          <w:p w14:paraId="2F663169">
            <w:pPr>
              <w:wordWrap w:val="0"/>
              <w:snapToGrid w:val="0"/>
              <w:spacing w:line="240" w:lineRule="atLeas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100&lt;N≤500</w:t>
            </w:r>
          </w:p>
        </w:tc>
        <w:tc>
          <w:tcPr>
            <w:tcW w:w="1748" w:type="dxa"/>
            <w:noWrap w:val="0"/>
            <w:vAlign w:val="center"/>
          </w:tcPr>
          <w:p w14:paraId="6E9E2FDF">
            <w:pPr>
              <w:wordWrap w:val="0"/>
              <w:snapToGrid w:val="0"/>
              <w:spacing w:line="240" w:lineRule="atLeas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w:t>
            </w:r>
          </w:p>
        </w:tc>
        <w:tc>
          <w:tcPr>
            <w:tcW w:w="1748" w:type="dxa"/>
            <w:noWrap w:val="0"/>
            <w:vAlign w:val="center"/>
          </w:tcPr>
          <w:p w14:paraId="2F3EE296">
            <w:pPr>
              <w:wordWrap w:val="0"/>
              <w:snapToGrid w:val="0"/>
              <w:spacing w:line="240" w:lineRule="atLeas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0.8%</w:t>
            </w:r>
          </w:p>
        </w:tc>
        <w:tc>
          <w:tcPr>
            <w:tcW w:w="1748" w:type="dxa"/>
            <w:noWrap w:val="0"/>
            <w:vAlign w:val="center"/>
          </w:tcPr>
          <w:p w14:paraId="5D906B19">
            <w:pPr>
              <w:wordWrap w:val="0"/>
              <w:snapToGrid w:val="0"/>
              <w:spacing w:line="240" w:lineRule="atLeas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0.7%</w:t>
            </w:r>
          </w:p>
        </w:tc>
      </w:tr>
      <w:tr w14:paraId="225B98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3341" w:type="dxa"/>
            <w:noWrap w:val="0"/>
            <w:vAlign w:val="center"/>
          </w:tcPr>
          <w:p w14:paraId="14B4E962">
            <w:pPr>
              <w:wordWrap w:val="0"/>
              <w:snapToGrid w:val="0"/>
              <w:spacing w:line="240" w:lineRule="atLeas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500&lt;N≤1000</w:t>
            </w:r>
          </w:p>
        </w:tc>
        <w:tc>
          <w:tcPr>
            <w:tcW w:w="1748" w:type="dxa"/>
            <w:noWrap w:val="0"/>
            <w:vAlign w:val="center"/>
          </w:tcPr>
          <w:p w14:paraId="6F1BB175">
            <w:pPr>
              <w:wordWrap w:val="0"/>
              <w:snapToGrid w:val="0"/>
              <w:spacing w:line="240" w:lineRule="atLeas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0.8%</w:t>
            </w:r>
          </w:p>
        </w:tc>
        <w:tc>
          <w:tcPr>
            <w:tcW w:w="1748" w:type="dxa"/>
            <w:noWrap w:val="0"/>
            <w:vAlign w:val="center"/>
          </w:tcPr>
          <w:p w14:paraId="364C3A17">
            <w:pPr>
              <w:wordWrap w:val="0"/>
              <w:snapToGrid w:val="0"/>
              <w:spacing w:line="240" w:lineRule="atLeas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0.45%</w:t>
            </w:r>
          </w:p>
        </w:tc>
        <w:tc>
          <w:tcPr>
            <w:tcW w:w="1748" w:type="dxa"/>
            <w:noWrap w:val="0"/>
            <w:vAlign w:val="center"/>
          </w:tcPr>
          <w:p w14:paraId="32E50340">
            <w:pPr>
              <w:wordWrap w:val="0"/>
              <w:snapToGrid w:val="0"/>
              <w:spacing w:line="240" w:lineRule="atLeas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0.55%</w:t>
            </w:r>
          </w:p>
        </w:tc>
      </w:tr>
      <w:tr w14:paraId="03D044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3341" w:type="dxa"/>
            <w:noWrap w:val="0"/>
            <w:vAlign w:val="center"/>
          </w:tcPr>
          <w:p w14:paraId="0FE21CAF">
            <w:pPr>
              <w:wordWrap w:val="0"/>
              <w:snapToGrid w:val="0"/>
              <w:spacing w:line="240" w:lineRule="atLeas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1000&lt;N≤5000</w:t>
            </w:r>
          </w:p>
        </w:tc>
        <w:tc>
          <w:tcPr>
            <w:tcW w:w="1748" w:type="dxa"/>
            <w:noWrap w:val="0"/>
            <w:vAlign w:val="center"/>
          </w:tcPr>
          <w:p w14:paraId="35916198">
            <w:pPr>
              <w:wordWrap w:val="0"/>
              <w:snapToGrid w:val="0"/>
              <w:spacing w:line="240" w:lineRule="atLeas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0.5%</w:t>
            </w:r>
          </w:p>
        </w:tc>
        <w:tc>
          <w:tcPr>
            <w:tcW w:w="1748" w:type="dxa"/>
            <w:noWrap w:val="0"/>
            <w:vAlign w:val="center"/>
          </w:tcPr>
          <w:p w14:paraId="39E46C40">
            <w:pPr>
              <w:wordWrap w:val="0"/>
              <w:snapToGrid w:val="0"/>
              <w:spacing w:line="240" w:lineRule="atLeas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0.25%</w:t>
            </w:r>
          </w:p>
        </w:tc>
        <w:tc>
          <w:tcPr>
            <w:tcW w:w="1748" w:type="dxa"/>
            <w:noWrap w:val="0"/>
            <w:vAlign w:val="center"/>
          </w:tcPr>
          <w:p w14:paraId="184A93F7">
            <w:pPr>
              <w:wordWrap w:val="0"/>
              <w:snapToGrid w:val="0"/>
              <w:spacing w:line="240" w:lineRule="atLeas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0.35%</w:t>
            </w:r>
          </w:p>
        </w:tc>
      </w:tr>
      <w:tr w14:paraId="46BE9D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3341" w:type="dxa"/>
            <w:noWrap w:val="0"/>
            <w:vAlign w:val="center"/>
          </w:tcPr>
          <w:p w14:paraId="09FE8B07">
            <w:pPr>
              <w:wordWrap w:val="0"/>
              <w:snapToGrid w:val="0"/>
              <w:spacing w:line="240" w:lineRule="atLeas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5000&lt;N≤10000</w:t>
            </w:r>
          </w:p>
        </w:tc>
        <w:tc>
          <w:tcPr>
            <w:tcW w:w="1748" w:type="dxa"/>
            <w:noWrap w:val="0"/>
            <w:vAlign w:val="center"/>
          </w:tcPr>
          <w:p w14:paraId="392DEF62">
            <w:pPr>
              <w:wordWrap w:val="0"/>
              <w:snapToGrid w:val="0"/>
              <w:spacing w:line="240" w:lineRule="atLeas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0.25%</w:t>
            </w:r>
          </w:p>
        </w:tc>
        <w:tc>
          <w:tcPr>
            <w:tcW w:w="1748" w:type="dxa"/>
            <w:noWrap w:val="0"/>
            <w:vAlign w:val="center"/>
          </w:tcPr>
          <w:p w14:paraId="291CB2A3">
            <w:pPr>
              <w:wordWrap w:val="0"/>
              <w:snapToGrid w:val="0"/>
              <w:spacing w:line="240" w:lineRule="atLeas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0.1%</w:t>
            </w:r>
          </w:p>
        </w:tc>
        <w:tc>
          <w:tcPr>
            <w:tcW w:w="1748" w:type="dxa"/>
            <w:noWrap w:val="0"/>
            <w:vAlign w:val="center"/>
          </w:tcPr>
          <w:p w14:paraId="1C9ABCBB">
            <w:pPr>
              <w:wordWrap w:val="0"/>
              <w:snapToGrid w:val="0"/>
              <w:spacing w:line="240" w:lineRule="atLeas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0.2%</w:t>
            </w:r>
          </w:p>
        </w:tc>
      </w:tr>
    </w:tbl>
    <w:p w14:paraId="1FCF74A5">
      <w:pPr>
        <w:spacing w:line="440" w:lineRule="exact"/>
        <w:ind w:firstLine="482" w:firstLineChars="200"/>
        <w:rPr>
          <w:rFonts w:hint="eastAsia" w:ascii="宋体" w:hAnsi="宋体" w:eastAsia="宋体" w:cs="宋体"/>
          <w:b/>
          <w:bCs/>
          <w:color w:val="auto"/>
          <w:sz w:val="24"/>
          <w:szCs w:val="24"/>
          <w:highlight w:val="none"/>
        </w:rPr>
      </w:pPr>
      <w:bookmarkStart w:id="124" w:name="_Toc37090668"/>
      <w:bookmarkStart w:id="125" w:name="_Toc37091004"/>
      <w:bookmarkStart w:id="126" w:name="_Toc16311"/>
      <w:r>
        <w:rPr>
          <w:rFonts w:hint="eastAsia" w:ascii="宋体" w:hAnsi="宋体" w:eastAsia="宋体" w:cs="宋体"/>
          <w:b/>
          <w:bCs/>
          <w:color w:val="auto"/>
          <w:sz w:val="24"/>
          <w:szCs w:val="24"/>
          <w:highlight w:val="none"/>
        </w:rPr>
        <w:t xml:space="preserve">38. </w:t>
      </w:r>
      <w:bookmarkEnd w:id="124"/>
      <w:bookmarkEnd w:id="125"/>
      <w:r>
        <w:rPr>
          <w:rFonts w:hint="eastAsia" w:ascii="宋体" w:hAnsi="宋体" w:eastAsia="宋体" w:cs="宋体"/>
          <w:b/>
          <w:bCs/>
          <w:color w:val="auto"/>
          <w:sz w:val="24"/>
          <w:szCs w:val="24"/>
          <w:highlight w:val="none"/>
        </w:rPr>
        <w:t>竞争性磋商文件的解释权</w:t>
      </w:r>
      <w:bookmarkEnd w:id="126"/>
    </w:p>
    <w:p w14:paraId="58191281">
      <w:pPr>
        <w:shd w:val="clear" w:color="auto" w:fill="FFFFFF"/>
        <w:spacing w:line="440" w:lineRule="exact"/>
        <w:ind w:firstLine="484" w:firstLineChars="202"/>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本竞争性磋商文件是根据《中华人民共和国政府采购法》及其实施条例（658号令）及《关于印发&lt;政府采购竞争性磋商采购方式管理暂行办法&gt;的通知》（财库〔2014〕214号）及《财政部关于政府采购竞争性磋商采购方式管理暂行办法有关问题的补充通知》（财库〔2015〕124号）的规定编制的，解释权属中招国际招标有限公司。</w:t>
      </w:r>
    </w:p>
    <w:p w14:paraId="5D59CE00">
      <w:pPr>
        <w:pStyle w:val="36"/>
        <w:spacing w:line="440" w:lineRule="exact"/>
        <w:ind w:firstLine="0"/>
        <w:rPr>
          <w:rFonts w:hint="eastAsia" w:ascii="宋体" w:hAnsi="宋体" w:eastAsia="宋体" w:cs="宋体"/>
          <w:color w:val="auto"/>
          <w:highlight w:val="none"/>
        </w:rPr>
      </w:pPr>
    </w:p>
    <w:p w14:paraId="5348AEF6">
      <w:pPr>
        <w:pStyle w:val="44"/>
        <w:numPr>
          <w:ilvl w:val="0"/>
          <w:numId w:val="5"/>
        </w:numPr>
        <w:jc w:val="center"/>
        <w:outlineLvl w:val="0"/>
        <w:rPr>
          <w:rFonts w:hint="eastAsia" w:ascii="宋体" w:hAnsi="宋体" w:eastAsia="宋体" w:cs="宋体"/>
          <w:color w:val="auto"/>
          <w:spacing w:val="6"/>
          <w:sz w:val="32"/>
          <w:szCs w:val="32"/>
          <w:highlight w:val="none"/>
        </w:rPr>
      </w:pPr>
      <w:r>
        <w:rPr>
          <w:rFonts w:hint="eastAsia" w:ascii="宋体" w:hAnsi="宋体" w:eastAsia="宋体" w:cs="宋体"/>
          <w:color w:val="auto"/>
          <w:spacing w:val="6"/>
          <w:sz w:val="32"/>
          <w:szCs w:val="32"/>
          <w:highlight w:val="none"/>
        </w:rPr>
        <w:br w:type="page"/>
      </w:r>
      <w:bookmarkStart w:id="127" w:name="_Toc24799"/>
      <w:bookmarkStart w:id="128" w:name="_Toc14275"/>
      <w:r>
        <w:rPr>
          <w:rFonts w:hint="eastAsia" w:ascii="宋体" w:hAnsi="宋体" w:eastAsia="宋体" w:cs="宋体"/>
          <w:color w:val="auto"/>
          <w:spacing w:val="6"/>
          <w:sz w:val="32"/>
          <w:szCs w:val="32"/>
          <w:highlight w:val="none"/>
        </w:rPr>
        <w:t xml:space="preserve"> 采购需求</w:t>
      </w:r>
      <w:bookmarkEnd w:id="127"/>
      <w:bookmarkEnd w:id="128"/>
    </w:p>
    <w:p w14:paraId="0C96652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b/>
          <w:bCs/>
          <w:sz w:val="24"/>
          <w:szCs w:val="24"/>
          <w:highlight w:val="none"/>
          <w:lang w:val="en-US" w:eastAsia="zh-CN"/>
        </w:rPr>
      </w:pPr>
      <w:r>
        <w:rPr>
          <w:rFonts w:hint="eastAsia"/>
          <w:b/>
          <w:bCs/>
          <w:sz w:val="24"/>
          <w:szCs w:val="24"/>
          <w:highlight w:val="none"/>
          <w:lang w:val="en-US" w:eastAsia="zh-CN"/>
        </w:rPr>
        <w:t>一、项目概况</w:t>
      </w:r>
    </w:p>
    <w:p w14:paraId="0B26D71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default"/>
          <w:sz w:val="24"/>
          <w:szCs w:val="24"/>
          <w:highlight w:val="none"/>
          <w:lang w:val="en-US" w:eastAsia="zh-CN"/>
        </w:rPr>
      </w:pPr>
      <w:r>
        <w:rPr>
          <w:rFonts w:hint="default"/>
          <w:sz w:val="24"/>
          <w:szCs w:val="24"/>
          <w:highlight w:val="none"/>
          <w:lang w:val="en-US" w:eastAsia="zh-CN"/>
        </w:rPr>
        <w:t>1</w:t>
      </w:r>
      <w:r>
        <w:rPr>
          <w:rFonts w:hint="eastAsia"/>
          <w:sz w:val="24"/>
          <w:szCs w:val="24"/>
          <w:highlight w:val="none"/>
          <w:lang w:val="en-US" w:eastAsia="zh-CN"/>
        </w:rPr>
        <w:t>、项目名称</w:t>
      </w:r>
      <w:r>
        <w:rPr>
          <w:rFonts w:hint="default"/>
          <w:sz w:val="24"/>
          <w:szCs w:val="24"/>
          <w:highlight w:val="none"/>
          <w:lang w:val="en-US" w:eastAsia="zh-CN"/>
        </w:rPr>
        <w:t>：新疆医科大学2025年雪莲山校区一期校园绿化养护服务项目</w:t>
      </w:r>
    </w:p>
    <w:p w14:paraId="0A80555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eastAsia="zh-CN"/>
        </w:rPr>
      </w:pPr>
      <w:r>
        <w:rPr>
          <w:rFonts w:hint="default"/>
          <w:sz w:val="24"/>
          <w:szCs w:val="24"/>
          <w:highlight w:val="none"/>
          <w:lang w:val="en-US" w:eastAsia="zh-CN"/>
        </w:rPr>
        <w:t>2</w:t>
      </w:r>
      <w:r>
        <w:rPr>
          <w:rFonts w:hint="eastAsia"/>
          <w:sz w:val="24"/>
          <w:szCs w:val="24"/>
          <w:highlight w:val="none"/>
          <w:lang w:val="en-US" w:eastAsia="zh-CN"/>
        </w:rPr>
        <w:t>、服务期限：</w:t>
      </w:r>
      <w:r>
        <w:rPr>
          <w:rFonts w:hint="eastAsia" w:ascii="宋体" w:hAnsi="宋体" w:eastAsia="宋体" w:cs="宋体"/>
          <w:color w:val="auto"/>
          <w:sz w:val="24"/>
          <w:szCs w:val="24"/>
          <w:highlight w:val="none"/>
        </w:rPr>
        <w:t>自合同签订后至</w:t>
      </w:r>
      <w:r>
        <w:rPr>
          <w:rFonts w:hint="eastAsia" w:ascii="宋体" w:hAnsi="宋体" w:eastAsia="宋体" w:cs="宋体"/>
          <w:color w:val="auto"/>
          <w:sz w:val="24"/>
          <w:szCs w:val="24"/>
          <w:highlight w:val="none"/>
          <w:lang w:val="en-US" w:eastAsia="zh-CN"/>
        </w:rPr>
        <w:t>2025年11月15日</w:t>
      </w:r>
      <w:r>
        <w:rPr>
          <w:rFonts w:hint="eastAsia" w:ascii="宋体" w:hAnsi="宋体" w:eastAsia="宋体" w:cs="宋体"/>
          <w:color w:val="auto"/>
          <w:sz w:val="24"/>
          <w:szCs w:val="24"/>
          <w:highlight w:val="none"/>
          <w:lang w:eastAsia="zh-CN"/>
        </w:rPr>
        <w:t>。</w:t>
      </w:r>
    </w:p>
    <w:p w14:paraId="18D52DB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4、服务地点：新疆医科大学雪莲山校区指定地点。</w:t>
      </w:r>
    </w:p>
    <w:p w14:paraId="083166B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5、质量标准：符合国家质量安全标准及竞争性磋商文件、答疑附件的质量要求。</w:t>
      </w:r>
    </w:p>
    <w:p w14:paraId="1AC9669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default"/>
          <w:sz w:val="24"/>
          <w:szCs w:val="24"/>
          <w:highlight w:val="none"/>
          <w:lang w:val="en-US" w:eastAsia="zh-CN"/>
        </w:rPr>
      </w:pPr>
      <w:r>
        <w:rPr>
          <w:rFonts w:hint="eastAsia"/>
          <w:sz w:val="24"/>
          <w:szCs w:val="24"/>
          <w:highlight w:val="none"/>
          <w:lang w:val="en-US" w:eastAsia="zh-CN"/>
        </w:rPr>
        <w:t>3、项目预算（采购控制价）：人民币</w:t>
      </w:r>
      <w:r>
        <w:rPr>
          <w:rFonts w:hint="default"/>
          <w:sz w:val="24"/>
          <w:szCs w:val="24"/>
          <w:highlight w:val="none"/>
          <w:lang w:val="en-US" w:eastAsia="zh-CN"/>
        </w:rPr>
        <w:t>8882</w:t>
      </w:r>
      <w:r>
        <w:rPr>
          <w:rFonts w:hint="eastAsia"/>
          <w:sz w:val="24"/>
          <w:szCs w:val="24"/>
          <w:highlight w:val="none"/>
          <w:lang w:val="en-US" w:eastAsia="zh-CN"/>
        </w:rPr>
        <w:t>00.00</w:t>
      </w:r>
      <w:r>
        <w:rPr>
          <w:rFonts w:hint="default"/>
          <w:sz w:val="24"/>
          <w:szCs w:val="24"/>
          <w:highlight w:val="none"/>
          <w:lang w:val="en-US" w:eastAsia="zh-CN"/>
        </w:rPr>
        <w:t>元</w:t>
      </w:r>
      <w:r>
        <w:rPr>
          <w:rFonts w:hint="eastAsia"/>
          <w:sz w:val="24"/>
          <w:szCs w:val="24"/>
          <w:highlight w:val="none"/>
          <w:lang w:val="en-US" w:eastAsia="zh-CN"/>
        </w:rPr>
        <w:t>。</w:t>
      </w:r>
    </w:p>
    <w:p w14:paraId="1A55CAF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default"/>
          <w:b/>
          <w:bCs/>
          <w:sz w:val="24"/>
          <w:szCs w:val="24"/>
          <w:highlight w:val="none"/>
          <w:lang w:val="en-US" w:eastAsia="zh-CN"/>
        </w:rPr>
      </w:pPr>
      <w:r>
        <w:rPr>
          <w:rFonts w:hint="eastAsia"/>
          <w:b/>
          <w:bCs/>
          <w:sz w:val="24"/>
          <w:szCs w:val="24"/>
          <w:highlight w:val="none"/>
          <w:lang w:val="en-US" w:eastAsia="zh-CN"/>
        </w:rPr>
        <w:t>二、服务范围</w:t>
      </w:r>
    </w:p>
    <w:p w14:paraId="5747DEB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sz w:val="24"/>
          <w:szCs w:val="24"/>
          <w:highlight w:val="none"/>
          <w:lang w:val="en-US" w:eastAsia="zh-CN"/>
        </w:rPr>
      </w:pPr>
      <w:r>
        <w:rPr>
          <w:rFonts w:hint="eastAsia"/>
          <w:sz w:val="24"/>
          <w:szCs w:val="24"/>
          <w:highlight w:val="none"/>
          <w:lang w:val="en-US" w:eastAsia="zh-CN"/>
        </w:rPr>
        <w:t>1、服务范围：新疆医科大学雪莲山校区一期绿化区域，面积16.63万平方米。养护内容包含：乔灌花草的修剪、灌溉、防治病虫害、清除杂草、翻地播种、树木涂白（春秋季各一次）、灌溉水线使用维护及巡检、修理树坑、施肥、绿地垃圾清运、树木扶正、植物保活、植物防护（防严寒、干旱)、建立养护日志及职务档案库等工作。</w:t>
      </w:r>
    </w:p>
    <w:p w14:paraId="354BD96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default"/>
          <w:sz w:val="24"/>
          <w:szCs w:val="24"/>
          <w:highlight w:val="none"/>
          <w:lang w:val="en-US" w:eastAsia="zh-CN"/>
        </w:rPr>
      </w:pPr>
      <w:r>
        <w:rPr>
          <w:rFonts w:hint="eastAsia"/>
          <w:sz w:val="24"/>
          <w:szCs w:val="24"/>
          <w:highlight w:val="none"/>
          <w:lang w:val="en-US" w:eastAsia="zh-CN"/>
        </w:rPr>
        <w:t>2、养护级别：</w:t>
      </w:r>
      <w:bookmarkStart w:id="129" w:name="OLE_LINK2"/>
      <w:r>
        <w:rPr>
          <w:rFonts w:hint="eastAsia"/>
          <w:sz w:val="24"/>
          <w:szCs w:val="24"/>
          <w:highlight w:val="none"/>
          <w:lang w:val="en-US" w:eastAsia="zh-CN"/>
        </w:rPr>
        <w:t>按照新疆维吾尔自治区住房和城乡建设厅发布的《城市绿地养护管理标准》中园林绿化一级养护标准执行。</w:t>
      </w:r>
      <w:bookmarkEnd w:id="129"/>
    </w:p>
    <w:p w14:paraId="4E03C5B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default"/>
          <w:b/>
          <w:bCs/>
          <w:sz w:val="24"/>
          <w:szCs w:val="24"/>
          <w:highlight w:val="none"/>
          <w:lang w:val="en-US" w:eastAsia="zh-CN"/>
        </w:rPr>
      </w:pPr>
      <w:r>
        <w:rPr>
          <w:rFonts w:hint="eastAsia"/>
          <w:b/>
          <w:bCs/>
          <w:sz w:val="24"/>
          <w:szCs w:val="24"/>
          <w:highlight w:val="none"/>
          <w:lang w:val="en-US" w:eastAsia="zh-CN"/>
        </w:rPr>
        <w:t>四、养护要求：</w:t>
      </w:r>
    </w:p>
    <w:p w14:paraId="5FD2B91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default"/>
          <w:sz w:val="24"/>
          <w:szCs w:val="24"/>
          <w:highlight w:val="none"/>
          <w:lang w:val="en-US" w:eastAsia="zh-CN"/>
        </w:rPr>
      </w:pPr>
      <w:r>
        <w:rPr>
          <w:rFonts w:hint="default"/>
          <w:sz w:val="24"/>
          <w:szCs w:val="24"/>
          <w:highlight w:val="none"/>
          <w:lang w:val="en-US" w:eastAsia="zh-CN"/>
        </w:rPr>
        <w:t>1.按照新疆维吾尔自治区住房和城乡建设厅发布的《城市绿地养护管理标准》中园林绿化一级养护标准执行。</w:t>
      </w:r>
    </w:p>
    <w:p w14:paraId="73B45D0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default"/>
          <w:sz w:val="24"/>
          <w:szCs w:val="24"/>
          <w:highlight w:val="none"/>
          <w:lang w:val="en-US" w:eastAsia="zh-CN"/>
        </w:rPr>
      </w:pPr>
      <w:r>
        <w:rPr>
          <w:rFonts w:hint="default"/>
          <w:sz w:val="24"/>
          <w:szCs w:val="24"/>
          <w:highlight w:val="none"/>
          <w:lang w:val="en-US" w:eastAsia="zh-CN"/>
        </w:rPr>
        <w:t>1.1绿化养护技术措施完善，管理得当，植物配置科学合理。</w:t>
      </w:r>
    </w:p>
    <w:p w14:paraId="38DE65F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default"/>
          <w:sz w:val="24"/>
          <w:szCs w:val="24"/>
          <w:highlight w:val="none"/>
          <w:lang w:val="en-US" w:eastAsia="zh-CN"/>
        </w:rPr>
      </w:pPr>
      <w:r>
        <w:rPr>
          <w:rFonts w:hint="default"/>
          <w:sz w:val="24"/>
          <w:szCs w:val="24"/>
          <w:highlight w:val="none"/>
          <w:lang w:val="en-US" w:eastAsia="zh-CN"/>
        </w:rPr>
        <w:t>1.2园林植物养护应达到下列标准：</w:t>
      </w:r>
    </w:p>
    <w:p w14:paraId="1E58361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default"/>
          <w:sz w:val="24"/>
          <w:szCs w:val="24"/>
          <w:highlight w:val="none"/>
          <w:lang w:val="en-US" w:eastAsia="zh-CN"/>
        </w:rPr>
      </w:pPr>
      <w:bookmarkStart w:id="130" w:name="OLE_LINK10"/>
      <w:r>
        <w:rPr>
          <w:rFonts w:hint="eastAsia"/>
          <w:sz w:val="24"/>
          <w:szCs w:val="24"/>
          <w:highlight w:val="none"/>
          <w:lang w:val="en-US" w:eastAsia="zh-CN"/>
        </w:rPr>
        <w:t>（1）</w:t>
      </w:r>
      <w:r>
        <w:rPr>
          <w:rFonts w:hint="default"/>
          <w:sz w:val="24"/>
          <w:szCs w:val="24"/>
          <w:highlight w:val="none"/>
          <w:lang w:val="en-US" w:eastAsia="zh-CN"/>
        </w:rPr>
        <w:t>乔木、灌木、花卉、藤本、地被和草坪等植物，生长健壮；移交时成活率达到100%。</w:t>
      </w:r>
      <w:bookmarkEnd w:id="130"/>
    </w:p>
    <w:p w14:paraId="1E9F2FB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default"/>
          <w:sz w:val="24"/>
          <w:szCs w:val="24"/>
          <w:highlight w:val="none"/>
          <w:lang w:val="en-US" w:eastAsia="zh-CN"/>
        </w:rPr>
      </w:pPr>
      <w:r>
        <w:rPr>
          <w:rFonts w:hint="eastAsia"/>
          <w:sz w:val="24"/>
          <w:szCs w:val="24"/>
          <w:highlight w:val="none"/>
          <w:lang w:val="en-US" w:eastAsia="zh-CN"/>
        </w:rPr>
        <w:t>（2）</w:t>
      </w:r>
      <w:r>
        <w:rPr>
          <w:rFonts w:hint="default"/>
          <w:sz w:val="24"/>
          <w:szCs w:val="24"/>
          <w:highlight w:val="none"/>
          <w:lang w:val="en-US" w:eastAsia="zh-CN"/>
        </w:rPr>
        <w:t>树木树冠完整美观，分枝点合适，枝条粗壮，无枯枝死枝；主侧枝分布匀称，数量适宜，修剪科学合理；内膛不乱，通风透光。花灌木开花及时，株形丰满，花后修剪及时合理。绿篱、色块等修剪及时，枝叶茂密，整齐一致，整型树木造型雅观。行道树无缺株，绿地内无死树；</w:t>
      </w:r>
    </w:p>
    <w:p w14:paraId="00E2EF9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default"/>
          <w:sz w:val="24"/>
          <w:szCs w:val="24"/>
          <w:highlight w:val="none"/>
          <w:lang w:val="en-US" w:eastAsia="zh-CN"/>
        </w:rPr>
      </w:pPr>
      <w:r>
        <w:rPr>
          <w:rFonts w:hint="eastAsia"/>
          <w:sz w:val="24"/>
          <w:szCs w:val="24"/>
          <w:highlight w:val="none"/>
          <w:lang w:val="en-US" w:eastAsia="zh-CN"/>
        </w:rPr>
        <w:t>（3）</w:t>
      </w:r>
      <w:r>
        <w:rPr>
          <w:rFonts w:hint="default"/>
          <w:sz w:val="24"/>
          <w:szCs w:val="24"/>
          <w:highlight w:val="none"/>
          <w:lang w:val="en-US" w:eastAsia="zh-CN"/>
        </w:rPr>
        <w:t>落叶树新梢生长健壮，叶片大小、颜色正常，无黄叶、焦叶、卷叶；</w:t>
      </w:r>
    </w:p>
    <w:p w14:paraId="3F71A84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default"/>
          <w:sz w:val="24"/>
          <w:szCs w:val="24"/>
          <w:highlight w:val="none"/>
          <w:lang w:val="en-US" w:eastAsia="zh-CN"/>
        </w:rPr>
      </w:pPr>
      <w:r>
        <w:rPr>
          <w:rFonts w:hint="eastAsia"/>
          <w:sz w:val="24"/>
          <w:szCs w:val="24"/>
          <w:highlight w:val="none"/>
          <w:lang w:val="en-US" w:eastAsia="zh-CN"/>
        </w:rPr>
        <w:t>（4）</w:t>
      </w:r>
      <w:r>
        <w:rPr>
          <w:rFonts w:hint="default"/>
          <w:sz w:val="24"/>
          <w:szCs w:val="24"/>
          <w:highlight w:val="none"/>
          <w:lang w:val="en-US" w:eastAsia="zh-CN"/>
        </w:rPr>
        <w:t>每年早春、晚秋对树干各涂白1次。涂白从树干基部向上涂1.2m-1.5m；同一路段、区域的涂白高度应保持一致，达到整齐美观的效果；</w:t>
      </w:r>
    </w:p>
    <w:p w14:paraId="74542B9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default"/>
          <w:sz w:val="24"/>
          <w:szCs w:val="24"/>
          <w:highlight w:val="none"/>
          <w:lang w:val="en-US" w:eastAsia="zh-CN"/>
        </w:rPr>
      </w:pPr>
      <w:r>
        <w:rPr>
          <w:rFonts w:hint="eastAsia"/>
          <w:sz w:val="24"/>
          <w:szCs w:val="24"/>
          <w:highlight w:val="none"/>
          <w:lang w:val="en-US" w:eastAsia="zh-CN"/>
        </w:rPr>
        <w:t>（5）</w:t>
      </w:r>
      <w:r>
        <w:rPr>
          <w:rFonts w:hint="default"/>
          <w:sz w:val="24"/>
          <w:szCs w:val="24"/>
          <w:highlight w:val="none"/>
          <w:lang w:val="en-US" w:eastAsia="zh-CN"/>
        </w:rPr>
        <w:t>花坛、花带轮廓清晰，整齐美观，色彩艳丽，无残缺，无残花败叶；</w:t>
      </w:r>
    </w:p>
    <w:p w14:paraId="6A2B99E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default"/>
          <w:sz w:val="24"/>
          <w:szCs w:val="24"/>
          <w:highlight w:val="none"/>
          <w:lang w:val="en-US" w:eastAsia="zh-CN"/>
        </w:rPr>
      </w:pPr>
      <w:r>
        <w:rPr>
          <w:rFonts w:hint="eastAsia"/>
          <w:sz w:val="24"/>
          <w:szCs w:val="24"/>
          <w:highlight w:val="none"/>
          <w:lang w:val="en-US" w:eastAsia="zh-CN"/>
        </w:rPr>
        <w:t>（6）</w:t>
      </w:r>
      <w:r>
        <w:rPr>
          <w:rFonts w:hint="default"/>
          <w:sz w:val="24"/>
          <w:szCs w:val="24"/>
          <w:highlight w:val="none"/>
          <w:lang w:val="en-US" w:eastAsia="zh-CN"/>
        </w:rPr>
        <w:t>一、二年生花卉，残缺病株不超过30%，局部更换补齐，大于30%的全部更换；</w:t>
      </w:r>
    </w:p>
    <w:p w14:paraId="53BC891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default"/>
          <w:sz w:val="24"/>
          <w:szCs w:val="24"/>
          <w:highlight w:val="none"/>
          <w:lang w:val="en-US" w:eastAsia="zh-CN"/>
        </w:rPr>
      </w:pPr>
      <w:r>
        <w:rPr>
          <w:rFonts w:hint="eastAsia"/>
          <w:sz w:val="24"/>
          <w:szCs w:val="24"/>
          <w:highlight w:val="none"/>
          <w:lang w:val="en-US" w:eastAsia="zh-CN"/>
        </w:rPr>
        <w:t>（7）</w:t>
      </w:r>
      <w:r>
        <w:rPr>
          <w:rFonts w:hint="default"/>
          <w:sz w:val="24"/>
          <w:szCs w:val="24"/>
          <w:highlight w:val="none"/>
          <w:lang w:val="en-US" w:eastAsia="zh-CN"/>
        </w:rPr>
        <w:t>宿根花卉，残缺病株不超过20%，局部更换补齐；</w:t>
      </w:r>
    </w:p>
    <w:p w14:paraId="24B1D65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default"/>
          <w:sz w:val="24"/>
          <w:szCs w:val="24"/>
          <w:highlight w:val="none"/>
          <w:lang w:val="en-US" w:eastAsia="zh-CN"/>
        </w:rPr>
      </w:pPr>
      <w:r>
        <w:rPr>
          <w:rFonts w:hint="eastAsia"/>
          <w:sz w:val="24"/>
          <w:szCs w:val="24"/>
          <w:highlight w:val="none"/>
          <w:lang w:val="en-US" w:eastAsia="zh-CN"/>
        </w:rPr>
        <w:t>（8）</w:t>
      </w:r>
      <w:r>
        <w:rPr>
          <w:rFonts w:hint="default"/>
          <w:sz w:val="24"/>
          <w:szCs w:val="24"/>
          <w:highlight w:val="none"/>
          <w:lang w:val="en-US" w:eastAsia="zh-CN"/>
        </w:rPr>
        <w:t>草坪及地被植物整齐，覆盖率98%以上，草坪修剪高度控制在3cm~8cm范围内，一次修剪高度原则上不大于草高的1/3。无杂草，无裸露地，无成片枯黄；</w:t>
      </w:r>
    </w:p>
    <w:p w14:paraId="5776FD5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default"/>
          <w:sz w:val="24"/>
          <w:szCs w:val="24"/>
          <w:highlight w:val="none"/>
          <w:lang w:val="en-US" w:eastAsia="zh-CN"/>
        </w:rPr>
      </w:pPr>
      <w:r>
        <w:rPr>
          <w:rFonts w:hint="eastAsia"/>
          <w:sz w:val="24"/>
          <w:szCs w:val="24"/>
          <w:highlight w:val="none"/>
          <w:lang w:val="en-US" w:eastAsia="zh-CN"/>
        </w:rPr>
        <w:t>（9）</w:t>
      </w:r>
      <w:r>
        <w:rPr>
          <w:rFonts w:hint="default"/>
          <w:sz w:val="24"/>
          <w:szCs w:val="24"/>
          <w:highlight w:val="none"/>
          <w:lang w:val="en-US" w:eastAsia="zh-CN"/>
        </w:rPr>
        <w:t>单子叶草坪每8年酌情进行复壮或更新，双子叶草坪每5年酌情进行复壮或更新。三年以上草坪必须每年打孔疏草1-2次；</w:t>
      </w:r>
    </w:p>
    <w:p w14:paraId="39812FC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default"/>
          <w:sz w:val="24"/>
          <w:szCs w:val="24"/>
          <w:highlight w:val="none"/>
          <w:lang w:val="en-US" w:eastAsia="zh-CN"/>
        </w:rPr>
      </w:pPr>
      <w:r>
        <w:rPr>
          <w:rFonts w:hint="eastAsia"/>
          <w:sz w:val="24"/>
          <w:szCs w:val="24"/>
          <w:highlight w:val="none"/>
          <w:lang w:val="en-US" w:eastAsia="zh-CN"/>
        </w:rPr>
        <w:t>（10）</w:t>
      </w:r>
      <w:r>
        <w:rPr>
          <w:rFonts w:hint="default"/>
          <w:sz w:val="24"/>
          <w:szCs w:val="24"/>
          <w:highlight w:val="none"/>
          <w:lang w:val="en-US" w:eastAsia="zh-CN"/>
        </w:rPr>
        <w:t>水生植物覆盖面积不超过水面的1/3，植物长势好，完整美观；水面无杂质垃圾，残叶死株，水质清洁，及时清理水中杂草；</w:t>
      </w:r>
    </w:p>
    <w:p w14:paraId="2550C19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default"/>
          <w:sz w:val="24"/>
          <w:szCs w:val="24"/>
          <w:highlight w:val="none"/>
          <w:lang w:val="en-US" w:eastAsia="zh-CN"/>
        </w:rPr>
      </w:pPr>
      <w:r>
        <w:rPr>
          <w:rFonts w:hint="eastAsia"/>
          <w:sz w:val="24"/>
          <w:szCs w:val="24"/>
          <w:highlight w:val="none"/>
          <w:lang w:val="en-US" w:eastAsia="zh-CN"/>
        </w:rPr>
        <w:t>（11）</w:t>
      </w:r>
      <w:r>
        <w:rPr>
          <w:rFonts w:hint="default"/>
          <w:sz w:val="24"/>
          <w:szCs w:val="24"/>
          <w:highlight w:val="none"/>
          <w:lang w:val="en-US" w:eastAsia="zh-CN"/>
        </w:rPr>
        <w:t>垂直绿化覆盖面不得低于85%。开花的攀授植物应适时开花，且花繁色艳；</w:t>
      </w:r>
    </w:p>
    <w:p w14:paraId="2C3D935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default"/>
          <w:sz w:val="24"/>
          <w:szCs w:val="24"/>
          <w:highlight w:val="none"/>
          <w:lang w:val="en-US" w:eastAsia="zh-CN"/>
        </w:rPr>
      </w:pPr>
      <w:r>
        <w:rPr>
          <w:rFonts w:hint="eastAsia"/>
          <w:sz w:val="24"/>
          <w:szCs w:val="24"/>
          <w:highlight w:val="none"/>
          <w:lang w:val="en-US" w:eastAsia="zh-CN"/>
        </w:rPr>
        <w:t>（12）</w:t>
      </w:r>
      <w:r>
        <w:rPr>
          <w:rFonts w:hint="default"/>
          <w:sz w:val="24"/>
          <w:szCs w:val="24"/>
          <w:highlight w:val="none"/>
          <w:lang w:val="en-US" w:eastAsia="zh-CN"/>
        </w:rPr>
        <w:t>病虫害控制及时。常规药物防治2次以上绿地内柱干害虫的有虫株率不能超过1%。枝干病害感病株率不能超过1%。枝梢害虫发生时，枝梢被害率不能超过5%</w:t>
      </w:r>
      <w:r>
        <w:rPr>
          <w:rFonts w:hint="eastAsia"/>
          <w:sz w:val="24"/>
          <w:szCs w:val="24"/>
          <w:highlight w:val="none"/>
          <w:lang w:val="en-US" w:eastAsia="zh-CN"/>
        </w:rPr>
        <w:t>-</w:t>
      </w:r>
      <w:r>
        <w:rPr>
          <w:rFonts w:hint="default"/>
          <w:sz w:val="24"/>
          <w:szCs w:val="24"/>
          <w:highlight w:val="none"/>
          <w:lang w:val="en-US" w:eastAsia="zh-CN"/>
        </w:rPr>
        <w:t>10%或叶片上的有虫率不能超过5%-10%。蚧类害虫在20cm枝条上发生数量不能超过1头/20cm枝。食叶害虫虫口密度不能超过1头/50cm 枝条，叶片受损率每株不得超过5%。叶部病害感病株率不能超过3%-5%；</w:t>
      </w:r>
    </w:p>
    <w:p w14:paraId="5A69969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default"/>
          <w:sz w:val="24"/>
          <w:szCs w:val="24"/>
          <w:highlight w:val="none"/>
          <w:lang w:val="en-US" w:eastAsia="zh-CN"/>
        </w:rPr>
      </w:pPr>
      <w:r>
        <w:rPr>
          <w:rFonts w:hint="default"/>
          <w:sz w:val="24"/>
          <w:szCs w:val="24"/>
          <w:highlight w:val="none"/>
          <w:lang w:val="en-US" w:eastAsia="zh-CN"/>
        </w:rPr>
        <w:t>1.3绿地整洁卫生，无杂草，无杂藤攀授植物，无污物杂物、无积水；对绿化生产垃圾（如树枝、树叶、草屑等），绿地内水面杂物，绿化垃圾由乙方负责清运。</w:t>
      </w:r>
    </w:p>
    <w:p w14:paraId="0E62FC2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default"/>
          <w:sz w:val="24"/>
          <w:szCs w:val="24"/>
          <w:highlight w:val="none"/>
          <w:lang w:val="en-US" w:eastAsia="zh-CN"/>
        </w:rPr>
      </w:pPr>
      <w:r>
        <w:rPr>
          <w:rFonts w:hint="default"/>
          <w:sz w:val="24"/>
          <w:szCs w:val="24"/>
          <w:highlight w:val="none"/>
          <w:lang w:val="en-US" w:eastAsia="zh-CN"/>
        </w:rPr>
        <w:t>1.4栏杆、支撑架和护网、园路、桌椅、园灯、绿化井盖和牌示等园林设施完整、安全，维护及时。</w:t>
      </w:r>
    </w:p>
    <w:p w14:paraId="79F1920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default"/>
          <w:sz w:val="24"/>
          <w:szCs w:val="24"/>
          <w:highlight w:val="none"/>
          <w:lang w:val="en-US" w:eastAsia="zh-CN"/>
        </w:rPr>
      </w:pPr>
      <w:r>
        <w:rPr>
          <w:rFonts w:hint="default"/>
          <w:sz w:val="24"/>
          <w:szCs w:val="24"/>
          <w:highlight w:val="none"/>
          <w:lang w:val="en-US" w:eastAsia="zh-CN"/>
        </w:rPr>
        <w:t>1.5绿地完整，无堆物、堆料、搭棚，树干上无钉拴刻画等现象。距树干2m范围内无堆物、堆料、圈栏或搭棚设摊等影响树木生长和养护管理的现象。</w:t>
      </w:r>
    </w:p>
    <w:p w14:paraId="3FC175B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default"/>
          <w:sz w:val="24"/>
          <w:szCs w:val="24"/>
          <w:highlight w:val="none"/>
          <w:lang w:val="en-US" w:eastAsia="zh-CN"/>
        </w:rPr>
      </w:pPr>
      <w:r>
        <w:rPr>
          <w:rFonts w:hint="eastAsia"/>
          <w:sz w:val="24"/>
          <w:szCs w:val="24"/>
          <w:highlight w:val="none"/>
          <w:lang w:val="en-US" w:eastAsia="zh-CN"/>
        </w:rPr>
        <w:t>2.</w:t>
      </w:r>
      <w:r>
        <w:rPr>
          <w:rFonts w:hint="default"/>
          <w:sz w:val="24"/>
          <w:szCs w:val="24"/>
          <w:highlight w:val="none"/>
          <w:lang w:val="en-US" w:eastAsia="zh-CN"/>
        </w:rPr>
        <w:t>其他要求</w:t>
      </w:r>
    </w:p>
    <w:p w14:paraId="2AEDA2D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default"/>
          <w:sz w:val="24"/>
          <w:szCs w:val="24"/>
          <w:highlight w:val="none"/>
          <w:lang w:val="en-US" w:eastAsia="zh-CN"/>
        </w:rPr>
      </w:pPr>
      <w:r>
        <w:rPr>
          <w:rFonts w:hint="eastAsia"/>
          <w:sz w:val="24"/>
          <w:szCs w:val="24"/>
          <w:highlight w:val="none"/>
          <w:lang w:val="en-US" w:eastAsia="zh-CN"/>
        </w:rPr>
        <w:t>2.1</w:t>
      </w:r>
      <w:r>
        <w:rPr>
          <w:rFonts w:hint="default"/>
          <w:sz w:val="24"/>
          <w:szCs w:val="24"/>
          <w:highlight w:val="none"/>
          <w:lang w:val="en-US" w:eastAsia="zh-CN"/>
        </w:rPr>
        <w:t>乙方人员及车辆需按照校园内要求报备，服从管理。</w:t>
      </w:r>
    </w:p>
    <w:p w14:paraId="6F77773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default"/>
          <w:sz w:val="24"/>
          <w:szCs w:val="24"/>
          <w:highlight w:val="none"/>
          <w:lang w:val="en-US" w:eastAsia="zh-CN"/>
        </w:rPr>
      </w:pPr>
      <w:r>
        <w:rPr>
          <w:rFonts w:hint="eastAsia"/>
          <w:sz w:val="24"/>
          <w:szCs w:val="24"/>
          <w:highlight w:val="none"/>
          <w:lang w:val="en-US" w:eastAsia="zh-CN"/>
        </w:rPr>
        <w:t>2.2</w:t>
      </w:r>
      <w:r>
        <w:rPr>
          <w:rFonts w:hint="default"/>
          <w:sz w:val="24"/>
          <w:szCs w:val="24"/>
          <w:highlight w:val="none"/>
          <w:lang w:val="en-US" w:eastAsia="zh-CN"/>
        </w:rPr>
        <w:t>乙方有义务配合甲方在养护期内组织各类公益类活动并给予工具、设备的支持。</w:t>
      </w:r>
    </w:p>
    <w:p w14:paraId="3601E81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default"/>
          <w:sz w:val="24"/>
          <w:szCs w:val="24"/>
          <w:highlight w:val="none"/>
          <w:lang w:val="en-US" w:eastAsia="zh-CN"/>
        </w:rPr>
      </w:pPr>
      <w:r>
        <w:rPr>
          <w:rFonts w:hint="eastAsia"/>
          <w:sz w:val="24"/>
          <w:szCs w:val="24"/>
          <w:highlight w:val="none"/>
          <w:lang w:val="en-US" w:eastAsia="zh-CN"/>
        </w:rPr>
        <w:t>2.3</w:t>
      </w:r>
      <w:r>
        <w:rPr>
          <w:rFonts w:hint="default"/>
          <w:sz w:val="24"/>
          <w:szCs w:val="24"/>
          <w:highlight w:val="none"/>
          <w:lang w:val="en-US" w:eastAsia="zh-CN"/>
        </w:rPr>
        <w:t>乙方做好乔木修剪，服务期内需提供至少30车次登高车。</w:t>
      </w:r>
    </w:p>
    <w:p w14:paraId="4590C95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default"/>
          <w:sz w:val="24"/>
          <w:szCs w:val="24"/>
          <w:highlight w:val="none"/>
          <w:lang w:val="en-US" w:eastAsia="zh-CN"/>
        </w:rPr>
      </w:pPr>
      <w:r>
        <w:rPr>
          <w:rFonts w:hint="eastAsia"/>
          <w:sz w:val="24"/>
          <w:szCs w:val="24"/>
          <w:highlight w:val="none"/>
          <w:lang w:val="en-US" w:eastAsia="zh-CN"/>
        </w:rPr>
        <w:t>2.4</w:t>
      </w:r>
      <w:r>
        <w:rPr>
          <w:rFonts w:hint="default"/>
          <w:sz w:val="24"/>
          <w:szCs w:val="24"/>
          <w:highlight w:val="none"/>
          <w:lang w:val="en-US" w:eastAsia="zh-CN"/>
        </w:rPr>
        <w:t>乙方编制养护方案和养护日志，并当天甲乙双方签字确认。</w:t>
      </w:r>
    </w:p>
    <w:p w14:paraId="49A65DC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default"/>
          <w:sz w:val="24"/>
          <w:szCs w:val="24"/>
          <w:highlight w:val="none"/>
          <w:lang w:val="en-US" w:eastAsia="zh-CN"/>
        </w:rPr>
      </w:pPr>
      <w:r>
        <w:rPr>
          <w:rFonts w:hint="eastAsia"/>
          <w:sz w:val="24"/>
          <w:szCs w:val="24"/>
          <w:highlight w:val="none"/>
          <w:lang w:val="en-US" w:eastAsia="zh-CN"/>
        </w:rPr>
        <w:t>2.5</w:t>
      </w:r>
      <w:r>
        <w:rPr>
          <w:rFonts w:hint="default"/>
          <w:sz w:val="24"/>
          <w:szCs w:val="24"/>
          <w:highlight w:val="none"/>
          <w:lang w:val="en-US" w:eastAsia="zh-CN"/>
        </w:rPr>
        <w:t>乙方需提供不低于4名绿化养护专业技术人员资格证书（中级及以上）。</w:t>
      </w:r>
    </w:p>
    <w:p w14:paraId="546DBB9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default"/>
          <w:sz w:val="24"/>
          <w:szCs w:val="24"/>
          <w:highlight w:val="none"/>
          <w:lang w:val="en-US" w:eastAsia="zh-CN"/>
        </w:rPr>
      </w:pPr>
      <w:r>
        <w:rPr>
          <w:rFonts w:hint="eastAsia"/>
          <w:sz w:val="24"/>
          <w:szCs w:val="24"/>
          <w:highlight w:val="none"/>
          <w:lang w:val="en-US" w:eastAsia="zh-CN"/>
        </w:rPr>
        <w:t>2.6</w:t>
      </w:r>
      <w:r>
        <w:rPr>
          <w:rFonts w:hint="default"/>
          <w:sz w:val="24"/>
          <w:szCs w:val="24"/>
          <w:highlight w:val="none"/>
          <w:lang w:val="en-US" w:eastAsia="zh-CN"/>
        </w:rPr>
        <w:t>巡查巡检：增强绿地保护责任意识，所辖绿地无随意损坏绿化事件发生，如有发生，需及时联系甲方协调。如因乙方未及时发现损坏事件，由乙方负责恢复或照价赔偿。</w:t>
      </w:r>
    </w:p>
    <w:p w14:paraId="708D366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default"/>
          <w:sz w:val="24"/>
          <w:szCs w:val="24"/>
          <w:highlight w:val="none"/>
          <w:lang w:val="en-US" w:eastAsia="zh-CN"/>
        </w:rPr>
      </w:pPr>
      <w:bookmarkStart w:id="131" w:name="OLE_LINK1"/>
      <w:r>
        <w:rPr>
          <w:rFonts w:hint="eastAsia"/>
          <w:sz w:val="24"/>
          <w:szCs w:val="24"/>
          <w:highlight w:val="none"/>
          <w:lang w:val="en-US" w:eastAsia="zh-CN"/>
        </w:rPr>
        <w:t>2.7</w:t>
      </w:r>
      <w:r>
        <w:rPr>
          <w:rFonts w:hint="default"/>
          <w:sz w:val="24"/>
          <w:szCs w:val="24"/>
          <w:highlight w:val="none"/>
          <w:lang w:val="en-US" w:eastAsia="zh-CN"/>
        </w:rPr>
        <w:t>建立校园植物档案库，记录植物种类、分布及生长状态。</w:t>
      </w:r>
    </w:p>
    <w:p w14:paraId="488CA3C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default"/>
          <w:sz w:val="24"/>
          <w:szCs w:val="24"/>
          <w:highlight w:val="none"/>
          <w:lang w:val="en-US" w:eastAsia="zh-CN"/>
        </w:rPr>
      </w:pPr>
      <w:r>
        <w:rPr>
          <w:rFonts w:hint="eastAsia"/>
          <w:sz w:val="24"/>
          <w:szCs w:val="24"/>
          <w:highlight w:val="none"/>
          <w:lang w:val="en-US" w:eastAsia="zh-CN"/>
        </w:rPr>
        <w:t>2.8</w:t>
      </w:r>
      <w:r>
        <w:rPr>
          <w:rFonts w:hint="default"/>
          <w:sz w:val="24"/>
          <w:szCs w:val="24"/>
          <w:highlight w:val="none"/>
          <w:lang w:val="en-US" w:eastAsia="zh-CN"/>
        </w:rPr>
        <w:t>为合理调配校园用水，缓解供水压力，保障教学、生活区域用水稳定，将根据校园用水高峰低谷情况，实施错峰浇水措施。</w:t>
      </w:r>
    </w:p>
    <w:p w14:paraId="0E0EA95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default"/>
          <w:sz w:val="24"/>
          <w:szCs w:val="24"/>
          <w:highlight w:val="none"/>
          <w:lang w:val="en-US" w:eastAsia="zh-CN"/>
        </w:rPr>
      </w:pPr>
      <w:r>
        <w:rPr>
          <w:rFonts w:hint="eastAsia"/>
          <w:sz w:val="24"/>
          <w:szCs w:val="24"/>
          <w:highlight w:val="none"/>
          <w:lang w:val="en-US" w:eastAsia="zh-CN"/>
        </w:rPr>
        <w:t>2.9</w:t>
      </w:r>
      <w:r>
        <w:rPr>
          <w:rFonts w:hint="default"/>
          <w:sz w:val="24"/>
          <w:szCs w:val="24"/>
          <w:highlight w:val="none"/>
          <w:lang w:val="en-US" w:eastAsia="zh-CN"/>
        </w:rPr>
        <w:t>在养护期内，如有苗木死亡，需按照市场价赔偿。</w:t>
      </w:r>
    </w:p>
    <w:p w14:paraId="6FA018F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default"/>
          <w:sz w:val="24"/>
          <w:szCs w:val="24"/>
          <w:highlight w:val="none"/>
          <w:lang w:val="en-US" w:eastAsia="zh-CN"/>
        </w:rPr>
      </w:pPr>
      <w:r>
        <w:rPr>
          <w:rFonts w:hint="eastAsia"/>
          <w:sz w:val="24"/>
          <w:szCs w:val="24"/>
          <w:highlight w:val="none"/>
          <w:lang w:val="en-US" w:eastAsia="zh-CN"/>
        </w:rPr>
        <w:t>2.</w:t>
      </w:r>
      <w:r>
        <w:rPr>
          <w:rFonts w:hint="default"/>
          <w:sz w:val="24"/>
          <w:szCs w:val="24"/>
          <w:highlight w:val="none"/>
          <w:lang w:val="en-US" w:eastAsia="zh-CN"/>
        </w:rPr>
        <w:t>10草坪需每年施复合肥2次，每次不少于15吨。</w:t>
      </w:r>
    </w:p>
    <w:bookmarkEnd w:id="131"/>
    <w:p w14:paraId="220D389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default"/>
          <w:b/>
          <w:bCs/>
          <w:sz w:val="24"/>
          <w:szCs w:val="24"/>
          <w:highlight w:val="none"/>
          <w:lang w:val="en-US" w:eastAsia="zh-CN"/>
        </w:rPr>
      </w:pPr>
      <w:bookmarkStart w:id="132" w:name="OLE_LINK3"/>
      <w:r>
        <w:rPr>
          <w:rFonts w:hint="eastAsia"/>
          <w:b/>
          <w:bCs/>
          <w:sz w:val="24"/>
          <w:szCs w:val="24"/>
          <w:highlight w:val="none"/>
          <w:lang w:val="en-US" w:eastAsia="zh-CN"/>
        </w:rPr>
        <w:t>五</w:t>
      </w:r>
      <w:r>
        <w:rPr>
          <w:rFonts w:hint="default"/>
          <w:b/>
          <w:bCs/>
          <w:sz w:val="24"/>
          <w:szCs w:val="24"/>
          <w:highlight w:val="none"/>
          <w:lang w:val="en-US" w:eastAsia="zh-CN"/>
        </w:rPr>
        <w:t>、绿化养护考核标准</w:t>
      </w:r>
    </w:p>
    <w:tbl>
      <w:tblPr>
        <w:tblStyle w:val="25"/>
        <w:tblW w:w="861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647"/>
        <w:gridCol w:w="696"/>
        <w:gridCol w:w="633"/>
        <w:gridCol w:w="5974"/>
        <w:gridCol w:w="668"/>
      </w:tblGrid>
      <w:tr w14:paraId="583F36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648" w:type="dxa"/>
            <w:tcBorders>
              <w:top w:val="single" w:color="000000" w:sz="4" w:space="0"/>
              <w:left w:val="single" w:color="000000" w:sz="4" w:space="0"/>
              <w:bottom w:val="single" w:color="000000" w:sz="4" w:space="0"/>
              <w:right w:val="single" w:color="000000" w:sz="4" w:space="0"/>
            </w:tcBorders>
            <w:noWrap w:val="0"/>
            <w:vAlign w:val="center"/>
          </w:tcPr>
          <w:p w14:paraId="64EA463B">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0" w:firstLineChars="0"/>
              <w:jc w:val="center"/>
              <w:textAlignment w:val="auto"/>
              <w:rPr>
                <w:rFonts w:hint="default"/>
                <w:sz w:val="24"/>
                <w:szCs w:val="24"/>
                <w:highlight w:val="none"/>
                <w:lang w:val="en-US" w:eastAsia="zh-CN"/>
              </w:rPr>
            </w:pPr>
            <w:r>
              <w:rPr>
                <w:rFonts w:hint="default"/>
                <w:sz w:val="24"/>
                <w:szCs w:val="24"/>
                <w:highlight w:val="none"/>
                <w:lang w:val="en-US" w:eastAsia="zh-CN"/>
              </w:rPr>
              <w:t>序号</w:t>
            </w:r>
          </w:p>
        </w:tc>
        <w:tc>
          <w:tcPr>
            <w:tcW w:w="684" w:type="dxa"/>
            <w:tcBorders>
              <w:top w:val="single" w:color="000000" w:sz="4" w:space="0"/>
              <w:left w:val="single" w:color="000000" w:sz="4" w:space="0"/>
              <w:bottom w:val="single" w:color="000000" w:sz="4" w:space="0"/>
              <w:right w:val="nil"/>
            </w:tcBorders>
            <w:noWrap w:val="0"/>
            <w:vAlign w:val="center"/>
          </w:tcPr>
          <w:p w14:paraId="1C0FF2C0">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0" w:firstLineChars="0"/>
              <w:jc w:val="center"/>
              <w:textAlignment w:val="auto"/>
              <w:rPr>
                <w:rFonts w:hint="default"/>
                <w:sz w:val="24"/>
                <w:szCs w:val="24"/>
                <w:highlight w:val="none"/>
                <w:lang w:val="en-US" w:eastAsia="zh-CN"/>
              </w:rPr>
            </w:pPr>
            <w:r>
              <w:rPr>
                <w:rFonts w:hint="default"/>
                <w:sz w:val="24"/>
                <w:szCs w:val="24"/>
                <w:highlight w:val="none"/>
                <w:lang w:val="en-US" w:eastAsia="zh-CN"/>
              </w:rPr>
              <w:t>项目</w:t>
            </w:r>
          </w:p>
        </w:tc>
        <w:tc>
          <w:tcPr>
            <w:tcW w:w="633" w:type="dxa"/>
            <w:tcBorders>
              <w:top w:val="single" w:color="000000" w:sz="4" w:space="0"/>
              <w:left w:val="single" w:color="000000" w:sz="4" w:space="0"/>
              <w:bottom w:val="single" w:color="000000" w:sz="4" w:space="0"/>
              <w:right w:val="single" w:color="000000" w:sz="4" w:space="0"/>
            </w:tcBorders>
            <w:noWrap w:val="0"/>
            <w:vAlign w:val="center"/>
          </w:tcPr>
          <w:p w14:paraId="7DBEF196">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0" w:firstLineChars="0"/>
              <w:jc w:val="center"/>
              <w:textAlignment w:val="auto"/>
              <w:rPr>
                <w:rFonts w:hint="default"/>
                <w:sz w:val="24"/>
                <w:szCs w:val="24"/>
                <w:highlight w:val="none"/>
                <w:lang w:val="en-US" w:eastAsia="zh-CN"/>
              </w:rPr>
            </w:pPr>
            <w:r>
              <w:rPr>
                <w:rFonts w:hint="default"/>
                <w:sz w:val="24"/>
                <w:szCs w:val="24"/>
                <w:highlight w:val="none"/>
                <w:lang w:val="en-US" w:eastAsia="zh-CN"/>
              </w:rPr>
              <w:t>分值</w:t>
            </w:r>
          </w:p>
        </w:tc>
        <w:tc>
          <w:tcPr>
            <w:tcW w:w="5985" w:type="dxa"/>
            <w:tcBorders>
              <w:top w:val="single" w:color="000000" w:sz="4" w:space="0"/>
              <w:left w:val="single" w:color="000000" w:sz="4" w:space="0"/>
              <w:bottom w:val="single" w:color="000000" w:sz="4" w:space="0"/>
              <w:right w:val="single" w:color="000000" w:sz="4" w:space="0"/>
            </w:tcBorders>
            <w:noWrap w:val="0"/>
            <w:vAlign w:val="center"/>
          </w:tcPr>
          <w:p w14:paraId="03BD2A0F">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0" w:firstLineChars="0"/>
              <w:jc w:val="center"/>
              <w:textAlignment w:val="auto"/>
              <w:rPr>
                <w:rFonts w:hint="default"/>
                <w:sz w:val="24"/>
                <w:szCs w:val="24"/>
                <w:highlight w:val="none"/>
                <w:lang w:val="en-US" w:eastAsia="zh-CN"/>
              </w:rPr>
            </w:pPr>
            <w:r>
              <w:rPr>
                <w:rFonts w:hint="default"/>
                <w:sz w:val="24"/>
                <w:szCs w:val="24"/>
                <w:highlight w:val="none"/>
                <w:lang w:val="en-US" w:eastAsia="zh-CN"/>
              </w:rPr>
              <w:t>各项目扣分标准</w:t>
            </w:r>
          </w:p>
        </w:tc>
        <w:tc>
          <w:tcPr>
            <w:tcW w:w="668" w:type="dxa"/>
            <w:tcBorders>
              <w:top w:val="single" w:color="000000" w:sz="4" w:space="0"/>
              <w:left w:val="single" w:color="000000" w:sz="4" w:space="0"/>
              <w:bottom w:val="single" w:color="000000" w:sz="4" w:space="0"/>
              <w:right w:val="single" w:color="000000" w:sz="4" w:space="0"/>
            </w:tcBorders>
            <w:noWrap w:val="0"/>
            <w:vAlign w:val="center"/>
          </w:tcPr>
          <w:p w14:paraId="72709F82">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0" w:firstLineChars="0"/>
              <w:jc w:val="center"/>
              <w:textAlignment w:val="auto"/>
              <w:rPr>
                <w:rFonts w:hint="default"/>
                <w:sz w:val="24"/>
                <w:szCs w:val="24"/>
                <w:highlight w:val="none"/>
                <w:lang w:val="en-US" w:eastAsia="zh-CN"/>
              </w:rPr>
            </w:pPr>
            <w:r>
              <w:rPr>
                <w:rFonts w:hint="default"/>
                <w:sz w:val="24"/>
                <w:szCs w:val="24"/>
                <w:highlight w:val="none"/>
                <w:lang w:val="en-US" w:eastAsia="zh-CN"/>
              </w:rPr>
              <w:t>扣分</w:t>
            </w:r>
          </w:p>
        </w:tc>
      </w:tr>
      <w:tr w14:paraId="5B22D6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2" w:hRule="atLeast"/>
          <w:jc w:val="center"/>
        </w:trPr>
        <w:tc>
          <w:tcPr>
            <w:tcW w:w="648" w:type="dxa"/>
            <w:tcBorders>
              <w:top w:val="single" w:color="000000" w:sz="4" w:space="0"/>
              <w:left w:val="single" w:color="000000" w:sz="4" w:space="0"/>
              <w:bottom w:val="single" w:color="000000" w:sz="4" w:space="0"/>
              <w:right w:val="single" w:color="000000" w:sz="4" w:space="0"/>
            </w:tcBorders>
            <w:noWrap w:val="0"/>
            <w:vAlign w:val="center"/>
          </w:tcPr>
          <w:p w14:paraId="6145C478">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0" w:firstLineChars="0"/>
              <w:jc w:val="center"/>
              <w:textAlignment w:val="auto"/>
              <w:rPr>
                <w:rFonts w:hint="default"/>
                <w:sz w:val="24"/>
                <w:szCs w:val="24"/>
                <w:highlight w:val="none"/>
                <w:lang w:val="en-US" w:eastAsia="zh-CN"/>
              </w:rPr>
            </w:pPr>
            <w:r>
              <w:rPr>
                <w:rFonts w:hint="default"/>
                <w:sz w:val="24"/>
                <w:szCs w:val="24"/>
                <w:highlight w:val="none"/>
                <w:lang w:val="en-US" w:eastAsia="zh-CN"/>
              </w:rPr>
              <w:t>1</w:t>
            </w:r>
          </w:p>
        </w:tc>
        <w:tc>
          <w:tcPr>
            <w:tcW w:w="684" w:type="dxa"/>
            <w:tcBorders>
              <w:top w:val="single" w:color="000000" w:sz="4" w:space="0"/>
              <w:left w:val="single" w:color="000000" w:sz="4" w:space="0"/>
              <w:bottom w:val="single" w:color="000000" w:sz="4" w:space="0"/>
              <w:right w:val="nil"/>
            </w:tcBorders>
            <w:noWrap w:val="0"/>
            <w:vAlign w:val="center"/>
          </w:tcPr>
          <w:p w14:paraId="38B601F3">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0" w:firstLineChars="0"/>
              <w:jc w:val="center"/>
              <w:textAlignment w:val="auto"/>
              <w:rPr>
                <w:rFonts w:hint="default"/>
                <w:sz w:val="24"/>
                <w:szCs w:val="24"/>
                <w:highlight w:val="none"/>
                <w:lang w:val="en-US" w:eastAsia="zh-CN"/>
              </w:rPr>
            </w:pPr>
            <w:r>
              <w:rPr>
                <w:rFonts w:hint="default"/>
                <w:sz w:val="24"/>
                <w:szCs w:val="24"/>
                <w:highlight w:val="none"/>
                <w:lang w:val="en-US" w:eastAsia="zh-CN"/>
              </w:rPr>
              <w:t>人员</w:t>
            </w:r>
          </w:p>
          <w:p w14:paraId="6A14E753">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0" w:firstLineChars="0"/>
              <w:jc w:val="center"/>
              <w:textAlignment w:val="auto"/>
              <w:rPr>
                <w:rFonts w:hint="default"/>
                <w:sz w:val="24"/>
                <w:szCs w:val="24"/>
                <w:highlight w:val="none"/>
                <w:lang w:val="en-US" w:eastAsia="zh-CN"/>
              </w:rPr>
            </w:pPr>
            <w:r>
              <w:rPr>
                <w:rFonts w:hint="default"/>
                <w:sz w:val="24"/>
                <w:szCs w:val="24"/>
                <w:highlight w:val="none"/>
                <w:lang w:val="en-US" w:eastAsia="zh-CN"/>
              </w:rPr>
              <w:t>管理</w:t>
            </w:r>
          </w:p>
        </w:tc>
        <w:tc>
          <w:tcPr>
            <w:tcW w:w="633" w:type="dxa"/>
            <w:tcBorders>
              <w:top w:val="single" w:color="000000" w:sz="4" w:space="0"/>
              <w:left w:val="single" w:color="000000" w:sz="4" w:space="0"/>
              <w:bottom w:val="single" w:color="000000" w:sz="4" w:space="0"/>
              <w:right w:val="single" w:color="000000" w:sz="4" w:space="0"/>
            </w:tcBorders>
            <w:noWrap w:val="0"/>
            <w:vAlign w:val="center"/>
          </w:tcPr>
          <w:p w14:paraId="3D71AF7F">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0" w:firstLineChars="0"/>
              <w:jc w:val="center"/>
              <w:textAlignment w:val="auto"/>
              <w:rPr>
                <w:rFonts w:hint="default"/>
                <w:sz w:val="24"/>
                <w:szCs w:val="24"/>
                <w:highlight w:val="none"/>
                <w:lang w:val="en-US" w:eastAsia="zh-CN"/>
              </w:rPr>
            </w:pPr>
            <w:r>
              <w:rPr>
                <w:rFonts w:hint="default"/>
                <w:sz w:val="24"/>
                <w:szCs w:val="24"/>
                <w:highlight w:val="none"/>
                <w:lang w:val="en-US" w:eastAsia="zh-CN"/>
              </w:rPr>
              <w:t>10</w:t>
            </w:r>
          </w:p>
        </w:tc>
        <w:tc>
          <w:tcPr>
            <w:tcW w:w="5985" w:type="dxa"/>
            <w:tcBorders>
              <w:top w:val="single" w:color="000000" w:sz="4" w:space="0"/>
              <w:left w:val="single" w:color="000000" w:sz="4" w:space="0"/>
              <w:bottom w:val="single" w:color="000000" w:sz="4" w:space="0"/>
              <w:right w:val="single" w:color="000000" w:sz="4" w:space="0"/>
            </w:tcBorders>
            <w:noWrap w:val="0"/>
            <w:vAlign w:val="center"/>
          </w:tcPr>
          <w:p w14:paraId="2372BEE7">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0" w:firstLineChars="0"/>
              <w:jc w:val="both"/>
              <w:textAlignment w:val="auto"/>
              <w:rPr>
                <w:rFonts w:hint="default"/>
                <w:sz w:val="24"/>
                <w:szCs w:val="24"/>
                <w:highlight w:val="none"/>
                <w:lang w:val="en-US" w:eastAsia="zh-CN"/>
              </w:rPr>
            </w:pPr>
            <w:r>
              <w:rPr>
                <w:rFonts w:hint="default"/>
                <w:sz w:val="24"/>
                <w:szCs w:val="24"/>
                <w:highlight w:val="none"/>
                <w:lang w:val="en-US" w:eastAsia="zh-CN"/>
              </w:rPr>
              <w:t>1.人员按照学校规定做好正规备案，不得无备案人员出入校园，违反每人次扣0.5分；2.从业人员必须有信息表、政审、保险、合同各项不全每一项扣0.3分，各项均没有扣1分；3.违反校纪校规每人次扣0.5分；4.绿化工人着装不统一，不整齐扣0.5分。</w:t>
            </w:r>
          </w:p>
        </w:tc>
        <w:tc>
          <w:tcPr>
            <w:tcW w:w="668" w:type="dxa"/>
            <w:tcBorders>
              <w:top w:val="single" w:color="000000" w:sz="4" w:space="0"/>
              <w:left w:val="single" w:color="000000" w:sz="4" w:space="0"/>
              <w:bottom w:val="single" w:color="000000" w:sz="4" w:space="0"/>
              <w:right w:val="single" w:color="000000" w:sz="4" w:space="0"/>
            </w:tcBorders>
            <w:noWrap w:val="0"/>
            <w:vAlign w:val="center"/>
          </w:tcPr>
          <w:p w14:paraId="3D2F53D0">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0" w:firstLineChars="0"/>
              <w:textAlignment w:val="auto"/>
              <w:rPr>
                <w:rFonts w:hint="default"/>
                <w:sz w:val="24"/>
                <w:szCs w:val="24"/>
                <w:highlight w:val="none"/>
                <w:lang w:val="en-US" w:eastAsia="zh-CN"/>
              </w:rPr>
            </w:pPr>
          </w:p>
        </w:tc>
      </w:tr>
      <w:tr w14:paraId="198924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0" w:hRule="atLeast"/>
          <w:jc w:val="center"/>
        </w:trPr>
        <w:tc>
          <w:tcPr>
            <w:tcW w:w="648" w:type="dxa"/>
            <w:tcBorders>
              <w:top w:val="single" w:color="000000" w:sz="4" w:space="0"/>
              <w:left w:val="single" w:color="000000" w:sz="4" w:space="0"/>
              <w:bottom w:val="single" w:color="000000" w:sz="4" w:space="0"/>
              <w:right w:val="single" w:color="000000" w:sz="4" w:space="0"/>
            </w:tcBorders>
            <w:noWrap w:val="0"/>
            <w:vAlign w:val="center"/>
          </w:tcPr>
          <w:p w14:paraId="16506AED">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0" w:firstLineChars="0"/>
              <w:jc w:val="center"/>
              <w:textAlignment w:val="auto"/>
              <w:rPr>
                <w:rFonts w:hint="default"/>
                <w:sz w:val="24"/>
                <w:szCs w:val="24"/>
                <w:highlight w:val="none"/>
                <w:lang w:val="en-US" w:eastAsia="zh-CN"/>
              </w:rPr>
            </w:pPr>
            <w:r>
              <w:rPr>
                <w:rFonts w:hint="default"/>
                <w:sz w:val="24"/>
                <w:szCs w:val="24"/>
                <w:highlight w:val="none"/>
                <w:lang w:val="en-US" w:eastAsia="zh-CN"/>
              </w:rPr>
              <w:t>2</w:t>
            </w:r>
          </w:p>
        </w:tc>
        <w:tc>
          <w:tcPr>
            <w:tcW w:w="684" w:type="dxa"/>
            <w:tcBorders>
              <w:top w:val="single" w:color="000000" w:sz="4" w:space="0"/>
              <w:left w:val="single" w:color="000000" w:sz="4" w:space="0"/>
              <w:bottom w:val="single" w:color="000000" w:sz="4" w:space="0"/>
              <w:right w:val="nil"/>
            </w:tcBorders>
            <w:noWrap w:val="0"/>
            <w:vAlign w:val="center"/>
          </w:tcPr>
          <w:p w14:paraId="70570E77">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0" w:firstLineChars="0"/>
              <w:jc w:val="center"/>
              <w:textAlignment w:val="auto"/>
              <w:rPr>
                <w:rFonts w:hint="default"/>
                <w:sz w:val="24"/>
                <w:szCs w:val="24"/>
                <w:highlight w:val="none"/>
                <w:lang w:val="en-US" w:eastAsia="zh-CN"/>
              </w:rPr>
            </w:pPr>
            <w:r>
              <w:rPr>
                <w:rFonts w:hint="default"/>
                <w:sz w:val="24"/>
                <w:szCs w:val="24"/>
                <w:highlight w:val="none"/>
                <w:lang w:val="en-US" w:eastAsia="zh-CN"/>
              </w:rPr>
              <w:t>安全生产管理</w:t>
            </w:r>
          </w:p>
        </w:tc>
        <w:tc>
          <w:tcPr>
            <w:tcW w:w="633" w:type="dxa"/>
            <w:tcBorders>
              <w:top w:val="single" w:color="000000" w:sz="4" w:space="0"/>
              <w:left w:val="single" w:color="000000" w:sz="4" w:space="0"/>
              <w:bottom w:val="single" w:color="000000" w:sz="4" w:space="0"/>
              <w:right w:val="single" w:color="000000" w:sz="4" w:space="0"/>
            </w:tcBorders>
            <w:noWrap w:val="0"/>
            <w:vAlign w:val="center"/>
          </w:tcPr>
          <w:p w14:paraId="2826075B">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0" w:firstLineChars="0"/>
              <w:jc w:val="center"/>
              <w:textAlignment w:val="auto"/>
              <w:rPr>
                <w:rFonts w:hint="default"/>
                <w:sz w:val="24"/>
                <w:szCs w:val="24"/>
                <w:highlight w:val="none"/>
                <w:lang w:val="en-US" w:eastAsia="zh-CN"/>
              </w:rPr>
            </w:pPr>
            <w:r>
              <w:rPr>
                <w:rFonts w:hint="default"/>
                <w:sz w:val="24"/>
                <w:szCs w:val="24"/>
                <w:highlight w:val="none"/>
                <w:lang w:val="en-US" w:eastAsia="zh-CN"/>
              </w:rPr>
              <w:t>10</w:t>
            </w:r>
          </w:p>
        </w:tc>
        <w:tc>
          <w:tcPr>
            <w:tcW w:w="5985" w:type="dxa"/>
            <w:tcBorders>
              <w:top w:val="single" w:color="000000" w:sz="4" w:space="0"/>
              <w:left w:val="single" w:color="000000" w:sz="4" w:space="0"/>
              <w:bottom w:val="single" w:color="000000" w:sz="4" w:space="0"/>
              <w:right w:val="single" w:color="000000" w:sz="4" w:space="0"/>
            </w:tcBorders>
            <w:noWrap w:val="0"/>
            <w:vAlign w:val="center"/>
          </w:tcPr>
          <w:p w14:paraId="2BD1AC27">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0" w:firstLineChars="0"/>
              <w:jc w:val="both"/>
              <w:textAlignment w:val="auto"/>
              <w:rPr>
                <w:rFonts w:hint="default"/>
                <w:sz w:val="24"/>
                <w:szCs w:val="24"/>
                <w:highlight w:val="none"/>
                <w:lang w:val="en-US" w:eastAsia="zh-CN"/>
              </w:rPr>
            </w:pPr>
            <w:r>
              <w:rPr>
                <w:rFonts w:hint="default"/>
                <w:sz w:val="24"/>
                <w:szCs w:val="24"/>
                <w:highlight w:val="none"/>
                <w:lang w:val="en-US" w:eastAsia="zh-CN"/>
              </w:rPr>
              <w:t>1.安全生产教育每月1次（有资料印证）少一次扣0.5分；2.农药专人管理，农药随用随出校，不得留在学校，出入库记录不全扣1分，农药废弃物回收不到位扣2分；3.机械停放在不到位扣0.5分；4.阀门井安全及操作规程，专人负责不到位每一处扣1分；5.工人防火、环境卫生每一处不到位扣0.5分；风险隐患排查每周一次（资料印证），每少一次扣0.5分。</w:t>
            </w:r>
          </w:p>
        </w:tc>
        <w:tc>
          <w:tcPr>
            <w:tcW w:w="668" w:type="dxa"/>
            <w:tcBorders>
              <w:top w:val="single" w:color="000000" w:sz="4" w:space="0"/>
              <w:left w:val="single" w:color="000000" w:sz="4" w:space="0"/>
              <w:bottom w:val="single" w:color="000000" w:sz="4" w:space="0"/>
              <w:right w:val="single" w:color="000000" w:sz="4" w:space="0"/>
            </w:tcBorders>
            <w:noWrap w:val="0"/>
            <w:vAlign w:val="center"/>
          </w:tcPr>
          <w:p w14:paraId="54586BC5">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0" w:firstLineChars="0"/>
              <w:textAlignment w:val="auto"/>
              <w:rPr>
                <w:rFonts w:hint="default"/>
                <w:sz w:val="24"/>
                <w:szCs w:val="24"/>
                <w:highlight w:val="none"/>
                <w:lang w:val="en-US" w:eastAsia="zh-CN"/>
              </w:rPr>
            </w:pPr>
          </w:p>
        </w:tc>
      </w:tr>
      <w:tr w14:paraId="594BB8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648" w:type="dxa"/>
            <w:tcBorders>
              <w:top w:val="single" w:color="000000" w:sz="4" w:space="0"/>
              <w:left w:val="single" w:color="000000" w:sz="4" w:space="0"/>
              <w:bottom w:val="single" w:color="000000" w:sz="4" w:space="0"/>
              <w:right w:val="single" w:color="000000" w:sz="4" w:space="0"/>
            </w:tcBorders>
            <w:noWrap w:val="0"/>
            <w:vAlign w:val="center"/>
          </w:tcPr>
          <w:p w14:paraId="0DAACB43">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0" w:firstLineChars="0"/>
              <w:jc w:val="center"/>
              <w:textAlignment w:val="auto"/>
              <w:rPr>
                <w:rFonts w:hint="default"/>
                <w:sz w:val="24"/>
                <w:szCs w:val="24"/>
                <w:highlight w:val="none"/>
                <w:lang w:val="en-US" w:eastAsia="zh-CN"/>
              </w:rPr>
            </w:pPr>
            <w:r>
              <w:rPr>
                <w:rFonts w:hint="default"/>
                <w:sz w:val="24"/>
                <w:szCs w:val="24"/>
                <w:highlight w:val="none"/>
                <w:lang w:val="en-US" w:eastAsia="zh-CN"/>
              </w:rPr>
              <w:t>3</w:t>
            </w:r>
          </w:p>
        </w:tc>
        <w:tc>
          <w:tcPr>
            <w:tcW w:w="684" w:type="dxa"/>
            <w:tcBorders>
              <w:top w:val="single" w:color="000000" w:sz="4" w:space="0"/>
              <w:left w:val="single" w:color="000000" w:sz="4" w:space="0"/>
              <w:bottom w:val="single" w:color="000000" w:sz="4" w:space="0"/>
              <w:right w:val="nil"/>
            </w:tcBorders>
            <w:noWrap w:val="0"/>
            <w:vAlign w:val="center"/>
          </w:tcPr>
          <w:p w14:paraId="0F24B1A7">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0" w:firstLineChars="0"/>
              <w:jc w:val="center"/>
              <w:textAlignment w:val="auto"/>
              <w:rPr>
                <w:rFonts w:hint="default"/>
                <w:sz w:val="24"/>
                <w:szCs w:val="24"/>
                <w:highlight w:val="none"/>
                <w:lang w:val="en-US" w:eastAsia="zh-CN"/>
              </w:rPr>
            </w:pPr>
            <w:r>
              <w:rPr>
                <w:rFonts w:hint="default"/>
                <w:sz w:val="24"/>
                <w:szCs w:val="24"/>
                <w:highlight w:val="none"/>
                <w:lang w:val="en-US" w:eastAsia="zh-CN"/>
              </w:rPr>
              <w:t>档案资料建立</w:t>
            </w:r>
          </w:p>
        </w:tc>
        <w:tc>
          <w:tcPr>
            <w:tcW w:w="633" w:type="dxa"/>
            <w:tcBorders>
              <w:top w:val="single" w:color="000000" w:sz="4" w:space="0"/>
              <w:left w:val="single" w:color="000000" w:sz="4" w:space="0"/>
              <w:bottom w:val="single" w:color="000000" w:sz="4" w:space="0"/>
              <w:right w:val="single" w:color="000000" w:sz="4" w:space="0"/>
            </w:tcBorders>
            <w:noWrap w:val="0"/>
            <w:vAlign w:val="center"/>
          </w:tcPr>
          <w:p w14:paraId="2C238F59">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0" w:firstLineChars="0"/>
              <w:jc w:val="center"/>
              <w:textAlignment w:val="auto"/>
              <w:rPr>
                <w:rFonts w:hint="default"/>
                <w:sz w:val="24"/>
                <w:szCs w:val="24"/>
                <w:highlight w:val="none"/>
                <w:lang w:val="en-US" w:eastAsia="zh-CN"/>
              </w:rPr>
            </w:pPr>
            <w:r>
              <w:rPr>
                <w:rFonts w:hint="default"/>
                <w:sz w:val="24"/>
                <w:szCs w:val="24"/>
                <w:highlight w:val="none"/>
                <w:lang w:val="en-US" w:eastAsia="zh-CN"/>
              </w:rPr>
              <w:t>10</w:t>
            </w:r>
          </w:p>
        </w:tc>
        <w:tc>
          <w:tcPr>
            <w:tcW w:w="5985" w:type="dxa"/>
            <w:tcBorders>
              <w:top w:val="single" w:color="000000" w:sz="4" w:space="0"/>
              <w:left w:val="single" w:color="000000" w:sz="4" w:space="0"/>
              <w:bottom w:val="single" w:color="000000" w:sz="4" w:space="0"/>
              <w:right w:val="single" w:color="000000" w:sz="4" w:space="0"/>
            </w:tcBorders>
            <w:noWrap w:val="0"/>
            <w:vAlign w:val="center"/>
          </w:tcPr>
          <w:p w14:paraId="6CC8AB0E">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0" w:firstLineChars="0"/>
              <w:jc w:val="both"/>
              <w:textAlignment w:val="auto"/>
              <w:rPr>
                <w:rFonts w:hint="default"/>
                <w:sz w:val="24"/>
                <w:szCs w:val="24"/>
                <w:highlight w:val="none"/>
                <w:lang w:val="en-US" w:eastAsia="zh-CN"/>
              </w:rPr>
            </w:pPr>
            <w:r>
              <w:rPr>
                <w:rFonts w:hint="default"/>
                <w:sz w:val="24"/>
                <w:szCs w:val="24"/>
                <w:highlight w:val="none"/>
                <w:lang w:val="en-US" w:eastAsia="zh-CN"/>
              </w:rPr>
              <w:t>组织机构、养护方案、管理制度、岗位职责、岗位规范、操作规程、养护进度、人员信息档案、巡查记录、打药记录每少一项扣1分。</w:t>
            </w:r>
          </w:p>
        </w:tc>
        <w:tc>
          <w:tcPr>
            <w:tcW w:w="668" w:type="dxa"/>
            <w:tcBorders>
              <w:top w:val="single" w:color="000000" w:sz="4" w:space="0"/>
              <w:left w:val="single" w:color="000000" w:sz="4" w:space="0"/>
              <w:bottom w:val="single" w:color="000000" w:sz="4" w:space="0"/>
              <w:right w:val="single" w:color="000000" w:sz="4" w:space="0"/>
            </w:tcBorders>
            <w:noWrap w:val="0"/>
            <w:vAlign w:val="center"/>
          </w:tcPr>
          <w:p w14:paraId="5B1234AE">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0" w:firstLineChars="0"/>
              <w:textAlignment w:val="auto"/>
              <w:rPr>
                <w:rFonts w:hint="default"/>
                <w:sz w:val="24"/>
                <w:szCs w:val="24"/>
                <w:highlight w:val="none"/>
                <w:lang w:val="en-US" w:eastAsia="zh-CN"/>
              </w:rPr>
            </w:pPr>
          </w:p>
        </w:tc>
      </w:tr>
      <w:tr w14:paraId="0FAC3B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jc w:val="center"/>
        </w:trPr>
        <w:tc>
          <w:tcPr>
            <w:tcW w:w="648" w:type="dxa"/>
            <w:tcBorders>
              <w:top w:val="single" w:color="000000" w:sz="4" w:space="0"/>
              <w:left w:val="single" w:color="000000" w:sz="4" w:space="0"/>
              <w:bottom w:val="single" w:color="000000" w:sz="4" w:space="0"/>
              <w:right w:val="single" w:color="000000" w:sz="4" w:space="0"/>
            </w:tcBorders>
            <w:noWrap w:val="0"/>
            <w:vAlign w:val="center"/>
          </w:tcPr>
          <w:p w14:paraId="715D8C01">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0" w:firstLineChars="0"/>
              <w:jc w:val="center"/>
              <w:textAlignment w:val="auto"/>
              <w:rPr>
                <w:rFonts w:hint="default"/>
                <w:sz w:val="24"/>
                <w:szCs w:val="24"/>
                <w:highlight w:val="none"/>
                <w:lang w:val="en-US" w:eastAsia="zh-CN"/>
              </w:rPr>
            </w:pPr>
            <w:r>
              <w:rPr>
                <w:rFonts w:hint="default"/>
                <w:sz w:val="24"/>
                <w:szCs w:val="24"/>
                <w:highlight w:val="none"/>
                <w:lang w:val="en-US" w:eastAsia="zh-CN"/>
              </w:rPr>
              <w:t>4</w:t>
            </w:r>
          </w:p>
        </w:tc>
        <w:tc>
          <w:tcPr>
            <w:tcW w:w="684" w:type="dxa"/>
            <w:tcBorders>
              <w:top w:val="single" w:color="000000" w:sz="4" w:space="0"/>
              <w:left w:val="single" w:color="000000" w:sz="4" w:space="0"/>
              <w:bottom w:val="single" w:color="000000" w:sz="4" w:space="0"/>
              <w:right w:val="single" w:color="000000" w:sz="4" w:space="0"/>
            </w:tcBorders>
            <w:noWrap w:val="0"/>
            <w:vAlign w:val="center"/>
          </w:tcPr>
          <w:p w14:paraId="67BD53F8">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0" w:firstLineChars="0"/>
              <w:jc w:val="center"/>
              <w:textAlignment w:val="auto"/>
              <w:rPr>
                <w:rFonts w:hint="default"/>
                <w:sz w:val="24"/>
                <w:szCs w:val="24"/>
                <w:highlight w:val="none"/>
                <w:lang w:val="en-US" w:eastAsia="zh-CN"/>
              </w:rPr>
            </w:pPr>
            <w:r>
              <w:rPr>
                <w:rFonts w:hint="default"/>
                <w:sz w:val="24"/>
                <w:szCs w:val="24"/>
                <w:highlight w:val="none"/>
                <w:lang w:val="en-US" w:eastAsia="zh-CN"/>
              </w:rPr>
              <w:t>植保</w:t>
            </w:r>
          </w:p>
          <w:p w14:paraId="6D260BC0">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0" w:firstLineChars="0"/>
              <w:jc w:val="center"/>
              <w:textAlignment w:val="auto"/>
              <w:rPr>
                <w:rFonts w:hint="default"/>
                <w:sz w:val="24"/>
                <w:szCs w:val="24"/>
                <w:highlight w:val="none"/>
                <w:lang w:val="en-US" w:eastAsia="zh-CN"/>
              </w:rPr>
            </w:pPr>
            <w:r>
              <w:rPr>
                <w:rFonts w:hint="default"/>
                <w:sz w:val="24"/>
                <w:szCs w:val="24"/>
                <w:highlight w:val="none"/>
                <w:lang w:val="en-US" w:eastAsia="zh-CN"/>
              </w:rPr>
              <w:t>防治</w:t>
            </w:r>
          </w:p>
        </w:tc>
        <w:tc>
          <w:tcPr>
            <w:tcW w:w="633" w:type="dxa"/>
            <w:tcBorders>
              <w:top w:val="single" w:color="000000" w:sz="4" w:space="0"/>
              <w:left w:val="single" w:color="000000" w:sz="4" w:space="0"/>
              <w:bottom w:val="single" w:color="000000" w:sz="4" w:space="0"/>
              <w:right w:val="single" w:color="000000" w:sz="4" w:space="0"/>
            </w:tcBorders>
            <w:noWrap w:val="0"/>
            <w:vAlign w:val="center"/>
          </w:tcPr>
          <w:p w14:paraId="65DFCCAF">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0" w:firstLineChars="0"/>
              <w:jc w:val="center"/>
              <w:textAlignment w:val="auto"/>
              <w:rPr>
                <w:rFonts w:hint="default"/>
                <w:sz w:val="24"/>
                <w:szCs w:val="24"/>
                <w:highlight w:val="none"/>
                <w:lang w:val="en-US" w:eastAsia="zh-CN"/>
              </w:rPr>
            </w:pPr>
            <w:r>
              <w:rPr>
                <w:rFonts w:hint="default"/>
                <w:sz w:val="24"/>
                <w:szCs w:val="24"/>
                <w:highlight w:val="none"/>
                <w:lang w:val="en-US" w:eastAsia="zh-CN"/>
              </w:rPr>
              <w:t>10</w:t>
            </w:r>
          </w:p>
        </w:tc>
        <w:tc>
          <w:tcPr>
            <w:tcW w:w="5985" w:type="dxa"/>
            <w:tcBorders>
              <w:top w:val="single" w:color="000000" w:sz="4" w:space="0"/>
              <w:left w:val="single" w:color="000000" w:sz="4" w:space="0"/>
              <w:bottom w:val="single" w:color="000000" w:sz="4" w:space="0"/>
              <w:right w:val="single" w:color="000000" w:sz="4" w:space="0"/>
            </w:tcBorders>
            <w:noWrap w:val="0"/>
            <w:vAlign w:val="center"/>
          </w:tcPr>
          <w:p w14:paraId="75924AF0">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0" w:firstLineChars="0"/>
              <w:jc w:val="both"/>
              <w:textAlignment w:val="auto"/>
              <w:rPr>
                <w:rFonts w:hint="default"/>
                <w:sz w:val="24"/>
                <w:szCs w:val="24"/>
                <w:highlight w:val="none"/>
                <w:lang w:val="en-US" w:eastAsia="zh-CN"/>
              </w:rPr>
            </w:pPr>
            <w:r>
              <w:rPr>
                <w:rFonts w:hint="default"/>
                <w:sz w:val="24"/>
                <w:szCs w:val="24"/>
                <w:highlight w:val="none"/>
                <w:lang w:val="en-US" w:eastAsia="zh-CN"/>
              </w:rPr>
              <w:t>1.根据合同约定草坪、灌木、花卉、亚乔木（单株）、乔木（单株）病虫害最严重危害不得超过8％，超过每一处扣1分，发现病虫害严重并且防止不及时导致树木死亡每株扣2分；2.因病虫害导致苗木枯黄、长势差等现象，每株扣除0.1分；3.植保防治工作喷施农药前要提前2天报备学校，包括喷施农药种类，采取集中打药的方式，不得私自分片喷施农药，发现一次扣5分。</w:t>
            </w:r>
          </w:p>
        </w:tc>
        <w:tc>
          <w:tcPr>
            <w:tcW w:w="668" w:type="dxa"/>
            <w:tcBorders>
              <w:top w:val="single" w:color="000000" w:sz="4" w:space="0"/>
              <w:left w:val="single" w:color="000000" w:sz="4" w:space="0"/>
              <w:bottom w:val="single" w:color="000000" w:sz="4" w:space="0"/>
              <w:right w:val="single" w:color="000000" w:sz="4" w:space="0"/>
            </w:tcBorders>
            <w:noWrap w:val="0"/>
            <w:vAlign w:val="center"/>
          </w:tcPr>
          <w:p w14:paraId="546D8466">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0" w:firstLineChars="0"/>
              <w:textAlignment w:val="auto"/>
              <w:rPr>
                <w:rFonts w:hint="default"/>
                <w:sz w:val="24"/>
                <w:szCs w:val="24"/>
                <w:highlight w:val="none"/>
                <w:lang w:val="en-US" w:eastAsia="zh-CN"/>
              </w:rPr>
            </w:pPr>
          </w:p>
        </w:tc>
      </w:tr>
      <w:tr w14:paraId="0FDB3D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6" w:hRule="atLeast"/>
          <w:jc w:val="center"/>
        </w:trPr>
        <w:tc>
          <w:tcPr>
            <w:tcW w:w="648" w:type="dxa"/>
            <w:tcBorders>
              <w:top w:val="single" w:color="000000" w:sz="4" w:space="0"/>
              <w:left w:val="single" w:color="000000" w:sz="4" w:space="0"/>
              <w:bottom w:val="single" w:color="000000" w:sz="4" w:space="0"/>
              <w:right w:val="single" w:color="000000" w:sz="4" w:space="0"/>
            </w:tcBorders>
            <w:noWrap w:val="0"/>
            <w:vAlign w:val="center"/>
          </w:tcPr>
          <w:p w14:paraId="5B2DC575">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0" w:firstLineChars="0"/>
              <w:jc w:val="center"/>
              <w:textAlignment w:val="auto"/>
              <w:rPr>
                <w:rFonts w:hint="default"/>
                <w:sz w:val="24"/>
                <w:szCs w:val="24"/>
                <w:highlight w:val="none"/>
                <w:lang w:val="en-US" w:eastAsia="zh-CN"/>
              </w:rPr>
            </w:pPr>
            <w:r>
              <w:rPr>
                <w:rFonts w:hint="default"/>
                <w:sz w:val="24"/>
                <w:szCs w:val="24"/>
                <w:highlight w:val="none"/>
                <w:lang w:val="en-US" w:eastAsia="zh-CN"/>
              </w:rPr>
              <w:t>5</w:t>
            </w:r>
          </w:p>
        </w:tc>
        <w:tc>
          <w:tcPr>
            <w:tcW w:w="684" w:type="dxa"/>
            <w:tcBorders>
              <w:top w:val="single" w:color="000000" w:sz="4" w:space="0"/>
              <w:left w:val="single" w:color="000000" w:sz="4" w:space="0"/>
              <w:bottom w:val="single" w:color="000000" w:sz="4" w:space="0"/>
              <w:right w:val="single" w:color="000000" w:sz="4" w:space="0"/>
            </w:tcBorders>
            <w:noWrap w:val="0"/>
            <w:vAlign w:val="center"/>
          </w:tcPr>
          <w:p w14:paraId="19539795">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0" w:firstLineChars="0"/>
              <w:jc w:val="center"/>
              <w:textAlignment w:val="auto"/>
              <w:rPr>
                <w:rFonts w:hint="default"/>
                <w:sz w:val="24"/>
                <w:szCs w:val="24"/>
                <w:highlight w:val="none"/>
                <w:lang w:val="en-US" w:eastAsia="zh-CN"/>
              </w:rPr>
            </w:pPr>
            <w:r>
              <w:rPr>
                <w:rFonts w:hint="default"/>
                <w:sz w:val="24"/>
                <w:szCs w:val="24"/>
                <w:highlight w:val="none"/>
                <w:lang w:val="en-US" w:eastAsia="zh-CN"/>
              </w:rPr>
              <w:t>灌溉</w:t>
            </w:r>
          </w:p>
        </w:tc>
        <w:tc>
          <w:tcPr>
            <w:tcW w:w="633" w:type="dxa"/>
            <w:tcBorders>
              <w:top w:val="single" w:color="000000" w:sz="4" w:space="0"/>
              <w:left w:val="single" w:color="000000" w:sz="4" w:space="0"/>
              <w:bottom w:val="single" w:color="000000" w:sz="4" w:space="0"/>
              <w:right w:val="single" w:color="000000" w:sz="4" w:space="0"/>
            </w:tcBorders>
            <w:noWrap w:val="0"/>
            <w:vAlign w:val="center"/>
          </w:tcPr>
          <w:p w14:paraId="02D5ED60">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0" w:firstLineChars="0"/>
              <w:jc w:val="center"/>
              <w:textAlignment w:val="auto"/>
              <w:rPr>
                <w:rFonts w:hint="default"/>
                <w:sz w:val="24"/>
                <w:szCs w:val="24"/>
                <w:highlight w:val="none"/>
                <w:lang w:val="en-US" w:eastAsia="zh-CN"/>
              </w:rPr>
            </w:pPr>
            <w:r>
              <w:rPr>
                <w:rFonts w:hint="default"/>
                <w:sz w:val="24"/>
                <w:szCs w:val="24"/>
                <w:highlight w:val="none"/>
                <w:lang w:val="en-US" w:eastAsia="zh-CN"/>
              </w:rPr>
              <w:t>10</w:t>
            </w:r>
          </w:p>
        </w:tc>
        <w:tc>
          <w:tcPr>
            <w:tcW w:w="5985" w:type="dxa"/>
            <w:tcBorders>
              <w:top w:val="single" w:color="000000" w:sz="4" w:space="0"/>
              <w:left w:val="single" w:color="000000" w:sz="4" w:space="0"/>
              <w:bottom w:val="single" w:color="000000" w:sz="4" w:space="0"/>
              <w:right w:val="single" w:color="000000" w:sz="4" w:space="0"/>
            </w:tcBorders>
            <w:noWrap w:val="0"/>
            <w:vAlign w:val="center"/>
          </w:tcPr>
          <w:p w14:paraId="41178693">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0" w:firstLineChars="0"/>
              <w:jc w:val="both"/>
              <w:textAlignment w:val="auto"/>
              <w:rPr>
                <w:rFonts w:hint="default"/>
                <w:sz w:val="24"/>
                <w:szCs w:val="24"/>
                <w:highlight w:val="none"/>
                <w:lang w:val="en-US" w:eastAsia="zh-CN"/>
              </w:rPr>
            </w:pPr>
            <w:r>
              <w:rPr>
                <w:rFonts w:hint="default"/>
                <w:sz w:val="24"/>
                <w:szCs w:val="24"/>
                <w:highlight w:val="none"/>
                <w:lang w:val="en-US" w:eastAsia="zh-CN"/>
              </w:rPr>
              <w:t>1.根据不同植物、不同灌溉方式进行灌溉，乔木、亚乔木、灌木、花卉必须采取灌透。草坪采取喷灌，注重坡地、重要节点灌溉，若因灌溉不及时、不均匀造成草坪死亡的，每一处扣2分，造成枯黄的，每一处扣1分；造成灌木、花卉死亡的每一处扣2分，造成枯黄的，每一处扣1分；造成乔木、亚乔木死亡的，每一株扣2分，枯黄的每一处扣1分；2.灌溉井破损未报修每处扣1分，管道维修未及时恢复，每处扣0.5分。3.灌溉阀门井没有及时封盖每处扣0.5分。4.灌溉跑冒滴漏无人看管或无人解决扣0.5分。</w:t>
            </w:r>
          </w:p>
        </w:tc>
        <w:tc>
          <w:tcPr>
            <w:tcW w:w="668" w:type="dxa"/>
            <w:tcBorders>
              <w:top w:val="single" w:color="000000" w:sz="4" w:space="0"/>
              <w:left w:val="single" w:color="000000" w:sz="4" w:space="0"/>
              <w:bottom w:val="single" w:color="000000" w:sz="4" w:space="0"/>
              <w:right w:val="single" w:color="000000" w:sz="4" w:space="0"/>
            </w:tcBorders>
            <w:noWrap w:val="0"/>
            <w:vAlign w:val="center"/>
          </w:tcPr>
          <w:p w14:paraId="65BDBF71">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0" w:firstLineChars="0"/>
              <w:textAlignment w:val="auto"/>
              <w:rPr>
                <w:rFonts w:hint="default"/>
                <w:sz w:val="24"/>
                <w:szCs w:val="24"/>
                <w:highlight w:val="none"/>
                <w:lang w:val="en-US" w:eastAsia="zh-CN"/>
              </w:rPr>
            </w:pPr>
          </w:p>
        </w:tc>
      </w:tr>
      <w:tr w14:paraId="020F69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0" w:hRule="atLeast"/>
          <w:jc w:val="center"/>
        </w:trPr>
        <w:tc>
          <w:tcPr>
            <w:tcW w:w="648" w:type="dxa"/>
            <w:tcBorders>
              <w:top w:val="single" w:color="000000" w:sz="4" w:space="0"/>
              <w:left w:val="single" w:color="000000" w:sz="4" w:space="0"/>
              <w:bottom w:val="single" w:color="000000" w:sz="4" w:space="0"/>
              <w:right w:val="single" w:color="000000" w:sz="4" w:space="0"/>
            </w:tcBorders>
            <w:noWrap w:val="0"/>
            <w:vAlign w:val="center"/>
          </w:tcPr>
          <w:p w14:paraId="729F77EE">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0" w:firstLineChars="0"/>
              <w:jc w:val="center"/>
              <w:textAlignment w:val="auto"/>
              <w:rPr>
                <w:rFonts w:hint="default"/>
                <w:sz w:val="24"/>
                <w:szCs w:val="24"/>
                <w:highlight w:val="none"/>
                <w:lang w:val="en-US" w:eastAsia="zh-CN"/>
              </w:rPr>
            </w:pPr>
            <w:r>
              <w:rPr>
                <w:rFonts w:hint="default"/>
                <w:sz w:val="24"/>
                <w:szCs w:val="24"/>
                <w:highlight w:val="none"/>
                <w:lang w:val="en-US" w:eastAsia="zh-CN"/>
              </w:rPr>
              <w:t>6</w:t>
            </w:r>
          </w:p>
        </w:tc>
        <w:tc>
          <w:tcPr>
            <w:tcW w:w="684" w:type="dxa"/>
            <w:tcBorders>
              <w:top w:val="single" w:color="000000" w:sz="4" w:space="0"/>
              <w:left w:val="single" w:color="000000" w:sz="4" w:space="0"/>
              <w:bottom w:val="single" w:color="000000" w:sz="4" w:space="0"/>
              <w:right w:val="single" w:color="000000" w:sz="4" w:space="0"/>
            </w:tcBorders>
            <w:noWrap w:val="0"/>
            <w:vAlign w:val="center"/>
          </w:tcPr>
          <w:p w14:paraId="4C3C4C9F">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0" w:firstLineChars="0"/>
              <w:jc w:val="center"/>
              <w:textAlignment w:val="auto"/>
              <w:rPr>
                <w:rFonts w:hint="default"/>
                <w:sz w:val="24"/>
                <w:szCs w:val="24"/>
                <w:highlight w:val="none"/>
                <w:lang w:val="en-US" w:eastAsia="zh-CN"/>
              </w:rPr>
            </w:pPr>
            <w:r>
              <w:rPr>
                <w:rFonts w:hint="default"/>
                <w:sz w:val="24"/>
                <w:szCs w:val="24"/>
                <w:highlight w:val="none"/>
                <w:lang w:val="en-US" w:eastAsia="zh-CN"/>
              </w:rPr>
              <w:t>修剪</w:t>
            </w:r>
          </w:p>
          <w:p w14:paraId="28AFF552">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0" w:firstLineChars="0"/>
              <w:jc w:val="center"/>
              <w:textAlignment w:val="auto"/>
              <w:rPr>
                <w:rFonts w:hint="default"/>
                <w:sz w:val="24"/>
                <w:szCs w:val="24"/>
                <w:highlight w:val="none"/>
                <w:lang w:val="en-US" w:eastAsia="zh-CN"/>
              </w:rPr>
            </w:pPr>
            <w:r>
              <w:rPr>
                <w:rFonts w:hint="default"/>
                <w:sz w:val="24"/>
                <w:szCs w:val="24"/>
                <w:highlight w:val="none"/>
                <w:lang w:val="en-US" w:eastAsia="zh-CN"/>
              </w:rPr>
              <w:t>抹芽</w:t>
            </w:r>
          </w:p>
        </w:tc>
        <w:tc>
          <w:tcPr>
            <w:tcW w:w="633" w:type="dxa"/>
            <w:tcBorders>
              <w:top w:val="single" w:color="000000" w:sz="4" w:space="0"/>
              <w:left w:val="single" w:color="000000" w:sz="4" w:space="0"/>
              <w:bottom w:val="single" w:color="000000" w:sz="4" w:space="0"/>
              <w:right w:val="single" w:color="000000" w:sz="4" w:space="0"/>
            </w:tcBorders>
            <w:noWrap w:val="0"/>
            <w:vAlign w:val="center"/>
          </w:tcPr>
          <w:p w14:paraId="0ED2A0E3">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0" w:firstLineChars="0"/>
              <w:jc w:val="center"/>
              <w:textAlignment w:val="auto"/>
              <w:rPr>
                <w:rFonts w:hint="default"/>
                <w:sz w:val="24"/>
                <w:szCs w:val="24"/>
                <w:highlight w:val="none"/>
                <w:lang w:val="en-US" w:eastAsia="zh-CN"/>
              </w:rPr>
            </w:pPr>
            <w:r>
              <w:rPr>
                <w:rFonts w:hint="default"/>
                <w:sz w:val="24"/>
                <w:szCs w:val="24"/>
                <w:highlight w:val="none"/>
                <w:lang w:val="en-US" w:eastAsia="zh-CN"/>
              </w:rPr>
              <w:t>10</w:t>
            </w:r>
          </w:p>
        </w:tc>
        <w:tc>
          <w:tcPr>
            <w:tcW w:w="5985" w:type="dxa"/>
            <w:tcBorders>
              <w:top w:val="single" w:color="000000" w:sz="4" w:space="0"/>
              <w:left w:val="single" w:color="000000" w:sz="4" w:space="0"/>
              <w:bottom w:val="single" w:color="000000" w:sz="4" w:space="0"/>
              <w:right w:val="single" w:color="000000" w:sz="4" w:space="0"/>
            </w:tcBorders>
            <w:noWrap w:val="0"/>
            <w:vAlign w:val="center"/>
          </w:tcPr>
          <w:p w14:paraId="3BDBEF66">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0" w:firstLineChars="0"/>
              <w:jc w:val="both"/>
              <w:textAlignment w:val="auto"/>
              <w:rPr>
                <w:rFonts w:hint="default"/>
                <w:sz w:val="24"/>
                <w:szCs w:val="24"/>
                <w:highlight w:val="none"/>
                <w:lang w:val="en-US" w:eastAsia="zh-CN"/>
              </w:rPr>
            </w:pPr>
            <w:r>
              <w:rPr>
                <w:rFonts w:hint="default"/>
                <w:sz w:val="24"/>
                <w:szCs w:val="24"/>
                <w:highlight w:val="none"/>
                <w:lang w:val="en-US" w:eastAsia="zh-CN"/>
              </w:rPr>
              <w:t>1.干枝、断枝、病枝未清除、未涂抹伤口，每棵树扣0.1分；2.抹芽时分支点以上50cm以下新芽（不超过5cm）全部抹去，未做每棵树扣0.1分，检查点位整体未做扣除该分值平均分。3.草坪修剪后高度保持10cm</w:t>
            </w:r>
            <w:r>
              <w:rPr>
                <w:rFonts w:hint="eastAsia"/>
                <w:sz w:val="24"/>
                <w:szCs w:val="24"/>
                <w:highlight w:val="none"/>
                <w:lang w:val="en-US" w:eastAsia="zh-CN"/>
              </w:rPr>
              <w:t>左右</w:t>
            </w:r>
            <w:r>
              <w:rPr>
                <w:rFonts w:hint="default"/>
                <w:sz w:val="24"/>
                <w:szCs w:val="24"/>
                <w:highlight w:val="none"/>
                <w:lang w:val="en-US" w:eastAsia="zh-CN"/>
              </w:rPr>
              <w:t>，出现整体不平整每点位扣0.5分，出穗过多每点位扣0.5分。4.修剪后未及时清理修剪产生的枝叶每堆扣0.1分，未收拢该点位扣平均分值；5.绿篱修剪需面平边直，新枝不高于15cm，发现超10平方米以上每处扣0.5分，修剪后未清理该点位平均分值扣除，成堆未清出林地每堆扣0.2分；6.大林带、片林、经济林、空白地为割草高度超过20cm，每处扣除0.5分。</w:t>
            </w:r>
          </w:p>
        </w:tc>
        <w:tc>
          <w:tcPr>
            <w:tcW w:w="668" w:type="dxa"/>
            <w:tcBorders>
              <w:top w:val="single" w:color="000000" w:sz="4" w:space="0"/>
              <w:left w:val="single" w:color="000000" w:sz="4" w:space="0"/>
              <w:bottom w:val="single" w:color="000000" w:sz="4" w:space="0"/>
              <w:right w:val="single" w:color="000000" w:sz="4" w:space="0"/>
            </w:tcBorders>
            <w:noWrap w:val="0"/>
            <w:vAlign w:val="center"/>
          </w:tcPr>
          <w:p w14:paraId="5BD8C4C2">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0" w:firstLineChars="0"/>
              <w:textAlignment w:val="auto"/>
              <w:rPr>
                <w:rFonts w:hint="default"/>
                <w:sz w:val="24"/>
                <w:szCs w:val="24"/>
                <w:highlight w:val="none"/>
                <w:lang w:val="en-US" w:eastAsia="zh-CN"/>
              </w:rPr>
            </w:pPr>
          </w:p>
        </w:tc>
      </w:tr>
      <w:tr w14:paraId="345F2A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8" w:hRule="atLeast"/>
          <w:jc w:val="center"/>
        </w:trPr>
        <w:tc>
          <w:tcPr>
            <w:tcW w:w="648" w:type="dxa"/>
            <w:tcBorders>
              <w:top w:val="single" w:color="000000" w:sz="4" w:space="0"/>
              <w:left w:val="single" w:color="000000" w:sz="4" w:space="0"/>
              <w:bottom w:val="single" w:color="000000" w:sz="4" w:space="0"/>
              <w:right w:val="single" w:color="000000" w:sz="4" w:space="0"/>
            </w:tcBorders>
            <w:noWrap w:val="0"/>
            <w:vAlign w:val="center"/>
          </w:tcPr>
          <w:p w14:paraId="5DEF0243">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0" w:firstLineChars="0"/>
              <w:jc w:val="center"/>
              <w:textAlignment w:val="auto"/>
              <w:rPr>
                <w:rFonts w:hint="default"/>
                <w:sz w:val="24"/>
                <w:szCs w:val="24"/>
                <w:highlight w:val="none"/>
                <w:lang w:val="en-US" w:eastAsia="zh-CN"/>
              </w:rPr>
            </w:pPr>
            <w:r>
              <w:rPr>
                <w:rFonts w:hint="default"/>
                <w:sz w:val="24"/>
                <w:szCs w:val="24"/>
                <w:highlight w:val="none"/>
                <w:lang w:val="en-US" w:eastAsia="zh-CN"/>
              </w:rPr>
              <w:t>7</w:t>
            </w:r>
          </w:p>
        </w:tc>
        <w:tc>
          <w:tcPr>
            <w:tcW w:w="684" w:type="dxa"/>
            <w:tcBorders>
              <w:top w:val="single" w:color="000000" w:sz="4" w:space="0"/>
              <w:left w:val="single" w:color="000000" w:sz="4" w:space="0"/>
              <w:bottom w:val="single" w:color="000000" w:sz="4" w:space="0"/>
              <w:right w:val="single" w:color="000000" w:sz="4" w:space="0"/>
            </w:tcBorders>
            <w:noWrap w:val="0"/>
            <w:vAlign w:val="center"/>
          </w:tcPr>
          <w:p w14:paraId="50348420">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0" w:firstLineChars="0"/>
              <w:jc w:val="center"/>
              <w:textAlignment w:val="auto"/>
              <w:rPr>
                <w:rFonts w:hint="default"/>
                <w:sz w:val="24"/>
                <w:szCs w:val="24"/>
                <w:highlight w:val="none"/>
                <w:lang w:val="en-US" w:eastAsia="zh-CN"/>
              </w:rPr>
            </w:pPr>
            <w:r>
              <w:rPr>
                <w:rFonts w:hint="default"/>
                <w:sz w:val="24"/>
                <w:szCs w:val="24"/>
                <w:highlight w:val="none"/>
                <w:lang w:val="en-US" w:eastAsia="zh-CN"/>
              </w:rPr>
              <w:t>除草</w:t>
            </w:r>
          </w:p>
        </w:tc>
        <w:tc>
          <w:tcPr>
            <w:tcW w:w="633" w:type="dxa"/>
            <w:tcBorders>
              <w:top w:val="single" w:color="000000" w:sz="4" w:space="0"/>
              <w:left w:val="single" w:color="000000" w:sz="4" w:space="0"/>
              <w:bottom w:val="single" w:color="000000" w:sz="4" w:space="0"/>
              <w:right w:val="single" w:color="000000" w:sz="4" w:space="0"/>
            </w:tcBorders>
            <w:noWrap w:val="0"/>
            <w:vAlign w:val="center"/>
          </w:tcPr>
          <w:p w14:paraId="1F196741">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0" w:firstLineChars="0"/>
              <w:jc w:val="center"/>
              <w:textAlignment w:val="auto"/>
              <w:rPr>
                <w:rFonts w:hint="default"/>
                <w:sz w:val="24"/>
                <w:szCs w:val="24"/>
                <w:highlight w:val="none"/>
                <w:lang w:val="en-US" w:eastAsia="zh-CN"/>
              </w:rPr>
            </w:pPr>
            <w:r>
              <w:rPr>
                <w:rFonts w:hint="default"/>
                <w:sz w:val="24"/>
                <w:szCs w:val="24"/>
                <w:highlight w:val="none"/>
                <w:lang w:val="en-US" w:eastAsia="zh-CN"/>
              </w:rPr>
              <w:t>10</w:t>
            </w:r>
          </w:p>
        </w:tc>
        <w:tc>
          <w:tcPr>
            <w:tcW w:w="5985" w:type="dxa"/>
            <w:tcBorders>
              <w:top w:val="single" w:color="000000" w:sz="4" w:space="0"/>
              <w:left w:val="single" w:color="000000" w:sz="4" w:space="0"/>
              <w:bottom w:val="single" w:color="000000" w:sz="4" w:space="0"/>
              <w:right w:val="single" w:color="000000" w:sz="4" w:space="0"/>
            </w:tcBorders>
            <w:noWrap w:val="0"/>
            <w:vAlign w:val="center"/>
          </w:tcPr>
          <w:p w14:paraId="7CCD245B">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0" w:firstLineChars="0"/>
              <w:jc w:val="both"/>
              <w:textAlignment w:val="auto"/>
              <w:rPr>
                <w:rFonts w:hint="default"/>
                <w:sz w:val="24"/>
                <w:szCs w:val="24"/>
                <w:highlight w:val="none"/>
                <w:lang w:val="en-US" w:eastAsia="zh-CN"/>
              </w:rPr>
            </w:pPr>
            <w:r>
              <w:rPr>
                <w:rFonts w:hint="default"/>
                <w:sz w:val="24"/>
                <w:szCs w:val="24"/>
                <w:highlight w:val="none"/>
                <w:lang w:val="en-US" w:eastAsia="zh-CN"/>
              </w:rPr>
              <w:t>1.空白地杂草高度保持15-25cm，超高或低于要求高度杂草未修剪的每处扣0.2分；2.道路、林床、节点、重点区域杂草未清除干净的每处1分；3.灌木、草坪、花卉内杂草需及时拔除，未拔每10㎡扣0.2分。4.出现菟丝子需及时拔出，未做每点扣0.5分，禁止药物防治。</w:t>
            </w:r>
          </w:p>
        </w:tc>
        <w:tc>
          <w:tcPr>
            <w:tcW w:w="668" w:type="dxa"/>
            <w:tcBorders>
              <w:top w:val="single" w:color="000000" w:sz="4" w:space="0"/>
              <w:left w:val="single" w:color="000000" w:sz="4" w:space="0"/>
              <w:bottom w:val="single" w:color="000000" w:sz="4" w:space="0"/>
              <w:right w:val="single" w:color="000000" w:sz="4" w:space="0"/>
            </w:tcBorders>
            <w:noWrap w:val="0"/>
            <w:vAlign w:val="center"/>
          </w:tcPr>
          <w:p w14:paraId="7ED04AC8">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0" w:firstLineChars="0"/>
              <w:textAlignment w:val="auto"/>
              <w:rPr>
                <w:rFonts w:hint="default"/>
                <w:sz w:val="24"/>
                <w:szCs w:val="24"/>
                <w:highlight w:val="none"/>
                <w:lang w:val="en-US" w:eastAsia="zh-CN"/>
              </w:rPr>
            </w:pPr>
          </w:p>
        </w:tc>
      </w:tr>
      <w:tr w14:paraId="5BAD5C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jc w:val="center"/>
        </w:trPr>
        <w:tc>
          <w:tcPr>
            <w:tcW w:w="648" w:type="dxa"/>
            <w:tcBorders>
              <w:top w:val="single" w:color="000000" w:sz="4" w:space="0"/>
              <w:left w:val="single" w:color="000000" w:sz="4" w:space="0"/>
              <w:bottom w:val="single" w:color="000000" w:sz="4" w:space="0"/>
              <w:right w:val="single" w:color="000000" w:sz="4" w:space="0"/>
            </w:tcBorders>
            <w:noWrap w:val="0"/>
            <w:vAlign w:val="center"/>
          </w:tcPr>
          <w:p w14:paraId="33C86006">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0" w:firstLineChars="0"/>
              <w:jc w:val="center"/>
              <w:textAlignment w:val="auto"/>
              <w:rPr>
                <w:rFonts w:hint="default"/>
                <w:sz w:val="24"/>
                <w:szCs w:val="24"/>
                <w:highlight w:val="none"/>
                <w:lang w:val="en-US" w:eastAsia="zh-CN"/>
              </w:rPr>
            </w:pPr>
            <w:r>
              <w:rPr>
                <w:rFonts w:hint="default"/>
                <w:sz w:val="24"/>
                <w:szCs w:val="24"/>
                <w:highlight w:val="none"/>
                <w:lang w:val="en-US" w:eastAsia="zh-CN"/>
              </w:rPr>
              <w:t>8</w:t>
            </w:r>
          </w:p>
        </w:tc>
        <w:tc>
          <w:tcPr>
            <w:tcW w:w="684" w:type="dxa"/>
            <w:tcBorders>
              <w:top w:val="single" w:color="000000" w:sz="4" w:space="0"/>
              <w:left w:val="single" w:color="000000" w:sz="4" w:space="0"/>
              <w:bottom w:val="single" w:color="000000" w:sz="4" w:space="0"/>
              <w:right w:val="single" w:color="000000" w:sz="4" w:space="0"/>
            </w:tcBorders>
            <w:noWrap w:val="0"/>
            <w:vAlign w:val="center"/>
          </w:tcPr>
          <w:p w14:paraId="00F1281A">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0" w:firstLineChars="0"/>
              <w:jc w:val="center"/>
              <w:textAlignment w:val="auto"/>
              <w:rPr>
                <w:rFonts w:hint="default"/>
                <w:sz w:val="24"/>
                <w:szCs w:val="24"/>
                <w:highlight w:val="none"/>
                <w:lang w:val="en-US" w:eastAsia="zh-CN"/>
              </w:rPr>
            </w:pPr>
            <w:r>
              <w:rPr>
                <w:rFonts w:hint="default"/>
                <w:sz w:val="24"/>
                <w:szCs w:val="24"/>
                <w:highlight w:val="none"/>
                <w:lang w:val="en-US" w:eastAsia="zh-CN"/>
              </w:rPr>
              <w:t>草坪、花卉补植</w:t>
            </w:r>
          </w:p>
        </w:tc>
        <w:tc>
          <w:tcPr>
            <w:tcW w:w="633" w:type="dxa"/>
            <w:tcBorders>
              <w:top w:val="single" w:color="000000" w:sz="4" w:space="0"/>
              <w:left w:val="single" w:color="000000" w:sz="4" w:space="0"/>
              <w:bottom w:val="single" w:color="000000" w:sz="4" w:space="0"/>
              <w:right w:val="single" w:color="000000" w:sz="4" w:space="0"/>
            </w:tcBorders>
            <w:noWrap w:val="0"/>
            <w:vAlign w:val="center"/>
          </w:tcPr>
          <w:p w14:paraId="4B575C2D">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0" w:firstLineChars="0"/>
              <w:jc w:val="center"/>
              <w:textAlignment w:val="auto"/>
              <w:rPr>
                <w:rFonts w:hint="default"/>
                <w:sz w:val="24"/>
                <w:szCs w:val="24"/>
                <w:highlight w:val="none"/>
                <w:lang w:val="en-US" w:eastAsia="zh-CN"/>
              </w:rPr>
            </w:pPr>
            <w:r>
              <w:rPr>
                <w:rFonts w:hint="default"/>
                <w:sz w:val="24"/>
                <w:szCs w:val="24"/>
                <w:highlight w:val="none"/>
                <w:lang w:val="en-US" w:eastAsia="zh-CN"/>
              </w:rPr>
              <w:t>10</w:t>
            </w:r>
          </w:p>
        </w:tc>
        <w:tc>
          <w:tcPr>
            <w:tcW w:w="5985" w:type="dxa"/>
            <w:tcBorders>
              <w:top w:val="single" w:color="000000" w:sz="4" w:space="0"/>
              <w:left w:val="single" w:color="000000" w:sz="4" w:space="0"/>
              <w:bottom w:val="single" w:color="000000" w:sz="4" w:space="0"/>
              <w:right w:val="single" w:color="000000" w:sz="4" w:space="0"/>
            </w:tcBorders>
            <w:noWrap w:val="0"/>
            <w:vAlign w:val="center"/>
          </w:tcPr>
          <w:p w14:paraId="20C87A07">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0" w:firstLineChars="0"/>
              <w:jc w:val="both"/>
              <w:textAlignment w:val="auto"/>
              <w:rPr>
                <w:rFonts w:hint="default"/>
                <w:sz w:val="24"/>
                <w:szCs w:val="24"/>
                <w:highlight w:val="none"/>
                <w:lang w:val="en-US" w:eastAsia="zh-CN"/>
              </w:rPr>
            </w:pPr>
            <w:r>
              <w:rPr>
                <w:rFonts w:hint="default"/>
                <w:sz w:val="24"/>
                <w:szCs w:val="24"/>
                <w:highlight w:val="none"/>
                <w:lang w:val="en-US" w:eastAsia="zh-CN"/>
              </w:rPr>
              <w:t>1.春季种植花卉，因踩踏等原因死亡的草坪，要及时补植，未补植的，每处扣0.5分，补植效果不明显的，每处扣0.2分；2.草坪、花卉因养护不善出现斑秃情况，每处扣0.2分。</w:t>
            </w:r>
          </w:p>
        </w:tc>
        <w:tc>
          <w:tcPr>
            <w:tcW w:w="668" w:type="dxa"/>
            <w:tcBorders>
              <w:top w:val="single" w:color="000000" w:sz="4" w:space="0"/>
              <w:left w:val="single" w:color="000000" w:sz="4" w:space="0"/>
              <w:bottom w:val="single" w:color="000000" w:sz="4" w:space="0"/>
              <w:right w:val="single" w:color="000000" w:sz="4" w:space="0"/>
            </w:tcBorders>
            <w:noWrap w:val="0"/>
            <w:vAlign w:val="center"/>
          </w:tcPr>
          <w:p w14:paraId="77F03446">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0" w:firstLineChars="0"/>
              <w:textAlignment w:val="auto"/>
              <w:rPr>
                <w:rFonts w:hint="default"/>
                <w:sz w:val="24"/>
                <w:szCs w:val="24"/>
                <w:highlight w:val="none"/>
                <w:lang w:val="en-US" w:eastAsia="zh-CN"/>
              </w:rPr>
            </w:pPr>
          </w:p>
        </w:tc>
      </w:tr>
      <w:tr w14:paraId="4023FF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jc w:val="center"/>
        </w:trPr>
        <w:tc>
          <w:tcPr>
            <w:tcW w:w="648" w:type="dxa"/>
            <w:tcBorders>
              <w:top w:val="single" w:color="000000" w:sz="4" w:space="0"/>
              <w:left w:val="single" w:color="000000" w:sz="4" w:space="0"/>
              <w:bottom w:val="single" w:color="000000" w:sz="4" w:space="0"/>
              <w:right w:val="single" w:color="000000" w:sz="4" w:space="0"/>
            </w:tcBorders>
            <w:noWrap w:val="0"/>
            <w:vAlign w:val="center"/>
          </w:tcPr>
          <w:p w14:paraId="7FF467F6">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0" w:firstLineChars="0"/>
              <w:jc w:val="center"/>
              <w:textAlignment w:val="auto"/>
              <w:rPr>
                <w:rFonts w:hint="default"/>
                <w:sz w:val="24"/>
                <w:szCs w:val="24"/>
                <w:highlight w:val="none"/>
                <w:lang w:val="en-US" w:eastAsia="zh-CN"/>
              </w:rPr>
            </w:pPr>
            <w:r>
              <w:rPr>
                <w:rFonts w:hint="default"/>
                <w:sz w:val="24"/>
                <w:szCs w:val="24"/>
                <w:highlight w:val="none"/>
                <w:lang w:val="en-US" w:eastAsia="zh-CN"/>
              </w:rPr>
              <w:t>9</w:t>
            </w:r>
          </w:p>
        </w:tc>
        <w:tc>
          <w:tcPr>
            <w:tcW w:w="684" w:type="dxa"/>
            <w:tcBorders>
              <w:top w:val="single" w:color="000000" w:sz="4" w:space="0"/>
              <w:left w:val="single" w:color="000000" w:sz="4" w:space="0"/>
              <w:bottom w:val="single" w:color="000000" w:sz="4" w:space="0"/>
              <w:right w:val="single" w:color="000000" w:sz="4" w:space="0"/>
            </w:tcBorders>
            <w:noWrap w:val="0"/>
            <w:vAlign w:val="center"/>
          </w:tcPr>
          <w:p w14:paraId="2E872F0B">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0" w:firstLineChars="0"/>
              <w:jc w:val="center"/>
              <w:textAlignment w:val="auto"/>
              <w:rPr>
                <w:rFonts w:hint="default"/>
                <w:sz w:val="24"/>
                <w:szCs w:val="24"/>
                <w:highlight w:val="none"/>
                <w:lang w:val="en-US" w:eastAsia="zh-CN"/>
              </w:rPr>
            </w:pPr>
            <w:r>
              <w:rPr>
                <w:rFonts w:hint="default"/>
                <w:sz w:val="24"/>
                <w:szCs w:val="24"/>
                <w:highlight w:val="none"/>
                <w:lang w:val="en-US" w:eastAsia="zh-CN"/>
              </w:rPr>
              <w:t>死苗</w:t>
            </w:r>
          </w:p>
          <w:p w14:paraId="26ECB711">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0" w:firstLineChars="0"/>
              <w:jc w:val="center"/>
              <w:textAlignment w:val="auto"/>
              <w:rPr>
                <w:rFonts w:hint="default"/>
                <w:sz w:val="24"/>
                <w:szCs w:val="24"/>
                <w:highlight w:val="none"/>
                <w:lang w:val="en-US" w:eastAsia="zh-CN"/>
              </w:rPr>
            </w:pPr>
            <w:r>
              <w:rPr>
                <w:rFonts w:hint="default"/>
                <w:sz w:val="24"/>
                <w:szCs w:val="24"/>
                <w:highlight w:val="none"/>
                <w:lang w:val="en-US" w:eastAsia="zh-CN"/>
              </w:rPr>
              <w:t>清理</w:t>
            </w:r>
          </w:p>
        </w:tc>
        <w:tc>
          <w:tcPr>
            <w:tcW w:w="633" w:type="dxa"/>
            <w:tcBorders>
              <w:top w:val="single" w:color="000000" w:sz="4" w:space="0"/>
              <w:left w:val="single" w:color="000000" w:sz="4" w:space="0"/>
              <w:bottom w:val="single" w:color="000000" w:sz="4" w:space="0"/>
              <w:right w:val="single" w:color="000000" w:sz="4" w:space="0"/>
            </w:tcBorders>
            <w:noWrap w:val="0"/>
            <w:vAlign w:val="center"/>
          </w:tcPr>
          <w:p w14:paraId="09133620">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0" w:firstLineChars="0"/>
              <w:jc w:val="center"/>
              <w:textAlignment w:val="auto"/>
              <w:rPr>
                <w:rFonts w:hint="default"/>
                <w:sz w:val="24"/>
                <w:szCs w:val="24"/>
                <w:highlight w:val="none"/>
                <w:lang w:val="en-US" w:eastAsia="zh-CN"/>
              </w:rPr>
            </w:pPr>
            <w:r>
              <w:rPr>
                <w:rFonts w:hint="default"/>
                <w:sz w:val="24"/>
                <w:szCs w:val="24"/>
                <w:highlight w:val="none"/>
                <w:lang w:val="en-US" w:eastAsia="zh-CN"/>
              </w:rPr>
              <w:t>5</w:t>
            </w:r>
          </w:p>
        </w:tc>
        <w:tc>
          <w:tcPr>
            <w:tcW w:w="5985" w:type="dxa"/>
            <w:tcBorders>
              <w:top w:val="single" w:color="000000" w:sz="4" w:space="0"/>
              <w:left w:val="single" w:color="000000" w:sz="4" w:space="0"/>
              <w:bottom w:val="single" w:color="000000" w:sz="4" w:space="0"/>
              <w:right w:val="single" w:color="000000" w:sz="4" w:space="0"/>
            </w:tcBorders>
            <w:noWrap w:val="0"/>
            <w:vAlign w:val="center"/>
          </w:tcPr>
          <w:p w14:paraId="1C78A2EC">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0" w:firstLineChars="0"/>
              <w:jc w:val="both"/>
              <w:textAlignment w:val="auto"/>
              <w:rPr>
                <w:rFonts w:hint="default"/>
                <w:sz w:val="24"/>
                <w:szCs w:val="24"/>
                <w:highlight w:val="none"/>
                <w:lang w:val="en-US" w:eastAsia="zh-CN"/>
              </w:rPr>
            </w:pPr>
            <w:r>
              <w:rPr>
                <w:rFonts w:hint="default"/>
                <w:sz w:val="24"/>
                <w:szCs w:val="24"/>
                <w:highlight w:val="none"/>
                <w:lang w:val="en-US" w:eastAsia="zh-CN"/>
              </w:rPr>
              <w:t>1.灌木、亚乔木、乔木死苗如实向学校报备，学校派人核实后，及时清理，未报备私自清理的，每株扣0.5分，报备后未及时清理的扣0.2分；2.下发整改通知未及时响应清理的，扣0.3分。</w:t>
            </w:r>
          </w:p>
        </w:tc>
        <w:tc>
          <w:tcPr>
            <w:tcW w:w="668" w:type="dxa"/>
            <w:tcBorders>
              <w:top w:val="single" w:color="000000" w:sz="4" w:space="0"/>
              <w:left w:val="single" w:color="000000" w:sz="4" w:space="0"/>
              <w:bottom w:val="single" w:color="000000" w:sz="4" w:space="0"/>
              <w:right w:val="single" w:color="000000" w:sz="4" w:space="0"/>
            </w:tcBorders>
            <w:noWrap w:val="0"/>
            <w:vAlign w:val="center"/>
          </w:tcPr>
          <w:p w14:paraId="13E5058D">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0" w:firstLineChars="0"/>
              <w:textAlignment w:val="auto"/>
              <w:rPr>
                <w:rFonts w:hint="default"/>
                <w:sz w:val="24"/>
                <w:szCs w:val="24"/>
                <w:highlight w:val="none"/>
                <w:lang w:val="en-US" w:eastAsia="zh-CN"/>
              </w:rPr>
            </w:pPr>
          </w:p>
        </w:tc>
      </w:tr>
      <w:tr w14:paraId="0B4F94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28" w:hRule="atLeast"/>
          <w:jc w:val="center"/>
        </w:trPr>
        <w:tc>
          <w:tcPr>
            <w:tcW w:w="648" w:type="dxa"/>
            <w:tcBorders>
              <w:top w:val="single" w:color="000000" w:sz="4" w:space="0"/>
              <w:left w:val="single" w:color="000000" w:sz="4" w:space="0"/>
              <w:bottom w:val="single" w:color="000000" w:sz="4" w:space="0"/>
              <w:right w:val="single" w:color="000000" w:sz="4" w:space="0"/>
            </w:tcBorders>
            <w:noWrap w:val="0"/>
            <w:vAlign w:val="center"/>
          </w:tcPr>
          <w:p w14:paraId="42248426">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0" w:firstLineChars="0"/>
              <w:jc w:val="center"/>
              <w:textAlignment w:val="auto"/>
              <w:rPr>
                <w:rFonts w:hint="default"/>
                <w:sz w:val="24"/>
                <w:szCs w:val="24"/>
                <w:highlight w:val="none"/>
                <w:lang w:val="en-US" w:eastAsia="zh-CN"/>
              </w:rPr>
            </w:pPr>
            <w:r>
              <w:rPr>
                <w:rFonts w:hint="default"/>
                <w:sz w:val="24"/>
                <w:szCs w:val="24"/>
                <w:highlight w:val="none"/>
                <w:lang w:val="en-US" w:eastAsia="zh-CN"/>
              </w:rPr>
              <w:t>10</w:t>
            </w:r>
          </w:p>
        </w:tc>
        <w:tc>
          <w:tcPr>
            <w:tcW w:w="684" w:type="dxa"/>
            <w:tcBorders>
              <w:top w:val="single" w:color="000000" w:sz="4" w:space="0"/>
              <w:left w:val="single" w:color="000000" w:sz="4" w:space="0"/>
              <w:bottom w:val="single" w:color="000000" w:sz="4" w:space="0"/>
              <w:right w:val="single" w:color="000000" w:sz="4" w:space="0"/>
            </w:tcBorders>
            <w:noWrap w:val="0"/>
            <w:vAlign w:val="center"/>
          </w:tcPr>
          <w:p w14:paraId="6767E501">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0" w:firstLineChars="0"/>
              <w:jc w:val="center"/>
              <w:textAlignment w:val="auto"/>
              <w:rPr>
                <w:rFonts w:hint="default"/>
                <w:sz w:val="24"/>
                <w:szCs w:val="24"/>
                <w:highlight w:val="none"/>
                <w:lang w:val="en-US" w:eastAsia="zh-CN"/>
              </w:rPr>
            </w:pPr>
            <w:r>
              <w:rPr>
                <w:rFonts w:hint="default"/>
                <w:sz w:val="24"/>
                <w:szCs w:val="24"/>
                <w:highlight w:val="none"/>
                <w:lang w:val="en-US" w:eastAsia="zh-CN"/>
              </w:rPr>
              <w:t>维修</w:t>
            </w:r>
          </w:p>
          <w:p w14:paraId="76C34DFC">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0" w:firstLineChars="0"/>
              <w:jc w:val="center"/>
              <w:textAlignment w:val="auto"/>
              <w:rPr>
                <w:rFonts w:hint="default"/>
                <w:sz w:val="24"/>
                <w:szCs w:val="24"/>
                <w:highlight w:val="none"/>
                <w:lang w:val="en-US" w:eastAsia="zh-CN"/>
              </w:rPr>
            </w:pPr>
            <w:r>
              <w:rPr>
                <w:rFonts w:hint="default"/>
                <w:sz w:val="24"/>
                <w:szCs w:val="24"/>
                <w:highlight w:val="none"/>
                <w:lang w:val="en-US" w:eastAsia="zh-CN"/>
              </w:rPr>
              <w:t>工作</w:t>
            </w:r>
          </w:p>
        </w:tc>
        <w:tc>
          <w:tcPr>
            <w:tcW w:w="633" w:type="dxa"/>
            <w:tcBorders>
              <w:top w:val="single" w:color="000000" w:sz="4" w:space="0"/>
              <w:left w:val="single" w:color="000000" w:sz="4" w:space="0"/>
              <w:bottom w:val="single" w:color="000000" w:sz="4" w:space="0"/>
              <w:right w:val="single" w:color="000000" w:sz="4" w:space="0"/>
            </w:tcBorders>
            <w:noWrap w:val="0"/>
            <w:vAlign w:val="center"/>
          </w:tcPr>
          <w:p w14:paraId="5B005F17">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0" w:firstLineChars="0"/>
              <w:jc w:val="center"/>
              <w:textAlignment w:val="auto"/>
              <w:rPr>
                <w:rFonts w:hint="default"/>
                <w:sz w:val="24"/>
                <w:szCs w:val="24"/>
                <w:highlight w:val="none"/>
                <w:lang w:val="en-US" w:eastAsia="zh-CN"/>
              </w:rPr>
            </w:pPr>
            <w:r>
              <w:rPr>
                <w:rFonts w:hint="default"/>
                <w:sz w:val="24"/>
                <w:szCs w:val="24"/>
                <w:highlight w:val="none"/>
                <w:lang w:val="en-US" w:eastAsia="zh-CN"/>
              </w:rPr>
              <w:t>5</w:t>
            </w:r>
          </w:p>
        </w:tc>
        <w:tc>
          <w:tcPr>
            <w:tcW w:w="5985" w:type="dxa"/>
            <w:tcBorders>
              <w:top w:val="single" w:color="000000" w:sz="4" w:space="0"/>
              <w:left w:val="single" w:color="000000" w:sz="4" w:space="0"/>
              <w:bottom w:val="single" w:color="000000" w:sz="4" w:space="0"/>
              <w:right w:val="single" w:color="000000" w:sz="4" w:space="0"/>
            </w:tcBorders>
            <w:noWrap w:val="0"/>
            <w:vAlign w:val="center"/>
          </w:tcPr>
          <w:p w14:paraId="4E78949F">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0" w:firstLineChars="0"/>
              <w:jc w:val="both"/>
              <w:textAlignment w:val="auto"/>
              <w:rPr>
                <w:rFonts w:hint="default"/>
                <w:sz w:val="24"/>
                <w:szCs w:val="24"/>
                <w:highlight w:val="none"/>
                <w:lang w:val="en-US" w:eastAsia="zh-CN"/>
              </w:rPr>
            </w:pPr>
            <w:r>
              <w:rPr>
                <w:rFonts w:hint="default"/>
                <w:sz w:val="24"/>
                <w:szCs w:val="24"/>
                <w:highlight w:val="none"/>
                <w:lang w:val="en-US" w:eastAsia="zh-CN"/>
              </w:rPr>
              <w:t>1.管网抢修工作不过夜，用最短时间完成，出现长时间不维修，每拖延一日月总分扣0.5分；2.机械、设备及时修理，未及时修理，影响工作进度每次扣0.5分；3.绿化苗木铭牌、宣传牌扶正、清理工作，每发现倒伏、损坏每一处扣0.1分。</w:t>
            </w:r>
          </w:p>
        </w:tc>
        <w:tc>
          <w:tcPr>
            <w:tcW w:w="668" w:type="dxa"/>
            <w:tcBorders>
              <w:top w:val="single" w:color="000000" w:sz="4" w:space="0"/>
              <w:left w:val="single" w:color="000000" w:sz="4" w:space="0"/>
              <w:bottom w:val="single" w:color="000000" w:sz="4" w:space="0"/>
              <w:right w:val="single" w:color="000000" w:sz="4" w:space="0"/>
            </w:tcBorders>
            <w:noWrap w:val="0"/>
            <w:vAlign w:val="center"/>
          </w:tcPr>
          <w:p w14:paraId="748D9ADF">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0" w:firstLineChars="0"/>
              <w:textAlignment w:val="auto"/>
              <w:rPr>
                <w:rFonts w:hint="default"/>
                <w:sz w:val="24"/>
                <w:szCs w:val="24"/>
                <w:highlight w:val="none"/>
                <w:lang w:val="en-US" w:eastAsia="zh-CN"/>
              </w:rPr>
            </w:pPr>
          </w:p>
        </w:tc>
      </w:tr>
      <w:tr w14:paraId="3C36BF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jc w:val="center"/>
        </w:trPr>
        <w:tc>
          <w:tcPr>
            <w:tcW w:w="648" w:type="dxa"/>
            <w:tcBorders>
              <w:top w:val="single" w:color="000000" w:sz="4" w:space="0"/>
              <w:left w:val="single" w:color="000000" w:sz="4" w:space="0"/>
              <w:bottom w:val="single" w:color="000000" w:sz="4" w:space="0"/>
              <w:right w:val="single" w:color="000000" w:sz="4" w:space="0"/>
            </w:tcBorders>
            <w:noWrap w:val="0"/>
            <w:vAlign w:val="center"/>
          </w:tcPr>
          <w:p w14:paraId="5D721CCF">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0" w:firstLineChars="0"/>
              <w:jc w:val="center"/>
              <w:textAlignment w:val="auto"/>
              <w:rPr>
                <w:rFonts w:hint="default"/>
                <w:sz w:val="24"/>
                <w:szCs w:val="24"/>
                <w:highlight w:val="none"/>
                <w:lang w:val="en-US" w:eastAsia="zh-CN"/>
              </w:rPr>
            </w:pPr>
            <w:r>
              <w:rPr>
                <w:rFonts w:hint="default"/>
                <w:sz w:val="24"/>
                <w:szCs w:val="24"/>
                <w:highlight w:val="none"/>
                <w:lang w:val="en-US" w:eastAsia="zh-CN"/>
              </w:rPr>
              <w:t>11</w:t>
            </w:r>
          </w:p>
        </w:tc>
        <w:tc>
          <w:tcPr>
            <w:tcW w:w="684" w:type="dxa"/>
            <w:tcBorders>
              <w:top w:val="single" w:color="000000" w:sz="4" w:space="0"/>
              <w:left w:val="single" w:color="000000" w:sz="4" w:space="0"/>
              <w:bottom w:val="single" w:color="000000" w:sz="4" w:space="0"/>
              <w:right w:val="single" w:color="000000" w:sz="4" w:space="0"/>
            </w:tcBorders>
            <w:noWrap w:val="0"/>
            <w:vAlign w:val="center"/>
          </w:tcPr>
          <w:p w14:paraId="5D535F04">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0" w:firstLineChars="0"/>
              <w:jc w:val="center"/>
              <w:textAlignment w:val="auto"/>
              <w:rPr>
                <w:rFonts w:hint="default"/>
                <w:sz w:val="24"/>
                <w:szCs w:val="24"/>
                <w:highlight w:val="none"/>
                <w:lang w:val="en-US" w:eastAsia="zh-CN"/>
              </w:rPr>
            </w:pPr>
            <w:r>
              <w:rPr>
                <w:rFonts w:hint="default"/>
                <w:sz w:val="24"/>
                <w:szCs w:val="24"/>
                <w:highlight w:val="none"/>
                <w:lang w:val="en-US" w:eastAsia="zh-CN"/>
              </w:rPr>
              <w:t>其他</w:t>
            </w:r>
          </w:p>
          <w:p w14:paraId="046C52B8">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0" w:firstLineChars="0"/>
              <w:jc w:val="center"/>
              <w:textAlignment w:val="auto"/>
              <w:rPr>
                <w:rFonts w:hint="default"/>
                <w:sz w:val="24"/>
                <w:szCs w:val="24"/>
                <w:highlight w:val="none"/>
                <w:lang w:val="en-US" w:eastAsia="zh-CN"/>
              </w:rPr>
            </w:pPr>
            <w:r>
              <w:rPr>
                <w:rFonts w:hint="default"/>
                <w:sz w:val="24"/>
                <w:szCs w:val="24"/>
                <w:highlight w:val="none"/>
                <w:lang w:val="en-US" w:eastAsia="zh-CN"/>
              </w:rPr>
              <w:t>工作</w:t>
            </w:r>
          </w:p>
        </w:tc>
        <w:tc>
          <w:tcPr>
            <w:tcW w:w="633" w:type="dxa"/>
            <w:tcBorders>
              <w:top w:val="single" w:color="000000" w:sz="4" w:space="0"/>
              <w:left w:val="single" w:color="000000" w:sz="4" w:space="0"/>
              <w:bottom w:val="single" w:color="000000" w:sz="4" w:space="0"/>
              <w:right w:val="single" w:color="000000" w:sz="4" w:space="0"/>
            </w:tcBorders>
            <w:noWrap w:val="0"/>
            <w:vAlign w:val="center"/>
          </w:tcPr>
          <w:p w14:paraId="3C2F1EBF">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0" w:firstLineChars="0"/>
              <w:jc w:val="center"/>
              <w:textAlignment w:val="auto"/>
              <w:rPr>
                <w:rFonts w:hint="default"/>
                <w:sz w:val="24"/>
                <w:szCs w:val="24"/>
                <w:highlight w:val="none"/>
                <w:lang w:val="en-US" w:eastAsia="zh-CN"/>
              </w:rPr>
            </w:pPr>
            <w:r>
              <w:rPr>
                <w:rFonts w:hint="default"/>
                <w:sz w:val="24"/>
                <w:szCs w:val="24"/>
                <w:highlight w:val="none"/>
                <w:lang w:val="en-US" w:eastAsia="zh-CN"/>
              </w:rPr>
              <w:t>10</w:t>
            </w:r>
          </w:p>
        </w:tc>
        <w:tc>
          <w:tcPr>
            <w:tcW w:w="5985" w:type="dxa"/>
            <w:tcBorders>
              <w:top w:val="single" w:color="000000" w:sz="4" w:space="0"/>
              <w:left w:val="single" w:color="000000" w:sz="4" w:space="0"/>
              <w:bottom w:val="single" w:color="000000" w:sz="4" w:space="0"/>
              <w:right w:val="single" w:color="000000" w:sz="4" w:space="0"/>
            </w:tcBorders>
            <w:noWrap w:val="0"/>
            <w:vAlign w:val="center"/>
          </w:tcPr>
          <w:p w14:paraId="22BB04B1">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0" w:firstLineChars="0"/>
              <w:jc w:val="both"/>
              <w:textAlignment w:val="auto"/>
              <w:rPr>
                <w:rFonts w:hint="default"/>
                <w:sz w:val="24"/>
                <w:szCs w:val="24"/>
                <w:highlight w:val="none"/>
                <w:lang w:val="en-US" w:eastAsia="zh-CN"/>
              </w:rPr>
            </w:pPr>
            <w:r>
              <w:rPr>
                <w:rFonts w:hint="default"/>
                <w:sz w:val="24"/>
                <w:szCs w:val="24"/>
                <w:highlight w:val="none"/>
                <w:lang w:val="en-US" w:eastAsia="zh-CN"/>
              </w:rPr>
              <w:t>1.完成学校交付的重要事情，出现不配合，不服从，每次扣除0.5分；2.学校下发整改通知书，未限期整改的，每次扣除0.5分，从始至终未整改的，一个问题扣除1分。3.其他学校需要其配合地完成的工作，未办结的，一项扣0.5分。</w:t>
            </w:r>
          </w:p>
        </w:tc>
        <w:tc>
          <w:tcPr>
            <w:tcW w:w="668" w:type="dxa"/>
            <w:tcBorders>
              <w:top w:val="single" w:color="000000" w:sz="4" w:space="0"/>
              <w:left w:val="single" w:color="000000" w:sz="4" w:space="0"/>
              <w:bottom w:val="single" w:color="000000" w:sz="4" w:space="0"/>
              <w:right w:val="single" w:color="000000" w:sz="4" w:space="0"/>
            </w:tcBorders>
            <w:noWrap w:val="0"/>
            <w:vAlign w:val="center"/>
          </w:tcPr>
          <w:p w14:paraId="76C44EFB">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0" w:firstLineChars="0"/>
              <w:textAlignment w:val="auto"/>
              <w:rPr>
                <w:rFonts w:hint="default"/>
                <w:sz w:val="24"/>
                <w:szCs w:val="24"/>
                <w:highlight w:val="none"/>
                <w:lang w:val="en-US" w:eastAsia="zh-CN"/>
              </w:rPr>
            </w:pPr>
          </w:p>
        </w:tc>
      </w:tr>
      <w:tr w14:paraId="6D7086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1965" w:type="dxa"/>
            <w:gridSpan w:val="3"/>
            <w:tcBorders>
              <w:top w:val="single" w:color="000000" w:sz="4" w:space="0"/>
              <w:left w:val="single" w:color="000000" w:sz="4" w:space="0"/>
              <w:bottom w:val="single" w:color="000000" w:sz="4" w:space="0"/>
              <w:right w:val="single" w:color="000000" w:sz="4" w:space="0"/>
            </w:tcBorders>
            <w:noWrap w:val="0"/>
            <w:vAlign w:val="center"/>
          </w:tcPr>
          <w:p w14:paraId="0502F35B">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0" w:firstLineChars="0"/>
              <w:jc w:val="center"/>
              <w:textAlignment w:val="auto"/>
              <w:rPr>
                <w:rFonts w:hint="default"/>
                <w:sz w:val="24"/>
                <w:szCs w:val="24"/>
                <w:highlight w:val="none"/>
                <w:lang w:val="en-US" w:eastAsia="zh-CN"/>
              </w:rPr>
            </w:pPr>
            <w:r>
              <w:rPr>
                <w:rFonts w:hint="default"/>
                <w:sz w:val="24"/>
                <w:szCs w:val="24"/>
                <w:highlight w:val="none"/>
                <w:lang w:val="en-US" w:eastAsia="zh-CN"/>
              </w:rPr>
              <w:t>得分</w:t>
            </w:r>
          </w:p>
        </w:tc>
        <w:tc>
          <w:tcPr>
            <w:tcW w:w="5985" w:type="dxa"/>
            <w:tcBorders>
              <w:top w:val="single" w:color="000000" w:sz="4" w:space="0"/>
              <w:left w:val="single" w:color="000000" w:sz="4" w:space="0"/>
              <w:bottom w:val="single" w:color="000000" w:sz="4" w:space="0"/>
              <w:right w:val="single" w:color="000000" w:sz="4" w:space="0"/>
            </w:tcBorders>
            <w:noWrap w:val="0"/>
            <w:vAlign w:val="center"/>
          </w:tcPr>
          <w:p w14:paraId="4533069B">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0" w:firstLineChars="0"/>
              <w:jc w:val="both"/>
              <w:textAlignment w:val="auto"/>
              <w:rPr>
                <w:rFonts w:hint="default"/>
                <w:sz w:val="24"/>
                <w:szCs w:val="24"/>
                <w:highlight w:val="none"/>
                <w:lang w:val="en-US" w:eastAsia="zh-CN"/>
              </w:rPr>
            </w:pPr>
            <w:r>
              <w:rPr>
                <w:rFonts w:hint="default"/>
                <w:sz w:val="24"/>
                <w:szCs w:val="24"/>
                <w:highlight w:val="none"/>
                <w:lang w:val="en-US" w:eastAsia="zh-CN"/>
              </w:rPr>
              <w:t>总得分=100-总扣分=</w:t>
            </w:r>
          </w:p>
        </w:tc>
        <w:tc>
          <w:tcPr>
            <w:tcW w:w="668" w:type="dxa"/>
            <w:tcBorders>
              <w:top w:val="single" w:color="000000" w:sz="4" w:space="0"/>
              <w:left w:val="single" w:color="000000" w:sz="4" w:space="0"/>
              <w:bottom w:val="single" w:color="000000" w:sz="4" w:space="0"/>
              <w:right w:val="single" w:color="000000" w:sz="4" w:space="0"/>
            </w:tcBorders>
            <w:noWrap w:val="0"/>
            <w:vAlign w:val="center"/>
          </w:tcPr>
          <w:p w14:paraId="379E039D">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0" w:firstLineChars="0"/>
              <w:textAlignment w:val="auto"/>
              <w:rPr>
                <w:rFonts w:hint="default"/>
                <w:sz w:val="24"/>
                <w:szCs w:val="24"/>
                <w:highlight w:val="none"/>
                <w:lang w:val="en-US" w:eastAsia="zh-CN"/>
              </w:rPr>
            </w:pPr>
          </w:p>
        </w:tc>
      </w:tr>
      <w:tr w14:paraId="4715D6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1965" w:type="dxa"/>
            <w:gridSpan w:val="3"/>
            <w:tcBorders>
              <w:top w:val="single" w:color="000000" w:sz="4" w:space="0"/>
              <w:left w:val="single" w:color="000000" w:sz="4" w:space="0"/>
              <w:bottom w:val="single" w:color="000000" w:sz="4" w:space="0"/>
              <w:right w:val="single" w:color="000000" w:sz="4" w:space="0"/>
            </w:tcBorders>
            <w:noWrap w:val="0"/>
            <w:vAlign w:val="center"/>
          </w:tcPr>
          <w:p w14:paraId="72D7C397">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0" w:firstLineChars="0"/>
              <w:jc w:val="center"/>
              <w:textAlignment w:val="auto"/>
              <w:rPr>
                <w:rFonts w:hint="default"/>
                <w:sz w:val="24"/>
                <w:szCs w:val="24"/>
                <w:highlight w:val="none"/>
                <w:lang w:val="en-US" w:eastAsia="zh-CN"/>
              </w:rPr>
            </w:pPr>
            <w:r>
              <w:rPr>
                <w:rFonts w:hint="default"/>
                <w:sz w:val="24"/>
                <w:szCs w:val="24"/>
                <w:highlight w:val="none"/>
                <w:lang w:val="en-US" w:eastAsia="zh-CN"/>
              </w:rPr>
              <w:t>考核结果</w:t>
            </w:r>
          </w:p>
        </w:tc>
        <w:tc>
          <w:tcPr>
            <w:tcW w:w="5985" w:type="dxa"/>
            <w:tcBorders>
              <w:top w:val="single" w:color="000000" w:sz="4" w:space="0"/>
              <w:left w:val="single" w:color="000000" w:sz="4" w:space="0"/>
              <w:bottom w:val="single" w:color="000000" w:sz="4" w:space="0"/>
              <w:right w:val="single" w:color="000000" w:sz="4" w:space="0"/>
            </w:tcBorders>
            <w:noWrap w:val="0"/>
            <w:vAlign w:val="center"/>
          </w:tcPr>
          <w:p w14:paraId="1395668E">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0" w:firstLineChars="0"/>
              <w:jc w:val="both"/>
              <w:textAlignment w:val="auto"/>
              <w:rPr>
                <w:rFonts w:hint="default"/>
                <w:sz w:val="24"/>
                <w:szCs w:val="24"/>
                <w:highlight w:val="none"/>
                <w:lang w:val="en-US" w:eastAsia="zh-CN"/>
              </w:rPr>
            </w:pPr>
            <w:r>
              <w:rPr>
                <w:rFonts w:hint="default"/>
                <w:sz w:val="24"/>
                <w:szCs w:val="24"/>
                <w:highlight w:val="none"/>
                <w:lang w:val="en-US" w:eastAsia="zh-CN"/>
              </w:rPr>
              <w:t>按月考核，共计考核7次。</w:t>
            </w:r>
          </w:p>
          <w:p w14:paraId="427BB101">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0" w:firstLineChars="0"/>
              <w:jc w:val="both"/>
              <w:textAlignment w:val="auto"/>
              <w:rPr>
                <w:rFonts w:hint="default"/>
                <w:sz w:val="24"/>
                <w:szCs w:val="24"/>
                <w:highlight w:val="none"/>
                <w:lang w:val="en-US" w:eastAsia="zh-CN"/>
              </w:rPr>
            </w:pPr>
            <w:r>
              <w:rPr>
                <w:rFonts w:hint="default"/>
                <w:sz w:val="24"/>
                <w:szCs w:val="24"/>
                <w:highlight w:val="none"/>
                <w:lang w:val="en-US" w:eastAsia="zh-CN"/>
              </w:rPr>
              <w:t>考核总分≥95分，当月合格；</w:t>
            </w:r>
          </w:p>
          <w:p w14:paraId="2F7F73FD">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0" w:firstLineChars="0"/>
              <w:jc w:val="both"/>
              <w:textAlignment w:val="auto"/>
              <w:rPr>
                <w:rFonts w:hint="default"/>
                <w:sz w:val="24"/>
                <w:szCs w:val="24"/>
                <w:highlight w:val="none"/>
                <w:lang w:val="en-US" w:eastAsia="zh-CN"/>
              </w:rPr>
            </w:pPr>
            <w:bookmarkStart w:id="133" w:name="OLE_LINK5"/>
            <w:r>
              <w:rPr>
                <w:rFonts w:hint="default"/>
                <w:sz w:val="24"/>
                <w:szCs w:val="24"/>
                <w:highlight w:val="none"/>
                <w:lang w:val="en-US" w:eastAsia="zh-CN"/>
              </w:rPr>
              <w:t>85分</w:t>
            </w:r>
            <w:bookmarkStart w:id="134" w:name="OLE_LINK6"/>
            <w:r>
              <w:rPr>
                <w:rFonts w:hint="default"/>
                <w:sz w:val="24"/>
                <w:szCs w:val="24"/>
                <w:highlight w:val="none"/>
                <w:lang w:val="en-US" w:eastAsia="zh-CN"/>
              </w:rPr>
              <w:t>≤</w:t>
            </w:r>
            <w:bookmarkEnd w:id="134"/>
            <w:r>
              <w:rPr>
                <w:rFonts w:hint="default"/>
                <w:sz w:val="24"/>
                <w:szCs w:val="24"/>
                <w:highlight w:val="none"/>
                <w:lang w:val="en-US" w:eastAsia="zh-CN"/>
              </w:rPr>
              <w:t>考核总分＜95分，当月扣款合同款5000元；</w:t>
            </w:r>
          </w:p>
          <w:bookmarkEnd w:id="133"/>
          <w:p w14:paraId="7A669DC5">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0" w:firstLineChars="0"/>
              <w:jc w:val="both"/>
              <w:textAlignment w:val="auto"/>
              <w:rPr>
                <w:rFonts w:hint="default"/>
                <w:sz w:val="24"/>
                <w:szCs w:val="24"/>
                <w:highlight w:val="none"/>
                <w:lang w:val="en-US" w:eastAsia="zh-CN"/>
              </w:rPr>
            </w:pPr>
            <w:bookmarkStart w:id="135" w:name="OLE_LINK7"/>
            <w:r>
              <w:rPr>
                <w:rFonts w:hint="default"/>
                <w:sz w:val="24"/>
                <w:szCs w:val="24"/>
                <w:highlight w:val="none"/>
                <w:lang w:val="en-US" w:eastAsia="zh-CN"/>
              </w:rPr>
              <w:t>75分≤考核总分</w:t>
            </w:r>
            <w:bookmarkStart w:id="136" w:name="OLE_LINK8"/>
            <w:r>
              <w:rPr>
                <w:rFonts w:hint="default"/>
                <w:sz w:val="24"/>
                <w:szCs w:val="24"/>
                <w:highlight w:val="none"/>
                <w:lang w:val="en-US" w:eastAsia="zh-CN"/>
              </w:rPr>
              <w:t>＜</w:t>
            </w:r>
            <w:bookmarkEnd w:id="136"/>
            <w:r>
              <w:rPr>
                <w:rFonts w:hint="default"/>
                <w:sz w:val="24"/>
                <w:szCs w:val="24"/>
                <w:highlight w:val="none"/>
                <w:lang w:val="en-US" w:eastAsia="zh-CN"/>
              </w:rPr>
              <w:t>85分，当月扣款10000元；</w:t>
            </w:r>
          </w:p>
          <w:bookmarkEnd w:id="135"/>
          <w:p w14:paraId="7D3D5104">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0" w:firstLineChars="0"/>
              <w:jc w:val="both"/>
              <w:textAlignment w:val="auto"/>
              <w:rPr>
                <w:rFonts w:hint="default"/>
                <w:sz w:val="24"/>
                <w:szCs w:val="24"/>
                <w:highlight w:val="none"/>
                <w:lang w:val="en-US" w:eastAsia="zh-CN"/>
              </w:rPr>
            </w:pPr>
            <w:bookmarkStart w:id="137" w:name="OLE_LINK9"/>
            <w:r>
              <w:rPr>
                <w:rFonts w:hint="default"/>
                <w:sz w:val="24"/>
                <w:szCs w:val="24"/>
                <w:highlight w:val="none"/>
                <w:lang w:val="en-US" w:eastAsia="zh-CN"/>
              </w:rPr>
              <w:t>考核总分＜75分</w:t>
            </w:r>
            <w:bookmarkEnd w:id="137"/>
            <w:r>
              <w:rPr>
                <w:rFonts w:hint="default"/>
                <w:sz w:val="24"/>
                <w:szCs w:val="24"/>
                <w:highlight w:val="none"/>
                <w:lang w:val="en-US" w:eastAsia="zh-CN"/>
              </w:rPr>
              <w:t>，甲方有权扣除合同价款的10%，并由乙方赔偿所有损失。</w:t>
            </w:r>
          </w:p>
        </w:tc>
        <w:tc>
          <w:tcPr>
            <w:tcW w:w="668" w:type="dxa"/>
            <w:tcBorders>
              <w:top w:val="single" w:color="000000" w:sz="4" w:space="0"/>
              <w:left w:val="single" w:color="000000" w:sz="4" w:space="0"/>
              <w:bottom w:val="single" w:color="000000" w:sz="4" w:space="0"/>
              <w:right w:val="single" w:color="000000" w:sz="4" w:space="0"/>
            </w:tcBorders>
            <w:noWrap w:val="0"/>
            <w:vAlign w:val="center"/>
          </w:tcPr>
          <w:p w14:paraId="712A1E79">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0" w:firstLineChars="0"/>
              <w:textAlignment w:val="auto"/>
              <w:rPr>
                <w:rFonts w:hint="default"/>
                <w:sz w:val="24"/>
                <w:szCs w:val="24"/>
                <w:highlight w:val="none"/>
                <w:lang w:val="en-US" w:eastAsia="zh-CN"/>
              </w:rPr>
            </w:pPr>
          </w:p>
        </w:tc>
      </w:tr>
      <w:bookmarkEnd w:id="132"/>
    </w:tbl>
    <w:p w14:paraId="28AB31E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b/>
          <w:bCs/>
          <w:sz w:val="24"/>
          <w:szCs w:val="24"/>
          <w:highlight w:val="none"/>
          <w:lang w:val="en-US" w:eastAsia="zh-CN"/>
        </w:rPr>
      </w:pPr>
      <w:r>
        <w:rPr>
          <w:rFonts w:hint="eastAsia"/>
          <w:b/>
          <w:bCs/>
          <w:sz w:val="24"/>
          <w:szCs w:val="24"/>
          <w:highlight w:val="none"/>
          <w:lang w:val="en-US" w:eastAsia="zh-CN"/>
        </w:rPr>
        <w:t>六、付款方式</w:t>
      </w:r>
    </w:p>
    <w:p w14:paraId="0F133B1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default"/>
          <w:sz w:val="24"/>
          <w:szCs w:val="24"/>
          <w:highlight w:val="none"/>
          <w:lang w:val="en-US" w:eastAsia="zh-CN"/>
        </w:rPr>
      </w:pPr>
      <w:r>
        <w:rPr>
          <w:rFonts w:hint="default"/>
          <w:sz w:val="24"/>
          <w:szCs w:val="24"/>
          <w:highlight w:val="none"/>
          <w:lang w:val="en-US" w:eastAsia="zh-CN"/>
        </w:rPr>
        <w:t>按照时间周期进行付款，自合同签订并养护至3个月，期间符合甲方执行要求，支付合同款项的50%；待整体养护周期结束并验收合格后，支付合同款剩余部分。</w:t>
      </w:r>
    </w:p>
    <w:p w14:paraId="188072A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highlight w:val="none"/>
          <w:lang w:val="en-US" w:eastAsia="zh-CN"/>
        </w:rPr>
      </w:pPr>
    </w:p>
    <w:p w14:paraId="0ABFE488">
      <w:pPr>
        <w:ind w:firstLine="480" w:firstLineChars="200"/>
        <w:rPr>
          <w:rFonts w:ascii="宋体" w:hAnsi="宋体" w:cs="宋体"/>
          <w:bCs/>
          <w:kern w:val="0"/>
          <w:sz w:val="24"/>
          <w:szCs w:val="24"/>
          <w:highlight w:val="none"/>
        </w:rPr>
      </w:pPr>
      <w:r>
        <w:rPr>
          <w:rFonts w:hint="eastAsia" w:ascii="宋体" w:hAnsi="宋体" w:cs="宋体"/>
          <w:bCs/>
          <w:kern w:val="0"/>
          <w:sz w:val="24"/>
          <w:szCs w:val="24"/>
          <w:highlight w:val="none"/>
        </w:rPr>
        <w:br w:type="page"/>
      </w:r>
    </w:p>
    <w:p w14:paraId="51E6E338">
      <w:pPr>
        <w:pStyle w:val="10"/>
        <w:rPr>
          <w:rFonts w:hint="eastAsia" w:ascii="宋体" w:hAnsi="宋体" w:eastAsia="宋体" w:cs="宋体"/>
          <w:color w:val="auto"/>
          <w:highlight w:val="none"/>
        </w:rPr>
      </w:pPr>
    </w:p>
    <w:p w14:paraId="7383DB35">
      <w:pPr>
        <w:pStyle w:val="10"/>
        <w:rPr>
          <w:rFonts w:hint="eastAsia" w:ascii="宋体" w:hAnsi="宋体" w:eastAsia="宋体" w:cs="宋体"/>
          <w:color w:val="auto"/>
          <w:highlight w:val="none"/>
        </w:rPr>
      </w:pPr>
    </w:p>
    <w:p w14:paraId="5ECCD5B3">
      <w:pPr>
        <w:widowControl/>
        <w:numPr>
          <w:ilvl w:val="0"/>
          <w:numId w:val="5"/>
        </w:numPr>
        <w:suppressAutoHyphens w:val="0"/>
        <w:spacing w:line="480" w:lineRule="exact"/>
        <w:ind w:left="0" w:leftChars="0" w:firstLine="0" w:firstLineChars="0"/>
        <w:jc w:val="center"/>
        <w:outlineLvl w:val="0"/>
        <w:rPr>
          <w:rStyle w:val="39"/>
          <w:rFonts w:hint="eastAsia" w:ascii="宋体" w:hAnsi="宋体" w:eastAsia="宋体" w:cs="宋体"/>
          <w:color w:val="auto"/>
          <w:highlight w:val="none"/>
        </w:rPr>
      </w:pPr>
      <w:bookmarkStart w:id="138" w:name="_Toc27504"/>
      <w:r>
        <w:rPr>
          <w:rStyle w:val="39"/>
          <w:rFonts w:hint="eastAsia" w:ascii="宋体" w:hAnsi="宋体" w:eastAsia="宋体" w:cs="宋体"/>
          <w:color w:val="auto"/>
          <w:highlight w:val="none"/>
        </w:rPr>
        <w:t>合同条款</w:t>
      </w:r>
      <w:bookmarkEnd w:id="138"/>
    </w:p>
    <w:p w14:paraId="28A37123">
      <w:pPr>
        <w:tabs>
          <w:tab w:val="left" w:pos="5812"/>
          <w:tab w:val="left" w:pos="5954"/>
          <w:tab w:val="left" w:pos="6237"/>
        </w:tabs>
        <w:spacing w:line="520" w:lineRule="exact"/>
        <w:ind w:firstLine="5265"/>
        <w:jc w:val="center"/>
        <w:rPr>
          <w:rFonts w:hint="eastAsia" w:ascii="宋体" w:hAnsi="宋体" w:eastAsia="宋体" w:cs="宋体"/>
          <w:bCs/>
          <w:color w:val="auto"/>
          <w:highlight w:val="none"/>
          <w:lang w:val="en-US" w:eastAsia="zh-CN"/>
        </w:rPr>
      </w:pPr>
      <w:bookmarkStart w:id="139" w:name="_Toc28125"/>
      <w:r>
        <w:rPr>
          <w:rFonts w:hint="eastAsia" w:ascii="宋体" w:hAnsi="宋体" w:eastAsia="宋体" w:cs="宋体"/>
          <w:bCs/>
          <w:color w:val="auto"/>
          <w:highlight w:val="none"/>
        </w:rPr>
        <w:t xml:space="preserve"> </w:t>
      </w:r>
      <w:r>
        <w:rPr>
          <w:rFonts w:hint="eastAsia" w:ascii="宋体" w:hAnsi="宋体" w:eastAsia="宋体" w:cs="宋体"/>
          <w:bCs/>
          <w:color w:val="auto"/>
          <w:sz w:val="21"/>
          <w:szCs w:val="21"/>
          <w:highlight w:val="none"/>
        </w:rPr>
        <w:t>合同编号：</w:t>
      </w:r>
      <w:r>
        <w:rPr>
          <w:rFonts w:hint="eastAsia" w:ascii="宋体" w:hAnsi="宋体" w:eastAsia="宋体" w:cs="宋体"/>
          <w:bCs/>
          <w:color w:val="auto"/>
          <w:highlight w:val="none"/>
          <w:lang w:val="en-US" w:eastAsia="zh-CN"/>
        </w:rPr>
        <w:t xml:space="preserve">  </w:t>
      </w:r>
    </w:p>
    <w:p w14:paraId="1DDB7D94">
      <w:pPr>
        <w:spacing w:line="560" w:lineRule="exact"/>
        <w:jc w:val="center"/>
        <w:rPr>
          <w:rFonts w:hint="eastAsia" w:ascii="宋体" w:hAnsi="宋体" w:eastAsia="宋体" w:cs="宋体"/>
          <w:b/>
          <w:bCs/>
          <w:color w:val="auto"/>
          <w:sz w:val="22"/>
          <w:szCs w:val="22"/>
          <w:highlight w:val="none"/>
          <w:lang w:val="en-US" w:eastAsia="zh-CN"/>
        </w:rPr>
      </w:pPr>
      <w:r>
        <w:rPr>
          <w:rFonts w:hint="eastAsia" w:ascii="宋体" w:hAnsi="宋体" w:eastAsia="宋体" w:cs="宋体"/>
          <w:b/>
          <w:bCs/>
          <w:color w:val="auto"/>
          <w:sz w:val="22"/>
          <w:szCs w:val="22"/>
          <w:highlight w:val="none"/>
          <w:lang w:val="en-US" w:eastAsia="zh-CN"/>
        </w:rPr>
        <w:t>(此合同为模版，具体签订合同依照采购文件与响应文件，甲乙双方协商为准)</w:t>
      </w:r>
    </w:p>
    <w:p w14:paraId="6522DEFF">
      <w:pPr>
        <w:tabs>
          <w:tab w:val="left" w:pos="5812"/>
          <w:tab w:val="left" w:pos="5954"/>
          <w:tab w:val="left" w:pos="6237"/>
        </w:tabs>
        <w:spacing w:line="520" w:lineRule="exact"/>
        <w:ind w:firstLine="5265"/>
        <w:jc w:val="center"/>
        <w:rPr>
          <w:rFonts w:hint="eastAsia" w:ascii="宋体" w:hAnsi="宋体" w:eastAsia="宋体" w:cs="宋体"/>
          <w:bCs/>
          <w:color w:val="auto"/>
          <w:highlight w:val="none"/>
        </w:rPr>
      </w:pPr>
    </w:p>
    <w:p w14:paraId="0DAB059C">
      <w:pPr>
        <w:spacing w:line="560" w:lineRule="exact"/>
        <w:jc w:val="center"/>
        <w:rPr>
          <w:rFonts w:hint="eastAsia" w:ascii="宋体" w:hAnsi="宋体" w:eastAsia="宋体" w:cs="宋体"/>
          <w:b/>
          <w:bCs/>
          <w:color w:val="auto"/>
          <w:sz w:val="44"/>
          <w:szCs w:val="44"/>
          <w:highlight w:val="none"/>
          <w:lang w:val="en-US" w:eastAsia="zh-CN"/>
        </w:rPr>
      </w:pPr>
      <w:r>
        <w:rPr>
          <w:rFonts w:hint="eastAsia" w:ascii="宋体" w:hAnsi="宋体" w:eastAsia="宋体" w:cs="宋体"/>
          <w:b/>
          <w:bCs/>
          <w:color w:val="auto"/>
          <w:sz w:val="44"/>
          <w:szCs w:val="44"/>
          <w:highlight w:val="none"/>
          <w:lang w:val="en-US" w:eastAsia="zh-CN"/>
        </w:rPr>
        <w:t>新疆医科大学2025年雪莲山校区一期校园绿化养护服务项目合同书</w:t>
      </w:r>
    </w:p>
    <w:p w14:paraId="555054DB">
      <w:pPr>
        <w:spacing w:line="560" w:lineRule="exact"/>
        <w:jc w:val="left"/>
        <w:rPr>
          <w:rFonts w:hint="eastAsia" w:ascii="宋体" w:hAnsi="宋体" w:eastAsia="宋体" w:cs="宋体"/>
          <w:color w:val="FF0000"/>
          <w:sz w:val="30"/>
          <w:szCs w:val="30"/>
          <w:highlight w:val="none"/>
          <w:lang w:val="en-US" w:eastAsia="zh-CN"/>
        </w:rPr>
      </w:pPr>
    </w:p>
    <w:p w14:paraId="185C86E1">
      <w:pPr>
        <w:spacing w:line="560" w:lineRule="exact"/>
        <w:ind w:firstLine="1350" w:firstLineChars="450"/>
        <w:jc w:val="left"/>
        <w:rPr>
          <w:rFonts w:hint="eastAsia" w:ascii="宋体" w:hAnsi="宋体" w:eastAsia="宋体" w:cs="宋体"/>
          <w:color w:val="auto"/>
          <w:sz w:val="30"/>
          <w:szCs w:val="30"/>
          <w:highlight w:val="none"/>
        </w:rPr>
      </w:pPr>
    </w:p>
    <w:p w14:paraId="1EA80314">
      <w:pPr>
        <w:spacing w:line="560" w:lineRule="exact"/>
        <w:ind w:firstLine="1350" w:firstLineChars="450"/>
        <w:jc w:val="left"/>
        <w:rPr>
          <w:rFonts w:hint="eastAsia" w:ascii="宋体" w:hAnsi="宋体" w:eastAsia="宋体" w:cs="宋体"/>
          <w:color w:val="auto"/>
          <w:sz w:val="30"/>
          <w:szCs w:val="30"/>
          <w:highlight w:val="none"/>
        </w:rPr>
      </w:pPr>
    </w:p>
    <w:p w14:paraId="06D83508">
      <w:pPr>
        <w:spacing w:line="560" w:lineRule="exact"/>
        <w:ind w:firstLine="1350" w:firstLineChars="450"/>
        <w:jc w:val="left"/>
        <w:rPr>
          <w:rFonts w:hint="eastAsia" w:ascii="宋体" w:hAnsi="宋体" w:eastAsia="宋体" w:cs="宋体"/>
          <w:color w:val="auto"/>
          <w:sz w:val="30"/>
          <w:szCs w:val="30"/>
          <w:highlight w:val="none"/>
        </w:rPr>
      </w:pPr>
      <w:r>
        <w:rPr>
          <w:rFonts w:hint="eastAsia" w:ascii="宋体" w:hAnsi="宋体" w:eastAsia="宋体" w:cs="宋体"/>
          <w:color w:val="auto"/>
          <w:sz w:val="30"/>
          <w:szCs w:val="30"/>
          <w:highlight w:val="none"/>
          <w:lang w:val="en-US" w:eastAsia="zh-CN"/>
        </w:rPr>
        <w:t>委托</w:t>
      </w:r>
      <w:r>
        <w:rPr>
          <w:rFonts w:hint="eastAsia" w:ascii="宋体" w:hAnsi="宋体" w:eastAsia="宋体" w:cs="宋体"/>
          <w:color w:val="auto"/>
          <w:sz w:val="30"/>
          <w:szCs w:val="30"/>
          <w:highlight w:val="none"/>
        </w:rPr>
        <w:t>方：新疆医科大学</w:t>
      </w:r>
    </w:p>
    <w:p w14:paraId="0553650E">
      <w:pPr>
        <w:spacing w:line="560" w:lineRule="exact"/>
        <w:ind w:firstLine="1350" w:firstLineChars="450"/>
        <w:jc w:val="left"/>
        <w:rPr>
          <w:rFonts w:hint="eastAsia" w:ascii="宋体" w:hAnsi="宋体" w:eastAsia="宋体" w:cs="宋体"/>
          <w:color w:val="auto"/>
          <w:sz w:val="30"/>
          <w:szCs w:val="30"/>
          <w:highlight w:val="none"/>
        </w:rPr>
      </w:pPr>
    </w:p>
    <w:p w14:paraId="75A94F6F">
      <w:pPr>
        <w:spacing w:line="560" w:lineRule="exact"/>
        <w:ind w:firstLine="1350" w:firstLineChars="450"/>
        <w:jc w:val="left"/>
        <w:rPr>
          <w:rFonts w:hint="eastAsia" w:ascii="宋体" w:hAnsi="宋体" w:eastAsia="宋体" w:cs="宋体"/>
          <w:color w:val="auto"/>
          <w:sz w:val="30"/>
          <w:szCs w:val="30"/>
          <w:highlight w:val="none"/>
        </w:rPr>
      </w:pPr>
      <w:r>
        <w:rPr>
          <w:rFonts w:hint="eastAsia" w:ascii="宋体" w:hAnsi="宋体" w:eastAsia="宋体" w:cs="宋体"/>
          <w:color w:val="auto"/>
          <w:sz w:val="30"/>
          <w:szCs w:val="30"/>
          <w:highlight w:val="none"/>
          <w:lang w:val="en-US" w:eastAsia="zh-CN"/>
        </w:rPr>
        <w:t>服务</w:t>
      </w:r>
      <w:r>
        <w:rPr>
          <w:rFonts w:hint="eastAsia" w:ascii="宋体" w:hAnsi="宋体" w:eastAsia="宋体" w:cs="宋体"/>
          <w:color w:val="auto"/>
          <w:sz w:val="30"/>
          <w:szCs w:val="30"/>
          <w:highlight w:val="none"/>
        </w:rPr>
        <w:t>方：</w:t>
      </w:r>
    </w:p>
    <w:p w14:paraId="3A3D4DCF">
      <w:pPr>
        <w:spacing w:line="560" w:lineRule="exact"/>
        <w:ind w:firstLine="1350" w:firstLineChars="450"/>
        <w:jc w:val="left"/>
        <w:rPr>
          <w:rFonts w:hint="eastAsia" w:ascii="宋体" w:hAnsi="宋体" w:eastAsia="宋体" w:cs="宋体"/>
          <w:color w:val="auto"/>
          <w:sz w:val="30"/>
          <w:szCs w:val="30"/>
          <w:highlight w:val="none"/>
        </w:rPr>
      </w:pPr>
    </w:p>
    <w:p w14:paraId="357FD6C5">
      <w:pPr>
        <w:spacing w:line="560" w:lineRule="exact"/>
        <w:ind w:firstLine="1350" w:firstLineChars="450"/>
        <w:jc w:val="left"/>
        <w:rPr>
          <w:rFonts w:hint="eastAsia" w:ascii="宋体" w:hAnsi="宋体" w:eastAsia="宋体" w:cs="宋体"/>
          <w:color w:val="auto"/>
          <w:sz w:val="30"/>
          <w:szCs w:val="30"/>
          <w:highlight w:val="none"/>
        </w:rPr>
      </w:pPr>
      <w:r>
        <w:rPr>
          <w:rFonts w:hint="eastAsia" w:ascii="宋体" w:hAnsi="宋体" w:eastAsia="宋体" w:cs="宋体"/>
          <w:color w:val="auto"/>
          <w:sz w:val="30"/>
          <w:szCs w:val="30"/>
          <w:highlight w:val="none"/>
        </w:rPr>
        <w:t>签约地点：新疆乌鲁木齐市</w:t>
      </w:r>
    </w:p>
    <w:p w14:paraId="3EAC0C7B">
      <w:pPr>
        <w:spacing w:line="560" w:lineRule="exact"/>
        <w:ind w:firstLine="1350" w:firstLineChars="450"/>
        <w:jc w:val="left"/>
        <w:rPr>
          <w:rFonts w:hint="eastAsia" w:ascii="宋体" w:hAnsi="宋体" w:eastAsia="宋体" w:cs="宋体"/>
          <w:color w:val="auto"/>
          <w:sz w:val="30"/>
          <w:szCs w:val="30"/>
          <w:highlight w:val="none"/>
        </w:rPr>
      </w:pPr>
    </w:p>
    <w:p w14:paraId="19359D03">
      <w:pPr>
        <w:spacing w:line="560" w:lineRule="exact"/>
        <w:ind w:firstLine="1350" w:firstLineChars="450"/>
        <w:jc w:val="left"/>
        <w:rPr>
          <w:rFonts w:hint="eastAsia" w:ascii="宋体" w:hAnsi="宋体" w:eastAsia="宋体" w:cs="宋体"/>
          <w:color w:val="C00000"/>
          <w:sz w:val="30"/>
          <w:szCs w:val="30"/>
          <w:highlight w:val="none"/>
        </w:rPr>
      </w:pPr>
      <w:r>
        <w:rPr>
          <w:rFonts w:hint="eastAsia" w:ascii="宋体" w:hAnsi="宋体" w:eastAsia="宋体" w:cs="宋体"/>
          <w:color w:val="auto"/>
          <w:sz w:val="30"/>
          <w:szCs w:val="30"/>
          <w:highlight w:val="none"/>
        </w:rPr>
        <w:t>签约日期：</w:t>
      </w:r>
      <w:r>
        <w:rPr>
          <w:rFonts w:hint="eastAsia" w:ascii="宋体" w:hAnsi="宋体" w:eastAsia="宋体" w:cs="宋体"/>
          <w:color w:val="C00000"/>
          <w:sz w:val="30"/>
          <w:szCs w:val="30"/>
          <w:highlight w:val="none"/>
        </w:rPr>
        <w:t xml:space="preserve">  </w:t>
      </w:r>
    </w:p>
    <w:p w14:paraId="00D99612">
      <w:pPr>
        <w:pStyle w:val="7"/>
        <w:rPr>
          <w:rFonts w:hint="eastAsia" w:ascii="宋体" w:hAnsi="宋体" w:eastAsia="宋体" w:cs="宋体"/>
        </w:rPr>
      </w:pPr>
    </w:p>
    <w:p w14:paraId="42426A75">
      <w:pPr>
        <w:spacing w:line="560" w:lineRule="exact"/>
        <w:ind w:firstLine="1350" w:firstLineChars="450"/>
        <w:jc w:val="left"/>
        <w:rPr>
          <w:rFonts w:hint="default" w:ascii="宋体" w:hAnsi="宋体" w:eastAsia="宋体" w:cs="宋体"/>
          <w:color w:val="FF0000"/>
          <w:sz w:val="30"/>
          <w:szCs w:val="30"/>
          <w:highlight w:val="none"/>
          <w:lang w:val="en-US" w:eastAsia="zh-CN"/>
        </w:rPr>
      </w:pPr>
      <w:r>
        <w:rPr>
          <w:rFonts w:hint="eastAsia" w:ascii="宋体" w:hAnsi="宋体" w:eastAsia="宋体" w:cs="宋体"/>
          <w:color w:val="auto"/>
          <w:sz w:val="30"/>
          <w:szCs w:val="30"/>
          <w:highlight w:val="none"/>
          <w:lang w:val="en-US" w:eastAsia="zh-CN"/>
        </w:rPr>
        <w:t>律审</w:t>
      </w:r>
      <w:r>
        <w:rPr>
          <w:rFonts w:hint="eastAsia" w:ascii="宋体" w:hAnsi="宋体" w:eastAsia="宋体" w:cs="宋体"/>
          <w:color w:val="auto"/>
          <w:sz w:val="30"/>
          <w:szCs w:val="30"/>
          <w:highlight w:val="none"/>
        </w:rPr>
        <w:t>编号：</w:t>
      </w:r>
    </w:p>
    <w:p w14:paraId="5FEFE98E">
      <w:pPr>
        <w:spacing w:line="560" w:lineRule="exact"/>
        <w:rPr>
          <w:rFonts w:hint="eastAsia" w:ascii="宋体" w:hAnsi="宋体" w:eastAsia="宋体" w:cs="宋体"/>
          <w:color w:val="auto"/>
          <w:sz w:val="24"/>
          <w:highlight w:val="none"/>
        </w:rPr>
      </w:pPr>
    </w:p>
    <w:p w14:paraId="1782B1C1">
      <w:pPr>
        <w:spacing w:line="560" w:lineRule="exact"/>
        <w:rPr>
          <w:rFonts w:hint="eastAsia" w:ascii="宋体" w:hAnsi="宋体" w:eastAsia="宋体" w:cs="宋体"/>
          <w:color w:val="auto"/>
          <w:sz w:val="24"/>
          <w:highlight w:val="none"/>
        </w:rPr>
      </w:pPr>
    </w:p>
    <w:p w14:paraId="6204E0B3">
      <w:pPr>
        <w:spacing w:line="360" w:lineRule="auto"/>
        <w:jc w:val="both"/>
        <w:rPr>
          <w:rFonts w:hint="eastAsia" w:ascii="宋体" w:hAnsi="宋体" w:eastAsia="宋体" w:cs="宋体"/>
          <w:color w:val="FF0000"/>
          <w:sz w:val="36"/>
          <w:szCs w:val="36"/>
          <w:highlight w:val="none"/>
        </w:rPr>
      </w:pPr>
    </w:p>
    <w:p w14:paraId="122F4967">
      <w:pPr>
        <w:spacing w:line="360" w:lineRule="auto"/>
        <w:ind w:firstLine="2520" w:firstLineChars="700"/>
        <w:jc w:val="both"/>
        <w:rPr>
          <w:rFonts w:hint="eastAsia" w:ascii="宋体" w:hAnsi="宋体" w:eastAsia="宋体" w:cs="宋体"/>
          <w:color w:val="auto"/>
          <w:sz w:val="36"/>
          <w:szCs w:val="36"/>
          <w:highlight w:val="none"/>
        </w:rPr>
      </w:pPr>
      <w:r>
        <w:rPr>
          <w:rFonts w:hint="eastAsia" w:ascii="宋体" w:hAnsi="宋体" w:eastAsia="宋体" w:cs="宋体"/>
          <w:color w:val="auto"/>
          <w:sz w:val="36"/>
          <w:szCs w:val="36"/>
          <w:highlight w:val="none"/>
        </w:rPr>
        <w:t>二</w:t>
      </w:r>
      <w:r>
        <w:rPr>
          <w:rFonts w:hint="eastAsia" w:ascii="宋体" w:hAnsi="宋体" w:eastAsia="宋体" w:cs="宋体"/>
          <w:color w:val="auto"/>
          <w:sz w:val="36"/>
          <w:szCs w:val="36"/>
          <w:highlight w:val="none"/>
          <w:lang w:val="en-US" w:eastAsia="zh-CN"/>
        </w:rPr>
        <w:t>〇</w:t>
      </w:r>
      <w:r>
        <w:rPr>
          <w:rFonts w:hint="eastAsia" w:ascii="宋体" w:hAnsi="宋体" w:eastAsia="宋体" w:cs="宋体"/>
          <w:color w:val="auto"/>
          <w:sz w:val="36"/>
          <w:szCs w:val="36"/>
          <w:highlight w:val="none"/>
        </w:rPr>
        <w:t>二</w:t>
      </w:r>
      <w:r>
        <w:rPr>
          <w:rFonts w:hint="eastAsia" w:ascii="宋体" w:hAnsi="宋体" w:eastAsia="宋体" w:cs="宋体"/>
          <w:color w:val="auto"/>
          <w:sz w:val="36"/>
          <w:szCs w:val="36"/>
          <w:highlight w:val="none"/>
          <w:lang w:val="en-US" w:eastAsia="zh-CN"/>
        </w:rPr>
        <w:t xml:space="preserve">  </w:t>
      </w:r>
      <w:r>
        <w:rPr>
          <w:rFonts w:hint="eastAsia" w:ascii="宋体" w:hAnsi="宋体" w:eastAsia="宋体" w:cs="宋体"/>
          <w:color w:val="auto"/>
          <w:sz w:val="36"/>
          <w:szCs w:val="36"/>
          <w:highlight w:val="none"/>
        </w:rPr>
        <w:t>年  月</w:t>
      </w:r>
    </w:p>
    <w:p w14:paraId="191C28C7">
      <w:pPr>
        <w:keepNext w:val="0"/>
        <w:keepLines w:val="0"/>
        <w:pageBreakBefore w:val="0"/>
        <w:kinsoku/>
        <w:wordWrap/>
        <w:overflowPunct/>
        <w:topLinePunct w:val="0"/>
        <w:autoSpaceDE/>
        <w:autoSpaceDN/>
        <w:bidi w:val="0"/>
        <w:adjustRightInd/>
        <w:snapToGrid/>
        <w:spacing w:beforeAutospacing="0" w:afterAutospacing="0" w:line="400" w:lineRule="exact"/>
        <w:ind w:firstLine="480" w:firstLineChars="200"/>
        <w:textAlignment w:val="auto"/>
        <w:rPr>
          <w:rFonts w:hint="eastAsia" w:ascii="宋体" w:hAnsi="宋体" w:eastAsia="宋体" w:cs="宋体"/>
          <w:color w:val="auto"/>
          <w:sz w:val="24"/>
          <w:szCs w:val="24"/>
          <w:highlight w:val="none"/>
        </w:rPr>
      </w:pPr>
    </w:p>
    <w:p w14:paraId="0D44343A">
      <w:pPr>
        <w:keepNext w:val="0"/>
        <w:keepLines w:val="0"/>
        <w:pageBreakBefore w:val="0"/>
        <w:kinsoku/>
        <w:wordWrap/>
        <w:overflowPunct/>
        <w:topLinePunct w:val="0"/>
        <w:autoSpaceDE/>
        <w:autoSpaceDN/>
        <w:bidi w:val="0"/>
        <w:adjustRightInd/>
        <w:snapToGrid/>
        <w:spacing w:beforeAutospacing="0" w:afterAutospacing="0"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甲方（</w:t>
      </w:r>
      <w:r>
        <w:rPr>
          <w:rFonts w:hint="eastAsia" w:ascii="宋体" w:hAnsi="宋体" w:cs="宋体"/>
          <w:color w:val="auto"/>
          <w:sz w:val="24"/>
          <w:szCs w:val="24"/>
          <w:highlight w:val="none"/>
          <w:lang w:val="en-US" w:eastAsia="zh-CN"/>
        </w:rPr>
        <w:t>委托</w:t>
      </w:r>
      <w:r>
        <w:rPr>
          <w:rFonts w:hint="eastAsia" w:ascii="宋体" w:hAnsi="宋体" w:eastAsia="宋体" w:cs="宋体"/>
          <w:color w:val="auto"/>
          <w:sz w:val="24"/>
          <w:szCs w:val="24"/>
          <w:highlight w:val="none"/>
        </w:rPr>
        <w:t>方）：新疆医科大学</w:t>
      </w:r>
    </w:p>
    <w:p w14:paraId="36A0C1AB">
      <w:pPr>
        <w:keepNext w:val="0"/>
        <w:keepLines w:val="0"/>
        <w:pageBreakBefore w:val="0"/>
        <w:kinsoku/>
        <w:wordWrap/>
        <w:overflowPunct/>
        <w:topLinePunct w:val="0"/>
        <w:autoSpaceDE/>
        <w:autoSpaceDN/>
        <w:bidi w:val="0"/>
        <w:adjustRightInd/>
        <w:snapToGrid/>
        <w:spacing w:beforeAutospacing="0" w:afterAutospacing="0" w:line="40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地址：</w:t>
      </w:r>
      <w:r>
        <w:rPr>
          <w:rFonts w:hint="eastAsia" w:ascii="宋体" w:hAnsi="宋体" w:eastAsia="宋体" w:cs="宋体"/>
          <w:color w:val="auto"/>
          <w:sz w:val="24"/>
          <w:szCs w:val="24"/>
          <w:highlight w:val="none"/>
          <w:lang w:val="en-US" w:eastAsia="zh-CN"/>
        </w:rPr>
        <w:t>乌鲁木齐市水磨沟区尚德北路567号</w:t>
      </w:r>
    </w:p>
    <w:p w14:paraId="4100B3B9">
      <w:pPr>
        <w:keepNext w:val="0"/>
        <w:keepLines w:val="0"/>
        <w:pageBreakBefore w:val="0"/>
        <w:kinsoku/>
        <w:wordWrap/>
        <w:overflowPunct/>
        <w:topLinePunct w:val="0"/>
        <w:autoSpaceDE/>
        <w:autoSpaceDN/>
        <w:bidi w:val="0"/>
        <w:adjustRightInd/>
        <w:snapToGrid/>
        <w:spacing w:beforeAutospacing="0" w:afterAutospacing="0" w:line="40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电话：</w:t>
      </w:r>
    </w:p>
    <w:p w14:paraId="503A2B37">
      <w:pPr>
        <w:keepNext w:val="0"/>
        <w:keepLines w:val="0"/>
        <w:pageBreakBefore w:val="0"/>
        <w:kinsoku/>
        <w:wordWrap/>
        <w:overflowPunct/>
        <w:topLinePunct w:val="0"/>
        <w:autoSpaceDE/>
        <w:autoSpaceDN/>
        <w:bidi w:val="0"/>
        <w:adjustRightInd/>
        <w:snapToGrid/>
        <w:spacing w:beforeAutospacing="0" w:afterAutospacing="0" w:line="400" w:lineRule="exact"/>
        <w:ind w:firstLine="480" w:firstLineChars="200"/>
        <w:textAlignment w:val="auto"/>
        <w:rPr>
          <w:rFonts w:hint="eastAsia" w:ascii="宋体" w:hAnsi="宋体" w:eastAsia="宋体" w:cs="宋体"/>
          <w:color w:val="auto"/>
          <w:sz w:val="24"/>
          <w:szCs w:val="24"/>
          <w:highlight w:val="none"/>
        </w:rPr>
      </w:pPr>
    </w:p>
    <w:p w14:paraId="12C00238">
      <w:pPr>
        <w:keepNext w:val="0"/>
        <w:keepLines w:val="0"/>
        <w:pageBreakBefore w:val="0"/>
        <w:kinsoku/>
        <w:wordWrap/>
        <w:overflowPunct/>
        <w:topLinePunct w:val="0"/>
        <w:autoSpaceDE/>
        <w:autoSpaceDN/>
        <w:bidi w:val="0"/>
        <w:adjustRightInd/>
        <w:snapToGrid/>
        <w:spacing w:beforeAutospacing="0" w:afterAutospacing="0"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乙方（</w:t>
      </w:r>
      <w:r>
        <w:rPr>
          <w:rFonts w:hint="eastAsia" w:ascii="宋体" w:hAnsi="宋体" w:cs="宋体"/>
          <w:color w:val="auto"/>
          <w:sz w:val="24"/>
          <w:szCs w:val="24"/>
          <w:highlight w:val="none"/>
          <w:lang w:val="en-US" w:eastAsia="zh-CN"/>
        </w:rPr>
        <w:t>服务方</w:t>
      </w:r>
      <w:r>
        <w:rPr>
          <w:rFonts w:hint="eastAsia" w:ascii="宋体" w:hAnsi="宋体" w:eastAsia="宋体" w:cs="宋体"/>
          <w:color w:val="auto"/>
          <w:sz w:val="24"/>
          <w:szCs w:val="24"/>
          <w:highlight w:val="none"/>
        </w:rPr>
        <w:t>）：</w:t>
      </w:r>
    </w:p>
    <w:p w14:paraId="330308DE">
      <w:pPr>
        <w:keepNext w:val="0"/>
        <w:keepLines w:val="0"/>
        <w:pageBreakBefore w:val="0"/>
        <w:kinsoku/>
        <w:wordWrap/>
        <w:overflowPunct/>
        <w:topLinePunct w:val="0"/>
        <w:autoSpaceDE/>
        <w:autoSpaceDN/>
        <w:bidi w:val="0"/>
        <w:adjustRightInd/>
        <w:snapToGrid/>
        <w:spacing w:beforeAutospacing="0" w:afterAutospacing="0"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地址：</w:t>
      </w:r>
    </w:p>
    <w:p w14:paraId="5258BEAC">
      <w:pPr>
        <w:keepNext w:val="0"/>
        <w:keepLines w:val="0"/>
        <w:pageBreakBefore w:val="0"/>
        <w:kinsoku/>
        <w:wordWrap/>
        <w:overflowPunct/>
        <w:topLinePunct w:val="0"/>
        <w:autoSpaceDE/>
        <w:autoSpaceDN/>
        <w:bidi w:val="0"/>
        <w:adjustRightInd/>
        <w:snapToGrid/>
        <w:spacing w:beforeAutospacing="0" w:afterAutospacing="0"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电话：</w:t>
      </w:r>
    </w:p>
    <w:p w14:paraId="055D47E0">
      <w:pPr>
        <w:keepNext w:val="0"/>
        <w:keepLines w:val="0"/>
        <w:pageBreakBefore w:val="0"/>
        <w:kinsoku/>
        <w:wordWrap/>
        <w:overflowPunct/>
        <w:topLinePunct w:val="0"/>
        <w:autoSpaceDE/>
        <w:autoSpaceDN/>
        <w:bidi w:val="0"/>
        <w:adjustRightInd/>
        <w:snapToGrid/>
        <w:spacing w:beforeAutospacing="0" w:afterAutospacing="0" w:line="400" w:lineRule="exact"/>
        <w:ind w:firstLine="480" w:firstLineChars="200"/>
        <w:textAlignment w:val="auto"/>
        <w:rPr>
          <w:rFonts w:hint="eastAsia" w:ascii="宋体" w:hAnsi="宋体" w:eastAsia="宋体" w:cs="宋体"/>
          <w:color w:val="auto"/>
          <w:sz w:val="24"/>
          <w:szCs w:val="24"/>
          <w:highlight w:val="none"/>
        </w:rPr>
      </w:pPr>
    </w:p>
    <w:p w14:paraId="00A3DFE4">
      <w:pPr>
        <w:keepNext w:val="0"/>
        <w:keepLines w:val="0"/>
        <w:pageBreakBefore w:val="0"/>
        <w:kinsoku/>
        <w:wordWrap/>
        <w:overflowPunct/>
        <w:topLinePunct w:val="0"/>
        <w:autoSpaceDE/>
        <w:autoSpaceDN/>
        <w:bidi w:val="0"/>
        <w:adjustRightInd/>
        <w:snapToGrid/>
        <w:spacing w:beforeAutospacing="0" w:afterAutospacing="0"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新疆医科大学（以下简称甲方）与</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（以下简称乙方）就</w:t>
      </w:r>
      <w:r>
        <w:rPr>
          <w:rFonts w:hint="eastAsia" w:ascii="宋体" w:hAnsi="宋体" w:eastAsia="宋体" w:cs="宋体"/>
          <w:color w:val="auto"/>
          <w:sz w:val="24"/>
          <w:szCs w:val="24"/>
          <w:highlight w:val="none"/>
          <w:u w:val="single"/>
        </w:rPr>
        <w:t xml:space="preserve"> 新疆医科大学2025年雪莲山校区一期校园绿化养护服务项目</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事宜，根据《中华人民共和国民法典》《中华人民共和国政府采购法》等规定，本着平等、自愿、互利、互惠的原则，经</w:t>
      </w:r>
      <w:r>
        <w:rPr>
          <w:rFonts w:hint="eastAsia" w:ascii="宋体" w:hAnsi="宋体" w:eastAsia="宋体" w:cs="宋体"/>
          <w:color w:val="auto"/>
          <w:sz w:val="24"/>
          <w:szCs w:val="24"/>
          <w:highlight w:val="none"/>
          <w:lang w:val="en-US" w:eastAsia="zh-CN"/>
        </w:rPr>
        <w:t>双</w:t>
      </w:r>
      <w:r>
        <w:rPr>
          <w:rFonts w:hint="eastAsia" w:ascii="宋体" w:hAnsi="宋体" w:eastAsia="宋体" w:cs="宋体"/>
          <w:color w:val="auto"/>
          <w:sz w:val="24"/>
          <w:szCs w:val="24"/>
          <w:highlight w:val="none"/>
        </w:rPr>
        <w:t>方协商一致，订立本合同。</w:t>
      </w:r>
    </w:p>
    <w:p w14:paraId="5A8D9604">
      <w:pPr>
        <w:keepNext w:val="0"/>
        <w:keepLines w:val="0"/>
        <w:pageBreakBefore w:val="0"/>
        <w:kinsoku/>
        <w:wordWrap/>
        <w:overflowPunct/>
        <w:topLinePunct w:val="0"/>
        <w:autoSpaceDE/>
        <w:autoSpaceDN/>
        <w:bidi w:val="0"/>
        <w:adjustRightInd/>
        <w:snapToGrid/>
        <w:spacing w:beforeAutospacing="0" w:afterAutospacing="0" w:line="400" w:lineRule="exact"/>
        <w:ind w:firstLine="482" w:firstLineChars="200"/>
        <w:jc w:val="left"/>
        <w:textAlignment w:val="auto"/>
        <w:rPr>
          <w:rFonts w:hint="eastAsia" w:ascii="宋体" w:hAnsi="宋体" w:cs="宋体"/>
          <w:b/>
          <w:bCs/>
          <w:color w:val="auto"/>
          <w:sz w:val="24"/>
          <w:szCs w:val="24"/>
          <w:highlight w:val="none"/>
          <w:lang w:val="en-US" w:eastAsia="zh-CN"/>
        </w:rPr>
      </w:pPr>
    </w:p>
    <w:p w14:paraId="4EC52AFB">
      <w:pPr>
        <w:keepNext w:val="0"/>
        <w:keepLines w:val="0"/>
        <w:pageBreakBefore w:val="0"/>
        <w:numPr>
          <w:ilvl w:val="0"/>
          <w:numId w:val="7"/>
        </w:numPr>
        <w:kinsoku/>
        <w:wordWrap/>
        <w:overflowPunct/>
        <w:topLinePunct w:val="0"/>
        <w:autoSpaceDE/>
        <w:autoSpaceDN/>
        <w:bidi w:val="0"/>
        <w:adjustRightInd/>
        <w:snapToGrid/>
        <w:spacing w:beforeAutospacing="0" w:afterAutospacing="0" w:line="400" w:lineRule="exact"/>
        <w:ind w:firstLine="482" w:firstLineChars="200"/>
        <w:jc w:val="left"/>
        <w:textAlignment w:val="auto"/>
        <w:rPr>
          <w:rFonts w:hint="eastAsia" w:ascii="宋体" w:hAnsi="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 xml:space="preserve"> 服务内容</w:t>
      </w:r>
    </w:p>
    <w:p w14:paraId="2CC74CD6">
      <w:pPr>
        <w:keepNext w:val="0"/>
        <w:keepLines w:val="0"/>
        <w:pageBreakBefore w:val="0"/>
        <w:numPr>
          <w:ilvl w:val="0"/>
          <w:numId w:val="0"/>
        </w:numPr>
        <w:kinsoku/>
        <w:wordWrap/>
        <w:overflowPunct/>
        <w:topLinePunct w:val="0"/>
        <w:autoSpaceDE/>
        <w:autoSpaceDN/>
        <w:bidi w:val="0"/>
        <w:adjustRightInd/>
        <w:snapToGrid/>
        <w:spacing w:beforeAutospacing="0" w:afterAutospacing="0" w:line="400" w:lineRule="exact"/>
        <w:ind w:firstLine="480" w:firstLineChars="200"/>
        <w:jc w:val="left"/>
        <w:textAlignment w:val="auto"/>
        <w:rPr>
          <w:rFonts w:hint="default" w:ascii="宋体" w:hAnsi="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1.1新疆医科大学雪莲山校区一期绿化区域，面积16.63万平方米。养护内容包含：乔灌花草的修剪、灌溉、防治病虫害、清除杂草、翻地播种、树木涂白（春秋季各一次）、灌溉水线使用维护及巡检、修理树坑、施肥、绿地垃圾清运、树木扶正、植物保活、植物防护（防严寒、干旱)、建立养护日志及职务档案库等工作。</w:t>
      </w:r>
    </w:p>
    <w:p w14:paraId="70E4359B">
      <w:pPr>
        <w:keepNext w:val="0"/>
        <w:keepLines w:val="0"/>
        <w:pageBreakBefore w:val="0"/>
        <w:kinsoku/>
        <w:wordWrap/>
        <w:overflowPunct/>
        <w:topLinePunct w:val="0"/>
        <w:autoSpaceDE/>
        <w:autoSpaceDN/>
        <w:bidi w:val="0"/>
        <w:adjustRightInd/>
        <w:snapToGrid/>
        <w:spacing w:beforeAutospacing="0" w:afterAutospacing="0" w:line="400" w:lineRule="exact"/>
        <w:ind w:firstLine="480" w:firstLineChars="200"/>
        <w:textAlignment w:val="auto"/>
        <w:rPr>
          <w:rFonts w:hint="eastAsia" w:ascii="宋体" w:hAnsi="宋体" w:cs="宋体"/>
          <w:b/>
          <w:bCs/>
          <w:color w:val="auto"/>
          <w:sz w:val="24"/>
          <w:szCs w:val="24"/>
          <w:highlight w:val="none"/>
          <w:lang w:val="en-US" w:eastAsia="zh-CN"/>
        </w:rPr>
      </w:pPr>
      <w:r>
        <w:rPr>
          <w:rFonts w:hint="eastAsia" w:ascii="宋体" w:hAnsi="宋体" w:eastAsia="宋体" w:cs="宋体"/>
          <w:b w:val="0"/>
          <w:bCs/>
          <w:color w:val="auto"/>
          <w:sz w:val="24"/>
          <w:szCs w:val="24"/>
          <w:highlight w:val="none"/>
        </w:rPr>
        <w:t>1.</w:t>
      </w:r>
      <w:r>
        <w:rPr>
          <w:rFonts w:hint="eastAsia" w:ascii="宋体" w:hAnsi="宋体" w:cs="宋体"/>
          <w:b w:val="0"/>
          <w:bCs/>
          <w:color w:val="auto"/>
          <w:sz w:val="24"/>
          <w:szCs w:val="24"/>
          <w:highlight w:val="none"/>
          <w:lang w:val="en-US" w:eastAsia="zh-CN"/>
        </w:rPr>
        <w:t>2</w:t>
      </w:r>
      <w:r>
        <w:rPr>
          <w:rFonts w:hint="eastAsia" w:ascii="宋体" w:hAnsi="宋体" w:eastAsia="宋体" w:cs="宋体"/>
          <w:b w:val="0"/>
          <w:bCs/>
          <w:color w:val="auto"/>
          <w:sz w:val="24"/>
          <w:szCs w:val="24"/>
          <w:highlight w:val="none"/>
        </w:rPr>
        <w:t xml:space="preserve"> </w:t>
      </w:r>
      <w:r>
        <w:rPr>
          <w:rFonts w:hint="eastAsia" w:ascii="宋体" w:hAnsi="宋体" w:cs="宋体"/>
          <w:b w:val="0"/>
          <w:bCs/>
          <w:color w:val="auto"/>
          <w:sz w:val="24"/>
          <w:szCs w:val="24"/>
          <w:highlight w:val="none"/>
          <w:lang w:val="en-US" w:eastAsia="zh-CN"/>
        </w:rPr>
        <w:t>具体服务内容</w:t>
      </w:r>
      <w:r>
        <w:rPr>
          <w:rFonts w:hint="eastAsia" w:ascii="宋体" w:hAnsi="宋体" w:eastAsia="宋体" w:cs="宋体"/>
          <w:b w:val="0"/>
          <w:bCs/>
          <w:color w:val="auto"/>
          <w:sz w:val="24"/>
          <w:highlight w:val="none"/>
          <w:lang w:val="en-US" w:eastAsia="zh-CN"/>
        </w:rPr>
        <w:t>以</w:t>
      </w:r>
      <w:r>
        <w:rPr>
          <w:rFonts w:hint="eastAsia" w:ascii="宋体" w:hAnsi="宋体" w:cs="宋体"/>
          <w:b w:val="0"/>
          <w:bCs/>
          <w:color w:val="auto"/>
          <w:sz w:val="24"/>
          <w:highlight w:val="none"/>
          <w:lang w:val="en-US" w:eastAsia="zh-CN"/>
        </w:rPr>
        <w:t>本合同后附的</w:t>
      </w:r>
      <w:r>
        <w:rPr>
          <w:rFonts w:hint="eastAsia" w:ascii="宋体" w:hAnsi="宋体" w:eastAsia="宋体" w:cs="宋体"/>
          <w:b w:val="0"/>
          <w:bCs/>
          <w:color w:val="auto"/>
          <w:sz w:val="24"/>
          <w:highlight w:val="none"/>
          <w:lang w:val="en-US" w:eastAsia="zh-CN"/>
        </w:rPr>
        <w:t>最终成交方编制的</w:t>
      </w:r>
      <w:r>
        <w:rPr>
          <w:rFonts w:hint="eastAsia" w:ascii="宋体" w:hAnsi="宋体" w:eastAsia="宋体" w:cs="宋体"/>
          <w:b w:val="0"/>
          <w:bCs/>
          <w:color w:val="auto"/>
          <w:sz w:val="24"/>
          <w:highlight w:val="none"/>
        </w:rPr>
        <w:t>磋商文件和响应文件</w:t>
      </w:r>
      <w:r>
        <w:rPr>
          <w:rFonts w:hint="eastAsia" w:ascii="宋体" w:hAnsi="宋体" w:eastAsia="宋体" w:cs="宋体"/>
          <w:b w:val="0"/>
          <w:bCs/>
          <w:color w:val="auto"/>
          <w:sz w:val="24"/>
          <w:highlight w:val="none"/>
          <w:lang w:val="en-US" w:eastAsia="zh-CN"/>
        </w:rPr>
        <w:t>为准</w:t>
      </w:r>
      <w:r>
        <w:rPr>
          <w:rFonts w:hint="eastAsia" w:ascii="宋体" w:hAnsi="宋体" w:eastAsia="宋体" w:cs="宋体"/>
          <w:b w:val="0"/>
          <w:bCs/>
          <w:color w:val="auto"/>
          <w:sz w:val="24"/>
          <w:highlight w:val="none"/>
        </w:rPr>
        <w:t>。</w:t>
      </w:r>
    </w:p>
    <w:p w14:paraId="0ED8C1AC">
      <w:pPr>
        <w:keepNext w:val="0"/>
        <w:keepLines w:val="0"/>
        <w:pageBreakBefore w:val="0"/>
        <w:kinsoku/>
        <w:wordWrap/>
        <w:overflowPunct/>
        <w:topLinePunct w:val="0"/>
        <w:autoSpaceDE/>
        <w:autoSpaceDN/>
        <w:bidi w:val="0"/>
        <w:adjustRightInd/>
        <w:snapToGrid/>
        <w:spacing w:beforeAutospacing="0" w:afterAutospacing="0" w:line="400" w:lineRule="exact"/>
        <w:ind w:firstLine="482" w:firstLineChars="200"/>
        <w:jc w:val="left"/>
        <w:textAlignment w:val="auto"/>
        <w:rPr>
          <w:rFonts w:hint="default" w:ascii="宋体" w:hAnsi="宋体" w:eastAsia="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第二条  服务期限</w:t>
      </w:r>
    </w:p>
    <w:p w14:paraId="5CCF6017">
      <w:pPr>
        <w:keepNext w:val="0"/>
        <w:keepLines w:val="0"/>
        <w:pageBreakBefore w:val="0"/>
        <w:kinsoku/>
        <w:wordWrap/>
        <w:overflowPunct/>
        <w:topLinePunct w:val="0"/>
        <w:autoSpaceDE/>
        <w:autoSpaceDN/>
        <w:bidi w:val="0"/>
        <w:adjustRightInd/>
        <w:snapToGrid/>
        <w:spacing w:beforeAutospacing="0" w:afterAutospacing="0" w:line="400" w:lineRule="exact"/>
        <w:ind w:firstLine="480" w:firstLineChars="200"/>
        <w:textAlignment w:val="auto"/>
        <w:rPr>
          <w:rFonts w:hint="eastAsia" w:ascii="宋体" w:hAnsi="宋体" w:cs="宋体"/>
          <w:b w:val="0"/>
          <w:bCs w:val="0"/>
          <w:color w:val="auto"/>
          <w:kern w:val="2"/>
          <w:sz w:val="24"/>
          <w:szCs w:val="24"/>
          <w:highlight w:val="none"/>
          <w:lang w:val="en-US" w:eastAsia="zh-CN" w:bidi="ar-SA"/>
        </w:rPr>
      </w:pPr>
      <w:r>
        <w:rPr>
          <w:rFonts w:hint="eastAsia" w:asciiTheme="minorEastAsia" w:hAnsiTheme="minorEastAsia" w:eastAsiaTheme="minorEastAsia" w:cstheme="minorEastAsia"/>
          <w:i w:val="0"/>
          <w:iCs w:val="0"/>
          <w:caps w:val="0"/>
          <w:color w:val="auto"/>
          <w:spacing w:val="0"/>
          <w:sz w:val="24"/>
          <w:szCs w:val="24"/>
          <w:lang w:val="en-US" w:eastAsia="zh-CN"/>
        </w:rPr>
        <w:t>2.1</w:t>
      </w:r>
      <w:r>
        <w:rPr>
          <w:rFonts w:hint="eastAsia" w:asciiTheme="minorEastAsia" w:hAnsiTheme="minorEastAsia" w:eastAsiaTheme="minorEastAsia" w:cstheme="minorEastAsia"/>
          <w:i w:val="0"/>
          <w:iCs w:val="0"/>
          <w:caps w:val="0"/>
          <w:color w:val="auto"/>
          <w:spacing w:val="0"/>
          <w:sz w:val="24"/>
          <w:szCs w:val="24"/>
        </w:rPr>
        <w:t>服务周期自本合同签订之日起至</w:t>
      </w:r>
      <w:r>
        <w:rPr>
          <w:rFonts w:hint="eastAsia" w:asciiTheme="minorEastAsia" w:hAnsiTheme="minorEastAsia" w:eastAsiaTheme="minorEastAsia" w:cstheme="minorEastAsia"/>
          <w:i w:val="0"/>
          <w:iCs w:val="0"/>
          <w:caps w:val="0"/>
          <w:color w:val="auto"/>
          <w:spacing w:val="0"/>
          <w:sz w:val="24"/>
          <w:szCs w:val="24"/>
          <w:lang w:val="en-US" w:eastAsia="zh-CN"/>
        </w:rPr>
        <w:t>2025</w:t>
      </w:r>
      <w:r>
        <w:rPr>
          <w:rFonts w:hint="eastAsia" w:asciiTheme="minorEastAsia" w:hAnsiTheme="minorEastAsia" w:eastAsiaTheme="minorEastAsia" w:cstheme="minorEastAsia"/>
          <w:i w:val="0"/>
          <w:iCs w:val="0"/>
          <w:caps w:val="0"/>
          <w:color w:val="auto"/>
          <w:spacing w:val="0"/>
          <w:sz w:val="24"/>
          <w:szCs w:val="24"/>
        </w:rPr>
        <w:t>年</w:t>
      </w:r>
      <w:r>
        <w:rPr>
          <w:rFonts w:hint="eastAsia" w:asciiTheme="minorEastAsia" w:hAnsiTheme="minorEastAsia" w:eastAsiaTheme="minorEastAsia" w:cstheme="minorEastAsia"/>
          <w:i w:val="0"/>
          <w:iCs w:val="0"/>
          <w:caps w:val="0"/>
          <w:color w:val="auto"/>
          <w:spacing w:val="0"/>
          <w:sz w:val="24"/>
          <w:szCs w:val="24"/>
          <w:lang w:val="en-US" w:eastAsia="zh-CN"/>
        </w:rPr>
        <w:t>11</w:t>
      </w:r>
      <w:r>
        <w:rPr>
          <w:rFonts w:hint="eastAsia" w:asciiTheme="minorEastAsia" w:hAnsiTheme="minorEastAsia" w:eastAsiaTheme="minorEastAsia" w:cstheme="minorEastAsia"/>
          <w:i w:val="0"/>
          <w:iCs w:val="0"/>
          <w:caps w:val="0"/>
          <w:color w:val="auto"/>
          <w:spacing w:val="0"/>
          <w:sz w:val="24"/>
          <w:szCs w:val="24"/>
        </w:rPr>
        <w:t>月</w:t>
      </w:r>
      <w:r>
        <w:rPr>
          <w:rFonts w:hint="eastAsia" w:asciiTheme="minorEastAsia" w:hAnsiTheme="minorEastAsia" w:eastAsiaTheme="minorEastAsia" w:cstheme="minorEastAsia"/>
          <w:i w:val="0"/>
          <w:iCs w:val="0"/>
          <w:caps w:val="0"/>
          <w:color w:val="auto"/>
          <w:spacing w:val="0"/>
          <w:sz w:val="24"/>
          <w:szCs w:val="24"/>
          <w:lang w:val="en-US" w:eastAsia="zh-CN"/>
        </w:rPr>
        <w:t>15</w:t>
      </w:r>
      <w:r>
        <w:rPr>
          <w:rFonts w:hint="eastAsia" w:asciiTheme="minorEastAsia" w:hAnsiTheme="minorEastAsia" w:eastAsiaTheme="minorEastAsia" w:cstheme="minorEastAsia"/>
          <w:i w:val="0"/>
          <w:iCs w:val="0"/>
          <w:caps w:val="0"/>
          <w:color w:val="auto"/>
          <w:spacing w:val="0"/>
          <w:sz w:val="24"/>
          <w:szCs w:val="24"/>
        </w:rPr>
        <w:t>日止</w:t>
      </w:r>
      <w:r>
        <w:rPr>
          <w:rFonts w:hint="eastAsia" w:asciiTheme="minorEastAsia" w:hAnsiTheme="minorEastAsia" w:eastAsiaTheme="minorEastAsia" w:cstheme="minorEastAsia"/>
          <w:i w:val="0"/>
          <w:iCs w:val="0"/>
          <w:caps w:val="0"/>
          <w:color w:val="auto"/>
          <w:spacing w:val="0"/>
          <w:sz w:val="24"/>
          <w:szCs w:val="24"/>
          <w:lang w:val="en-US" w:eastAsia="zh-CN"/>
        </w:rPr>
        <w:t>（如遇异</w:t>
      </w:r>
      <w:r>
        <w:rPr>
          <w:rFonts w:hint="default" w:ascii="Segoe UI" w:hAnsi="Segoe UI" w:eastAsia="Segoe UI" w:cs="Segoe UI"/>
          <w:i w:val="0"/>
          <w:iCs w:val="0"/>
          <w:caps w:val="0"/>
          <w:color w:val="auto"/>
          <w:spacing w:val="0"/>
          <w:sz w:val="24"/>
          <w:szCs w:val="24"/>
          <w:lang w:val="en-US" w:eastAsia="zh-CN"/>
        </w:rPr>
        <w:t>常天气，以甲方通知为准）</w:t>
      </w:r>
      <w:r>
        <w:rPr>
          <w:rFonts w:hint="default" w:ascii="Segoe UI" w:hAnsi="Segoe UI" w:eastAsia="Segoe UI" w:cs="Segoe UI"/>
          <w:i w:val="0"/>
          <w:iCs w:val="0"/>
          <w:caps w:val="0"/>
          <w:color w:val="auto"/>
          <w:spacing w:val="0"/>
          <w:sz w:val="24"/>
          <w:szCs w:val="24"/>
        </w:rPr>
        <w:t>。</w:t>
      </w:r>
    </w:p>
    <w:p w14:paraId="1EA4C70F">
      <w:pPr>
        <w:keepNext w:val="0"/>
        <w:keepLines w:val="0"/>
        <w:pageBreakBefore w:val="0"/>
        <w:numPr>
          <w:ilvl w:val="0"/>
          <w:numId w:val="0"/>
        </w:numPr>
        <w:kinsoku/>
        <w:wordWrap/>
        <w:overflowPunct/>
        <w:topLinePunct w:val="0"/>
        <w:autoSpaceDE/>
        <w:autoSpaceDN/>
        <w:bidi w:val="0"/>
        <w:adjustRightInd/>
        <w:snapToGrid/>
        <w:spacing w:beforeAutospacing="0" w:afterAutospacing="0" w:line="400" w:lineRule="exact"/>
        <w:ind w:firstLine="482" w:firstLineChars="200"/>
        <w:textAlignment w:val="auto"/>
        <w:rPr>
          <w:rFonts w:hint="eastAsia" w:ascii="宋体" w:hAnsi="宋体" w:cs="宋体"/>
          <w:b/>
          <w:bCs w:val="0"/>
          <w:color w:val="auto"/>
          <w:sz w:val="24"/>
          <w:szCs w:val="24"/>
          <w:highlight w:val="none"/>
          <w:lang w:val="en-US" w:eastAsia="zh-CN"/>
        </w:rPr>
      </w:pPr>
      <w:r>
        <w:rPr>
          <w:rFonts w:hint="eastAsia" w:ascii="宋体" w:hAnsi="宋体" w:eastAsia="宋体" w:cs="宋体"/>
          <w:b/>
          <w:bCs w:val="0"/>
          <w:color w:val="auto"/>
          <w:kern w:val="2"/>
          <w:sz w:val="24"/>
          <w:szCs w:val="24"/>
          <w:lang w:val="en-US" w:eastAsia="zh-CN" w:bidi="ar-SA"/>
        </w:rPr>
        <w:t>第三条</w:t>
      </w:r>
      <w:r>
        <w:rPr>
          <w:rFonts w:hint="eastAsia" w:ascii="宋体" w:hAnsi="宋体" w:cs="宋体"/>
          <w:b/>
          <w:bCs w:val="0"/>
          <w:color w:val="auto"/>
          <w:sz w:val="24"/>
          <w:szCs w:val="24"/>
          <w:highlight w:val="none"/>
          <w:lang w:val="en-US" w:eastAsia="zh-CN"/>
        </w:rPr>
        <w:t>服务地点</w:t>
      </w:r>
    </w:p>
    <w:p w14:paraId="264D3C89">
      <w:pPr>
        <w:keepNext w:val="0"/>
        <w:keepLines w:val="0"/>
        <w:pageBreakBefore w:val="0"/>
        <w:numPr>
          <w:ilvl w:val="0"/>
          <w:numId w:val="0"/>
        </w:numPr>
        <w:kinsoku/>
        <w:wordWrap/>
        <w:overflowPunct/>
        <w:topLinePunct w:val="0"/>
        <w:autoSpaceDE/>
        <w:autoSpaceDN/>
        <w:bidi w:val="0"/>
        <w:adjustRightInd/>
        <w:snapToGrid/>
        <w:spacing w:beforeAutospacing="0" w:afterAutospacing="0" w:line="400" w:lineRule="exact"/>
        <w:ind w:firstLine="480" w:firstLineChars="200"/>
        <w:textAlignment w:val="auto"/>
        <w:rPr>
          <w:rFonts w:hint="default" w:ascii="宋体" w:hAnsi="宋体" w:cs="宋体"/>
          <w:b w:val="0"/>
          <w:bCs w:val="0"/>
          <w:kern w:val="2"/>
          <w:sz w:val="24"/>
          <w:szCs w:val="24"/>
          <w:u w:val="none"/>
          <w:lang w:val="en-US" w:eastAsia="zh-CN" w:bidi="ar-SA"/>
        </w:rPr>
      </w:pPr>
      <w:r>
        <w:rPr>
          <w:rFonts w:hint="eastAsia" w:ascii="宋体" w:hAnsi="宋体" w:cs="宋体"/>
          <w:b w:val="0"/>
          <w:bCs w:val="0"/>
          <w:kern w:val="2"/>
          <w:sz w:val="24"/>
          <w:szCs w:val="24"/>
          <w:u w:val="none"/>
          <w:lang w:val="en-US" w:eastAsia="zh-CN" w:bidi="ar-SA"/>
        </w:rPr>
        <w:t xml:space="preserve">3.1 </w:t>
      </w:r>
      <w:r>
        <w:rPr>
          <w:rFonts w:hint="eastAsia" w:ascii="宋体" w:hAnsi="宋体" w:eastAsia="宋体" w:cs="宋体"/>
          <w:color w:val="auto"/>
          <w:sz w:val="24"/>
          <w:szCs w:val="24"/>
          <w:highlight w:val="none"/>
          <w:lang w:val="en-US" w:eastAsia="zh-CN"/>
        </w:rPr>
        <w:t>新疆医科大学雪莲山校区指定地点。</w:t>
      </w:r>
    </w:p>
    <w:p w14:paraId="62358C04">
      <w:pPr>
        <w:keepNext w:val="0"/>
        <w:keepLines w:val="0"/>
        <w:pageBreakBefore w:val="0"/>
        <w:numPr>
          <w:ilvl w:val="0"/>
          <w:numId w:val="0"/>
        </w:numPr>
        <w:kinsoku/>
        <w:wordWrap/>
        <w:overflowPunct/>
        <w:topLinePunct w:val="0"/>
        <w:autoSpaceDE/>
        <w:autoSpaceDN/>
        <w:bidi w:val="0"/>
        <w:adjustRightInd/>
        <w:snapToGrid/>
        <w:spacing w:beforeAutospacing="0" w:afterAutospacing="0" w:line="400" w:lineRule="exact"/>
        <w:ind w:firstLine="482" w:firstLineChars="200"/>
        <w:textAlignment w:val="auto"/>
        <w:rPr>
          <w:rFonts w:hint="default" w:ascii="宋体" w:hAnsi="宋体" w:cs="宋体"/>
          <w:b/>
          <w:bCs w:val="0"/>
          <w:color w:val="auto"/>
          <w:sz w:val="24"/>
          <w:szCs w:val="24"/>
          <w:highlight w:val="none"/>
          <w:lang w:val="en-US" w:eastAsia="zh-CN"/>
        </w:rPr>
      </w:pPr>
      <w:r>
        <w:rPr>
          <w:rFonts w:hint="eastAsia" w:ascii="宋体" w:hAnsi="宋体" w:cs="宋体"/>
          <w:b/>
          <w:bCs w:val="0"/>
          <w:color w:val="auto"/>
          <w:sz w:val="24"/>
          <w:szCs w:val="24"/>
          <w:highlight w:val="none"/>
          <w:lang w:val="en-US" w:eastAsia="zh-CN"/>
        </w:rPr>
        <w:t>第四条  服务费用及支付方式</w:t>
      </w:r>
    </w:p>
    <w:p w14:paraId="0A0767BD">
      <w:pPr>
        <w:pStyle w:val="2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firstLine="480" w:firstLineChars="200"/>
        <w:textAlignment w:val="auto"/>
        <w:rPr>
          <w:rFonts w:hint="eastAsia" w:ascii="Segoe UI" w:hAnsi="Segoe UI" w:eastAsia="宋体" w:cs="Segoe UI"/>
          <w:i w:val="0"/>
          <w:iCs w:val="0"/>
          <w:caps w:val="0"/>
          <w:color w:val="404040"/>
          <w:spacing w:val="0"/>
          <w:sz w:val="24"/>
          <w:szCs w:val="24"/>
          <w:lang w:eastAsia="zh-CN"/>
        </w:rPr>
      </w:pPr>
      <w:r>
        <w:rPr>
          <w:rFonts w:hint="eastAsia" w:ascii="宋体" w:hAnsi="宋体" w:cs="宋体"/>
          <w:b w:val="0"/>
          <w:bCs/>
          <w:color w:val="auto"/>
          <w:sz w:val="24"/>
          <w:szCs w:val="24"/>
          <w:highlight w:val="none"/>
          <w:lang w:val="en-US" w:eastAsia="zh-CN"/>
        </w:rPr>
        <w:t>4</w:t>
      </w:r>
      <w:r>
        <w:rPr>
          <w:rFonts w:hint="eastAsia" w:ascii="宋体" w:hAnsi="宋体" w:eastAsia="宋体" w:cs="宋体"/>
          <w:b w:val="0"/>
          <w:bCs/>
          <w:color w:val="auto"/>
          <w:sz w:val="24"/>
          <w:szCs w:val="24"/>
          <w:highlight w:val="none"/>
        </w:rPr>
        <w:t xml:space="preserve">.1 </w:t>
      </w:r>
      <w:r>
        <w:rPr>
          <w:rFonts w:hint="default" w:ascii="Segoe UI" w:hAnsi="Segoe UI" w:eastAsia="Segoe UI" w:cs="Segoe UI"/>
          <w:i w:val="0"/>
          <w:iCs w:val="0"/>
          <w:caps w:val="0"/>
          <w:color w:val="404040"/>
          <w:spacing w:val="0"/>
          <w:sz w:val="24"/>
          <w:szCs w:val="24"/>
        </w:rPr>
        <w:t xml:space="preserve"> </w:t>
      </w:r>
      <w:r>
        <w:rPr>
          <w:rFonts w:hint="eastAsia" w:ascii="Segoe UI" w:hAnsi="Segoe UI" w:eastAsia="宋体" w:cs="Segoe UI"/>
          <w:i w:val="0"/>
          <w:iCs w:val="0"/>
          <w:caps w:val="0"/>
          <w:color w:val="404040"/>
          <w:spacing w:val="0"/>
          <w:sz w:val="24"/>
          <w:szCs w:val="24"/>
          <w:lang w:val="en-US" w:eastAsia="zh-CN"/>
        </w:rPr>
        <w:t>服务费用：</w:t>
      </w:r>
      <w:r>
        <w:rPr>
          <w:rFonts w:hint="default" w:ascii="Segoe UI" w:hAnsi="Segoe UI" w:eastAsia="Segoe UI" w:cs="Segoe UI"/>
          <w:i w:val="0"/>
          <w:iCs w:val="0"/>
          <w:caps w:val="0"/>
          <w:color w:val="404040"/>
          <w:spacing w:val="0"/>
          <w:sz w:val="24"/>
          <w:szCs w:val="24"/>
        </w:rPr>
        <w:t>本合同总金额为¥</w:t>
      </w:r>
      <w:r>
        <w:rPr>
          <w:rFonts w:hint="default" w:ascii="Segoe UI" w:hAnsi="Segoe UI" w:eastAsia="Segoe UI" w:cs="Segoe UI"/>
          <w:i w:val="0"/>
          <w:iCs w:val="0"/>
          <w:caps w:val="0"/>
          <w:color w:val="404040"/>
          <w:spacing w:val="0"/>
          <w:sz w:val="24"/>
          <w:szCs w:val="24"/>
          <w:u w:val="single"/>
          <w:lang w:val="en-US" w:eastAsia="zh-CN"/>
        </w:rPr>
        <w:t xml:space="preserve">     </w:t>
      </w:r>
      <w:r>
        <w:rPr>
          <w:rFonts w:hint="default" w:ascii="Segoe UI" w:hAnsi="Segoe UI" w:eastAsia="Segoe UI" w:cs="Segoe UI"/>
          <w:i w:val="0"/>
          <w:iCs w:val="0"/>
          <w:caps w:val="0"/>
          <w:color w:val="404040"/>
          <w:spacing w:val="0"/>
          <w:sz w:val="24"/>
          <w:szCs w:val="24"/>
        </w:rPr>
        <w:t>元，大写人民币</w:t>
      </w:r>
      <w:r>
        <w:rPr>
          <w:rFonts w:hint="default" w:ascii="Segoe UI" w:hAnsi="Segoe UI" w:eastAsia="Segoe UI" w:cs="Segoe UI"/>
          <w:i w:val="0"/>
          <w:iCs w:val="0"/>
          <w:caps w:val="0"/>
          <w:color w:val="404040"/>
          <w:spacing w:val="0"/>
          <w:sz w:val="24"/>
          <w:szCs w:val="24"/>
          <w:u w:val="single"/>
          <w:lang w:val="en-US" w:eastAsia="zh-CN"/>
        </w:rPr>
        <w:t xml:space="preserve">     </w:t>
      </w:r>
      <w:r>
        <w:rPr>
          <w:rFonts w:hint="default" w:ascii="Segoe UI" w:hAnsi="Segoe UI" w:eastAsia="Segoe UI" w:cs="Segoe UI"/>
          <w:i w:val="0"/>
          <w:iCs w:val="0"/>
          <w:caps w:val="0"/>
          <w:color w:val="404040"/>
          <w:spacing w:val="0"/>
          <w:sz w:val="24"/>
          <w:szCs w:val="24"/>
        </w:rPr>
        <w:t>，含税及</w:t>
      </w:r>
      <w:r>
        <w:rPr>
          <w:rFonts w:hint="eastAsia" w:ascii="Segoe UI" w:hAnsi="Segoe UI" w:eastAsia="宋体" w:cs="Segoe UI"/>
          <w:i w:val="0"/>
          <w:iCs w:val="0"/>
          <w:caps w:val="0"/>
          <w:color w:val="404040"/>
          <w:spacing w:val="0"/>
          <w:sz w:val="24"/>
          <w:szCs w:val="24"/>
          <w:lang w:val="en-US" w:eastAsia="zh-CN"/>
        </w:rPr>
        <w:t>完成本合同</w:t>
      </w:r>
      <w:r>
        <w:rPr>
          <w:rFonts w:hint="default" w:ascii="Segoe UI" w:hAnsi="Segoe UI" w:eastAsia="Segoe UI" w:cs="Segoe UI"/>
          <w:i w:val="0"/>
          <w:iCs w:val="0"/>
          <w:caps w:val="0"/>
          <w:color w:val="404040"/>
          <w:spacing w:val="0"/>
          <w:sz w:val="24"/>
          <w:szCs w:val="24"/>
        </w:rPr>
        <w:t>所有相关费用。</w:t>
      </w:r>
    </w:p>
    <w:p w14:paraId="510F1C62">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400" w:lineRule="exact"/>
        <w:ind w:firstLine="480" w:firstLineChars="200"/>
        <w:textAlignment w:val="auto"/>
        <w:rPr>
          <w:rFonts w:hint="eastAsia" w:ascii="宋体" w:hAnsi="宋体" w:eastAsia="宋体" w:cs="宋体"/>
          <w:i w:val="0"/>
          <w:iCs w:val="0"/>
          <w:caps w:val="0"/>
          <w:color w:val="404040"/>
          <w:spacing w:val="0"/>
          <w:sz w:val="24"/>
          <w:szCs w:val="24"/>
        </w:rPr>
      </w:pPr>
      <w:r>
        <w:rPr>
          <w:rFonts w:hint="eastAsia" w:ascii="宋体" w:hAnsi="宋体" w:eastAsia="宋体" w:cs="宋体"/>
          <w:i w:val="0"/>
          <w:iCs w:val="0"/>
          <w:caps w:val="0"/>
          <w:color w:val="404040"/>
          <w:spacing w:val="0"/>
          <w:sz w:val="24"/>
          <w:szCs w:val="24"/>
          <w:lang w:val="en-US" w:eastAsia="zh-CN"/>
        </w:rPr>
        <w:t>4.2 付款方式：按照时间周期进行付款，自合同签订并养护至3个月，期间符合甲方执行要求，支付合同款项的50%；待整体养护周期结束并验收合格后，支付合同款剩余部分。</w:t>
      </w:r>
    </w:p>
    <w:p w14:paraId="69986D71">
      <w:pPr>
        <w:pStyle w:val="21"/>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00" w:lineRule="exact"/>
        <w:ind w:right="0" w:rightChars="0" w:firstLine="480" w:firstLineChars="200"/>
        <w:textAlignment w:val="auto"/>
        <w:rPr>
          <w:rFonts w:hint="eastAsia" w:ascii="宋体" w:hAnsi="宋体" w:eastAsia="宋体" w:cs="宋体"/>
          <w:b w:val="0"/>
          <w:bCs/>
          <w:color w:val="auto"/>
          <w:sz w:val="24"/>
          <w:highlight w:val="none"/>
        </w:rPr>
      </w:pPr>
      <w:r>
        <w:rPr>
          <w:rStyle w:val="28"/>
          <w:rFonts w:hint="eastAsia" w:ascii="宋体" w:hAnsi="宋体" w:eastAsia="宋体" w:cs="宋体"/>
          <w:b w:val="0"/>
          <w:bCs/>
          <w:i w:val="0"/>
          <w:iCs w:val="0"/>
          <w:caps w:val="0"/>
          <w:color w:val="auto"/>
          <w:spacing w:val="0"/>
          <w:sz w:val="24"/>
          <w:szCs w:val="24"/>
          <w:lang w:val="en-US" w:eastAsia="zh-CN"/>
        </w:rPr>
        <w:t xml:space="preserve">4.3 </w:t>
      </w:r>
      <w:r>
        <w:rPr>
          <w:rFonts w:hint="eastAsia" w:ascii="宋体" w:hAnsi="宋体" w:eastAsia="宋体" w:cs="宋体"/>
          <w:b w:val="0"/>
          <w:bCs/>
          <w:color w:val="auto"/>
          <w:sz w:val="24"/>
          <w:highlight w:val="none"/>
        </w:rPr>
        <w:t xml:space="preserve">乙方为履行本合同而发生的所有费用均应包含在合同价中。 </w:t>
      </w:r>
    </w:p>
    <w:p w14:paraId="24E2210A">
      <w:pPr>
        <w:pStyle w:val="21"/>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00" w:lineRule="exact"/>
        <w:ind w:right="0" w:rightChars="0" w:firstLine="480" w:firstLineChars="200"/>
        <w:textAlignment w:val="auto"/>
        <w:rPr>
          <w:rFonts w:hint="eastAsia" w:ascii="宋体" w:hAnsi="宋体" w:eastAsia="宋体" w:cs="宋体"/>
          <w:b w:val="0"/>
          <w:bCs/>
          <w:color w:val="auto"/>
          <w:sz w:val="24"/>
          <w:highlight w:val="none"/>
        </w:rPr>
      </w:pPr>
      <w:r>
        <w:rPr>
          <w:rFonts w:hint="eastAsia" w:ascii="仿宋_GB2312" w:hAnsi="仿宋_GB2312" w:eastAsia="仿宋_GB2312" w:cs="Times New Roman"/>
          <w:color w:val="auto"/>
          <w:sz w:val="24"/>
          <w:highlight w:val="none"/>
          <w:lang w:val="en-US" w:eastAsia="zh-CN"/>
        </w:rPr>
        <w:t xml:space="preserve">4.4 </w:t>
      </w:r>
      <w:r>
        <w:rPr>
          <w:rFonts w:hint="eastAsia" w:ascii="宋体" w:hAnsi="宋体" w:eastAsia="宋体" w:cs="宋体"/>
          <w:b w:val="0"/>
          <w:bCs/>
          <w:color w:val="auto"/>
          <w:sz w:val="24"/>
          <w:highlight w:val="none"/>
        </w:rPr>
        <w:t>甲方支付上述任何一笔款项前，乙方应提供符合甲方财务做账要求的正规增值税发票，否则，甲方有权拒付款项且不承担违约责任。</w:t>
      </w:r>
    </w:p>
    <w:p w14:paraId="61A9D519">
      <w:pPr>
        <w:pStyle w:val="21"/>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00" w:lineRule="exact"/>
        <w:ind w:right="0" w:rightChars="0" w:firstLine="480" w:firstLineChars="200"/>
        <w:textAlignment w:val="auto"/>
        <w:rPr>
          <w:rFonts w:hint="eastAsia" w:ascii="宋体" w:hAnsi="宋体" w:eastAsia="宋体" w:cs="宋体"/>
          <w:b w:val="0"/>
          <w:bCs/>
          <w:color w:val="auto"/>
          <w:sz w:val="24"/>
          <w:highlight w:val="none"/>
          <w:lang w:val="en-US" w:eastAsia="zh-CN"/>
        </w:rPr>
      </w:pPr>
      <w:r>
        <w:rPr>
          <w:rFonts w:hint="eastAsia" w:ascii="宋体" w:hAnsi="宋体" w:eastAsia="宋体" w:cs="宋体"/>
          <w:b w:val="0"/>
          <w:bCs/>
          <w:color w:val="auto"/>
          <w:sz w:val="24"/>
          <w:highlight w:val="none"/>
          <w:lang w:val="en-US" w:eastAsia="zh-CN"/>
        </w:rPr>
        <w:t>4.5乙方银行账户信息：</w:t>
      </w:r>
    </w:p>
    <w:p w14:paraId="5D5D6666">
      <w:pPr>
        <w:pStyle w:val="21"/>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00" w:lineRule="exact"/>
        <w:ind w:right="0" w:rightChars="0" w:firstLine="480" w:firstLineChars="200"/>
        <w:textAlignment w:val="auto"/>
        <w:rPr>
          <w:rFonts w:hint="eastAsia" w:ascii="宋体" w:hAnsi="宋体" w:eastAsia="宋体" w:cs="宋体"/>
          <w:b w:val="0"/>
          <w:bCs/>
          <w:color w:val="auto"/>
          <w:sz w:val="24"/>
          <w:highlight w:val="none"/>
          <w:lang w:val="en-US" w:eastAsia="zh-CN"/>
        </w:rPr>
      </w:pPr>
      <w:r>
        <w:rPr>
          <w:rFonts w:hint="eastAsia" w:ascii="宋体" w:hAnsi="宋体" w:eastAsia="宋体" w:cs="宋体"/>
          <w:b w:val="0"/>
          <w:bCs/>
          <w:color w:val="auto"/>
          <w:sz w:val="24"/>
          <w:highlight w:val="none"/>
          <w:lang w:val="en-US" w:eastAsia="zh-CN"/>
        </w:rPr>
        <w:t>户    名：</w:t>
      </w:r>
      <w:r>
        <w:rPr>
          <w:rFonts w:hint="eastAsia" w:ascii="宋体" w:hAnsi="宋体" w:eastAsia="宋体" w:cs="宋体"/>
          <w:b w:val="0"/>
          <w:bCs/>
          <w:color w:val="auto"/>
          <w:sz w:val="24"/>
          <w:highlight w:val="none"/>
          <w:u w:val="single"/>
          <w:lang w:val="en-US" w:eastAsia="zh-CN"/>
        </w:rPr>
        <w:t xml:space="preserve">                </w:t>
      </w:r>
    </w:p>
    <w:p w14:paraId="5AEE79A8">
      <w:pPr>
        <w:pStyle w:val="21"/>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00" w:lineRule="exact"/>
        <w:ind w:right="0" w:rightChars="0" w:firstLine="480" w:firstLineChars="200"/>
        <w:textAlignment w:val="auto"/>
        <w:rPr>
          <w:rFonts w:hint="eastAsia" w:ascii="宋体" w:hAnsi="宋体" w:eastAsia="宋体" w:cs="宋体"/>
          <w:b w:val="0"/>
          <w:bCs/>
          <w:color w:val="auto"/>
          <w:sz w:val="24"/>
          <w:highlight w:val="none"/>
          <w:lang w:val="en-US" w:eastAsia="zh-CN"/>
        </w:rPr>
      </w:pPr>
      <w:r>
        <w:rPr>
          <w:rFonts w:hint="eastAsia" w:ascii="宋体" w:hAnsi="宋体" w:eastAsia="宋体" w:cs="宋体"/>
          <w:b w:val="0"/>
          <w:bCs/>
          <w:color w:val="auto"/>
          <w:sz w:val="24"/>
          <w:highlight w:val="none"/>
          <w:lang w:val="en-US" w:eastAsia="zh-CN"/>
        </w:rPr>
        <w:t>开户银行：</w:t>
      </w:r>
      <w:r>
        <w:rPr>
          <w:rFonts w:hint="eastAsia" w:ascii="宋体" w:hAnsi="宋体" w:eastAsia="宋体" w:cs="宋体"/>
          <w:b w:val="0"/>
          <w:bCs/>
          <w:color w:val="auto"/>
          <w:sz w:val="24"/>
          <w:highlight w:val="none"/>
          <w:u w:val="single"/>
          <w:lang w:val="en-US" w:eastAsia="zh-CN"/>
        </w:rPr>
        <w:t xml:space="preserve">                 </w:t>
      </w:r>
    </w:p>
    <w:p w14:paraId="49CEDA24">
      <w:pPr>
        <w:pStyle w:val="21"/>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00" w:lineRule="exact"/>
        <w:ind w:right="0" w:rightChars="0" w:firstLine="480" w:firstLineChars="200"/>
        <w:textAlignment w:val="auto"/>
        <w:rPr>
          <w:rFonts w:hint="eastAsia" w:ascii="宋体" w:hAnsi="宋体" w:eastAsia="宋体" w:cs="宋体"/>
          <w:b w:val="0"/>
          <w:bCs/>
          <w:color w:val="auto"/>
          <w:sz w:val="24"/>
          <w:highlight w:val="none"/>
          <w:lang w:val="en-US" w:eastAsia="zh-CN"/>
        </w:rPr>
      </w:pPr>
      <w:r>
        <w:rPr>
          <w:rFonts w:hint="eastAsia" w:ascii="宋体" w:hAnsi="宋体" w:eastAsia="宋体" w:cs="宋体"/>
          <w:b w:val="0"/>
          <w:bCs/>
          <w:color w:val="auto"/>
          <w:sz w:val="24"/>
          <w:highlight w:val="none"/>
          <w:lang w:val="en-US" w:eastAsia="zh-CN"/>
        </w:rPr>
        <w:t>银行账号：</w:t>
      </w:r>
      <w:r>
        <w:rPr>
          <w:rFonts w:hint="eastAsia" w:ascii="宋体" w:hAnsi="宋体" w:eastAsia="宋体" w:cs="宋体"/>
          <w:b w:val="0"/>
          <w:bCs/>
          <w:color w:val="auto"/>
          <w:sz w:val="24"/>
          <w:highlight w:val="none"/>
          <w:u w:val="single"/>
          <w:lang w:val="en-US" w:eastAsia="zh-CN"/>
        </w:rPr>
        <w:t xml:space="preserve">                </w:t>
      </w:r>
    </w:p>
    <w:p w14:paraId="3F97677B">
      <w:pPr>
        <w:pStyle w:val="21"/>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00" w:lineRule="exact"/>
        <w:ind w:right="0" w:rightChars="0" w:firstLine="480" w:firstLineChars="200"/>
        <w:textAlignment w:val="auto"/>
        <w:rPr>
          <w:rFonts w:hint="default" w:ascii="宋体" w:hAnsi="宋体" w:eastAsia="宋体" w:cs="宋体"/>
          <w:b w:val="0"/>
          <w:bCs/>
          <w:color w:val="auto"/>
          <w:sz w:val="24"/>
          <w:highlight w:val="none"/>
          <w:lang w:val="en-US" w:eastAsia="zh-CN"/>
        </w:rPr>
      </w:pPr>
      <w:r>
        <w:rPr>
          <w:rFonts w:hint="eastAsia" w:ascii="宋体" w:hAnsi="宋体" w:eastAsia="宋体" w:cs="宋体"/>
          <w:b w:val="0"/>
          <w:bCs/>
          <w:color w:val="auto"/>
          <w:sz w:val="24"/>
          <w:highlight w:val="none"/>
          <w:lang w:val="en-US" w:eastAsia="zh-CN"/>
        </w:rPr>
        <w:t>4.6甲方向以上账户付款，即为完成本合同项下对乙方相应的付款义务。乙方对上述账户信息的准确性和可用性承担全部责任。若上述账户状态或信息发生任何变更，乙方应提前7个工作日使甲方获悉，否则甲方不对乙方迟延收到或未能收到任何款项承担责任。</w:t>
      </w:r>
    </w:p>
    <w:p w14:paraId="210EACB6">
      <w:pPr>
        <w:pStyle w:val="21"/>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00" w:lineRule="exact"/>
        <w:ind w:right="0" w:rightChars="0" w:firstLine="482" w:firstLineChars="200"/>
        <w:textAlignment w:val="auto"/>
        <w:rPr>
          <w:rFonts w:hint="eastAsia" w:ascii="Segoe UI" w:hAnsi="Segoe UI" w:eastAsia="宋体" w:cs="Segoe UI"/>
          <w:b/>
          <w:bCs/>
          <w:i w:val="0"/>
          <w:iCs w:val="0"/>
          <w:caps w:val="0"/>
          <w:color w:val="404040"/>
          <w:spacing w:val="0"/>
          <w:sz w:val="24"/>
          <w:szCs w:val="24"/>
          <w:lang w:val="en-US" w:eastAsia="zh-CN"/>
        </w:rPr>
      </w:pPr>
      <w:r>
        <w:rPr>
          <w:rFonts w:hint="eastAsia" w:ascii="Segoe UI" w:hAnsi="Segoe UI" w:eastAsia="宋体" w:cs="Segoe UI"/>
          <w:b/>
          <w:bCs/>
          <w:i w:val="0"/>
          <w:iCs w:val="0"/>
          <w:caps w:val="0"/>
          <w:color w:val="404040"/>
          <w:spacing w:val="0"/>
          <w:kern w:val="0"/>
          <w:sz w:val="24"/>
          <w:szCs w:val="24"/>
          <w:lang w:val="en-US" w:eastAsia="zh-CN" w:bidi="ar"/>
        </w:rPr>
        <w:t xml:space="preserve">第五条 </w:t>
      </w:r>
      <w:r>
        <w:rPr>
          <w:rFonts w:hint="eastAsia" w:ascii="Segoe UI" w:hAnsi="Segoe UI" w:eastAsia="宋体" w:cs="Segoe UI"/>
          <w:b/>
          <w:bCs/>
          <w:i w:val="0"/>
          <w:iCs w:val="0"/>
          <w:caps w:val="0"/>
          <w:color w:val="404040"/>
          <w:spacing w:val="0"/>
          <w:sz w:val="24"/>
          <w:szCs w:val="24"/>
          <w:lang w:val="en-US" w:eastAsia="zh-CN"/>
        </w:rPr>
        <w:t>服务质量及验收标准</w:t>
      </w:r>
    </w:p>
    <w:p w14:paraId="16E903E9">
      <w:pPr>
        <w:pStyle w:val="21"/>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00" w:lineRule="exact"/>
        <w:ind w:right="0" w:rightChars="0" w:firstLine="480" w:firstLineChars="200"/>
        <w:textAlignment w:val="auto"/>
        <w:rPr>
          <w:rFonts w:hint="default" w:ascii="宋体" w:hAnsi="宋体" w:eastAsia="宋体" w:cs="宋体"/>
          <w:b w:val="0"/>
          <w:bCs w:val="0"/>
          <w:kern w:val="2"/>
          <w:sz w:val="24"/>
          <w:szCs w:val="24"/>
          <w:highlight w:val="none"/>
          <w:lang w:val="en-US" w:eastAsia="zh-CN" w:bidi="ar-SA"/>
        </w:rPr>
      </w:pPr>
      <w:r>
        <w:rPr>
          <w:rFonts w:hint="eastAsia" w:ascii="宋体" w:hAnsi="宋体" w:eastAsia="宋体" w:cs="宋体"/>
          <w:i w:val="0"/>
          <w:iCs w:val="0"/>
          <w:caps w:val="0"/>
          <w:color w:val="404040"/>
          <w:spacing w:val="0"/>
          <w:sz w:val="24"/>
          <w:szCs w:val="24"/>
          <w:lang w:val="en-US" w:eastAsia="zh-CN"/>
        </w:rPr>
        <w:t>5.1验收标准：按照新疆维吾尔自治区住房和城乡建设厅发布的《城市绿地养护管理标准》中园林绿化一级养护标准执行。</w:t>
      </w:r>
    </w:p>
    <w:p w14:paraId="5B5289A4">
      <w:pPr>
        <w:keepNext w:val="0"/>
        <w:keepLines w:val="0"/>
        <w:pageBreakBefore w:val="0"/>
        <w:kinsoku/>
        <w:wordWrap/>
        <w:overflowPunct/>
        <w:topLinePunct w:val="0"/>
        <w:autoSpaceDE/>
        <w:autoSpaceDN/>
        <w:bidi w:val="0"/>
        <w:adjustRightInd/>
        <w:snapToGrid/>
        <w:spacing w:beforeAutospacing="0" w:line="400" w:lineRule="exact"/>
        <w:ind w:firstLine="480" w:firstLineChars="200"/>
        <w:textAlignment w:val="auto"/>
        <w:rPr>
          <w:rFonts w:hint="eastAsia" w:ascii="宋体" w:hAnsi="宋体" w:eastAsia="宋体" w:cs="宋体"/>
          <w:b w:val="0"/>
          <w:bCs/>
          <w:color w:val="auto"/>
          <w:sz w:val="24"/>
          <w:highlight w:val="none"/>
          <w:lang w:val="en-US" w:eastAsia="zh-CN"/>
        </w:rPr>
      </w:pPr>
      <w:r>
        <w:rPr>
          <w:rFonts w:hint="eastAsia" w:ascii="宋体" w:hAnsi="宋体" w:eastAsia="宋体" w:cs="宋体"/>
          <w:b w:val="0"/>
          <w:bCs/>
          <w:color w:val="auto"/>
          <w:sz w:val="24"/>
          <w:highlight w:val="none"/>
          <w:lang w:val="en-US" w:eastAsia="zh-CN"/>
        </w:rPr>
        <w:t>5.2甲方每月组织人员对养护工作进行全程督促检查。签订合同进场养护后，按月考核，根据考核结果支付合同款项。</w:t>
      </w:r>
    </w:p>
    <w:p w14:paraId="06F0282B">
      <w:pPr>
        <w:keepNext w:val="0"/>
        <w:keepLines w:val="0"/>
        <w:pageBreakBefore w:val="0"/>
        <w:kinsoku/>
        <w:wordWrap/>
        <w:overflowPunct/>
        <w:topLinePunct w:val="0"/>
        <w:autoSpaceDE/>
        <w:autoSpaceDN/>
        <w:bidi w:val="0"/>
        <w:adjustRightInd/>
        <w:snapToGrid/>
        <w:spacing w:beforeAutospacing="0" w:line="400" w:lineRule="exact"/>
        <w:ind w:firstLine="480" w:firstLineChars="200"/>
        <w:textAlignment w:val="auto"/>
        <w:rPr>
          <w:rFonts w:hint="eastAsia" w:ascii="宋体" w:hAnsi="宋体" w:eastAsia="宋体" w:cs="宋体"/>
          <w:b w:val="0"/>
          <w:bCs/>
          <w:color w:val="auto"/>
          <w:sz w:val="24"/>
          <w:highlight w:val="none"/>
          <w:lang w:val="en-US" w:eastAsia="zh-CN"/>
        </w:rPr>
      </w:pPr>
      <w:r>
        <w:rPr>
          <w:rFonts w:hint="eastAsia" w:ascii="宋体" w:hAnsi="宋体" w:eastAsia="宋体" w:cs="宋体"/>
          <w:b w:val="0"/>
          <w:bCs/>
          <w:color w:val="auto"/>
          <w:sz w:val="24"/>
          <w:highlight w:val="none"/>
          <w:lang w:val="en-US" w:eastAsia="zh-CN"/>
        </w:rPr>
        <w:t>5.3考核结果：按月考核，共计考核7次。考核总分≥95分，当月合格；85分≤考核总分＜95分，当月扣款合同款5000元；75分≤考核总分＜85分，当月扣款10000元；考核总分＜75分，甲方有权扣除合同价款的10%，并由乙方赔偿所有损失。</w:t>
      </w:r>
    </w:p>
    <w:p w14:paraId="08146189">
      <w:pPr>
        <w:keepNext w:val="0"/>
        <w:keepLines w:val="0"/>
        <w:pageBreakBefore w:val="0"/>
        <w:kinsoku/>
        <w:wordWrap/>
        <w:overflowPunct/>
        <w:topLinePunct w:val="0"/>
        <w:autoSpaceDE/>
        <w:autoSpaceDN/>
        <w:bidi w:val="0"/>
        <w:adjustRightInd/>
        <w:snapToGrid/>
        <w:spacing w:beforeAutospacing="0" w:line="400" w:lineRule="exact"/>
        <w:ind w:firstLine="482" w:firstLineChars="200"/>
        <w:jc w:val="center"/>
        <w:textAlignment w:val="auto"/>
        <w:rPr>
          <w:rFonts w:hint="eastAsia" w:ascii="宋体" w:hAnsi="宋体" w:eastAsia="宋体" w:cs="宋体"/>
          <w:b/>
          <w:bCs w:val="0"/>
          <w:color w:val="auto"/>
          <w:sz w:val="24"/>
          <w:highlight w:val="none"/>
          <w:lang w:val="en-US" w:eastAsia="zh-CN"/>
        </w:rPr>
      </w:pPr>
      <w:r>
        <w:rPr>
          <w:rFonts w:hint="eastAsia" w:ascii="宋体" w:hAnsi="宋体" w:eastAsia="宋体" w:cs="宋体"/>
          <w:b/>
          <w:bCs w:val="0"/>
          <w:color w:val="auto"/>
          <w:sz w:val="24"/>
          <w:highlight w:val="none"/>
          <w:lang w:val="en-US" w:eastAsia="zh-CN"/>
        </w:rPr>
        <w:t>绿化养护考核标准</w:t>
      </w:r>
    </w:p>
    <w:tbl>
      <w:tblPr>
        <w:tblStyle w:val="25"/>
        <w:tblW w:w="861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647"/>
        <w:gridCol w:w="696"/>
        <w:gridCol w:w="633"/>
        <w:gridCol w:w="5974"/>
        <w:gridCol w:w="668"/>
      </w:tblGrid>
      <w:tr w14:paraId="74DB48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647" w:type="dxa"/>
            <w:tcBorders>
              <w:top w:val="single" w:color="000000" w:sz="4" w:space="0"/>
              <w:left w:val="single" w:color="000000" w:sz="4" w:space="0"/>
              <w:bottom w:val="single" w:color="000000" w:sz="4" w:space="0"/>
              <w:right w:val="single" w:color="000000" w:sz="4" w:space="0"/>
            </w:tcBorders>
            <w:noWrap w:val="0"/>
            <w:vAlign w:val="center"/>
          </w:tcPr>
          <w:p w14:paraId="40E52CC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序号</w:t>
            </w:r>
          </w:p>
        </w:tc>
        <w:tc>
          <w:tcPr>
            <w:tcW w:w="696" w:type="dxa"/>
            <w:tcBorders>
              <w:top w:val="single" w:color="000000" w:sz="4" w:space="0"/>
              <w:left w:val="single" w:color="000000" w:sz="4" w:space="0"/>
              <w:bottom w:val="single" w:color="000000" w:sz="4" w:space="0"/>
              <w:right w:val="nil"/>
            </w:tcBorders>
            <w:noWrap w:val="0"/>
            <w:vAlign w:val="center"/>
          </w:tcPr>
          <w:p w14:paraId="67AEE59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项目</w:t>
            </w:r>
          </w:p>
        </w:tc>
        <w:tc>
          <w:tcPr>
            <w:tcW w:w="633" w:type="dxa"/>
            <w:tcBorders>
              <w:top w:val="single" w:color="000000" w:sz="4" w:space="0"/>
              <w:left w:val="single" w:color="000000" w:sz="4" w:space="0"/>
              <w:bottom w:val="single" w:color="000000" w:sz="4" w:space="0"/>
              <w:right w:val="single" w:color="000000" w:sz="4" w:space="0"/>
            </w:tcBorders>
            <w:noWrap w:val="0"/>
            <w:vAlign w:val="center"/>
          </w:tcPr>
          <w:p w14:paraId="1BA2903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分值</w:t>
            </w:r>
          </w:p>
        </w:tc>
        <w:tc>
          <w:tcPr>
            <w:tcW w:w="5974" w:type="dxa"/>
            <w:tcBorders>
              <w:top w:val="single" w:color="000000" w:sz="4" w:space="0"/>
              <w:left w:val="single" w:color="000000" w:sz="4" w:space="0"/>
              <w:bottom w:val="single" w:color="000000" w:sz="4" w:space="0"/>
              <w:right w:val="single" w:color="000000" w:sz="4" w:space="0"/>
            </w:tcBorders>
            <w:noWrap w:val="0"/>
            <w:vAlign w:val="center"/>
          </w:tcPr>
          <w:p w14:paraId="378A2F9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各项目扣分标准</w:t>
            </w:r>
          </w:p>
        </w:tc>
        <w:tc>
          <w:tcPr>
            <w:tcW w:w="668" w:type="dxa"/>
            <w:tcBorders>
              <w:top w:val="single" w:color="000000" w:sz="4" w:space="0"/>
              <w:left w:val="single" w:color="000000" w:sz="4" w:space="0"/>
              <w:bottom w:val="single" w:color="000000" w:sz="4" w:space="0"/>
              <w:right w:val="single" w:color="000000" w:sz="4" w:space="0"/>
            </w:tcBorders>
            <w:noWrap w:val="0"/>
            <w:vAlign w:val="center"/>
          </w:tcPr>
          <w:p w14:paraId="46A413E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扣分</w:t>
            </w:r>
          </w:p>
        </w:tc>
      </w:tr>
      <w:tr w14:paraId="07E297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2" w:hRule="atLeast"/>
          <w:jc w:val="center"/>
        </w:trPr>
        <w:tc>
          <w:tcPr>
            <w:tcW w:w="647" w:type="dxa"/>
            <w:tcBorders>
              <w:top w:val="single" w:color="000000" w:sz="4" w:space="0"/>
              <w:left w:val="single" w:color="000000" w:sz="4" w:space="0"/>
              <w:bottom w:val="single" w:color="000000" w:sz="4" w:space="0"/>
              <w:right w:val="single" w:color="000000" w:sz="4" w:space="0"/>
            </w:tcBorders>
            <w:noWrap w:val="0"/>
            <w:vAlign w:val="center"/>
          </w:tcPr>
          <w:p w14:paraId="5E9625F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96" w:type="dxa"/>
            <w:tcBorders>
              <w:top w:val="single" w:color="000000" w:sz="4" w:space="0"/>
              <w:left w:val="single" w:color="000000" w:sz="4" w:space="0"/>
              <w:bottom w:val="single" w:color="000000" w:sz="4" w:space="0"/>
              <w:right w:val="nil"/>
            </w:tcBorders>
            <w:noWrap w:val="0"/>
            <w:vAlign w:val="center"/>
          </w:tcPr>
          <w:p w14:paraId="479A592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人员</w:t>
            </w:r>
          </w:p>
          <w:p w14:paraId="2A02D8B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管理</w:t>
            </w:r>
          </w:p>
        </w:tc>
        <w:tc>
          <w:tcPr>
            <w:tcW w:w="633" w:type="dxa"/>
            <w:tcBorders>
              <w:top w:val="single" w:color="000000" w:sz="4" w:space="0"/>
              <w:left w:val="single" w:color="000000" w:sz="4" w:space="0"/>
              <w:bottom w:val="single" w:color="000000" w:sz="4" w:space="0"/>
              <w:right w:val="single" w:color="000000" w:sz="4" w:space="0"/>
            </w:tcBorders>
            <w:noWrap w:val="0"/>
            <w:vAlign w:val="center"/>
          </w:tcPr>
          <w:p w14:paraId="36AE60B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5974" w:type="dxa"/>
            <w:tcBorders>
              <w:top w:val="single" w:color="000000" w:sz="4" w:space="0"/>
              <w:left w:val="single" w:color="000000" w:sz="4" w:space="0"/>
              <w:bottom w:val="single" w:color="000000" w:sz="4" w:space="0"/>
              <w:right w:val="single" w:color="000000" w:sz="4" w:space="0"/>
            </w:tcBorders>
            <w:noWrap w:val="0"/>
            <w:vAlign w:val="center"/>
          </w:tcPr>
          <w:p w14:paraId="25603CE7">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人员按照学校规定做好正规备案，不得无备案人员出入校园，违反每人次扣0.5分；2.从业人员必须有信息表、政审、保险、合同各项不全每一项扣0.3分，各项</w:t>
            </w:r>
            <w:r>
              <w:rPr>
                <w:rFonts w:hint="eastAsia" w:ascii="宋体" w:hAnsi="宋体" w:eastAsia="宋体" w:cs="宋体"/>
                <w:i w:val="0"/>
                <w:iCs w:val="0"/>
                <w:color w:val="000000"/>
                <w:kern w:val="0"/>
                <w:sz w:val="24"/>
                <w:szCs w:val="24"/>
                <w:u w:val="none"/>
                <w:lang w:val="en-US" w:eastAsia="zh-CN" w:bidi="ar"/>
              </w:rPr>
              <w:t>均没有扣1分；3.违反校纪校规每人次扣0.5分；4.绿化工人着装不统一，不整齐扣0.5分。</w:t>
            </w:r>
          </w:p>
        </w:tc>
        <w:tc>
          <w:tcPr>
            <w:tcW w:w="668" w:type="dxa"/>
            <w:tcBorders>
              <w:top w:val="single" w:color="000000" w:sz="4" w:space="0"/>
              <w:left w:val="single" w:color="000000" w:sz="4" w:space="0"/>
              <w:bottom w:val="single" w:color="000000" w:sz="4" w:space="0"/>
              <w:right w:val="single" w:color="000000" w:sz="4" w:space="0"/>
            </w:tcBorders>
            <w:noWrap w:val="0"/>
            <w:vAlign w:val="center"/>
          </w:tcPr>
          <w:p w14:paraId="46F30922">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4"/>
                <w:szCs w:val="24"/>
                <w:u w:val="none"/>
              </w:rPr>
            </w:pPr>
          </w:p>
        </w:tc>
      </w:tr>
      <w:tr w14:paraId="240AF3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0" w:hRule="atLeast"/>
          <w:jc w:val="center"/>
        </w:trPr>
        <w:tc>
          <w:tcPr>
            <w:tcW w:w="647" w:type="dxa"/>
            <w:tcBorders>
              <w:top w:val="single" w:color="000000" w:sz="4" w:space="0"/>
              <w:left w:val="single" w:color="000000" w:sz="4" w:space="0"/>
              <w:bottom w:val="single" w:color="000000" w:sz="4" w:space="0"/>
              <w:right w:val="single" w:color="000000" w:sz="4" w:space="0"/>
            </w:tcBorders>
            <w:noWrap w:val="0"/>
            <w:vAlign w:val="center"/>
          </w:tcPr>
          <w:p w14:paraId="790F247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696" w:type="dxa"/>
            <w:tcBorders>
              <w:top w:val="single" w:color="000000" w:sz="4" w:space="0"/>
              <w:left w:val="single" w:color="000000" w:sz="4" w:space="0"/>
              <w:bottom w:val="single" w:color="000000" w:sz="4" w:space="0"/>
              <w:right w:val="nil"/>
            </w:tcBorders>
            <w:noWrap w:val="0"/>
            <w:vAlign w:val="center"/>
          </w:tcPr>
          <w:p w14:paraId="72764F8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安全生产管理</w:t>
            </w:r>
          </w:p>
        </w:tc>
        <w:tc>
          <w:tcPr>
            <w:tcW w:w="633" w:type="dxa"/>
            <w:tcBorders>
              <w:top w:val="single" w:color="000000" w:sz="4" w:space="0"/>
              <w:left w:val="single" w:color="000000" w:sz="4" w:space="0"/>
              <w:bottom w:val="single" w:color="000000" w:sz="4" w:space="0"/>
              <w:right w:val="single" w:color="000000" w:sz="4" w:space="0"/>
            </w:tcBorders>
            <w:noWrap w:val="0"/>
            <w:vAlign w:val="center"/>
          </w:tcPr>
          <w:p w14:paraId="67959CD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5974" w:type="dxa"/>
            <w:tcBorders>
              <w:top w:val="single" w:color="000000" w:sz="4" w:space="0"/>
              <w:left w:val="single" w:color="000000" w:sz="4" w:space="0"/>
              <w:bottom w:val="single" w:color="000000" w:sz="4" w:space="0"/>
              <w:right w:val="single" w:color="000000" w:sz="4" w:space="0"/>
            </w:tcBorders>
            <w:noWrap w:val="0"/>
            <w:vAlign w:val="center"/>
          </w:tcPr>
          <w:p w14:paraId="2E960F56">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安全生产教育每月1次（有资料印证）少一次扣0.5分；2.农药专人管理，农药随用随出校，不得留在学校，出入库记录不全扣1分，农药废弃物回收不到位扣2分；3.机械停放在不到位扣0.5分；4.阀门井安全及操作规程，专人负责不到位每一处扣1分；5.工人防火、环境卫生每一处不到位扣0.5分；风险隐患排查每周一次（资料印证），每少一次扣0.5分。</w:t>
            </w:r>
          </w:p>
        </w:tc>
        <w:tc>
          <w:tcPr>
            <w:tcW w:w="668" w:type="dxa"/>
            <w:tcBorders>
              <w:top w:val="single" w:color="000000" w:sz="4" w:space="0"/>
              <w:left w:val="single" w:color="000000" w:sz="4" w:space="0"/>
              <w:bottom w:val="single" w:color="000000" w:sz="4" w:space="0"/>
              <w:right w:val="single" w:color="000000" w:sz="4" w:space="0"/>
            </w:tcBorders>
            <w:noWrap w:val="0"/>
            <w:vAlign w:val="center"/>
          </w:tcPr>
          <w:p w14:paraId="3738F824">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4"/>
                <w:szCs w:val="24"/>
                <w:u w:val="none"/>
              </w:rPr>
            </w:pPr>
          </w:p>
        </w:tc>
      </w:tr>
      <w:tr w14:paraId="510AB7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647" w:type="dxa"/>
            <w:tcBorders>
              <w:top w:val="single" w:color="000000" w:sz="4" w:space="0"/>
              <w:left w:val="single" w:color="000000" w:sz="4" w:space="0"/>
              <w:bottom w:val="single" w:color="000000" w:sz="4" w:space="0"/>
              <w:right w:val="single" w:color="000000" w:sz="4" w:space="0"/>
            </w:tcBorders>
            <w:noWrap w:val="0"/>
            <w:vAlign w:val="center"/>
          </w:tcPr>
          <w:p w14:paraId="158062E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696" w:type="dxa"/>
            <w:tcBorders>
              <w:top w:val="single" w:color="000000" w:sz="4" w:space="0"/>
              <w:left w:val="single" w:color="000000" w:sz="4" w:space="0"/>
              <w:bottom w:val="single" w:color="000000" w:sz="4" w:space="0"/>
              <w:right w:val="nil"/>
            </w:tcBorders>
            <w:noWrap w:val="0"/>
            <w:vAlign w:val="center"/>
          </w:tcPr>
          <w:p w14:paraId="1F2A358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档案资料建立</w:t>
            </w:r>
          </w:p>
        </w:tc>
        <w:tc>
          <w:tcPr>
            <w:tcW w:w="633" w:type="dxa"/>
            <w:tcBorders>
              <w:top w:val="single" w:color="000000" w:sz="4" w:space="0"/>
              <w:left w:val="single" w:color="000000" w:sz="4" w:space="0"/>
              <w:bottom w:val="single" w:color="000000" w:sz="4" w:space="0"/>
              <w:right w:val="single" w:color="000000" w:sz="4" w:space="0"/>
            </w:tcBorders>
            <w:noWrap w:val="0"/>
            <w:vAlign w:val="center"/>
          </w:tcPr>
          <w:p w14:paraId="0D9C55B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5974" w:type="dxa"/>
            <w:tcBorders>
              <w:top w:val="single" w:color="000000" w:sz="4" w:space="0"/>
              <w:left w:val="single" w:color="000000" w:sz="4" w:space="0"/>
              <w:bottom w:val="single" w:color="000000" w:sz="4" w:space="0"/>
              <w:right w:val="single" w:color="000000" w:sz="4" w:space="0"/>
            </w:tcBorders>
            <w:noWrap w:val="0"/>
            <w:vAlign w:val="center"/>
          </w:tcPr>
          <w:p w14:paraId="52F5E2AC">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组织机构、养护方案、管理制度、岗位职责、岗位规范、操作规程、养护进度、人员信息档案、巡查记录、打药记录每少一项扣1分。</w:t>
            </w:r>
          </w:p>
        </w:tc>
        <w:tc>
          <w:tcPr>
            <w:tcW w:w="668" w:type="dxa"/>
            <w:tcBorders>
              <w:top w:val="single" w:color="000000" w:sz="4" w:space="0"/>
              <w:left w:val="single" w:color="000000" w:sz="4" w:space="0"/>
              <w:bottom w:val="single" w:color="000000" w:sz="4" w:space="0"/>
              <w:right w:val="single" w:color="000000" w:sz="4" w:space="0"/>
            </w:tcBorders>
            <w:noWrap w:val="0"/>
            <w:vAlign w:val="center"/>
          </w:tcPr>
          <w:p w14:paraId="5B0F8FEB">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4"/>
                <w:szCs w:val="24"/>
                <w:u w:val="none"/>
              </w:rPr>
            </w:pPr>
          </w:p>
        </w:tc>
      </w:tr>
      <w:tr w14:paraId="0AF6FB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jc w:val="center"/>
        </w:trPr>
        <w:tc>
          <w:tcPr>
            <w:tcW w:w="647" w:type="dxa"/>
            <w:tcBorders>
              <w:top w:val="single" w:color="000000" w:sz="4" w:space="0"/>
              <w:left w:val="single" w:color="000000" w:sz="4" w:space="0"/>
              <w:bottom w:val="single" w:color="000000" w:sz="4" w:space="0"/>
              <w:right w:val="single" w:color="000000" w:sz="4" w:space="0"/>
            </w:tcBorders>
            <w:noWrap w:val="0"/>
            <w:vAlign w:val="center"/>
          </w:tcPr>
          <w:p w14:paraId="3B62924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4326CA2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植保</w:t>
            </w:r>
          </w:p>
          <w:p w14:paraId="1D47D11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防治</w:t>
            </w:r>
          </w:p>
        </w:tc>
        <w:tc>
          <w:tcPr>
            <w:tcW w:w="633" w:type="dxa"/>
            <w:tcBorders>
              <w:top w:val="single" w:color="000000" w:sz="4" w:space="0"/>
              <w:left w:val="single" w:color="000000" w:sz="4" w:space="0"/>
              <w:bottom w:val="single" w:color="000000" w:sz="4" w:space="0"/>
              <w:right w:val="single" w:color="000000" w:sz="4" w:space="0"/>
            </w:tcBorders>
            <w:noWrap w:val="0"/>
            <w:vAlign w:val="center"/>
          </w:tcPr>
          <w:p w14:paraId="5874B79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5974" w:type="dxa"/>
            <w:tcBorders>
              <w:top w:val="single" w:color="000000" w:sz="4" w:space="0"/>
              <w:left w:val="single" w:color="000000" w:sz="4" w:space="0"/>
              <w:bottom w:val="single" w:color="000000" w:sz="4" w:space="0"/>
              <w:right w:val="single" w:color="000000" w:sz="4" w:space="0"/>
            </w:tcBorders>
            <w:noWrap w:val="0"/>
            <w:vAlign w:val="center"/>
          </w:tcPr>
          <w:p w14:paraId="0A68CB6D">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根据合同约定草坪、灌木、花卉、亚乔木（单株）、乔木（单株）病虫害最严重危害不得超过8％，超过每一处扣1分，发现病虫害严重并且防止不及时导致树木死亡每株扣2分；2.因病虫害导致苗木枯黄、长势差等现象，每株扣除0.1分；3.植保防治工作喷施农药前要提前2天报备学校，包括喷施农药种类，采取集中打药的方式，不得私自分片喷施农药，发现一次扣5分。</w:t>
            </w:r>
          </w:p>
        </w:tc>
        <w:tc>
          <w:tcPr>
            <w:tcW w:w="668" w:type="dxa"/>
            <w:tcBorders>
              <w:top w:val="single" w:color="000000" w:sz="4" w:space="0"/>
              <w:left w:val="single" w:color="000000" w:sz="4" w:space="0"/>
              <w:bottom w:val="single" w:color="000000" w:sz="4" w:space="0"/>
              <w:right w:val="single" w:color="000000" w:sz="4" w:space="0"/>
            </w:tcBorders>
            <w:noWrap w:val="0"/>
            <w:vAlign w:val="center"/>
          </w:tcPr>
          <w:p w14:paraId="124D66EB">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4"/>
                <w:szCs w:val="24"/>
                <w:u w:val="none"/>
              </w:rPr>
            </w:pPr>
          </w:p>
        </w:tc>
      </w:tr>
      <w:tr w14:paraId="556E1F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6" w:hRule="atLeast"/>
          <w:jc w:val="center"/>
        </w:trPr>
        <w:tc>
          <w:tcPr>
            <w:tcW w:w="647" w:type="dxa"/>
            <w:tcBorders>
              <w:top w:val="single" w:color="000000" w:sz="4" w:space="0"/>
              <w:left w:val="single" w:color="000000" w:sz="4" w:space="0"/>
              <w:bottom w:val="single" w:color="000000" w:sz="4" w:space="0"/>
              <w:right w:val="single" w:color="000000" w:sz="4" w:space="0"/>
            </w:tcBorders>
            <w:noWrap w:val="0"/>
            <w:vAlign w:val="center"/>
          </w:tcPr>
          <w:p w14:paraId="35E3654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565B382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灌溉</w:t>
            </w:r>
          </w:p>
        </w:tc>
        <w:tc>
          <w:tcPr>
            <w:tcW w:w="633" w:type="dxa"/>
            <w:tcBorders>
              <w:top w:val="single" w:color="000000" w:sz="4" w:space="0"/>
              <w:left w:val="single" w:color="000000" w:sz="4" w:space="0"/>
              <w:bottom w:val="single" w:color="000000" w:sz="4" w:space="0"/>
              <w:right w:val="single" w:color="000000" w:sz="4" w:space="0"/>
            </w:tcBorders>
            <w:noWrap w:val="0"/>
            <w:vAlign w:val="center"/>
          </w:tcPr>
          <w:p w14:paraId="7522282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5974" w:type="dxa"/>
            <w:tcBorders>
              <w:top w:val="single" w:color="000000" w:sz="4" w:space="0"/>
              <w:left w:val="single" w:color="000000" w:sz="4" w:space="0"/>
              <w:bottom w:val="single" w:color="000000" w:sz="4" w:space="0"/>
              <w:right w:val="single" w:color="000000" w:sz="4" w:space="0"/>
            </w:tcBorders>
            <w:noWrap w:val="0"/>
            <w:vAlign w:val="center"/>
          </w:tcPr>
          <w:p w14:paraId="33EC90CB">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1.根据不同植物、不同灌溉方式进行灌溉，乔木、亚乔木、灌木、花卉必须采取灌透。草坪采取喷灌，注重坡地、重要节点灌溉，若因灌溉不及时、不均匀造成草坪死亡的，每一处扣2分，造成枯黄的，每一处扣1分；造成灌木、花卉死亡的每一处扣2分，造成枯黄的，每一处扣1分；造成乔木、亚乔木死亡的，每一株扣2分，枯黄的每一处扣1分；2.灌溉井破损未报修每处扣1分，管道维修未及时恢复，每处扣0.5分。3.灌溉阀门井没有及时封盖每处扣0.5分。4.灌溉跑冒滴漏无人看管或无人解决扣0.5分。</w:t>
            </w:r>
          </w:p>
        </w:tc>
        <w:tc>
          <w:tcPr>
            <w:tcW w:w="668" w:type="dxa"/>
            <w:tcBorders>
              <w:top w:val="single" w:color="000000" w:sz="4" w:space="0"/>
              <w:left w:val="single" w:color="000000" w:sz="4" w:space="0"/>
              <w:bottom w:val="single" w:color="000000" w:sz="4" w:space="0"/>
              <w:right w:val="single" w:color="000000" w:sz="4" w:space="0"/>
            </w:tcBorders>
            <w:noWrap w:val="0"/>
            <w:vAlign w:val="center"/>
          </w:tcPr>
          <w:p w14:paraId="6BD043B1">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FF0000"/>
                <w:sz w:val="24"/>
                <w:szCs w:val="24"/>
                <w:u w:val="none"/>
              </w:rPr>
            </w:pPr>
          </w:p>
        </w:tc>
      </w:tr>
      <w:tr w14:paraId="220473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0" w:hRule="atLeast"/>
          <w:jc w:val="center"/>
        </w:trPr>
        <w:tc>
          <w:tcPr>
            <w:tcW w:w="647" w:type="dxa"/>
            <w:tcBorders>
              <w:top w:val="single" w:color="000000" w:sz="4" w:space="0"/>
              <w:left w:val="single" w:color="000000" w:sz="4" w:space="0"/>
              <w:bottom w:val="single" w:color="000000" w:sz="4" w:space="0"/>
              <w:right w:val="single" w:color="000000" w:sz="4" w:space="0"/>
            </w:tcBorders>
            <w:noWrap w:val="0"/>
            <w:vAlign w:val="center"/>
          </w:tcPr>
          <w:p w14:paraId="1E8A3D8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6BF762E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修剪</w:t>
            </w:r>
          </w:p>
          <w:p w14:paraId="77DA6CE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抹芽</w:t>
            </w:r>
          </w:p>
        </w:tc>
        <w:tc>
          <w:tcPr>
            <w:tcW w:w="633" w:type="dxa"/>
            <w:tcBorders>
              <w:top w:val="single" w:color="000000" w:sz="4" w:space="0"/>
              <w:left w:val="single" w:color="000000" w:sz="4" w:space="0"/>
              <w:bottom w:val="single" w:color="000000" w:sz="4" w:space="0"/>
              <w:right w:val="single" w:color="000000" w:sz="4" w:space="0"/>
            </w:tcBorders>
            <w:noWrap w:val="0"/>
            <w:vAlign w:val="center"/>
          </w:tcPr>
          <w:p w14:paraId="0510CC2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5974" w:type="dxa"/>
            <w:tcBorders>
              <w:top w:val="single" w:color="000000" w:sz="4" w:space="0"/>
              <w:left w:val="single" w:color="000000" w:sz="4" w:space="0"/>
              <w:bottom w:val="single" w:color="000000" w:sz="4" w:space="0"/>
              <w:right w:val="single" w:color="000000" w:sz="4" w:space="0"/>
            </w:tcBorders>
            <w:noWrap w:val="0"/>
            <w:vAlign w:val="center"/>
          </w:tcPr>
          <w:p w14:paraId="5570E647">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1.干枝、断枝、病枝未清除、未涂抹伤口，每棵树扣0.1分；2.抹芽时分支点以上50cm以下新芽（不超过5cm）全部抹去，未做每棵树扣0.1分，检查点位整体未做扣除该分值平均分。3.草坪修剪后高度保持</w:t>
            </w:r>
            <w:r>
              <w:rPr>
                <w:rFonts w:hint="default"/>
                <w:sz w:val="24"/>
                <w:szCs w:val="24"/>
                <w:highlight w:val="none"/>
                <w:lang w:val="en-US" w:eastAsia="zh-CN"/>
              </w:rPr>
              <w:t>10cm</w:t>
            </w:r>
            <w:r>
              <w:rPr>
                <w:rFonts w:hint="eastAsia"/>
                <w:sz w:val="24"/>
                <w:szCs w:val="24"/>
                <w:highlight w:val="none"/>
                <w:lang w:val="en-US" w:eastAsia="zh-CN"/>
              </w:rPr>
              <w:t>左右</w:t>
            </w:r>
            <w:r>
              <w:rPr>
                <w:rFonts w:hint="eastAsia" w:ascii="宋体" w:hAnsi="宋体" w:eastAsia="宋体" w:cs="宋体"/>
                <w:i w:val="0"/>
                <w:iCs w:val="0"/>
                <w:color w:val="000000"/>
                <w:kern w:val="0"/>
                <w:sz w:val="24"/>
                <w:szCs w:val="24"/>
                <w:u w:val="none"/>
                <w:lang w:val="en-US" w:eastAsia="zh-CN" w:bidi="ar"/>
              </w:rPr>
              <w:t>，出现整体不平整每点位扣0.5分，出穗过多每点位扣0.5分。4.修剪后未及时清理修剪产生的枝叶每堆扣0.1分，未收拢该点位扣平均分值；5.绿篱修剪需面平边直，新枝不高于15cm，发现超10平方米以上每处扣0.5分，修剪后未清理该点位平均分值扣除，成堆未清出林地每堆扣0.2分；6.大林带、片林、经济林、空白地为割草高度超过20cm，每处扣除0.5分。</w:t>
            </w:r>
          </w:p>
        </w:tc>
        <w:tc>
          <w:tcPr>
            <w:tcW w:w="668" w:type="dxa"/>
            <w:tcBorders>
              <w:top w:val="single" w:color="000000" w:sz="4" w:space="0"/>
              <w:left w:val="single" w:color="000000" w:sz="4" w:space="0"/>
              <w:bottom w:val="single" w:color="000000" w:sz="4" w:space="0"/>
              <w:right w:val="single" w:color="000000" w:sz="4" w:space="0"/>
            </w:tcBorders>
            <w:noWrap w:val="0"/>
            <w:vAlign w:val="center"/>
          </w:tcPr>
          <w:p w14:paraId="5A0E4967">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FF0000"/>
                <w:sz w:val="24"/>
                <w:szCs w:val="24"/>
                <w:u w:val="none"/>
              </w:rPr>
            </w:pPr>
          </w:p>
        </w:tc>
      </w:tr>
      <w:tr w14:paraId="0ED326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8" w:hRule="atLeast"/>
          <w:jc w:val="center"/>
        </w:trPr>
        <w:tc>
          <w:tcPr>
            <w:tcW w:w="647" w:type="dxa"/>
            <w:tcBorders>
              <w:top w:val="single" w:color="000000" w:sz="4" w:space="0"/>
              <w:left w:val="single" w:color="000000" w:sz="4" w:space="0"/>
              <w:bottom w:val="single" w:color="000000" w:sz="4" w:space="0"/>
              <w:right w:val="single" w:color="000000" w:sz="4" w:space="0"/>
            </w:tcBorders>
            <w:noWrap w:val="0"/>
            <w:vAlign w:val="center"/>
          </w:tcPr>
          <w:p w14:paraId="18FC168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1A40C45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除草</w:t>
            </w:r>
          </w:p>
        </w:tc>
        <w:tc>
          <w:tcPr>
            <w:tcW w:w="633" w:type="dxa"/>
            <w:tcBorders>
              <w:top w:val="single" w:color="000000" w:sz="4" w:space="0"/>
              <w:left w:val="single" w:color="000000" w:sz="4" w:space="0"/>
              <w:bottom w:val="single" w:color="000000" w:sz="4" w:space="0"/>
              <w:right w:val="single" w:color="000000" w:sz="4" w:space="0"/>
            </w:tcBorders>
            <w:noWrap w:val="0"/>
            <w:vAlign w:val="center"/>
          </w:tcPr>
          <w:p w14:paraId="7EF08CC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5974" w:type="dxa"/>
            <w:tcBorders>
              <w:top w:val="single" w:color="000000" w:sz="4" w:space="0"/>
              <w:left w:val="single" w:color="000000" w:sz="4" w:space="0"/>
              <w:bottom w:val="single" w:color="000000" w:sz="4" w:space="0"/>
              <w:right w:val="single" w:color="000000" w:sz="4" w:space="0"/>
            </w:tcBorders>
            <w:noWrap w:val="0"/>
            <w:vAlign w:val="center"/>
          </w:tcPr>
          <w:p w14:paraId="3B4F1EDE">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1.空白地杂草高度保持15-25cm，超高或低于要求高度杂草未修剪的每处扣0.2分；2.道路、林床、节点、重点区域杂草未清除干净的每处1分；3.灌木、草坪、花卉内杂草需及时拔除，未拔每10</w:t>
            </w:r>
            <w:r>
              <w:rPr>
                <w:rStyle w:val="102"/>
                <w:rFonts w:hint="eastAsia" w:ascii="宋体" w:hAnsi="宋体" w:eastAsia="宋体" w:cs="宋体"/>
                <w:sz w:val="24"/>
                <w:szCs w:val="24"/>
                <w:lang w:val="en-US" w:eastAsia="zh-CN" w:bidi="ar"/>
              </w:rPr>
              <w:t>㎡</w:t>
            </w:r>
            <w:r>
              <w:rPr>
                <w:rFonts w:hint="eastAsia" w:ascii="宋体" w:hAnsi="宋体" w:eastAsia="宋体" w:cs="宋体"/>
                <w:i w:val="0"/>
                <w:iCs w:val="0"/>
                <w:color w:val="000000"/>
                <w:kern w:val="0"/>
                <w:sz w:val="24"/>
                <w:szCs w:val="24"/>
                <w:u w:val="none"/>
                <w:lang w:val="en-US" w:eastAsia="zh-CN" w:bidi="ar"/>
              </w:rPr>
              <w:t>扣0.2分。4.出现菟丝子需及时拔出，未做每点扣0.5分，禁止药物防治。</w:t>
            </w:r>
          </w:p>
        </w:tc>
        <w:tc>
          <w:tcPr>
            <w:tcW w:w="668" w:type="dxa"/>
            <w:tcBorders>
              <w:top w:val="single" w:color="000000" w:sz="4" w:space="0"/>
              <w:left w:val="single" w:color="000000" w:sz="4" w:space="0"/>
              <w:bottom w:val="single" w:color="000000" w:sz="4" w:space="0"/>
              <w:right w:val="single" w:color="000000" w:sz="4" w:space="0"/>
            </w:tcBorders>
            <w:noWrap w:val="0"/>
            <w:vAlign w:val="center"/>
          </w:tcPr>
          <w:p w14:paraId="52C96F86">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FF0000"/>
                <w:sz w:val="24"/>
                <w:szCs w:val="24"/>
                <w:u w:val="none"/>
              </w:rPr>
            </w:pPr>
          </w:p>
        </w:tc>
      </w:tr>
      <w:tr w14:paraId="35853D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jc w:val="center"/>
        </w:trPr>
        <w:tc>
          <w:tcPr>
            <w:tcW w:w="647" w:type="dxa"/>
            <w:tcBorders>
              <w:top w:val="single" w:color="000000" w:sz="4" w:space="0"/>
              <w:left w:val="single" w:color="000000" w:sz="4" w:space="0"/>
              <w:bottom w:val="single" w:color="000000" w:sz="4" w:space="0"/>
              <w:right w:val="single" w:color="000000" w:sz="4" w:space="0"/>
            </w:tcBorders>
            <w:noWrap w:val="0"/>
            <w:vAlign w:val="center"/>
          </w:tcPr>
          <w:p w14:paraId="780E606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4CC5FAC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草坪、花卉补植</w:t>
            </w:r>
          </w:p>
        </w:tc>
        <w:tc>
          <w:tcPr>
            <w:tcW w:w="633" w:type="dxa"/>
            <w:tcBorders>
              <w:top w:val="single" w:color="000000" w:sz="4" w:space="0"/>
              <w:left w:val="single" w:color="000000" w:sz="4" w:space="0"/>
              <w:bottom w:val="single" w:color="000000" w:sz="4" w:space="0"/>
              <w:right w:val="single" w:color="000000" w:sz="4" w:space="0"/>
            </w:tcBorders>
            <w:noWrap w:val="0"/>
            <w:vAlign w:val="center"/>
          </w:tcPr>
          <w:p w14:paraId="30C5E1B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5974" w:type="dxa"/>
            <w:tcBorders>
              <w:top w:val="single" w:color="000000" w:sz="4" w:space="0"/>
              <w:left w:val="single" w:color="000000" w:sz="4" w:space="0"/>
              <w:bottom w:val="single" w:color="000000" w:sz="4" w:space="0"/>
              <w:right w:val="single" w:color="000000" w:sz="4" w:space="0"/>
            </w:tcBorders>
            <w:noWrap w:val="0"/>
            <w:vAlign w:val="center"/>
          </w:tcPr>
          <w:p w14:paraId="6BB51765">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1.春季种植花卉，因踩踏等原因死亡的草坪，要及时补植，未补植的，每处扣0.5分，补植效果不明显的，每处扣0.2分；2.草坪、花卉因养护不善出现斑秃情况，每处扣0.2分。</w:t>
            </w:r>
          </w:p>
        </w:tc>
        <w:tc>
          <w:tcPr>
            <w:tcW w:w="668" w:type="dxa"/>
            <w:tcBorders>
              <w:top w:val="single" w:color="000000" w:sz="4" w:space="0"/>
              <w:left w:val="single" w:color="000000" w:sz="4" w:space="0"/>
              <w:bottom w:val="single" w:color="000000" w:sz="4" w:space="0"/>
              <w:right w:val="single" w:color="000000" w:sz="4" w:space="0"/>
            </w:tcBorders>
            <w:noWrap w:val="0"/>
            <w:vAlign w:val="center"/>
          </w:tcPr>
          <w:p w14:paraId="166C3BF0">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FF0000"/>
                <w:sz w:val="24"/>
                <w:szCs w:val="24"/>
                <w:u w:val="none"/>
              </w:rPr>
            </w:pPr>
          </w:p>
        </w:tc>
      </w:tr>
      <w:tr w14:paraId="196D20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jc w:val="center"/>
        </w:trPr>
        <w:tc>
          <w:tcPr>
            <w:tcW w:w="647" w:type="dxa"/>
            <w:tcBorders>
              <w:top w:val="single" w:color="000000" w:sz="4" w:space="0"/>
              <w:left w:val="single" w:color="000000" w:sz="4" w:space="0"/>
              <w:bottom w:val="single" w:color="000000" w:sz="4" w:space="0"/>
              <w:right w:val="single" w:color="000000" w:sz="4" w:space="0"/>
            </w:tcBorders>
            <w:noWrap w:val="0"/>
            <w:vAlign w:val="center"/>
          </w:tcPr>
          <w:p w14:paraId="1A6BAB2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47B7534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死苗</w:t>
            </w:r>
          </w:p>
          <w:p w14:paraId="0FA5511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清理</w:t>
            </w:r>
          </w:p>
        </w:tc>
        <w:tc>
          <w:tcPr>
            <w:tcW w:w="633" w:type="dxa"/>
            <w:tcBorders>
              <w:top w:val="single" w:color="000000" w:sz="4" w:space="0"/>
              <w:left w:val="single" w:color="000000" w:sz="4" w:space="0"/>
              <w:bottom w:val="single" w:color="000000" w:sz="4" w:space="0"/>
              <w:right w:val="single" w:color="000000" w:sz="4" w:space="0"/>
            </w:tcBorders>
            <w:noWrap w:val="0"/>
            <w:vAlign w:val="center"/>
          </w:tcPr>
          <w:p w14:paraId="5B69BA0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5974" w:type="dxa"/>
            <w:tcBorders>
              <w:top w:val="single" w:color="000000" w:sz="4" w:space="0"/>
              <w:left w:val="single" w:color="000000" w:sz="4" w:space="0"/>
              <w:bottom w:val="single" w:color="000000" w:sz="4" w:space="0"/>
              <w:right w:val="single" w:color="000000" w:sz="4" w:space="0"/>
            </w:tcBorders>
            <w:noWrap w:val="0"/>
            <w:vAlign w:val="center"/>
          </w:tcPr>
          <w:p w14:paraId="62E116D2">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1.灌木、亚乔木、乔木死苗如实向学校报备，学校派人核实后，及时清理，未报备私自清理的，每株扣0.5分，报备后未及时清理的扣0.2分；2.下发整改通知未及时响应清理的，扣0.3分。</w:t>
            </w:r>
          </w:p>
        </w:tc>
        <w:tc>
          <w:tcPr>
            <w:tcW w:w="668" w:type="dxa"/>
            <w:tcBorders>
              <w:top w:val="single" w:color="000000" w:sz="4" w:space="0"/>
              <w:left w:val="single" w:color="000000" w:sz="4" w:space="0"/>
              <w:bottom w:val="single" w:color="000000" w:sz="4" w:space="0"/>
              <w:right w:val="single" w:color="000000" w:sz="4" w:space="0"/>
            </w:tcBorders>
            <w:noWrap w:val="0"/>
            <w:vAlign w:val="center"/>
          </w:tcPr>
          <w:p w14:paraId="3339A937">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FF0000"/>
                <w:sz w:val="24"/>
                <w:szCs w:val="24"/>
                <w:u w:val="none"/>
              </w:rPr>
            </w:pPr>
          </w:p>
        </w:tc>
      </w:tr>
      <w:tr w14:paraId="6D9819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jc w:val="center"/>
        </w:trPr>
        <w:tc>
          <w:tcPr>
            <w:tcW w:w="647" w:type="dxa"/>
            <w:tcBorders>
              <w:top w:val="single" w:color="000000" w:sz="4" w:space="0"/>
              <w:left w:val="single" w:color="000000" w:sz="4" w:space="0"/>
              <w:bottom w:val="single" w:color="000000" w:sz="4" w:space="0"/>
              <w:right w:val="single" w:color="000000" w:sz="4" w:space="0"/>
            </w:tcBorders>
            <w:noWrap w:val="0"/>
            <w:vAlign w:val="center"/>
          </w:tcPr>
          <w:p w14:paraId="672C803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666E4C5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维修</w:t>
            </w:r>
          </w:p>
          <w:p w14:paraId="52060A5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工作</w:t>
            </w:r>
          </w:p>
        </w:tc>
        <w:tc>
          <w:tcPr>
            <w:tcW w:w="633" w:type="dxa"/>
            <w:tcBorders>
              <w:top w:val="single" w:color="000000" w:sz="4" w:space="0"/>
              <w:left w:val="single" w:color="000000" w:sz="4" w:space="0"/>
              <w:bottom w:val="single" w:color="000000" w:sz="4" w:space="0"/>
              <w:right w:val="single" w:color="000000" w:sz="4" w:space="0"/>
            </w:tcBorders>
            <w:noWrap w:val="0"/>
            <w:vAlign w:val="center"/>
          </w:tcPr>
          <w:p w14:paraId="5E27D40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5974" w:type="dxa"/>
            <w:tcBorders>
              <w:top w:val="single" w:color="000000" w:sz="4" w:space="0"/>
              <w:left w:val="single" w:color="000000" w:sz="4" w:space="0"/>
              <w:bottom w:val="single" w:color="000000" w:sz="4" w:space="0"/>
              <w:right w:val="single" w:color="000000" w:sz="4" w:space="0"/>
            </w:tcBorders>
            <w:noWrap w:val="0"/>
            <w:vAlign w:val="center"/>
          </w:tcPr>
          <w:p w14:paraId="258CE459">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管网抢修工作不过夜，用最短时间完成，出现长时间不维修，每拖延一日月总分扣0.5分；2.机械、设备及时修理，未及时修理，影响工作进度每次扣0.5分；3.绿化苗木铭牌、宣传牌扶正、清理工作，每发现倒伏、损坏每一处扣0.1分。</w:t>
            </w:r>
          </w:p>
        </w:tc>
        <w:tc>
          <w:tcPr>
            <w:tcW w:w="668" w:type="dxa"/>
            <w:tcBorders>
              <w:top w:val="single" w:color="000000" w:sz="4" w:space="0"/>
              <w:left w:val="single" w:color="000000" w:sz="4" w:space="0"/>
              <w:bottom w:val="single" w:color="000000" w:sz="4" w:space="0"/>
              <w:right w:val="single" w:color="000000" w:sz="4" w:space="0"/>
            </w:tcBorders>
            <w:noWrap w:val="0"/>
            <w:vAlign w:val="center"/>
          </w:tcPr>
          <w:p w14:paraId="0E38C8CC">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4"/>
                <w:szCs w:val="24"/>
                <w:u w:val="none"/>
              </w:rPr>
            </w:pPr>
          </w:p>
        </w:tc>
      </w:tr>
      <w:tr w14:paraId="0ED0FF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jc w:val="center"/>
        </w:trPr>
        <w:tc>
          <w:tcPr>
            <w:tcW w:w="647" w:type="dxa"/>
            <w:tcBorders>
              <w:top w:val="single" w:color="000000" w:sz="4" w:space="0"/>
              <w:left w:val="single" w:color="000000" w:sz="4" w:space="0"/>
              <w:bottom w:val="single" w:color="000000" w:sz="4" w:space="0"/>
              <w:right w:val="single" w:color="000000" w:sz="4" w:space="0"/>
            </w:tcBorders>
            <w:noWrap w:val="0"/>
            <w:vAlign w:val="center"/>
          </w:tcPr>
          <w:p w14:paraId="6EC2047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267C24A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其他</w:t>
            </w:r>
          </w:p>
          <w:p w14:paraId="599B9D2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工作</w:t>
            </w:r>
          </w:p>
        </w:tc>
        <w:tc>
          <w:tcPr>
            <w:tcW w:w="633" w:type="dxa"/>
            <w:tcBorders>
              <w:top w:val="single" w:color="000000" w:sz="4" w:space="0"/>
              <w:left w:val="single" w:color="000000" w:sz="4" w:space="0"/>
              <w:bottom w:val="single" w:color="000000" w:sz="4" w:space="0"/>
              <w:right w:val="single" w:color="000000" w:sz="4" w:space="0"/>
            </w:tcBorders>
            <w:noWrap w:val="0"/>
            <w:vAlign w:val="center"/>
          </w:tcPr>
          <w:p w14:paraId="791B2FC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5974" w:type="dxa"/>
            <w:tcBorders>
              <w:top w:val="single" w:color="000000" w:sz="4" w:space="0"/>
              <w:left w:val="single" w:color="000000" w:sz="4" w:space="0"/>
              <w:bottom w:val="single" w:color="000000" w:sz="4" w:space="0"/>
              <w:right w:val="single" w:color="000000" w:sz="4" w:space="0"/>
            </w:tcBorders>
            <w:noWrap w:val="0"/>
            <w:vAlign w:val="center"/>
          </w:tcPr>
          <w:p w14:paraId="1EC9C66B">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完成学校交付的重要事情，出现不配合，不服从，每次扣除0.5分；2.学校下发整改通知书，未限期整改的，每次扣除0.5分，从始至终未整改的，一个问题扣除1分。3.其他学校需要其配合地完成的工作，未办结的，一项扣0.5分。</w:t>
            </w:r>
          </w:p>
        </w:tc>
        <w:tc>
          <w:tcPr>
            <w:tcW w:w="668" w:type="dxa"/>
            <w:tcBorders>
              <w:top w:val="single" w:color="000000" w:sz="4" w:space="0"/>
              <w:left w:val="single" w:color="000000" w:sz="4" w:space="0"/>
              <w:bottom w:val="single" w:color="000000" w:sz="4" w:space="0"/>
              <w:right w:val="single" w:color="000000" w:sz="4" w:space="0"/>
            </w:tcBorders>
            <w:noWrap w:val="0"/>
            <w:vAlign w:val="center"/>
          </w:tcPr>
          <w:p w14:paraId="12F38540">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4"/>
                <w:szCs w:val="24"/>
                <w:u w:val="none"/>
              </w:rPr>
            </w:pPr>
          </w:p>
        </w:tc>
      </w:tr>
      <w:tr w14:paraId="4444FB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1976" w:type="dxa"/>
            <w:gridSpan w:val="3"/>
            <w:tcBorders>
              <w:top w:val="single" w:color="000000" w:sz="4" w:space="0"/>
              <w:left w:val="single" w:color="000000" w:sz="4" w:space="0"/>
              <w:bottom w:val="single" w:color="000000" w:sz="4" w:space="0"/>
              <w:right w:val="single" w:color="000000" w:sz="4" w:space="0"/>
            </w:tcBorders>
            <w:noWrap w:val="0"/>
            <w:vAlign w:val="center"/>
          </w:tcPr>
          <w:p w14:paraId="202C2D5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得分</w:t>
            </w:r>
          </w:p>
        </w:tc>
        <w:tc>
          <w:tcPr>
            <w:tcW w:w="5974" w:type="dxa"/>
            <w:tcBorders>
              <w:top w:val="single" w:color="000000" w:sz="4" w:space="0"/>
              <w:left w:val="single" w:color="000000" w:sz="4" w:space="0"/>
              <w:bottom w:val="single" w:color="000000" w:sz="4" w:space="0"/>
              <w:right w:val="single" w:color="000000" w:sz="4" w:space="0"/>
            </w:tcBorders>
            <w:noWrap w:val="0"/>
            <w:vAlign w:val="center"/>
          </w:tcPr>
          <w:p w14:paraId="37385BC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总得分=100-总扣分=</w:t>
            </w:r>
          </w:p>
        </w:tc>
        <w:tc>
          <w:tcPr>
            <w:tcW w:w="668" w:type="dxa"/>
            <w:tcBorders>
              <w:top w:val="single" w:color="000000" w:sz="4" w:space="0"/>
              <w:left w:val="single" w:color="000000" w:sz="4" w:space="0"/>
              <w:bottom w:val="single" w:color="000000" w:sz="4" w:space="0"/>
              <w:right w:val="single" w:color="000000" w:sz="4" w:space="0"/>
            </w:tcBorders>
            <w:noWrap w:val="0"/>
            <w:vAlign w:val="center"/>
          </w:tcPr>
          <w:p w14:paraId="328D2499">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4"/>
                <w:szCs w:val="24"/>
                <w:u w:val="none"/>
              </w:rPr>
            </w:pPr>
          </w:p>
        </w:tc>
      </w:tr>
    </w:tbl>
    <w:p w14:paraId="563ADBC7">
      <w:pPr>
        <w:pStyle w:val="2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firstLine="482" w:firstLineChars="200"/>
        <w:textAlignment w:val="auto"/>
        <w:rPr>
          <w:rFonts w:hint="eastAsia" w:ascii="宋体" w:hAnsi="宋体" w:eastAsia="宋体" w:cs="宋体"/>
          <w:b/>
          <w:bCs/>
          <w:color w:val="000000"/>
          <w:sz w:val="24"/>
          <w:szCs w:val="24"/>
          <w:lang w:val="en-US" w:eastAsia="zh-CN"/>
        </w:rPr>
      </w:pPr>
    </w:p>
    <w:p w14:paraId="0F84784F">
      <w:pPr>
        <w:pStyle w:val="2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firstLine="482" w:firstLineChars="200"/>
        <w:textAlignment w:val="auto"/>
        <w:rPr>
          <w:rFonts w:hint="default" w:ascii="宋体" w:hAnsi="宋体" w:eastAsia="宋体" w:cs="宋体"/>
          <w:b/>
          <w:bCs/>
          <w:color w:val="000000"/>
          <w:sz w:val="24"/>
          <w:szCs w:val="24"/>
          <w:lang w:val="en-US" w:eastAsia="zh-CN"/>
        </w:rPr>
      </w:pPr>
      <w:r>
        <w:rPr>
          <w:rFonts w:hint="eastAsia" w:ascii="宋体" w:hAnsi="宋体" w:eastAsia="宋体" w:cs="宋体"/>
          <w:b/>
          <w:bCs/>
          <w:color w:val="000000"/>
          <w:sz w:val="24"/>
          <w:szCs w:val="24"/>
          <w:lang w:val="en-US" w:eastAsia="zh-CN"/>
        </w:rPr>
        <w:t xml:space="preserve">第六条 </w:t>
      </w:r>
      <w:r>
        <w:rPr>
          <w:rFonts w:hint="default" w:ascii="宋体" w:hAnsi="宋体" w:eastAsia="宋体" w:cs="宋体"/>
          <w:b/>
          <w:bCs/>
          <w:color w:val="000000"/>
          <w:sz w:val="24"/>
          <w:szCs w:val="24"/>
          <w:lang w:val="en-US" w:eastAsia="zh-CN"/>
        </w:rPr>
        <w:t>双方权利义务</w:t>
      </w:r>
    </w:p>
    <w:p w14:paraId="153D9F35">
      <w:pPr>
        <w:keepNext w:val="0"/>
        <w:keepLines w:val="0"/>
        <w:pageBreakBefore w:val="0"/>
        <w:widowControl w:val="0"/>
        <w:kinsoku/>
        <w:wordWrap/>
        <w:overflowPunct/>
        <w:topLinePunct w:val="0"/>
        <w:autoSpaceDE/>
        <w:autoSpaceDN/>
        <w:bidi w:val="0"/>
        <w:adjustRightInd/>
        <w:snapToGrid/>
        <w:spacing w:beforeAutospacing="0" w:line="400" w:lineRule="exact"/>
        <w:ind w:firstLine="482" w:firstLineChars="200"/>
        <w:textAlignment w:val="auto"/>
        <w:rPr>
          <w:rFonts w:hint="default" w:eastAsia="宋体"/>
          <w:lang w:val="en-US" w:eastAsia="zh-CN"/>
        </w:rPr>
      </w:pPr>
      <w:r>
        <w:rPr>
          <w:rStyle w:val="28"/>
          <w:rFonts w:hint="eastAsia" w:ascii="Segoe UI" w:hAnsi="Segoe UI" w:eastAsia="宋体" w:cs="Segoe UI"/>
          <w:i w:val="0"/>
          <w:iCs w:val="0"/>
          <w:caps w:val="0"/>
          <w:color w:val="404040"/>
          <w:spacing w:val="0"/>
          <w:sz w:val="24"/>
          <w:szCs w:val="24"/>
          <w:lang w:val="en-US" w:eastAsia="zh-CN"/>
        </w:rPr>
        <w:t>（一）甲方权利义务</w:t>
      </w:r>
    </w:p>
    <w:p w14:paraId="448E2031">
      <w:pPr>
        <w:keepNext w:val="0"/>
        <w:keepLines w:val="0"/>
        <w:pageBreakBefore w:val="0"/>
        <w:numPr>
          <w:ilvl w:val="0"/>
          <w:numId w:val="8"/>
        </w:numPr>
        <w:kinsoku/>
        <w:wordWrap/>
        <w:overflowPunct/>
        <w:topLinePunct w:val="0"/>
        <w:autoSpaceDE/>
        <w:autoSpaceDN/>
        <w:bidi w:val="0"/>
        <w:adjustRightInd/>
        <w:snapToGrid/>
        <w:spacing w:beforeAutospacing="0" w:afterAutospacing="0" w:line="400" w:lineRule="exact"/>
        <w:ind w:firstLine="480" w:firstLineChars="200"/>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甲方在合同规定的服务期限内有义务为乙方创造服务工作便利，协助乙方完成服务工作</w:t>
      </w:r>
      <w:r>
        <w:rPr>
          <w:rFonts w:hint="eastAsia" w:ascii="宋体" w:hAnsi="宋体" w:cs="宋体"/>
          <w:b w:val="0"/>
          <w:bCs/>
          <w:color w:val="auto"/>
          <w:sz w:val="24"/>
          <w:szCs w:val="24"/>
          <w:highlight w:val="none"/>
          <w:lang w:eastAsia="zh-CN"/>
        </w:rPr>
        <w:t>。</w:t>
      </w:r>
      <w:r>
        <w:rPr>
          <w:rFonts w:hint="eastAsia" w:ascii="宋体" w:hAnsi="宋体" w:eastAsia="宋体" w:cs="宋体"/>
          <w:b w:val="0"/>
          <w:bCs/>
          <w:color w:val="auto"/>
          <w:sz w:val="24"/>
          <w:szCs w:val="24"/>
          <w:highlight w:val="none"/>
        </w:rPr>
        <w:t xml:space="preserve"> </w:t>
      </w:r>
    </w:p>
    <w:p w14:paraId="33DFCA4E">
      <w:pPr>
        <w:keepNext w:val="0"/>
        <w:keepLines w:val="0"/>
        <w:pageBreakBefore w:val="0"/>
        <w:numPr>
          <w:ilvl w:val="0"/>
          <w:numId w:val="0"/>
        </w:numPr>
        <w:kinsoku/>
        <w:wordWrap/>
        <w:overflowPunct/>
        <w:topLinePunct w:val="0"/>
        <w:autoSpaceDE/>
        <w:autoSpaceDN/>
        <w:bidi w:val="0"/>
        <w:adjustRightInd/>
        <w:snapToGrid/>
        <w:spacing w:beforeAutospacing="0" w:afterAutospacing="0" w:line="400" w:lineRule="exact"/>
        <w:ind w:firstLine="480" w:firstLineChars="200"/>
        <w:textAlignment w:val="auto"/>
        <w:rPr>
          <w:rFonts w:hint="default"/>
          <w:lang w:val="en-US" w:eastAsia="zh-CN"/>
        </w:rPr>
      </w:pPr>
      <w:r>
        <w:rPr>
          <w:rFonts w:hint="eastAsia" w:ascii="宋体" w:hAnsi="宋体" w:eastAsia="宋体" w:cs="宋体"/>
          <w:b w:val="0"/>
          <w:bCs/>
          <w:color w:val="auto"/>
          <w:sz w:val="24"/>
          <w:szCs w:val="24"/>
          <w:highlight w:val="none"/>
          <w:lang w:val="zh-CN" w:eastAsia="zh-CN"/>
        </w:rPr>
        <w:t>（2）甲方应根据本合同约定及时、足额地支付服务费用，但乙方未能按本合同约定履行义务的除外。</w:t>
      </w:r>
    </w:p>
    <w:p w14:paraId="060B4B9E">
      <w:pPr>
        <w:keepNext w:val="0"/>
        <w:keepLines w:val="0"/>
        <w:pageBreakBefore w:val="0"/>
        <w:kinsoku/>
        <w:wordWrap/>
        <w:overflowPunct/>
        <w:topLinePunct w:val="0"/>
        <w:autoSpaceDE/>
        <w:autoSpaceDN/>
        <w:bidi w:val="0"/>
        <w:adjustRightInd/>
        <w:snapToGrid/>
        <w:spacing w:beforeAutospacing="0" w:afterAutospacing="0" w:line="400" w:lineRule="exact"/>
        <w:ind w:firstLine="480" w:firstLineChars="200"/>
        <w:textAlignment w:val="auto"/>
        <w:rPr>
          <w:rFonts w:hint="eastAsia" w:ascii="宋体" w:hAnsi="宋体" w:eastAsia="宋体" w:cs="宋体"/>
          <w:b w:val="0"/>
          <w:bCs/>
          <w:color w:val="auto"/>
          <w:sz w:val="24"/>
          <w:szCs w:val="24"/>
          <w:highlight w:val="none"/>
        </w:rPr>
      </w:pPr>
      <w:r>
        <w:rPr>
          <w:rFonts w:hint="eastAsia" w:ascii="宋体" w:hAnsi="宋体" w:cs="宋体"/>
          <w:b w:val="0"/>
          <w:bCs/>
          <w:color w:val="auto"/>
          <w:sz w:val="24"/>
          <w:szCs w:val="24"/>
          <w:highlight w:val="none"/>
          <w:lang w:eastAsia="zh-CN"/>
        </w:rPr>
        <w:t>（</w:t>
      </w:r>
      <w:r>
        <w:rPr>
          <w:rFonts w:hint="eastAsia" w:ascii="宋体" w:hAnsi="宋体" w:cs="宋体"/>
          <w:b w:val="0"/>
          <w:bCs/>
          <w:color w:val="auto"/>
          <w:sz w:val="24"/>
          <w:szCs w:val="24"/>
          <w:highlight w:val="none"/>
          <w:lang w:val="en-US" w:eastAsia="zh-CN"/>
        </w:rPr>
        <w:t>3</w:t>
      </w:r>
      <w:r>
        <w:rPr>
          <w:rFonts w:hint="eastAsia" w:ascii="宋体" w:hAnsi="宋体" w:cs="宋体"/>
          <w:b w:val="0"/>
          <w:bCs/>
          <w:color w:val="auto"/>
          <w:sz w:val="24"/>
          <w:szCs w:val="24"/>
          <w:highlight w:val="none"/>
          <w:lang w:eastAsia="zh-CN"/>
        </w:rPr>
        <w:t>）</w:t>
      </w:r>
      <w:r>
        <w:rPr>
          <w:rFonts w:hint="eastAsia" w:ascii="宋体" w:hAnsi="宋体" w:eastAsia="宋体" w:cs="宋体"/>
          <w:b w:val="0"/>
          <w:bCs/>
          <w:color w:val="auto"/>
          <w:sz w:val="24"/>
          <w:szCs w:val="24"/>
          <w:highlight w:val="none"/>
        </w:rPr>
        <w:t>甲方有权在合同规定的范围内享受服务，对没有达到合同规定的服务质量或标准的服务事项</w:t>
      </w:r>
      <w:r>
        <w:rPr>
          <w:rFonts w:hint="eastAsia" w:ascii="宋体" w:hAnsi="宋体" w:eastAsia="宋体" w:cs="宋体"/>
          <w:b w:val="0"/>
          <w:bCs/>
          <w:color w:val="auto"/>
          <w:sz w:val="24"/>
          <w:szCs w:val="24"/>
          <w:highlight w:val="none"/>
          <w:lang w:eastAsia="zh-CN"/>
        </w:rPr>
        <w:t>，</w:t>
      </w:r>
      <w:r>
        <w:rPr>
          <w:rFonts w:hint="eastAsia" w:ascii="宋体" w:hAnsi="宋体" w:eastAsia="宋体" w:cs="宋体"/>
          <w:b w:val="0"/>
          <w:bCs/>
          <w:color w:val="auto"/>
          <w:sz w:val="24"/>
          <w:szCs w:val="24"/>
          <w:highlight w:val="none"/>
        </w:rPr>
        <w:t>甲方有权要求乙方在规定的时间内加急提供服务，直至符合要求为止。</w:t>
      </w:r>
    </w:p>
    <w:p w14:paraId="6184F62A">
      <w:pPr>
        <w:keepNext w:val="0"/>
        <w:keepLines w:val="0"/>
        <w:pageBreakBefore w:val="0"/>
        <w:kinsoku/>
        <w:wordWrap/>
        <w:overflowPunct/>
        <w:topLinePunct w:val="0"/>
        <w:autoSpaceDE/>
        <w:autoSpaceDN/>
        <w:bidi w:val="0"/>
        <w:adjustRightInd/>
        <w:snapToGrid/>
        <w:spacing w:beforeAutospacing="0" w:afterAutospacing="0" w:line="400" w:lineRule="exact"/>
        <w:ind w:firstLine="480" w:firstLineChars="200"/>
        <w:textAlignment w:val="auto"/>
        <w:rPr>
          <w:rFonts w:hint="eastAsia" w:ascii="宋体" w:hAnsi="宋体" w:eastAsia="宋体" w:cs="宋体"/>
          <w:b w:val="0"/>
          <w:bCs/>
          <w:color w:val="auto"/>
          <w:sz w:val="24"/>
          <w:szCs w:val="24"/>
          <w:highlight w:val="none"/>
        </w:rPr>
      </w:pPr>
      <w:r>
        <w:rPr>
          <w:rFonts w:hint="eastAsia" w:ascii="宋体" w:hAnsi="宋体" w:cs="宋体"/>
          <w:b w:val="0"/>
          <w:bCs/>
          <w:color w:val="auto"/>
          <w:sz w:val="24"/>
          <w:szCs w:val="24"/>
          <w:highlight w:val="none"/>
          <w:lang w:eastAsia="zh-CN"/>
        </w:rPr>
        <w:t>（</w:t>
      </w:r>
      <w:r>
        <w:rPr>
          <w:rFonts w:hint="eastAsia" w:ascii="宋体" w:hAnsi="宋体" w:cs="宋体"/>
          <w:b w:val="0"/>
          <w:bCs/>
          <w:color w:val="auto"/>
          <w:sz w:val="24"/>
          <w:szCs w:val="24"/>
          <w:highlight w:val="none"/>
          <w:lang w:val="en-US" w:eastAsia="zh-CN"/>
        </w:rPr>
        <w:t>4</w:t>
      </w:r>
      <w:r>
        <w:rPr>
          <w:rFonts w:hint="eastAsia" w:ascii="宋体" w:hAnsi="宋体" w:cs="宋体"/>
          <w:b w:val="0"/>
          <w:bCs/>
          <w:color w:val="auto"/>
          <w:sz w:val="24"/>
          <w:szCs w:val="24"/>
          <w:highlight w:val="none"/>
          <w:lang w:eastAsia="zh-CN"/>
        </w:rPr>
        <w:t>）</w:t>
      </w:r>
      <w:r>
        <w:rPr>
          <w:rFonts w:hint="eastAsia" w:ascii="宋体" w:hAnsi="宋体" w:eastAsia="宋体" w:cs="宋体"/>
          <w:b w:val="0"/>
          <w:bCs/>
          <w:color w:val="auto"/>
          <w:sz w:val="24"/>
          <w:szCs w:val="24"/>
          <w:highlight w:val="none"/>
        </w:rPr>
        <w:t xml:space="preserve">如果乙方无法完成合同规定的服务内容、或者服务无法达到合同规定的服务质量或标准的，造成的无法正常运行，甲方有权邀请第三方提供服务，其支付的服务费用由乙方承担；如果乙方不支付，甲方有权在支付乙方合同款项时扣除其相等的金额。 </w:t>
      </w:r>
    </w:p>
    <w:p w14:paraId="4399E878">
      <w:pPr>
        <w:pStyle w:val="2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firstLine="482" w:firstLineChars="200"/>
        <w:textAlignment w:val="auto"/>
        <w:rPr>
          <w:rFonts w:hint="default" w:ascii="Segoe UI" w:hAnsi="Segoe UI" w:eastAsia="Segoe UI" w:cs="Segoe UI"/>
          <w:i w:val="0"/>
          <w:iCs w:val="0"/>
          <w:caps w:val="0"/>
          <w:color w:val="404040"/>
          <w:spacing w:val="0"/>
          <w:sz w:val="24"/>
          <w:szCs w:val="24"/>
        </w:rPr>
      </w:pPr>
      <w:r>
        <w:rPr>
          <w:rStyle w:val="28"/>
          <w:rFonts w:hint="eastAsia" w:ascii="Segoe UI" w:hAnsi="Segoe UI" w:eastAsia="宋体" w:cs="Segoe UI"/>
          <w:i w:val="0"/>
          <w:iCs w:val="0"/>
          <w:caps w:val="0"/>
          <w:color w:val="404040"/>
          <w:spacing w:val="0"/>
          <w:sz w:val="24"/>
          <w:szCs w:val="24"/>
          <w:lang w:eastAsia="zh-CN"/>
        </w:rPr>
        <w:t>（</w:t>
      </w:r>
      <w:r>
        <w:rPr>
          <w:rStyle w:val="28"/>
          <w:rFonts w:hint="eastAsia" w:ascii="Segoe UI" w:hAnsi="Segoe UI" w:eastAsia="宋体" w:cs="Segoe UI"/>
          <w:i w:val="0"/>
          <w:iCs w:val="0"/>
          <w:caps w:val="0"/>
          <w:color w:val="404040"/>
          <w:spacing w:val="0"/>
          <w:sz w:val="24"/>
          <w:szCs w:val="24"/>
          <w:lang w:val="en-US" w:eastAsia="zh-CN"/>
        </w:rPr>
        <w:t>二</w:t>
      </w:r>
      <w:r>
        <w:rPr>
          <w:rStyle w:val="28"/>
          <w:rFonts w:hint="eastAsia" w:ascii="Segoe UI" w:hAnsi="Segoe UI" w:eastAsia="宋体" w:cs="Segoe UI"/>
          <w:i w:val="0"/>
          <w:iCs w:val="0"/>
          <w:caps w:val="0"/>
          <w:color w:val="404040"/>
          <w:spacing w:val="0"/>
          <w:sz w:val="24"/>
          <w:szCs w:val="24"/>
          <w:lang w:eastAsia="zh-CN"/>
        </w:rPr>
        <w:t>）</w:t>
      </w:r>
      <w:r>
        <w:rPr>
          <w:rStyle w:val="28"/>
          <w:rFonts w:hint="default" w:ascii="Segoe UI" w:hAnsi="Segoe UI" w:eastAsia="Segoe UI" w:cs="Segoe UI"/>
          <w:i w:val="0"/>
          <w:iCs w:val="0"/>
          <w:caps w:val="0"/>
          <w:color w:val="404040"/>
          <w:spacing w:val="0"/>
          <w:sz w:val="24"/>
          <w:szCs w:val="24"/>
        </w:rPr>
        <w:t>乙方</w:t>
      </w:r>
      <w:r>
        <w:rPr>
          <w:rStyle w:val="28"/>
          <w:rFonts w:hint="eastAsia" w:ascii="Segoe UI" w:hAnsi="Segoe UI" w:eastAsia="宋体" w:cs="Segoe UI"/>
          <w:i w:val="0"/>
          <w:iCs w:val="0"/>
          <w:caps w:val="0"/>
          <w:color w:val="404040"/>
          <w:spacing w:val="0"/>
          <w:sz w:val="24"/>
          <w:szCs w:val="24"/>
          <w:lang w:val="en-US" w:eastAsia="zh-CN"/>
        </w:rPr>
        <w:t>权利</w:t>
      </w:r>
      <w:r>
        <w:rPr>
          <w:rStyle w:val="28"/>
          <w:rFonts w:hint="default" w:ascii="Segoe UI" w:hAnsi="Segoe UI" w:eastAsia="Segoe UI" w:cs="Segoe UI"/>
          <w:i w:val="0"/>
          <w:iCs w:val="0"/>
          <w:caps w:val="0"/>
          <w:color w:val="404040"/>
          <w:spacing w:val="0"/>
          <w:sz w:val="24"/>
          <w:szCs w:val="24"/>
        </w:rPr>
        <w:t>义务</w:t>
      </w:r>
      <w:r>
        <w:rPr>
          <w:rFonts w:hint="default" w:ascii="Segoe UI" w:hAnsi="Segoe UI" w:eastAsia="Segoe UI" w:cs="Segoe UI"/>
          <w:i w:val="0"/>
          <w:iCs w:val="0"/>
          <w:caps w:val="0"/>
          <w:color w:val="404040"/>
          <w:spacing w:val="0"/>
          <w:sz w:val="24"/>
          <w:szCs w:val="24"/>
        </w:rPr>
        <w:t>：</w:t>
      </w:r>
    </w:p>
    <w:p w14:paraId="60067DC4">
      <w:pPr>
        <w:keepNext w:val="0"/>
        <w:keepLines w:val="0"/>
        <w:pageBreakBefore w:val="0"/>
        <w:widowControl w:val="0"/>
        <w:kinsoku/>
        <w:wordWrap/>
        <w:overflowPunct/>
        <w:topLinePunct w:val="0"/>
        <w:autoSpaceDE/>
        <w:autoSpaceDN/>
        <w:bidi w:val="0"/>
        <w:adjustRightInd/>
        <w:snapToGrid/>
        <w:spacing w:beforeAutospacing="0" w:line="400" w:lineRule="exact"/>
        <w:ind w:firstLine="480" w:firstLineChars="200"/>
        <w:textAlignment w:val="auto"/>
        <w:rPr>
          <w:rFonts w:hint="eastAsia" w:ascii="宋体" w:hAnsi="宋体" w:eastAsia="宋体" w:cs="宋体"/>
          <w:b w:val="0"/>
          <w:bCs/>
          <w:color w:val="auto"/>
          <w:sz w:val="24"/>
          <w:highlight w:val="none"/>
          <w:lang w:eastAsia="zh-CN"/>
        </w:rPr>
      </w:pPr>
      <w:r>
        <w:rPr>
          <w:rFonts w:hint="eastAsia" w:ascii="宋体" w:hAnsi="宋体" w:cs="宋体"/>
          <w:b w:val="0"/>
          <w:bCs/>
          <w:color w:val="auto"/>
          <w:sz w:val="24"/>
          <w:highlight w:val="none"/>
          <w:lang w:eastAsia="zh-CN"/>
        </w:rPr>
        <w:t>（</w:t>
      </w:r>
      <w:r>
        <w:rPr>
          <w:rFonts w:hint="eastAsia" w:ascii="宋体" w:hAnsi="宋体" w:cs="宋体"/>
          <w:b w:val="0"/>
          <w:bCs/>
          <w:color w:val="auto"/>
          <w:sz w:val="24"/>
          <w:highlight w:val="none"/>
          <w:lang w:val="en-US" w:eastAsia="zh-CN"/>
        </w:rPr>
        <w:t>1</w:t>
      </w:r>
      <w:r>
        <w:rPr>
          <w:rFonts w:hint="eastAsia" w:ascii="宋体" w:hAnsi="宋体" w:cs="宋体"/>
          <w:b w:val="0"/>
          <w:bCs/>
          <w:color w:val="auto"/>
          <w:sz w:val="24"/>
          <w:highlight w:val="none"/>
          <w:lang w:eastAsia="zh-CN"/>
        </w:rPr>
        <w:t>）</w:t>
      </w:r>
      <w:r>
        <w:rPr>
          <w:rFonts w:hint="eastAsia" w:ascii="宋体" w:hAnsi="宋体" w:eastAsia="宋体" w:cs="宋体"/>
          <w:b w:val="0"/>
          <w:bCs/>
          <w:color w:val="auto"/>
          <w:sz w:val="24"/>
          <w:highlight w:val="none"/>
        </w:rPr>
        <w:t>乙方根据合同的服务内容和要求及时提供相应的服务</w:t>
      </w:r>
      <w:r>
        <w:rPr>
          <w:rFonts w:hint="eastAsia" w:ascii="宋体" w:hAnsi="宋体" w:cs="宋体"/>
          <w:b w:val="0"/>
          <w:bCs/>
          <w:color w:val="auto"/>
          <w:sz w:val="24"/>
          <w:highlight w:val="none"/>
          <w:lang w:eastAsia="zh-CN"/>
        </w:rPr>
        <w:t>；</w:t>
      </w:r>
    </w:p>
    <w:p w14:paraId="7B460C45">
      <w:pPr>
        <w:keepNext w:val="0"/>
        <w:keepLines w:val="0"/>
        <w:pageBreakBefore w:val="0"/>
        <w:widowControl w:val="0"/>
        <w:kinsoku/>
        <w:wordWrap/>
        <w:overflowPunct/>
        <w:topLinePunct w:val="0"/>
        <w:autoSpaceDE/>
        <w:autoSpaceDN/>
        <w:bidi w:val="0"/>
        <w:adjustRightInd/>
        <w:snapToGrid/>
        <w:spacing w:beforeAutospacing="0" w:line="400" w:lineRule="exact"/>
        <w:ind w:firstLine="480" w:firstLineChars="200"/>
        <w:textAlignment w:val="auto"/>
        <w:rPr>
          <w:rFonts w:hint="eastAsia" w:ascii="宋体" w:hAnsi="宋体" w:cs="宋体"/>
          <w:b w:val="0"/>
          <w:bCs/>
          <w:color w:val="auto"/>
          <w:sz w:val="24"/>
          <w:highlight w:val="none"/>
          <w:lang w:val="en-US" w:eastAsia="zh-CN"/>
        </w:rPr>
      </w:pPr>
      <w:r>
        <w:rPr>
          <w:rFonts w:hint="eastAsia" w:ascii="宋体" w:hAnsi="宋体" w:cs="宋体"/>
          <w:b w:val="0"/>
          <w:bCs/>
          <w:color w:val="auto"/>
          <w:sz w:val="24"/>
          <w:highlight w:val="none"/>
          <w:lang w:eastAsia="zh-CN"/>
        </w:rPr>
        <w:t>（</w:t>
      </w:r>
      <w:r>
        <w:rPr>
          <w:rFonts w:hint="eastAsia" w:ascii="宋体" w:hAnsi="宋体" w:cs="宋体"/>
          <w:b w:val="0"/>
          <w:bCs/>
          <w:color w:val="auto"/>
          <w:sz w:val="24"/>
          <w:highlight w:val="none"/>
          <w:lang w:val="en-US" w:eastAsia="zh-CN"/>
        </w:rPr>
        <w:t>2</w:t>
      </w:r>
      <w:r>
        <w:rPr>
          <w:rFonts w:hint="eastAsia" w:ascii="宋体" w:hAnsi="宋体" w:cs="宋体"/>
          <w:b w:val="0"/>
          <w:bCs/>
          <w:color w:val="auto"/>
          <w:sz w:val="24"/>
          <w:highlight w:val="none"/>
          <w:lang w:eastAsia="zh-CN"/>
        </w:rPr>
        <w:t>）</w:t>
      </w:r>
      <w:r>
        <w:rPr>
          <w:rFonts w:hint="eastAsia" w:ascii="宋体" w:hAnsi="宋体" w:eastAsia="宋体" w:cs="宋体"/>
          <w:b w:val="0"/>
          <w:bCs/>
          <w:color w:val="auto"/>
          <w:sz w:val="24"/>
          <w:highlight w:val="none"/>
        </w:rPr>
        <w:t>乙方须指定至少1名固定联系人及专业技术团队负责</w:t>
      </w:r>
      <w:r>
        <w:rPr>
          <w:rFonts w:hint="eastAsia" w:ascii="宋体" w:hAnsi="宋体" w:eastAsia="宋体" w:cs="宋体"/>
          <w:b w:val="0"/>
          <w:bCs/>
          <w:color w:val="auto"/>
          <w:sz w:val="24"/>
          <w:highlight w:val="none"/>
          <w:lang w:val="en-US" w:eastAsia="zh-CN"/>
        </w:rPr>
        <w:t>人</w:t>
      </w:r>
      <w:r>
        <w:rPr>
          <w:rFonts w:hint="eastAsia" w:ascii="宋体" w:hAnsi="宋体" w:eastAsia="宋体" w:cs="宋体"/>
          <w:b w:val="0"/>
          <w:bCs/>
          <w:color w:val="auto"/>
          <w:sz w:val="24"/>
          <w:highlight w:val="none"/>
        </w:rPr>
        <w:t>与甲方对接</w:t>
      </w:r>
      <w:r>
        <w:rPr>
          <w:rFonts w:hint="eastAsia" w:ascii="宋体" w:hAnsi="宋体" w:eastAsia="宋体" w:cs="宋体"/>
          <w:b w:val="0"/>
          <w:bCs/>
          <w:color w:val="auto"/>
          <w:sz w:val="24"/>
          <w:highlight w:val="none"/>
          <w:lang w:eastAsia="zh-CN"/>
        </w:rPr>
        <w:t>（</w:t>
      </w:r>
      <w:r>
        <w:rPr>
          <w:rFonts w:hint="eastAsia" w:ascii="宋体" w:hAnsi="宋体" w:eastAsia="宋体" w:cs="宋体"/>
          <w:b w:val="0"/>
          <w:bCs/>
          <w:color w:val="auto"/>
          <w:sz w:val="24"/>
          <w:highlight w:val="none"/>
          <w:lang w:val="en-US" w:eastAsia="zh-CN"/>
        </w:rPr>
        <w:t xml:space="preserve">联系人：  联系电话：    </w:t>
      </w:r>
      <w:r>
        <w:rPr>
          <w:rFonts w:hint="eastAsia" w:ascii="宋体" w:hAnsi="宋体" w:eastAsia="宋体" w:cs="宋体"/>
          <w:b w:val="0"/>
          <w:bCs/>
          <w:color w:val="auto"/>
          <w:sz w:val="24"/>
          <w:highlight w:val="none"/>
          <w:lang w:eastAsia="zh-CN"/>
        </w:rPr>
        <w:t>）</w:t>
      </w:r>
      <w:r>
        <w:rPr>
          <w:rFonts w:hint="eastAsia" w:ascii="宋体" w:hAnsi="宋体" w:eastAsia="宋体" w:cs="宋体"/>
          <w:b w:val="0"/>
          <w:bCs/>
          <w:color w:val="auto"/>
          <w:sz w:val="24"/>
          <w:highlight w:val="none"/>
        </w:rPr>
        <w:t>，确保服务期间人员稳定</w:t>
      </w:r>
      <w:r>
        <w:rPr>
          <w:rFonts w:hint="eastAsia" w:ascii="宋体" w:hAnsi="宋体" w:cs="宋体"/>
          <w:b w:val="0"/>
          <w:bCs/>
          <w:color w:val="auto"/>
          <w:sz w:val="24"/>
          <w:highlight w:val="none"/>
          <w:lang w:eastAsia="zh-CN"/>
        </w:rPr>
        <w:t>，</w:t>
      </w:r>
      <w:r>
        <w:rPr>
          <w:rFonts w:hint="eastAsia" w:ascii="宋体" w:hAnsi="宋体" w:eastAsia="宋体" w:cs="宋体"/>
          <w:b w:val="0"/>
          <w:bCs/>
          <w:color w:val="auto"/>
          <w:sz w:val="24"/>
          <w:highlight w:val="none"/>
        </w:rPr>
        <w:t>联系人应具备操作及问题处理能力</w:t>
      </w:r>
      <w:r>
        <w:rPr>
          <w:rFonts w:hint="eastAsia" w:ascii="宋体" w:hAnsi="宋体" w:cs="宋体"/>
          <w:b w:val="0"/>
          <w:bCs/>
          <w:color w:val="auto"/>
          <w:sz w:val="24"/>
          <w:highlight w:val="none"/>
          <w:lang w:eastAsia="zh-CN"/>
        </w:rPr>
        <w:t>。</w:t>
      </w:r>
      <w:r>
        <w:rPr>
          <w:rFonts w:hint="eastAsia" w:ascii="宋体" w:hAnsi="宋体" w:eastAsia="宋体" w:cs="宋体"/>
          <w:b w:val="0"/>
          <w:bCs/>
          <w:color w:val="auto"/>
          <w:sz w:val="24"/>
          <w:highlight w:val="none"/>
        </w:rPr>
        <w:t>如需更换联系人，乙方应提前5个工作日书面通知甲方</w:t>
      </w:r>
      <w:r>
        <w:rPr>
          <w:rFonts w:hint="eastAsia" w:ascii="宋体" w:hAnsi="宋体" w:eastAsia="宋体" w:cs="宋体"/>
          <w:b w:val="0"/>
          <w:bCs/>
          <w:color w:val="auto"/>
          <w:sz w:val="24"/>
          <w:highlight w:val="none"/>
          <w:lang w:val="en-US" w:eastAsia="zh-CN"/>
        </w:rPr>
        <w:t>并取得甲方同意后，</w:t>
      </w:r>
      <w:r>
        <w:rPr>
          <w:rFonts w:hint="eastAsia" w:ascii="宋体" w:hAnsi="宋体" w:eastAsia="宋体" w:cs="宋体"/>
          <w:b w:val="0"/>
          <w:bCs/>
          <w:color w:val="auto"/>
          <w:sz w:val="24"/>
          <w:highlight w:val="none"/>
        </w:rPr>
        <w:t>安排同等资质人员接替。</w:t>
      </w:r>
    </w:p>
    <w:p w14:paraId="47073A68">
      <w:pPr>
        <w:keepNext w:val="0"/>
        <w:keepLines w:val="0"/>
        <w:pageBreakBefore w:val="0"/>
        <w:widowControl w:val="0"/>
        <w:kinsoku/>
        <w:wordWrap/>
        <w:overflowPunct/>
        <w:topLinePunct w:val="0"/>
        <w:autoSpaceDE/>
        <w:autoSpaceDN/>
        <w:bidi w:val="0"/>
        <w:adjustRightInd/>
        <w:snapToGrid/>
        <w:spacing w:beforeAutospacing="0" w:line="400" w:lineRule="exact"/>
        <w:ind w:firstLine="480" w:firstLineChars="200"/>
        <w:textAlignment w:val="auto"/>
        <w:rPr>
          <w:rFonts w:hint="eastAsia" w:ascii="宋体" w:hAnsi="宋体" w:cs="宋体"/>
          <w:b w:val="0"/>
          <w:bCs/>
          <w:color w:val="auto"/>
          <w:sz w:val="24"/>
          <w:highlight w:val="none"/>
          <w:lang w:val="en-US" w:eastAsia="zh-CN"/>
        </w:rPr>
      </w:pPr>
      <w:r>
        <w:rPr>
          <w:rFonts w:hint="eastAsia" w:ascii="宋体" w:hAnsi="宋体" w:cs="宋体"/>
          <w:b w:val="0"/>
          <w:bCs/>
          <w:color w:val="auto"/>
          <w:sz w:val="24"/>
          <w:highlight w:val="none"/>
          <w:lang w:val="en-US" w:eastAsia="zh-CN"/>
        </w:rPr>
        <w:t>（3）未经甲方书面同意</w:t>
      </w:r>
      <w:r>
        <w:rPr>
          <w:rFonts w:hint="eastAsia" w:ascii="宋体" w:hAnsi="宋体" w:eastAsia="宋体" w:cs="宋体"/>
          <w:b w:val="0"/>
          <w:bCs/>
          <w:color w:val="auto"/>
          <w:sz w:val="24"/>
          <w:highlight w:val="none"/>
        </w:rPr>
        <w:t>，乙方不得</w:t>
      </w:r>
      <w:r>
        <w:rPr>
          <w:rFonts w:hint="eastAsia" w:ascii="宋体" w:hAnsi="宋体" w:cs="宋体"/>
          <w:b w:val="0"/>
          <w:bCs/>
          <w:color w:val="auto"/>
          <w:sz w:val="24"/>
          <w:highlight w:val="none"/>
          <w:lang w:val="en-US" w:eastAsia="zh-CN"/>
        </w:rPr>
        <w:t>将本合同项下权利义务转让给第三方</w:t>
      </w:r>
      <w:r>
        <w:rPr>
          <w:rFonts w:hint="eastAsia" w:ascii="宋体" w:hAnsi="宋体" w:eastAsia="宋体" w:cs="宋体"/>
          <w:b w:val="0"/>
          <w:bCs/>
          <w:color w:val="auto"/>
          <w:sz w:val="24"/>
          <w:highlight w:val="none"/>
        </w:rPr>
        <w:t>。</w:t>
      </w:r>
    </w:p>
    <w:p w14:paraId="467CDFB1">
      <w:pPr>
        <w:keepNext w:val="0"/>
        <w:keepLines w:val="0"/>
        <w:pageBreakBefore w:val="0"/>
        <w:widowControl w:val="0"/>
        <w:kinsoku/>
        <w:wordWrap/>
        <w:overflowPunct/>
        <w:topLinePunct w:val="0"/>
        <w:autoSpaceDE/>
        <w:autoSpaceDN/>
        <w:bidi w:val="0"/>
        <w:adjustRightInd/>
        <w:snapToGrid/>
        <w:spacing w:beforeAutospacing="0" w:line="400" w:lineRule="exact"/>
        <w:ind w:firstLine="480" w:firstLineChars="200"/>
        <w:textAlignment w:val="auto"/>
        <w:rPr>
          <w:rFonts w:hint="eastAsia" w:ascii="宋体" w:hAnsi="宋体" w:eastAsia="宋体" w:cs="宋体"/>
          <w:sz w:val="24"/>
          <w:szCs w:val="24"/>
          <w:lang w:val="en-US" w:eastAsia="zh-CN"/>
        </w:rPr>
      </w:pPr>
      <w:r>
        <w:rPr>
          <w:rFonts w:hint="eastAsia" w:ascii="宋体" w:hAnsi="宋体" w:cs="宋体"/>
          <w:b w:val="0"/>
          <w:bCs/>
          <w:color w:val="auto"/>
          <w:sz w:val="24"/>
          <w:highlight w:val="none"/>
          <w:lang w:val="en-US" w:eastAsia="zh-CN"/>
        </w:rPr>
        <w:t>（4）</w:t>
      </w:r>
      <w:r>
        <w:rPr>
          <w:rFonts w:ascii="宋体" w:hAnsi="宋体" w:eastAsia="宋体" w:cs="宋体"/>
          <w:sz w:val="24"/>
          <w:szCs w:val="24"/>
        </w:rPr>
        <w:t>严格执行甲方制定的绿地养护管理标准,遵守甲方的各项规章制度,自觉接受甲方的管理；对甲方检查时发现的不合格之处,乙方应及时进行整改。</w:t>
      </w:r>
    </w:p>
    <w:p w14:paraId="2B091333">
      <w:pPr>
        <w:keepNext w:val="0"/>
        <w:keepLines w:val="0"/>
        <w:pageBreakBefore w:val="0"/>
        <w:widowControl w:val="0"/>
        <w:kinsoku/>
        <w:wordWrap/>
        <w:overflowPunct/>
        <w:topLinePunct w:val="0"/>
        <w:autoSpaceDE/>
        <w:autoSpaceDN/>
        <w:bidi w:val="0"/>
        <w:adjustRightInd/>
        <w:snapToGrid/>
        <w:spacing w:beforeAutospacing="0" w:line="400" w:lineRule="exact"/>
        <w:ind w:firstLine="480" w:firstLineChars="200"/>
        <w:textAlignment w:val="auto"/>
        <w:rPr>
          <w:rFonts w:ascii="宋体" w:hAnsi="宋体" w:eastAsia="宋体" w:cs="宋体"/>
          <w:sz w:val="24"/>
          <w:szCs w:val="24"/>
        </w:rPr>
      </w:pPr>
      <w:r>
        <w:rPr>
          <w:rFonts w:hint="eastAsia" w:ascii="宋体" w:hAnsi="宋体" w:cs="宋体"/>
          <w:b w:val="0"/>
          <w:bCs/>
          <w:color w:val="auto"/>
          <w:sz w:val="24"/>
          <w:highlight w:val="none"/>
          <w:lang w:eastAsia="zh-CN"/>
        </w:rPr>
        <w:t>（</w:t>
      </w:r>
      <w:r>
        <w:rPr>
          <w:rFonts w:hint="eastAsia" w:ascii="宋体" w:hAnsi="宋体" w:cs="宋体"/>
          <w:b w:val="0"/>
          <w:bCs/>
          <w:color w:val="auto"/>
          <w:sz w:val="24"/>
          <w:highlight w:val="none"/>
          <w:lang w:val="en-US" w:eastAsia="zh-CN"/>
        </w:rPr>
        <w:t>5</w:t>
      </w:r>
      <w:r>
        <w:rPr>
          <w:rFonts w:hint="eastAsia" w:ascii="宋体" w:hAnsi="宋体" w:cs="宋体"/>
          <w:b w:val="0"/>
          <w:bCs/>
          <w:color w:val="auto"/>
          <w:sz w:val="24"/>
          <w:highlight w:val="none"/>
          <w:lang w:eastAsia="zh-CN"/>
        </w:rPr>
        <w:t>）</w:t>
      </w:r>
      <w:r>
        <w:rPr>
          <w:rFonts w:ascii="宋体" w:hAnsi="宋体" w:eastAsia="宋体" w:cs="宋体"/>
          <w:sz w:val="24"/>
          <w:szCs w:val="24"/>
        </w:rPr>
        <w:t>养护过程中</w:t>
      </w:r>
      <w:r>
        <w:rPr>
          <w:rFonts w:hint="eastAsia" w:ascii="宋体" w:hAnsi="宋体" w:eastAsia="宋体" w:cs="宋体"/>
          <w:sz w:val="24"/>
          <w:szCs w:val="24"/>
          <w:lang w:val="en-US" w:eastAsia="zh-CN"/>
        </w:rPr>
        <w:t>如</w:t>
      </w:r>
      <w:r>
        <w:rPr>
          <w:rFonts w:ascii="宋体" w:hAnsi="宋体" w:eastAsia="宋体" w:cs="宋体"/>
          <w:sz w:val="24"/>
          <w:szCs w:val="24"/>
        </w:rPr>
        <w:t>遇</w:t>
      </w:r>
      <w:r>
        <w:rPr>
          <w:rFonts w:hint="eastAsia" w:ascii="宋体" w:hAnsi="宋体" w:eastAsia="宋体" w:cs="宋体"/>
          <w:sz w:val="24"/>
          <w:szCs w:val="24"/>
          <w:lang w:val="en-US" w:eastAsia="zh-CN"/>
        </w:rPr>
        <w:t>重大伤亡及其他安全事故等</w:t>
      </w:r>
      <w:r>
        <w:rPr>
          <w:rFonts w:ascii="宋体" w:hAnsi="宋体" w:eastAsia="宋体" w:cs="宋体"/>
          <w:sz w:val="24"/>
          <w:szCs w:val="24"/>
        </w:rPr>
        <w:t>特殊情况无法进行时，应以书面形式</w:t>
      </w:r>
      <w:r>
        <w:rPr>
          <w:rFonts w:hint="eastAsia" w:ascii="宋体" w:hAnsi="宋体" w:eastAsia="宋体" w:cs="宋体"/>
          <w:sz w:val="24"/>
          <w:szCs w:val="24"/>
          <w:lang w:val="en-US" w:eastAsia="zh-CN"/>
        </w:rPr>
        <w:t>立即</w:t>
      </w:r>
      <w:r>
        <w:rPr>
          <w:rFonts w:ascii="宋体" w:hAnsi="宋体" w:eastAsia="宋体" w:cs="宋体"/>
          <w:sz w:val="24"/>
          <w:szCs w:val="24"/>
        </w:rPr>
        <w:t>通知甲方，双方共同协商处理。</w:t>
      </w:r>
    </w:p>
    <w:p w14:paraId="3C7F15FE">
      <w:pPr>
        <w:keepNext w:val="0"/>
        <w:keepLines w:val="0"/>
        <w:pageBreakBefore w:val="0"/>
        <w:widowControl w:val="0"/>
        <w:kinsoku/>
        <w:wordWrap/>
        <w:overflowPunct/>
        <w:topLinePunct w:val="0"/>
        <w:autoSpaceDE/>
        <w:autoSpaceDN/>
        <w:bidi w:val="0"/>
        <w:adjustRightInd/>
        <w:snapToGrid/>
        <w:spacing w:beforeAutospacing="0" w:line="400" w:lineRule="exact"/>
        <w:ind w:firstLine="480" w:firstLineChars="200"/>
        <w:textAlignment w:val="auto"/>
        <w:rPr>
          <w:rFonts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6</w:t>
      </w:r>
      <w:r>
        <w:rPr>
          <w:rFonts w:hint="eastAsia" w:ascii="宋体" w:hAnsi="宋体" w:eastAsia="宋体" w:cs="宋体"/>
          <w:sz w:val="24"/>
          <w:szCs w:val="24"/>
          <w:lang w:eastAsia="zh-CN"/>
        </w:rPr>
        <w:t>）</w:t>
      </w:r>
      <w:r>
        <w:rPr>
          <w:rFonts w:ascii="宋体" w:hAnsi="宋体" w:eastAsia="宋体" w:cs="宋体"/>
          <w:sz w:val="24"/>
          <w:szCs w:val="24"/>
        </w:rPr>
        <w:t>保证养护区域的整洁，做到工停、料净、场地清。</w:t>
      </w:r>
    </w:p>
    <w:p w14:paraId="5AA0B948">
      <w:pPr>
        <w:keepNext w:val="0"/>
        <w:keepLines w:val="0"/>
        <w:pageBreakBefore w:val="0"/>
        <w:widowControl w:val="0"/>
        <w:kinsoku/>
        <w:wordWrap/>
        <w:overflowPunct/>
        <w:topLinePunct w:val="0"/>
        <w:autoSpaceDE/>
        <w:autoSpaceDN/>
        <w:bidi w:val="0"/>
        <w:adjustRightInd/>
        <w:snapToGrid/>
        <w:spacing w:beforeAutospacing="0" w:line="400" w:lineRule="exact"/>
        <w:ind w:firstLine="480" w:firstLineChars="200"/>
        <w:textAlignment w:val="auto"/>
        <w:rPr>
          <w:rFonts w:ascii="宋体" w:hAnsi="宋体" w:eastAsia="宋体" w:cs="宋体"/>
          <w:sz w:val="24"/>
          <w:szCs w:val="24"/>
        </w:rPr>
      </w:pPr>
      <w:r>
        <w:rPr>
          <w:rFonts w:hint="eastAsia" w:ascii="宋体" w:hAnsi="宋体" w:eastAsia="宋体" w:cs="宋体"/>
          <w:sz w:val="24"/>
          <w:szCs w:val="24"/>
          <w:lang w:val="en-US" w:eastAsia="zh-CN"/>
        </w:rPr>
        <w:t>（7</w:t>
      </w:r>
      <w:r>
        <w:rPr>
          <w:rFonts w:ascii="宋体" w:hAnsi="宋体" w:eastAsia="宋体" w:cs="宋体"/>
          <w:sz w:val="24"/>
          <w:szCs w:val="24"/>
        </w:rPr>
        <w:t>）乙方应根据养护要求自行配置养护管理所需要的交通工具以及其他养护所需材料、</w:t>
      </w:r>
      <w:r>
        <w:rPr>
          <w:rFonts w:hint="eastAsia" w:ascii="宋体" w:hAnsi="宋体" w:eastAsia="宋体" w:cs="宋体"/>
          <w:sz w:val="24"/>
          <w:szCs w:val="24"/>
          <w:lang w:val="en-US" w:eastAsia="zh-CN"/>
        </w:rPr>
        <w:t>工具</w:t>
      </w:r>
      <w:r>
        <w:rPr>
          <w:rFonts w:ascii="宋体" w:hAnsi="宋体" w:eastAsia="宋体" w:cs="宋体"/>
          <w:sz w:val="24"/>
          <w:szCs w:val="24"/>
        </w:rPr>
        <w:t>设备。乙方应保证其自行配备的</w:t>
      </w:r>
      <w:r>
        <w:rPr>
          <w:rFonts w:hint="eastAsia" w:ascii="宋体" w:hAnsi="宋体" w:eastAsia="宋体" w:cs="宋体"/>
          <w:sz w:val="24"/>
          <w:szCs w:val="24"/>
          <w:lang w:val="en-US" w:eastAsia="zh-CN"/>
        </w:rPr>
        <w:t>交通工具</w:t>
      </w:r>
      <w:r>
        <w:rPr>
          <w:rFonts w:ascii="宋体" w:hAnsi="宋体" w:eastAsia="宋体" w:cs="宋体"/>
          <w:sz w:val="24"/>
          <w:szCs w:val="24"/>
        </w:rPr>
        <w:t>、材料、</w:t>
      </w:r>
      <w:r>
        <w:rPr>
          <w:rFonts w:hint="eastAsia" w:ascii="宋体" w:hAnsi="宋体" w:eastAsia="宋体" w:cs="宋体"/>
          <w:sz w:val="24"/>
          <w:szCs w:val="24"/>
          <w:lang w:val="en-US" w:eastAsia="zh-CN"/>
        </w:rPr>
        <w:t>工具</w:t>
      </w:r>
      <w:r>
        <w:rPr>
          <w:rFonts w:ascii="宋体" w:hAnsi="宋体" w:eastAsia="宋体" w:cs="宋体"/>
          <w:sz w:val="24"/>
          <w:szCs w:val="24"/>
        </w:rPr>
        <w:t>设备</w:t>
      </w:r>
      <w:r>
        <w:rPr>
          <w:rFonts w:hint="eastAsia" w:ascii="宋体" w:hAnsi="宋体" w:eastAsia="宋体" w:cs="宋体"/>
          <w:sz w:val="24"/>
          <w:szCs w:val="24"/>
          <w:lang w:val="en-US" w:eastAsia="zh-CN"/>
        </w:rPr>
        <w:t>等</w:t>
      </w:r>
      <w:r>
        <w:rPr>
          <w:rFonts w:ascii="宋体" w:hAnsi="宋体" w:eastAsia="宋体" w:cs="宋体"/>
          <w:sz w:val="24"/>
          <w:szCs w:val="24"/>
        </w:rPr>
        <w:t>符合</w:t>
      </w:r>
      <w:r>
        <w:rPr>
          <w:rFonts w:hint="eastAsia" w:ascii="宋体" w:hAnsi="宋体" w:eastAsia="宋体" w:cs="宋体"/>
          <w:sz w:val="24"/>
          <w:szCs w:val="24"/>
          <w:lang w:val="en-US" w:eastAsia="zh-CN"/>
        </w:rPr>
        <w:t>国家</w:t>
      </w:r>
      <w:r>
        <w:rPr>
          <w:rFonts w:ascii="宋体" w:hAnsi="宋体" w:eastAsia="宋体" w:cs="宋体"/>
          <w:sz w:val="24"/>
          <w:szCs w:val="24"/>
        </w:rPr>
        <w:t>安全标准，因不达标</w:t>
      </w:r>
      <w:r>
        <w:rPr>
          <w:rFonts w:hint="eastAsia" w:ascii="宋体" w:hAnsi="宋体" w:eastAsia="宋体" w:cs="宋体"/>
          <w:sz w:val="24"/>
          <w:szCs w:val="24"/>
          <w:lang w:val="en-US" w:eastAsia="zh-CN"/>
        </w:rPr>
        <w:t>造成甲方</w:t>
      </w:r>
      <w:r>
        <w:rPr>
          <w:rFonts w:ascii="宋体" w:hAnsi="宋体" w:eastAsia="宋体" w:cs="宋体"/>
          <w:sz w:val="24"/>
          <w:szCs w:val="24"/>
        </w:rPr>
        <w:t>损失</w:t>
      </w:r>
      <w:r>
        <w:rPr>
          <w:rFonts w:hint="eastAsia" w:ascii="宋体" w:hAnsi="宋体" w:eastAsia="宋体" w:cs="宋体"/>
          <w:sz w:val="24"/>
          <w:szCs w:val="24"/>
          <w:lang w:val="en-US" w:eastAsia="zh-CN"/>
        </w:rPr>
        <w:t>的</w:t>
      </w:r>
      <w:r>
        <w:rPr>
          <w:rFonts w:ascii="宋体" w:hAnsi="宋体" w:eastAsia="宋体" w:cs="宋体"/>
          <w:sz w:val="24"/>
          <w:szCs w:val="24"/>
        </w:rPr>
        <w:t>，乙方</w:t>
      </w:r>
      <w:r>
        <w:rPr>
          <w:rFonts w:hint="eastAsia" w:ascii="宋体" w:hAnsi="宋体" w:eastAsia="宋体" w:cs="宋体"/>
          <w:sz w:val="24"/>
          <w:szCs w:val="24"/>
          <w:lang w:val="en-US" w:eastAsia="zh-CN"/>
        </w:rPr>
        <w:t>自行</w:t>
      </w:r>
      <w:r>
        <w:rPr>
          <w:rFonts w:ascii="宋体" w:hAnsi="宋体" w:eastAsia="宋体" w:cs="宋体"/>
          <w:sz w:val="24"/>
          <w:szCs w:val="24"/>
        </w:rPr>
        <w:t>承担。</w:t>
      </w:r>
    </w:p>
    <w:p w14:paraId="48B74B35">
      <w:pPr>
        <w:keepNext w:val="0"/>
        <w:keepLines w:val="0"/>
        <w:pageBreakBefore w:val="0"/>
        <w:widowControl w:val="0"/>
        <w:kinsoku/>
        <w:wordWrap/>
        <w:overflowPunct/>
        <w:topLinePunct w:val="0"/>
        <w:autoSpaceDE/>
        <w:autoSpaceDN/>
        <w:bidi w:val="0"/>
        <w:adjustRightInd/>
        <w:snapToGrid/>
        <w:spacing w:beforeAutospacing="0" w:line="400" w:lineRule="exact"/>
        <w:ind w:firstLine="480" w:firstLineChars="200"/>
        <w:textAlignment w:val="auto"/>
        <w:rPr>
          <w:rFonts w:hint="eastAsia" w:ascii="宋体" w:hAnsi="宋体" w:eastAsia="宋体" w:cs="宋体"/>
          <w:sz w:val="24"/>
          <w:szCs w:val="24"/>
          <w:lang w:eastAsia="zh-CN"/>
        </w:rPr>
      </w:pPr>
      <w:r>
        <w:rPr>
          <w:rFonts w:ascii="宋体" w:hAnsi="宋体" w:eastAsia="宋体" w:cs="宋体"/>
          <w:sz w:val="24"/>
          <w:szCs w:val="24"/>
        </w:rPr>
        <w:t>（</w:t>
      </w:r>
      <w:r>
        <w:rPr>
          <w:rFonts w:hint="eastAsia" w:ascii="宋体" w:hAnsi="宋体" w:eastAsia="宋体" w:cs="宋体"/>
          <w:sz w:val="24"/>
          <w:szCs w:val="24"/>
          <w:lang w:val="en-US" w:eastAsia="zh-CN"/>
        </w:rPr>
        <w:t>8</w:t>
      </w:r>
      <w:r>
        <w:rPr>
          <w:rFonts w:ascii="宋体" w:hAnsi="宋体" w:eastAsia="宋体" w:cs="宋体"/>
          <w:sz w:val="24"/>
          <w:szCs w:val="24"/>
        </w:rPr>
        <w:t>）负责养护工作人员的劳动保护和人身安全。除双方另有约定外，养护工作人员的餐饮、住宿由乙方自行承担</w:t>
      </w:r>
      <w:r>
        <w:rPr>
          <w:rFonts w:hint="eastAsia" w:ascii="宋体" w:hAnsi="宋体" w:eastAsia="宋体" w:cs="宋体"/>
          <w:sz w:val="24"/>
          <w:szCs w:val="24"/>
          <w:lang w:eastAsia="zh-CN"/>
        </w:rPr>
        <w:t>。</w:t>
      </w:r>
    </w:p>
    <w:p w14:paraId="41B69447">
      <w:pPr>
        <w:pStyle w:val="2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firstLine="482" w:firstLineChars="200"/>
        <w:textAlignment w:val="auto"/>
        <w:rPr>
          <w:rStyle w:val="28"/>
          <w:rFonts w:hint="eastAsia" w:ascii="Segoe UI" w:hAnsi="Segoe UI" w:eastAsia="宋体" w:cs="Segoe UI"/>
          <w:i w:val="0"/>
          <w:iCs w:val="0"/>
          <w:caps w:val="0"/>
          <w:color w:val="404040"/>
          <w:spacing w:val="0"/>
          <w:sz w:val="24"/>
          <w:szCs w:val="24"/>
          <w:lang w:val="en-US" w:eastAsia="zh-CN"/>
        </w:rPr>
      </w:pPr>
      <w:r>
        <w:rPr>
          <w:rStyle w:val="28"/>
          <w:rFonts w:hint="eastAsia" w:ascii="Segoe UI" w:hAnsi="Segoe UI" w:eastAsia="宋体" w:cs="Segoe UI"/>
          <w:i w:val="0"/>
          <w:iCs w:val="0"/>
          <w:caps w:val="0"/>
          <w:color w:val="404040"/>
          <w:spacing w:val="0"/>
          <w:sz w:val="24"/>
          <w:szCs w:val="24"/>
          <w:lang w:eastAsia="zh-CN"/>
        </w:rPr>
        <w:t>（</w:t>
      </w:r>
      <w:r>
        <w:rPr>
          <w:rStyle w:val="28"/>
          <w:rFonts w:hint="eastAsia" w:ascii="Segoe UI" w:hAnsi="Segoe UI" w:eastAsia="宋体" w:cs="Segoe UI"/>
          <w:i w:val="0"/>
          <w:iCs w:val="0"/>
          <w:caps w:val="0"/>
          <w:color w:val="404040"/>
          <w:spacing w:val="0"/>
          <w:sz w:val="24"/>
          <w:szCs w:val="24"/>
          <w:lang w:val="en-US" w:eastAsia="zh-CN"/>
        </w:rPr>
        <w:t>三</w:t>
      </w:r>
      <w:r>
        <w:rPr>
          <w:rStyle w:val="28"/>
          <w:rFonts w:hint="eastAsia" w:ascii="Segoe UI" w:hAnsi="Segoe UI" w:eastAsia="宋体" w:cs="Segoe UI"/>
          <w:i w:val="0"/>
          <w:iCs w:val="0"/>
          <w:caps w:val="0"/>
          <w:color w:val="404040"/>
          <w:spacing w:val="0"/>
          <w:sz w:val="24"/>
          <w:szCs w:val="24"/>
          <w:lang w:eastAsia="zh-CN"/>
        </w:rPr>
        <w:t>）</w:t>
      </w:r>
      <w:r>
        <w:rPr>
          <w:rStyle w:val="28"/>
          <w:rFonts w:hint="eastAsia" w:ascii="Segoe UI" w:hAnsi="Segoe UI" w:eastAsia="宋体" w:cs="Segoe UI"/>
          <w:i w:val="0"/>
          <w:iCs w:val="0"/>
          <w:caps w:val="0"/>
          <w:color w:val="404040"/>
          <w:spacing w:val="0"/>
          <w:sz w:val="24"/>
          <w:szCs w:val="24"/>
          <w:lang w:val="en-US" w:eastAsia="zh-CN"/>
        </w:rPr>
        <w:t>其它约定：</w:t>
      </w:r>
    </w:p>
    <w:p w14:paraId="117C3D3B">
      <w:pPr>
        <w:keepNext w:val="0"/>
        <w:keepLines w:val="0"/>
        <w:pageBreakBefore w:val="0"/>
        <w:widowControl w:val="0"/>
        <w:kinsoku/>
        <w:wordWrap/>
        <w:overflowPunct/>
        <w:topLinePunct w:val="0"/>
        <w:autoSpaceDE/>
        <w:autoSpaceDN/>
        <w:bidi w:val="0"/>
        <w:adjustRightInd/>
        <w:snapToGrid/>
        <w:spacing w:beforeAutospacing="0" w:line="400" w:lineRule="exact"/>
        <w:ind w:firstLine="480" w:firstLineChars="200"/>
        <w:textAlignment w:val="auto"/>
        <w:rPr>
          <w:rFonts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1</w:t>
      </w:r>
      <w:r>
        <w:rPr>
          <w:rFonts w:hint="eastAsia" w:ascii="宋体" w:hAnsi="宋体" w:eastAsia="宋体" w:cs="宋体"/>
          <w:sz w:val="24"/>
          <w:szCs w:val="24"/>
          <w:lang w:eastAsia="zh-CN"/>
        </w:rPr>
        <w:t>）</w:t>
      </w:r>
      <w:r>
        <w:rPr>
          <w:rFonts w:ascii="宋体" w:hAnsi="宋体" w:eastAsia="宋体" w:cs="宋体"/>
          <w:sz w:val="24"/>
          <w:szCs w:val="24"/>
        </w:rPr>
        <w:t>乙方积极配合甲方月检工作。</w:t>
      </w:r>
    </w:p>
    <w:p w14:paraId="46FF7C7D">
      <w:pPr>
        <w:keepNext w:val="0"/>
        <w:keepLines w:val="0"/>
        <w:pageBreakBefore w:val="0"/>
        <w:widowControl w:val="0"/>
        <w:kinsoku/>
        <w:wordWrap/>
        <w:overflowPunct/>
        <w:topLinePunct w:val="0"/>
        <w:autoSpaceDE/>
        <w:autoSpaceDN/>
        <w:bidi w:val="0"/>
        <w:adjustRightInd/>
        <w:snapToGrid/>
        <w:spacing w:beforeAutospacing="0" w:line="400" w:lineRule="exact"/>
        <w:ind w:firstLine="480" w:firstLineChars="200"/>
        <w:textAlignment w:val="auto"/>
        <w:rPr>
          <w:rFonts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2</w:t>
      </w:r>
      <w:r>
        <w:rPr>
          <w:rFonts w:hint="eastAsia" w:ascii="宋体" w:hAnsi="宋体" w:eastAsia="宋体" w:cs="宋体"/>
          <w:sz w:val="24"/>
          <w:szCs w:val="24"/>
          <w:lang w:eastAsia="zh-CN"/>
        </w:rPr>
        <w:t>）</w:t>
      </w:r>
      <w:r>
        <w:rPr>
          <w:rFonts w:ascii="宋体" w:hAnsi="宋体" w:eastAsia="宋体" w:cs="宋体"/>
          <w:sz w:val="24"/>
          <w:szCs w:val="24"/>
        </w:rPr>
        <w:t>乙方在养护过程中发生的所有相关资料按期上报甲方存档。养护管理期满，将养护管理的所有档案资料及养护范围内的各类植物、设施完好地移交给甲方，并及时将养护机械设备搬离养护场所</w:t>
      </w:r>
      <w:r>
        <w:rPr>
          <w:rFonts w:hint="eastAsia" w:ascii="宋体" w:hAnsi="宋体" w:eastAsia="宋体" w:cs="宋体"/>
          <w:sz w:val="24"/>
          <w:szCs w:val="24"/>
          <w:lang w:eastAsia="zh-CN"/>
        </w:rPr>
        <w:t>。</w:t>
      </w:r>
    </w:p>
    <w:p w14:paraId="14D3F2D8">
      <w:pPr>
        <w:keepNext w:val="0"/>
        <w:keepLines w:val="0"/>
        <w:pageBreakBefore w:val="0"/>
        <w:widowControl w:val="0"/>
        <w:kinsoku/>
        <w:wordWrap/>
        <w:overflowPunct/>
        <w:topLinePunct w:val="0"/>
        <w:autoSpaceDE/>
        <w:autoSpaceDN/>
        <w:bidi w:val="0"/>
        <w:adjustRightInd/>
        <w:snapToGrid/>
        <w:spacing w:beforeAutospacing="0" w:line="400" w:lineRule="exact"/>
        <w:ind w:firstLine="480" w:firstLineChars="200"/>
        <w:textAlignment w:val="auto"/>
        <w:rPr>
          <w:rFonts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3</w:t>
      </w:r>
      <w:r>
        <w:rPr>
          <w:rFonts w:hint="eastAsia" w:ascii="宋体" w:hAnsi="宋体" w:eastAsia="宋体" w:cs="宋体"/>
          <w:sz w:val="24"/>
          <w:szCs w:val="24"/>
          <w:lang w:eastAsia="zh-CN"/>
        </w:rPr>
        <w:t>）</w:t>
      </w:r>
      <w:r>
        <w:rPr>
          <w:rFonts w:ascii="宋体" w:hAnsi="宋体" w:eastAsia="宋体" w:cs="宋体"/>
          <w:sz w:val="24"/>
          <w:szCs w:val="24"/>
        </w:rPr>
        <w:t>如果因乙方自身的原因给甲方造成损失，其损失由乙方自行承担。</w:t>
      </w:r>
    </w:p>
    <w:p w14:paraId="1F2C9A53">
      <w:pPr>
        <w:keepNext w:val="0"/>
        <w:keepLines w:val="0"/>
        <w:pageBreakBefore w:val="0"/>
        <w:widowControl w:val="0"/>
        <w:kinsoku/>
        <w:wordWrap/>
        <w:overflowPunct/>
        <w:topLinePunct w:val="0"/>
        <w:autoSpaceDE/>
        <w:autoSpaceDN/>
        <w:bidi w:val="0"/>
        <w:adjustRightInd/>
        <w:snapToGrid/>
        <w:spacing w:beforeAutospacing="0" w:line="400" w:lineRule="exact"/>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4</w:t>
      </w:r>
      <w:r>
        <w:rPr>
          <w:rFonts w:hint="eastAsia" w:ascii="宋体" w:hAnsi="宋体" w:eastAsia="宋体" w:cs="宋体"/>
          <w:sz w:val="24"/>
          <w:szCs w:val="24"/>
          <w:lang w:eastAsia="zh-CN"/>
        </w:rPr>
        <w:t>）</w:t>
      </w:r>
      <w:r>
        <w:rPr>
          <w:rFonts w:ascii="宋体" w:hAnsi="宋体" w:eastAsia="宋体" w:cs="宋体"/>
          <w:sz w:val="24"/>
          <w:szCs w:val="24"/>
        </w:rPr>
        <w:t>按照甲方的要求进行养护施工，在养护施工过程中遵守工程安全生产有关管理规定，严格按安全标准组织施工，采取必要的安全防护措施。由于乙方安全措施不力造成</w:t>
      </w:r>
      <w:r>
        <w:rPr>
          <w:rFonts w:hint="eastAsia" w:ascii="宋体" w:hAnsi="宋体" w:eastAsia="宋体" w:cs="宋体"/>
          <w:sz w:val="24"/>
          <w:szCs w:val="24"/>
          <w:lang w:val="en-US" w:eastAsia="zh-CN"/>
        </w:rPr>
        <w:t>安全</w:t>
      </w:r>
      <w:r>
        <w:rPr>
          <w:rFonts w:ascii="宋体" w:hAnsi="宋体" w:eastAsia="宋体" w:cs="宋体"/>
          <w:sz w:val="24"/>
          <w:szCs w:val="24"/>
        </w:rPr>
        <w:t>事故的责任和因此发生的费用，由乙方</w:t>
      </w:r>
      <w:r>
        <w:rPr>
          <w:rFonts w:hint="eastAsia" w:ascii="宋体" w:hAnsi="宋体" w:eastAsia="宋体" w:cs="宋体"/>
          <w:sz w:val="24"/>
          <w:szCs w:val="24"/>
          <w:lang w:val="en-US" w:eastAsia="zh-CN"/>
        </w:rPr>
        <w:t>自行</w:t>
      </w:r>
      <w:r>
        <w:rPr>
          <w:rFonts w:ascii="宋体" w:hAnsi="宋体" w:eastAsia="宋体" w:cs="宋体"/>
          <w:sz w:val="24"/>
          <w:szCs w:val="24"/>
        </w:rPr>
        <w:t>承担</w:t>
      </w:r>
      <w:r>
        <w:rPr>
          <w:rFonts w:hint="eastAsia" w:ascii="宋体" w:hAnsi="宋体" w:eastAsia="宋体" w:cs="宋体"/>
          <w:sz w:val="24"/>
          <w:szCs w:val="24"/>
          <w:lang w:eastAsia="zh-CN"/>
        </w:rPr>
        <w:t>。</w:t>
      </w:r>
    </w:p>
    <w:p w14:paraId="2BBF0E7C">
      <w:pPr>
        <w:keepNext w:val="0"/>
        <w:keepLines w:val="0"/>
        <w:pageBreakBefore w:val="0"/>
        <w:widowControl w:val="0"/>
        <w:kinsoku/>
        <w:wordWrap/>
        <w:overflowPunct/>
        <w:topLinePunct w:val="0"/>
        <w:autoSpaceDE/>
        <w:autoSpaceDN/>
        <w:bidi w:val="0"/>
        <w:adjustRightInd/>
        <w:snapToGrid/>
        <w:spacing w:beforeAutospacing="0" w:line="400" w:lineRule="exact"/>
        <w:ind w:firstLine="480" w:firstLineChars="200"/>
        <w:textAlignment w:val="auto"/>
        <w:rPr>
          <w:rFonts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5</w:t>
      </w:r>
      <w:r>
        <w:rPr>
          <w:rFonts w:hint="eastAsia" w:ascii="宋体" w:hAnsi="宋体" w:eastAsia="宋体" w:cs="宋体"/>
          <w:sz w:val="24"/>
          <w:szCs w:val="24"/>
          <w:lang w:eastAsia="zh-CN"/>
        </w:rPr>
        <w:t>）</w:t>
      </w:r>
      <w:r>
        <w:rPr>
          <w:rFonts w:ascii="宋体" w:hAnsi="宋体" w:eastAsia="宋体" w:cs="宋体"/>
          <w:sz w:val="24"/>
          <w:szCs w:val="24"/>
        </w:rPr>
        <w:t>乙方应对其一线从业人员进行技能培训及安全教育， 在进行风险作业时须落实相应措施，并由安全员监督指导。</w:t>
      </w:r>
    </w:p>
    <w:p w14:paraId="5FD2EF1F">
      <w:pPr>
        <w:pStyle w:val="2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firstLine="482" w:firstLineChars="200"/>
        <w:textAlignment w:val="auto"/>
        <w:rPr>
          <w:rFonts w:hint="eastAsia" w:ascii="宋体" w:hAnsi="宋体" w:eastAsia="宋体" w:cs="宋体"/>
          <w:b/>
          <w:bCs/>
          <w:color w:val="000000"/>
          <w:sz w:val="24"/>
          <w:szCs w:val="24"/>
        </w:rPr>
      </w:pPr>
      <w:r>
        <w:rPr>
          <w:rFonts w:hint="eastAsia" w:ascii="宋体" w:hAnsi="宋体" w:eastAsia="宋体" w:cs="宋体"/>
          <w:b/>
          <w:bCs/>
          <w:color w:val="000000"/>
          <w:sz w:val="24"/>
          <w:szCs w:val="24"/>
        </w:rPr>
        <w:t>第七条 违约责任：</w:t>
      </w:r>
    </w:p>
    <w:p w14:paraId="0533FB8B">
      <w:pPr>
        <w:pStyle w:val="2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firstLine="480" w:firstLineChars="200"/>
        <w:jc w:val="both"/>
        <w:textAlignment w:val="auto"/>
        <w:rPr>
          <w:rFonts w:ascii="宋体" w:hAnsi="宋体" w:eastAsia="宋体" w:cs="宋体"/>
          <w:sz w:val="24"/>
          <w:szCs w:val="24"/>
        </w:rPr>
      </w:pPr>
      <w:r>
        <w:rPr>
          <w:rFonts w:hint="eastAsia" w:ascii="宋体" w:hAnsi="宋体" w:eastAsia="宋体" w:cs="宋体"/>
          <w:sz w:val="24"/>
          <w:szCs w:val="24"/>
          <w:lang w:val="en-US" w:eastAsia="zh-CN"/>
        </w:rPr>
        <w:t>7</w:t>
      </w:r>
      <w:r>
        <w:rPr>
          <w:rFonts w:ascii="宋体" w:hAnsi="宋体" w:eastAsia="宋体" w:cs="宋体"/>
          <w:sz w:val="24"/>
          <w:szCs w:val="24"/>
        </w:rPr>
        <w:t xml:space="preserve">.1 </w:t>
      </w:r>
      <w:r>
        <w:rPr>
          <w:rFonts w:hint="eastAsia" w:ascii="宋体" w:hAnsi="宋体" w:eastAsia="宋体" w:cs="宋体"/>
          <w:sz w:val="24"/>
          <w:szCs w:val="24"/>
          <w:lang w:val="en-US" w:eastAsia="zh-CN"/>
        </w:rPr>
        <w:t>甲乙双方无正当理由不得无故终止和解除合同，否则违约方应按照合同总价的20%向对方支付违约金，如由此给对方造成的损失大于违约金额的，应以实际损失予以赔偿。</w:t>
      </w:r>
    </w:p>
    <w:p w14:paraId="597747EC">
      <w:pPr>
        <w:pStyle w:val="2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firstLine="480" w:firstLineChars="200"/>
        <w:jc w:val="both"/>
        <w:textAlignment w:val="auto"/>
        <w:rPr>
          <w:rFonts w:ascii="宋体" w:hAnsi="宋体" w:eastAsia="宋体" w:cs="宋体"/>
          <w:sz w:val="24"/>
          <w:szCs w:val="24"/>
        </w:rPr>
      </w:pPr>
      <w:r>
        <w:rPr>
          <w:rFonts w:hint="eastAsia" w:ascii="宋体" w:hAnsi="宋体" w:eastAsia="宋体" w:cs="宋体"/>
          <w:sz w:val="24"/>
          <w:szCs w:val="24"/>
          <w:lang w:val="en-US" w:eastAsia="zh-CN"/>
        </w:rPr>
        <w:t>7</w:t>
      </w:r>
      <w:r>
        <w:rPr>
          <w:rFonts w:ascii="宋体" w:hAnsi="宋体" w:eastAsia="宋体" w:cs="宋体"/>
          <w:sz w:val="24"/>
          <w:szCs w:val="24"/>
        </w:rPr>
        <w:t>.2 乙方在承担养护工作期间，如不能按时完成工作或完成的工作质量没有达到标准要求，按条款</w:t>
      </w:r>
      <w:r>
        <w:rPr>
          <w:rFonts w:hint="eastAsia" w:ascii="宋体" w:hAnsi="宋体" w:eastAsia="宋体" w:cs="宋体"/>
          <w:sz w:val="24"/>
          <w:szCs w:val="24"/>
          <w:lang w:val="en-US" w:eastAsia="zh-CN"/>
        </w:rPr>
        <w:t>5.3</w:t>
      </w:r>
      <w:r>
        <w:rPr>
          <w:rFonts w:ascii="宋体" w:hAnsi="宋体" w:eastAsia="宋体" w:cs="宋体"/>
          <w:sz w:val="24"/>
          <w:szCs w:val="24"/>
        </w:rPr>
        <w:t>考核细则相关规定进行扣款。</w:t>
      </w:r>
    </w:p>
    <w:p w14:paraId="4FB97DC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firstLine="360" w:firstLineChars="15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7.3 乙方应严格按照养护内容及养护工作要求与标准及合同约定的内容提供养护服务，如乙方在养护过程中发生连续2次考核评分不合格（考核评分低于75（含）分的为不合格），或累计发生3次考核评分不合格（考核评分低于75（含）分的为不合格），甲方有权解除合同，未支付的养护费用不予支付，乙方应按照合同总价的30%向甲方支付违约金，并承担由此给甲方造成的全部损失（包括但不限于第三方索赔、律师费、诉讼费、鉴定费、公证费、差旅费等甲方采取诉讼途径发生的一切费用）。</w:t>
      </w:r>
    </w:p>
    <w:p w14:paraId="3348D8DA">
      <w:pPr>
        <w:pStyle w:val="2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7.4 养护过程中，如甲方发现乙方项目实施情况与项目合同或养护要求严重不符，或由于其他客观情况发生了重大变化，经甲乙双方协商，可修改或终止项目合同。</w:t>
      </w:r>
    </w:p>
    <w:p w14:paraId="3BDC0A4A">
      <w:pPr>
        <w:keepNext w:val="0"/>
        <w:keepLines w:val="0"/>
        <w:pageBreakBefore w:val="0"/>
        <w:kinsoku/>
        <w:wordWrap/>
        <w:overflowPunct/>
        <w:topLinePunct w:val="0"/>
        <w:autoSpaceDE/>
        <w:autoSpaceDN/>
        <w:bidi w:val="0"/>
        <w:adjustRightInd/>
        <w:snapToGrid/>
        <w:spacing w:beforeAutospacing="0" w:line="400" w:lineRule="exact"/>
        <w:ind w:firstLine="482" w:firstLineChars="200"/>
        <w:jc w:val="both"/>
        <w:textAlignment w:val="auto"/>
        <w:rPr>
          <w:rFonts w:hint="default" w:ascii="宋体" w:hAnsi="宋体" w:eastAsia="宋体;SimSun" w:cs="宋体"/>
          <w:b w:val="0"/>
          <w:bCs/>
          <w:color w:val="auto"/>
          <w:sz w:val="24"/>
          <w:highlight w:val="none"/>
          <w:lang w:val="en-US" w:eastAsia="zh-CN"/>
        </w:rPr>
      </w:pPr>
      <w:r>
        <w:rPr>
          <w:rFonts w:hint="eastAsia" w:ascii="宋体" w:hAnsi="宋体" w:cs="宋体"/>
          <w:b/>
          <w:bCs w:val="0"/>
          <w:color w:val="auto"/>
          <w:sz w:val="24"/>
          <w:highlight w:val="none"/>
          <w:lang w:val="en-US" w:eastAsia="zh-CN"/>
        </w:rPr>
        <w:t xml:space="preserve">第八条 </w:t>
      </w:r>
      <w:r>
        <w:rPr>
          <w:rFonts w:hint="eastAsia" w:ascii="宋体" w:hAnsi="宋体" w:eastAsia="宋体" w:cs="宋体"/>
          <w:b/>
          <w:bCs w:val="0"/>
          <w:color w:val="auto"/>
          <w:sz w:val="24"/>
          <w:highlight w:val="none"/>
          <w:lang w:val="en-US" w:eastAsia="zh-CN"/>
        </w:rPr>
        <w:t>不可抗力</w:t>
      </w:r>
    </w:p>
    <w:p w14:paraId="40D1E73A">
      <w:pPr>
        <w:keepNext w:val="0"/>
        <w:keepLines w:val="0"/>
        <w:pageBreakBefore w:val="0"/>
        <w:widowControl w:val="0"/>
        <w:kinsoku/>
        <w:wordWrap/>
        <w:overflowPunct/>
        <w:topLinePunct w:val="0"/>
        <w:autoSpaceDE/>
        <w:autoSpaceDN/>
        <w:bidi w:val="0"/>
        <w:adjustRightInd/>
        <w:snapToGrid/>
        <w:spacing w:beforeAutospacing="0" w:line="400" w:lineRule="exact"/>
        <w:ind w:firstLine="480" w:firstLineChars="200"/>
        <w:textAlignment w:val="auto"/>
        <w:rPr>
          <w:rFonts w:ascii="宋体" w:hAnsi="宋体" w:eastAsia="宋体" w:cs="宋体"/>
          <w:sz w:val="24"/>
          <w:szCs w:val="24"/>
        </w:rPr>
      </w:pPr>
      <w:r>
        <w:rPr>
          <w:rFonts w:hint="eastAsia" w:ascii="宋体" w:hAnsi="宋体" w:eastAsia="宋体" w:cs="宋体"/>
          <w:sz w:val="24"/>
          <w:szCs w:val="24"/>
          <w:lang w:val="en-US" w:eastAsia="zh-CN"/>
        </w:rPr>
        <w:t>8</w:t>
      </w:r>
      <w:r>
        <w:rPr>
          <w:rFonts w:ascii="宋体" w:hAnsi="宋体" w:eastAsia="宋体" w:cs="宋体"/>
          <w:sz w:val="24"/>
          <w:szCs w:val="24"/>
        </w:rPr>
        <w:t>.1 下列事件可认为是不可抗力事件：大风、冰雹、雪灾等不能预见、不能避免、不能克服的客观情况。</w:t>
      </w:r>
    </w:p>
    <w:p w14:paraId="7280CE88">
      <w:pPr>
        <w:keepNext w:val="0"/>
        <w:keepLines w:val="0"/>
        <w:pageBreakBefore w:val="0"/>
        <w:widowControl w:val="0"/>
        <w:kinsoku/>
        <w:wordWrap/>
        <w:overflowPunct/>
        <w:topLinePunct w:val="0"/>
        <w:autoSpaceDE/>
        <w:autoSpaceDN/>
        <w:bidi w:val="0"/>
        <w:adjustRightInd/>
        <w:snapToGrid/>
        <w:spacing w:beforeAutospacing="0" w:line="400" w:lineRule="exact"/>
        <w:ind w:firstLine="480" w:firstLineChars="200"/>
        <w:textAlignment w:val="auto"/>
        <w:rPr>
          <w:rFonts w:hint="eastAsia" w:ascii="宋体" w:hAnsi="宋体" w:cs="宋体"/>
          <w:b w:val="0"/>
          <w:bCs/>
          <w:color w:val="auto"/>
          <w:sz w:val="24"/>
          <w:highlight w:val="none"/>
          <w:lang w:val="en-US" w:eastAsia="zh-CN"/>
        </w:rPr>
      </w:pPr>
      <w:r>
        <w:rPr>
          <w:rFonts w:hint="eastAsia" w:ascii="宋体" w:hAnsi="宋体" w:eastAsia="宋体" w:cs="宋体"/>
          <w:sz w:val="24"/>
          <w:szCs w:val="24"/>
          <w:lang w:val="en-US" w:eastAsia="zh-CN"/>
        </w:rPr>
        <w:t>8</w:t>
      </w:r>
      <w:r>
        <w:rPr>
          <w:rFonts w:ascii="宋体" w:hAnsi="宋体" w:eastAsia="宋体" w:cs="宋体"/>
          <w:sz w:val="24"/>
          <w:szCs w:val="24"/>
        </w:rPr>
        <w:t>.2 由于不可抗力原因，乙方尽量避免或减少损失，将因不可抗力造成的损失降低到最小程度，双方不能履行合同义务时，双方共同协商。</w:t>
      </w:r>
    </w:p>
    <w:p w14:paraId="65FE80B2">
      <w:pPr>
        <w:keepNext w:val="0"/>
        <w:keepLines w:val="0"/>
        <w:pageBreakBefore w:val="0"/>
        <w:kinsoku/>
        <w:wordWrap/>
        <w:overflowPunct/>
        <w:topLinePunct w:val="0"/>
        <w:autoSpaceDE/>
        <w:autoSpaceDN/>
        <w:bidi w:val="0"/>
        <w:adjustRightInd/>
        <w:snapToGrid/>
        <w:spacing w:beforeAutospacing="0" w:line="400" w:lineRule="exact"/>
        <w:ind w:firstLine="482" w:firstLineChars="200"/>
        <w:textAlignment w:val="auto"/>
        <w:rPr>
          <w:rFonts w:hint="eastAsia" w:ascii="宋体" w:hAnsi="宋体" w:eastAsia="宋体" w:cs="宋体"/>
          <w:b/>
          <w:bCs w:val="0"/>
          <w:color w:val="auto"/>
          <w:sz w:val="24"/>
          <w:highlight w:val="none"/>
        </w:rPr>
      </w:pPr>
      <w:r>
        <w:rPr>
          <w:rFonts w:hint="eastAsia" w:ascii="宋体" w:hAnsi="宋体" w:cs="宋体"/>
          <w:b/>
          <w:bCs w:val="0"/>
          <w:color w:val="auto"/>
          <w:sz w:val="24"/>
          <w:highlight w:val="none"/>
          <w:lang w:val="en-US" w:eastAsia="zh-CN"/>
        </w:rPr>
        <w:t>第九条 合同的生效、变更、解除和终止</w:t>
      </w:r>
    </w:p>
    <w:p w14:paraId="0CA26842">
      <w:pPr>
        <w:keepNext w:val="0"/>
        <w:keepLines w:val="0"/>
        <w:pageBreakBefore w:val="0"/>
        <w:widowControl w:val="0"/>
        <w:kinsoku/>
        <w:wordWrap/>
        <w:overflowPunct/>
        <w:topLinePunct w:val="0"/>
        <w:autoSpaceDE/>
        <w:autoSpaceDN/>
        <w:bidi w:val="0"/>
        <w:adjustRightInd/>
        <w:snapToGrid/>
        <w:spacing w:beforeAutospacing="0" w:line="400" w:lineRule="exact"/>
        <w:ind w:firstLine="480" w:firstLineChars="200"/>
        <w:textAlignment w:val="auto"/>
        <w:rPr>
          <w:rFonts w:ascii="宋体" w:hAnsi="宋体" w:eastAsia="宋体" w:cs="宋体"/>
          <w:sz w:val="24"/>
          <w:szCs w:val="24"/>
        </w:rPr>
      </w:pPr>
      <w:r>
        <w:rPr>
          <w:rFonts w:hint="eastAsia" w:ascii="宋体" w:hAnsi="宋体" w:eastAsia="宋体" w:cs="宋体"/>
          <w:sz w:val="24"/>
          <w:szCs w:val="24"/>
          <w:lang w:val="en-US" w:eastAsia="zh-CN"/>
        </w:rPr>
        <w:t>9</w:t>
      </w:r>
      <w:r>
        <w:rPr>
          <w:rFonts w:ascii="宋体" w:hAnsi="宋体" w:eastAsia="宋体" w:cs="宋体"/>
          <w:sz w:val="24"/>
          <w:szCs w:val="24"/>
        </w:rPr>
        <w:t>.1 本合同经双方法定代表（负责）人或委托代理人签字并加盖单位印章后生效。</w:t>
      </w:r>
    </w:p>
    <w:p w14:paraId="6F39CA96">
      <w:pPr>
        <w:keepNext w:val="0"/>
        <w:keepLines w:val="0"/>
        <w:pageBreakBefore w:val="0"/>
        <w:widowControl w:val="0"/>
        <w:kinsoku/>
        <w:wordWrap/>
        <w:overflowPunct/>
        <w:topLinePunct w:val="0"/>
        <w:autoSpaceDE/>
        <w:autoSpaceDN/>
        <w:bidi w:val="0"/>
        <w:adjustRightInd/>
        <w:snapToGrid/>
        <w:spacing w:beforeAutospacing="0" w:line="400" w:lineRule="exact"/>
        <w:ind w:firstLine="480" w:firstLineChars="200"/>
        <w:textAlignment w:val="auto"/>
        <w:rPr>
          <w:rFonts w:ascii="宋体" w:hAnsi="宋体" w:eastAsia="宋体" w:cs="宋体"/>
          <w:sz w:val="24"/>
          <w:szCs w:val="24"/>
        </w:rPr>
      </w:pPr>
      <w:r>
        <w:rPr>
          <w:rFonts w:hint="eastAsia" w:ascii="宋体" w:hAnsi="宋体" w:eastAsia="宋体" w:cs="宋体"/>
          <w:sz w:val="24"/>
          <w:szCs w:val="24"/>
          <w:lang w:val="en-US" w:eastAsia="zh-CN"/>
        </w:rPr>
        <w:t>9</w:t>
      </w:r>
      <w:r>
        <w:rPr>
          <w:rFonts w:ascii="宋体" w:hAnsi="宋体" w:eastAsia="宋体" w:cs="宋体"/>
          <w:sz w:val="24"/>
          <w:szCs w:val="24"/>
        </w:rPr>
        <w:t>.2 本合同经双方协商一致，可以变更，合同变更协议应采用书面形式。</w:t>
      </w:r>
    </w:p>
    <w:p w14:paraId="6F0C74B2">
      <w:pPr>
        <w:keepNext w:val="0"/>
        <w:keepLines w:val="0"/>
        <w:pageBreakBefore w:val="0"/>
        <w:widowControl w:val="0"/>
        <w:kinsoku/>
        <w:wordWrap/>
        <w:overflowPunct/>
        <w:topLinePunct w:val="0"/>
        <w:autoSpaceDE/>
        <w:autoSpaceDN/>
        <w:bidi w:val="0"/>
        <w:adjustRightInd/>
        <w:snapToGrid/>
        <w:spacing w:beforeAutospacing="0" w:line="400" w:lineRule="exact"/>
        <w:ind w:firstLine="480" w:firstLineChars="200"/>
        <w:textAlignment w:val="auto"/>
        <w:rPr>
          <w:rFonts w:ascii="宋体" w:hAnsi="宋体" w:eastAsia="宋体" w:cs="宋体"/>
          <w:sz w:val="24"/>
          <w:szCs w:val="24"/>
        </w:rPr>
      </w:pPr>
      <w:r>
        <w:rPr>
          <w:rFonts w:hint="eastAsia" w:ascii="宋体" w:hAnsi="宋体" w:eastAsia="宋体" w:cs="宋体"/>
          <w:sz w:val="24"/>
          <w:szCs w:val="24"/>
          <w:lang w:val="en-US" w:eastAsia="zh-CN"/>
        </w:rPr>
        <w:t>9</w:t>
      </w:r>
      <w:r>
        <w:rPr>
          <w:rFonts w:ascii="宋体" w:hAnsi="宋体" w:eastAsia="宋体" w:cs="宋体"/>
          <w:sz w:val="24"/>
          <w:szCs w:val="24"/>
        </w:rPr>
        <w:t>.3 本合同解除条件:</w:t>
      </w:r>
    </w:p>
    <w:p w14:paraId="07FD4E6A">
      <w:pPr>
        <w:keepNext w:val="0"/>
        <w:keepLines w:val="0"/>
        <w:pageBreakBefore w:val="0"/>
        <w:widowControl w:val="0"/>
        <w:kinsoku/>
        <w:wordWrap/>
        <w:overflowPunct/>
        <w:topLinePunct w:val="0"/>
        <w:autoSpaceDE/>
        <w:autoSpaceDN/>
        <w:bidi w:val="0"/>
        <w:adjustRightInd/>
        <w:snapToGrid/>
        <w:spacing w:beforeAutospacing="0" w:line="400" w:lineRule="exact"/>
        <w:ind w:firstLine="480" w:firstLineChars="200"/>
        <w:textAlignment w:val="auto"/>
        <w:rPr>
          <w:rFonts w:ascii="宋体" w:hAnsi="宋体" w:eastAsia="宋体" w:cs="宋体"/>
          <w:sz w:val="24"/>
          <w:szCs w:val="24"/>
        </w:rPr>
      </w:pPr>
      <w:r>
        <w:rPr>
          <w:rFonts w:hint="eastAsia" w:ascii="宋体" w:hAnsi="宋体" w:eastAsia="宋体" w:cs="宋体"/>
          <w:sz w:val="24"/>
          <w:szCs w:val="24"/>
          <w:lang w:val="en-US" w:eastAsia="zh-CN"/>
        </w:rPr>
        <w:t>9</w:t>
      </w:r>
      <w:r>
        <w:rPr>
          <w:rFonts w:ascii="宋体" w:hAnsi="宋体" w:eastAsia="宋体" w:cs="宋体"/>
          <w:sz w:val="24"/>
          <w:szCs w:val="24"/>
        </w:rPr>
        <w:t>.3.1 因不可抗力致使不能实现合同目的的；</w:t>
      </w:r>
    </w:p>
    <w:p w14:paraId="48154CEB">
      <w:pPr>
        <w:keepNext w:val="0"/>
        <w:keepLines w:val="0"/>
        <w:pageBreakBefore w:val="0"/>
        <w:widowControl w:val="0"/>
        <w:kinsoku/>
        <w:wordWrap/>
        <w:overflowPunct/>
        <w:topLinePunct w:val="0"/>
        <w:autoSpaceDE/>
        <w:autoSpaceDN/>
        <w:bidi w:val="0"/>
        <w:adjustRightInd/>
        <w:snapToGrid/>
        <w:spacing w:beforeAutospacing="0" w:line="400" w:lineRule="exact"/>
        <w:ind w:firstLine="480" w:firstLineChars="200"/>
        <w:textAlignment w:val="auto"/>
        <w:rPr>
          <w:rFonts w:ascii="宋体" w:hAnsi="宋体" w:eastAsia="宋体" w:cs="宋体"/>
          <w:sz w:val="24"/>
          <w:szCs w:val="24"/>
        </w:rPr>
      </w:pPr>
      <w:r>
        <w:rPr>
          <w:rFonts w:hint="eastAsia" w:ascii="宋体" w:hAnsi="宋体" w:eastAsia="宋体" w:cs="宋体"/>
          <w:sz w:val="24"/>
          <w:szCs w:val="24"/>
          <w:lang w:val="en-US" w:eastAsia="zh-CN"/>
        </w:rPr>
        <w:t>9</w:t>
      </w:r>
      <w:r>
        <w:rPr>
          <w:rFonts w:ascii="宋体" w:hAnsi="宋体" w:eastAsia="宋体" w:cs="宋体"/>
          <w:sz w:val="24"/>
          <w:szCs w:val="24"/>
        </w:rPr>
        <w:t>.3.2 在履行期限届满之前，一方明确表示或者以自己实际行为表明其不履行合同义务的；</w:t>
      </w:r>
    </w:p>
    <w:p w14:paraId="5699BF10">
      <w:pPr>
        <w:keepNext w:val="0"/>
        <w:keepLines w:val="0"/>
        <w:pageBreakBefore w:val="0"/>
        <w:widowControl w:val="0"/>
        <w:kinsoku/>
        <w:wordWrap/>
        <w:overflowPunct/>
        <w:topLinePunct w:val="0"/>
        <w:autoSpaceDE/>
        <w:autoSpaceDN/>
        <w:bidi w:val="0"/>
        <w:adjustRightInd/>
        <w:snapToGrid/>
        <w:spacing w:beforeAutospacing="0" w:line="400" w:lineRule="exact"/>
        <w:ind w:firstLine="480" w:firstLineChars="200"/>
        <w:textAlignment w:val="auto"/>
        <w:rPr>
          <w:rFonts w:ascii="宋体" w:hAnsi="宋体" w:eastAsia="宋体" w:cs="宋体"/>
          <w:sz w:val="24"/>
          <w:szCs w:val="24"/>
        </w:rPr>
      </w:pPr>
      <w:r>
        <w:rPr>
          <w:rFonts w:hint="eastAsia" w:ascii="宋体" w:hAnsi="宋体" w:eastAsia="宋体" w:cs="宋体"/>
          <w:sz w:val="24"/>
          <w:szCs w:val="24"/>
          <w:lang w:val="en-US" w:eastAsia="zh-CN"/>
        </w:rPr>
        <w:t>9</w:t>
      </w:r>
      <w:r>
        <w:rPr>
          <w:rFonts w:ascii="宋体" w:hAnsi="宋体" w:eastAsia="宋体" w:cs="宋体"/>
          <w:sz w:val="24"/>
          <w:szCs w:val="24"/>
        </w:rPr>
        <w:t>.3.3 双方协商一致同意解除的；</w:t>
      </w:r>
    </w:p>
    <w:p w14:paraId="01B51608">
      <w:pPr>
        <w:keepNext w:val="0"/>
        <w:keepLines w:val="0"/>
        <w:pageBreakBefore w:val="0"/>
        <w:widowControl w:val="0"/>
        <w:kinsoku/>
        <w:wordWrap/>
        <w:overflowPunct/>
        <w:topLinePunct w:val="0"/>
        <w:autoSpaceDE/>
        <w:autoSpaceDN/>
        <w:bidi w:val="0"/>
        <w:adjustRightInd/>
        <w:snapToGrid/>
        <w:spacing w:beforeAutospacing="0" w:line="400" w:lineRule="exact"/>
        <w:ind w:firstLine="480" w:firstLineChars="200"/>
        <w:textAlignment w:val="auto"/>
        <w:rPr>
          <w:rFonts w:ascii="宋体" w:hAnsi="宋体" w:eastAsia="宋体" w:cs="宋体"/>
          <w:sz w:val="24"/>
          <w:szCs w:val="24"/>
        </w:rPr>
      </w:pPr>
      <w:r>
        <w:rPr>
          <w:rFonts w:hint="eastAsia" w:ascii="宋体" w:hAnsi="宋体" w:eastAsia="宋体" w:cs="宋体"/>
          <w:sz w:val="24"/>
          <w:szCs w:val="24"/>
          <w:lang w:val="en-US" w:eastAsia="zh-CN"/>
        </w:rPr>
        <w:t>9</w:t>
      </w:r>
      <w:r>
        <w:rPr>
          <w:rFonts w:ascii="宋体" w:hAnsi="宋体" w:eastAsia="宋体" w:cs="宋体"/>
          <w:sz w:val="24"/>
          <w:szCs w:val="24"/>
        </w:rPr>
        <w:t>.3.4 乙方给甲方造成损失拒不赔偿的，甲方有权解除合同；</w:t>
      </w:r>
    </w:p>
    <w:p w14:paraId="1BBA990D">
      <w:pPr>
        <w:keepNext w:val="0"/>
        <w:keepLines w:val="0"/>
        <w:pageBreakBefore w:val="0"/>
        <w:widowControl w:val="0"/>
        <w:kinsoku/>
        <w:wordWrap/>
        <w:overflowPunct/>
        <w:topLinePunct w:val="0"/>
        <w:autoSpaceDE/>
        <w:autoSpaceDN/>
        <w:bidi w:val="0"/>
        <w:adjustRightInd/>
        <w:snapToGrid/>
        <w:spacing w:beforeAutospacing="0" w:line="400" w:lineRule="exact"/>
        <w:ind w:firstLine="480" w:firstLineChars="200"/>
        <w:textAlignment w:val="auto"/>
        <w:rPr>
          <w:rFonts w:ascii="宋体" w:hAnsi="宋体" w:eastAsia="宋体" w:cs="宋体"/>
          <w:sz w:val="24"/>
          <w:szCs w:val="24"/>
        </w:rPr>
      </w:pPr>
      <w:r>
        <w:rPr>
          <w:rFonts w:hint="eastAsia" w:ascii="宋体" w:hAnsi="宋体" w:eastAsia="宋体" w:cs="宋体"/>
          <w:sz w:val="24"/>
          <w:szCs w:val="24"/>
          <w:lang w:val="en-US" w:eastAsia="zh-CN"/>
        </w:rPr>
        <w:t>9</w:t>
      </w:r>
      <w:r>
        <w:rPr>
          <w:rFonts w:ascii="宋体" w:hAnsi="宋体" w:eastAsia="宋体" w:cs="宋体"/>
          <w:sz w:val="24"/>
          <w:szCs w:val="24"/>
        </w:rPr>
        <w:t>.3.5 因非自然因素或管理不到位造成的损失，甲方有权要求其进行无偿返工，返工不及时或未按标准整改，甲方有权安排第三方进行作业，所发生的各项费用，从养护费中扣除，并处以5000元至10000元罚款。情节严重且二次验收不合格的</w:t>
      </w:r>
      <w:r>
        <w:rPr>
          <w:rFonts w:hint="eastAsia" w:ascii="宋体" w:hAnsi="宋体" w:eastAsia="宋体" w:cs="宋体"/>
          <w:sz w:val="24"/>
          <w:szCs w:val="24"/>
          <w:lang w:val="en-US" w:eastAsia="zh-CN"/>
        </w:rPr>
        <w:t>（考核评分低于75（含）分的为不合格）</w:t>
      </w:r>
      <w:r>
        <w:rPr>
          <w:rFonts w:ascii="宋体" w:hAnsi="宋体" w:eastAsia="宋体" w:cs="宋体"/>
          <w:sz w:val="24"/>
          <w:szCs w:val="24"/>
        </w:rPr>
        <w:t>，甲方有权终止其合同；</w:t>
      </w:r>
    </w:p>
    <w:p w14:paraId="6EC9CB53">
      <w:pPr>
        <w:keepNext w:val="0"/>
        <w:keepLines w:val="0"/>
        <w:pageBreakBefore w:val="0"/>
        <w:widowControl w:val="0"/>
        <w:kinsoku/>
        <w:wordWrap/>
        <w:overflowPunct/>
        <w:topLinePunct w:val="0"/>
        <w:autoSpaceDE/>
        <w:autoSpaceDN/>
        <w:bidi w:val="0"/>
        <w:adjustRightInd/>
        <w:snapToGrid/>
        <w:spacing w:beforeAutospacing="0" w:line="400" w:lineRule="exact"/>
        <w:ind w:firstLine="480" w:firstLineChars="200"/>
        <w:textAlignment w:val="auto"/>
        <w:rPr>
          <w:rFonts w:ascii="宋体" w:hAnsi="宋体" w:eastAsia="宋体" w:cs="宋体"/>
          <w:sz w:val="24"/>
          <w:szCs w:val="24"/>
        </w:rPr>
      </w:pPr>
      <w:r>
        <w:rPr>
          <w:rFonts w:hint="eastAsia" w:ascii="宋体" w:hAnsi="宋体" w:eastAsia="宋体" w:cs="宋体"/>
          <w:sz w:val="24"/>
          <w:szCs w:val="24"/>
          <w:lang w:val="en-US" w:eastAsia="zh-CN"/>
        </w:rPr>
        <w:t>9</w:t>
      </w:r>
      <w:r>
        <w:rPr>
          <w:rFonts w:ascii="宋体" w:hAnsi="宋体" w:eastAsia="宋体" w:cs="宋体"/>
          <w:sz w:val="24"/>
          <w:szCs w:val="24"/>
        </w:rPr>
        <w:t>.3.6 本合同禁止分包、转包，乙方在养护期间，如未按照养护合同或未经甲方批准，进行项目分包、转包的，甲方有权终止合同，</w:t>
      </w:r>
      <w:r>
        <w:rPr>
          <w:rFonts w:hint="eastAsia" w:ascii="宋体" w:hAnsi="宋体" w:eastAsia="宋体" w:cs="宋体"/>
          <w:sz w:val="24"/>
          <w:szCs w:val="24"/>
          <w:lang w:val="en-US" w:eastAsia="zh-CN"/>
        </w:rPr>
        <w:t>并按照合同总价的30%要求乙方支付违约金，</w:t>
      </w:r>
      <w:r>
        <w:rPr>
          <w:rFonts w:ascii="宋体" w:hAnsi="宋体" w:eastAsia="宋体" w:cs="宋体"/>
          <w:sz w:val="24"/>
          <w:szCs w:val="24"/>
        </w:rPr>
        <w:t>所有损失由乙方自行承担</w:t>
      </w:r>
      <w:r>
        <w:rPr>
          <w:rFonts w:hint="eastAsia" w:ascii="宋体" w:hAnsi="宋体" w:eastAsia="宋体" w:cs="宋体"/>
          <w:sz w:val="24"/>
          <w:szCs w:val="24"/>
          <w:lang w:val="en-US" w:eastAsia="zh-CN"/>
        </w:rPr>
        <w:t>（包括但不限于第三方索赔、律师费、诉讼费、鉴定费、公证费、差旅费等甲方采取诉讼途径发生的一切费用）。</w:t>
      </w:r>
    </w:p>
    <w:p w14:paraId="6166CE13">
      <w:pPr>
        <w:keepNext w:val="0"/>
        <w:keepLines w:val="0"/>
        <w:pageBreakBefore w:val="0"/>
        <w:widowControl w:val="0"/>
        <w:kinsoku/>
        <w:wordWrap/>
        <w:overflowPunct/>
        <w:topLinePunct w:val="0"/>
        <w:autoSpaceDE/>
        <w:autoSpaceDN/>
        <w:bidi w:val="0"/>
        <w:adjustRightInd/>
        <w:snapToGrid/>
        <w:spacing w:beforeAutospacing="0" w:line="400" w:lineRule="exact"/>
        <w:ind w:firstLine="480" w:firstLineChars="200"/>
        <w:textAlignment w:val="auto"/>
        <w:rPr>
          <w:rFonts w:ascii="宋体" w:hAnsi="宋体" w:eastAsia="宋体" w:cs="宋体"/>
          <w:sz w:val="24"/>
          <w:szCs w:val="24"/>
        </w:rPr>
      </w:pPr>
      <w:r>
        <w:rPr>
          <w:rFonts w:hint="eastAsia" w:ascii="宋体" w:hAnsi="宋体" w:eastAsia="宋体" w:cs="宋体"/>
          <w:sz w:val="24"/>
          <w:szCs w:val="24"/>
          <w:lang w:val="en-US" w:eastAsia="zh-CN"/>
        </w:rPr>
        <w:t>9</w:t>
      </w:r>
      <w:r>
        <w:rPr>
          <w:rFonts w:ascii="宋体" w:hAnsi="宋体" w:eastAsia="宋体" w:cs="宋体"/>
          <w:sz w:val="24"/>
          <w:szCs w:val="24"/>
        </w:rPr>
        <w:t>.4 有下列情形之一的，本合同的权利义务终止：</w:t>
      </w:r>
    </w:p>
    <w:p w14:paraId="1A677A52">
      <w:pPr>
        <w:keepNext w:val="0"/>
        <w:keepLines w:val="0"/>
        <w:pageBreakBefore w:val="0"/>
        <w:widowControl w:val="0"/>
        <w:kinsoku/>
        <w:wordWrap/>
        <w:overflowPunct/>
        <w:topLinePunct w:val="0"/>
        <w:autoSpaceDE/>
        <w:autoSpaceDN/>
        <w:bidi w:val="0"/>
        <w:adjustRightInd/>
        <w:snapToGrid/>
        <w:spacing w:beforeAutospacing="0" w:line="400" w:lineRule="exact"/>
        <w:ind w:firstLine="480" w:firstLineChars="200"/>
        <w:textAlignment w:val="auto"/>
        <w:rPr>
          <w:rFonts w:ascii="宋体" w:hAnsi="宋体" w:eastAsia="宋体" w:cs="宋体"/>
          <w:sz w:val="24"/>
          <w:szCs w:val="24"/>
        </w:rPr>
      </w:pPr>
      <w:r>
        <w:rPr>
          <w:rFonts w:hint="eastAsia" w:ascii="宋体" w:hAnsi="宋体" w:eastAsia="宋体" w:cs="宋体"/>
          <w:sz w:val="24"/>
          <w:szCs w:val="24"/>
          <w:lang w:val="en-US" w:eastAsia="zh-CN"/>
        </w:rPr>
        <w:t>9</w:t>
      </w:r>
      <w:r>
        <w:rPr>
          <w:rFonts w:ascii="宋体" w:hAnsi="宋体" w:eastAsia="宋体" w:cs="宋体"/>
          <w:sz w:val="24"/>
          <w:szCs w:val="24"/>
        </w:rPr>
        <w:t>.4.1 合同已经按照约定时间履行完结；</w:t>
      </w:r>
    </w:p>
    <w:p w14:paraId="2C8EA0C8">
      <w:pPr>
        <w:keepNext w:val="0"/>
        <w:keepLines w:val="0"/>
        <w:pageBreakBefore w:val="0"/>
        <w:widowControl w:val="0"/>
        <w:kinsoku/>
        <w:wordWrap/>
        <w:overflowPunct/>
        <w:topLinePunct w:val="0"/>
        <w:autoSpaceDE/>
        <w:autoSpaceDN/>
        <w:bidi w:val="0"/>
        <w:adjustRightInd/>
        <w:snapToGrid/>
        <w:spacing w:beforeAutospacing="0" w:line="400" w:lineRule="exact"/>
        <w:ind w:firstLine="480" w:firstLineChars="200"/>
        <w:textAlignment w:val="auto"/>
        <w:rPr>
          <w:rFonts w:ascii="宋体" w:hAnsi="宋体" w:eastAsia="宋体" w:cs="宋体"/>
          <w:sz w:val="24"/>
          <w:szCs w:val="24"/>
        </w:rPr>
      </w:pPr>
      <w:r>
        <w:rPr>
          <w:rFonts w:hint="eastAsia" w:ascii="宋体" w:hAnsi="宋体" w:eastAsia="宋体" w:cs="宋体"/>
          <w:sz w:val="24"/>
          <w:szCs w:val="24"/>
          <w:lang w:val="en-US" w:eastAsia="zh-CN"/>
        </w:rPr>
        <w:t>9</w:t>
      </w:r>
      <w:r>
        <w:rPr>
          <w:rFonts w:ascii="宋体" w:hAnsi="宋体" w:eastAsia="宋体" w:cs="宋体"/>
          <w:sz w:val="24"/>
          <w:szCs w:val="24"/>
        </w:rPr>
        <w:t>.4.2 双方协商解除合同；</w:t>
      </w:r>
    </w:p>
    <w:p w14:paraId="48057FAA">
      <w:pPr>
        <w:keepNext w:val="0"/>
        <w:keepLines w:val="0"/>
        <w:pageBreakBefore w:val="0"/>
        <w:widowControl w:val="0"/>
        <w:kinsoku/>
        <w:wordWrap/>
        <w:overflowPunct/>
        <w:topLinePunct w:val="0"/>
        <w:autoSpaceDE/>
        <w:autoSpaceDN/>
        <w:bidi w:val="0"/>
        <w:adjustRightInd/>
        <w:snapToGrid/>
        <w:spacing w:beforeAutospacing="0" w:line="400" w:lineRule="exact"/>
        <w:ind w:firstLine="480" w:firstLineChars="200"/>
        <w:textAlignment w:val="auto"/>
        <w:rPr>
          <w:rFonts w:ascii="宋体" w:hAnsi="宋体" w:eastAsia="宋体" w:cs="宋体"/>
          <w:sz w:val="24"/>
          <w:szCs w:val="24"/>
        </w:rPr>
      </w:pPr>
      <w:r>
        <w:rPr>
          <w:rFonts w:hint="eastAsia" w:ascii="宋体" w:hAnsi="宋体" w:eastAsia="宋体" w:cs="宋体"/>
          <w:sz w:val="24"/>
          <w:szCs w:val="24"/>
          <w:lang w:val="en-US" w:eastAsia="zh-CN"/>
        </w:rPr>
        <w:t>9</w:t>
      </w:r>
      <w:r>
        <w:rPr>
          <w:rFonts w:ascii="宋体" w:hAnsi="宋体" w:eastAsia="宋体" w:cs="宋体"/>
          <w:sz w:val="24"/>
          <w:szCs w:val="24"/>
        </w:rPr>
        <w:t>.4.3 法律规定的其它情形；</w:t>
      </w:r>
    </w:p>
    <w:p w14:paraId="78EBFFBE">
      <w:pPr>
        <w:keepNext w:val="0"/>
        <w:keepLines w:val="0"/>
        <w:pageBreakBefore w:val="0"/>
        <w:widowControl w:val="0"/>
        <w:kinsoku/>
        <w:wordWrap/>
        <w:overflowPunct/>
        <w:topLinePunct w:val="0"/>
        <w:autoSpaceDE/>
        <w:autoSpaceDN/>
        <w:bidi w:val="0"/>
        <w:adjustRightInd/>
        <w:snapToGrid/>
        <w:spacing w:beforeAutospacing="0" w:line="400" w:lineRule="exact"/>
        <w:ind w:firstLine="480" w:firstLineChars="200"/>
        <w:textAlignment w:val="auto"/>
        <w:rPr>
          <w:rFonts w:hint="eastAsia" w:ascii="宋体" w:hAnsi="宋体" w:cs="宋体"/>
          <w:b/>
          <w:bCs w:val="0"/>
          <w:color w:val="auto"/>
          <w:sz w:val="24"/>
          <w:highlight w:val="none"/>
          <w:lang w:val="en-US" w:eastAsia="zh-CN"/>
        </w:rPr>
      </w:pPr>
      <w:r>
        <w:rPr>
          <w:rFonts w:hint="eastAsia" w:ascii="宋体" w:hAnsi="宋体" w:eastAsia="宋体" w:cs="宋体"/>
          <w:sz w:val="24"/>
          <w:szCs w:val="24"/>
          <w:lang w:val="en-US" w:eastAsia="zh-CN"/>
        </w:rPr>
        <w:t>9</w:t>
      </w:r>
      <w:r>
        <w:rPr>
          <w:rFonts w:ascii="宋体" w:hAnsi="宋体" w:eastAsia="宋体" w:cs="宋体"/>
          <w:sz w:val="24"/>
          <w:szCs w:val="24"/>
        </w:rPr>
        <w:t>.4.4 合同变更、解除或终止，不能免除违约方应承担的违约责任，给对方造成损失的，还应承担赔偿责任。</w:t>
      </w:r>
    </w:p>
    <w:p w14:paraId="59783148">
      <w:pPr>
        <w:keepNext w:val="0"/>
        <w:keepLines w:val="0"/>
        <w:pageBreakBefore w:val="0"/>
        <w:widowControl w:val="0"/>
        <w:kinsoku/>
        <w:wordWrap/>
        <w:overflowPunct/>
        <w:topLinePunct w:val="0"/>
        <w:autoSpaceDE/>
        <w:autoSpaceDN/>
        <w:bidi w:val="0"/>
        <w:adjustRightInd/>
        <w:snapToGrid/>
        <w:spacing w:beforeAutospacing="0" w:line="400" w:lineRule="exact"/>
        <w:ind w:firstLine="482" w:firstLineChars="200"/>
        <w:textAlignment w:val="auto"/>
        <w:rPr>
          <w:rFonts w:hint="eastAsia" w:ascii="宋体" w:hAnsi="宋体" w:eastAsia="宋体" w:cs="宋体"/>
          <w:b w:val="0"/>
          <w:bCs/>
          <w:color w:val="auto"/>
          <w:sz w:val="24"/>
          <w:highlight w:val="none"/>
        </w:rPr>
      </w:pPr>
      <w:r>
        <w:rPr>
          <w:rFonts w:hint="eastAsia" w:ascii="宋体" w:hAnsi="宋体" w:cs="宋体"/>
          <w:b/>
          <w:bCs w:val="0"/>
          <w:color w:val="auto"/>
          <w:sz w:val="24"/>
          <w:highlight w:val="none"/>
          <w:lang w:val="en-US" w:eastAsia="zh-CN"/>
        </w:rPr>
        <w:t>十、争议</w:t>
      </w:r>
      <w:r>
        <w:rPr>
          <w:rFonts w:hint="eastAsia" w:ascii="宋体" w:hAnsi="宋体" w:eastAsia="宋体" w:cs="宋体"/>
          <w:b/>
          <w:bCs w:val="0"/>
          <w:color w:val="auto"/>
          <w:sz w:val="24"/>
          <w:highlight w:val="none"/>
        </w:rPr>
        <w:t>解决</w:t>
      </w:r>
      <w:r>
        <w:rPr>
          <w:rFonts w:hint="eastAsia" w:ascii="宋体" w:hAnsi="宋体" w:eastAsia="宋体" w:cs="宋体"/>
          <w:b w:val="0"/>
          <w:bCs/>
          <w:color w:val="auto"/>
          <w:sz w:val="24"/>
          <w:highlight w:val="none"/>
        </w:rPr>
        <w:t xml:space="preserve"> </w:t>
      </w:r>
    </w:p>
    <w:p w14:paraId="41D8EB4A">
      <w:pPr>
        <w:keepNext w:val="0"/>
        <w:keepLines w:val="0"/>
        <w:pageBreakBefore w:val="0"/>
        <w:widowControl w:val="0"/>
        <w:kinsoku/>
        <w:wordWrap/>
        <w:overflowPunct/>
        <w:topLinePunct w:val="0"/>
        <w:autoSpaceDE/>
        <w:autoSpaceDN/>
        <w:bidi w:val="0"/>
        <w:adjustRightInd/>
        <w:snapToGrid/>
        <w:spacing w:beforeAutospacing="0" w:line="400" w:lineRule="exact"/>
        <w:ind w:firstLine="480" w:firstLineChars="200"/>
        <w:textAlignment w:val="auto"/>
        <w:rPr>
          <w:rFonts w:hint="eastAsia" w:ascii="宋体" w:hAnsi="宋体" w:eastAsia="宋体" w:cs="宋体"/>
          <w:b w:val="0"/>
          <w:bCs/>
          <w:color w:val="auto"/>
          <w:sz w:val="24"/>
          <w:highlight w:val="none"/>
        </w:rPr>
      </w:pPr>
      <w:r>
        <w:rPr>
          <w:rFonts w:hint="eastAsia" w:ascii="宋体" w:hAnsi="宋体" w:eastAsia="宋体" w:cs="宋体"/>
          <w:b w:val="0"/>
          <w:bCs/>
          <w:color w:val="auto"/>
          <w:sz w:val="24"/>
          <w:highlight w:val="none"/>
        </w:rPr>
        <w:t>本合同在履行过程中发生的争议，由双方当事人协商解决；协商不成的，按下列第【</w:t>
      </w:r>
      <w:r>
        <w:rPr>
          <w:rFonts w:hint="eastAsia" w:ascii="宋体" w:hAnsi="宋体" w:cs="宋体"/>
          <w:b w:val="0"/>
          <w:bCs/>
          <w:color w:val="auto"/>
          <w:sz w:val="24"/>
          <w:highlight w:val="none"/>
          <w:lang w:val="en-US" w:eastAsia="zh-CN"/>
        </w:rPr>
        <w:t>二</w:t>
      </w:r>
      <w:r>
        <w:rPr>
          <w:rFonts w:hint="eastAsia" w:ascii="宋体" w:hAnsi="宋体" w:eastAsia="宋体" w:cs="宋体"/>
          <w:b w:val="0"/>
          <w:bCs/>
          <w:color w:val="auto"/>
          <w:sz w:val="24"/>
          <w:highlight w:val="none"/>
        </w:rPr>
        <w:t>】种方式解决：</w:t>
      </w:r>
    </w:p>
    <w:p w14:paraId="78D6FCC0">
      <w:pPr>
        <w:keepNext w:val="0"/>
        <w:keepLines w:val="0"/>
        <w:pageBreakBefore w:val="0"/>
        <w:widowControl w:val="0"/>
        <w:kinsoku/>
        <w:wordWrap/>
        <w:overflowPunct/>
        <w:topLinePunct w:val="0"/>
        <w:autoSpaceDE/>
        <w:autoSpaceDN/>
        <w:bidi w:val="0"/>
        <w:adjustRightInd/>
        <w:snapToGrid/>
        <w:spacing w:beforeAutospacing="0" w:line="400" w:lineRule="exact"/>
        <w:ind w:firstLine="480" w:firstLineChars="200"/>
        <w:textAlignment w:val="auto"/>
        <w:rPr>
          <w:rFonts w:hint="eastAsia" w:ascii="宋体" w:hAnsi="宋体" w:eastAsia="宋体" w:cs="宋体"/>
          <w:b w:val="0"/>
          <w:bCs/>
          <w:color w:val="auto"/>
          <w:sz w:val="24"/>
          <w:highlight w:val="none"/>
        </w:rPr>
      </w:pPr>
      <w:r>
        <w:rPr>
          <w:rFonts w:hint="eastAsia" w:ascii="宋体" w:hAnsi="宋体" w:eastAsia="宋体" w:cs="宋体"/>
          <w:b w:val="0"/>
          <w:bCs/>
          <w:color w:val="auto"/>
          <w:sz w:val="24"/>
          <w:highlight w:val="none"/>
        </w:rPr>
        <w:t>（一）提交</w:t>
      </w:r>
      <w:r>
        <w:rPr>
          <w:rFonts w:hint="eastAsia" w:ascii="宋体" w:hAnsi="宋体" w:cs="宋体"/>
          <w:b w:val="0"/>
          <w:bCs/>
          <w:color w:val="auto"/>
          <w:sz w:val="24"/>
          <w:highlight w:val="none"/>
          <w:lang w:val="en-US" w:eastAsia="zh-CN"/>
        </w:rPr>
        <w:t xml:space="preserve"> </w:t>
      </w:r>
      <w:r>
        <w:rPr>
          <w:rFonts w:hint="eastAsia" w:ascii="宋体" w:hAnsi="宋体" w:cs="宋体"/>
          <w:b w:val="0"/>
          <w:bCs/>
          <w:color w:val="auto"/>
          <w:sz w:val="24"/>
          <w:highlight w:val="none"/>
          <w:u w:val="single"/>
          <w:lang w:val="en-US" w:eastAsia="zh-CN"/>
        </w:rPr>
        <w:t xml:space="preserve">             </w:t>
      </w:r>
      <w:r>
        <w:rPr>
          <w:rFonts w:hint="eastAsia" w:ascii="宋体" w:hAnsi="宋体" w:eastAsia="宋体" w:cs="宋体"/>
          <w:b w:val="0"/>
          <w:bCs/>
          <w:color w:val="auto"/>
          <w:sz w:val="24"/>
          <w:highlight w:val="none"/>
        </w:rPr>
        <w:t>仲裁委员会仲裁；</w:t>
      </w:r>
    </w:p>
    <w:p w14:paraId="641F58A5">
      <w:pPr>
        <w:keepNext w:val="0"/>
        <w:keepLines w:val="0"/>
        <w:pageBreakBefore w:val="0"/>
        <w:widowControl w:val="0"/>
        <w:kinsoku/>
        <w:wordWrap/>
        <w:overflowPunct/>
        <w:topLinePunct w:val="0"/>
        <w:autoSpaceDE/>
        <w:autoSpaceDN/>
        <w:bidi w:val="0"/>
        <w:adjustRightInd/>
        <w:snapToGrid/>
        <w:spacing w:beforeAutospacing="0" w:line="400" w:lineRule="exact"/>
        <w:ind w:firstLine="480" w:firstLineChars="200"/>
        <w:textAlignment w:val="auto"/>
        <w:rPr>
          <w:rFonts w:hint="eastAsia" w:ascii="宋体" w:hAnsi="宋体" w:eastAsia="宋体" w:cs="宋体"/>
          <w:b w:val="0"/>
          <w:bCs/>
          <w:color w:val="auto"/>
          <w:sz w:val="24"/>
          <w:highlight w:val="none"/>
        </w:rPr>
      </w:pPr>
      <w:r>
        <w:rPr>
          <w:rFonts w:hint="eastAsia" w:ascii="宋体" w:hAnsi="宋体" w:eastAsia="宋体" w:cs="宋体"/>
          <w:b w:val="0"/>
          <w:bCs/>
          <w:color w:val="auto"/>
          <w:sz w:val="24"/>
          <w:highlight w:val="none"/>
        </w:rPr>
        <w:t>（二）依法向</w:t>
      </w:r>
      <w:r>
        <w:rPr>
          <w:rFonts w:hint="eastAsia" w:ascii="宋体" w:hAnsi="宋体" w:cs="宋体"/>
          <w:b w:val="0"/>
          <w:bCs/>
          <w:color w:val="auto"/>
          <w:sz w:val="24"/>
          <w:highlight w:val="none"/>
          <w:u w:val="single"/>
          <w:lang w:val="en-US" w:eastAsia="zh-CN"/>
        </w:rPr>
        <w:t xml:space="preserve">  甲方所在地  </w:t>
      </w:r>
      <w:r>
        <w:rPr>
          <w:rFonts w:hint="eastAsia" w:ascii="宋体" w:hAnsi="宋体" w:eastAsia="宋体" w:cs="宋体"/>
          <w:b w:val="0"/>
          <w:bCs/>
          <w:color w:val="auto"/>
          <w:sz w:val="24"/>
          <w:highlight w:val="none"/>
        </w:rPr>
        <w:t>人民法院起诉。</w:t>
      </w:r>
    </w:p>
    <w:p w14:paraId="7F96C99F">
      <w:pPr>
        <w:keepNext w:val="0"/>
        <w:keepLines w:val="0"/>
        <w:pageBreakBefore w:val="0"/>
        <w:widowControl w:val="0"/>
        <w:kinsoku/>
        <w:wordWrap/>
        <w:overflowPunct/>
        <w:topLinePunct w:val="0"/>
        <w:autoSpaceDE/>
        <w:autoSpaceDN/>
        <w:bidi w:val="0"/>
        <w:adjustRightInd/>
        <w:snapToGrid/>
        <w:spacing w:beforeAutospacing="0" w:line="400" w:lineRule="exact"/>
        <w:ind w:firstLine="482" w:firstLineChars="200"/>
        <w:textAlignment w:val="auto"/>
        <w:rPr>
          <w:rFonts w:hint="default" w:ascii="宋体" w:hAnsi="宋体" w:eastAsia="宋体;SimSun" w:cs="宋体"/>
          <w:b/>
          <w:bCs w:val="0"/>
          <w:color w:val="auto"/>
          <w:sz w:val="24"/>
          <w:highlight w:val="none"/>
          <w:lang w:val="en-US" w:eastAsia="zh-CN"/>
        </w:rPr>
      </w:pPr>
      <w:r>
        <w:rPr>
          <w:rFonts w:hint="eastAsia" w:ascii="宋体" w:hAnsi="宋体" w:cs="宋体"/>
          <w:b/>
          <w:bCs w:val="0"/>
          <w:color w:val="auto"/>
          <w:sz w:val="24"/>
          <w:highlight w:val="none"/>
          <w:lang w:val="en-US" w:eastAsia="zh-CN"/>
        </w:rPr>
        <w:t>十一、其他</w:t>
      </w:r>
      <w:r>
        <w:rPr>
          <w:rFonts w:hint="eastAsia" w:ascii="宋体" w:hAnsi="宋体" w:eastAsia="宋体" w:cs="宋体"/>
          <w:b/>
          <w:bCs w:val="0"/>
          <w:color w:val="auto"/>
          <w:sz w:val="24"/>
          <w:highlight w:val="none"/>
          <w:lang w:val="en-US" w:eastAsia="zh-CN"/>
        </w:rPr>
        <w:t>约定事项</w:t>
      </w:r>
    </w:p>
    <w:p w14:paraId="09465715">
      <w:pPr>
        <w:keepNext w:val="0"/>
        <w:keepLines w:val="0"/>
        <w:pageBreakBefore w:val="0"/>
        <w:widowControl w:val="0"/>
        <w:kinsoku/>
        <w:wordWrap/>
        <w:overflowPunct/>
        <w:topLinePunct w:val="0"/>
        <w:autoSpaceDE/>
        <w:autoSpaceDN/>
        <w:bidi w:val="0"/>
        <w:adjustRightInd/>
        <w:snapToGrid/>
        <w:spacing w:beforeAutospacing="0" w:line="400" w:lineRule="exact"/>
        <w:ind w:firstLine="480" w:firstLineChars="200"/>
        <w:textAlignment w:val="auto"/>
        <w:rPr>
          <w:rFonts w:hint="eastAsia" w:ascii="宋体" w:hAnsi="宋体" w:eastAsia="宋体" w:cs="宋体"/>
          <w:b w:val="0"/>
          <w:bCs/>
          <w:color w:val="auto"/>
          <w:sz w:val="24"/>
          <w:highlight w:val="none"/>
        </w:rPr>
      </w:pPr>
      <w:r>
        <w:rPr>
          <w:rFonts w:hint="eastAsia" w:ascii="宋体" w:hAnsi="宋体" w:cs="宋体"/>
          <w:b w:val="0"/>
          <w:bCs/>
          <w:color w:val="auto"/>
          <w:sz w:val="24"/>
          <w:highlight w:val="none"/>
          <w:lang w:val="en-US" w:eastAsia="zh-CN"/>
        </w:rPr>
        <w:t>11</w:t>
      </w:r>
      <w:r>
        <w:rPr>
          <w:rFonts w:hint="eastAsia" w:ascii="宋体" w:hAnsi="宋体" w:eastAsia="宋体" w:cs="宋体"/>
          <w:b w:val="0"/>
          <w:bCs/>
          <w:color w:val="auto"/>
          <w:sz w:val="24"/>
          <w:highlight w:val="none"/>
        </w:rPr>
        <w:t>.1 和本合同相关的双方往来函件</w:t>
      </w:r>
      <w:r>
        <w:rPr>
          <w:rFonts w:hint="eastAsia" w:ascii="宋体" w:hAnsi="宋体" w:eastAsia="宋体" w:cs="宋体"/>
          <w:b w:val="0"/>
          <w:bCs/>
          <w:color w:val="auto"/>
          <w:sz w:val="24"/>
          <w:highlight w:val="none"/>
          <w:lang w:eastAsia="zh-CN"/>
        </w:rPr>
        <w:t>（</w:t>
      </w:r>
      <w:r>
        <w:rPr>
          <w:rFonts w:hint="eastAsia" w:ascii="宋体" w:hAnsi="宋体" w:eastAsia="宋体" w:cs="宋体"/>
          <w:b w:val="0"/>
          <w:bCs/>
          <w:color w:val="auto"/>
          <w:sz w:val="24"/>
          <w:highlight w:val="none"/>
        </w:rPr>
        <w:t>包括传真件、电子邮件</w:t>
      </w:r>
      <w:r>
        <w:rPr>
          <w:rFonts w:hint="eastAsia" w:ascii="宋体" w:hAnsi="宋体" w:eastAsia="宋体" w:cs="宋体"/>
          <w:b w:val="0"/>
          <w:bCs/>
          <w:color w:val="auto"/>
          <w:sz w:val="24"/>
          <w:highlight w:val="none"/>
          <w:lang w:eastAsia="zh-CN"/>
        </w:rPr>
        <w:t>）</w:t>
      </w:r>
      <w:r>
        <w:rPr>
          <w:rFonts w:hint="eastAsia" w:ascii="宋体" w:hAnsi="宋体" w:eastAsia="宋体" w:cs="宋体"/>
          <w:b w:val="0"/>
          <w:bCs/>
          <w:color w:val="auto"/>
          <w:sz w:val="24"/>
          <w:highlight w:val="none"/>
        </w:rPr>
        <w:t>与原件具有同等的法律效力，修改无效。</w:t>
      </w:r>
    </w:p>
    <w:p w14:paraId="09EB1455">
      <w:pPr>
        <w:keepNext w:val="0"/>
        <w:keepLines w:val="0"/>
        <w:pageBreakBefore w:val="0"/>
        <w:widowControl w:val="0"/>
        <w:kinsoku/>
        <w:wordWrap/>
        <w:overflowPunct/>
        <w:topLinePunct w:val="0"/>
        <w:autoSpaceDE/>
        <w:autoSpaceDN/>
        <w:bidi w:val="0"/>
        <w:adjustRightInd/>
        <w:snapToGrid/>
        <w:spacing w:beforeAutospacing="0" w:line="400" w:lineRule="exact"/>
        <w:ind w:firstLine="480" w:firstLineChars="200"/>
        <w:textAlignment w:val="auto"/>
        <w:rPr>
          <w:rFonts w:hint="eastAsia" w:ascii="宋体" w:hAnsi="宋体" w:eastAsia="宋体" w:cs="宋体"/>
          <w:b w:val="0"/>
          <w:bCs/>
          <w:color w:val="auto"/>
          <w:sz w:val="24"/>
          <w:highlight w:val="none"/>
        </w:rPr>
      </w:pPr>
      <w:r>
        <w:rPr>
          <w:rFonts w:hint="eastAsia" w:ascii="宋体" w:hAnsi="宋体" w:eastAsia="宋体" w:cs="宋体"/>
          <w:b w:val="0"/>
          <w:bCs/>
          <w:color w:val="auto"/>
          <w:sz w:val="24"/>
          <w:highlight w:val="none"/>
        </w:rPr>
        <w:t>1</w:t>
      </w:r>
      <w:r>
        <w:rPr>
          <w:rFonts w:hint="eastAsia" w:ascii="宋体" w:hAnsi="宋体" w:cs="宋体"/>
          <w:b w:val="0"/>
          <w:bCs/>
          <w:color w:val="auto"/>
          <w:sz w:val="24"/>
          <w:highlight w:val="none"/>
          <w:lang w:val="en-US" w:eastAsia="zh-CN"/>
        </w:rPr>
        <w:t>1</w:t>
      </w:r>
      <w:r>
        <w:rPr>
          <w:rFonts w:hint="eastAsia" w:ascii="宋体" w:hAnsi="宋体" w:eastAsia="宋体" w:cs="宋体"/>
          <w:b w:val="0"/>
          <w:bCs/>
          <w:color w:val="auto"/>
          <w:sz w:val="24"/>
          <w:highlight w:val="none"/>
        </w:rPr>
        <w:t>.2 与本合同有关的招投标文件、答疑附件、合同附件</w:t>
      </w:r>
      <w:r>
        <w:rPr>
          <w:rFonts w:hint="eastAsia" w:ascii="宋体" w:hAnsi="宋体" w:eastAsia="宋体" w:cs="宋体"/>
          <w:b w:val="0"/>
          <w:bCs/>
          <w:color w:val="auto"/>
          <w:sz w:val="24"/>
          <w:highlight w:val="none"/>
          <w:lang w:eastAsia="zh-CN"/>
        </w:rPr>
        <w:t>、中标（成交）通知书</w:t>
      </w:r>
      <w:r>
        <w:rPr>
          <w:rFonts w:hint="eastAsia" w:ascii="宋体" w:hAnsi="宋体" w:eastAsia="宋体" w:cs="宋体"/>
          <w:b w:val="0"/>
          <w:bCs/>
          <w:color w:val="auto"/>
          <w:sz w:val="24"/>
          <w:highlight w:val="none"/>
        </w:rPr>
        <w:t>均是本合同不可分割的组成部分，与本合同具有同等法律效力，其他未尽事宜从其规定。</w:t>
      </w:r>
    </w:p>
    <w:p w14:paraId="62A3336B">
      <w:pPr>
        <w:keepNext w:val="0"/>
        <w:keepLines w:val="0"/>
        <w:pageBreakBefore w:val="0"/>
        <w:widowControl w:val="0"/>
        <w:kinsoku/>
        <w:wordWrap/>
        <w:overflowPunct/>
        <w:topLinePunct w:val="0"/>
        <w:autoSpaceDE/>
        <w:autoSpaceDN/>
        <w:bidi w:val="0"/>
        <w:adjustRightInd/>
        <w:snapToGrid/>
        <w:spacing w:beforeAutospacing="0" w:line="400" w:lineRule="exact"/>
        <w:ind w:firstLine="480" w:firstLineChars="200"/>
        <w:textAlignment w:val="auto"/>
        <w:rPr>
          <w:rFonts w:hint="eastAsia" w:ascii="宋体" w:hAnsi="宋体" w:cs="宋体"/>
          <w:b w:val="0"/>
          <w:bCs/>
          <w:color w:val="auto"/>
          <w:sz w:val="24"/>
          <w:highlight w:val="none"/>
          <w:lang w:val="en-US" w:eastAsia="zh-CN"/>
        </w:rPr>
      </w:pPr>
      <w:r>
        <w:rPr>
          <w:rFonts w:hint="eastAsia" w:ascii="宋体" w:hAnsi="宋体" w:cs="宋体"/>
          <w:b w:val="0"/>
          <w:bCs/>
          <w:color w:val="auto"/>
          <w:sz w:val="24"/>
          <w:highlight w:val="none"/>
          <w:lang w:val="en-US" w:eastAsia="zh-CN"/>
        </w:rPr>
        <w:t>11.3 双方明确：本合同任何一方不得对招标文件确定的事项和中标人投标文件作实质性修改。如任何一方修改均为无效条款，该条款应以招标文件约定为准，招标文件未约定以中标通知书、投标文件为准。</w:t>
      </w:r>
    </w:p>
    <w:p w14:paraId="12449BD2">
      <w:pPr>
        <w:keepNext w:val="0"/>
        <w:keepLines w:val="0"/>
        <w:pageBreakBefore w:val="0"/>
        <w:widowControl w:val="0"/>
        <w:kinsoku/>
        <w:wordWrap/>
        <w:overflowPunct/>
        <w:topLinePunct w:val="0"/>
        <w:autoSpaceDE/>
        <w:autoSpaceDN/>
        <w:bidi w:val="0"/>
        <w:adjustRightInd/>
        <w:snapToGrid/>
        <w:spacing w:beforeAutospacing="0" w:line="400" w:lineRule="exact"/>
        <w:ind w:firstLine="480" w:firstLineChars="200"/>
        <w:textAlignment w:val="auto"/>
        <w:rPr>
          <w:rFonts w:hint="eastAsia" w:ascii="宋体" w:hAnsi="宋体" w:cs="宋体"/>
          <w:b w:val="0"/>
          <w:bCs/>
          <w:color w:val="auto"/>
          <w:sz w:val="24"/>
          <w:highlight w:val="none"/>
          <w:lang w:val="en-US" w:eastAsia="zh-CN"/>
        </w:rPr>
      </w:pPr>
      <w:r>
        <w:rPr>
          <w:rFonts w:hint="eastAsia" w:ascii="宋体" w:hAnsi="宋体" w:cs="宋体"/>
          <w:b w:val="0"/>
          <w:bCs/>
          <w:color w:val="auto"/>
          <w:sz w:val="24"/>
          <w:highlight w:val="none"/>
          <w:lang w:val="en-US" w:eastAsia="zh-CN"/>
        </w:rPr>
        <w:t>11.4本合同中所载的书面通知方式仅指当事人亲自送达、挂号信、EMS方式。一方采取当事人亲自送达方式的，另一方有积极配合签收的义务。如一方拒绝签收而使另一方变更送达方式的，由此所产生的费用应当由违约方承担；如以EMS或快递方式寄送的，如无相反证据证明，自寄送之日起的第三日为送达之日。</w:t>
      </w:r>
    </w:p>
    <w:p w14:paraId="6B953F5D">
      <w:pPr>
        <w:keepNext w:val="0"/>
        <w:keepLines w:val="0"/>
        <w:pageBreakBefore w:val="0"/>
        <w:widowControl w:val="0"/>
        <w:kinsoku/>
        <w:wordWrap/>
        <w:overflowPunct/>
        <w:topLinePunct w:val="0"/>
        <w:autoSpaceDE/>
        <w:autoSpaceDN/>
        <w:bidi w:val="0"/>
        <w:adjustRightInd/>
        <w:snapToGrid/>
        <w:spacing w:beforeAutospacing="0" w:line="400" w:lineRule="exact"/>
        <w:ind w:firstLine="480" w:firstLineChars="200"/>
        <w:textAlignment w:val="auto"/>
        <w:rPr>
          <w:rFonts w:hint="default" w:ascii="宋体" w:hAnsi="宋体" w:cs="宋体"/>
          <w:b w:val="0"/>
          <w:bCs/>
          <w:color w:val="auto"/>
          <w:sz w:val="24"/>
          <w:highlight w:val="none"/>
          <w:lang w:val="en-US" w:eastAsia="zh-CN"/>
        </w:rPr>
      </w:pPr>
      <w:r>
        <w:rPr>
          <w:rFonts w:hint="eastAsia" w:ascii="宋体" w:hAnsi="宋体" w:cs="宋体"/>
          <w:b w:val="0"/>
          <w:bCs/>
          <w:color w:val="auto"/>
          <w:sz w:val="24"/>
          <w:highlight w:val="none"/>
          <w:lang w:val="en-US" w:eastAsia="zh-CN"/>
        </w:rPr>
        <w:t>11.5本合同首部双方的联系方式及地址均为双方有效的送达地址，如有一方地址发生变更，应在变更后当日向对方书面通知，如因变更方未及时通知，相对方按合同尾部地址送达的，视为送达成功。</w:t>
      </w:r>
    </w:p>
    <w:p w14:paraId="782A3FAB">
      <w:pPr>
        <w:keepNext w:val="0"/>
        <w:keepLines w:val="0"/>
        <w:pageBreakBefore w:val="0"/>
        <w:widowControl w:val="0"/>
        <w:kinsoku/>
        <w:wordWrap/>
        <w:overflowPunct/>
        <w:topLinePunct w:val="0"/>
        <w:autoSpaceDE/>
        <w:autoSpaceDN/>
        <w:bidi w:val="0"/>
        <w:adjustRightInd/>
        <w:snapToGrid/>
        <w:spacing w:beforeAutospacing="0" w:line="400" w:lineRule="exact"/>
        <w:ind w:firstLine="480" w:firstLineChars="200"/>
        <w:textAlignment w:val="auto"/>
        <w:rPr>
          <w:rFonts w:hint="default" w:ascii="宋体" w:hAnsi="宋体" w:eastAsia="宋体" w:cs="宋体"/>
          <w:b w:val="0"/>
          <w:bCs/>
          <w:color w:val="auto"/>
          <w:sz w:val="24"/>
          <w:highlight w:val="none"/>
          <w:lang w:val="en-US" w:eastAsia="zh-CN"/>
        </w:rPr>
      </w:pPr>
      <w:r>
        <w:rPr>
          <w:rFonts w:hint="eastAsia" w:ascii="宋体" w:hAnsi="宋体" w:eastAsia="宋体" w:cs="宋体"/>
          <w:b w:val="0"/>
          <w:bCs/>
          <w:color w:val="auto"/>
          <w:sz w:val="24"/>
          <w:highlight w:val="none"/>
          <w:lang w:val="en-US" w:eastAsia="zh-CN"/>
        </w:rPr>
        <w:t>11.6</w:t>
      </w:r>
      <w:r>
        <w:rPr>
          <w:rFonts w:ascii="宋体" w:hAnsi="宋体" w:eastAsia="宋体" w:cs="宋体"/>
          <w:sz w:val="24"/>
          <w:szCs w:val="24"/>
        </w:rPr>
        <w:t>本合同一式</w:t>
      </w:r>
      <w:r>
        <w:rPr>
          <w:rFonts w:hint="eastAsia" w:ascii="宋体" w:hAnsi="宋体" w:eastAsia="宋体" w:cs="宋体"/>
          <w:sz w:val="24"/>
          <w:szCs w:val="24"/>
          <w:u w:val="single"/>
          <w:lang w:val="en-US" w:eastAsia="zh-CN"/>
        </w:rPr>
        <w:t xml:space="preserve">   </w:t>
      </w:r>
      <w:r>
        <w:rPr>
          <w:rFonts w:ascii="宋体" w:hAnsi="宋体" w:eastAsia="宋体" w:cs="宋体"/>
          <w:sz w:val="24"/>
          <w:szCs w:val="24"/>
        </w:rPr>
        <w:t>份，甲方执</w:t>
      </w:r>
      <w:r>
        <w:rPr>
          <w:rFonts w:hint="eastAsia" w:ascii="宋体" w:hAnsi="宋体" w:eastAsia="宋体" w:cs="宋体"/>
          <w:sz w:val="24"/>
          <w:szCs w:val="24"/>
          <w:u w:val="single"/>
          <w:lang w:val="en-US" w:eastAsia="zh-CN"/>
        </w:rPr>
        <w:t xml:space="preserve">   </w:t>
      </w:r>
      <w:r>
        <w:rPr>
          <w:rFonts w:ascii="宋体" w:hAnsi="宋体" w:eastAsia="宋体" w:cs="宋体"/>
          <w:sz w:val="24"/>
          <w:szCs w:val="24"/>
        </w:rPr>
        <w:t>份，乙方执</w:t>
      </w:r>
      <w:r>
        <w:rPr>
          <w:rFonts w:hint="eastAsia" w:ascii="宋体" w:hAnsi="宋体" w:eastAsia="宋体" w:cs="宋体"/>
          <w:sz w:val="24"/>
          <w:szCs w:val="24"/>
          <w:u w:val="single"/>
          <w:lang w:val="en-US" w:eastAsia="zh-CN"/>
        </w:rPr>
        <w:t xml:space="preserve">   </w:t>
      </w:r>
      <w:r>
        <w:rPr>
          <w:rFonts w:ascii="宋体" w:hAnsi="宋体" w:eastAsia="宋体" w:cs="宋体"/>
          <w:sz w:val="24"/>
          <w:szCs w:val="24"/>
        </w:rPr>
        <w:t>份，每份具有同等法律效力。</w:t>
      </w:r>
    </w:p>
    <w:p w14:paraId="7F370EE4">
      <w:pPr>
        <w:keepNext w:val="0"/>
        <w:keepLines w:val="0"/>
        <w:pageBreakBefore w:val="0"/>
        <w:widowControl w:val="0"/>
        <w:kinsoku/>
        <w:wordWrap/>
        <w:overflowPunct/>
        <w:topLinePunct w:val="0"/>
        <w:autoSpaceDE/>
        <w:autoSpaceDN/>
        <w:bidi w:val="0"/>
        <w:adjustRightInd/>
        <w:snapToGrid/>
        <w:spacing w:beforeAutospacing="0" w:line="400" w:lineRule="exact"/>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（以下无正文，为本合同签署页）</w:t>
      </w:r>
    </w:p>
    <w:p w14:paraId="22334060">
      <w:pPr>
        <w:spacing w:line="520" w:lineRule="exact"/>
        <w:rPr>
          <w:rFonts w:hint="eastAsia" w:ascii="宋体" w:hAnsi="宋体" w:eastAsia="宋体" w:cs="宋体"/>
          <w:color w:val="auto"/>
          <w:sz w:val="24"/>
          <w:highlight w:val="none"/>
        </w:rPr>
      </w:pPr>
    </w:p>
    <w:p w14:paraId="195F3418">
      <w:pPr>
        <w:spacing w:line="52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甲方（盖章）：                          乙方（盖章）：</w:t>
      </w:r>
    </w:p>
    <w:p w14:paraId="740F10B4">
      <w:pPr>
        <w:spacing w:line="52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法人或授权代表（签字）：                法人或授权代表（签字）：</w:t>
      </w:r>
    </w:p>
    <w:p w14:paraId="4572FEA7">
      <w:pPr>
        <w:rPr>
          <w:color w:val="auto"/>
        </w:rPr>
      </w:pPr>
    </w:p>
    <w:p w14:paraId="32F191FF">
      <w:pPr>
        <w:rPr>
          <w:rFonts w:hint="default" w:ascii="宋体" w:hAnsi="宋体" w:eastAsia="宋体" w:cs="宋体"/>
          <w:color w:val="auto"/>
          <w:highlight w:val="none"/>
          <w:lang w:val="en-US" w:eastAsia="zh-CN"/>
        </w:rPr>
      </w:pPr>
      <w:r>
        <w:rPr>
          <w:rFonts w:ascii="宋体" w:hAnsi="宋体" w:eastAsia="宋体" w:cs="宋体"/>
          <w:sz w:val="24"/>
          <w:szCs w:val="24"/>
        </w:rPr>
        <w:t>日期： 年 月 日</w:t>
      </w:r>
      <w:r>
        <w:rPr>
          <w:rFonts w:hint="eastAsia" w:ascii="宋体" w:hAnsi="宋体" w:eastAsia="宋体" w:cs="宋体"/>
          <w:sz w:val="24"/>
          <w:szCs w:val="24"/>
          <w:lang w:val="en-US" w:eastAsia="zh-CN"/>
        </w:rPr>
        <w:t xml:space="preserve">                         </w:t>
      </w:r>
      <w:r>
        <w:rPr>
          <w:rFonts w:ascii="宋体" w:hAnsi="宋体" w:eastAsia="宋体" w:cs="宋体"/>
          <w:sz w:val="24"/>
          <w:szCs w:val="24"/>
        </w:rPr>
        <w:t>日期： 年 月 日</w:t>
      </w:r>
    </w:p>
    <w:p w14:paraId="79D52AE6">
      <w:pPr>
        <w:rPr>
          <w:rFonts w:hint="eastAsia" w:ascii="宋体" w:hAnsi="宋体" w:eastAsia="宋体" w:cs="宋体"/>
          <w:color w:val="auto"/>
          <w:highlight w:val="none"/>
        </w:rPr>
      </w:pPr>
    </w:p>
    <w:p w14:paraId="6E2557AB">
      <w:pPr>
        <w:spacing w:line="500" w:lineRule="exact"/>
        <w:rPr>
          <w:rFonts w:hint="eastAsia" w:ascii="宋体" w:hAnsi="宋体" w:eastAsia="宋体" w:cs="宋体"/>
          <w:color w:val="auto"/>
          <w:sz w:val="28"/>
          <w:szCs w:val="28"/>
          <w:highlight w:val="none"/>
          <w:lang w:val="en-US" w:eastAsia="zh-CN"/>
        </w:rPr>
      </w:pPr>
    </w:p>
    <w:p w14:paraId="4D8499A7">
      <w:pPr>
        <w:spacing w:line="500" w:lineRule="exact"/>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br w:type="page"/>
      </w:r>
      <w:r>
        <w:rPr>
          <w:rFonts w:hint="eastAsia" w:ascii="宋体" w:hAnsi="宋体" w:eastAsia="宋体" w:cs="宋体"/>
          <w:color w:val="auto"/>
          <w:sz w:val="28"/>
          <w:szCs w:val="28"/>
          <w:highlight w:val="none"/>
          <w:lang w:val="en-US" w:eastAsia="zh-CN"/>
        </w:rPr>
        <w:t>附件1：技术参数清单</w:t>
      </w:r>
    </w:p>
    <w:p w14:paraId="2418325F">
      <w:pPr>
        <w:pStyle w:val="7"/>
        <w:rPr>
          <w:rFonts w:hint="eastAsia"/>
          <w:color w:val="auto"/>
          <w:highlight w:val="none"/>
          <w:lang w:val="en-US" w:eastAsia="zh-CN"/>
        </w:rPr>
      </w:pPr>
    </w:p>
    <w:p w14:paraId="7C84DB9B">
      <w:pPr>
        <w:rPr>
          <w:rFonts w:hint="eastAsia" w:ascii="宋体" w:hAnsi="宋体" w:eastAsia="宋体" w:cs="宋体"/>
          <w:b/>
          <w:color w:val="auto"/>
          <w:sz w:val="44"/>
          <w:szCs w:val="44"/>
          <w:highlight w:val="none"/>
        </w:rPr>
      </w:pPr>
      <w:r>
        <w:rPr>
          <w:rFonts w:hint="eastAsia" w:ascii="宋体" w:hAnsi="宋体" w:eastAsia="宋体" w:cs="宋体"/>
          <w:color w:val="auto"/>
          <w:highlight w:val="none"/>
          <w:lang w:val="en-US" w:eastAsia="zh-CN"/>
        </w:rPr>
        <w:br w:type="page"/>
      </w:r>
      <w:r>
        <w:rPr>
          <w:rFonts w:hint="eastAsia" w:ascii="宋体" w:hAnsi="宋体" w:eastAsia="宋体" w:cs="宋体"/>
          <w:color w:val="auto"/>
          <w:sz w:val="28"/>
          <w:szCs w:val="28"/>
          <w:highlight w:val="none"/>
        </w:rPr>
        <w:t>附件</w:t>
      </w:r>
      <w:r>
        <w:rPr>
          <w:rFonts w:hint="eastAsia" w:ascii="宋体" w:hAnsi="宋体" w:eastAsia="宋体" w:cs="宋体"/>
          <w:color w:val="auto"/>
          <w:sz w:val="28"/>
          <w:szCs w:val="28"/>
          <w:highlight w:val="none"/>
          <w:lang w:val="en-US" w:eastAsia="zh-CN"/>
        </w:rPr>
        <w:t>2</w:t>
      </w:r>
      <w:r>
        <w:rPr>
          <w:rFonts w:hint="eastAsia" w:ascii="宋体" w:hAnsi="宋体" w:eastAsia="宋体" w:cs="宋体"/>
          <w:color w:val="auto"/>
          <w:sz w:val="28"/>
          <w:szCs w:val="28"/>
          <w:highlight w:val="none"/>
        </w:rPr>
        <w:t>：服务承诺书</w:t>
      </w:r>
    </w:p>
    <w:p w14:paraId="3EB3D75F">
      <w:pPr>
        <w:jc w:val="center"/>
        <w:rPr>
          <w:rFonts w:hint="eastAsia" w:ascii="宋体" w:hAnsi="宋体" w:eastAsia="宋体" w:cs="宋体"/>
          <w:b/>
          <w:bCs/>
          <w:color w:val="auto"/>
          <w:sz w:val="44"/>
          <w:szCs w:val="44"/>
          <w:highlight w:val="none"/>
        </w:rPr>
      </w:pPr>
      <w:r>
        <w:rPr>
          <w:rFonts w:hint="eastAsia" w:ascii="宋体" w:hAnsi="宋体" w:eastAsia="宋体" w:cs="宋体"/>
          <w:b/>
          <w:bCs/>
          <w:color w:val="auto"/>
          <w:sz w:val="44"/>
          <w:szCs w:val="44"/>
          <w:highlight w:val="none"/>
          <w:lang w:val="en-US" w:eastAsia="zh-CN"/>
        </w:rPr>
        <w:t>服务</w:t>
      </w:r>
      <w:r>
        <w:rPr>
          <w:rFonts w:hint="eastAsia" w:ascii="宋体" w:hAnsi="宋体" w:eastAsia="宋体" w:cs="宋体"/>
          <w:b/>
          <w:bCs/>
          <w:color w:val="auto"/>
          <w:sz w:val="44"/>
          <w:szCs w:val="44"/>
          <w:highlight w:val="none"/>
        </w:rPr>
        <w:t>承诺书</w:t>
      </w:r>
    </w:p>
    <w:p w14:paraId="1AE0C427">
      <w:pPr>
        <w:rPr>
          <w:rFonts w:hint="eastAsia" w:ascii="宋体" w:hAnsi="宋体" w:eastAsia="宋体" w:cs="宋体"/>
          <w:color w:val="auto"/>
          <w:sz w:val="30"/>
          <w:szCs w:val="30"/>
          <w:highlight w:val="none"/>
          <w:lang w:val="en-US" w:eastAsia="zh-CN"/>
        </w:rPr>
      </w:pPr>
      <w:r>
        <w:rPr>
          <w:rFonts w:hint="eastAsia" w:ascii="宋体" w:hAnsi="宋体" w:eastAsia="宋体" w:cs="宋体"/>
          <w:color w:val="auto"/>
          <w:sz w:val="30"/>
          <w:szCs w:val="30"/>
          <w:highlight w:val="none"/>
        </w:rPr>
        <w:t>　</w:t>
      </w:r>
      <w:r>
        <w:rPr>
          <w:rFonts w:hint="eastAsia" w:ascii="宋体" w:hAnsi="宋体" w:eastAsia="宋体" w:cs="宋体"/>
          <w:color w:val="auto"/>
          <w:sz w:val="30"/>
          <w:szCs w:val="30"/>
          <w:highlight w:val="none"/>
          <w:lang w:val="en-US" w:eastAsia="zh-CN"/>
        </w:rPr>
        <w:t xml:space="preserve">  </w:t>
      </w:r>
    </w:p>
    <w:p w14:paraId="101FD3F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对于贵</w:t>
      </w:r>
      <w:r>
        <w:rPr>
          <w:rFonts w:hint="eastAsia" w:ascii="宋体" w:hAnsi="宋体" w:eastAsia="宋体" w:cs="宋体"/>
          <w:color w:val="auto"/>
          <w:sz w:val="24"/>
          <w:szCs w:val="24"/>
          <w:highlight w:val="none"/>
          <w:lang w:val="en-US" w:eastAsia="zh-CN"/>
        </w:rPr>
        <w:t>单位采购</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项目</w:t>
      </w:r>
      <w:r>
        <w:rPr>
          <w:rFonts w:hint="eastAsia" w:ascii="宋体" w:hAnsi="宋体" w:eastAsia="宋体" w:cs="宋体"/>
          <w:color w:val="auto"/>
          <w:sz w:val="24"/>
          <w:szCs w:val="24"/>
          <w:highlight w:val="none"/>
        </w:rPr>
        <w:t>，在我单位的服务工作过程中，我们将严格执行国家的有关法律法规，尊重并贯彻需方的意见，维护需方的利益，严把质量关，把向需方提供优质服务，作为我们工作目标。我单位本着想需方之所想，急需方之所急。在项目服务过程中与需方密切配合，随时随地提供全过程、全方位的服务,保证各项工作的顺利进行。如我公司能中标，我公司郑重承诺如下:</w:t>
      </w:r>
    </w:p>
    <w:p w14:paraId="7B5F59F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如果我公司中标，我们保证保质保量完成</w:t>
      </w:r>
      <w:r>
        <w:rPr>
          <w:rFonts w:hint="eastAsia" w:ascii="宋体" w:hAnsi="宋体" w:eastAsia="宋体" w:cs="宋体"/>
          <w:color w:val="auto"/>
          <w:sz w:val="24"/>
          <w:szCs w:val="24"/>
          <w:highlight w:val="none"/>
          <w:lang w:val="en-US" w:eastAsia="zh-CN"/>
        </w:rPr>
        <w:t>本项目所有服务工作</w:t>
      </w:r>
      <w:r>
        <w:rPr>
          <w:rFonts w:hint="eastAsia" w:ascii="宋体" w:hAnsi="宋体" w:eastAsia="宋体" w:cs="宋体"/>
          <w:color w:val="auto"/>
          <w:sz w:val="24"/>
          <w:szCs w:val="24"/>
          <w:highlight w:val="none"/>
        </w:rPr>
        <w:t>。</w:t>
      </w:r>
    </w:p>
    <w:p w14:paraId="6C8A542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二、我公司严格按照</w:t>
      </w:r>
      <w:r>
        <w:rPr>
          <w:rFonts w:hint="eastAsia" w:ascii="宋体" w:hAnsi="宋体" w:eastAsia="宋体" w:cs="宋体"/>
          <w:color w:val="auto"/>
          <w:sz w:val="24"/>
          <w:szCs w:val="24"/>
          <w:highlight w:val="none"/>
          <w:lang w:val="en-US" w:eastAsia="zh-CN"/>
        </w:rPr>
        <w:t>磋商文件、响应文件及采购方要求提供服务。</w:t>
      </w:r>
    </w:p>
    <w:p w14:paraId="62D8FAB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三、对于我公司提供服务，杜绝出现服务质量问题、学生投诉、服务态度恶劣、服务不及时、不按照采购单位规定堆放货物、私自调整售卖价格、不配合采购单位工作等情况。</w:t>
      </w:r>
    </w:p>
    <w:p w14:paraId="6B39A75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四、我公司针对本项目配备专项服务团队，有固定联系人和技术人员对接，提供每周7天，24小时全天候的不间断技术服务支持。</w:t>
      </w:r>
    </w:p>
    <w:p w14:paraId="3B9C8B9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五、如在服务过程中自身问题导致采购方无法正常运营，我公司在30分钟内响应，12小时内解决问题。如有必要，在采购方规定的时间内到达现场解决问题。</w:t>
      </w:r>
    </w:p>
    <w:p w14:paraId="236FD87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为共同确保</w:t>
      </w:r>
      <w:r>
        <w:rPr>
          <w:rFonts w:hint="eastAsia" w:ascii="宋体" w:hAnsi="宋体" w:eastAsia="宋体" w:cs="宋体"/>
          <w:color w:val="auto"/>
          <w:sz w:val="24"/>
          <w:szCs w:val="24"/>
          <w:highlight w:val="none"/>
          <w:lang w:val="en-US" w:eastAsia="zh-CN"/>
        </w:rPr>
        <w:t>服务质量</w:t>
      </w:r>
      <w:r>
        <w:rPr>
          <w:rFonts w:hint="eastAsia" w:ascii="宋体" w:hAnsi="宋体" w:eastAsia="宋体" w:cs="宋体"/>
          <w:color w:val="auto"/>
          <w:sz w:val="24"/>
          <w:szCs w:val="24"/>
          <w:highlight w:val="none"/>
        </w:rPr>
        <w:t>，我公司特向贵</w:t>
      </w:r>
      <w:r>
        <w:rPr>
          <w:rFonts w:hint="eastAsia" w:ascii="宋体" w:hAnsi="宋体" w:eastAsia="宋体" w:cs="宋体"/>
          <w:color w:val="auto"/>
          <w:sz w:val="24"/>
          <w:szCs w:val="24"/>
          <w:highlight w:val="none"/>
          <w:lang w:val="en-US" w:eastAsia="zh-CN"/>
        </w:rPr>
        <w:t>单位</w:t>
      </w:r>
      <w:r>
        <w:rPr>
          <w:rFonts w:hint="eastAsia" w:ascii="宋体" w:hAnsi="宋体" w:eastAsia="宋体" w:cs="宋体"/>
          <w:color w:val="auto"/>
          <w:sz w:val="24"/>
          <w:szCs w:val="24"/>
          <w:highlight w:val="none"/>
        </w:rPr>
        <w:t>作出上述承诺，并愿意遵照执行。</w:t>
      </w:r>
    </w:p>
    <w:p w14:paraId="64484641">
      <w:pPr>
        <w:numPr>
          <w:ilvl w:val="0"/>
          <w:numId w:val="0"/>
        </w:numPr>
        <w:rPr>
          <w:rFonts w:hint="eastAsia" w:ascii="宋体" w:hAnsi="宋体" w:eastAsia="宋体" w:cs="宋体"/>
          <w:color w:val="auto"/>
          <w:sz w:val="24"/>
          <w:szCs w:val="24"/>
          <w:highlight w:val="none"/>
        </w:rPr>
      </w:pPr>
    </w:p>
    <w:p w14:paraId="0FAD3BE6">
      <w:pPr>
        <w:spacing w:line="540" w:lineRule="exact"/>
        <w:ind w:right="56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                          </w:t>
      </w:r>
    </w:p>
    <w:p w14:paraId="7124BFF7">
      <w:pPr>
        <w:spacing w:line="540" w:lineRule="exact"/>
        <w:ind w:right="560"/>
        <w:jc w:val="center"/>
        <w:rPr>
          <w:rFonts w:hint="eastAsia" w:ascii="宋体" w:hAnsi="宋体" w:eastAsia="宋体" w:cs="宋体"/>
          <w:color w:val="auto"/>
          <w:sz w:val="24"/>
          <w:szCs w:val="24"/>
          <w:highlight w:val="none"/>
          <w:lang w:val="en-US" w:eastAsia="zh-CN"/>
        </w:rPr>
      </w:pPr>
    </w:p>
    <w:p w14:paraId="376010A1">
      <w:pPr>
        <w:spacing w:line="540" w:lineRule="exact"/>
        <w:ind w:right="56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承诺单位（盖章）：</w:t>
      </w:r>
    </w:p>
    <w:p w14:paraId="338CA371">
      <w:pPr>
        <w:spacing w:line="540" w:lineRule="exact"/>
        <w:ind w:right="84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p w14:paraId="4990CDE4">
      <w:pPr>
        <w:spacing w:line="540" w:lineRule="exact"/>
        <w:ind w:left="4800" w:right="840" w:hanging="3840" w:hangingChars="16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 法定代表人</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或授权代理人）签</w:t>
      </w:r>
      <w:r>
        <w:rPr>
          <w:rFonts w:hint="eastAsia" w:ascii="宋体" w:hAnsi="宋体" w:eastAsia="宋体" w:cs="宋体"/>
          <w:color w:val="auto"/>
          <w:sz w:val="24"/>
          <w:szCs w:val="24"/>
          <w:highlight w:val="none"/>
        </w:rPr>
        <w:t>字：</w:t>
      </w:r>
      <w:r>
        <w:rPr>
          <w:rFonts w:hint="eastAsia" w:ascii="宋体" w:hAnsi="宋体" w:eastAsia="宋体" w:cs="宋体"/>
          <w:color w:val="auto"/>
          <w:sz w:val="24"/>
          <w:szCs w:val="24"/>
          <w:highlight w:val="none"/>
          <w:lang w:val="en-US" w:eastAsia="zh-CN"/>
        </w:rPr>
        <w:t xml:space="preserve"> </w:t>
      </w:r>
    </w:p>
    <w:p w14:paraId="0D53D906">
      <w:pPr>
        <w:spacing w:line="540" w:lineRule="exact"/>
        <w:ind w:right="84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p w14:paraId="0F8F0BCA">
      <w:pPr>
        <w:spacing w:line="5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日期：   </w:t>
      </w:r>
    </w:p>
    <w:p w14:paraId="522258F2">
      <w:pPr>
        <w:rPr>
          <w:rFonts w:hint="eastAsia" w:ascii="宋体" w:hAnsi="宋体" w:eastAsia="宋体" w:cs="宋体"/>
          <w:color w:val="auto"/>
          <w:sz w:val="30"/>
          <w:szCs w:val="30"/>
          <w:highlight w:val="none"/>
        </w:rPr>
      </w:pPr>
      <w:r>
        <w:rPr>
          <w:rFonts w:hint="eastAsia" w:ascii="宋体" w:hAnsi="宋体" w:eastAsia="宋体" w:cs="宋体"/>
          <w:color w:val="auto"/>
          <w:sz w:val="30"/>
          <w:szCs w:val="30"/>
          <w:highlight w:val="none"/>
        </w:rPr>
        <w:br w:type="page"/>
      </w:r>
      <w:r>
        <w:rPr>
          <w:rFonts w:hint="eastAsia" w:ascii="宋体" w:hAnsi="宋体" w:eastAsia="宋体" w:cs="宋体"/>
          <w:color w:val="auto"/>
          <w:sz w:val="30"/>
          <w:szCs w:val="30"/>
          <w:highlight w:val="none"/>
        </w:rPr>
        <w:t>附件:廉政承诺书</w:t>
      </w:r>
    </w:p>
    <w:p w14:paraId="3E4F362E">
      <w:pPr>
        <w:jc w:val="center"/>
        <w:rPr>
          <w:rFonts w:hint="eastAsia" w:ascii="宋体" w:hAnsi="宋体" w:eastAsia="宋体" w:cs="宋体"/>
          <w:b/>
          <w:bCs/>
          <w:color w:val="auto"/>
          <w:sz w:val="44"/>
          <w:szCs w:val="44"/>
          <w:highlight w:val="none"/>
        </w:rPr>
      </w:pPr>
      <w:r>
        <w:rPr>
          <w:rFonts w:hint="eastAsia" w:ascii="宋体" w:hAnsi="宋体" w:eastAsia="宋体" w:cs="宋体"/>
          <w:b/>
          <w:bCs/>
          <w:color w:val="auto"/>
          <w:sz w:val="44"/>
          <w:szCs w:val="44"/>
          <w:highlight w:val="none"/>
        </w:rPr>
        <w:t>廉政承诺书</w:t>
      </w:r>
    </w:p>
    <w:p w14:paraId="46F91D44">
      <w:pPr>
        <w:spacing w:line="540" w:lineRule="exact"/>
        <w:ind w:firstLine="600" w:firstLineChars="200"/>
        <w:rPr>
          <w:rFonts w:hint="eastAsia" w:ascii="宋体" w:hAnsi="宋体" w:eastAsia="宋体" w:cs="宋体"/>
          <w:color w:val="auto"/>
          <w:sz w:val="30"/>
          <w:szCs w:val="30"/>
          <w:highlight w:val="none"/>
        </w:rPr>
      </w:pPr>
    </w:p>
    <w:p w14:paraId="74AFE525">
      <w:pPr>
        <w:spacing w:line="540" w:lineRule="exact"/>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为建立廉洁自律的工作纪律，本公司作为新疆医科大学的供应商，在独立、客观、公正的基础上开展各项业务，杜绝发生违法、违纪和不良行为。本公司将严格按照以下措施做好各项工作，并自愿向贵校承诺如下：</w:t>
      </w:r>
    </w:p>
    <w:p w14:paraId="6A2D9901">
      <w:pPr>
        <w:spacing w:line="540" w:lineRule="exact"/>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第一条 廉政内容</w:t>
      </w:r>
    </w:p>
    <w:p w14:paraId="347A4C47">
      <w:pPr>
        <w:spacing w:line="540" w:lineRule="exact"/>
        <w:ind w:firstLine="480" w:firstLineChars="200"/>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rPr>
        <w:t>(一)</w:t>
      </w:r>
      <w:r>
        <w:rPr>
          <w:rFonts w:hint="eastAsia" w:ascii="宋体" w:hAnsi="宋体" w:eastAsia="宋体" w:cs="宋体"/>
          <w:bCs/>
          <w:color w:val="auto"/>
          <w:sz w:val="24"/>
          <w:szCs w:val="24"/>
          <w:highlight w:val="none"/>
        </w:rPr>
        <w:t>严格遵守党规、党纪、国家法律、行政法规和贵校的各项规章制度，做到依法经营、诚实守信和廉洁自律；</w:t>
      </w:r>
    </w:p>
    <w:p w14:paraId="2783E197">
      <w:pPr>
        <w:spacing w:line="540" w:lineRule="exact"/>
        <w:ind w:firstLine="480" w:firstLineChars="200"/>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rPr>
        <w:t>(二)</w:t>
      </w:r>
      <w:r>
        <w:rPr>
          <w:rFonts w:hint="eastAsia" w:ascii="宋体" w:hAnsi="宋体" w:eastAsia="宋体" w:cs="宋体"/>
          <w:bCs/>
          <w:color w:val="auto"/>
          <w:sz w:val="24"/>
          <w:szCs w:val="24"/>
          <w:highlight w:val="none"/>
        </w:rPr>
        <w:t>正确行使权力，不在贵校的管理、招投标活动和业务合作中发生任何违法、违规、违纪行为，不谋取不正当利益和损害贵校的利益；</w:t>
      </w:r>
    </w:p>
    <w:p w14:paraId="1A4641C6">
      <w:pPr>
        <w:spacing w:line="540" w:lineRule="exact"/>
        <w:ind w:firstLine="480" w:firstLineChars="200"/>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rPr>
        <w:t>(三)</w:t>
      </w:r>
      <w:r>
        <w:rPr>
          <w:rFonts w:hint="eastAsia" w:ascii="宋体" w:hAnsi="宋体" w:eastAsia="宋体" w:cs="宋体"/>
          <w:bCs/>
          <w:color w:val="auto"/>
          <w:sz w:val="24"/>
          <w:szCs w:val="24"/>
          <w:highlight w:val="none"/>
        </w:rPr>
        <w:t>不以权谋私，不从事任何损害贵校利益的业务，不利用条件上的便利从事有偿居间活动；不利用条件上的便利为亲属、特定关系人谋取任何利益；</w:t>
      </w:r>
    </w:p>
    <w:p w14:paraId="39E1AB81">
      <w:pPr>
        <w:spacing w:line="540" w:lineRule="exact"/>
        <w:ind w:firstLine="480" w:firstLineChars="200"/>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rPr>
        <w:t>(四)</w:t>
      </w:r>
      <w:r>
        <w:rPr>
          <w:rFonts w:hint="eastAsia" w:ascii="宋体" w:hAnsi="宋体" w:eastAsia="宋体" w:cs="宋体"/>
          <w:bCs/>
          <w:color w:val="auto"/>
          <w:sz w:val="24"/>
          <w:szCs w:val="24"/>
          <w:highlight w:val="none"/>
        </w:rPr>
        <w:t>坚决抵制商业贿赂，绝不向贵校的工作人员及其家人</w:t>
      </w:r>
      <w:r>
        <w:rPr>
          <w:rFonts w:hint="eastAsia" w:ascii="宋体" w:hAnsi="宋体" w:eastAsia="宋体" w:cs="宋体"/>
          <w:color w:val="auto"/>
          <w:sz w:val="24"/>
          <w:szCs w:val="24"/>
          <w:highlight w:val="none"/>
        </w:rPr>
        <w:t>行贿或变现行贿</w:t>
      </w:r>
      <w:r>
        <w:rPr>
          <w:rFonts w:hint="eastAsia" w:ascii="宋体" w:hAnsi="宋体" w:eastAsia="宋体" w:cs="宋体"/>
          <w:bCs/>
          <w:color w:val="auto"/>
          <w:sz w:val="24"/>
          <w:szCs w:val="24"/>
          <w:highlight w:val="none"/>
        </w:rPr>
        <w:t>，不以任何形式向其赠送礼金、有价证券和贵重物品、以报销、提成、回扣等方式给予任何费用；</w:t>
      </w:r>
    </w:p>
    <w:p w14:paraId="40303366">
      <w:pPr>
        <w:spacing w:line="540" w:lineRule="exact"/>
        <w:ind w:firstLine="480" w:firstLineChars="200"/>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rPr>
        <w:t>(五)</w:t>
      </w:r>
      <w:r>
        <w:rPr>
          <w:rFonts w:hint="eastAsia" w:ascii="宋体" w:hAnsi="宋体" w:eastAsia="宋体" w:cs="宋体"/>
          <w:bCs/>
          <w:color w:val="auto"/>
          <w:sz w:val="24"/>
          <w:szCs w:val="24"/>
          <w:highlight w:val="none"/>
        </w:rPr>
        <w:t>在业务合作过程中，如出现相关人员吃、拿、卡、要等现象应立即停止并向新疆医科大学</w:t>
      </w:r>
      <w:r>
        <w:rPr>
          <w:rFonts w:hint="eastAsia" w:ascii="宋体" w:hAnsi="宋体" w:eastAsia="宋体" w:cs="宋体"/>
          <w:bCs/>
          <w:color w:val="auto"/>
          <w:sz w:val="24"/>
          <w:szCs w:val="24"/>
          <w:highlight w:val="none"/>
          <w:lang w:val="en-US" w:eastAsia="zh-CN"/>
        </w:rPr>
        <w:t>纪检委</w:t>
      </w:r>
      <w:r>
        <w:rPr>
          <w:rFonts w:hint="eastAsia" w:ascii="宋体" w:hAnsi="宋体" w:eastAsia="宋体" w:cs="宋体"/>
          <w:bCs/>
          <w:color w:val="auto"/>
          <w:sz w:val="24"/>
          <w:szCs w:val="24"/>
          <w:highlight w:val="none"/>
        </w:rPr>
        <w:t>进行反映；</w:t>
      </w:r>
    </w:p>
    <w:p w14:paraId="6EAA119B">
      <w:pPr>
        <w:pStyle w:val="7"/>
        <w:spacing w:line="5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（六）不以任何理由邀请新疆医科大学工作人员外出旅游或安排参加宴请及娱乐活动；</w:t>
      </w:r>
    </w:p>
    <w:p w14:paraId="1D65657F">
      <w:pPr>
        <w:pStyle w:val="7"/>
        <w:spacing w:line="540" w:lineRule="exact"/>
        <w:ind w:left="0" w:firstLine="360" w:firstLineChars="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七</w:t>
      </w:r>
      <w:r>
        <w:rPr>
          <w:rFonts w:hint="eastAsia" w:ascii="宋体" w:hAnsi="宋体" w:eastAsia="宋体" w:cs="宋体"/>
          <w:color w:val="auto"/>
          <w:sz w:val="24"/>
          <w:szCs w:val="24"/>
          <w:highlight w:val="none"/>
        </w:rPr>
        <w:t>）本公司指定业务代表洽谈业务，销售代表必须在工作时间到新疆医科大学指定地点联系商谈，不得到学校、学院、科室等推销任何产品，不得借故到相关领导、部门负责人及相关工作人员家中访谈并提供任何好处费。</w:t>
      </w:r>
    </w:p>
    <w:p w14:paraId="4489CF1B">
      <w:pPr>
        <w:spacing w:line="540" w:lineRule="exact"/>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第二条 如本公司违反上述承诺，本公司自愿承担如下责任</w:t>
      </w:r>
    </w:p>
    <w:p w14:paraId="4B03BBDE">
      <w:pPr>
        <w:spacing w:line="540" w:lineRule="exact"/>
        <w:ind w:firstLine="480" w:firstLineChars="200"/>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lang w:val="en-US" w:eastAsia="zh-CN"/>
        </w:rPr>
        <w:t>1、</w:t>
      </w:r>
      <w:r>
        <w:rPr>
          <w:rFonts w:hint="eastAsia" w:ascii="宋体" w:hAnsi="宋体" w:eastAsia="宋体" w:cs="宋体"/>
          <w:bCs/>
          <w:color w:val="auto"/>
          <w:sz w:val="24"/>
          <w:szCs w:val="24"/>
          <w:highlight w:val="none"/>
        </w:rPr>
        <w:t xml:space="preserve"> 如因本公司的相关行为给贵校造成损失的，本公司</w:t>
      </w:r>
      <w:r>
        <w:rPr>
          <w:rFonts w:hint="eastAsia" w:ascii="宋体" w:hAnsi="宋体" w:eastAsia="宋体" w:cs="宋体"/>
          <w:color w:val="auto"/>
          <w:sz w:val="24"/>
          <w:szCs w:val="24"/>
          <w:highlight w:val="none"/>
        </w:rPr>
        <w:t>剩余未结款项全部归贵校所有，</w:t>
      </w:r>
      <w:r>
        <w:rPr>
          <w:rFonts w:hint="eastAsia" w:ascii="宋体" w:hAnsi="宋体" w:eastAsia="宋体" w:cs="宋体"/>
          <w:bCs/>
          <w:color w:val="auto"/>
          <w:sz w:val="24"/>
          <w:szCs w:val="24"/>
          <w:highlight w:val="none"/>
        </w:rPr>
        <w:t>如不足以弥补贵校损失的，本公司继续承担赔偿责任；</w:t>
      </w:r>
    </w:p>
    <w:p w14:paraId="1BF3367C">
      <w:pPr>
        <w:spacing w:line="540" w:lineRule="exact"/>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2、如本公司的上述行为构成犯罪的，贵校有权直接报案，依法追究本公司的全部法律责任；</w:t>
      </w:r>
    </w:p>
    <w:p w14:paraId="77D26952">
      <w:pPr>
        <w:spacing w:line="540" w:lineRule="exact"/>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3、本公司自愿接受被贵校列入员工黑名单的制裁，该制裁包括但不限于如下内容：</w:t>
      </w:r>
    </w:p>
    <w:p w14:paraId="357F1269">
      <w:pPr>
        <w:spacing w:line="540" w:lineRule="exact"/>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（1）授权贵校在任何媒体对本公司的上述行为进行曝光，相关费用全部由本公司承担；</w:t>
      </w:r>
    </w:p>
    <w:p w14:paraId="59454CFB">
      <w:pPr>
        <w:spacing w:line="540" w:lineRule="exact"/>
        <w:ind w:firstLine="480" w:firstLineChars="200"/>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rPr>
        <w:t>（2）授权贵校将本公司的上述行为作为反面案例，以任何形式在任何场所进行广泛宣传</w:t>
      </w:r>
      <w:r>
        <w:rPr>
          <w:rFonts w:hint="eastAsia" w:ascii="宋体" w:hAnsi="宋体" w:eastAsia="宋体" w:cs="宋体"/>
          <w:bCs/>
          <w:color w:val="auto"/>
          <w:sz w:val="24"/>
          <w:szCs w:val="24"/>
          <w:highlight w:val="none"/>
          <w:lang w:eastAsia="zh-CN"/>
        </w:rPr>
        <w:t>。</w:t>
      </w:r>
    </w:p>
    <w:p w14:paraId="3C6287AB">
      <w:pPr>
        <w:spacing w:line="540" w:lineRule="exact"/>
        <w:ind w:firstLine="482" w:firstLineChars="200"/>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rPr>
        <w:t>三、本公司将认真执行上述承诺事项，自愿对上述承诺内容承担法律责任、经济赔偿责任及刑事法律责任</w:t>
      </w:r>
      <w:r>
        <w:rPr>
          <w:rFonts w:hint="eastAsia" w:ascii="宋体" w:hAnsi="宋体" w:eastAsia="宋体" w:cs="宋体"/>
          <w:b/>
          <w:bCs/>
          <w:color w:val="auto"/>
          <w:sz w:val="24"/>
          <w:szCs w:val="24"/>
          <w:highlight w:val="none"/>
          <w:lang w:eastAsia="zh-CN"/>
        </w:rPr>
        <w:t>。</w:t>
      </w:r>
    </w:p>
    <w:p w14:paraId="482007E9">
      <w:pPr>
        <w:spacing w:line="540" w:lineRule="exact"/>
        <w:rPr>
          <w:rFonts w:hint="eastAsia" w:ascii="宋体" w:hAnsi="宋体" w:eastAsia="宋体" w:cs="宋体"/>
          <w:color w:val="auto"/>
          <w:sz w:val="24"/>
          <w:szCs w:val="24"/>
          <w:highlight w:val="none"/>
        </w:rPr>
      </w:pPr>
    </w:p>
    <w:p w14:paraId="5C57EDFB">
      <w:pPr>
        <w:spacing w:line="540" w:lineRule="exact"/>
        <w:rPr>
          <w:rFonts w:hint="eastAsia" w:ascii="宋体" w:hAnsi="宋体" w:eastAsia="宋体" w:cs="宋体"/>
          <w:color w:val="auto"/>
          <w:sz w:val="24"/>
          <w:szCs w:val="24"/>
          <w:highlight w:val="none"/>
        </w:rPr>
      </w:pPr>
    </w:p>
    <w:p w14:paraId="57F60F34">
      <w:pPr>
        <w:spacing w:line="540" w:lineRule="exact"/>
        <w:ind w:right="56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承诺单位（盖章）：</w:t>
      </w:r>
    </w:p>
    <w:p w14:paraId="1E2E366F">
      <w:pPr>
        <w:spacing w:line="540" w:lineRule="exact"/>
        <w:ind w:right="84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p w14:paraId="01715366">
      <w:pPr>
        <w:spacing w:line="540" w:lineRule="exact"/>
        <w:ind w:left="4800" w:right="840" w:hanging="3840" w:hangingChars="16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 法定代表人</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或授权代理人）签</w:t>
      </w:r>
      <w:r>
        <w:rPr>
          <w:rFonts w:hint="eastAsia" w:ascii="宋体" w:hAnsi="宋体" w:eastAsia="宋体" w:cs="宋体"/>
          <w:color w:val="auto"/>
          <w:sz w:val="24"/>
          <w:szCs w:val="24"/>
          <w:highlight w:val="none"/>
        </w:rPr>
        <w:t>字：</w:t>
      </w:r>
      <w:r>
        <w:rPr>
          <w:rFonts w:hint="eastAsia" w:ascii="宋体" w:hAnsi="宋体" w:eastAsia="宋体" w:cs="宋体"/>
          <w:color w:val="auto"/>
          <w:sz w:val="24"/>
          <w:szCs w:val="24"/>
          <w:highlight w:val="none"/>
          <w:lang w:val="en-US" w:eastAsia="zh-CN"/>
        </w:rPr>
        <w:t xml:space="preserve"> </w:t>
      </w:r>
    </w:p>
    <w:p w14:paraId="476C0FCA">
      <w:pPr>
        <w:spacing w:line="540" w:lineRule="exact"/>
        <w:ind w:right="84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p w14:paraId="377D1ACA">
      <w:pPr>
        <w:spacing w:line="5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日期：   </w:t>
      </w:r>
    </w:p>
    <w:p w14:paraId="71D77705">
      <w:pPr>
        <w:pageBreakBefore w:val="0"/>
        <w:widowControl w:val="0"/>
        <w:kinsoku/>
        <w:wordWrap/>
        <w:overflowPunct/>
        <w:topLinePunct w:val="0"/>
        <w:bidi w:val="0"/>
        <w:adjustRightInd w:val="0"/>
        <w:snapToGrid w:val="0"/>
        <w:spacing w:line="360" w:lineRule="auto"/>
        <w:ind w:left="0"/>
        <w:textAlignment w:val="auto"/>
        <w:rPr>
          <w:rFonts w:hint="eastAsia" w:ascii="宋体" w:hAnsi="宋体" w:eastAsia="宋体" w:cs="宋体"/>
          <w:kern w:val="0"/>
          <w:sz w:val="21"/>
          <w:szCs w:val="21"/>
          <w:highlight w:val="none"/>
        </w:rPr>
      </w:pPr>
    </w:p>
    <w:p w14:paraId="2CA526DC">
      <w:pPr>
        <w:pageBreakBefore w:val="0"/>
        <w:widowControl w:val="0"/>
        <w:kinsoku/>
        <w:wordWrap/>
        <w:overflowPunct/>
        <w:topLinePunct w:val="0"/>
        <w:bidi w:val="0"/>
        <w:adjustRightInd w:val="0"/>
        <w:snapToGrid w:val="0"/>
        <w:spacing w:line="360" w:lineRule="auto"/>
        <w:ind w:left="0"/>
        <w:textAlignment w:val="auto"/>
        <w:rPr>
          <w:rFonts w:hint="eastAsia" w:ascii="宋体" w:hAnsi="宋体" w:eastAsia="宋体" w:cs="宋体"/>
          <w:kern w:val="0"/>
          <w:sz w:val="21"/>
          <w:szCs w:val="21"/>
          <w:highlight w:val="none"/>
        </w:rPr>
      </w:pPr>
    </w:p>
    <w:p w14:paraId="0C5C2A57">
      <w:pPr>
        <w:pageBreakBefore w:val="0"/>
        <w:widowControl w:val="0"/>
        <w:kinsoku/>
        <w:wordWrap/>
        <w:overflowPunct/>
        <w:topLinePunct w:val="0"/>
        <w:bidi w:val="0"/>
        <w:adjustRightInd w:val="0"/>
        <w:snapToGrid w:val="0"/>
        <w:spacing w:line="360" w:lineRule="auto"/>
        <w:ind w:left="0"/>
        <w:textAlignment w:val="auto"/>
        <w:rPr>
          <w:rFonts w:hint="eastAsia" w:ascii="宋体" w:hAnsi="宋体" w:eastAsia="宋体" w:cs="宋体"/>
          <w:kern w:val="0"/>
          <w:sz w:val="21"/>
          <w:szCs w:val="21"/>
          <w:highlight w:val="none"/>
        </w:rPr>
      </w:pPr>
    </w:p>
    <w:p w14:paraId="2859EC2E">
      <w:pPr>
        <w:pageBreakBefore w:val="0"/>
        <w:widowControl w:val="0"/>
        <w:kinsoku/>
        <w:wordWrap/>
        <w:overflowPunct/>
        <w:topLinePunct w:val="0"/>
        <w:bidi w:val="0"/>
        <w:adjustRightInd w:val="0"/>
        <w:snapToGrid w:val="0"/>
        <w:spacing w:line="360" w:lineRule="auto"/>
        <w:ind w:left="0"/>
        <w:textAlignment w:val="auto"/>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br w:type="page"/>
      </w:r>
    </w:p>
    <w:p w14:paraId="061EFA6D">
      <w:pPr>
        <w:pStyle w:val="2"/>
        <w:jc w:val="center"/>
        <w:rPr>
          <w:rFonts w:hint="eastAsia" w:ascii="宋体" w:hAnsi="宋体" w:eastAsia="宋体" w:cs="宋体"/>
          <w:b/>
          <w:bCs w:val="0"/>
          <w:color w:val="auto"/>
          <w:highlight w:val="none"/>
        </w:rPr>
      </w:pPr>
      <w:r>
        <w:rPr>
          <w:rFonts w:hint="eastAsia" w:ascii="宋体" w:hAnsi="宋体" w:eastAsia="宋体" w:cs="宋体"/>
          <w:b/>
          <w:bCs w:val="0"/>
          <w:color w:val="auto"/>
          <w:highlight w:val="none"/>
        </w:rPr>
        <w:t>第五章 评审办法</w:t>
      </w:r>
      <w:bookmarkEnd w:id="139"/>
    </w:p>
    <w:p w14:paraId="09896333">
      <w:pPr>
        <w:pStyle w:val="23"/>
        <w:numPr>
          <w:ilvl w:val="0"/>
          <w:numId w:val="9"/>
        </w:numPr>
        <w:snapToGrid w:val="0"/>
        <w:spacing w:after="0" w:line="440" w:lineRule="exact"/>
        <w:ind w:firstLine="480"/>
        <w:rPr>
          <w:rFonts w:hint="eastAsia" w:ascii="宋体" w:hAnsi="宋体" w:eastAsia="宋体" w:cs="宋体"/>
          <w:b/>
          <w:bCs/>
          <w:color w:val="auto"/>
          <w:sz w:val="24"/>
          <w:szCs w:val="24"/>
          <w:highlight w:val="none"/>
        </w:rPr>
      </w:pPr>
      <w:bookmarkStart w:id="140" w:name="_Toc37090656"/>
      <w:bookmarkStart w:id="141" w:name="_Toc37090651"/>
      <w:bookmarkStart w:id="142" w:name="_Toc37090987"/>
      <w:bookmarkStart w:id="143" w:name="_Toc37090992"/>
      <w:r>
        <w:rPr>
          <w:rFonts w:hint="eastAsia" w:ascii="宋体" w:hAnsi="宋体" w:eastAsia="宋体" w:cs="宋体"/>
          <w:b/>
          <w:bCs/>
          <w:color w:val="auto"/>
          <w:sz w:val="24"/>
          <w:szCs w:val="24"/>
          <w:highlight w:val="none"/>
        </w:rPr>
        <w:t>评审说明</w:t>
      </w:r>
    </w:p>
    <w:p w14:paraId="2E20A2F1">
      <w:pPr>
        <w:pStyle w:val="23"/>
        <w:snapToGrid w:val="0"/>
        <w:spacing w:after="0"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 本次磋商实行两次报价，加密的响应文件中提供的供应商报价为一次报价，在磋商小组对各供应商的响应文件进行初步评审（资格评审、符合性评审）后，由磋商小组开启二次报价，各供应商须在二次报价开启后的</w:t>
      </w:r>
      <w:r>
        <w:rPr>
          <w:rFonts w:hint="eastAsia" w:ascii="宋体" w:hAnsi="宋体" w:eastAsia="宋体" w:cs="宋体"/>
          <w:color w:val="auto"/>
          <w:sz w:val="24"/>
          <w:szCs w:val="24"/>
          <w:highlight w:val="none"/>
          <w:lang w:eastAsia="zh-CN"/>
        </w:rPr>
        <w:t>30分钟</w:t>
      </w:r>
      <w:r>
        <w:rPr>
          <w:rFonts w:hint="eastAsia" w:ascii="宋体" w:hAnsi="宋体" w:eastAsia="宋体" w:cs="宋体"/>
          <w:color w:val="auto"/>
          <w:sz w:val="24"/>
          <w:szCs w:val="24"/>
          <w:highlight w:val="none"/>
        </w:rPr>
        <w:t>内登录政采云系统进行二次（最后）报价。因供应商自身原因未在系统内及时填报二次报价的，其责任由供应商承担。</w:t>
      </w:r>
    </w:p>
    <w:p w14:paraId="0E39E6B3">
      <w:pPr>
        <w:pStyle w:val="23"/>
        <w:snapToGrid w:val="0"/>
        <w:spacing w:after="0" w:line="440" w:lineRule="exac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1.2本次磋商采用综合评分法进行评审。</w:t>
      </w:r>
      <w:r>
        <w:rPr>
          <w:rFonts w:hint="eastAsia" w:ascii="宋体" w:hAnsi="宋体" w:eastAsia="宋体" w:cs="宋体"/>
          <w:color w:val="auto"/>
          <w:kern w:val="0"/>
          <w:sz w:val="24"/>
          <w:szCs w:val="24"/>
          <w:highlight w:val="none"/>
        </w:rPr>
        <w:t>综合评分法是指响应文件满足竞争性磋商文件全部实质性要求，且按照评审因素的量化指标评审综合得分（即对各供应商响应文件的商务、技术、最后报价进行综合评审。磋商小组将按供应商综合得分顺序由高到低依次排名，得分相同的，按最后报价由低到高顺序排列。综合得分及报价均相同的，按技术指标优劣顺序排列。推荐前三名为成交候选单位。经采购人确认后确定排名第一的供应商为本项目的成交供应商。</w:t>
      </w:r>
    </w:p>
    <w:p w14:paraId="3B98F360">
      <w:pPr>
        <w:pStyle w:val="23"/>
        <w:snapToGrid w:val="0"/>
        <w:spacing w:after="0"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 根据财政部发布的《政府采购促进中小企业发展管理办法》（财库〔2020〕46号）规定，对小微企业报价给予</w:t>
      </w:r>
      <w:r>
        <w:rPr>
          <w:rFonts w:hint="eastAsia" w:ascii="宋体" w:hAnsi="宋体" w:eastAsia="宋体" w:cs="宋体"/>
          <w:color w:val="auto"/>
          <w:sz w:val="24"/>
          <w:szCs w:val="24"/>
          <w:highlight w:val="none"/>
          <w:lang w:val="en-US" w:eastAsia="zh-CN"/>
        </w:rPr>
        <w:t>10</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20</w:t>
      </w:r>
      <w:r>
        <w:rPr>
          <w:rFonts w:hint="eastAsia" w:ascii="宋体" w:hAnsi="宋体" w:eastAsia="宋体" w:cs="宋体"/>
          <w:color w:val="auto"/>
          <w:sz w:val="24"/>
          <w:szCs w:val="24"/>
          <w:highlight w:val="none"/>
        </w:rPr>
        <w:t>%（工程项目为 3%—5%）的扣除，用扣除后的价格参加评审。在服务采购项目中，只有当供应商提供的全部标的均由小微企业制造，才能享受价格扣除政策；在工程、服务采购项目中，只有由小微企业承建、承接，才能享受价格扣除政策；允许联合体形式参加政府采购活动的，联合体各方均为小微企业的，联合体视同小微企业。专门面向中小企业采购的项目或者采购包，不再执行价格评审优惠的扶持政策。</w:t>
      </w:r>
    </w:p>
    <w:p w14:paraId="60549ED7">
      <w:pPr>
        <w:pStyle w:val="23"/>
        <w:snapToGrid w:val="0"/>
        <w:spacing w:after="0"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2、评审</w:t>
      </w:r>
    </w:p>
    <w:p w14:paraId="0F51CF42">
      <w:pPr>
        <w:pStyle w:val="23"/>
        <w:snapToGrid w:val="0"/>
        <w:spacing w:after="0" w:line="480" w:lineRule="exact"/>
        <w:ind w:firstLine="480"/>
        <w:rPr>
          <w:rFonts w:hint="eastAsia" w:ascii="宋体" w:hAnsi="宋体" w:eastAsia="宋体" w:cs="宋体"/>
          <w:color w:val="auto"/>
          <w:highlight w:val="none"/>
        </w:rPr>
      </w:pPr>
      <w:r>
        <w:rPr>
          <w:rFonts w:hint="eastAsia" w:ascii="宋体" w:hAnsi="宋体" w:eastAsia="宋体" w:cs="宋体"/>
          <w:color w:val="auto"/>
          <w:sz w:val="24"/>
          <w:szCs w:val="24"/>
          <w:highlight w:val="none"/>
        </w:rPr>
        <w:t xml:space="preserve">2.1 </w:t>
      </w:r>
      <w:r>
        <w:rPr>
          <w:rFonts w:hint="eastAsia" w:ascii="宋体" w:hAnsi="宋体" w:eastAsia="宋体" w:cs="宋体"/>
          <w:b/>
          <w:bCs/>
          <w:color w:val="auto"/>
          <w:sz w:val="24"/>
          <w:szCs w:val="24"/>
          <w:highlight w:val="none"/>
        </w:rPr>
        <w:t>本次磋商采用综合评分法进行评审。评审分初步评审和详细评审两个阶段。初步评审分为资格性检查和符合性检查，只有通过初步评审且递交最后报价的的供应商才</w:t>
      </w:r>
      <w:r>
        <w:rPr>
          <w:rFonts w:hint="eastAsia" w:ascii="宋体" w:hAnsi="宋体" w:eastAsia="宋体" w:cs="宋体"/>
          <w:b/>
          <w:color w:val="auto"/>
          <w:sz w:val="24"/>
          <w:szCs w:val="24"/>
          <w:highlight w:val="none"/>
        </w:rPr>
        <w:t>可进入详细评审阶段。</w:t>
      </w:r>
    </w:p>
    <w:p w14:paraId="47DB1359">
      <w:pPr>
        <w:pStyle w:val="23"/>
        <w:snapToGrid w:val="0"/>
        <w:spacing w:after="0" w:line="480" w:lineRule="exact"/>
        <w:ind w:firstLine="482"/>
        <w:rPr>
          <w:rFonts w:hint="eastAsia" w:ascii="宋体" w:hAnsi="宋体" w:eastAsia="宋体" w:cs="宋体"/>
          <w:color w:val="auto"/>
          <w:highlight w:val="none"/>
        </w:rPr>
      </w:pPr>
      <w:r>
        <w:rPr>
          <w:rFonts w:hint="eastAsia" w:ascii="宋体" w:hAnsi="宋体" w:eastAsia="宋体" w:cs="宋体"/>
          <w:b/>
          <w:bCs/>
          <w:color w:val="auto"/>
          <w:sz w:val="24"/>
          <w:szCs w:val="24"/>
          <w:highlight w:val="none"/>
        </w:rPr>
        <w:t>2.2评审方法</w:t>
      </w:r>
    </w:p>
    <w:p w14:paraId="4C2F1E2E">
      <w:pPr>
        <w:pStyle w:val="23"/>
        <w:snapToGrid w:val="0"/>
        <w:spacing w:after="0" w:line="480" w:lineRule="exact"/>
        <w:ind w:firstLine="482"/>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磋商小组将对下述评审因素进行</w:t>
      </w:r>
      <w:r>
        <w:rPr>
          <w:rFonts w:hint="eastAsia" w:ascii="宋体" w:hAnsi="宋体" w:eastAsia="宋体" w:cs="宋体"/>
          <w:b/>
          <w:bCs/>
          <w:color w:val="auto"/>
          <w:sz w:val="24"/>
          <w:szCs w:val="24"/>
          <w:highlight w:val="none"/>
          <w:lang w:val="en-US" w:eastAsia="zh-CN"/>
        </w:rPr>
        <w:t>评审</w:t>
      </w:r>
      <w:r>
        <w:rPr>
          <w:rFonts w:hint="eastAsia" w:ascii="宋体" w:hAnsi="宋体" w:eastAsia="宋体" w:cs="宋体"/>
          <w:b/>
          <w:bCs/>
          <w:color w:val="auto"/>
          <w:sz w:val="24"/>
          <w:szCs w:val="24"/>
          <w:highlight w:val="none"/>
        </w:rPr>
        <w:t>，并根据磋商小组每个成员对响应文件的评审和理解进行打分，满分为100分。价格部分满分为</w:t>
      </w:r>
      <w:r>
        <w:rPr>
          <w:rFonts w:hint="eastAsia" w:ascii="宋体" w:hAnsi="宋体" w:eastAsia="宋体" w:cs="宋体"/>
          <w:b/>
          <w:bCs/>
          <w:color w:val="auto"/>
          <w:sz w:val="24"/>
          <w:szCs w:val="24"/>
          <w:highlight w:val="none"/>
          <w:lang w:val="en-US" w:eastAsia="zh-CN"/>
        </w:rPr>
        <w:t>20</w:t>
      </w:r>
      <w:r>
        <w:rPr>
          <w:rFonts w:hint="eastAsia" w:ascii="宋体" w:hAnsi="宋体" w:eastAsia="宋体" w:cs="宋体"/>
          <w:b/>
          <w:bCs/>
          <w:color w:val="auto"/>
          <w:sz w:val="24"/>
          <w:szCs w:val="24"/>
          <w:highlight w:val="none"/>
        </w:rPr>
        <w:t>分，商务部分满分为</w:t>
      </w:r>
      <w:r>
        <w:rPr>
          <w:rFonts w:hint="eastAsia" w:ascii="宋体" w:hAnsi="宋体" w:eastAsia="宋体" w:cs="宋体"/>
          <w:b/>
          <w:bCs/>
          <w:color w:val="auto"/>
          <w:sz w:val="24"/>
          <w:szCs w:val="24"/>
          <w:highlight w:val="none"/>
          <w:lang w:val="en-US" w:eastAsia="zh-CN"/>
        </w:rPr>
        <w:t>29</w:t>
      </w:r>
      <w:r>
        <w:rPr>
          <w:rFonts w:hint="eastAsia" w:ascii="宋体" w:hAnsi="宋体" w:eastAsia="宋体" w:cs="宋体"/>
          <w:b/>
          <w:bCs/>
          <w:color w:val="auto"/>
          <w:sz w:val="24"/>
          <w:szCs w:val="24"/>
          <w:highlight w:val="none"/>
        </w:rPr>
        <w:t>分，技术部分满分为</w:t>
      </w:r>
      <w:r>
        <w:rPr>
          <w:rFonts w:hint="eastAsia" w:ascii="宋体" w:hAnsi="宋体" w:eastAsia="宋体" w:cs="宋体"/>
          <w:b/>
          <w:bCs/>
          <w:color w:val="auto"/>
          <w:sz w:val="24"/>
          <w:szCs w:val="24"/>
          <w:highlight w:val="none"/>
          <w:lang w:val="en-US" w:eastAsia="zh-CN"/>
        </w:rPr>
        <w:t>51</w:t>
      </w:r>
      <w:r>
        <w:rPr>
          <w:rFonts w:hint="eastAsia" w:ascii="宋体" w:hAnsi="宋体" w:eastAsia="宋体" w:cs="宋体"/>
          <w:b/>
          <w:bCs/>
          <w:color w:val="auto"/>
          <w:sz w:val="24"/>
          <w:szCs w:val="24"/>
          <w:highlight w:val="none"/>
        </w:rPr>
        <w:t>分。供应商各部分的分值相加，即为该供应商的综合评估分。</w:t>
      </w:r>
    </w:p>
    <w:p w14:paraId="7AA81F30">
      <w:pPr>
        <w:snapToGrid w:val="0"/>
        <w:spacing w:after="120" w:line="480" w:lineRule="exact"/>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2.3评审办法附表</w:t>
      </w:r>
    </w:p>
    <w:tbl>
      <w:tblPr>
        <w:tblStyle w:val="25"/>
        <w:tblW w:w="9698" w:type="dxa"/>
        <w:tblInd w:w="-4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75" w:type="dxa"/>
          <w:left w:w="75" w:type="dxa"/>
          <w:bottom w:w="75" w:type="dxa"/>
          <w:right w:w="75" w:type="dxa"/>
        </w:tblCellMar>
      </w:tblPr>
      <w:tblGrid>
        <w:gridCol w:w="600"/>
        <w:gridCol w:w="1100"/>
        <w:gridCol w:w="1300"/>
        <w:gridCol w:w="5448"/>
        <w:gridCol w:w="621"/>
        <w:gridCol w:w="629"/>
      </w:tblGrid>
      <w:tr w14:paraId="627081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75" w:type="dxa"/>
            <w:left w:w="75" w:type="dxa"/>
            <w:bottom w:w="75" w:type="dxa"/>
            <w:right w:w="75" w:type="dxa"/>
          </w:tblCellMar>
        </w:tblPrEx>
        <w:trPr>
          <w:trHeight w:val="356" w:hRule="atLeast"/>
        </w:trPr>
        <w:tc>
          <w:tcPr>
            <w:tcW w:w="1700" w:type="dxa"/>
            <w:gridSpan w:val="2"/>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40480F71">
            <w:pPr>
              <w:keepNext w:val="0"/>
              <w:keepLines w:val="0"/>
              <w:pageBreakBefore w:val="0"/>
              <w:widowControl/>
              <w:kinsoku/>
              <w:wordWrap/>
              <w:overflowPunct/>
              <w:topLinePunct w:val="0"/>
              <w:bidi w:val="0"/>
              <w:spacing w:line="360" w:lineRule="exact"/>
              <w:jc w:val="center"/>
              <w:rPr>
                <w:rFonts w:hint="eastAsia" w:ascii="宋体" w:hAnsi="宋体" w:eastAsia="宋体" w:cs="宋体"/>
                <w:b/>
                <w:bCs/>
                <w:color w:val="auto"/>
                <w:kern w:val="0"/>
                <w:highlight w:val="none"/>
              </w:rPr>
            </w:pPr>
            <w:r>
              <w:rPr>
                <w:rFonts w:hint="eastAsia" w:ascii="宋体" w:hAnsi="宋体" w:eastAsia="宋体" w:cs="宋体"/>
                <w:b/>
                <w:bCs/>
                <w:color w:val="auto"/>
                <w:kern w:val="0"/>
                <w:highlight w:val="none"/>
              </w:rPr>
              <w:t>评分因素</w:t>
            </w:r>
          </w:p>
        </w:tc>
        <w:tc>
          <w:tcPr>
            <w:tcW w:w="1300"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3DE2F8BE">
            <w:pPr>
              <w:keepNext w:val="0"/>
              <w:keepLines w:val="0"/>
              <w:pageBreakBefore w:val="0"/>
              <w:widowControl/>
              <w:kinsoku/>
              <w:wordWrap/>
              <w:overflowPunct/>
              <w:topLinePunct w:val="0"/>
              <w:bidi w:val="0"/>
              <w:spacing w:line="360" w:lineRule="exact"/>
              <w:jc w:val="center"/>
              <w:rPr>
                <w:rFonts w:hint="eastAsia" w:ascii="宋体" w:hAnsi="宋体" w:eastAsia="宋体" w:cs="宋体"/>
                <w:b/>
                <w:bCs/>
                <w:color w:val="auto"/>
                <w:kern w:val="0"/>
                <w:highlight w:val="none"/>
              </w:rPr>
            </w:pPr>
            <w:r>
              <w:rPr>
                <w:rFonts w:hint="eastAsia" w:ascii="宋体" w:hAnsi="宋体" w:eastAsia="宋体" w:cs="宋体"/>
                <w:b/>
                <w:bCs/>
                <w:color w:val="auto"/>
                <w:kern w:val="0"/>
                <w:highlight w:val="none"/>
              </w:rPr>
              <w:t>评分点</w:t>
            </w:r>
          </w:p>
        </w:tc>
        <w:tc>
          <w:tcPr>
            <w:tcW w:w="5448"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4D21F6FD">
            <w:pPr>
              <w:keepNext w:val="0"/>
              <w:keepLines w:val="0"/>
              <w:pageBreakBefore w:val="0"/>
              <w:widowControl/>
              <w:kinsoku/>
              <w:wordWrap/>
              <w:overflowPunct/>
              <w:topLinePunct w:val="0"/>
              <w:bidi w:val="0"/>
              <w:spacing w:line="360" w:lineRule="exact"/>
              <w:jc w:val="center"/>
              <w:rPr>
                <w:rFonts w:hint="eastAsia" w:ascii="宋体" w:hAnsi="宋体" w:eastAsia="宋体" w:cs="宋体"/>
                <w:b/>
                <w:bCs/>
                <w:color w:val="auto"/>
                <w:kern w:val="0"/>
                <w:highlight w:val="none"/>
              </w:rPr>
            </w:pPr>
            <w:r>
              <w:rPr>
                <w:rFonts w:hint="eastAsia" w:ascii="宋体" w:hAnsi="宋体" w:eastAsia="宋体" w:cs="宋体"/>
                <w:b/>
                <w:bCs/>
                <w:color w:val="auto"/>
                <w:kern w:val="0"/>
                <w:highlight w:val="none"/>
              </w:rPr>
              <w:t>评分标准</w:t>
            </w:r>
          </w:p>
        </w:tc>
        <w:tc>
          <w:tcPr>
            <w:tcW w:w="1250"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28D134B2">
            <w:pPr>
              <w:keepNext w:val="0"/>
              <w:keepLines w:val="0"/>
              <w:pageBreakBefore w:val="0"/>
              <w:widowControl/>
              <w:kinsoku/>
              <w:wordWrap/>
              <w:overflowPunct/>
              <w:topLinePunct w:val="0"/>
              <w:bidi w:val="0"/>
              <w:spacing w:line="360" w:lineRule="exact"/>
              <w:jc w:val="center"/>
              <w:rPr>
                <w:rFonts w:hint="eastAsia" w:ascii="宋体" w:hAnsi="宋体" w:eastAsia="宋体" w:cs="宋体"/>
                <w:b/>
                <w:bCs/>
                <w:color w:val="auto"/>
                <w:kern w:val="0"/>
                <w:highlight w:val="none"/>
              </w:rPr>
            </w:pPr>
            <w:r>
              <w:rPr>
                <w:rFonts w:hint="eastAsia" w:ascii="宋体" w:hAnsi="宋体" w:eastAsia="宋体" w:cs="宋体"/>
                <w:b/>
                <w:bCs/>
                <w:color w:val="auto"/>
                <w:kern w:val="0"/>
                <w:highlight w:val="none"/>
              </w:rPr>
              <w:t>评审意见</w:t>
            </w:r>
          </w:p>
        </w:tc>
      </w:tr>
      <w:tr w14:paraId="5FDFED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75" w:type="dxa"/>
            <w:left w:w="75" w:type="dxa"/>
            <w:bottom w:w="75" w:type="dxa"/>
            <w:right w:w="75" w:type="dxa"/>
          </w:tblCellMar>
        </w:tblPrEx>
        <w:trPr>
          <w:trHeight w:val="356" w:hRule="atLeast"/>
        </w:trPr>
        <w:tc>
          <w:tcPr>
            <w:tcW w:w="1700"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7B6776C">
            <w:pPr>
              <w:keepNext w:val="0"/>
              <w:keepLines w:val="0"/>
              <w:pageBreakBefore w:val="0"/>
              <w:widowControl/>
              <w:suppressAutoHyphens w:val="0"/>
              <w:kinsoku/>
              <w:wordWrap/>
              <w:overflowPunct/>
              <w:topLinePunct w:val="0"/>
              <w:bidi w:val="0"/>
              <w:spacing w:line="360" w:lineRule="exact"/>
              <w:jc w:val="left"/>
              <w:rPr>
                <w:rFonts w:hint="eastAsia" w:ascii="宋体" w:hAnsi="宋体" w:eastAsia="宋体" w:cs="宋体"/>
                <w:b/>
                <w:bCs/>
                <w:color w:val="auto"/>
                <w:kern w:val="0"/>
                <w:highlight w:val="none"/>
              </w:rPr>
            </w:pPr>
          </w:p>
        </w:tc>
        <w:tc>
          <w:tcPr>
            <w:tcW w:w="13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AAC966D">
            <w:pPr>
              <w:keepNext w:val="0"/>
              <w:keepLines w:val="0"/>
              <w:pageBreakBefore w:val="0"/>
              <w:widowControl/>
              <w:suppressAutoHyphens w:val="0"/>
              <w:kinsoku/>
              <w:wordWrap/>
              <w:overflowPunct/>
              <w:topLinePunct w:val="0"/>
              <w:bidi w:val="0"/>
              <w:spacing w:line="360" w:lineRule="exact"/>
              <w:jc w:val="left"/>
              <w:rPr>
                <w:rFonts w:hint="eastAsia" w:ascii="宋体" w:hAnsi="宋体" w:eastAsia="宋体" w:cs="宋体"/>
                <w:b/>
                <w:bCs/>
                <w:color w:val="auto"/>
                <w:kern w:val="0"/>
                <w:highlight w:val="none"/>
              </w:rPr>
            </w:pPr>
          </w:p>
        </w:tc>
        <w:tc>
          <w:tcPr>
            <w:tcW w:w="544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CAF813D">
            <w:pPr>
              <w:keepNext w:val="0"/>
              <w:keepLines w:val="0"/>
              <w:pageBreakBefore w:val="0"/>
              <w:widowControl/>
              <w:suppressAutoHyphens w:val="0"/>
              <w:kinsoku/>
              <w:wordWrap/>
              <w:overflowPunct/>
              <w:topLinePunct w:val="0"/>
              <w:bidi w:val="0"/>
              <w:spacing w:line="360" w:lineRule="exact"/>
              <w:jc w:val="left"/>
              <w:rPr>
                <w:rFonts w:hint="eastAsia" w:ascii="宋体" w:hAnsi="宋体" w:eastAsia="宋体" w:cs="宋体"/>
                <w:b/>
                <w:bCs/>
                <w:color w:val="auto"/>
                <w:kern w:val="0"/>
                <w:highlight w:val="none"/>
              </w:rPr>
            </w:pPr>
          </w:p>
        </w:tc>
        <w:tc>
          <w:tcPr>
            <w:tcW w:w="621"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345B3B7B">
            <w:pPr>
              <w:keepNext w:val="0"/>
              <w:keepLines w:val="0"/>
              <w:pageBreakBefore w:val="0"/>
              <w:widowControl/>
              <w:kinsoku/>
              <w:wordWrap/>
              <w:overflowPunct/>
              <w:topLinePunct w:val="0"/>
              <w:bidi w:val="0"/>
              <w:spacing w:line="360" w:lineRule="exact"/>
              <w:jc w:val="center"/>
              <w:rPr>
                <w:rFonts w:hint="eastAsia" w:ascii="宋体" w:hAnsi="宋体" w:eastAsia="宋体" w:cs="宋体"/>
                <w:b/>
                <w:bCs/>
                <w:color w:val="auto"/>
                <w:kern w:val="0"/>
                <w:highlight w:val="none"/>
              </w:rPr>
            </w:pPr>
            <w:r>
              <w:rPr>
                <w:rFonts w:hint="eastAsia" w:ascii="宋体" w:hAnsi="宋体" w:eastAsia="宋体" w:cs="宋体"/>
                <w:b/>
                <w:bCs/>
                <w:color w:val="auto"/>
                <w:kern w:val="0"/>
                <w:highlight w:val="none"/>
              </w:rPr>
              <w:t>是</w:t>
            </w:r>
          </w:p>
        </w:tc>
        <w:tc>
          <w:tcPr>
            <w:tcW w:w="629"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3050EA0D">
            <w:pPr>
              <w:keepNext w:val="0"/>
              <w:keepLines w:val="0"/>
              <w:pageBreakBefore w:val="0"/>
              <w:widowControl/>
              <w:kinsoku/>
              <w:wordWrap/>
              <w:overflowPunct/>
              <w:topLinePunct w:val="0"/>
              <w:bidi w:val="0"/>
              <w:spacing w:line="360" w:lineRule="exact"/>
              <w:jc w:val="center"/>
              <w:rPr>
                <w:rFonts w:hint="eastAsia" w:ascii="宋体" w:hAnsi="宋体" w:eastAsia="宋体" w:cs="宋体"/>
                <w:b/>
                <w:bCs/>
                <w:color w:val="auto"/>
                <w:kern w:val="0"/>
                <w:highlight w:val="none"/>
              </w:rPr>
            </w:pPr>
            <w:r>
              <w:rPr>
                <w:rFonts w:hint="eastAsia" w:ascii="宋体" w:hAnsi="宋体" w:eastAsia="宋体" w:cs="宋体"/>
                <w:b/>
                <w:bCs/>
                <w:color w:val="auto"/>
                <w:kern w:val="0"/>
                <w:highlight w:val="none"/>
              </w:rPr>
              <w:t>否</w:t>
            </w:r>
          </w:p>
        </w:tc>
      </w:tr>
      <w:tr w14:paraId="138576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75" w:type="dxa"/>
            <w:left w:w="75" w:type="dxa"/>
            <w:bottom w:w="75" w:type="dxa"/>
            <w:right w:w="75" w:type="dxa"/>
          </w:tblCellMar>
        </w:tblPrEx>
        <w:trPr>
          <w:trHeight w:val="1835" w:hRule="atLeast"/>
        </w:trPr>
        <w:tc>
          <w:tcPr>
            <w:tcW w:w="600" w:type="dxa"/>
            <w:vMerge w:val="restart"/>
            <w:tcBorders>
              <w:top w:val="single" w:color="auto" w:sz="4" w:space="0"/>
              <w:left w:val="single" w:color="auto" w:sz="4" w:space="0"/>
              <w:bottom w:val="single" w:color="auto" w:sz="4" w:space="0"/>
              <w:right w:val="single" w:color="auto" w:sz="4" w:space="0"/>
            </w:tcBorders>
            <w:noWrap/>
            <w:vAlign w:val="center"/>
          </w:tcPr>
          <w:p w14:paraId="7D3FEA19">
            <w:pPr>
              <w:keepNext w:val="0"/>
              <w:keepLines w:val="0"/>
              <w:pageBreakBefore w:val="0"/>
              <w:widowControl/>
              <w:kinsoku/>
              <w:wordWrap/>
              <w:overflowPunct/>
              <w:topLinePunct w:val="0"/>
              <w:bidi w:val="0"/>
              <w:spacing w:line="360" w:lineRule="exact"/>
              <w:jc w:val="center"/>
              <w:rPr>
                <w:rFonts w:hint="eastAsia" w:ascii="宋体" w:hAnsi="宋体" w:eastAsia="宋体" w:cs="宋体"/>
                <w:color w:val="auto"/>
                <w:kern w:val="0"/>
                <w:highlight w:val="none"/>
              </w:rPr>
            </w:pPr>
            <w:r>
              <w:rPr>
                <w:rFonts w:hint="eastAsia" w:ascii="宋体" w:hAnsi="宋体" w:eastAsia="宋体" w:cs="宋体"/>
                <w:color w:val="auto"/>
                <w:kern w:val="0"/>
                <w:highlight w:val="none"/>
              </w:rPr>
              <w:t>初步评审</w:t>
            </w:r>
          </w:p>
        </w:tc>
        <w:tc>
          <w:tcPr>
            <w:tcW w:w="1100" w:type="dxa"/>
            <w:vMerge w:val="restart"/>
            <w:tcBorders>
              <w:top w:val="single" w:color="auto" w:sz="4" w:space="0"/>
              <w:left w:val="single" w:color="auto" w:sz="4" w:space="0"/>
              <w:bottom w:val="single" w:color="auto" w:sz="4" w:space="0"/>
              <w:right w:val="single" w:color="auto" w:sz="4" w:space="0"/>
            </w:tcBorders>
            <w:noWrap/>
            <w:vAlign w:val="center"/>
          </w:tcPr>
          <w:p w14:paraId="477F68E8">
            <w:pPr>
              <w:keepNext w:val="0"/>
              <w:keepLines w:val="0"/>
              <w:pageBreakBefore w:val="0"/>
              <w:widowControl/>
              <w:kinsoku/>
              <w:wordWrap/>
              <w:overflowPunct/>
              <w:topLinePunct w:val="0"/>
              <w:bidi w:val="0"/>
              <w:spacing w:line="360" w:lineRule="exact"/>
              <w:jc w:val="center"/>
              <w:rPr>
                <w:rFonts w:hint="eastAsia" w:ascii="宋体" w:hAnsi="宋体" w:eastAsia="宋体" w:cs="宋体"/>
                <w:color w:val="auto"/>
                <w:kern w:val="0"/>
                <w:highlight w:val="none"/>
              </w:rPr>
            </w:pPr>
            <w:r>
              <w:rPr>
                <w:rFonts w:hint="eastAsia" w:ascii="宋体" w:hAnsi="宋体" w:eastAsia="宋体" w:cs="宋体"/>
                <w:color w:val="auto"/>
                <w:kern w:val="0"/>
                <w:highlight w:val="none"/>
              </w:rPr>
              <w:t>资格检查</w:t>
            </w:r>
          </w:p>
        </w:tc>
        <w:tc>
          <w:tcPr>
            <w:tcW w:w="1300" w:type="dxa"/>
            <w:tcBorders>
              <w:top w:val="single" w:color="auto" w:sz="4" w:space="0"/>
              <w:left w:val="single" w:color="auto" w:sz="4" w:space="0"/>
              <w:bottom w:val="single" w:color="auto" w:sz="4" w:space="0"/>
              <w:right w:val="single" w:color="auto" w:sz="4" w:space="0"/>
            </w:tcBorders>
            <w:noWrap/>
            <w:vAlign w:val="center"/>
          </w:tcPr>
          <w:p w14:paraId="4C05B758">
            <w:pPr>
              <w:pStyle w:val="84"/>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eastAsia="宋体" w:cs="宋体"/>
                <w:b/>
                <w:color w:val="auto"/>
                <w:sz w:val="21"/>
                <w:szCs w:val="21"/>
                <w:highlight w:val="none"/>
                <w:lang w:val="en-US" w:eastAsia="zh-CN" w:bidi="ar-SA"/>
              </w:rPr>
            </w:pPr>
            <w:r>
              <w:rPr>
                <w:rFonts w:hint="eastAsia" w:ascii="宋体" w:hAnsi="宋体" w:eastAsia="宋体" w:cs="宋体"/>
                <w:color w:val="auto"/>
                <w:sz w:val="21"/>
                <w:szCs w:val="21"/>
                <w:highlight w:val="none"/>
              </w:rPr>
              <w:t>具有独立承担民事责任的能力</w:t>
            </w:r>
          </w:p>
        </w:tc>
        <w:tc>
          <w:tcPr>
            <w:tcW w:w="5448" w:type="dxa"/>
            <w:tcBorders>
              <w:top w:val="single" w:color="auto" w:sz="4" w:space="0"/>
              <w:left w:val="single" w:color="auto" w:sz="4" w:space="0"/>
              <w:bottom w:val="single" w:color="auto" w:sz="4" w:space="0"/>
              <w:right w:val="single" w:color="auto" w:sz="4" w:space="0"/>
            </w:tcBorders>
            <w:noWrap/>
            <w:vAlign w:val="center"/>
          </w:tcPr>
          <w:p w14:paraId="2891234E">
            <w:pPr>
              <w:pStyle w:val="84"/>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eastAsia="宋体" w:cs="宋体"/>
                <w:b/>
                <w:color w:val="auto"/>
                <w:sz w:val="21"/>
                <w:szCs w:val="21"/>
                <w:highlight w:val="none"/>
                <w:lang w:val="en-US" w:eastAsia="zh-CN" w:bidi="ar-SA"/>
              </w:rPr>
            </w:pPr>
            <w:r>
              <w:rPr>
                <w:rFonts w:hint="eastAsia" w:ascii="宋体" w:hAnsi="宋体" w:eastAsia="宋体" w:cs="宋体"/>
                <w:color w:val="auto"/>
                <w:sz w:val="21"/>
                <w:szCs w:val="21"/>
                <w:highlight w:val="none"/>
              </w:rPr>
              <w:t>如</w:t>
            </w:r>
            <w:r>
              <w:rPr>
                <w:rFonts w:hint="eastAsia" w:ascii="宋体" w:hAnsi="宋体" w:eastAsia="宋体" w:cs="宋体"/>
                <w:color w:val="auto"/>
                <w:sz w:val="21"/>
                <w:szCs w:val="21"/>
                <w:highlight w:val="none"/>
                <w:lang w:val="en-US" w:eastAsia="zh-CN"/>
              </w:rPr>
              <w:t>供应商</w:t>
            </w:r>
            <w:r>
              <w:rPr>
                <w:rFonts w:hint="eastAsia" w:ascii="宋体" w:hAnsi="宋体" w:eastAsia="宋体" w:cs="宋体"/>
                <w:color w:val="auto"/>
                <w:sz w:val="21"/>
                <w:szCs w:val="21"/>
                <w:highlight w:val="none"/>
              </w:rPr>
              <w:t>是企业（包括合伙企业），应提供在工商部门注册的有效“企业法人营业执照”或“营业执照”；如</w:t>
            </w:r>
            <w:r>
              <w:rPr>
                <w:rFonts w:hint="eastAsia" w:ascii="宋体" w:hAnsi="宋体" w:eastAsia="宋体" w:cs="宋体"/>
                <w:color w:val="auto"/>
                <w:sz w:val="21"/>
                <w:szCs w:val="21"/>
                <w:highlight w:val="none"/>
                <w:lang w:val="en-US" w:eastAsia="zh-CN"/>
              </w:rPr>
              <w:t>供应商</w:t>
            </w:r>
            <w:r>
              <w:rPr>
                <w:rFonts w:hint="eastAsia" w:ascii="宋体" w:hAnsi="宋体" w:eastAsia="宋体" w:cs="宋体"/>
                <w:color w:val="auto"/>
                <w:sz w:val="21"/>
                <w:szCs w:val="21"/>
                <w:highlight w:val="none"/>
              </w:rPr>
              <w:t>是事业单位，应提供有效的“事业单位法人证书”；</w:t>
            </w:r>
            <w:r>
              <w:rPr>
                <w:rFonts w:hint="eastAsia" w:ascii="宋体" w:hAnsi="宋体" w:eastAsia="宋体" w:cs="宋体"/>
                <w:color w:val="auto"/>
                <w:sz w:val="21"/>
                <w:szCs w:val="21"/>
                <w:highlight w:val="none"/>
                <w:lang w:val="en-US" w:eastAsia="zh-CN"/>
              </w:rPr>
              <w:t>供应商</w:t>
            </w:r>
            <w:r>
              <w:rPr>
                <w:rFonts w:hint="eastAsia" w:ascii="宋体" w:hAnsi="宋体" w:eastAsia="宋体" w:cs="宋体"/>
                <w:color w:val="auto"/>
                <w:sz w:val="21"/>
                <w:szCs w:val="21"/>
                <w:highlight w:val="none"/>
              </w:rPr>
              <w:t>是非企业专业服务机构的，应提供执业许可证等证明文件；如</w:t>
            </w:r>
            <w:r>
              <w:rPr>
                <w:rFonts w:hint="eastAsia" w:ascii="宋体" w:hAnsi="宋体" w:eastAsia="宋体" w:cs="宋体"/>
                <w:color w:val="auto"/>
                <w:sz w:val="21"/>
                <w:szCs w:val="21"/>
                <w:highlight w:val="none"/>
                <w:lang w:val="en-US" w:eastAsia="zh-CN"/>
              </w:rPr>
              <w:t>供应商</w:t>
            </w:r>
            <w:r>
              <w:rPr>
                <w:rFonts w:hint="eastAsia" w:ascii="宋体" w:hAnsi="宋体" w:eastAsia="宋体" w:cs="宋体"/>
                <w:color w:val="auto"/>
                <w:sz w:val="21"/>
                <w:szCs w:val="21"/>
                <w:highlight w:val="none"/>
              </w:rPr>
              <w:t>是个体工商户，应提供有效的“个体工商户营业执照”；如</w:t>
            </w:r>
            <w:r>
              <w:rPr>
                <w:rFonts w:hint="eastAsia" w:ascii="宋体" w:hAnsi="宋体" w:eastAsia="宋体" w:cs="宋体"/>
                <w:color w:val="auto"/>
                <w:sz w:val="21"/>
                <w:szCs w:val="21"/>
                <w:highlight w:val="none"/>
                <w:lang w:val="en-US" w:eastAsia="zh-CN"/>
              </w:rPr>
              <w:t>供应商</w:t>
            </w:r>
            <w:r>
              <w:rPr>
                <w:rFonts w:hint="eastAsia" w:ascii="宋体" w:hAnsi="宋体" w:eastAsia="宋体" w:cs="宋体"/>
                <w:color w:val="auto"/>
                <w:sz w:val="21"/>
                <w:szCs w:val="21"/>
                <w:highlight w:val="none"/>
              </w:rPr>
              <w:t>是自然人，应提供有效的自然人身份证明。</w:t>
            </w:r>
          </w:p>
        </w:tc>
        <w:tc>
          <w:tcPr>
            <w:tcW w:w="621" w:type="dxa"/>
            <w:tcBorders>
              <w:top w:val="single" w:color="auto" w:sz="4" w:space="0"/>
              <w:left w:val="single" w:color="auto" w:sz="4" w:space="0"/>
              <w:bottom w:val="single" w:color="auto" w:sz="4" w:space="0"/>
              <w:right w:val="single" w:color="auto" w:sz="4" w:space="0"/>
            </w:tcBorders>
            <w:noWrap/>
            <w:vAlign w:val="center"/>
          </w:tcPr>
          <w:p w14:paraId="4181D4DE">
            <w:pPr>
              <w:keepNext w:val="0"/>
              <w:keepLines w:val="0"/>
              <w:pageBreakBefore w:val="0"/>
              <w:widowControl/>
              <w:kinsoku/>
              <w:wordWrap/>
              <w:overflowPunct/>
              <w:topLinePunct w:val="0"/>
              <w:bidi w:val="0"/>
              <w:snapToGrid w:val="0"/>
              <w:spacing w:line="360" w:lineRule="exact"/>
              <w:jc w:val="left"/>
              <w:rPr>
                <w:rFonts w:hint="eastAsia" w:ascii="宋体" w:hAnsi="宋体" w:eastAsia="宋体" w:cs="宋体"/>
                <w:color w:val="auto"/>
                <w:kern w:val="0"/>
                <w:highlight w:val="none"/>
              </w:rPr>
            </w:pPr>
          </w:p>
        </w:tc>
        <w:tc>
          <w:tcPr>
            <w:tcW w:w="629" w:type="dxa"/>
            <w:tcBorders>
              <w:top w:val="single" w:color="auto" w:sz="4" w:space="0"/>
              <w:left w:val="single" w:color="auto" w:sz="4" w:space="0"/>
              <w:bottom w:val="single" w:color="auto" w:sz="4" w:space="0"/>
              <w:right w:val="single" w:color="auto" w:sz="4" w:space="0"/>
            </w:tcBorders>
            <w:noWrap/>
            <w:vAlign w:val="center"/>
          </w:tcPr>
          <w:p w14:paraId="7AB6541E">
            <w:pPr>
              <w:keepNext w:val="0"/>
              <w:keepLines w:val="0"/>
              <w:pageBreakBefore w:val="0"/>
              <w:widowControl/>
              <w:kinsoku/>
              <w:wordWrap/>
              <w:overflowPunct/>
              <w:topLinePunct w:val="0"/>
              <w:bidi w:val="0"/>
              <w:snapToGrid w:val="0"/>
              <w:spacing w:line="360" w:lineRule="exact"/>
              <w:jc w:val="left"/>
              <w:rPr>
                <w:rFonts w:hint="eastAsia" w:ascii="宋体" w:hAnsi="宋体" w:eastAsia="宋体" w:cs="宋体"/>
                <w:color w:val="auto"/>
                <w:kern w:val="0"/>
                <w:highlight w:val="none"/>
              </w:rPr>
            </w:pPr>
          </w:p>
        </w:tc>
      </w:tr>
      <w:tr w14:paraId="5E5F5E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75" w:type="dxa"/>
            <w:left w:w="75" w:type="dxa"/>
            <w:bottom w:w="75" w:type="dxa"/>
            <w:right w:w="75" w:type="dxa"/>
          </w:tblCellMar>
        </w:tblPrEx>
        <w:trPr>
          <w:trHeight w:val="1096" w:hRule="atLeast"/>
        </w:trPr>
        <w:tc>
          <w:tcPr>
            <w:tcW w:w="600" w:type="dxa"/>
            <w:vMerge w:val="continue"/>
            <w:tcBorders>
              <w:top w:val="single" w:color="auto" w:sz="4" w:space="0"/>
              <w:left w:val="single" w:color="auto" w:sz="4" w:space="0"/>
              <w:bottom w:val="single" w:color="auto" w:sz="4" w:space="0"/>
              <w:right w:val="single" w:color="auto" w:sz="4" w:space="0"/>
            </w:tcBorders>
            <w:vAlign w:val="center"/>
          </w:tcPr>
          <w:p w14:paraId="30984D89">
            <w:pPr>
              <w:pStyle w:val="7"/>
              <w:keepNext w:val="0"/>
              <w:keepLines w:val="0"/>
              <w:pageBreakBefore w:val="0"/>
              <w:kinsoku/>
              <w:wordWrap/>
              <w:overflowPunct/>
              <w:topLinePunct w:val="0"/>
              <w:bidi w:val="0"/>
              <w:spacing w:line="360" w:lineRule="exact"/>
              <w:rPr>
                <w:rFonts w:hint="eastAsia" w:ascii="宋体" w:hAnsi="宋体" w:eastAsia="宋体" w:cs="宋体"/>
                <w:color w:val="auto"/>
                <w:highlight w:val="none"/>
              </w:rPr>
            </w:pPr>
          </w:p>
          <w:p w14:paraId="2CCDB61C">
            <w:pPr>
              <w:pStyle w:val="7"/>
              <w:keepNext w:val="0"/>
              <w:keepLines w:val="0"/>
              <w:pageBreakBefore w:val="0"/>
              <w:kinsoku/>
              <w:wordWrap/>
              <w:overflowPunct/>
              <w:topLinePunct w:val="0"/>
              <w:bidi w:val="0"/>
              <w:spacing w:line="360" w:lineRule="exact"/>
              <w:rPr>
                <w:rFonts w:hint="eastAsia" w:ascii="宋体" w:hAnsi="宋体" w:eastAsia="宋体" w:cs="宋体"/>
                <w:color w:val="auto"/>
                <w:highlight w:val="none"/>
              </w:rPr>
            </w:pPr>
          </w:p>
        </w:tc>
        <w:tc>
          <w:tcPr>
            <w:tcW w:w="1100" w:type="dxa"/>
            <w:vMerge w:val="continue"/>
            <w:tcBorders>
              <w:top w:val="single" w:color="auto" w:sz="4" w:space="0"/>
              <w:left w:val="single" w:color="auto" w:sz="4" w:space="0"/>
              <w:bottom w:val="single" w:color="auto" w:sz="4" w:space="0"/>
              <w:right w:val="single" w:color="auto" w:sz="4" w:space="0"/>
            </w:tcBorders>
            <w:vAlign w:val="center"/>
          </w:tcPr>
          <w:p w14:paraId="357DA9F7">
            <w:pPr>
              <w:keepNext w:val="0"/>
              <w:keepLines w:val="0"/>
              <w:pageBreakBefore w:val="0"/>
              <w:widowControl/>
              <w:suppressAutoHyphens w:val="0"/>
              <w:kinsoku/>
              <w:wordWrap/>
              <w:overflowPunct/>
              <w:topLinePunct w:val="0"/>
              <w:bidi w:val="0"/>
              <w:spacing w:line="360" w:lineRule="exact"/>
              <w:jc w:val="left"/>
              <w:rPr>
                <w:rFonts w:hint="eastAsia" w:ascii="宋体" w:hAnsi="宋体" w:eastAsia="宋体" w:cs="宋体"/>
                <w:color w:val="auto"/>
                <w:kern w:val="0"/>
                <w:highlight w:val="none"/>
              </w:rPr>
            </w:pPr>
          </w:p>
        </w:tc>
        <w:tc>
          <w:tcPr>
            <w:tcW w:w="1300" w:type="dxa"/>
            <w:tcBorders>
              <w:top w:val="single" w:color="auto" w:sz="4" w:space="0"/>
              <w:left w:val="single" w:color="auto" w:sz="4" w:space="0"/>
              <w:bottom w:val="single" w:color="auto" w:sz="4" w:space="0"/>
              <w:right w:val="single" w:color="auto" w:sz="4" w:space="0"/>
            </w:tcBorders>
            <w:noWrap/>
            <w:vAlign w:val="center"/>
          </w:tcPr>
          <w:p w14:paraId="02AE25B6">
            <w:pPr>
              <w:pStyle w:val="84"/>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eastAsia="宋体" w:cs="宋体"/>
                <w:b/>
                <w:color w:val="auto"/>
                <w:sz w:val="21"/>
                <w:szCs w:val="21"/>
                <w:highlight w:val="none"/>
                <w:lang w:val="en-US" w:eastAsia="zh-CN" w:bidi="ar-SA"/>
              </w:rPr>
            </w:pPr>
            <w:r>
              <w:rPr>
                <w:rFonts w:hint="eastAsia" w:ascii="宋体" w:hAnsi="宋体" w:eastAsia="宋体" w:cs="宋体"/>
                <w:color w:val="auto"/>
                <w:sz w:val="21"/>
                <w:szCs w:val="21"/>
                <w:highlight w:val="none"/>
              </w:rPr>
              <w:t>具有良好的商业信誉和健全的财务会计制度</w:t>
            </w:r>
          </w:p>
        </w:tc>
        <w:tc>
          <w:tcPr>
            <w:tcW w:w="5448" w:type="dxa"/>
            <w:tcBorders>
              <w:top w:val="single" w:color="auto" w:sz="4" w:space="0"/>
              <w:left w:val="single" w:color="auto" w:sz="4" w:space="0"/>
              <w:bottom w:val="single" w:color="auto" w:sz="4" w:space="0"/>
              <w:right w:val="single" w:color="auto" w:sz="4" w:space="0"/>
            </w:tcBorders>
            <w:noWrap/>
            <w:vAlign w:val="center"/>
          </w:tcPr>
          <w:p w14:paraId="0C5AE393">
            <w:pPr>
              <w:pStyle w:val="84"/>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eastAsia="宋体" w:cs="宋体"/>
                <w:b/>
                <w:color w:val="auto"/>
                <w:sz w:val="21"/>
                <w:szCs w:val="21"/>
                <w:highlight w:val="none"/>
                <w:lang w:val="en-US" w:eastAsia="zh-CN" w:bidi="ar-SA"/>
              </w:rPr>
            </w:pPr>
            <w:r>
              <w:rPr>
                <w:rFonts w:hint="eastAsia" w:ascii="宋体" w:hAnsi="宋体" w:cs="宋体"/>
                <w:color w:val="auto"/>
                <w:sz w:val="21"/>
                <w:szCs w:val="21"/>
                <w:highlight w:val="none"/>
                <w:lang w:val="en-US" w:eastAsia="zh-CN"/>
              </w:rPr>
              <w:t>投标时，若投标人成立超过一年需提供2021年、2022年、2023年度任意一年的财务状况报表或经第三方审计出具的审计报告复印件/扫描件并加盖公章，投标人成立不足一年（含一年）需提供近三个月内任意一个月的财务报告复印件/扫描件并加盖公章（需包含资产负债表、现金流量表、利润表）或近三个月内任意一个月的银行资信证明材料复印件/扫描件并加盖公章</w:t>
            </w:r>
            <w:r>
              <w:rPr>
                <w:rFonts w:hint="eastAsia" w:ascii="宋体" w:hAnsi="宋体" w:eastAsia="宋体" w:cs="宋体"/>
                <w:color w:val="auto"/>
                <w:sz w:val="21"/>
                <w:szCs w:val="21"/>
                <w:highlight w:val="none"/>
              </w:rPr>
              <w:t>。</w:t>
            </w:r>
          </w:p>
        </w:tc>
        <w:tc>
          <w:tcPr>
            <w:tcW w:w="621" w:type="dxa"/>
            <w:tcBorders>
              <w:top w:val="single" w:color="auto" w:sz="4" w:space="0"/>
              <w:left w:val="single" w:color="auto" w:sz="4" w:space="0"/>
              <w:bottom w:val="single" w:color="auto" w:sz="4" w:space="0"/>
              <w:right w:val="single" w:color="auto" w:sz="4" w:space="0"/>
            </w:tcBorders>
            <w:noWrap/>
            <w:vAlign w:val="center"/>
          </w:tcPr>
          <w:p w14:paraId="133269A5">
            <w:pPr>
              <w:keepNext w:val="0"/>
              <w:keepLines w:val="0"/>
              <w:pageBreakBefore w:val="0"/>
              <w:widowControl/>
              <w:kinsoku/>
              <w:wordWrap/>
              <w:overflowPunct/>
              <w:topLinePunct w:val="0"/>
              <w:bidi w:val="0"/>
              <w:snapToGrid w:val="0"/>
              <w:spacing w:line="360" w:lineRule="exact"/>
              <w:jc w:val="left"/>
              <w:rPr>
                <w:rFonts w:hint="eastAsia" w:ascii="宋体" w:hAnsi="宋体" w:eastAsia="宋体" w:cs="宋体"/>
                <w:color w:val="auto"/>
                <w:kern w:val="0"/>
                <w:highlight w:val="none"/>
              </w:rPr>
            </w:pPr>
          </w:p>
        </w:tc>
        <w:tc>
          <w:tcPr>
            <w:tcW w:w="629" w:type="dxa"/>
            <w:tcBorders>
              <w:top w:val="single" w:color="auto" w:sz="4" w:space="0"/>
              <w:left w:val="single" w:color="auto" w:sz="4" w:space="0"/>
              <w:bottom w:val="single" w:color="auto" w:sz="4" w:space="0"/>
              <w:right w:val="single" w:color="auto" w:sz="4" w:space="0"/>
            </w:tcBorders>
            <w:noWrap/>
            <w:vAlign w:val="center"/>
          </w:tcPr>
          <w:p w14:paraId="48FAD88C">
            <w:pPr>
              <w:keepNext w:val="0"/>
              <w:keepLines w:val="0"/>
              <w:pageBreakBefore w:val="0"/>
              <w:widowControl/>
              <w:kinsoku/>
              <w:wordWrap/>
              <w:overflowPunct/>
              <w:topLinePunct w:val="0"/>
              <w:bidi w:val="0"/>
              <w:snapToGrid w:val="0"/>
              <w:spacing w:line="360" w:lineRule="exact"/>
              <w:jc w:val="left"/>
              <w:rPr>
                <w:rFonts w:hint="eastAsia" w:ascii="宋体" w:hAnsi="宋体" w:eastAsia="宋体" w:cs="宋体"/>
                <w:color w:val="auto"/>
                <w:kern w:val="0"/>
                <w:highlight w:val="none"/>
              </w:rPr>
            </w:pPr>
          </w:p>
        </w:tc>
      </w:tr>
      <w:tr w14:paraId="506485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75" w:type="dxa"/>
            <w:left w:w="75" w:type="dxa"/>
            <w:bottom w:w="75" w:type="dxa"/>
            <w:right w:w="75" w:type="dxa"/>
          </w:tblCellMar>
        </w:tblPrEx>
        <w:trPr>
          <w:trHeight w:val="602" w:hRule="atLeast"/>
        </w:trPr>
        <w:tc>
          <w:tcPr>
            <w:tcW w:w="600" w:type="dxa"/>
            <w:vMerge w:val="continue"/>
            <w:tcBorders>
              <w:top w:val="single" w:color="auto" w:sz="4" w:space="0"/>
              <w:left w:val="single" w:color="auto" w:sz="4" w:space="0"/>
              <w:bottom w:val="single" w:color="auto" w:sz="4" w:space="0"/>
              <w:right w:val="single" w:color="auto" w:sz="4" w:space="0"/>
            </w:tcBorders>
            <w:vAlign w:val="center"/>
          </w:tcPr>
          <w:p w14:paraId="6DEA2436">
            <w:pPr>
              <w:pStyle w:val="7"/>
              <w:keepNext w:val="0"/>
              <w:keepLines w:val="0"/>
              <w:pageBreakBefore w:val="0"/>
              <w:kinsoku/>
              <w:wordWrap/>
              <w:overflowPunct/>
              <w:topLinePunct w:val="0"/>
              <w:bidi w:val="0"/>
              <w:spacing w:line="360" w:lineRule="exact"/>
              <w:rPr>
                <w:rFonts w:hint="eastAsia" w:ascii="宋体" w:hAnsi="宋体" w:eastAsia="宋体" w:cs="宋体"/>
                <w:color w:val="auto"/>
                <w:highlight w:val="none"/>
              </w:rPr>
            </w:pPr>
          </w:p>
        </w:tc>
        <w:tc>
          <w:tcPr>
            <w:tcW w:w="1100" w:type="dxa"/>
            <w:vMerge w:val="continue"/>
            <w:tcBorders>
              <w:top w:val="single" w:color="auto" w:sz="4" w:space="0"/>
              <w:left w:val="single" w:color="auto" w:sz="4" w:space="0"/>
              <w:bottom w:val="single" w:color="auto" w:sz="4" w:space="0"/>
              <w:right w:val="single" w:color="auto" w:sz="4" w:space="0"/>
            </w:tcBorders>
            <w:vAlign w:val="center"/>
          </w:tcPr>
          <w:p w14:paraId="4F3FE3D3">
            <w:pPr>
              <w:keepNext w:val="0"/>
              <w:keepLines w:val="0"/>
              <w:pageBreakBefore w:val="0"/>
              <w:widowControl/>
              <w:suppressAutoHyphens w:val="0"/>
              <w:kinsoku/>
              <w:wordWrap/>
              <w:overflowPunct/>
              <w:topLinePunct w:val="0"/>
              <w:bidi w:val="0"/>
              <w:spacing w:line="360" w:lineRule="exact"/>
              <w:jc w:val="left"/>
              <w:rPr>
                <w:rFonts w:hint="eastAsia" w:ascii="宋体" w:hAnsi="宋体" w:eastAsia="宋体" w:cs="宋体"/>
                <w:color w:val="auto"/>
                <w:kern w:val="0"/>
                <w:highlight w:val="none"/>
              </w:rPr>
            </w:pPr>
          </w:p>
        </w:tc>
        <w:tc>
          <w:tcPr>
            <w:tcW w:w="1300" w:type="dxa"/>
            <w:tcBorders>
              <w:top w:val="single" w:color="auto" w:sz="4" w:space="0"/>
              <w:left w:val="single" w:color="auto" w:sz="4" w:space="0"/>
              <w:bottom w:val="single" w:color="auto" w:sz="4" w:space="0"/>
              <w:right w:val="single" w:color="auto" w:sz="4" w:space="0"/>
            </w:tcBorders>
            <w:noWrap/>
            <w:vAlign w:val="center"/>
          </w:tcPr>
          <w:p w14:paraId="3AE7C003">
            <w:pPr>
              <w:pStyle w:val="84"/>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eastAsia="宋体" w:cs="宋体"/>
                <w:b w:val="0"/>
                <w:bCs/>
                <w:color w:val="auto"/>
                <w:sz w:val="21"/>
                <w:szCs w:val="21"/>
                <w:highlight w:val="none"/>
              </w:rPr>
            </w:pPr>
            <w:r>
              <w:rPr>
                <w:rFonts w:hint="eastAsia" w:ascii="宋体" w:hAnsi="宋体" w:eastAsia="宋体" w:cs="宋体"/>
                <w:color w:val="auto"/>
                <w:sz w:val="21"/>
                <w:szCs w:val="21"/>
                <w:highlight w:val="none"/>
              </w:rPr>
              <w:t>有依法缴纳税收和社会保障资金的良好记录</w:t>
            </w:r>
          </w:p>
        </w:tc>
        <w:tc>
          <w:tcPr>
            <w:tcW w:w="5448" w:type="dxa"/>
            <w:tcBorders>
              <w:top w:val="single" w:color="auto" w:sz="4" w:space="0"/>
              <w:left w:val="single" w:color="auto" w:sz="4" w:space="0"/>
              <w:bottom w:val="single" w:color="auto" w:sz="4" w:space="0"/>
              <w:right w:val="single" w:color="auto" w:sz="4" w:space="0"/>
            </w:tcBorders>
            <w:noWrap/>
            <w:vAlign w:val="center"/>
          </w:tcPr>
          <w:p w14:paraId="37C67ADD">
            <w:pPr>
              <w:pStyle w:val="84"/>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 xml:space="preserve">投标人依法缴纳税收的证明材料：本项目投标截止时间前 6 个月内（至少提供1个月）缴纳税收的凭据（完税证、缴款书、印花税票、银行代扣（代缴）转账凭证等均可）； </w:t>
            </w:r>
          </w:p>
          <w:p w14:paraId="005B235E">
            <w:pPr>
              <w:pStyle w:val="84"/>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供应商</w:t>
            </w:r>
            <w:r>
              <w:rPr>
                <w:rFonts w:hint="eastAsia" w:ascii="宋体" w:hAnsi="宋体" w:eastAsia="宋体" w:cs="宋体"/>
                <w:color w:val="auto"/>
                <w:sz w:val="21"/>
                <w:szCs w:val="21"/>
                <w:highlight w:val="none"/>
              </w:rPr>
              <w:t>依法缴纳社会保障资金的证明材料：本项目</w:t>
            </w:r>
            <w:r>
              <w:rPr>
                <w:rFonts w:hint="eastAsia" w:ascii="宋体" w:hAnsi="宋体" w:eastAsia="宋体" w:cs="宋体"/>
                <w:color w:val="auto"/>
                <w:sz w:val="21"/>
                <w:szCs w:val="21"/>
                <w:highlight w:val="none"/>
                <w:lang w:eastAsia="zh-CN"/>
              </w:rPr>
              <w:t>响应截止</w:t>
            </w:r>
            <w:r>
              <w:rPr>
                <w:rFonts w:hint="eastAsia" w:ascii="宋体" w:hAnsi="宋体" w:eastAsia="宋体" w:cs="宋体"/>
                <w:color w:val="auto"/>
                <w:sz w:val="21"/>
                <w:szCs w:val="21"/>
                <w:highlight w:val="none"/>
              </w:rPr>
              <w:t xml:space="preserve">时间时间前 6个月内（至少提供1个月）缴纳社会保险的凭据（专用收据或社会保险交纳清单）； </w:t>
            </w:r>
          </w:p>
          <w:p w14:paraId="3879B1C2">
            <w:pPr>
              <w:pStyle w:val="84"/>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供应商</w:t>
            </w:r>
            <w:r>
              <w:rPr>
                <w:rFonts w:hint="eastAsia" w:ascii="宋体" w:hAnsi="宋体" w:eastAsia="宋体" w:cs="宋体"/>
                <w:color w:val="auto"/>
                <w:sz w:val="21"/>
                <w:szCs w:val="21"/>
                <w:highlight w:val="none"/>
              </w:rPr>
              <w:t>为其他组织或自然人的，也需要按此项规定提供缴纳税收的凭据和交纳社会保险的凭据。如</w:t>
            </w:r>
            <w:r>
              <w:rPr>
                <w:rFonts w:hint="eastAsia" w:ascii="宋体" w:hAnsi="宋体" w:eastAsia="宋体" w:cs="宋体"/>
                <w:color w:val="auto"/>
                <w:sz w:val="21"/>
                <w:szCs w:val="21"/>
                <w:highlight w:val="none"/>
                <w:lang w:val="en-US" w:eastAsia="zh-CN"/>
              </w:rPr>
              <w:t>供应商</w:t>
            </w:r>
            <w:r>
              <w:rPr>
                <w:rFonts w:hint="eastAsia" w:ascii="宋体" w:hAnsi="宋体" w:eastAsia="宋体" w:cs="宋体"/>
                <w:color w:val="auto"/>
                <w:sz w:val="21"/>
                <w:szCs w:val="21"/>
                <w:highlight w:val="none"/>
              </w:rPr>
              <w:t>的社会保险为委托第三方代缴，还需同时提供</w:t>
            </w:r>
            <w:r>
              <w:rPr>
                <w:rFonts w:hint="eastAsia" w:ascii="宋体" w:hAnsi="宋体" w:eastAsia="宋体" w:cs="宋体"/>
                <w:color w:val="auto"/>
                <w:sz w:val="21"/>
                <w:szCs w:val="21"/>
                <w:highlight w:val="none"/>
                <w:lang w:val="en-US" w:eastAsia="zh-CN"/>
              </w:rPr>
              <w:t>供应商</w:t>
            </w:r>
            <w:r>
              <w:rPr>
                <w:rFonts w:hint="eastAsia" w:ascii="宋体" w:hAnsi="宋体" w:eastAsia="宋体" w:cs="宋体"/>
                <w:color w:val="auto"/>
                <w:sz w:val="21"/>
                <w:szCs w:val="21"/>
                <w:highlight w:val="none"/>
              </w:rPr>
              <w:t>与第三方服务机构签署的服务合同（合同中应明确写明第三方为</w:t>
            </w:r>
            <w:r>
              <w:rPr>
                <w:rFonts w:hint="eastAsia" w:ascii="宋体" w:hAnsi="宋体" w:eastAsia="宋体" w:cs="宋体"/>
                <w:color w:val="auto"/>
                <w:sz w:val="21"/>
                <w:szCs w:val="21"/>
                <w:highlight w:val="none"/>
                <w:lang w:val="en-US" w:eastAsia="zh-CN"/>
              </w:rPr>
              <w:t>供应商</w:t>
            </w:r>
            <w:r>
              <w:rPr>
                <w:rFonts w:hint="eastAsia" w:ascii="宋体" w:hAnsi="宋体" w:eastAsia="宋体" w:cs="宋体"/>
                <w:color w:val="auto"/>
                <w:sz w:val="21"/>
                <w:szCs w:val="21"/>
                <w:highlight w:val="none"/>
              </w:rPr>
              <w:t>代缴其社会保险）。</w:t>
            </w:r>
          </w:p>
          <w:p w14:paraId="626F3B1F">
            <w:pPr>
              <w:pStyle w:val="84"/>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eastAsia="宋体" w:cs="宋体"/>
                <w:b w:val="0"/>
                <w:bCs/>
                <w:color w:val="auto"/>
                <w:sz w:val="21"/>
                <w:szCs w:val="21"/>
                <w:highlight w:val="none"/>
              </w:rPr>
            </w:pPr>
            <w:r>
              <w:rPr>
                <w:rFonts w:hint="eastAsia" w:ascii="宋体" w:hAnsi="宋体" w:eastAsia="宋体" w:cs="宋体"/>
                <w:color w:val="auto"/>
                <w:sz w:val="21"/>
                <w:szCs w:val="21"/>
                <w:highlight w:val="none"/>
              </w:rPr>
              <w:t>依法不需要缴纳社会保障资金的</w:t>
            </w:r>
            <w:r>
              <w:rPr>
                <w:rFonts w:hint="eastAsia" w:ascii="宋体" w:hAnsi="宋体" w:eastAsia="宋体" w:cs="宋体"/>
                <w:color w:val="auto"/>
                <w:sz w:val="21"/>
                <w:szCs w:val="21"/>
                <w:highlight w:val="none"/>
                <w:lang w:val="en-US" w:eastAsia="zh-CN"/>
              </w:rPr>
              <w:t>供应商</w:t>
            </w:r>
            <w:r>
              <w:rPr>
                <w:rFonts w:hint="eastAsia" w:ascii="宋体" w:hAnsi="宋体" w:eastAsia="宋体" w:cs="宋体"/>
                <w:color w:val="auto"/>
                <w:sz w:val="21"/>
                <w:szCs w:val="21"/>
                <w:highlight w:val="none"/>
              </w:rPr>
              <w:t>，须提供相应文件证明其依法不需要缴纳社会保障资金。</w:t>
            </w:r>
          </w:p>
        </w:tc>
        <w:tc>
          <w:tcPr>
            <w:tcW w:w="621" w:type="dxa"/>
            <w:tcBorders>
              <w:top w:val="single" w:color="auto" w:sz="4" w:space="0"/>
              <w:left w:val="single" w:color="auto" w:sz="4" w:space="0"/>
              <w:bottom w:val="single" w:color="auto" w:sz="4" w:space="0"/>
              <w:right w:val="single" w:color="auto" w:sz="4" w:space="0"/>
            </w:tcBorders>
            <w:noWrap/>
            <w:vAlign w:val="center"/>
          </w:tcPr>
          <w:p w14:paraId="3137DC4D">
            <w:pPr>
              <w:keepNext w:val="0"/>
              <w:keepLines w:val="0"/>
              <w:pageBreakBefore w:val="0"/>
              <w:widowControl/>
              <w:kinsoku/>
              <w:wordWrap/>
              <w:overflowPunct/>
              <w:topLinePunct w:val="0"/>
              <w:bidi w:val="0"/>
              <w:snapToGrid w:val="0"/>
              <w:spacing w:line="360" w:lineRule="exact"/>
              <w:jc w:val="left"/>
              <w:rPr>
                <w:rFonts w:hint="eastAsia" w:ascii="宋体" w:hAnsi="宋体" w:eastAsia="宋体" w:cs="宋体"/>
                <w:color w:val="auto"/>
                <w:kern w:val="0"/>
                <w:highlight w:val="none"/>
              </w:rPr>
            </w:pPr>
          </w:p>
        </w:tc>
        <w:tc>
          <w:tcPr>
            <w:tcW w:w="629" w:type="dxa"/>
            <w:tcBorders>
              <w:top w:val="single" w:color="auto" w:sz="4" w:space="0"/>
              <w:left w:val="single" w:color="auto" w:sz="4" w:space="0"/>
              <w:bottom w:val="single" w:color="auto" w:sz="4" w:space="0"/>
              <w:right w:val="single" w:color="auto" w:sz="4" w:space="0"/>
            </w:tcBorders>
            <w:noWrap/>
            <w:vAlign w:val="center"/>
          </w:tcPr>
          <w:p w14:paraId="5A227AF2">
            <w:pPr>
              <w:keepNext w:val="0"/>
              <w:keepLines w:val="0"/>
              <w:pageBreakBefore w:val="0"/>
              <w:widowControl/>
              <w:kinsoku/>
              <w:wordWrap/>
              <w:overflowPunct/>
              <w:topLinePunct w:val="0"/>
              <w:bidi w:val="0"/>
              <w:snapToGrid w:val="0"/>
              <w:spacing w:line="360" w:lineRule="exact"/>
              <w:jc w:val="left"/>
              <w:rPr>
                <w:rFonts w:hint="eastAsia" w:ascii="宋体" w:hAnsi="宋体" w:eastAsia="宋体" w:cs="宋体"/>
                <w:color w:val="auto"/>
                <w:kern w:val="0"/>
                <w:highlight w:val="none"/>
              </w:rPr>
            </w:pPr>
          </w:p>
        </w:tc>
      </w:tr>
      <w:tr w14:paraId="5E5058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75" w:type="dxa"/>
            <w:left w:w="75" w:type="dxa"/>
            <w:bottom w:w="75" w:type="dxa"/>
            <w:right w:w="75" w:type="dxa"/>
          </w:tblCellMar>
        </w:tblPrEx>
        <w:trPr>
          <w:trHeight w:val="962" w:hRule="atLeast"/>
        </w:trPr>
        <w:tc>
          <w:tcPr>
            <w:tcW w:w="600" w:type="dxa"/>
            <w:vMerge w:val="continue"/>
            <w:tcBorders>
              <w:top w:val="single" w:color="auto" w:sz="4" w:space="0"/>
              <w:left w:val="single" w:color="auto" w:sz="4" w:space="0"/>
              <w:bottom w:val="single" w:color="auto" w:sz="4" w:space="0"/>
              <w:right w:val="single" w:color="auto" w:sz="4" w:space="0"/>
            </w:tcBorders>
            <w:vAlign w:val="center"/>
          </w:tcPr>
          <w:p w14:paraId="40E2A7CE">
            <w:pPr>
              <w:pStyle w:val="7"/>
              <w:keepNext w:val="0"/>
              <w:keepLines w:val="0"/>
              <w:pageBreakBefore w:val="0"/>
              <w:kinsoku/>
              <w:wordWrap/>
              <w:overflowPunct/>
              <w:topLinePunct w:val="0"/>
              <w:bidi w:val="0"/>
              <w:spacing w:line="360" w:lineRule="exact"/>
              <w:rPr>
                <w:rFonts w:hint="eastAsia" w:ascii="宋体" w:hAnsi="宋体" w:eastAsia="宋体" w:cs="宋体"/>
                <w:color w:val="auto"/>
                <w:highlight w:val="none"/>
              </w:rPr>
            </w:pPr>
          </w:p>
        </w:tc>
        <w:tc>
          <w:tcPr>
            <w:tcW w:w="1100" w:type="dxa"/>
            <w:vMerge w:val="continue"/>
            <w:tcBorders>
              <w:top w:val="single" w:color="auto" w:sz="4" w:space="0"/>
              <w:left w:val="single" w:color="auto" w:sz="4" w:space="0"/>
              <w:bottom w:val="single" w:color="auto" w:sz="4" w:space="0"/>
              <w:right w:val="single" w:color="auto" w:sz="4" w:space="0"/>
            </w:tcBorders>
            <w:vAlign w:val="center"/>
          </w:tcPr>
          <w:p w14:paraId="5552051A">
            <w:pPr>
              <w:keepNext w:val="0"/>
              <w:keepLines w:val="0"/>
              <w:pageBreakBefore w:val="0"/>
              <w:widowControl/>
              <w:suppressAutoHyphens w:val="0"/>
              <w:kinsoku/>
              <w:wordWrap/>
              <w:overflowPunct/>
              <w:topLinePunct w:val="0"/>
              <w:bidi w:val="0"/>
              <w:spacing w:line="360" w:lineRule="exact"/>
              <w:jc w:val="left"/>
              <w:rPr>
                <w:rFonts w:hint="eastAsia" w:ascii="宋体" w:hAnsi="宋体" w:eastAsia="宋体" w:cs="宋体"/>
                <w:color w:val="auto"/>
                <w:kern w:val="0"/>
                <w:highlight w:val="none"/>
              </w:rPr>
            </w:pPr>
          </w:p>
        </w:tc>
        <w:tc>
          <w:tcPr>
            <w:tcW w:w="1300" w:type="dxa"/>
            <w:tcBorders>
              <w:top w:val="single" w:color="auto" w:sz="4" w:space="0"/>
              <w:left w:val="single" w:color="auto" w:sz="4" w:space="0"/>
              <w:bottom w:val="single" w:color="auto" w:sz="4" w:space="0"/>
              <w:right w:val="single" w:color="auto" w:sz="4" w:space="0"/>
            </w:tcBorders>
            <w:noWrap/>
            <w:vAlign w:val="center"/>
          </w:tcPr>
          <w:p w14:paraId="74CBD4D4">
            <w:pPr>
              <w:pStyle w:val="84"/>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具有履行合同所必需的设备和专业技术能力</w:t>
            </w:r>
          </w:p>
        </w:tc>
        <w:tc>
          <w:tcPr>
            <w:tcW w:w="5448" w:type="dxa"/>
            <w:tcBorders>
              <w:top w:val="single" w:color="auto" w:sz="4" w:space="0"/>
              <w:left w:val="single" w:color="auto" w:sz="4" w:space="0"/>
              <w:bottom w:val="single" w:color="auto" w:sz="4" w:space="0"/>
              <w:right w:val="single" w:color="auto" w:sz="4" w:space="0"/>
            </w:tcBorders>
            <w:noWrap/>
            <w:vAlign w:val="center"/>
          </w:tcPr>
          <w:p w14:paraId="1EE97C7F">
            <w:pPr>
              <w:pStyle w:val="84"/>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供应商</w:t>
            </w:r>
            <w:r>
              <w:rPr>
                <w:rFonts w:hint="eastAsia" w:ascii="宋体" w:hAnsi="宋体" w:eastAsia="宋体" w:cs="宋体"/>
                <w:color w:val="auto"/>
                <w:sz w:val="21"/>
                <w:szCs w:val="21"/>
                <w:highlight w:val="none"/>
              </w:rPr>
              <w:t>履行合同所必须的设备和专业技术能力的证明材料或声明。</w:t>
            </w:r>
          </w:p>
        </w:tc>
        <w:tc>
          <w:tcPr>
            <w:tcW w:w="621" w:type="dxa"/>
            <w:tcBorders>
              <w:top w:val="single" w:color="auto" w:sz="4" w:space="0"/>
              <w:left w:val="single" w:color="auto" w:sz="4" w:space="0"/>
              <w:bottom w:val="single" w:color="auto" w:sz="4" w:space="0"/>
              <w:right w:val="single" w:color="auto" w:sz="4" w:space="0"/>
            </w:tcBorders>
            <w:noWrap/>
            <w:vAlign w:val="center"/>
          </w:tcPr>
          <w:p w14:paraId="31D5B9F2">
            <w:pPr>
              <w:keepNext w:val="0"/>
              <w:keepLines w:val="0"/>
              <w:pageBreakBefore w:val="0"/>
              <w:widowControl/>
              <w:kinsoku/>
              <w:wordWrap/>
              <w:overflowPunct/>
              <w:topLinePunct w:val="0"/>
              <w:bidi w:val="0"/>
              <w:snapToGrid w:val="0"/>
              <w:spacing w:line="360" w:lineRule="exact"/>
              <w:jc w:val="left"/>
              <w:rPr>
                <w:rFonts w:hint="eastAsia" w:ascii="宋体" w:hAnsi="宋体" w:eastAsia="宋体" w:cs="宋体"/>
                <w:color w:val="auto"/>
                <w:kern w:val="0"/>
                <w:highlight w:val="none"/>
              </w:rPr>
            </w:pPr>
          </w:p>
        </w:tc>
        <w:tc>
          <w:tcPr>
            <w:tcW w:w="629" w:type="dxa"/>
            <w:tcBorders>
              <w:top w:val="single" w:color="auto" w:sz="4" w:space="0"/>
              <w:left w:val="single" w:color="auto" w:sz="4" w:space="0"/>
              <w:bottom w:val="single" w:color="auto" w:sz="4" w:space="0"/>
              <w:right w:val="single" w:color="auto" w:sz="4" w:space="0"/>
            </w:tcBorders>
            <w:noWrap/>
            <w:vAlign w:val="center"/>
          </w:tcPr>
          <w:p w14:paraId="64B21F90">
            <w:pPr>
              <w:keepNext w:val="0"/>
              <w:keepLines w:val="0"/>
              <w:pageBreakBefore w:val="0"/>
              <w:widowControl/>
              <w:kinsoku/>
              <w:wordWrap/>
              <w:overflowPunct/>
              <w:topLinePunct w:val="0"/>
              <w:bidi w:val="0"/>
              <w:snapToGrid w:val="0"/>
              <w:spacing w:line="360" w:lineRule="exact"/>
              <w:jc w:val="left"/>
              <w:rPr>
                <w:rFonts w:hint="eastAsia" w:ascii="宋体" w:hAnsi="宋体" w:eastAsia="宋体" w:cs="宋体"/>
                <w:color w:val="auto"/>
                <w:kern w:val="0"/>
                <w:highlight w:val="none"/>
              </w:rPr>
            </w:pPr>
          </w:p>
        </w:tc>
      </w:tr>
      <w:tr w14:paraId="144C85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75" w:type="dxa"/>
            <w:left w:w="75" w:type="dxa"/>
            <w:bottom w:w="75" w:type="dxa"/>
            <w:right w:w="75" w:type="dxa"/>
          </w:tblCellMar>
        </w:tblPrEx>
        <w:trPr>
          <w:trHeight w:val="962" w:hRule="atLeast"/>
        </w:trPr>
        <w:tc>
          <w:tcPr>
            <w:tcW w:w="600" w:type="dxa"/>
            <w:vMerge w:val="continue"/>
            <w:tcBorders>
              <w:top w:val="single" w:color="auto" w:sz="4" w:space="0"/>
              <w:left w:val="single" w:color="auto" w:sz="4" w:space="0"/>
              <w:bottom w:val="single" w:color="auto" w:sz="4" w:space="0"/>
              <w:right w:val="single" w:color="auto" w:sz="4" w:space="0"/>
            </w:tcBorders>
            <w:vAlign w:val="center"/>
          </w:tcPr>
          <w:p w14:paraId="529DD9A1">
            <w:pPr>
              <w:pStyle w:val="7"/>
              <w:keepNext w:val="0"/>
              <w:keepLines w:val="0"/>
              <w:pageBreakBefore w:val="0"/>
              <w:kinsoku/>
              <w:wordWrap/>
              <w:overflowPunct/>
              <w:topLinePunct w:val="0"/>
              <w:bidi w:val="0"/>
              <w:spacing w:line="360" w:lineRule="exact"/>
              <w:rPr>
                <w:rFonts w:hint="eastAsia" w:ascii="宋体" w:hAnsi="宋体" w:eastAsia="宋体" w:cs="宋体"/>
                <w:color w:val="auto"/>
                <w:highlight w:val="none"/>
              </w:rPr>
            </w:pPr>
          </w:p>
        </w:tc>
        <w:tc>
          <w:tcPr>
            <w:tcW w:w="1100" w:type="dxa"/>
            <w:vMerge w:val="continue"/>
            <w:tcBorders>
              <w:top w:val="single" w:color="auto" w:sz="4" w:space="0"/>
              <w:left w:val="single" w:color="auto" w:sz="4" w:space="0"/>
              <w:bottom w:val="single" w:color="auto" w:sz="4" w:space="0"/>
              <w:right w:val="single" w:color="auto" w:sz="4" w:space="0"/>
            </w:tcBorders>
            <w:vAlign w:val="center"/>
          </w:tcPr>
          <w:p w14:paraId="5BEF81CB">
            <w:pPr>
              <w:keepNext w:val="0"/>
              <w:keepLines w:val="0"/>
              <w:pageBreakBefore w:val="0"/>
              <w:widowControl/>
              <w:suppressAutoHyphens w:val="0"/>
              <w:kinsoku/>
              <w:wordWrap/>
              <w:overflowPunct/>
              <w:topLinePunct w:val="0"/>
              <w:bidi w:val="0"/>
              <w:spacing w:line="360" w:lineRule="exact"/>
              <w:jc w:val="left"/>
              <w:rPr>
                <w:rFonts w:hint="eastAsia" w:ascii="宋体" w:hAnsi="宋体" w:eastAsia="宋体" w:cs="宋体"/>
                <w:color w:val="auto"/>
                <w:kern w:val="0"/>
                <w:highlight w:val="none"/>
              </w:rPr>
            </w:pPr>
          </w:p>
        </w:tc>
        <w:tc>
          <w:tcPr>
            <w:tcW w:w="1300" w:type="dxa"/>
            <w:tcBorders>
              <w:top w:val="single" w:color="auto" w:sz="4" w:space="0"/>
              <w:left w:val="single" w:color="auto" w:sz="4" w:space="0"/>
              <w:bottom w:val="single" w:color="auto" w:sz="4" w:space="0"/>
              <w:right w:val="single" w:color="auto" w:sz="4" w:space="0"/>
            </w:tcBorders>
            <w:noWrap/>
            <w:vAlign w:val="center"/>
          </w:tcPr>
          <w:p w14:paraId="10D72FA7">
            <w:pPr>
              <w:pStyle w:val="84"/>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color w:val="auto"/>
                <w:sz w:val="21"/>
                <w:szCs w:val="21"/>
                <w:highlight w:val="none"/>
              </w:rPr>
            </w:pPr>
            <w:r>
              <w:rPr>
                <w:rFonts w:hint="eastAsia" w:ascii="宋体" w:hAnsi="宋体" w:eastAsia="宋体" w:cs="宋体"/>
                <w:color w:val="auto"/>
                <w:sz w:val="21"/>
                <w:szCs w:val="21"/>
                <w:highlight w:val="none"/>
              </w:rPr>
              <w:t>参加政府采购活动前三年内，在经营活动中没有重大违法记录</w:t>
            </w:r>
          </w:p>
        </w:tc>
        <w:tc>
          <w:tcPr>
            <w:tcW w:w="5448" w:type="dxa"/>
            <w:tcBorders>
              <w:top w:val="single" w:color="auto" w:sz="4" w:space="0"/>
              <w:left w:val="single" w:color="auto" w:sz="4" w:space="0"/>
              <w:bottom w:val="single" w:color="auto" w:sz="4" w:space="0"/>
              <w:right w:val="single" w:color="auto" w:sz="4" w:space="0"/>
            </w:tcBorders>
            <w:noWrap/>
            <w:vAlign w:val="center"/>
          </w:tcPr>
          <w:p w14:paraId="7E6DADBE">
            <w:pPr>
              <w:pStyle w:val="84"/>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eastAsia="宋体" w:cs="宋体"/>
                <w:b w:val="0"/>
                <w:bCs/>
                <w:color w:val="auto"/>
                <w:sz w:val="21"/>
                <w:szCs w:val="21"/>
                <w:highlight w:val="none"/>
              </w:rPr>
            </w:pPr>
            <w:r>
              <w:rPr>
                <w:rFonts w:hint="eastAsia" w:ascii="宋体" w:hAnsi="宋体" w:eastAsia="宋体" w:cs="宋体"/>
                <w:color w:val="auto"/>
                <w:sz w:val="21"/>
                <w:szCs w:val="21"/>
                <w:highlight w:val="none"/>
              </w:rPr>
              <w:t>参加政府采购活动前3年内在经营活动中没有重大违法记录的书面声明。</w:t>
            </w:r>
          </w:p>
        </w:tc>
        <w:tc>
          <w:tcPr>
            <w:tcW w:w="621" w:type="dxa"/>
            <w:tcBorders>
              <w:top w:val="single" w:color="auto" w:sz="4" w:space="0"/>
              <w:left w:val="single" w:color="auto" w:sz="4" w:space="0"/>
              <w:bottom w:val="single" w:color="auto" w:sz="4" w:space="0"/>
              <w:right w:val="single" w:color="auto" w:sz="4" w:space="0"/>
            </w:tcBorders>
            <w:noWrap/>
            <w:vAlign w:val="center"/>
          </w:tcPr>
          <w:p w14:paraId="18C86E4E">
            <w:pPr>
              <w:keepNext w:val="0"/>
              <w:keepLines w:val="0"/>
              <w:pageBreakBefore w:val="0"/>
              <w:widowControl/>
              <w:kinsoku/>
              <w:wordWrap/>
              <w:overflowPunct/>
              <w:topLinePunct w:val="0"/>
              <w:bidi w:val="0"/>
              <w:snapToGrid w:val="0"/>
              <w:spacing w:line="360" w:lineRule="exact"/>
              <w:jc w:val="left"/>
              <w:rPr>
                <w:rFonts w:hint="eastAsia" w:ascii="宋体" w:hAnsi="宋体" w:eastAsia="宋体" w:cs="宋体"/>
                <w:color w:val="auto"/>
                <w:kern w:val="0"/>
                <w:highlight w:val="none"/>
              </w:rPr>
            </w:pPr>
          </w:p>
        </w:tc>
        <w:tc>
          <w:tcPr>
            <w:tcW w:w="629" w:type="dxa"/>
            <w:tcBorders>
              <w:top w:val="single" w:color="auto" w:sz="4" w:space="0"/>
              <w:left w:val="single" w:color="auto" w:sz="4" w:space="0"/>
              <w:bottom w:val="single" w:color="auto" w:sz="4" w:space="0"/>
              <w:right w:val="single" w:color="auto" w:sz="4" w:space="0"/>
            </w:tcBorders>
            <w:noWrap/>
            <w:vAlign w:val="center"/>
          </w:tcPr>
          <w:p w14:paraId="6E1E1784">
            <w:pPr>
              <w:keepNext w:val="0"/>
              <w:keepLines w:val="0"/>
              <w:pageBreakBefore w:val="0"/>
              <w:widowControl/>
              <w:kinsoku/>
              <w:wordWrap/>
              <w:overflowPunct/>
              <w:topLinePunct w:val="0"/>
              <w:bidi w:val="0"/>
              <w:snapToGrid w:val="0"/>
              <w:spacing w:line="360" w:lineRule="exact"/>
              <w:jc w:val="left"/>
              <w:rPr>
                <w:rFonts w:hint="eastAsia" w:ascii="宋体" w:hAnsi="宋体" w:eastAsia="宋体" w:cs="宋体"/>
                <w:color w:val="auto"/>
                <w:kern w:val="0"/>
                <w:highlight w:val="none"/>
              </w:rPr>
            </w:pPr>
          </w:p>
        </w:tc>
      </w:tr>
      <w:tr w14:paraId="311EB2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75" w:type="dxa"/>
            <w:left w:w="75" w:type="dxa"/>
            <w:bottom w:w="75" w:type="dxa"/>
            <w:right w:w="75" w:type="dxa"/>
          </w:tblCellMar>
        </w:tblPrEx>
        <w:trPr>
          <w:trHeight w:val="962" w:hRule="atLeast"/>
        </w:trPr>
        <w:tc>
          <w:tcPr>
            <w:tcW w:w="600" w:type="dxa"/>
            <w:vMerge w:val="continue"/>
            <w:tcBorders>
              <w:top w:val="single" w:color="auto" w:sz="4" w:space="0"/>
              <w:left w:val="single" w:color="auto" w:sz="4" w:space="0"/>
              <w:bottom w:val="single" w:color="auto" w:sz="4" w:space="0"/>
              <w:right w:val="single" w:color="auto" w:sz="4" w:space="0"/>
            </w:tcBorders>
            <w:vAlign w:val="center"/>
          </w:tcPr>
          <w:p w14:paraId="49ACFDD6">
            <w:pPr>
              <w:pStyle w:val="7"/>
              <w:keepNext w:val="0"/>
              <w:keepLines w:val="0"/>
              <w:pageBreakBefore w:val="0"/>
              <w:kinsoku/>
              <w:wordWrap/>
              <w:overflowPunct/>
              <w:topLinePunct w:val="0"/>
              <w:bidi w:val="0"/>
              <w:spacing w:line="360" w:lineRule="exact"/>
              <w:rPr>
                <w:rFonts w:hint="eastAsia" w:ascii="宋体" w:hAnsi="宋体" w:eastAsia="宋体" w:cs="宋体"/>
                <w:color w:val="auto"/>
                <w:highlight w:val="none"/>
              </w:rPr>
            </w:pPr>
          </w:p>
        </w:tc>
        <w:tc>
          <w:tcPr>
            <w:tcW w:w="1100" w:type="dxa"/>
            <w:vMerge w:val="continue"/>
            <w:tcBorders>
              <w:top w:val="single" w:color="auto" w:sz="4" w:space="0"/>
              <w:left w:val="single" w:color="auto" w:sz="4" w:space="0"/>
              <w:bottom w:val="single" w:color="auto" w:sz="4" w:space="0"/>
              <w:right w:val="single" w:color="auto" w:sz="4" w:space="0"/>
            </w:tcBorders>
            <w:vAlign w:val="center"/>
          </w:tcPr>
          <w:p w14:paraId="3634E668">
            <w:pPr>
              <w:keepNext w:val="0"/>
              <w:keepLines w:val="0"/>
              <w:pageBreakBefore w:val="0"/>
              <w:widowControl/>
              <w:suppressAutoHyphens w:val="0"/>
              <w:kinsoku/>
              <w:wordWrap/>
              <w:overflowPunct/>
              <w:topLinePunct w:val="0"/>
              <w:bidi w:val="0"/>
              <w:spacing w:line="360" w:lineRule="exact"/>
              <w:jc w:val="left"/>
              <w:rPr>
                <w:rFonts w:hint="eastAsia" w:ascii="宋体" w:hAnsi="宋体" w:eastAsia="宋体" w:cs="宋体"/>
                <w:color w:val="auto"/>
                <w:kern w:val="0"/>
                <w:highlight w:val="none"/>
              </w:rPr>
            </w:pPr>
          </w:p>
        </w:tc>
        <w:tc>
          <w:tcPr>
            <w:tcW w:w="1300" w:type="dxa"/>
            <w:tcBorders>
              <w:top w:val="single" w:color="auto" w:sz="4" w:space="0"/>
              <w:left w:val="single" w:color="auto" w:sz="4" w:space="0"/>
              <w:bottom w:val="single" w:color="auto" w:sz="4" w:space="0"/>
              <w:right w:val="single" w:color="auto" w:sz="4" w:space="0"/>
            </w:tcBorders>
            <w:noWrap/>
            <w:vAlign w:val="center"/>
          </w:tcPr>
          <w:p w14:paraId="351EBB85">
            <w:pPr>
              <w:pStyle w:val="84"/>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本项目特定资质</w:t>
            </w:r>
          </w:p>
        </w:tc>
        <w:tc>
          <w:tcPr>
            <w:tcW w:w="5448" w:type="dxa"/>
            <w:tcBorders>
              <w:top w:val="single" w:color="auto" w:sz="4" w:space="0"/>
              <w:left w:val="single" w:color="auto" w:sz="4" w:space="0"/>
              <w:bottom w:val="single" w:color="auto" w:sz="4" w:space="0"/>
              <w:right w:val="single" w:color="auto" w:sz="4" w:space="0"/>
            </w:tcBorders>
            <w:noWrap/>
            <w:vAlign w:val="center"/>
          </w:tcPr>
          <w:p w14:paraId="4D0DDA8B">
            <w:pPr>
              <w:pStyle w:val="84"/>
              <w:keepNext w:val="0"/>
              <w:keepLines w:val="0"/>
              <w:pageBreakBefore w:val="0"/>
              <w:widowControl/>
              <w:kinsoku/>
              <w:wordWrap w:val="0"/>
              <w:overflowPunct/>
              <w:topLinePunct w:val="0"/>
              <w:autoSpaceDE/>
              <w:autoSpaceDN/>
              <w:bidi w:val="0"/>
              <w:adjustRightInd/>
              <w:snapToGrid/>
              <w:spacing w:line="36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供应商未被列入“信用中国”网站(www.creditchina.gov.cn)“记录失信被执行人或重大税收违法案件当事人名单或政府采购严重违法失信行为”记录名单；未处于中国政府采购网(www.ccgp.gov.cn)“政府采购严重违法失信行为信息记录”中（以采购代理机构于递交响应文件截止日当天在“信用中国”网站（www.creditchina.gov.cn）及中国政府采购网(www.ccgp.gov.cn)查询结果为准；</w:t>
            </w:r>
          </w:p>
          <w:p w14:paraId="1C4D38E8">
            <w:pPr>
              <w:pStyle w:val="84"/>
              <w:keepNext w:val="0"/>
              <w:keepLines w:val="0"/>
              <w:pageBreakBefore w:val="0"/>
              <w:widowControl/>
              <w:kinsoku/>
              <w:wordWrap w:val="0"/>
              <w:overflowPunct/>
              <w:topLinePunct w:val="0"/>
              <w:autoSpaceDE/>
              <w:autoSpaceDN/>
              <w:bidi w:val="0"/>
              <w:adjustRightInd/>
              <w:snapToGrid/>
              <w:spacing w:line="360" w:lineRule="exact"/>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（2）单位负责人为同一人或者存在直接控股、管理关系的不同供应商，不得参加同一合同项下的政府采购活动；</w:t>
            </w:r>
          </w:p>
        </w:tc>
        <w:tc>
          <w:tcPr>
            <w:tcW w:w="621" w:type="dxa"/>
            <w:tcBorders>
              <w:top w:val="single" w:color="auto" w:sz="4" w:space="0"/>
              <w:left w:val="single" w:color="auto" w:sz="4" w:space="0"/>
              <w:bottom w:val="single" w:color="auto" w:sz="4" w:space="0"/>
              <w:right w:val="single" w:color="auto" w:sz="4" w:space="0"/>
            </w:tcBorders>
            <w:noWrap/>
            <w:vAlign w:val="center"/>
          </w:tcPr>
          <w:p w14:paraId="2CAA60A4">
            <w:pPr>
              <w:keepNext w:val="0"/>
              <w:keepLines w:val="0"/>
              <w:pageBreakBefore w:val="0"/>
              <w:widowControl/>
              <w:kinsoku/>
              <w:wordWrap/>
              <w:overflowPunct/>
              <w:topLinePunct w:val="0"/>
              <w:bidi w:val="0"/>
              <w:snapToGrid w:val="0"/>
              <w:spacing w:line="360" w:lineRule="exact"/>
              <w:jc w:val="left"/>
              <w:rPr>
                <w:rFonts w:hint="eastAsia" w:ascii="宋体" w:hAnsi="宋体" w:eastAsia="宋体" w:cs="宋体"/>
                <w:color w:val="auto"/>
                <w:kern w:val="0"/>
                <w:highlight w:val="none"/>
              </w:rPr>
            </w:pPr>
          </w:p>
        </w:tc>
        <w:tc>
          <w:tcPr>
            <w:tcW w:w="629" w:type="dxa"/>
            <w:tcBorders>
              <w:top w:val="single" w:color="auto" w:sz="4" w:space="0"/>
              <w:left w:val="single" w:color="auto" w:sz="4" w:space="0"/>
              <w:bottom w:val="single" w:color="auto" w:sz="4" w:space="0"/>
              <w:right w:val="single" w:color="auto" w:sz="4" w:space="0"/>
            </w:tcBorders>
            <w:noWrap/>
            <w:vAlign w:val="center"/>
          </w:tcPr>
          <w:p w14:paraId="03F3D2F2">
            <w:pPr>
              <w:keepNext w:val="0"/>
              <w:keepLines w:val="0"/>
              <w:pageBreakBefore w:val="0"/>
              <w:widowControl/>
              <w:kinsoku/>
              <w:wordWrap/>
              <w:overflowPunct/>
              <w:topLinePunct w:val="0"/>
              <w:bidi w:val="0"/>
              <w:snapToGrid w:val="0"/>
              <w:spacing w:line="360" w:lineRule="exact"/>
              <w:jc w:val="left"/>
              <w:rPr>
                <w:rFonts w:hint="eastAsia" w:ascii="宋体" w:hAnsi="宋体" w:eastAsia="宋体" w:cs="宋体"/>
                <w:color w:val="auto"/>
                <w:kern w:val="0"/>
                <w:highlight w:val="none"/>
              </w:rPr>
            </w:pPr>
          </w:p>
        </w:tc>
      </w:tr>
      <w:tr w14:paraId="54CAC2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75" w:type="dxa"/>
            <w:left w:w="75" w:type="dxa"/>
            <w:bottom w:w="75" w:type="dxa"/>
            <w:right w:w="75" w:type="dxa"/>
          </w:tblCellMar>
        </w:tblPrEx>
        <w:trPr>
          <w:trHeight w:val="962" w:hRule="atLeast"/>
        </w:trPr>
        <w:tc>
          <w:tcPr>
            <w:tcW w:w="600" w:type="dxa"/>
            <w:vMerge w:val="continue"/>
            <w:tcBorders>
              <w:top w:val="single" w:color="auto" w:sz="4" w:space="0"/>
              <w:left w:val="single" w:color="auto" w:sz="4" w:space="0"/>
              <w:bottom w:val="single" w:color="auto" w:sz="4" w:space="0"/>
              <w:right w:val="single" w:color="auto" w:sz="4" w:space="0"/>
            </w:tcBorders>
            <w:vAlign w:val="center"/>
          </w:tcPr>
          <w:p w14:paraId="64D1DD8B">
            <w:pPr>
              <w:pStyle w:val="7"/>
              <w:keepNext w:val="0"/>
              <w:keepLines w:val="0"/>
              <w:pageBreakBefore w:val="0"/>
              <w:kinsoku/>
              <w:wordWrap/>
              <w:overflowPunct/>
              <w:topLinePunct w:val="0"/>
              <w:bidi w:val="0"/>
              <w:spacing w:line="360" w:lineRule="exact"/>
              <w:rPr>
                <w:rFonts w:hint="eastAsia" w:ascii="宋体" w:hAnsi="宋体" w:eastAsia="宋体" w:cs="宋体"/>
                <w:color w:val="auto"/>
                <w:highlight w:val="none"/>
              </w:rPr>
            </w:pPr>
          </w:p>
        </w:tc>
        <w:tc>
          <w:tcPr>
            <w:tcW w:w="1100" w:type="dxa"/>
            <w:vMerge w:val="continue"/>
            <w:tcBorders>
              <w:top w:val="single" w:color="auto" w:sz="4" w:space="0"/>
              <w:left w:val="single" w:color="auto" w:sz="4" w:space="0"/>
              <w:bottom w:val="single" w:color="auto" w:sz="4" w:space="0"/>
              <w:right w:val="single" w:color="auto" w:sz="4" w:space="0"/>
            </w:tcBorders>
            <w:vAlign w:val="center"/>
          </w:tcPr>
          <w:p w14:paraId="00622EBD">
            <w:pPr>
              <w:keepNext w:val="0"/>
              <w:keepLines w:val="0"/>
              <w:pageBreakBefore w:val="0"/>
              <w:widowControl/>
              <w:suppressAutoHyphens w:val="0"/>
              <w:kinsoku/>
              <w:wordWrap/>
              <w:overflowPunct/>
              <w:topLinePunct w:val="0"/>
              <w:bidi w:val="0"/>
              <w:spacing w:line="360" w:lineRule="exact"/>
              <w:jc w:val="left"/>
              <w:rPr>
                <w:rFonts w:hint="eastAsia" w:ascii="宋体" w:hAnsi="宋体" w:eastAsia="宋体" w:cs="宋体"/>
                <w:color w:val="auto"/>
                <w:kern w:val="0"/>
                <w:highlight w:val="none"/>
              </w:rPr>
            </w:pPr>
          </w:p>
        </w:tc>
        <w:tc>
          <w:tcPr>
            <w:tcW w:w="1300" w:type="dxa"/>
            <w:tcBorders>
              <w:top w:val="single" w:color="auto" w:sz="4" w:space="0"/>
              <w:left w:val="single" w:color="auto" w:sz="4" w:space="0"/>
              <w:bottom w:val="single" w:color="auto" w:sz="4" w:space="0"/>
              <w:right w:val="single" w:color="auto" w:sz="4" w:space="0"/>
            </w:tcBorders>
            <w:noWrap/>
            <w:vAlign w:val="center"/>
          </w:tcPr>
          <w:p w14:paraId="1807838B">
            <w:pPr>
              <w:pStyle w:val="84"/>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法律、行政法规规定的其他条件</w:t>
            </w:r>
          </w:p>
        </w:tc>
        <w:tc>
          <w:tcPr>
            <w:tcW w:w="5448" w:type="dxa"/>
            <w:tcBorders>
              <w:top w:val="single" w:color="auto" w:sz="4" w:space="0"/>
              <w:left w:val="single" w:color="auto" w:sz="4" w:space="0"/>
              <w:bottom w:val="single" w:color="auto" w:sz="4" w:space="0"/>
              <w:right w:val="single" w:color="auto" w:sz="4" w:space="0"/>
            </w:tcBorders>
            <w:noWrap/>
            <w:vAlign w:val="center"/>
          </w:tcPr>
          <w:p w14:paraId="68D0A5B7">
            <w:pPr>
              <w:pStyle w:val="84"/>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法律、行政法规规定的其他条件。</w:t>
            </w:r>
          </w:p>
        </w:tc>
        <w:tc>
          <w:tcPr>
            <w:tcW w:w="621" w:type="dxa"/>
            <w:tcBorders>
              <w:top w:val="single" w:color="auto" w:sz="4" w:space="0"/>
              <w:left w:val="single" w:color="auto" w:sz="4" w:space="0"/>
              <w:bottom w:val="single" w:color="auto" w:sz="4" w:space="0"/>
              <w:right w:val="single" w:color="auto" w:sz="4" w:space="0"/>
            </w:tcBorders>
            <w:noWrap/>
            <w:vAlign w:val="center"/>
          </w:tcPr>
          <w:p w14:paraId="07B631E6">
            <w:pPr>
              <w:keepNext w:val="0"/>
              <w:keepLines w:val="0"/>
              <w:pageBreakBefore w:val="0"/>
              <w:widowControl/>
              <w:kinsoku/>
              <w:wordWrap/>
              <w:overflowPunct/>
              <w:topLinePunct w:val="0"/>
              <w:bidi w:val="0"/>
              <w:snapToGrid w:val="0"/>
              <w:spacing w:line="360" w:lineRule="exact"/>
              <w:jc w:val="left"/>
              <w:rPr>
                <w:rFonts w:hint="eastAsia" w:ascii="宋体" w:hAnsi="宋体" w:eastAsia="宋体" w:cs="宋体"/>
                <w:color w:val="auto"/>
                <w:kern w:val="0"/>
                <w:highlight w:val="none"/>
              </w:rPr>
            </w:pPr>
          </w:p>
        </w:tc>
        <w:tc>
          <w:tcPr>
            <w:tcW w:w="629" w:type="dxa"/>
            <w:tcBorders>
              <w:top w:val="single" w:color="auto" w:sz="4" w:space="0"/>
              <w:left w:val="single" w:color="auto" w:sz="4" w:space="0"/>
              <w:bottom w:val="single" w:color="auto" w:sz="4" w:space="0"/>
              <w:right w:val="single" w:color="auto" w:sz="4" w:space="0"/>
            </w:tcBorders>
            <w:noWrap/>
            <w:vAlign w:val="center"/>
          </w:tcPr>
          <w:p w14:paraId="402B795F">
            <w:pPr>
              <w:keepNext w:val="0"/>
              <w:keepLines w:val="0"/>
              <w:pageBreakBefore w:val="0"/>
              <w:widowControl/>
              <w:kinsoku/>
              <w:wordWrap/>
              <w:overflowPunct/>
              <w:topLinePunct w:val="0"/>
              <w:bidi w:val="0"/>
              <w:snapToGrid w:val="0"/>
              <w:spacing w:line="360" w:lineRule="exact"/>
              <w:jc w:val="left"/>
              <w:rPr>
                <w:rFonts w:hint="eastAsia" w:ascii="宋体" w:hAnsi="宋体" w:eastAsia="宋体" w:cs="宋体"/>
                <w:color w:val="auto"/>
                <w:kern w:val="0"/>
                <w:highlight w:val="none"/>
              </w:rPr>
            </w:pPr>
          </w:p>
        </w:tc>
      </w:tr>
      <w:tr w14:paraId="4F0E70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75" w:type="dxa"/>
            <w:left w:w="75" w:type="dxa"/>
            <w:bottom w:w="75" w:type="dxa"/>
            <w:right w:w="75" w:type="dxa"/>
          </w:tblCellMar>
        </w:tblPrEx>
        <w:trPr>
          <w:trHeight w:val="356" w:hRule="atLeast"/>
        </w:trPr>
        <w:tc>
          <w:tcPr>
            <w:tcW w:w="600" w:type="dxa"/>
            <w:vMerge w:val="continue"/>
            <w:tcBorders>
              <w:top w:val="single" w:color="auto" w:sz="4" w:space="0"/>
              <w:left w:val="single" w:color="auto" w:sz="4" w:space="0"/>
              <w:bottom w:val="single" w:color="auto" w:sz="4" w:space="0"/>
              <w:right w:val="single" w:color="auto" w:sz="4" w:space="0"/>
            </w:tcBorders>
            <w:vAlign w:val="center"/>
          </w:tcPr>
          <w:p w14:paraId="71834261">
            <w:pPr>
              <w:keepNext w:val="0"/>
              <w:keepLines w:val="0"/>
              <w:pageBreakBefore w:val="0"/>
              <w:widowControl/>
              <w:suppressAutoHyphens w:val="0"/>
              <w:kinsoku/>
              <w:wordWrap/>
              <w:overflowPunct/>
              <w:topLinePunct w:val="0"/>
              <w:bidi w:val="0"/>
              <w:spacing w:line="360" w:lineRule="exact"/>
              <w:jc w:val="left"/>
              <w:rPr>
                <w:rFonts w:hint="eastAsia" w:ascii="宋体" w:hAnsi="宋体" w:eastAsia="宋体" w:cs="宋体"/>
                <w:color w:val="auto"/>
                <w:kern w:val="0"/>
                <w:highlight w:val="none"/>
              </w:rPr>
            </w:pPr>
          </w:p>
        </w:tc>
        <w:tc>
          <w:tcPr>
            <w:tcW w:w="1100" w:type="dxa"/>
            <w:vMerge w:val="restart"/>
            <w:tcBorders>
              <w:top w:val="single" w:color="auto" w:sz="4" w:space="0"/>
              <w:left w:val="single" w:color="auto" w:sz="4" w:space="0"/>
              <w:bottom w:val="single" w:color="auto" w:sz="4" w:space="0"/>
              <w:right w:val="single" w:color="auto" w:sz="4" w:space="0"/>
            </w:tcBorders>
            <w:noWrap/>
            <w:vAlign w:val="center"/>
          </w:tcPr>
          <w:p w14:paraId="080E4ACF">
            <w:pPr>
              <w:keepNext w:val="0"/>
              <w:keepLines w:val="0"/>
              <w:pageBreakBefore w:val="0"/>
              <w:widowControl/>
              <w:kinsoku/>
              <w:wordWrap/>
              <w:overflowPunct/>
              <w:topLinePunct w:val="0"/>
              <w:bidi w:val="0"/>
              <w:spacing w:line="360" w:lineRule="exact"/>
              <w:jc w:val="center"/>
              <w:rPr>
                <w:rFonts w:hint="eastAsia" w:ascii="宋体" w:hAnsi="宋体" w:eastAsia="宋体" w:cs="宋体"/>
                <w:color w:val="auto"/>
                <w:kern w:val="0"/>
                <w:highlight w:val="none"/>
              </w:rPr>
            </w:pPr>
            <w:r>
              <w:rPr>
                <w:rFonts w:hint="eastAsia" w:ascii="宋体" w:hAnsi="宋体" w:eastAsia="宋体" w:cs="宋体"/>
                <w:color w:val="auto"/>
                <w:kern w:val="0"/>
                <w:highlight w:val="none"/>
              </w:rPr>
              <w:t>符合性检查</w:t>
            </w:r>
          </w:p>
        </w:tc>
        <w:tc>
          <w:tcPr>
            <w:tcW w:w="1300" w:type="dxa"/>
            <w:tcBorders>
              <w:top w:val="single" w:color="auto" w:sz="4" w:space="0"/>
              <w:left w:val="single" w:color="auto" w:sz="4" w:space="0"/>
              <w:bottom w:val="single" w:color="auto" w:sz="4" w:space="0"/>
              <w:right w:val="single" w:color="auto" w:sz="4" w:space="0"/>
            </w:tcBorders>
            <w:noWrap/>
            <w:vAlign w:val="center"/>
          </w:tcPr>
          <w:p w14:paraId="094A7B6A">
            <w:pPr>
              <w:pStyle w:val="46"/>
              <w:keepNext w:val="0"/>
              <w:keepLines w:val="0"/>
              <w:pageBreakBefore w:val="0"/>
              <w:kinsoku/>
              <w:wordWrap/>
              <w:overflowPunct/>
              <w:topLinePunct w:val="0"/>
              <w:bidi w:val="0"/>
              <w:spacing w:line="360" w:lineRule="exact"/>
              <w:jc w:val="center"/>
              <w:rPr>
                <w:rFonts w:hint="eastAsia" w:ascii="宋体" w:hAnsi="宋体" w:eastAsia="宋体" w:cs="宋体"/>
                <w:b w:val="0"/>
                <w:bCs/>
                <w:color w:val="auto"/>
                <w:sz w:val="21"/>
                <w:szCs w:val="21"/>
                <w:highlight w:val="none"/>
                <w:lang w:val="en-US" w:eastAsia="zh-CN" w:bidi="ar-SA"/>
              </w:rPr>
            </w:pPr>
            <w:r>
              <w:rPr>
                <w:rFonts w:hint="eastAsia" w:ascii="宋体" w:hAnsi="宋体" w:eastAsia="宋体" w:cs="宋体"/>
                <w:b w:val="0"/>
                <w:bCs/>
                <w:color w:val="auto"/>
                <w:sz w:val="21"/>
                <w:szCs w:val="21"/>
                <w:highlight w:val="none"/>
              </w:rPr>
              <w:t>供应商名称</w:t>
            </w:r>
          </w:p>
        </w:tc>
        <w:tc>
          <w:tcPr>
            <w:tcW w:w="5448" w:type="dxa"/>
            <w:tcBorders>
              <w:top w:val="single" w:color="auto" w:sz="4" w:space="0"/>
              <w:left w:val="single" w:color="auto" w:sz="4" w:space="0"/>
              <w:bottom w:val="single" w:color="auto" w:sz="4" w:space="0"/>
              <w:right w:val="single" w:color="auto" w:sz="4" w:space="0"/>
            </w:tcBorders>
            <w:noWrap/>
            <w:vAlign w:val="center"/>
          </w:tcPr>
          <w:p w14:paraId="651A7A4A">
            <w:pPr>
              <w:pStyle w:val="46"/>
              <w:keepNext w:val="0"/>
              <w:keepLines w:val="0"/>
              <w:pageBreakBefore w:val="0"/>
              <w:kinsoku/>
              <w:wordWrap/>
              <w:overflowPunct/>
              <w:topLinePunct w:val="0"/>
              <w:bidi w:val="0"/>
              <w:spacing w:line="360" w:lineRule="exact"/>
              <w:rPr>
                <w:rFonts w:hint="eastAsia" w:ascii="宋体" w:hAnsi="宋体" w:eastAsia="宋体" w:cs="宋体"/>
                <w:b w:val="0"/>
                <w:bCs/>
                <w:color w:val="auto"/>
                <w:sz w:val="21"/>
                <w:szCs w:val="21"/>
                <w:highlight w:val="none"/>
                <w:lang w:val="en-US" w:eastAsia="zh-CN" w:bidi="ar-SA"/>
              </w:rPr>
            </w:pPr>
            <w:r>
              <w:rPr>
                <w:rFonts w:hint="eastAsia" w:ascii="宋体" w:hAnsi="宋体" w:eastAsia="宋体" w:cs="宋体"/>
                <w:b w:val="0"/>
                <w:bCs/>
                <w:color w:val="auto"/>
                <w:sz w:val="21"/>
                <w:szCs w:val="21"/>
                <w:highlight w:val="none"/>
              </w:rPr>
              <w:t>与营业执照、资质证书一致</w:t>
            </w:r>
          </w:p>
        </w:tc>
        <w:tc>
          <w:tcPr>
            <w:tcW w:w="621" w:type="dxa"/>
            <w:tcBorders>
              <w:top w:val="single" w:color="auto" w:sz="4" w:space="0"/>
              <w:left w:val="single" w:color="auto" w:sz="4" w:space="0"/>
              <w:bottom w:val="single" w:color="auto" w:sz="4" w:space="0"/>
              <w:right w:val="single" w:color="auto" w:sz="4" w:space="0"/>
            </w:tcBorders>
            <w:noWrap/>
            <w:vAlign w:val="center"/>
          </w:tcPr>
          <w:p w14:paraId="6E9AF1C4">
            <w:pPr>
              <w:keepNext w:val="0"/>
              <w:keepLines w:val="0"/>
              <w:pageBreakBefore w:val="0"/>
              <w:widowControl/>
              <w:kinsoku/>
              <w:wordWrap/>
              <w:overflowPunct/>
              <w:topLinePunct w:val="0"/>
              <w:bidi w:val="0"/>
              <w:snapToGrid w:val="0"/>
              <w:spacing w:line="360" w:lineRule="exact"/>
              <w:jc w:val="left"/>
              <w:rPr>
                <w:rFonts w:hint="eastAsia" w:ascii="宋体" w:hAnsi="宋体" w:eastAsia="宋体" w:cs="宋体"/>
                <w:color w:val="auto"/>
                <w:kern w:val="0"/>
                <w:highlight w:val="none"/>
              </w:rPr>
            </w:pPr>
          </w:p>
        </w:tc>
        <w:tc>
          <w:tcPr>
            <w:tcW w:w="629" w:type="dxa"/>
            <w:tcBorders>
              <w:top w:val="single" w:color="auto" w:sz="4" w:space="0"/>
              <w:left w:val="single" w:color="auto" w:sz="4" w:space="0"/>
              <w:bottom w:val="single" w:color="auto" w:sz="4" w:space="0"/>
              <w:right w:val="single" w:color="auto" w:sz="4" w:space="0"/>
            </w:tcBorders>
            <w:noWrap/>
            <w:vAlign w:val="center"/>
          </w:tcPr>
          <w:p w14:paraId="0D5F3E42">
            <w:pPr>
              <w:keepNext w:val="0"/>
              <w:keepLines w:val="0"/>
              <w:pageBreakBefore w:val="0"/>
              <w:widowControl/>
              <w:kinsoku/>
              <w:wordWrap/>
              <w:overflowPunct/>
              <w:topLinePunct w:val="0"/>
              <w:bidi w:val="0"/>
              <w:snapToGrid w:val="0"/>
              <w:spacing w:line="360" w:lineRule="exact"/>
              <w:jc w:val="left"/>
              <w:rPr>
                <w:rFonts w:hint="eastAsia" w:ascii="宋体" w:hAnsi="宋体" w:eastAsia="宋体" w:cs="宋体"/>
                <w:color w:val="auto"/>
                <w:kern w:val="0"/>
                <w:highlight w:val="none"/>
              </w:rPr>
            </w:pPr>
          </w:p>
        </w:tc>
      </w:tr>
      <w:tr w14:paraId="2723A4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75" w:type="dxa"/>
            <w:left w:w="75" w:type="dxa"/>
            <w:bottom w:w="75" w:type="dxa"/>
            <w:right w:w="75" w:type="dxa"/>
          </w:tblCellMar>
        </w:tblPrEx>
        <w:trPr>
          <w:trHeight w:val="849" w:hRule="atLeast"/>
        </w:trPr>
        <w:tc>
          <w:tcPr>
            <w:tcW w:w="600" w:type="dxa"/>
            <w:vMerge w:val="continue"/>
            <w:tcBorders>
              <w:top w:val="single" w:color="auto" w:sz="4" w:space="0"/>
              <w:left w:val="single" w:color="auto" w:sz="4" w:space="0"/>
              <w:bottom w:val="single" w:color="auto" w:sz="4" w:space="0"/>
              <w:right w:val="single" w:color="auto" w:sz="4" w:space="0"/>
            </w:tcBorders>
            <w:vAlign w:val="center"/>
          </w:tcPr>
          <w:p w14:paraId="0F3108B6">
            <w:pPr>
              <w:keepNext w:val="0"/>
              <w:keepLines w:val="0"/>
              <w:pageBreakBefore w:val="0"/>
              <w:widowControl/>
              <w:suppressAutoHyphens w:val="0"/>
              <w:kinsoku/>
              <w:wordWrap/>
              <w:overflowPunct/>
              <w:topLinePunct w:val="0"/>
              <w:bidi w:val="0"/>
              <w:spacing w:line="360" w:lineRule="exact"/>
              <w:jc w:val="left"/>
              <w:rPr>
                <w:rFonts w:hint="eastAsia" w:ascii="宋体" w:hAnsi="宋体" w:eastAsia="宋体" w:cs="宋体"/>
                <w:color w:val="auto"/>
                <w:kern w:val="0"/>
                <w:highlight w:val="none"/>
              </w:rPr>
            </w:pPr>
          </w:p>
        </w:tc>
        <w:tc>
          <w:tcPr>
            <w:tcW w:w="1100" w:type="dxa"/>
            <w:vMerge w:val="continue"/>
            <w:tcBorders>
              <w:left w:val="single" w:color="auto" w:sz="4" w:space="0"/>
              <w:right w:val="single" w:color="auto" w:sz="4" w:space="0"/>
            </w:tcBorders>
            <w:noWrap/>
            <w:vAlign w:val="center"/>
          </w:tcPr>
          <w:p w14:paraId="03A0CF5E">
            <w:pPr>
              <w:keepNext w:val="0"/>
              <w:keepLines w:val="0"/>
              <w:pageBreakBefore w:val="0"/>
              <w:widowControl/>
              <w:kinsoku/>
              <w:wordWrap/>
              <w:overflowPunct/>
              <w:topLinePunct w:val="0"/>
              <w:bidi w:val="0"/>
              <w:spacing w:line="360" w:lineRule="exact"/>
              <w:jc w:val="center"/>
              <w:rPr>
                <w:rFonts w:hint="eastAsia" w:ascii="宋体" w:hAnsi="宋体" w:eastAsia="宋体" w:cs="宋体"/>
                <w:color w:val="auto"/>
                <w:kern w:val="0"/>
                <w:highlight w:val="none"/>
              </w:rPr>
            </w:pPr>
          </w:p>
        </w:tc>
        <w:tc>
          <w:tcPr>
            <w:tcW w:w="1300" w:type="dxa"/>
            <w:tcBorders>
              <w:top w:val="single" w:color="auto" w:sz="4" w:space="0"/>
              <w:left w:val="single" w:color="auto" w:sz="4" w:space="0"/>
              <w:bottom w:val="single" w:color="auto" w:sz="4" w:space="0"/>
              <w:right w:val="single" w:color="auto" w:sz="4" w:space="0"/>
            </w:tcBorders>
            <w:noWrap/>
            <w:vAlign w:val="center"/>
          </w:tcPr>
          <w:p w14:paraId="4F146768">
            <w:pPr>
              <w:pStyle w:val="46"/>
              <w:keepNext w:val="0"/>
              <w:keepLines w:val="0"/>
              <w:pageBreakBefore w:val="0"/>
              <w:kinsoku/>
              <w:wordWrap/>
              <w:overflowPunct/>
              <w:topLinePunct w:val="0"/>
              <w:bidi w:val="0"/>
              <w:spacing w:line="360" w:lineRule="exact"/>
              <w:jc w:val="center"/>
              <w:rPr>
                <w:rFonts w:hint="eastAsia" w:ascii="宋体" w:hAnsi="宋体" w:eastAsia="宋体" w:cs="宋体"/>
                <w:b w:val="0"/>
                <w:bCs/>
                <w:color w:val="auto"/>
                <w:sz w:val="21"/>
                <w:szCs w:val="21"/>
                <w:highlight w:val="none"/>
                <w:lang w:val="en-US" w:eastAsia="zh-CN" w:bidi="ar-SA"/>
              </w:rPr>
            </w:pPr>
            <w:r>
              <w:rPr>
                <w:rFonts w:hint="eastAsia" w:ascii="宋体" w:hAnsi="宋体" w:eastAsia="宋体" w:cs="宋体"/>
                <w:b w:val="0"/>
                <w:bCs/>
                <w:color w:val="auto"/>
                <w:sz w:val="21"/>
                <w:szCs w:val="21"/>
                <w:highlight w:val="none"/>
              </w:rPr>
              <w:t>响应文件按磋商文件规定格式完整提供</w:t>
            </w:r>
          </w:p>
        </w:tc>
        <w:tc>
          <w:tcPr>
            <w:tcW w:w="5448" w:type="dxa"/>
            <w:tcBorders>
              <w:top w:val="single" w:color="auto" w:sz="4" w:space="0"/>
              <w:left w:val="single" w:color="auto" w:sz="4" w:space="0"/>
              <w:bottom w:val="single" w:color="auto" w:sz="4" w:space="0"/>
              <w:right w:val="single" w:color="auto" w:sz="4" w:space="0"/>
            </w:tcBorders>
            <w:noWrap/>
            <w:vAlign w:val="center"/>
          </w:tcPr>
          <w:p w14:paraId="4D6A4BAC">
            <w:pPr>
              <w:pStyle w:val="46"/>
              <w:keepNext w:val="0"/>
              <w:keepLines w:val="0"/>
              <w:pageBreakBefore w:val="0"/>
              <w:kinsoku/>
              <w:wordWrap/>
              <w:overflowPunct/>
              <w:topLinePunct w:val="0"/>
              <w:bidi w:val="0"/>
              <w:spacing w:line="360" w:lineRule="exact"/>
              <w:rPr>
                <w:rFonts w:hint="eastAsia" w:ascii="宋体" w:hAnsi="宋体" w:eastAsia="宋体" w:cs="宋体"/>
                <w:b w:val="0"/>
                <w:bCs/>
                <w:color w:val="auto"/>
                <w:sz w:val="21"/>
                <w:szCs w:val="21"/>
                <w:highlight w:val="none"/>
                <w:lang w:val="en-US" w:eastAsia="zh-CN" w:bidi="ar-SA"/>
              </w:rPr>
            </w:pPr>
            <w:r>
              <w:rPr>
                <w:rFonts w:hint="eastAsia" w:ascii="宋体" w:hAnsi="宋体" w:eastAsia="宋体" w:cs="宋体"/>
                <w:b w:val="0"/>
                <w:bCs/>
                <w:color w:val="auto"/>
                <w:sz w:val="21"/>
                <w:szCs w:val="21"/>
                <w:highlight w:val="none"/>
              </w:rPr>
              <w:t>响应文件的格式</w:t>
            </w:r>
          </w:p>
        </w:tc>
        <w:tc>
          <w:tcPr>
            <w:tcW w:w="621" w:type="dxa"/>
            <w:tcBorders>
              <w:top w:val="single" w:color="auto" w:sz="4" w:space="0"/>
              <w:left w:val="single" w:color="auto" w:sz="4" w:space="0"/>
              <w:bottom w:val="single" w:color="auto" w:sz="4" w:space="0"/>
              <w:right w:val="single" w:color="auto" w:sz="4" w:space="0"/>
            </w:tcBorders>
            <w:noWrap/>
            <w:vAlign w:val="center"/>
          </w:tcPr>
          <w:p w14:paraId="2BF38102">
            <w:pPr>
              <w:keepNext w:val="0"/>
              <w:keepLines w:val="0"/>
              <w:pageBreakBefore w:val="0"/>
              <w:widowControl/>
              <w:kinsoku/>
              <w:wordWrap/>
              <w:overflowPunct/>
              <w:topLinePunct w:val="0"/>
              <w:bidi w:val="0"/>
              <w:snapToGrid w:val="0"/>
              <w:spacing w:line="360" w:lineRule="exact"/>
              <w:jc w:val="left"/>
              <w:rPr>
                <w:rFonts w:hint="eastAsia" w:ascii="宋体" w:hAnsi="宋体" w:eastAsia="宋体" w:cs="宋体"/>
                <w:color w:val="auto"/>
                <w:kern w:val="0"/>
                <w:highlight w:val="none"/>
              </w:rPr>
            </w:pPr>
          </w:p>
        </w:tc>
        <w:tc>
          <w:tcPr>
            <w:tcW w:w="629" w:type="dxa"/>
            <w:tcBorders>
              <w:top w:val="single" w:color="auto" w:sz="4" w:space="0"/>
              <w:left w:val="single" w:color="auto" w:sz="4" w:space="0"/>
              <w:bottom w:val="single" w:color="auto" w:sz="4" w:space="0"/>
              <w:right w:val="single" w:color="auto" w:sz="4" w:space="0"/>
            </w:tcBorders>
            <w:noWrap/>
            <w:vAlign w:val="center"/>
          </w:tcPr>
          <w:p w14:paraId="167170DA">
            <w:pPr>
              <w:keepNext w:val="0"/>
              <w:keepLines w:val="0"/>
              <w:pageBreakBefore w:val="0"/>
              <w:widowControl/>
              <w:kinsoku/>
              <w:wordWrap/>
              <w:overflowPunct/>
              <w:topLinePunct w:val="0"/>
              <w:bidi w:val="0"/>
              <w:snapToGrid w:val="0"/>
              <w:spacing w:line="360" w:lineRule="exact"/>
              <w:jc w:val="left"/>
              <w:rPr>
                <w:rFonts w:hint="eastAsia" w:ascii="宋体" w:hAnsi="宋体" w:eastAsia="宋体" w:cs="宋体"/>
                <w:color w:val="auto"/>
                <w:kern w:val="0"/>
                <w:highlight w:val="none"/>
              </w:rPr>
            </w:pPr>
          </w:p>
        </w:tc>
      </w:tr>
      <w:tr w14:paraId="76C569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75" w:type="dxa"/>
            <w:left w:w="75" w:type="dxa"/>
            <w:bottom w:w="75" w:type="dxa"/>
            <w:right w:w="75" w:type="dxa"/>
          </w:tblCellMar>
        </w:tblPrEx>
        <w:trPr>
          <w:trHeight w:val="603" w:hRule="atLeast"/>
        </w:trPr>
        <w:tc>
          <w:tcPr>
            <w:tcW w:w="600" w:type="dxa"/>
            <w:vMerge w:val="continue"/>
            <w:tcBorders>
              <w:top w:val="single" w:color="auto" w:sz="4" w:space="0"/>
              <w:left w:val="single" w:color="auto" w:sz="4" w:space="0"/>
              <w:bottom w:val="single" w:color="auto" w:sz="4" w:space="0"/>
              <w:right w:val="single" w:color="auto" w:sz="4" w:space="0"/>
            </w:tcBorders>
            <w:vAlign w:val="center"/>
          </w:tcPr>
          <w:p w14:paraId="0614FB6C">
            <w:pPr>
              <w:keepNext w:val="0"/>
              <w:keepLines w:val="0"/>
              <w:pageBreakBefore w:val="0"/>
              <w:widowControl/>
              <w:suppressAutoHyphens w:val="0"/>
              <w:kinsoku/>
              <w:wordWrap/>
              <w:overflowPunct/>
              <w:topLinePunct w:val="0"/>
              <w:bidi w:val="0"/>
              <w:spacing w:line="360" w:lineRule="exact"/>
              <w:jc w:val="left"/>
              <w:rPr>
                <w:rFonts w:hint="eastAsia" w:ascii="宋体" w:hAnsi="宋体" w:eastAsia="宋体" w:cs="宋体"/>
                <w:color w:val="auto"/>
                <w:highlight w:val="none"/>
              </w:rPr>
            </w:pPr>
          </w:p>
          <w:p w14:paraId="141859AF">
            <w:pPr>
              <w:pStyle w:val="7"/>
              <w:keepNext w:val="0"/>
              <w:keepLines w:val="0"/>
              <w:pageBreakBefore w:val="0"/>
              <w:kinsoku/>
              <w:wordWrap/>
              <w:overflowPunct/>
              <w:topLinePunct w:val="0"/>
              <w:bidi w:val="0"/>
              <w:spacing w:line="360" w:lineRule="exact"/>
              <w:rPr>
                <w:rFonts w:hint="eastAsia" w:ascii="宋体" w:hAnsi="宋体" w:eastAsia="宋体" w:cs="宋体"/>
                <w:color w:val="auto"/>
                <w:highlight w:val="none"/>
              </w:rPr>
            </w:pPr>
          </w:p>
        </w:tc>
        <w:tc>
          <w:tcPr>
            <w:tcW w:w="1100" w:type="dxa"/>
            <w:vMerge w:val="continue"/>
            <w:tcBorders>
              <w:left w:val="single" w:color="auto" w:sz="4" w:space="0"/>
              <w:right w:val="single" w:color="auto" w:sz="4" w:space="0"/>
            </w:tcBorders>
            <w:noWrap/>
            <w:vAlign w:val="center"/>
          </w:tcPr>
          <w:p w14:paraId="3A0EEC34">
            <w:pPr>
              <w:keepNext w:val="0"/>
              <w:keepLines w:val="0"/>
              <w:pageBreakBefore w:val="0"/>
              <w:widowControl/>
              <w:kinsoku/>
              <w:wordWrap/>
              <w:overflowPunct/>
              <w:topLinePunct w:val="0"/>
              <w:bidi w:val="0"/>
              <w:spacing w:line="360" w:lineRule="exact"/>
              <w:jc w:val="center"/>
              <w:rPr>
                <w:rFonts w:hint="eastAsia" w:ascii="宋体" w:hAnsi="宋体" w:eastAsia="宋体" w:cs="宋体"/>
                <w:color w:val="auto"/>
                <w:kern w:val="0"/>
                <w:highlight w:val="none"/>
              </w:rPr>
            </w:pPr>
          </w:p>
        </w:tc>
        <w:tc>
          <w:tcPr>
            <w:tcW w:w="1300" w:type="dxa"/>
            <w:tcBorders>
              <w:top w:val="single" w:color="auto" w:sz="4" w:space="0"/>
              <w:left w:val="single" w:color="auto" w:sz="4" w:space="0"/>
              <w:bottom w:val="single" w:color="auto" w:sz="4" w:space="0"/>
              <w:right w:val="single" w:color="auto" w:sz="4" w:space="0"/>
            </w:tcBorders>
            <w:noWrap/>
            <w:vAlign w:val="center"/>
          </w:tcPr>
          <w:p w14:paraId="2C689970">
            <w:pPr>
              <w:pStyle w:val="46"/>
              <w:keepNext w:val="0"/>
              <w:keepLines w:val="0"/>
              <w:pageBreakBefore w:val="0"/>
              <w:kinsoku/>
              <w:wordWrap/>
              <w:overflowPunct/>
              <w:topLinePunct w:val="0"/>
              <w:bidi w:val="0"/>
              <w:spacing w:line="360" w:lineRule="exact"/>
              <w:jc w:val="center"/>
              <w:rPr>
                <w:rFonts w:hint="eastAsia" w:ascii="宋体" w:hAnsi="宋体" w:eastAsia="宋体" w:cs="宋体"/>
                <w:b w:val="0"/>
                <w:bCs/>
                <w:color w:val="auto"/>
                <w:sz w:val="21"/>
                <w:szCs w:val="21"/>
                <w:highlight w:val="none"/>
                <w:lang w:val="en-US" w:eastAsia="zh-CN" w:bidi="ar-SA"/>
              </w:rPr>
            </w:pPr>
            <w:r>
              <w:rPr>
                <w:rFonts w:hint="eastAsia" w:ascii="宋体" w:hAnsi="宋体" w:eastAsia="宋体" w:cs="宋体"/>
                <w:b w:val="0"/>
                <w:bCs/>
                <w:color w:val="auto"/>
                <w:kern w:val="2"/>
                <w:sz w:val="21"/>
                <w:szCs w:val="21"/>
                <w:highlight w:val="none"/>
              </w:rPr>
              <w:t>法人授权</w:t>
            </w:r>
          </w:p>
        </w:tc>
        <w:tc>
          <w:tcPr>
            <w:tcW w:w="5448" w:type="dxa"/>
            <w:tcBorders>
              <w:top w:val="single" w:color="auto" w:sz="4" w:space="0"/>
              <w:left w:val="single" w:color="auto" w:sz="4" w:space="0"/>
              <w:bottom w:val="single" w:color="auto" w:sz="4" w:space="0"/>
              <w:right w:val="single" w:color="auto" w:sz="4" w:space="0"/>
            </w:tcBorders>
            <w:noWrap/>
            <w:vAlign w:val="center"/>
          </w:tcPr>
          <w:p w14:paraId="4B176947">
            <w:pPr>
              <w:pStyle w:val="46"/>
              <w:keepNext w:val="0"/>
              <w:keepLines w:val="0"/>
              <w:pageBreakBefore w:val="0"/>
              <w:kinsoku/>
              <w:wordWrap/>
              <w:overflowPunct/>
              <w:topLinePunct w:val="0"/>
              <w:bidi w:val="0"/>
              <w:spacing w:line="360" w:lineRule="exact"/>
              <w:rPr>
                <w:rFonts w:hint="eastAsia" w:ascii="宋体" w:hAnsi="宋体" w:eastAsia="宋体" w:cs="宋体"/>
                <w:b w:val="0"/>
                <w:bCs/>
                <w:color w:val="auto"/>
                <w:sz w:val="21"/>
                <w:szCs w:val="21"/>
                <w:highlight w:val="none"/>
                <w:lang w:val="en-US" w:eastAsia="zh-CN" w:bidi="ar-SA"/>
              </w:rPr>
            </w:pPr>
            <w:r>
              <w:rPr>
                <w:rFonts w:hint="eastAsia" w:ascii="宋体" w:hAnsi="宋体" w:eastAsia="宋体" w:cs="宋体"/>
                <w:b w:val="0"/>
                <w:bCs/>
                <w:color w:val="auto"/>
                <w:kern w:val="2"/>
                <w:sz w:val="21"/>
                <w:szCs w:val="21"/>
                <w:highlight w:val="none"/>
              </w:rPr>
              <w:t>响应文件提供法定代表人授权委托书或提供法定代表人身份证明</w:t>
            </w:r>
          </w:p>
        </w:tc>
        <w:tc>
          <w:tcPr>
            <w:tcW w:w="621" w:type="dxa"/>
            <w:tcBorders>
              <w:top w:val="single" w:color="auto" w:sz="4" w:space="0"/>
              <w:left w:val="single" w:color="auto" w:sz="4" w:space="0"/>
              <w:bottom w:val="single" w:color="auto" w:sz="4" w:space="0"/>
              <w:right w:val="single" w:color="auto" w:sz="4" w:space="0"/>
            </w:tcBorders>
            <w:noWrap/>
            <w:vAlign w:val="center"/>
          </w:tcPr>
          <w:p w14:paraId="1925555D">
            <w:pPr>
              <w:keepNext w:val="0"/>
              <w:keepLines w:val="0"/>
              <w:pageBreakBefore w:val="0"/>
              <w:widowControl/>
              <w:kinsoku/>
              <w:wordWrap/>
              <w:overflowPunct/>
              <w:topLinePunct w:val="0"/>
              <w:bidi w:val="0"/>
              <w:snapToGrid w:val="0"/>
              <w:spacing w:line="360" w:lineRule="exact"/>
              <w:jc w:val="left"/>
              <w:rPr>
                <w:rFonts w:hint="eastAsia" w:ascii="宋体" w:hAnsi="宋体" w:eastAsia="宋体" w:cs="宋体"/>
                <w:color w:val="auto"/>
                <w:kern w:val="0"/>
                <w:highlight w:val="none"/>
              </w:rPr>
            </w:pPr>
          </w:p>
        </w:tc>
        <w:tc>
          <w:tcPr>
            <w:tcW w:w="629" w:type="dxa"/>
            <w:tcBorders>
              <w:top w:val="single" w:color="auto" w:sz="4" w:space="0"/>
              <w:left w:val="single" w:color="auto" w:sz="4" w:space="0"/>
              <w:bottom w:val="single" w:color="auto" w:sz="4" w:space="0"/>
              <w:right w:val="single" w:color="auto" w:sz="4" w:space="0"/>
            </w:tcBorders>
            <w:noWrap/>
            <w:vAlign w:val="center"/>
          </w:tcPr>
          <w:p w14:paraId="55F086D6">
            <w:pPr>
              <w:keepNext w:val="0"/>
              <w:keepLines w:val="0"/>
              <w:pageBreakBefore w:val="0"/>
              <w:widowControl/>
              <w:kinsoku/>
              <w:wordWrap/>
              <w:overflowPunct/>
              <w:topLinePunct w:val="0"/>
              <w:bidi w:val="0"/>
              <w:snapToGrid w:val="0"/>
              <w:spacing w:line="360" w:lineRule="exact"/>
              <w:jc w:val="left"/>
              <w:rPr>
                <w:rFonts w:hint="eastAsia" w:ascii="宋体" w:hAnsi="宋体" w:eastAsia="宋体" w:cs="宋体"/>
                <w:color w:val="auto"/>
                <w:kern w:val="0"/>
                <w:highlight w:val="none"/>
              </w:rPr>
            </w:pPr>
          </w:p>
        </w:tc>
      </w:tr>
      <w:tr w14:paraId="01D8B6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75" w:type="dxa"/>
            <w:left w:w="75" w:type="dxa"/>
            <w:bottom w:w="75" w:type="dxa"/>
            <w:right w:w="75" w:type="dxa"/>
          </w:tblCellMar>
        </w:tblPrEx>
        <w:trPr>
          <w:trHeight w:val="603" w:hRule="atLeast"/>
        </w:trPr>
        <w:tc>
          <w:tcPr>
            <w:tcW w:w="600" w:type="dxa"/>
            <w:vMerge w:val="continue"/>
            <w:tcBorders>
              <w:top w:val="single" w:color="auto" w:sz="4" w:space="0"/>
              <w:left w:val="single" w:color="auto" w:sz="4" w:space="0"/>
              <w:bottom w:val="single" w:color="auto" w:sz="4" w:space="0"/>
              <w:right w:val="single" w:color="auto" w:sz="4" w:space="0"/>
            </w:tcBorders>
            <w:vAlign w:val="center"/>
          </w:tcPr>
          <w:p w14:paraId="7B3E0ACB">
            <w:pPr>
              <w:keepNext w:val="0"/>
              <w:keepLines w:val="0"/>
              <w:pageBreakBefore w:val="0"/>
              <w:widowControl/>
              <w:suppressAutoHyphens w:val="0"/>
              <w:kinsoku/>
              <w:wordWrap/>
              <w:overflowPunct/>
              <w:topLinePunct w:val="0"/>
              <w:bidi w:val="0"/>
              <w:spacing w:line="360" w:lineRule="exact"/>
              <w:jc w:val="left"/>
              <w:rPr>
                <w:rFonts w:hint="eastAsia" w:ascii="宋体" w:hAnsi="宋体" w:eastAsia="宋体" w:cs="宋体"/>
                <w:color w:val="auto"/>
                <w:kern w:val="0"/>
                <w:highlight w:val="none"/>
              </w:rPr>
            </w:pPr>
          </w:p>
        </w:tc>
        <w:tc>
          <w:tcPr>
            <w:tcW w:w="1100" w:type="dxa"/>
            <w:vMerge w:val="continue"/>
            <w:tcBorders>
              <w:left w:val="single" w:color="auto" w:sz="4" w:space="0"/>
              <w:right w:val="single" w:color="auto" w:sz="4" w:space="0"/>
            </w:tcBorders>
            <w:noWrap/>
            <w:vAlign w:val="center"/>
          </w:tcPr>
          <w:p w14:paraId="695F46D8">
            <w:pPr>
              <w:keepNext w:val="0"/>
              <w:keepLines w:val="0"/>
              <w:pageBreakBefore w:val="0"/>
              <w:widowControl/>
              <w:kinsoku/>
              <w:wordWrap/>
              <w:overflowPunct/>
              <w:topLinePunct w:val="0"/>
              <w:bidi w:val="0"/>
              <w:spacing w:line="360" w:lineRule="exact"/>
              <w:jc w:val="center"/>
              <w:rPr>
                <w:rFonts w:hint="eastAsia" w:ascii="宋体" w:hAnsi="宋体" w:eastAsia="宋体" w:cs="宋体"/>
                <w:color w:val="auto"/>
                <w:kern w:val="0"/>
                <w:highlight w:val="none"/>
              </w:rPr>
            </w:pPr>
          </w:p>
        </w:tc>
        <w:tc>
          <w:tcPr>
            <w:tcW w:w="1300" w:type="dxa"/>
            <w:tcBorders>
              <w:top w:val="single" w:color="auto" w:sz="4" w:space="0"/>
              <w:left w:val="single" w:color="auto" w:sz="4" w:space="0"/>
              <w:bottom w:val="single" w:color="auto" w:sz="4" w:space="0"/>
              <w:right w:val="single" w:color="auto" w:sz="4" w:space="0"/>
            </w:tcBorders>
            <w:noWrap/>
            <w:vAlign w:val="center"/>
          </w:tcPr>
          <w:p w14:paraId="26598BD8">
            <w:pPr>
              <w:pStyle w:val="46"/>
              <w:keepNext w:val="0"/>
              <w:keepLines w:val="0"/>
              <w:pageBreakBefore w:val="0"/>
              <w:kinsoku/>
              <w:wordWrap/>
              <w:overflowPunct/>
              <w:topLinePunct w:val="0"/>
              <w:bidi w:val="0"/>
              <w:spacing w:line="360" w:lineRule="exact"/>
              <w:jc w:val="center"/>
              <w:rPr>
                <w:rFonts w:hint="eastAsia" w:ascii="宋体" w:hAnsi="宋体" w:eastAsia="宋体" w:cs="宋体"/>
                <w:b w:val="0"/>
                <w:bCs/>
                <w:color w:val="auto"/>
                <w:sz w:val="21"/>
                <w:szCs w:val="21"/>
                <w:highlight w:val="none"/>
                <w:lang w:val="en-US" w:eastAsia="zh-CN" w:bidi="ar-SA"/>
              </w:rPr>
            </w:pPr>
            <w:r>
              <w:rPr>
                <w:rFonts w:hint="eastAsia" w:ascii="宋体" w:hAnsi="宋体" w:eastAsia="宋体" w:cs="宋体"/>
                <w:b w:val="0"/>
                <w:bCs/>
                <w:color w:val="auto"/>
                <w:sz w:val="21"/>
                <w:szCs w:val="21"/>
                <w:highlight w:val="none"/>
              </w:rPr>
              <w:t>响应文件签署</w:t>
            </w:r>
          </w:p>
        </w:tc>
        <w:tc>
          <w:tcPr>
            <w:tcW w:w="5448" w:type="dxa"/>
            <w:tcBorders>
              <w:top w:val="single" w:color="auto" w:sz="4" w:space="0"/>
              <w:left w:val="single" w:color="auto" w:sz="4" w:space="0"/>
              <w:bottom w:val="single" w:color="auto" w:sz="4" w:space="0"/>
              <w:right w:val="single" w:color="auto" w:sz="4" w:space="0"/>
            </w:tcBorders>
            <w:noWrap/>
            <w:vAlign w:val="center"/>
          </w:tcPr>
          <w:p w14:paraId="6F354190">
            <w:pPr>
              <w:pStyle w:val="46"/>
              <w:keepNext w:val="0"/>
              <w:keepLines w:val="0"/>
              <w:pageBreakBefore w:val="0"/>
              <w:kinsoku/>
              <w:wordWrap/>
              <w:overflowPunct/>
              <w:topLinePunct w:val="0"/>
              <w:bidi w:val="0"/>
              <w:spacing w:line="360" w:lineRule="exact"/>
              <w:rPr>
                <w:rFonts w:hint="eastAsia" w:ascii="宋体" w:hAnsi="宋体" w:eastAsia="宋体" w:cs="宋体"/>
                <w:b w:val="0"/>
                <w:bCs/>
                <w:color w:val="auto"/>
                <w:sz w:val="21"/>
                <w:szCs w:val="21"/>
                <w:highlight w:val="none"/>
                <w:lang w:val="en-US" w:eastAsia="zh-CN" w:bidi="ar-SA"/>
              </w:rPr>
            </w:pPr>
            <w:r>
              <w:rPr>
                <w:rFonts w:hint="eastAsia" w:ascii="宋体" w:hAnsi="宋体" w:eastAsia="宋体" w:cs="宋体"/>
                <w:b w:val="0"/>
                <w:bCs/>
                <w:color w:val="auto"/>
                <w:sz w:val="21"/>
                <w:szCs w:val="21"/>
                <w:highlight w:val="none"/>
              </w:rPr>
              <w:t>响应文件上法定代表人或其授权代理人的签字、供应商的单位章齐全符合磋商文件规定</w:t>
            </w:r>
          </w:p>
        </w:tc>
        <w:tc>
          <w:tcPr>
            <w:tcW w:w="621" w:type="dxa"/>
            <w:tcBorders>
              <w:top w:val="single" w:color="auto" w:sz="4" w:space="0"/>
              <w:left w:val="single" w:color="auto" w:sz="4" w:space="0"/>
              <w:bottom w:val="single" w:color="auto" w:sz="4" w:space="0"/>
              <w:right w:val="single" w:color="auto" w:sz="4" w:space="0"/>
            </w:tcBorders>
            <w:noWrap/>
            <w:vAlign w:val="center"/>
          </w:tcPr>
          <w:p w14:paraId="74421220">
            <w:pPr>
              <w:keepNext w:val="0"/>
              <w:keepLines w:val="0"/>
              <w:pageBreakBefore w:val="0"/>
              <w:widowControl/>
              <w:kinsoku/>
              <w:wordWrap/>
              <w:overflowPunct/>
              <w:topLinePunct w:val="0"/>
              <w:bidi w:val="0"/>
              <w:snapToGrid w:val="0"/>
              <w:spacing w:line="360" w:lineRule="exact"/>
              <w:jc w:val="left"/>
              <w:rPr>
                <w:rFonts w:hint="eastAsia" w:ascii="宋体" w:hAnsi="宋体" w:eastAsia="宋体" w:cs="宋体"/>
                <w:color w:val="auto"/>
                <w:kern w:val="0"/>
                <w:highlight w:val="none"/>
              </w:rPr>
            </w:pPr>
          </w:p>
        </w:tc>
        <w:tc>
          <w:tcPr>
            <w:tcW w:w="629" w:type="dxa"/>
            <w:tcBorders>
              <w:top w:val="single" w:color="auto" w:sz="4" w:space="0"/>
              <w:left w:val="single" w:color="auto" w:sz="4" w:space="0"/>
              <w:bottom w:val="single" w:color="auto" w:sz="4" w:space="0"/>
              <w:right w:val="single" w:color="auto" w:sz="4" w:space="0"/>
            </w:tcBorders>
            <w:noWrap/>
            <w:vAlign w:val="center"/>
          </w:tcPr>
          <w:p w14:paraId="41117871">
            <w:pPr>
              <w:keepNext w:val="0"/>
              <w:keepLines w:val="0"/>
              <w:pageBreakBefore w:val="0"/>
              <w:widowControl/>
              <w:kinsoku/>
              <w:wordWrap/>
              <w:overflowPunct/>
              <w:topLinePunct w:val="0"/>
              <w:bidi w:val="0"/>
              <w:snapToGrid w:val="0"/>
              <w:spacing w:line="360" w:lineRule="exact"/>
              <w:jc w:val="left"/>
              <w:rPr>
                <w:rFonts w:hint="eastAsia" w:ascii="宋体" w:hAnsi="宋体" w:eastAsia="宋体" w:cs="宋体"/>
                <w:color w:val="auto"/>
                <w:kern w:val="0"/>
                <w:highlight w:val="none"/>
              </w:rPr>
            </w:pPr>
          </w:p>
        </w:tc>
      </w:tr>
      <w:tr w14:paraId="326DA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75" w:type="dxa"/>
            <w:left w:w="75" w:type="dxa"/>
            <w:bottom w:w="75" w:type="dxa"/>
            <w:right w:w="75" w:type="dxa"/>
          </w:tblCellMar>
        </w:tblPrEx>
        <w:trPr>
          <w:trHeight w:val="356" w:hRule="atLeast"/>
        </w:trPr>
        <w:tc>
          <w:tcPr>
            <w:tcW w:w="600" w:type="dxa"/>
            <w:vMerge w:val="continue"/>
            <w:tcBorders>
              <w:top w:val="single" w:color="auto" w:sz="4" w:space="0"/>
              <w:left w:val="single" w:color="auto" w:sz="4" w:space="0"/>
              <w:bottom w:val="single" w:color="auto" w:sz="4" w:space="0"/>
              <w:right w:val="single" w:color="auto" w:sz="4" w:space="0"/>
            </w:tcBorders>
            <w:vAlign w:val="center"/>
          </w:tcPr>
          <w:p w14:paraId="0B890E2F">
            <w:pPr>
              <w:keepNext w:val="0"/>
              <w:keepLines w:val="0"/>
              <w:pageBreakBefore w:val="0"/>
              <w:widowControl/>
              <w:suppressAutoHyphens w:val="0"/>
              <w:kinsoku/>
              <w:wordWrap/>
              <w:overflowPunct/>
              <w:topLinePunct w:val="0"/>
              <w:bidi w:val="0"/>
              <w:spacing w:line="360" w:lineRule="exact"/>
              <w:jc w:val="left"/>
              <w:rPr>
                <w:rFonts w:hint="eastAsia" w:ascii="宋体" w:hAnsi="宋体" w:eastAsia="宋体" w:cs="宋体"/>
                <w:color w:val="auto"/>
                <w:kern w:val="0"/>
                <w:highlight w:val="none"/>
              </w:rPr>
            </w:pPr>
          </w:p>
        </w:tc>
        <w:tc>
          <w:tcPr>
            <w:tcW w:w="1100" w:type="dxa"/>
            <w:vMerge w:val="continue"/>
            <w:tcBorders>
              <w:top w:val="single" w:color="auto" w:sz="4" w:space="0"/>
              <w:left w:val="single" w:color="auto" w:sz="4" w:space="0"/>
              <w:bottom w:val="single" w:color="auto" w:sz="4" w:space="0"/>
              <w:right w:val="single" w:color="auto" w:sz="4" w:space="0"/>
            </w:tcBorders>
            <w:vAlign w:val="center"/>
          </w:tcPr>
          <w:p w14:paraId="3D91C630">
            <w:pPr>
              <w:keepNext w:val="0"/>
              <w:keepLines w:val="0"/>
              <w:pageBreakBefore w:val="0"/>
              <w:widowControl/>
              <w:suppressAutoHyphens w:val="0"/>
              <w:kinsoku/>
              <w:wordWrap/>
              <w:overflowPunct/>
              <w:topLinePunct w:val="0"/>
              <w:bidi w:val="0"/>
              <w:spacing w:line="360" w:lineRule="exact"/>
              <w:jc w:val="left"/>
              <w:rPr>
                <w:rFonts w:hint="eastAsia" w:ascii="宋体" w:hAnsi="宋体" w:eastAsia="宋体" w:cs="宋体"/>
                <w:color w:val="auto"/>
                <w:kern w:val="0"/>
                <w:highlight w:val="none"/>
              </w:rPr>
            </w:pPr>
          </w:p>
        </w:tc>
        <w:tc>
          <w:tcPr>
            <w:tcW w:w="1300" w:type="dxa"/>
            <w:tcBorders>
              <w:top w:val="single" w:color="auto" w:sz="4" w:space="0"/>
              <w:left w:val="single" w:color="auto" w:sz="4" w:space="0"/>
              <w:bottom w:val="single" w:color="auto" w:sz="4" w:space="0"/>
              <w:right w:val="single" w:color="auto" w:sz="4" w:space="0"/>
            </w:tcBorders>
            <w:noWrap/>
            <w:vAlign w:val="center"/>
          </w:tcPr>
          <w:p w14:paraId="6F38451A">
            <w:pPr>
              <w:pStyle w:val="46"/>
              <w:keepNext w:val="0"/>
              <w:keepLines w:val="0"/>
              <w:pageBreakBefore w:val="0"/>
              <w:kinsoku/>
              <w:wordWrap/>
              <w:overflowPunct/>
              <w:topLinePunct w:val="0"/>
              <w:bidi w:val="0"/>
              <w:spacing w:line="360" w:lineRule="exact"/>
              <w:jc w:val="center"/>
              <w:rPr>
                <w:rFonts w:hint="eastAsia" w:ascii="宋体" w:hAnsi="宋体" w:eastAsia="宋体" w:cs="宋体"/>
                <w:b w:val="0"/>
                <w:bCs/>
                <w:color w:val="auto"/>
                <w:sz w:val="21"/>
                <w:szCs w:val="21"/>
                <w:highlight w:val="none"/>
                <w:lang w:val="en-US" w:eastAsia="zh-CN" w:bidi="ar-SA"/>
              </w:rPr>
            </w:pPr>
            <w:r>
              <w:rPr>
                <w:rFonts w:hint="eastAsia" w:ascii="宋体" w:hAnsi="宋体" w:eastAsia="宋体" w:cs="宋体"/>
                <w:b w:val="0"/>
                <w:bCs/>
                <w:color w:val="auto"/>
                <w:sz w:val="21"/>
                <w:szCs w:val="21"/>
                <w:highlight w:val="none"/>
              </w:rPr>
              <w:t>投标方案</w:t>
            </w:r>
          </w:p>
        </w:tc>
        <w:tc>
          <w:tcPr>
            <w:tcW w:w="5448" w:type="dxa"/>
            <w:tcBorders>
              <w:top w:val="single" w:color="auto" w:sz="4" w:space="0"/>
              <w:left w:val="single" w:color="auto" w:sz="4" w:space="0"/>
              <w:bottom w:val="single" w:color="auto" w:sz="4" w:space="0"/>
              <w:right w:val="single" w:color="auto" w:sz="4" w:space="0"/>
            </w:tcBorders>
            <w:noWrap/>
            <w:vAlign w:val="center"/>
          </w:tcPr>
          <w:p w14:paraId="2F17EBEB">
            <w:pPr>
              <w:pStyle w:val="46"/>
              <w:keepNext w:val="0"/>
              <w:keepLines w:val="0"/>
              <w:pageBreakBefore w:val="0"/>
              <w:kinsoku/>
              <w:wordWrap/>
              <w:overflowPunct/>
              <w:topLinePunct w:val="0"/>
              <w:bidi w:val="0"/>
              <w:spacing w:line="360" w:lineRule="exact"/>
              <w:rPr>
                <w:rFonts w:hint="eastAsia" w:ascii="宋体" w:hAnsi="宋体" w:eastAsia="宋体" w:cs="宋体"/>
                <w:b w:val="0"/>
                <w:bCs/>
                <w:color w:val="auto"/>
                <w:sz w:val="21"/>
                <w:szCs w:val="21"/>
                <w:highlight w:val="none"/>
                <w:lang w:val="en-US" w:eastAsia="zh-CN" w:bidi="ar-SA"/>
              </w:rPr>
            </w:pPr>
            <w:r>
              <w:rPr>
                <w:rFonts w:hint="eastAsia" w:ascii="宋体" w:hAnsi="宋体" w:eastAsia="宋体" w:cs="宋体"/>
                <w:b w:val="0"/>
                <w:bCs/>
                <w:color w:val="auto"/>
                <w:sz w:val="21"/>
                <w:szCs w:val="21"/>
                <w:highlight w:val="none"/>
              </w:rPr>
              <w:t>只能有一个方案投标</w:t>
            </w:r>
          </w:p>
        </w:tc>
        <w:tc>
          <w:tcPr>
            <w:tcW w:w="621" w:type="dxa"/>
            <w:tcBorders>
              <w:top w:val="single" w:color="auto" w:sz="4" w:space="0"/>
              <w:left w:val="single" w:color="auto" w:sz="4" w:space="0"/>
              <w:bottom w:val="single" w:color="auto" w:sz="4" w:space="0"/>
              <w:right w:val="single" w:color="auto" w:sz="4" w:space="0"/>
            </w:tcBorders>
            <w:noWrap/>
            <w:vAlign w:val="center"/>
          </w:tcPr>
          <w:p w14:paraId="7008E570">
            <w:pPr>
              <w:keepNext w:val="0"/>
              <w:keepLines w:val="0"/>
              <w:pageBreakBefore w:val="0"/>
              <w:widowControl/>
              <w:kinsoku/>
              <w:wordWrap/>
              <w:overflowPunct/>
              <w:topLinePunct w:val="0"/>
              <w:bidi w:val="0"/>
              <w:snapToGrid w:val="0"/>
              <w:spacing w:line="360" w:lineRule="exact"/>
              <w:jc w:val="left"/>
              <w:rPr>
                <w:rFonts w:hint="eastAsia" w:ascii="宋体" w:hAnsi="宋体" w:eastAsia="宋体" w:cs="宋体"/>
                <w:color w:val="auto"/>
                <w:kern w:val="0"/>
                <w:highlight w:val="none"/>
              </w:rPr>
            </w:pPr>
          </w:p>
        </w:tc>
        <w:tc>
          <w:tcPr>
            <w:tcW w:w="629" w:type="dxa"/>
            <w:tcBorders>
              <w:top w:val="single" w:color="auto" w:sz="4" w:space="0"/>
              <w:left w:val="single" w:color="auto" w:sz="4" w:space="0"/>
              <w:bottom w:val="single" w:color="auto" w:sz="4" w:space="0"/>
              <w:right w:val="single" w:color="auto" w:sz="4" w:space="0"/>
            </w:tcBorders>
            <w:noWrap/>
            <w:vAlign w:val="center"/>
          </w:tcPr>
          <w:p w14:paraId="7A435A7E">
            <w:pPr>
              <w:keepNext w:val="0"/>
              <w:keepLines w:val="0"/>
              <w:pageBreakBefore w:val="0"/>
              <w:widowControl/>
              <w:kinsoku/>
              <w:wordWrap/>
              <w:overflowPunct/>
              <w:topLinePunct w:val="0"/>
              <w:bidi w:val="0"/>
              <w:snapToGrid w:val="0"/>
              <w:spacing w:line="360" w:lineRule="exact"/>
              <w:jc w:val="left"/>
              <w:rPr>
                <w:rFonts w:hint="eastAsia" w:ascii="宋体" w:hAnsi="宋体" w:eastAsia="宋体" w:cs="宋体"/>
                <w:color w:val="auto"/>
                <w:kern w:val="0"/>
                <w:highlight w:val="none"/>
              </w:rPr>
            </w:pPr>
          </w:p>
        </w:tc>
      </w:tr>
      <w:tr w14:paraId="37BF60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75" w:type="dxa"/>
            <w:left w:w="75" w:type="dxa"/>
            <w:bottom w:w="75" w:type="dxa"/>
            <w:right w:w="75" w:type="dxa"/>
          </w:tblCellMar>
        </w:tblPrEx>
        <w:trPr>
          <w:trHeight w:val="356" w:hRule="atLeast"/>
        </w:trPr>
        <w:tc>
          <w:tcPr>
            <w:tcW w:w="600" w:type="dxa"/>
            <w:vMerge w:val="continue"/>
            <w:tcBorders>
              <w:top w:val="single" w:color="auto" w:sz="4" w:space="0"/>
              <w:left w:val="single" w:color="auto" w:sz="4" w:space="0"/>
              <w:bottom w:val="single" w:color="auto" w:sz="4" w:space="0"/>
              <w:right w:val="single" w:color="auto" w:sz="4" w:space="0"/>
            </w:tcBorders>
            <w:vAlign w:val="center"/>
          </w:tcPr>
          <w:p w14:paraId="32BAB824">
            <w:pPr>
              <w:keepNext w:val="0"/>
              <w:keepLines w:val="0"/>
              <w:pageBreakBefore w:val="0"/>
              <w:widowControl/>
              <w:suppressAutoHyphens w:val="0"/>
              <w:kinsoku/>
              <w:wordWrap/>
              <w:overflowPunct/>
              <w:topLinePunct w:val="0"/>
              <w:bidi w:val="0"/>
              <w:spacing w:line="360" w:lineRule="exact"/>
              <w:jc w:val="left"/>
              <w:rPr>
                <w:rFonts w:hint="eastAsia" w:ascii="宋体" w:hAnsi="宋体" w:eastAsia="宋体" w:cs="宋体"/>
                <w:color w:val="auto"/>
                <w:kern w:val="0"/>
                <w:highlight w:val="none"/>
              </w:rPr>
            </w:pPr>
          </w:p>
        </w:tc>
        <w:tc>
          <w:tcPr>
            <w:tcW w:w="1100" w:type="dxa"/>
            <w:vMerge w:val="continue"/>
            <w:tcBorders>
              <w:top w:val="single" w:color="auto" w:sz="4" w:space="0"/>
              <w:left w:val="single" w:color="auto" w:sz="4" w:space="0"/>
              <w:bottom w:val="single" w:color="auto" w:sz="4" w:space="0"/>
              <w:right w:val="single" w:color="auto" w:sz="4" w:space="0"/>
            </w:tcBorders>
            <w:vAlign w:val="center"/>
          </w:tcPr>
          <w:p w14:paraId="57AE026E">
            <w:pPr>
              <w:keepNext w:val="0"/>
              <w:keepLines w:val="0"/>
              <w:pageBreakBefore w:val="0"/>
              <w:widowControl/>
              <w:suppressAutoHyphens w:val="0"/>
              <w:kinsoku/>
              <w:wordWrap/>
              <w:overflowPunct/>
              <w:topLinePunct w:val="0"/>
              <w:bidi w:val="0"/>
              <w:spacing w:line="360" w:lineRule="exact"/>
              <w:jc w:val="left"/>
              <w:rPr>
                <w:rFonts w:hint="eastAsia" w:ascii="宋体" w:hAnsi="宋体" w:eastAsia="宋体" w:cs="宋体"/>
                <w:color w:val="auto"/>
                <w:kern w:val="0"/>
                <w:highlight w:val="none"/>
              </w:rPr>
            </w:pPr>
          </w:p>
        </w:tc>
        <w:tc>
          <w:tcPr>
            <w:tcW w:w="1300" w:type="dxa"/>
            <w:tcBorders>
              <w:top w:val="single" w:color="auto" w:sz="4" w:space="0"/>
              <w:left w:val="single" w:color="auto" w:sz="4" w:space="0"/>
              <w:bottom w:val="single" w:color="auto" w:sz="4" w:space="0"/>
              <w:right w:val="single" w:color="auto" w:sz="4" w:space="0"/>
            </w:tcBorders>
            <w:noWrap/>
            <w:vAlign w:val="center"/>
          </w:tcPr>
          <w:p w14:paraId="6BFD6310">
            <w:pPr>
              <w:pStyle w:val="46"/>
              <w:keepNext w:val="0"/>
              <w:keepLines w:val="0"/>
              <w:pageBreakBefore w:val="0"/>
              <w:kinsoku/>
              <w:wordWrap/>
              <w:overflowPunct/>
              <w:topLinePunct w:val="0"/>
              <w:bidi w:val="0"/>
              <w:spacing w:line="360" w:lineRule="exact"/>
              <w:jc w:val="center"/>
              <w:rPr>
                <w:rFonts w:hint="default" w:ascii="宋体" w:hAnsi="宋体" w:eastAsia="宋体" w:cs="宋体"/>
                <w:b w:val="0"/>
                <w:bCs/>
                <w:color w:val="auto"/>
                <w:sz w:val="21"/>
                <w:szCs w:val="21"/>
                <w:highlight w:val="none"/>
                <w:lang w:val="en-US" w:eastAsia="zh-CN" w:bidi="ar-SA"/>
              </w:rPr>
            </w:pPr>
            <w:r>
              <w:rPr>
                <w:rFonts w:hint="eastAsia" w:ascii="宋体" w:hAnsi="宋体" w:eastAsia="宋体" w:cs="宋体"/>
                <w:b w:val="0"/>
                <w:bCs/>
                <w:color w:val="auto"/>
                <w:sz w:val="21"/>
                <w:szCs w:val="21"/>
                <w:highlight w:val="none"/>
              </w:rPr>
              <w:t>服务期</w:t>
            </w:r>
          </w:p>
        </w:tc>
        <w:tc>
          <w:tcPr>
            <w:tcW w:w="5448" w:type="dxa"/>
            <w:tcBorders>
              <w:top w:val="single" w:color="auto" w:sz="4" w:space="0"/>
              <w:left w:val="single" w:color="auto" w:sz="4" w:space="0"/>
              <w:bottom w:val="single" w:color="auto" w:sz="4" w:space="0"/>
              <w:right w:val="single" w:color="auto" w:sz="4" w:space="0"/>
            </w:tcBorders>
            <w:noWrap/>
            <w:vAlign w:val="center"/>
          </w:tcPr>
          <w:p w14:paraId="12F255B0">
            <w:pPr>
              <w:pStyle w:val="46"/>
              <w:keepNext w:val="0"/>
              <w:keepLines w:val="0"/>
              <w:pageBreakBefore w:val="0"/>
              <w:kinsoku/>
              <w:wordWrap/>
              <w:overflowPunct/>
              <w:topLinePunct w:val="0"/>
              <w:bidi w:val="0"/>
              <w:spacing w:line="360" w:lineRule="exact"/>
              <w:rPr>
                <w:rFonts w:hint="eastAsia" w:ascii="宋体" w:hAnsi="宋体" w:eastAsia="宋体" w:cs="宋体"/>
                <w:b w:val="0"/>
                <w:bCs/>
                <w:color w:val="auto"/>
                <w:sz w:val="21"/>
                <w:szCs w:val="21"/>
                <w:highlight w:val="none"/>
                <w:lang w:val="en-US" w:eastAsia="zh-CN" w:bidi="ar-SA"/>
              </w:rPr>
            </w:pPr>
            <w:r>
              <w:rPr>
                <w:rFonts w:hint="eastAsia" w:ascii="宋体" w:hAnsi="宋体" w:eastAsia="宋体" w:cs="宋体"/>
                <w:b w:val="0"/>
                <w:bCs/>
                <w:color w:val="auto"/>
                <w:sz w:val="21"/>
                <w:szCs w:val="21"/>
                <w:highlight w:val="none"/>
              </w:rPr>
              <w:t>服务期满足磋商文件要求</w:t>
            </w:r>
          </w:p>
        </w:tc>
        <w:tc>
          <w:tcPr>
            <w:tcW w:w="621" w:type="dxa"/>
            <w:tcBorders>
              <w:top w:val="single" w:color="auto" w:sz="4" w:space="0"/>
              <w:left w:val="single" w:color="auto" w:sz="4" w:space="0"/>
              <w:bottom w:val="single" w:color="auto" w:sz="4" w:space="0"/>
              <w:right w:val="single" w:color="auto" w:sz="4" w:space="0"/>
            </w:tcBorders>
            <w:noWrap/>
            <w:vAlign w:val="center"/>
          </w:tcPr>
          <w:p w14:paraId="65DD5329">
            <w:pPr>
              <w:keepNext w:val="0"/>
              <w:keepLines w:val="0"/>
              <w:pageBreakBefore w:val="0"/>
              <w:widowControl/>
              <w:kinsoku/>
              <w:wordWrap/>
              <w:overflowPunct/>
              <w:topLinePunct w:val="0"/>
              <w:bidi w:val="0"/>
              <w:snapToGrid w:val="0"/>
              <w:spacing w:line="360" w:lineRule="exact"/>
              <w:jc w:val="left"/>
              <w:rPr>
                <w:rFonts w:hint="eastAsia" w:ascii="宋体" w:hAnsi="宋体" w:eastAsia="宋体" w:cs="宋体"/>
                <w:color w:val="auto"/>
                <w:kern w:val="0"/>
                <w:highlight w:val="none"/>
              </w:rPr>
            </w:pPr>
          </w:p>
        </w:tc>
        <w:tc>
          <w:tcPr>
            <w:tcW w:w="629" w:type="dxa"/>
            <w:tcBorders>
              <w:top w:val="single" w:color="auto" w:sz="4" w:space="0"/>
              <w:left w:val="single" w:color="auto" w:sz="4" w:space="0"/>
              <w:bottom w:val="single" w:color="auto" w:sz="4" w:space="0"/>
              <w:right w:val="single" w:color="auto" w:sz="4" w:space="0"/>
            </w:tcBorders>
            <w:noWrap/>
            <w:vAlign w:val="center"/>
          </w:tcPr>
          <w:p w14:paraId="4782339D">
            <w:pPr>
              <w:keepNext w:val="0"/>
              <w:keepLines w:val="0"/>
              <w:pageBreakBefore w:val="0"/>
              <w:widowControl/>
              <w:kinsoku/>
              <w:wordWrap/>
              <w:overflowPunct/>
              <w:topLinePunct w:val="0"/>
              <w:bidi w:val="0"/>
              <w:snapToGrid w:val="0"/>
              <w:spacing w:line="360" w:lineRule="exact"/>
              <w:jc w:val="left"/>
              <w:rPr>
                <w:rFonts w:hint="eastAsia" w:ascii="宋体" w:hAnsi="宋体" w:eastAsia="宋体" w:cs="宋体"/>
                <w:color w:val="auto"/>
                <w:kern w:val="0"/>
                <w:highlight w:val="none"/>
              </w:rPr>
            </w:pPr>
          </w:p>
        </w:tc>
      </w:tr>
      <w:tr w14:paraId="2E4204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75" w:type="dxa"/>
            <w:left w:w="75" w:type="dxa"/>
            <w:bottom w:w="75" w:type="dxa"/>
            <w:right w:w="75" w:type="dxa"/>
          </w:tblCellMar>
        </w:tblPrEx>
        <w:trPr>
          <w:trHeight w:val="356" w:hRule="atLeast"/>
        </w:trPr>
        <w:tc>
          <w:tcPr>
            <w:tcW w:w="600" w:type="dxa"/>
            <w:vMerge w:val="continue"/>
            <w:tcBorders>
              <w:top w:val="single" w:color="auto" w:sz="4" w:space="0"/>
              <w:left w:val="single" w:color="auto" w:sz="4" w:space="0"/>
              <w:bottom w:val="single" w:color="auto" w:sz="4" w:space="0"/>
              <w:right w:val="single" w:color="auto" w:sz="4" w:space="0"/>
            </w:tcBorders>
            <w:vAlign w:val="center"/>
          </w:tcPr>
          <w:p w14:paraId="2C6EA385">
            <w:pPr>
              <w:keepNext w:val="0"/>
              <w:keepLines w:val="0"/>
              <w:pageBreakBefore w:val="0"/>
              <w:widowControl/>
              <w:suppressAutoHyphens w:val="0"/>
              <w:kinsoku/>
              <w:wordWrap/>
              <w:overflowPunct/>
              <w:topLinePunct w:val="0"/>
              <w:bidi w:val="0"/>
              <w:spacing w:line="360" w:lineRule="exact"/>
              <w:jc w:val="left"/>
              <w:rPr>
                <w:rFonts w:hint="eastAsia" w:ascii="宋体" w:hAnsi="宋体" w:eastAsia="宋体" w:cs="宋体"/>
                <w:color w:val="auto"/>
                <w:highlight w:val="none"/>
              </w:rPr>
            </w:pPr>
          </w:p>
          <w:p w14:paraId="43594EBD">
            <w:pPr>
              <w:pStyle w:val="10"/>
              <w:keepNext w:val="0"/>
              <w:keepLines w:val="0"/>
              <w:pageBreakBefore w:val="0"/>
              <w:kinsoku/>
              <w:wordWrap/>
              <w:overflowPunct/>
              <w:topLinePunct w:val="0"/>
              <w:bidi w:val="0"/>
              <w:spacing w:line="360" w:lineRule="exact"/>
              <w:rPr>
                <w:rFonts w:hint="eastAsia" w:ascii="宋体" w:hAnsi="宋体" w:eastAsia="宋体" w:cs="宋体"/>
                <w:color w:val="auto"/>
                <w:highlight w:val="none"/>
              </w:rPr>
            </w:pPr>
          </w:p>
        </w:tc>
        <w:tc>
          <w:tcPr>
            <w:tcW w:w="1100" w:type="dxa"/>
            <w:vMerge w:val="continue"/>
            <w:tcBorders>
              <w:top w:val="single" w:color="auto" w:sz="4" w:space="0"/>
              <w:left w:val="single" w:color="auto" w:sz="4" w:space="0"/>
              <w:bottom w:val="single" w:color="auto" w:sz="4" w:space="0"/>
              <w:right w:val="single" w:color="auto" w:sz="4" w:space="0"/>
            </w:tcBorders>
            <w:vAlign w:val="center"/>
          </w:tcPr>
          <w:p w14:paraId="7EE73EA1">
            <w:pPr>
              <w:keepNext w:val="0"/>
              <w:keepLines w:val="0"/>
              <w:pageBreakBefore w:val="0"/>
              <w:widowControl/>
              <w:suppressAutoHyphens w:val="0"/>
              <w:kinsoku/>
              <w:wordWrap/>
              <w:overflowPunct/>
              <w:topLinePunct w:val="0"/>
              <w:bidi w:val="0"/>
              <w:spacing w:line="360" w:lineRule="exact"/>
              <w:jc w:val="left"/>
              <w:rPr>
                <w:rFonts w:hint="eastAsia" w:ascii="宋体" w:hAnsi="宋体" w:eastAsia="宋体" w:cs="宋体"/>
                <w:color w:val="auto"/>
                <w:kern w:val="0"/>
                <w:highlight w:val="none"/>
              </w:rPr>
            </w:pPr>
          </w:p>
        </w:tc>
        <w:tc>
          <w:tcPr>
            <w:tcW w:w="1300" w:type="dxa"/>
            <w:tcBorders>
              <w:top w:val="single" w:color="auto" w:sz="4" w:space="0"/>
              <w:left w:val="single" w:color="auto" w:sz="4" w:space="0"/>
              <w:bottom w:val="single" w:color="auto" w:sz="4" w:space="0"/>
              <w:right w:val="single" w:color="auto" w:sz="4" w:space="0"/>
            </w:tcBorders>
            <w:noWrap/>
            <w:vAlign w:val="center"/>
          </w:tcPr>
          <w:p w14:paraId="5C571FFB">
            <w:pPr>
              <w:pStyle w:val="46"/>
              <w:keepNext w:val="0"/>
              <w:keepLines w:val="0"/>
              <w:pageBreakBefore w:val="0"/>
              <w:kinsoku/>
              <w:wordWrap/>
              <w:overflowPunct/>
              <w:topLinePunct w:val="0"/>
              <w:bidi w:val="0"/>
              <w:spacing w:line="360" w:lineRule="exact"/>
              <w:jc w:val="center"/>
              <w:rPr>
                <w:rFonts w:hint="eastAsia" w:ascii="宋体" w:hAnsi="宋体" w:eastAsia="宋体" w:cs="宋体"/>
                <w:b w:val="0"/>
                <w:bCs/>
                <w:color w:val="auto"/>
                <w:sz w:val="21"/>
                <w:szCs w:val="21"/>
                <w:highlight w:val="none"/>
                <w:lang w:val="en-US" w:eastAsia="zh-CN" w:bidi="ar-SA"/>
              </w:rPr>
            </w:pPr>
            <w:r>
              <w:rPr>
                <w:rFonts w:hint="eastAsia" w:ascii="宋体" w:hAnsi="宋体" w:eastAsia="宋体" w:cs="宋体"/>
                <w:b w:val="0"/>
                <w:bCs/>
                <w:color w:val="auto"/>
                <w:sz w:val="21"/>
                <w:szCs w:val="21"/>
                <w:highlight w:val="none"/>
              </w:rPr>
              <w:t>付款方式</w:t>
            </w:r>
          </w:p>
        </w:tc>
        <w:tc>
          <w:tcPr>
            <w:tcW w:w="5448" w:type="dxa"/>
            <w:tcBorders>
              <w:top w:val="single" w:color="auto" w:sz="4" w:space="0"/>
              <w:left w:val="single" w:color="auto" w:sz="4" w:space="0"/>
              <w:bottom w:val="single" w:color="auto" w:sz="4" w:space="0"/>
              <w:right w:val="single" w:color="auto" w:sz="4" w:space="0"/>
            </w:tcBorders>
            <w:noWrap/>
            <w:vAlign w:val="center"/>
          </w:tcPr>
          <w:p w14:paraId="41E617A9">
            <w:pPr>
              <w:pStyle w:val="46"/>
              <w:keepNext w:val="0"/>
              <w:keepLines w:val="0"/>
              <w:pageBreakBefore w:val="0"/>
              <w:kinsoku/>
              <w:wordWrap/>
              <w:overflowPunct/>
              <w:topLinePunct w:val="0"/>
              <w:bidi w:val="0"/>
              <w:spacing w:line="360" w:lineRule="exact"/>
              <w:rPr>
                <w:rFonts w:hint="eastAsia" w:ascii="宋体" w:hAnsi="宋体" w:eastAsia="宋体" w:cs="宋体"/>
                <w:b w:val="0"/>
                <w:bCs/>
                <w:color w:val="auto"/>
                <w:sz w:val="21"/>
                <w:szCs w:val="21"/>
                <w:highlight w:val="none"/>
                <w:lang w:val="en-US" w:eastAsia="zh-CN" w:bidi="ar-SA"/>
              </w:rPr>
            </w:pPr>
            <w:r>
              <w:rPr>
                <w:rFonts w:hint="eastAsia" w:ascii="宋体" w:hAnsi="宋体" w:eastAsia="宋体" w:cs="宋体"/>
                <w:b w:val="0"/>
                <w:bCs/>
                <w:color w:val="auto"/>
                <w:sz w:val="21"/>
                <w:szCs w:val="21"/>
                <w:highlight w:val="none"/>
              </w:rPr>
              <w:t>响应文件承诺的的付款方式满足磋商文件要求</w:t>
            </w:r>
          </w:p>
        </w:tc>
        <w:tc>
          <w:tcPr>
            <w:tcW w:w="621" w:type="dxa"/>
            <w:tcBorders>
              <w:top w:val="single" w:color="auto" w:sz="4" w:space="0"/>
              <w:left w:val="single" w:color="auto" w:sz="4" w:space="0"/>
              <w:bottom w:val="single" w:color="auto" w:sz="4" w:space="0"/>
              <w:right w:val="single" w:color="auto" w:sz="4" w:space="0"/>
            </w:tcBorders>
            <w:noWrap/>
            <w:vAlign w:val="center"/>
          </w:tcPr>
          <w:p w14:paraId="2286DA09">
            <w:pPr>
              <w:keepNext w:val="0"/>
              <w:keepLines w:val="0"/>
              <w:pageBreakBefore w:val="0"/>
              <w:widowControl/>
              <w:kinsoku/>
              <w:wordWrap/>
              <w:overflowPunct/>
              <w:topLinePunct w:val="0"/>
              <w:bidi w:val="0"/>
              <w:snapToGrid w:val="0"/>
              <w:spacing w:line="360" w:lineRule="exact"/>
              <w:jc w:val="left"/>
              <w:rPr>
                <w:rFonts w:hint="eastAsia" w:ascii="宋体" w:hAnsi="宋体" w:eastAsia="宋体" w:cs="宋体"/>
                <w:color w:val="auto"/>
                <w:kern w:val="0"/>
                <w:highlight w:val="none"/>
              </w:rPr>
            </w:pPr>
          </w:p>
        </w:tc>
        <w:tc>
          <w:tcPr>
            <w:tcW w:w="629" w:type="dxa"/>
            <w:tcBorders>
              <w:top w:val="single" w:color="auto" w:sz="4" w:space="0"/>
              <w:left w:val="single" w:color="auto" w:sz="4" w:space="0"/>
              <w:bottom w:val="single" w:color="auto" w:sz="4" w:space="0"/>
              <w:right w:val="single" w:color="auto" w:sz="4" w:space="0"/>
            </w:tcBorders>
            <w:noWrap/>
            <w:vAlign w:val="center"/>
          </w:tcPr>
          <w:p w14:paraId="79DC3C02">
            <w:pPr>
              <w:keepNext w:val="0"/>
              <w:keepLines w:val="0"/>
              <w:pageBreakBefore w:val="0"/>
              <w:widowControl/>
              <w:kinsoku/>
              <w:wordWrap/>
              <w:overflowPunct/>
              <w:topLinePunct w:val="0"/>
              <w:bidi w:val="0"/>
              <w:snapToGrid w:val="0"/>
              <w:spacing w:line="360" w:lineRule="exact"/>
              <w:jc w:val="left"/>
              <w:rPr>
                <w:rFonts w:hint="eastAsia" w:ascii="宋体" w:hAnsi="宋体" w:eastAsia="宋体" w:cs="宋体"/>
                <w:color w:val="auto"/>
                <w:kern w:val="0"/>
                <w:highlight w:val="none"/>
              </w:rPr>
            </w:pPr>
          </w:p>
        </w:tc>
      </w:tr>
      <w:tr w14:paraId="15628B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75" w:type="dxa"/>
            <w:left w:w="75" w:type="dxa"/>
            <w:bottom w:w="75" w:type="dxa"/>
            <w:right w:w="75" w:type="dxa"/>
          </w:tblCellMar>
        </w:tblPrEx>
        <w:trPr>
          <w:trHeight w:val="356" w:hRule="atLeast"/>
        </w:trPr>
        <w:tc>
          <w:tcPr>
            <w:tcW w:w="600" w:type="dxa"/>
            <w:vMerge w:val="continue"/>
            <w:tcBorders>
              <w:top w:val="single" w:color="auto" w:sz="4" w:space="0"/>
              <w:left w:val="single" w:color="auto" w:sz="4" w:space="0"/>
              <w:bottom w:val="single" w:color="auto" w:sz="4" w:space="0"/>
              <w:right w:val="single" w:color="auto" w:sz="4" w:space="0"/>
            </w:tcBorders>
            <w:vAlign w:val="center"/>
          </w:tcPr>
          <w:p w14:paraId="51FFE73C">
            <w:pPr>
              <w:keepNext w:val="0"/>
              <w:keepLines w:val="0"/>
              <w:pageBreakBefore w:val="0"/>
              <w:widowControl/>
              <w:suppressAutoHyphens w:val="0"/>
              <w:kinsoku/>
              <w:wordWrap/>
              <w:overflowPunct/>
              <w:topLinePunct w:val="0"/>
              <w:bidi w:val="0"/>
              <w:spacing w:line="360" w:lineRule="exact"/>
              <w:jc w:val="left"/>
              <w:rPr>
                <w:rFonts w:hint="eastAsia" w:ascii="宋体" w:hAnsi="宋体" w:eastAsia="宋体" w:cs="宋体"/>
                <w:color w:val="auto"/>
                <w:highlight w:val="none"/>
              </w:rPr>
            </w:pPr>
          </w:p>
          <w:p w14:paraId="2F780C29">
            <w:pPr>
              <w:pStyle w:val="10"/>
              <w:keepNext w:val="0"/>
              <w:keepLines w:val="0"/>
              <w:pageBreakBefore w:val="0"/>
              <w:kinsoku/>
              <w:wordWrap/>
              <w:overflowPunct/>
              <w:topLinePunct w:val="0"/>
              <w:bidi w:val="0"/>
              <w:spacing w:line="360" w:lineRule="exact"/>
              <w:rPr>
                <w:rFonts w:hint="eastAsia" w:ascii="宋体" w:hAnsi="宋体" w:eastAsia="宋体" w:cs="宋体"/>
                <w:color w:val="auto"/>
                <w:highlight w:val="none"/>
              </w:rPr>
            </w:pPr>
          </w:p>
        </w:tc>
        <w:tc>
          <w:tcPr>
            <w:tcW w:w="1100" w:type="dxa"/>
            <w:vMerge w:val="continue"/>
            <w:tcBorders>
              <w:top w:val="single" w:color="auto" w:sz="4" w:space="0"/>
              <w:left w:val="single" w:color="auto" w:sz="4" w:space="0"/>
              <w:bottom w:val="single" w:color="auto" w:sz="4" w:space="0"/>
              <w:right w:val="single" w:color="auto" w:sz="4" w:space="0"/>
            </w:tcBorders>
            <w:vAlign w:val="center"/>
          </w:tcPr>
          <w:p w14:paraId="1AE9D016">
            <w:pPr>
              <w:keepNext w:val="0"/>
              <w:keepLines w:val="0"/>
              <w:pageBreakBefore w:val="0"/>
              <w:widowControl/>
              <w:suppressAutoHyphens w:val="0"/>
              <w:kinsoku/>
              <w:wordWrap/>
              <w:overflowPunct/>
              <w:topLinePunct w:val="0"/>
              <w:bidi w:val="0"/>
              <w:spacing w:line="360" w:lineRule="exact"/>
              <w:jc w:val="left"/>
              <w:rPr>
                <w:rFonts w:hint="eastAsia" w:ascii="宋体" w:hAnsi="宋体" w:eastAsia="宋体" w:cs="宋体"/>
                <w:color w:val="auto"/>
                <w:kern w:val="0"/>
                <w:highlight w:val="none"/>
              </w:rPr>
            </w:pPr>
          </w:p>
        </w:tc>
        <w:tc>
          <w:tcPr>
            <w:tcW w:w="1300" w:type="dxa"/>
            <w:tcBorders>
              <w:top w:val="single" w:color="auto" w:sz="4" w:space="0"/>
              <w:left w:val="single" w:color="auto" w:sz="4" w:space="0"/>
              <w:bottom w:val="single" w:color="auto" w:sz="4" w:space="0"/>
              <w:right w:val="single" w:color="auto" w:sz="4" w:space="0"/>
            </w:tcBorders>
            <w:noWrap/>
            <w:vAlign w:val="center"/>
          </w:tcPr>
          <w:p w14:paraId="6B87445F">
            <w:pPr>
              <w:pStyle w:val="46"/>
              <w:keepNext w:val="0"/>
              <w:keepLines w:val="0"/>
              <w:pageBreakBefore w:val="0"/>
              <w:kinsoku/>
              <w:wordWrap/>
              <w:overflowPunct/>
              <w:topLinePunct w:val="0"/>
              <w:bidi w:val="0"/>
              <w:spacing w:line="360" w:lineRule="exact"/>
              <w:jc w:val="center"/>
              <w:rPr>
                <w:rFonts w:hint="eastAsia" w:ascii="宋体" w:hAnsi="宋体" w:eastAsia="宋体" w:cs="宋体"/>
                <w:b w:val="0"/>
                <w:bCs/>
                <w:color w:val="auto"/>
                <w:sz w:val="21"/>
                <w:szCs w:val="21"/>
                <w:highlight w:val="none"/>
                <w:lang w:val="en-US" w:eastAsia="zh-CN" w:bidi="ar-SA"/>
              </w:rPr>
            </w:pPr>
            <w:r>
              <w:rPr>
                <w:rFonts w:hint="eastAsia" w:ascii="宋体" w:hAnsi="宋体" w:eastAsia="宋体" w:cs="宋体"/>
                <w:b w:val="0"/>
                <w:bCs/>
                <w:color w:val="auto"/>
                <w:sz w:val="21"/>
                <w:szCs w:val="21"/>
                <w:highlight w:val="none"/>
              </w:rPr>
              <w:t>报价唯一</w:t>
            </w:r>
          </w:p>
        </w:tc>
        <w:tc>
          <w:tcPr>
            <w:tcW w:w="5448" w:type="dxa"/>
            <w:tcBorders>
              <w:top w:val="single" w:color="auto" w:sz="4" w:space="0"/>
              <w:left w:val="single" w:color="auto" w:sz="4" w:space="0"/>
              <w:bottom w:val="single" w:color="auto" w:sz="4" w:space="0"/>
              <w:right w:val="single" w:color="auto" w:sz="4" w:space="0"/>
            </w:tcBorders>
            <w:noWrap/>
            <w:vAlign w:val="center"/>
          </w:tcPr>
          <w:p w14:paraId="3FBEC6CC">
            <w:pPr>
              <w:pStyle w:val="46"/>
              <w:keepNext w:val="0"/>
              <w:keepLines w:val="0"/>
              <w:pageBreakBefore w:val="0"/>
              <w:kinsoku/>
              <w:wordWrap/>
              <w:overflowPunct/>
              <w:topLinePunct w:val="0"/>
              <w:bidi w:val="0"/>
              <w:spacing w:line="360" w:lineRule="exact"/>
              <w:rPr>
                <w:rFonts w:hint="eastAsia" w:ascii="宋体" w:hAnsi="宋体" w:eastAsia="宋体" w:cs="宋体"/>
                <w:b w:val="0"/>
                <w:bCs/>
                <w:color w:val="auto"/>
                <w:sz w:val="21"/>
                <w:szCs w:val="21"/>
                <w:highlight w:val="none"/>
                <w:lang w:val="en-US" w:eastAsia="zh-CN" w:bidi="ar-SA"/>
              </w:rPr>
            </w:pPr>
            <w:r>
              <w:rPr>
                <w:rFonts w:hint="eastAsia" w:ascii="宋体" w:hAnsi="宋体" w:eastAsia="宋体" w:cs="宋体"/>
                <w:b w:val="0"/>
                <w:bCs/>
                <w:color w:val="auto"/>
                <w:sz w:val="21"/>
                <w:szCs w:val="21"/>
                <w:highlight w:val="none"/>
              </w:rPr>
              <w:t>其报价未超过采购预算金额，且只有一个有效报价，不得提交选择性报价</w:t>
            </w:r>
          </w:p>
        </w:tc>
        <w:tc>
          <w:tcPr>
            <w:tcW w:w="621" w:type="dxa"/>
            <w:tcBorders>
              <w:top w:val="single" w:color="auto" w:sz="4" w:space="0"/>
              <w:left w:val="single" w:color="auto" w:sz="4" w:space="0"/>
              <w:bottom w:val="single" w:color="auto" w:sz="4" w:space="0"/>
              <w:right w:val="single" w:color="auto" w:sz="4" w:space="0"/>
            </w:tcBorders>
            <w:noWrap/>
            <w:vAlign w:val="center"/>
          </w:tcPr>
          <w:p w14:paraId="15DDB337">
            <w:pPr>
              <w:keepNext w:val="0"/>
              <w:keepLines w:val="0"/>
              <w:pageBreakBefore w:val="0"/>
              <w:widowControl/>
              <w:kinsoku/>
              <w:wordWrap/>
              <w:overflowPunct/>
              <w:topLinePunct w:val="0"/>
              <w:bidi w:val="0"/>
              <w:snapToGrid w:val="0"/>
              <w:spacing w:line="360" w:lineRule="exact"/>
              <w:jc w:val="left"/>
              <w:rPr>
                <w:rFonts w:hint="eastAsia" w:ascii="宋体" w:hAnsi="宋体" w:eastAsia="宋体" w:cs="宋体"/>
                <w:color w:val="auto"/>
                <w:kern w:val="0"/>
                <w:highlight w:val="none"/>
              </w:rPr>
            </w:pPr>
          </w:p>
        </w:tc>
        <w:tc>
          <w:tcPr>
            <w:tcW w:w="629" w:type="dxa"/>
            <w:tcBorders>
              <w:top w:val="single" w:color="auto" w:sz="4" w:space="0"/>
              <w:left w:val="single" w:color="auto" w:sz="4" w:space="0"/>
              <w:bottom w:val="single" w:color="auto" w:sz="4" w:space="0"/>
              <w:right w:val="single" w:color="auto" w:sz="4" w:space="0"/>
            </w:tcBorders>
            <w:noWrap/>
            <w:vAlign w:val="center"/>
          </w:tcPr>
          <w:p w14:paraId="0FF99E37">
            <w:pPr>
              <w:keepNext w:val="0"/>
              <w:keepLines w:val="0"/>
              <w:pageBreakBefore w:val="0"/>
              <w:widowControl/>
              <w:kinsoku/>
              <w:wordWrap/>
              <w:overflowPunct/>
              <w:topLinePunct w:val="0"/>
              <w:bidi w:val="0"/>
              <w:snapToGrid w:val="0"/>
              <w:spacing w:line="360" w:lineRule="exact"/>
              <w:jc w:val="left"/>
              <w:rPr>
                <w:rFonts w:hint="eastAsia" w:ascii="宋体" w:hAnsi="宋体" w:eastAsia="宋体" w:cs="宋体"/>
                <w:color w:val="auto"/>
                <w:kern w:val="0"/>
                <w:highlight w:val="none"/>
              </w:rPr>
            </w:pPr>
          </w:p>
        </w:tc>
      </w:tr>
      <w:tr w14:paraId="6F2E1D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75" w:type="dxa"/>
            <w:left w:w="75" w:type="dxa"/>
            <w:bottom w:w="75" w:type="dxa"/>
            <w:right w:w="75" w:type="dxa"/>
          </w:tblCellMar>
        </w:tblPrEx>
        <w:trPr>
          <w:trHeight w:val="603" w:hRule="atLeast"/>
        </w:trPr>
        <w:tc>
          <w:tcPr>
            <w:tcW w:w="600" w:type="dxa"/>
            <w:vMerge w:val="continue"/>
            <w:tcBorders>
              <w:top w:val="single" w:color="auto" w:sz="4" w:space="0"/>
              <w:left w:val="single" w:color="auto" w:sz="4" w:space="0"/>
              <w:bottom w:val="single" w:color="auto" w:sz="4" w:space="0"/>
              <w:right w:val="single" w:color="auto" w:sz="4" w:space="0"/>
            </w:tcBorders>
            <w:vAlign w:val="center"/>
          </w:tcPr>
          <w:p w14:paraId="243ABF0C">
            <w:pPr>
              <w:pStyle w:val="10"/>
              <w:keepNext w:val="0"/>
              <w:keepLines w:val="0"/>
              <w:pageBreakBefore w:val="0"/>
              <w:kinsoku/>
              <w:wordWrap/>
              <w:overflowPunct/>
              <w:topLinePunct w:val="0"/>
              <w:bidi w:val="0"/>
              <w:spacing w:line="360" w:lineRule="exact"/>
              <w:rPr>
                <w:rFonts w:hint="eastAsia" w:ascii="宋体" w:hAnsi="宋体" w:eastAsia="宋体" w:cs="宋体"/>
                <w:color w:val="auto"/>
                <w:highlight w:val="none"/>
              </w:rPr>
            </w:pPr>
          </w:p>
        </w:tc>
        <w:tc>
          <w:tcPr>
            <w:tcW w:w="1100" w:type="dxa"/>
            <w:vMerge w:val="continue"/>
            <w:tcBorders>
              <w:top w:val="single" w:color="auto" w:sz="4" w:space="0"/>
              <w:left w:val="single" w:color="auto" w:sz="4" w:space="0"/>
              <w:bottom w:val="single" w:color="auto" w:sz="4" w:space="0"/>
              <w:right w:val="single" w:color="auto" w:sz="4" w:space="0"/>
            </w:tcBorders>
            <w:vAlign w:val="center"/>
          </w:tcPr>
          <w:p w14:paraId="6DED93A7">
            <w:pPr>
              <w:keepNext w:val="0"/>
              <w:keepLines w:val="0"/>
              <w:pageBreakBefore w:val="0"/>
              <w:widowControl/>
              <w:suppressAutoHyphens w:val="0"/>
              <w:kinsoku/>
              <w:wordWrap/>
              <w:overflowPunct/>
              <w:topLinePunct w:val="0"/>
              <w:bidi w:val="0"/>
              <w:spacing w:line="360" w:lineRule="exact"/>
              <w:jc w:val="left"/>
              <w:rPr>
                <w:rFonts w:hint="eastAsia" w:ascii="宋体" w:hAnsi="宋体" w:eastAsia="宋体" w:cs="宋体"/>
                <w:color w:val="auto"/>
                <w:kern w:val="0"/>
                <w:highlight w:val="none"/>
              </w:rPr>
            </w:pPr>
          </w:p>
        </w:tc>
        <w:tc>
          <w:tcPr>
            <w:tcW w:w="1300" w:type="dxa"/>
            <w:tcBorders>
              <w:top w:val="single" w:color="auto" w:sz="4" w:space="0"/>
              <w:left w:val="single" w:color="auto" w:sz="4" w:space="0"/>
              <w:bottom w:val="single" w:color="auto" w:sz="4" w:space="0"/>
              <w:right w:val="single" w:color="auto" w:sz="4" w:space="0"/>
            </w:tcBorders>
            <w:noWrap/>
            <w:vAlign w:val="center"/>
          </w:tcPr>
          <w:p w14:paraId="6F9191F1">
            <w:pPr>
              <w:pStyle w:val="46"/>
              <w:keepNext w:val="0"/>
              <w:keepLines w:val="0"/>
              <w:pageBreakBefore w:val="0"/>
              <w:kinsoku/>
              <w:wordWrap/>
              <w:overflowPunct/>
              <w:topLinePunct w:val="0"/>
              <w:bidi w:val="0"/>
              <w:spacing w:line="360" w:lineRule="exact"/>
              <w:jc w:val="center"/>
              <w:rPr>
                <w:rFonts w:hint="eastAsia" w:ascii="宋体" w:hAnsi="宋体" w:eastAsia="宋体" w:cs="宋体"/>
                <w:b w:val="0"/>
                <w:bCs/>
                <w:color w:val="auto"/>
                <w:sz w:val="21"/>
                <w:szCs w:val="21"/>
                <w:highlight w:val="none"/>
                <w:lang w:val="en-US" w:eastAsia="zh-CN" w:bidi="ar-SA"/>
              </w:rPr>
            </w:pPr>
            <w:r>
              <w:rPr>
                <w:rFonts w:hint="eastAsia" w:ascii="宋体" w:hAnsi="宋体" w:eastAsia="宋体" w:cs="宋体"/>
                <w:b w:val="0"/>
                <w:bCs/>
                <w:color w:val="auto"/>
                <w:kern w:val="2"/>
                <w:sz w:val="21"/>
                <w:szCs w:val="21"/>
                <w:highlight w:val="none"/>
              </w:rPr>
              <w:t>采购范围</w:t>
            </w:r>
          </w:p>
        </w:tc>
        <w:tc>
          <w:tcPr>
            <w:tcW w:w="5448" w:type="dxa"/>
            <w:tcBorders>
              <w:top w:val="single" w:color="auto" w:sz="4" w:space="0"/>
              <w:left w:val="single" w:color="auto" w:sz="4" w:space="0"/>
              <w:bottom w:val="single" w:color="auto" w:sz="4" w:space="0"/>
              <w:right w:val="single" w:color="auto" w:sz="4" w:space="0"/>
            </w:tcBorders>
            <w:noWrap/>
            <w:vAlign w:val="center"/>
          </w:tcPr>
          <w:p w14:paraId="5652F2DC">
            <w:pPr>
              <w:pStyle w:val="46"/>
              <w:keepNext w:val="0"/>
              <w:keepLines w:val="0"/>
              <w:pageBreakBefore w:val="0"/>
              <w:kinsoku/>
              <w:wordWrap/>
              <w:overflowPunct/>
              <w:topLinePunct w:val="0"/>
              <w:bidi w:val="0"/>
              <w:spacing w:line="360" w:lineRule="exact"/>
              <w:rPr>
                <w:rFonts w:hint="eastAsia" w:ascii="宋体" w:hAnsi="宋体" w:eastAsia="宋体" w:cs="宋体"/>
                <w:b w:val="0"/>
                <w:bCs/>
                <w:color w:val="auto"/>
                <w:sz w:val="21"/>
                <w:szCs w:val="21"/>
                <w:highlight w:val="none"/>
                <w:lang w:val="en-US" w:eastAsia="zh-CN" w:bidi="ar-SA"/>
              </w:rPr>
            </w:pPr>
            <w:r>
              <w:rPr>
                <w:rFonts w:hint="eastAsia" w:ascii="宋体" w:hAnsi="宋体" w:eastAsia="宋体" w:cs="宋体"/>
                <w:b w:val="0"/>
                <w:bCs/>
                <w:color w:val="auto"/>
                <w:kern w:val="2"/>
                <w:sz w:val="21"/>
                <w:szCs w:val="21"/>
                <w:highlight w:val="none"/>
              </w:rPr>
              <w:t>响应文件载明的采购范围是否符合磋商文件的要求，无重大偏离或保留</w:t>
            </w:r>
          </w:p>
        </w:tc>
        <w:tc>
          <w:tcPr>
            <w:tcW w:w="621" w:type="dxa"/>
            <w:tcBorders>
              <w:top w:val="single" w:color="auto" w:sz="4" w:space="0"/>
              <w:left w:val="single" w:color="auto" w:sz="4" w:space="0"/>
              <w:bottom w:val="single" w:color="auto" w:sz="4" w:space="0"/>
              <w:right w:val="single" w:color="auto" w:sz="4" w:space="0"/>
            </w:tcBorders>
            <w:noWrap/>
            <w:vAlign w:val="center"/>
          </w:tcPr>
          <w:p w14:paraId="7CBF65A8">
            <w:pPr>
              <w:keepNext w:val="0"/>
              <w:keepLines w:val="0"/>
              <w:pageBreakBefore w:val="0"/>
              <w:widowControl/>
              <w:kinsoku/>
              <w:wordWrap/>
              <w:overflowPunct/>
              <w:topLinePunct w:val="0"/>
              <w:bidi w:val="0"/>
              <w:snapToGrid w:val="0"/>
              <w:spacing w:line="360" w:lineRule="exact"/>
              <w:jc w:val="left"/>
              <w:rPr>
                <w:rFonts w:hint="eastAsia" w:ascii="宋体" w:hAnsi="宋体" w:eastAsia="宋体" w:cs="宋体"/>
                <w:color w:val="auto"/>
                <w:kern w:val="0"/>
                <w:highlight w:val="none"/>
              </w:rPr>
            </w:pPr>
          </w:p>
        </w:tc>
        <w:tc>
          <w:tcPr>
            <w:tcW w:w="629" w:type="dxa"/>
            <w:tcBorders>
              <w:top w:val="single" w:color="auto" w:sz="4" w:space="0"/>
              <w:left w:val="single" w:color="auto" w:sz="4" w:space="0"/>
              <w:bottom w:val="single" w:color="auto" w:sz="4" w:space="0"/>
              <w:right w:val="single" w:color="auto" w:sz="4" w:space="0"/>
            </w:tcBorders>
            <w:noWrap/>
            <w:vAlign w:val="center"/>
          </w:tcPr>
          <w:p w14:paraId="7B2C551A">
            <w:pPr>
              <w:keepNext w:val="0"/>
              <w:keepLines w:val="0"/>
              <w:pageBreakBefore w:val="0"/>
              <w:widowControl/>
              <w:kinsoku/>
              <w:wordWrap/>
              <w:overflowPunct/>
              <w:topLinePunct w:val="0"/>
              <w:bidi w:val="0"/>
              <w:snapToGrid w:val="0"/>
              <w:spacing w:line="360" w:lineRule="exact"/>
              <w:jc w:val="left"/>
              <w:rPr>
                <w:rFonts w:hint="eastAsia" w:ascii="宋体" w:hAnsi="宋体" w:eastAsia="宋体" w:cs="宋体"/>
                <w:color w:val="auto"/>
                <w:kern w:val="0"/>
                <w:highlight w:val="none"/>
              </w:rPr>
            </w:pPr>
          </w:p>
        </w:tc>
      </w:tr>
      <w:tr w14:paraId="5008DE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75" w:type="dxa"/>
            <w:left w:w="75" w:type="dxa"/>
            <w:bottom w:w="75" w:type="dxa"/>
            <w:right w:w="75" w:type="dxa"/>
          </w:tblCellMar>
        </w:tblPrEx>
        <w:trPr>
          <w:trHeight w:val="603" w:hRule="atLeast"/>
        </w:trPr>
        <w:tc>
          <w:tcPr>
            <w:tcW w:w="600" w:type="dxa"/>
            <w:vMerge w:val="continue"/>
            <w:tcBorders>
              <w:top w:val="single" w:color="auto" w:sz="4" w:space="0"/>
              <w:left w:val="single" w:color="auto" w:sz="4" w:space="0"/>
              <w:bottom w:val="single" w:color="auto" w:sz="4" w:space="0"/>
              <w:right w:val="single" w:color="auto" w:sz="4" w:space="0"/>
            </w:tcBorders>
            <w:vAlign w:val="center"/>
          </w:tcPr>
          <w:p w14:paraId="58B326CA">
            <w:pPr>
              <w:keepNext w:val="0"/>
              <w:keepLines w:val="0"/>
              <w:pageBreakBefore w:val="0"/>
              <w:widowControl/>
              <w:suppressAutoHyphens w:val="0"/>
              <w:kinsoku/>
              <w:wordWrap/>
              <w:overflowPunct/>
              <w:topLinePunct w:val="0"/>
              <w:bidi w:val="0"/>
              <w:spacing w:line="360" w:lineRule="exact"/>
              <w:jc w:val="left"/>
              <w:rPr>
                <w:rFonts w:hint="eastAsia" w:ascii="宋体" w:hAnsi="宋体" w:eastAsia="宋体" w:cs="宋体"/>
                <w:color w:val="auto"/>
                <w:kern w:val="0"/>
                <w:highlight w:val="none"/>
              </w:rPr>
            </w:pPr>
          </w:p>
        </w:tc>
        <w:tc>
          <w:tcPr>
            <w:tcW w:w="1100" w:type="dxa"/>
            <w:vMerge w:val="continue"/>
            <w:tcBorders>
              <w:top w:val="single" w:color="auto" w:sz="4" w:space="0"/>
              <w:left w:val="single" w:color="auto" w:sz="4" w:space="0"/>
              <w:bottom w:val="single" w:color="auto" w:sz="4" w:space="0"/>
              <w:right w:val="single" w:color="auto" w:sz="4" w:space="0"/>
            </w:tcBorders>
            <w:vAlign w:val="center"/>
          </w:tcPr>
          <w:p w14:paraId="27720788">
            <w:pPr>
              <w:keepNext w:val="0"/>
              <w:keepLines w:val="0"/>
              <w:pageBreakBefore w:val="0"/>
              <w:widowControl/>
              <w:suppressAutoHyphens w:val="0"/>
              <w:kinsoku/>
              <w:wordWrap/>
              <w:overflowPunct/>
              <w:topLinePunct w:val="0"/>
              <w:bidi w:val="0"/>
              <w:spacing w:line="360" w:lineRule="exact"/>
              <w:jc w:val="left"/>
              <w:rPr>
                <w:rFonts w:hint="eastAsia" w:ascii="宋体" w:hAnsi="宋体" w:eastAsia="宋体" w:cs="宋体"/>
                <w:color w:val="auto"/>
                <w:kern w:val="0"/>
                <w:highlight w:val="none"/>
              </w:rPr>
            </w:pPr>
          </w:p>
        </w:tc>
        <w:tc>
          <w:tcPr>
            <w:tcW w:w="1300" w:type="dxa"/>
            <w:tcBorders>
              <w:top w:val="single" w:color="auto" w:sz="4" w:space="0"/>
              <w:left w:val="single" w:color="auto" w:sz="4" w:space="0"/>
              <w:bottom w:val="single" w:color="auto" w:sz="4" w:space="0"/>
              <w:right w:val="single" w:color="auto" w:sz="4" w:space="0"/>
            </w:tcBorders>
            <w:noWrap/>
            <w:vAlign w:val="center"/>
          </w:tcPr>
          <w:p w14:paraId="05133123">
            <w:pPr>
              <w:pStyle w:val="46"/>
              <w:keepNext w:val="0"/>
              <w:keepLines w:val="0"/>
              <w:pageBreakBefore w:val="0"/>
              <w:kinsoku/>
              <w:wordWrap/>
              <w:overflowPunct/>
              <w:topLinePunct w:val="0"/>
              <w:bidi w:val="0"/>
              <w:spacing w:line="360" w:lineRule="exact"/>
              <w:jc w:val="center"/>
              <w:rPr>
                <w:rFonts w:hint="eastAsia" w:ascii="宋体" w:hAnsi="宋体" w:eastAsia="宋体" w:cs="宋体"/>
                <w:b w:val="0"/>
                <w:bCs/>
                <w:color w:val="auto"/>
                <w:sz w:val="21"/>
                <w:szCs w:val="21"/>
                <w:highlight w:val="none"/>
                <w:lang w:val="en-US" w:eastAsia="zh-CN" w:bidi="ar-SA"/>
              </w:rPr>
            </w:pPr>
            <w:r>
              <w:rPr>
                <w:rFonts w:hint="eastAsia" w:ascii="宋体" w:hAnsi="宋体" w:eastAsia="宋体" w:cs="宋体"/>
                <w:b w:val="0"/>
                <w:bCs/>
                <w:color w:val="auto"/>
                <w:sz w:val="21"/>
                <w:szCs w:val="21"/>
                <w:highlight w:val="none"/>
              </w:rPr>
              <w:t>其他</w:t>
            </w:r>
          </w:p>
        </w:tc>
        <w:tc>
          <w:tcPr>
            <w:tcW w:w="5448" w:type="dxa"/>
            <w:tcBorders>
              <w:top w:val="single" w:color="auto" w:sz="4" w:space="0"/>
              <w:left w:val="single" w:color="auto" w:sz="4" w:space="0"/>
              <w:bottom w:val="single" w:color="auto" w:sz="4" w:space="0"/>
              <w:right w:val="single" w:color="auto" w:sz="4" w:space="0"/>
            </w:tcBorders>
            <w:noWrap/>
            <w:vAlign w:val="center"/>
          </w:tcPr>
          <w:p w14:paraId="1A764D2E">
            <w:pPr>
              <w:pStyle w:val="46"/>
              <w:keepNext w:val="0"/>
              <w:keepLines w:val="0"/>
              <w:pageBreakBefore w:val="0"/>
              <w:kinsoku/>
              <w:wordWrap/>
              <w:overflowPunct/>
              <w:topLinePunct w:val="0"/>
              <w:bidi w:val="0"/>
              <w:spacing w:line="360" w:lineRule="exact"/>
              <w:rPr>
                <w:rFonts w:hint="eastAsia" w:ascii="宋体" w:hAnsi="宋体" w:eastAsia="宋体" w:cs="宋体"/>
                <w:b w:val="0"/>
                <w:bCs/>
                <w:color w:val="auto"/>
                <w:sz w:val="21"/>
                <w:szCs w:val="21"/>
                <w:highlight w:val="none"/>
                <w:lang w:val="en-US" w:eastAsia="zh-CN" w:bidi="ar-SA"/>
              </w:rPr>
            </w:pPr>
            <w:r>
              <w:rPr>
                <w:rFonts w:hint="eastAsia" w:ascii="宋体" w:hAnsi="宋体" w:eastAsia="宋体" w:cs="宋体"/>
                <w:b w:val="0"/>
                <w:bCs/>
                <w:color w:val="auto"/>
                <w:sz w:val="21"/>
                <w:szCs w:val="21"/>
                <w:highlight w:val="none"/>
              </w:rPr>
              <w:t>响应文件未附有</w:t>
            </w:r>
            <w:r>
              <w:rPr>
                <w:rFonts w:hint="eastAsia" w:ascii="宋体" w:hAnsi="宋体" w:eastAsia="宋体" w:cs="宋体"/>
                <w:b w:val="0"/>
                <w:bCs/>
                <w:color w:val="auto"/>
                <w:sz w:val="21"/>
                <w:szCs w:val="21"/>
                <w:highlight w:val="none"/>
                <w:lang w:eastAsia="zh-CN"/>
              </w:rPr>
              <w:t>采购人</w:t>
            </w:r>
            <w:r>
              <w:rPr>
                <w:rFonts w:hint="eastAsia" w:ascii="宋体" w:hAnsi="宋体" w:eastAsia="宋体" w:cs="宋体"/>
                <w:b w:val="0"/>
                <w:bCs/>
                <w:color w:val="auto"/>
                <w:sz w:val="21"/>
                <w:szCs w:val="21"/>
                <w:highlight w:val="none"/>
              </w:rPr>
              <w:t>不能接受的附加条件或法律、法规和磋商文件规定的其他无效情形</w:t>
            </w:r>
          </w:p>
        </w:tc>
        <w:tc>
          <w:tcPr>
            <w:tcW w:w="621" w:type="dxa"/>
            <w:tcBorders>
              <w:top w:val="single" w:color="auto" w:sz="4" w:space="0"/>
              <w:left w:val="single" w:color="auto" w:sz="4" w:space="0"/>
              <w:bottom w:val="single" w:color="auto" w:sz="4" w:space="0"/>
              <w:right w:val="single" w:color="auto" w:sz="4" w:space="0"/>
            </w:tcBorders>
            <w:noWrap/>
            <w:vAlign w:val="center"/>
          </w:tcPr>
          <w:p w14:paraId="0B233F50">
            <w:pPr>
              <w:keepNext w:val="0"/>
              <w:keepLines w:val="0"/>
              <w:pageBreakBefore w:val="0"/>
              <w:widowControl/>
              <w:kinsoku/>
              <w:wordWrap/>
              <w:overflowPunct/>
              <w:topLinePunct w:val="0"/>
              <w:bidi w:val="0"/>
              <w:snapToGrid w:val="0"/>
              <w:spacing w:line="360" w:lineRule="exact"/>
              <w:jc w:val="left"/>
              <w:rPr>
                <w:rFonts w:hint="eastAsia" w:ascii="宋体" w:hAnsi="宋体" w:eastAsia="宋体" w:cs="宋体"/>
                <w:color w:val="auto"/>
                <w:kern w:val="0"/>
                <w:highlight w:val="none"/>
              </w:rPr>
            </w:pPr>
          </w:p>
        </w:tc>
        <w:tc>
          <w:tcPr>
            <w:tcW w:w="629" w:type="dxa"/>
            <w:tcBorders>
              <w:top w:val="single" w:color="auto" w:sz="4" w:space="0"/>
              <w:left w:val="single" w:color="auto" w:sz="4" w:space="0"/>
              <w:bottom w:val="single" w:color="auto" w:sz="4" w:space="0"/>
              <w:right w:val="single" w:color="auto" w:sz="4" w:space="0"/>
            </w:tcBorders>
            <w:noWrap/>
            <w:vAlign w:val="center"/>
          </w:tcPr>
          <w:p w14:paraId="1518C0CC">
            <w:pPr>
              <w:keepNext w:val="0"/>
              <w:keepLines w:val="0"/>
              <w:pageBreakBefore w:val="0"/>
              <w:widowControl/>
              <w:kinsoku/>
              <w:wordWrap/>
              <w:overflowPunct/>
              <w:topLinePunct w:val="0"/>
              <w:bidi w:val="0"/>
              <w:snapToGrid w:val="0"/>
              <w:spacing w:line="360" w:lineRule="exact"/>
              <w:jc w:val="left"/>
              <w:rPr>
                <w:rFonts w:hint="eastAsia" w:ascii="宋体" w:hAnsi="宋体" w:eastAsia="宋体" w:cs="宋体"/>
                <w:color w:val="auto"/>
                <w:kern w:val="0"/>
                <w:highlight w:val="none"/>
              </w:rPr>
            </w:pPr>
          </w:p>
        </w:tc>
      </w:tr>
      <w:tr w14:paraId="46093E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75" w:type="dxa"/>
            <w:left w:w="75" w:type="dxa"/>
            <w:bottom w:w="75" w:type="dxa"/>
            <w:right w:w="75" w:type="dxa"/>
          </w:tblCellMar>
        </w:tblPrEx>
        <w:trPr>
          <w:trHeight w:val="356" w:hRule="atLeast"/>
        </w:trPr>
        <w:tc>
          <w:tcPr>
            <w:tcW w:w="1700"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5C78C22E">
            <w:pPr>
              <w:widowControl/>
              <w:spacing w:line="360" w:lineRule="exact"/>
              <w:jc w:val="center"/>
              <w:rPr>
                <w:rFonts w:hint="eastAsia" w:ascii="宋体" w:hAnsi="宋体" w:eastAsia="宋体" w:cs="宋体"/>
                <w:b/>
                <w:bCs/>
                <w:color w:val="auto"/>
                <w:kern w:val="0"/>
                <w:highlight w:val="none"/>
              </w:rPr>
            </w:pPr>
            <w:r>
              <w:rPr>
                <w:rFonts w:hint="eastAsia" w:ascii="宋体" w:hAnsi="宋体" w:eastAsia="宋体" w:cs="宋体"/>
                <w:b/>
                <w:bCs/>
                <w:color w:val="auto"/>
                <w:kern w:val="0"/>
                <w:highlight w:val="none"/>
              </w:rPr>
              <w:t>评分因素</w:t>
            </w:r>
          </w:p>
        </w:tc>
        <w:tc>
          <w:tcPr>
            <w:tcW w:w="7998" w:type="dxa"/>
            <w:gridSpan w:val="4"/>
            <w:tcBorders>
              <w:top w:val="single" w:color="auto" w:sz="4" w:space="0"/>
              <w:left w:val="single" w:color="auto" w:sz="4" w:space="0"/>
              <w:bottom w:val="single" w:color="auto" w:sz="4" w:space="0"/>
              <w:right w:val="single" w:color="auto" w:sz="4" w:space="0"/>
            </w:tcBorders>
            <w:shd w:val="clear" w:color="auto" w:fill="FFFFFF"/>
            <w:noWrap/>
            <w:vAlign w:val="center"/>
          </w:tcPr>
          <w:p w14:paraId="769A965F">
            <w:pPr>
              <w:widowControl/>
              <w:spacing w:line="360" w:lineRule="exact"/>
              <w:jc w:val="center"/>
              <w:rPr>
                <w:rFonts w:hint="eastAsia" w:ascii="宋体" w:hAnsi="宋体" w:eastAsia="宋体" w:cs="宋体"/>
                <w:b/>
                <w:bCs/>
                <w:color w:val="auto"/>
                <w:kern w:val="0"/>
                <w:highlight w:val="none"/>
              </w:rPr>
            </w:pPr>
            <w:r>
              <w:rPr>
                <w:rFonts w:hint="eastAsia" w:ascii="宋体" w:hAnsi="宋体" w:eastAsia="宋体" w:cs="宋体"/>
                <w:b/>
                <w:bCs/>
                <w:color w:val="auto"/>
                <w:kern w:val="0"/>
                <w:highlight w:val="none"/>
              </w:rPr>
              <w:t>评分标准</w:t>
            </w:r>
          </w:p>
        </w:tc>
      </w:tr>
      <w:tr w14:paraId="784299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75" w:type="dxa"/>
            <w:left w:w="75" w:type="dxa"/>
            <w:bottom w:w="75" w:type="dxa"/>
            <w:right w:w="75" w:type="dxa"/>
          </w:tblCellMar>
        </w:tblPrEx>
        <w:trPr>
          <w:trHeight w:val="1835" w:hRule="atLeast"/>
        </w:trPr>
        <w:tc>
          <w:tcPr>
            <w:tcW w:w="600" w:type="dxa"/>
            <w:tcBorders>
              <w:top w:val="single" w:color="auto" w:sz="4" w:space="0"/>
              <w:left w:val="single" w:color="auto" w:sz="4" w:space="0"/>
              <w:bottom w:val="single" w:color="auto" w:sz="4" w:space="0"/>
              <w:right w:val="single" w:color="auto" w:sz="4" w:space="0"/>
            </w:tcBorders>
            <w:noWrap/>
            <w:vAlign w:val="center"/>
          </w:tcPr>
          <w:p w14:paraId="4FF6B11E">
            <w:pPr>
              <w:widowControl/>
              <w:spacing w:line="360" w:lineRule="exact"/>
              <w:jc w:val="center"/>
              <w:rPr>
                <w:rFonts w:hint="eastAsia" w:ascii="宋体" w:hAnsi="宋体" w:eastAsia="宋体" w:cs="宋体"/>
                <w:color w:val="auto"/>
                <w:kern w:val="0"/>
                <w:sz w:val="21"/>
                <w:szCs w:val="21"/>
                <w:highlight w:val="none"/>
              </w:rPr>
            </w:pPr>
          </w:p>
        </w:tc>
        <w:tc>
          <w:tcPr>
            <w:tcW w:w="1100" w:type="dxa"/>
            <w:tcBorders>
              <w:top w:val="single" w:color="auto" w:sz="4" w:space="0"/>
              <w:left w:val="single" w:color="auto" w:sz="4" w:space="0"/>
              <w:right w:val="single" w:color="auto" w:sz="4" w:space="0"/>
            </w:tcBorders>
            <w:noWrap/>
            <w:vAlign w:val="center"/>
          </w:tcPr>
          <w:p w14:paraId="1377A856">
            <w:pPr>
              <w:widowControl/>
              <w:spacing w:line="360" w:lineRule="exact"/>
              <w:jc w:val="center"/>
              <w:rPr>
                <w:rFonts w:hint="eastAsia" w:ascii="宋体" w:hAnsi="宋体" w:eastAsia="宋体" w:cs="宋体"/>
                <w:bCs/>
                <w:color w:val="auto"/>
                <w:kern w:val="0"/>
                <w:sz w:val="21"/>
                <w:szCs w:val="21"/>
                <w:highlight w:val="none"/>
              </w:rPr>
            </w:pPr>
            <w:r>
              <w:rPr>
                <w:rFonts w:hint="eastAsia" w:ascii="宋体" w:hAnsi="宋体" w:eastAsia="宋体" w:cs="宋体"/>
                <w:color w:val="auto"/>
                <w:kern w:val="0"/>
                <w:sz w:val="21"/>
                <w:szCs w:val="21"/>
                <w:highlight w:val="none"/>
              </w:rPr>
              <w:t>价格评审（</w:t>
            </w:r>
            <w:r>
              <w:rPr>
                <w:rFonts w:hint="eastAsia" w:ascii="宋体" w:hAnsi="宋体" w:eastAsia="宋体" w:cs="宋体"/>
                <w:color w:val="auto"/>
                <w:kern w:val="0"/>
                <w:sz w:val="21"/>
                <w:szCs w:val="21"/>
                <w:highlight w:val="none"/>
                <w:lang w:val="en-US" w:eastAsia="zh-CN"/>
              </w:rPr>
              <w:t>20</w:t>
            </w:r>
            <w:r>
              <w:rPr>
                <w:rFonts w:hint="eastAsia" w:ascii="宋体" w:hAnsi="宋体" w:eastAsia="宋体" w:cs="宋体"/>
                <w:color w:val="auto"/>
                <w:kern w:val="0"/>
                <w:sz w:val="21"/>
                <w:szCs w:val="21"/>
                <w:highlight w:val="none"/>
              </w:rPr>
              <w:t>分）</w:t>
            </w:r>
          </w:p>
        </w:tc>
        <w:tc>
          <w:tcPr>
            <w:tcW w:w="1300" w:type="dxa"/>
            <w:tcBorders>
              <w:top w:val="single" w:color="auto" w:sz="4" w:space="0"/>
              <w:left w:val="single" w:color="auto" w:sz="4" w:space="0"/>
              <w:right w:val="single" w:color="auto" w:sz="4" w:space="0"/>
            </w:tcBorders>
            <w:vAlign w:val="center"/>
          </w:tcPr>
          <w:p w14:paraId="62D03312">
            <w:pPr>
              <w:pStyle w:val="46"/>
              <w:spacing w:line="360" w:lineRule="exact"/>
              <w:jc w:val="center"/>
              <w:rPr>
                <w:rFonts w:hint="eastAsia" w:ascii="宋体" w:hAnsi="宋体" w:eastAsia="宋体" w:cs="宋体"/>
                <w:b w:val="0"/>
                <w:bCs/>
                <w:color w:val="auto"/>
                <w:sz w:val="21"/>
                <w:szCs w:val="21"/>
                <w:highlight w:val="none"/>
                <w:lang w:eastAsia="zh-CN"/>
              </w:rPr>
            </w:pPr>
            <w:r>
              <w:rPr>
                <w:rFonts w:hint="eastAsia" w:ascii="宋体" w:hAnsi="宋体" w:eastAsia="宋体" w:cs="宋体"/>
                <w:b w:val="0"/>
                <w:bCs/>
                <w:color w:val="auto"/>
                <w:sz w:val="21"/>
                <w:szCs w:val="21"/>
                <w:highlight w:val="none"/>
              </w:rPr>
              <w:t>投标报价</w:t>
            </w:r>
            <w:r>
              <w:rPr>
                <w:rFonts w:hint="eastAsia" w:ascii="宋体" w:hAnsi="宋体" w:eastAsia="宋体" w:cs="宋体"/>
                <w:b w:val="0"/>
                <w:bCs/>
                <w:color w:val="auto"/>
                <w:sz w:val="21"/>
                <w:szCs w:val="21"/>
                <w:highlight w:val="none"/>
                <w:lang w:eastAsia="zh-CN"/>
              </w:rPr>
              <w:t>（</w:t>
            </w:r>
            <w:r>
              <w:rPr>
                <w:rFonts w:hint="eastAsia" w:ascii="宋体" w:hAnsi="宋体" w:eastAsia="宋体" w:cs="宋体"/>
                <w:b w:val="0"/>
                <w:bCs/>
                <w:color w:val="auto"/>
                <w:sz w:val="21"/>
                <w:szCs w:val="21"/>
                <w:highlight w:val="none"/>
                <w:lang w:val="en-US" w:eastAsia="zh-CN"/>
              </w:rPr>
              <w:t>20分</w:t>
            </w:r>
            <w:r>
              <w:rPr>
                <w:rFonts w:hint="eastAsia" w:ascii="宋体" w:hAnsi="宋体" w:eastAsia="宋体" w:cs="宋体"/>
                <w:b w:val="0"/>
                <w:bCs/>
                <w:color w:val="auto"/>
                <w:sz w:val="21"/>
                <w:szCs w:val="21"/>
                <w:highlight w:val="none"/>
                <w:lang w:eastAsia="zh-CN"/>
              </w:rPr>
              <w:t>）</w:t>
            </w:r>
          </w:p>
        </w:tc>
        <w:tc>
          <w:tcPr>
            <w:tcW w:w="6698" w:type="dxa"/>
            <w:gridSpan w:val="3"/>
            <w:tcBorders>
              <w:top w:val="single" w:color="auto" w:sz="4" w:space="0"/>
              <w:left w:val="single" w:color="auto" w:sz="4" w:space="0"/>
              <w:bottom w:val="single" w:color="auto" w:sz="4" w:space="0"/>
              <w:right w:val="single" w:color="auto" w:sz="4" w:space="0"/>
            </w:tcBorders>
            <w:noWrap/>
            <w:vAlign w:val="center"/>
          </w:tcPr>
          <w:p w14:paraId="42662C56">
            <w:pPr>
              <w:pStyle w:val="84"/>
              <w:spacing w:line="360" w:lineRule="exact"/>
              <w:rPr>
                <w:rFonts w:hint="eastAsia" w:ascii="宋体" w:hAnsi="宋体" w:eastAsia="宋体" w:cs="宋体"/>
                <w:sz w:val="21"/>
                <w:szCs w:val="21"/>
                <w:highlight w:val="none"/>
              </w:rPr>
            </w:pPr>
            <w:r>
              <w:rPr>
                <w:rFonts w:hint="eastAsia" w:ascii="宋体" w:hAnsi="宋体" w:cs="宋体"/>
                <w:sz w:val="21"/>
                <w:szCs w:val="21"/>
                <w:highlight w:val="none"/>
              </w:rPr>
              <w:t>价格分采用低价优先法计算，即满足采购文件要求且投标价格最低的投标报价为评标基准价，其价格分为满分。其他供应商的价格分统一按照下</w:t>
            </w:r>
            <w:r>
              <w:rPr>
                <w:rFonts w:hint="eastAsia" w:ascii="宋体" w:hAnsi="宋体" w:eastAsia="宋体" w:cs="宋体"/>
                <w:sz w:val="21"/>
                <w:szCs w:val="21"/>
                <w:highlight w:val="none"/>
              </w:rPr>
              <w:t>列公式计算：</w:t>
            </w:r>
          </w:p>
          <w:p w14:paraId="2D0F33B9">
            <w:pPr>
              <w:pStyle w:val="84"/>
              <w:spacing w:line="360" w:lineRule="exact"/>
              <w:rPr>
                <w:rFonts w:hint="eastAsia" w:ascii="宋体" w:hAnsi="宋体" w:eastAsia="宋体" w:cs="宋体"/>
                <w:b w:val="0"/>
                <w:bCs/>
                <w:color w:val="auto"/>
                <w:sz w:val="21"/>
                <w:szCs w:val="21"/>
                <w:highlight w:val="none"/>
                <w:lang w:eastAsia="zh-CN"/>
              </w:rPr>
            </w:pPr>
            <w:r>
              <w:rPr>
                <w:rFonts w:hint="eastAsia" w:ascii="宋体" w:hAnsi="宋体" w:eastAsia="宋体" w:cs="宋体"/>
                <w:sz w:val="21"/>
                <w:szCs w:val="21"/>
                <w:highlight w:val="none"/>
              </w:rPr>
              <w:t xml:space="preserve">投标报价得分=(评标基准价／投标报价)×价格分值×100% </w:t>
            </w:r>
          </w:p>
        </w:tc>
      </w:tr>
      <w:tr w14:paraId="6ECDFD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75" w:type="dxa"/>
            <w:left w:w="75" w:type="dxa"/>
            <w:bottom w:w="75" w:type="dxa"/>
            <w:right w:w="75" w:type="dxa"/>
          </w:tblCellMar>
        </w:tblPrEx>
        <w:trPr>
          <w:trHeight w:val="829" w:hRule="atLeast"/>
        </w:trPr>
        <w:tc>
          <w:tcPr>
            <w:tcW w:w="600" w:type="dxa"/>
            <w:vMerge w:val="restart"/>
            <w:tcBorders>
              <w:top w:val="single" w:color="auto" w:sz="4" w:space="0"/>
              <w:left w:val="single" w:color="auto" w:sz="4" w:space="0"/>
              <w:right w:val="single" w:color="auto" w:sz="4" w:space="0"/>
            </w:tcBorders>
            <w:vAlign w:val="center"/>
          </w:tcPr>
          <w:p w14:paraId="17CBE0E3">
            <w:pPr>
              <w:widowControl/>
              <w:suppressAutoHyphens w:val="0"/>
              <w:spacing w:line="360" w:lineRule="exact"/>
              <w:jc w:val="left"/>
              <w:rPr>
                <w:rFonts w:hint="eastAsia" w:ascii="宋体" w:hAnsi="宋体" w:eastAsia="宋体" w:cs="宋体"/>
                <w:color w:val="auto"/>
                <w:kern w:val="0"/>
                <w:sz w:val="21"/>
                <w:szCs w:val="21"/>
                <w:highlight w:val="none"/>
              </w:rPr>
            </w:pPr>
          </w:p>
        </w:tc>
        <w:tc>
          <w:tcPr>
            <w:tcW w:w="1100" w:type="dxa"/>
            <w:vMerge w:val="restart"/>
            <w:tcBorders>
              <w:top w:val="single" w:color="auto" w:sz="4" w:space="0"/>
              <w:left w:val="single" w:color="auto" w:sz="4" w:space="0"/>
              <w:right w:val="single" w:color="auto" w:sz="4" w:space="0"/>
            </w:tcBorders>
            <w:noWrap/>
            <w:vAlign w:val="center"/>
          </w:tcPr>
          <w:p w14:paraId="65E93891">
            <w:pPr>
              <w:widowControl/>
              <w:spacing w:line="360" w:lineRule="exact"/>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商务部分</w:t>
            </w:r>
          </w:p>
          <w:p w14:paraId="072584D5">
            <w:pPr>
              <w:widowControl/>
              <w:spacing w:line="360" w:lineRule="exact"/>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w:t>
            </w:r>
            <w:r>
              <w:rPr>
                <w:rFonts w:hint="eastAsia" w:ascii="宋体" w:hAnsi="宋体" w:eastAsia="宋体" w:cs="宋体"/>
                <w:color w:val="auto"/>
                <w:kern w:val="0"/>
                <w:sz w:val="21"/>
                <w:szCs w:val="21"/>
                <w:highlight w:val="none"/>
                <w:lang w:val="en-US" w:eastAsia="zh-CN"/>
              </w:rPr>
              <w:t>29</w:t>
            </w:r>
            <w:r>
              <w:rPr>
                <w:rFonts w:hint="eastAsia" w:ascii="宋体" w:hAnsi="宋体" w:eastAsia="宋体" w:cs="宋体"/>
                <w:color w:val="auto"/>
                <w:kern w:val="0"/>
                <w:sz w:val="21"/>
                <w:szCs w:val="21"/>
                <w:highlight w:val="none"/>
              </w:rPr>
              <w:t>分）</w:t>
            </w:r>
          </w:p>
        </w:tc>
        <w:tc>
          <w:tcPr>
            <w:tcW w:w="1300" w:type="dxa"/>
            <w:tcBorders>
              <w:top w:val="single" w:color="auto" w:sz="4" w:space="0"/>
              <w:left w:val="single" w:color="auto" w:sz="4" w:space="0"/>
              <w:right w:val="single" w:color="auto" w:sz="4" w:space="0"/>
            </w:tcBorders>
            <w:noWrap/>
            <w:vAlign w:val="center"/>
          </w:tcPr>
          <w:p w14:paraId="36B52D7B">
            <w:pPr>
              <w:keepNext w:val="0"/>
              <w:keepLines w:val="0"/>
              <w:widowControl/>
              <w:suppressLineNumbers w:val="0"/>
              <w:jc w:val="center"/>
              <w:textAlignment w:val="center"/>
              <w:rPr>
                <w:rFonts w:hint="eastAsia" w:ascii="宋体" w:hAnsi="宋体" w:eastAsia="宋体" w:cs="宋体"/>
                <w:b w:val="0"/>
                <w:bCs/>
                <w:color w:val="auto"/>
                <w:sz w:val="21"/>
                <w:szCs w:val="21"/>
                <w:highlight w:val="none"/>
                <w:lang w:val="en-US" w:eastAsia="zh-CN"/>
              </w:rPr>
            </w:pPr>
            <w:r>
              <w:rPr>
                <w:rFonts w:hint="eastAsia" w:ascii="宋体" w:hAnsi="宋体" w:eastAsia="宋体" w:cs="宋体"/>
                <w:i w:val="0"/>
                <w:iCs w:val="0"/>
                <w:color w:val="auto"/>
                <w:kern w:val="0"/>
                <w:sz w:val="21"/>
                <w:szCs w:val="21"/>
                <w:highlight w:val="none"/>
                <w:u w:val="none"/>
                <w:lang w:val="en-US" w:eastAsia="zh-CN" w:bidi="ar"/>
              </w:rPr>
              <w:t>投标人业绩（9分）</w:t>
            </w:r>
          </w:p>
        </w:tc>
        <w:tc>
          <w:tcPr>
            <w:tcW w:w="6698" w:type="dxa"/>
            <w:gridSpan w:val="3"/>
            <w:tcBorders>
              <w:top w:val="single" w:color="auto" w:sz="4" w:space="0"/>
              <w:left w:val="single" w:color="auto" w:sz="4" w:space="0"/>
              <w:bottom w:val="single" w:color="auto" w:sz="4" w:space="0"/>
              <w:right w:val="single" w:color="auto" w:sz="4" w:space="0"/>
            </w:tcBorders>
            <w:noWrap/>
            <w:vAlign w:val="center"/>
          </w:tcPr>
          <w:p w14:paraId="24E70E6E">
            <w:pPr>
              <w:snapToGrid w:val="0"/>
              <w:spacing w:line="360" w:lineRule="exact"/>
              <w:rPr>
                <w:rStyle w:val="103"/>
                <w:rFonts w:hint="eastAsia" w:ascii="宋体" w:hAnsi="宋体" w:eastAsia="宋体" w:cs="宋体"/>
                <w:color w:val="auto"/>
                <w:sz w:val="21"/>
                <w:szCs w:val="21"/>
                <w:highlight w:val="none"/>
              </w:rPr>
            </w:pPr>
            <w:r>
              <w:rPr>
                <w:rStyle w:val="103"/>
                <w:rFonts w:hint="eastAsia" w:ascii="宋体" w:hAnsi="宋体" w:eastAsia="宋体" w:cs="宋体"/>
                <w:color w:val="auto"/>
                <w:sz w:val="21"/>
                <w:szCs w:val="21"/>
                <w:highlight w:val="none"/>
              </w:rPr>
              <w:t>提供近三年（202</w:t>
            </w:r>
            <w:r>
              <w:rPr>
                <w:rStyle w:val="103"/>
                <w:rFonts w:hint="eastAsia" w:ascii="宋体" w:hAnsi="宋体" w:cs="宋体"/>
                <w:color w:val="auto"/>
                <w:sz w:val="21"/>
                <w:szCs w:val="21"/>
                <w:highlight w:val="none"/>
                <w:lang w:val="en-US"/>
              </w:rPr>
              <w:t>2</w:t>
            </w:r>
            <w:r>
              <w:rPr>
                <w:rStyle w:val="103"/>
                <w:rFonts w:hint="eastAsia" w:ascii="宋体" w:hAnsi="宋体" w:eastAsia="宋体" w:cs="宋体"/>
                <w:color w:val="auto"/>
                <w:sz w:val="21"/>
                <w:szCs w:val="21"/>
                <w:highlight w:val="none"/>
              </w:rPr>
              <w:t>年0</w:t>
            </w:r>
            <w:r>
              <w:rPr>
                <w:rStyle w:val="103"/>
                <w:rFonts w:hint="eastAsia" w:ascii="宋体" w:hAnsi="宋体" w:eastAsia="宋体" w:cs="宋体"/>
                <w:color w:val="auto"/>
                <w:sz w:val="21"/>
                <w:szCs w:val="21"/>
                <w:highlight w:val="none"/>
                <w:lang w:val="en-US"/>
              </w:rPr>
              <w:t>1</w:t>
            </w:r>
            <w:r>
              <w:rPr>
                <w:rStyle w:val="103"/>
                <w:rFonts w:hint="eastAsia" w:ascii="宋体" w:hAnsi="宋体" w:eastAsia="宋体" w:cs="宋体"/>
                <w:color w:val="auto"/>
                <w:sz w:val="21"/>
                <w:szCs w:val="21"/>
                <w:highlight w:val="none"/>
              </w:rPr>
              <w:t>月01日-至今，</w:t>
            </w:r>
            <w:r>
              <w:rPr>
                <w:rStyle w:val="103"/>
                <w:rFonts w:hint="eastAsia" w:ascii="宋体" w:hAnsi="宋体" w:eastAsia="宋体" w:cs="宋体"/>
                <w:color w:val="auto"/>
                <w:sz w:val="21"/>
                <w:szCs w:val="21"/>
                <w:highlight w:val="none"/>
                <w:lang w:val="en-US"/>
              </w:rPr>
              <w:t>以合同签订日期为准</w:t>
            </w:r>
            <w:r>
              <w:rPr>
                <w:rStyle w:val="103"/>
                <w:rFonts w:hint="eastAsia" w:ascii="宋体" w:hAnsi="宋体" w:eastAsia="宋体" w:cs="宋体"/>
                <w:color w:val="auto"/>
                <w:sz w:val="21"/>
                <w:szCs w:val="21"/>
                <w:highlight w:val="none"/>
              </w:rPr>
              <w:t>）完成</w:t>
            </w:r>
            <w:r>
              <w:rPr>
                <w:rFonts w:hint="eastAsia" w:ascii="宋体" w:hAnsi="宋体" w:eastAsia="宋体" w:cs="宋体"/>
                <w:color w:val="auto"/>
                <w:kern w:val="0"/>
                <w:sz w:val="21"/>
                <w:szCs w:val="21"/>
                <w:highlight w:val="none"/>
              </w:rPr>
              <w:t>的类似业绩</w:t>
            </w:r>
            <w:r>
              <w:rPr>
                <w:rStyle w:val="103"/>
                <w:rFonts w:hint="eastAsia" w:ascii="宋体" w:hAnsi="宋体" w:eastAsia="宋体" w:cs="宋体"/>
                <w:color w:val="auto"/>
                <w:sz w:val="21"/>
                <w:szCs w:val="21"/>
                <w:highlight w:val="none"/>
              </w:rPr>
              <w:t>，每一项加</w:t>
            </w:r>
            <w:r>
              <w:rPr>
                <w:rStyle w:val="103"/>
                <w:rFonts w:hint="eastAsia" w:ascii="宋体" w:hAnsi="宋体" w:eastAsia="宋体" w:cs="宋体"/>
                <w:color w:val="auto"/>
                <w:sz w:val="21"/>
                <w:szCs w:val="21"/>
                <w:highlight w:val="none"/>
                <w:lang w:val="en-US"/>
              </w:rPr>
              <w:t>3</w:t>
            </w:r>
            <w:r>
              <w:rPr>
                <w:rStyle w:val="103"/>
                <w:rFonts w:hint="eastAsia" w:ascii="宋体" w:hAnsi="宋体" w:eastAsia="宋体" w:cs="宋体"/>
                <w:color w:val="auto"/>
                <w:sz w:val="21"/>
                <w:szCs w:val="21"/>
                <w:highlight w:val="none"/>
              </w:rPr>
              <w:t>分，满分得</w:t>
            </w:r>
            <w:r>
              <w:rPr>
                <w:rStyle w:val="103"/>
                <w:rFonts w:hint="eastAsia" w:ascii="宋体" w:hAnsi="宋体" w:cs="宋体"/>
                <w:color w:val="auto"/>
                <w:sz w:val="21"/>
                <w:szCs w:val="21"/>
                <w:highlight w:val="none"/>
                <w:lang w:val="en-US"/>
              </w:rPr>
              <w:t>9</w:t>
            </w:r>
            <w:r>
              <w:rPr>
                <w:rStyle w:val="103"/>
                <w:rFonts w:hint="eastAsia" w:ascii="宋体" w:hAnsi="宋体" w:eastAsia="宋体" w:cs="宋体"/>
                <w:color w:val="auto"/>
                <w:sz w:val="21"/>
                <w:szCs w:val="21"/>
                <w:highlight w:val="none"/>
              </w:rPr>
              <w:t>分。</w:t>
            </w:r>
          </w:p>
          <w:p w14:paraId="08C1F1D8">
            <w:pPr>
              <w:keepNext w:val="0"/>
              <w:keepLines w:val="0"/>
              <w:widowControl/>
              <w:suppressLineNumbers w:val="0"/>
              <w:jc w:val="both"/>
              <w:textAlignment w:val="center"/>
              <w:rPr>
                <w:rFonts w:hint="default" w:ascii="宋体" w:hAnsi="宋体" w:eastAsia="宋体" w:cs="宋体"/>
                <w:b w:val="0"/>
                <w:bCs/>
                <w:color w:val="auto"/>
                <w:sz w:val="21"/>
                <w:szCs w:val="21"/>
                <w:highlight w:val="none"/>
                <w:lang w:val="en-US" w:eastAsia="zh-CN"/>
              </w:rPr>
            </w:pPr>
            <w:r>
              <w:rPr>
                <w:rStyle w:val="103"/>
                <w:rFonts w:hint="eastAsia" w:ascii="宋体" w:hAnsi="宋体" w:eastAsia="宋体" w:cs="宋体"/>
                <w:b/>
                <w:bCs/>
                <w:color w:val="auto"/>
                <w:sz w:val="21"/>
                <w:szCs w:val="21"/>
                <w:highlight w:val="none"/>
              </w:rPr>
              <w:t>须提供业绩合同及中标通知书。如经</w:t>
            </w:r>
            <w:r>
              <w:rPr>
                <w:rStyle w:val="103"/>
                <w:rFonts w:hint="eastAsia" w:ascii="宋体" w:hAnsi="宋体" w:eastAsia="宋体" w:cs="宋体"/>
                <w:b/>
                <w:bCs/>
                <w:color w:val="auto"/>
                <w:sz w:val="21"/>
                <w:szCs w:val="21"/>
                <w:highlight w:val="none"/>
                <w:lang w:val="en-US"/>
              </w:rPr>
              <w:t>评标委员会</w:t>
            </w:r>
            <w:r>
              <w:rPr>
                <w:rStyle w:val="103"/>
                <w:rFonts w:hint="eastAsia" w:ascii="宋体" w:hAnsi="宋体" w:eastAsia="宋体" w:cs="宋体"/>
                <w:b/>
                <w:bCs/>
                <w:color w:val="auto"/>
                <w:sz w:val="21"/>
                <w:szCs w:val="21"/>
                <w:highlight w:val="none"/>
              </w:rPr>
              <w:t>认定所提供业绩合同或中标通知书残缺不全、模糊难辨或未提供的不得分，</w:t>
            </w:r>
            <w:r>
              <w:rPr>
                <w:rFonts w:hint="eastAsia" w:ascii="宋体" w:hAnsi="宋体" w:eastAsia="宋体" w:cs="宋体"/>
                <w:b/>
                <w:bCs/>
                <w:color w:val="auto"/>
                <w:kern w:val="0"/>
                <w:sz w:val="21"/>
                <w:szCs w:val="21"/>
                <w:highlight w:val="none"/>
              </w:rPr>
              <w:t>提供</w:t>
            </w:r>
            <w:r>
              <w:rPr>
                <w:rFonts w:hint="eastAsia" w:ascii="宋体" w:hAnsi="宋体" w:eastAsia="宋体" w:cs="宋体"/>
                <w:b/>
                <w:bCs/>
                <w:color w:val="auto"/>
                <w:kern w:val="0"/>
                <w:sz w:val="21"/>
                <w:szCs w:val="21"/>
                <w:highlight w:val="none"/>
                <w:lang w:val="en-US" w:eastAsia="zh-CN"/>
              </w:rPr>
              <w:t>原件彩色扫描件</w:t>
            </w:r>
            <w:r>
              <w:rPr>
                <w:rFonts w:hint="eastAsia" w:ascii="宋体" w:hAnsi="宋体" w:eastAsia="宋体" w:cs="宋体"/>
                <w:b/>
                <w:bCs/>
                <w:color w:val="auto"/>
                <w:kern w:val="0"/>
                <w:sz w:val="21"/>
                <w:szCs w:val="21"/>
                <w:highlight w:val="none"/>
              </w:rPr>
              <w:t>加盖公章</w:t>
            </w:r>
            <w:r>
              <w:rPr>
                <w:rFonts w:hint="eastAsia" w:ascii="宋体" w:hAnsi="宋体" w:eastAsia="宋体" w:cs="宋体"/>
                <w:b/>
                <w:bCs/>
                <w:color w:val="auto"/>
                <w:kern w:val="0"/>
                <w:sz w:val="21"/>
                <w:szCs w:val="21"/>
                <w:highlight w:val="none"/>
                <w:lang w:eastAsia="zh-CN"/>
              </w:rPr>
              <w:t>。</w:t>
            </w:r>
          </w:p>
        </w:tc>
      </w:tr>
      <w:tr w14:paraId="63A4DA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75" w:type="dxa"/>
            <w:left w:w="75" w:type="dxa"/>
            <w:bottom w:w="75" w:type="dxa"/>
            <w:right w:w="75" w:type="dxa"/>
          </w:tblCellMar>
        </w:tblPrEx>
        <w:trPr>
          <w:trHeight w:val="829" w:hRule="atLeast"/>
        </w:trPr>
        <w:tc>
          <w:tcPr>
            <w:tcW w:w="600" w:type="dxa"/>
            <w:vMerge w:val="continue"/>
            <w:tcBorders>
              <w:left w:val="single" w:color="auto" w:sz="4" w:space="0"/>
              <w:right w:val="single" w:color="auto" w:sz="4" w:space="0"/>
            </w:tcBorders>
            <w:vAlign w:val="center"/>
          </w:tcPr>
          <w:p w14:paraId="7B9D3511">
            <w:pPr>
              <w:widowControl/>
              <w:suppressAutoHyphens w:val="0"/>
              <w:spacing w:line="360" w:lineRule="exact"/>
              <w:jc w:val="left"/>
              <w:rPr>
                <w:rFonts w:hint="eastAsia" w:ascii="宋体" w:hAnsi="宋体" w:eastAsia="宋体" w:cs="宋体"/>
                <w:color w:val="auto"/>
                <w:kern w:val="0"/>
                <w:sz w:val="21"/>
                <w:szCs w:val="21"/>
                <w:highlight w:val="none"/>
              </w:rPr>
            </w:pPr>
          </w:p>
        </w:tc>
        <w:tc>
          <w:tcPr>
            <w:tcW w:w="1100" w:type="dxa"/>
            <w:vMerge w:val="continue"/>
            <w:tcBorders>
              <w:left w:val="single" w:color="auto" w:sz="4" w:space="0"/>
              <w:right w:val="single" w:color="auto" w:sz="4" w:space="0"/>
            </w:tcBorders>
            <w:noWrap/>
            <w:vAlign w:val="center"/>
          </w:tcPr>
          <w:p w14:paraId="4685F76D">
            <w:pPr>
              <w:widowControl/>
              <w:spacing w:line="360" w:lineRule="exact"/>
              <w:jc w:val="center"/>
              <w:rPr>
                <w:rFonts w:hint="eastAsia" w:ascii="宋体" w:hAnsi="宋体" w:eastAsia="宋体" w:cs="宋体"/>
                <w:color w:val="auto"/>
                <w:kern w:val="0"/>
                <w:sz w:val="21"/>
                <w:szCs w:val="21"/>
                <w:highlight w:val="none"/>
              </w:rPr>
            </w:pPr>
          </w:p>
        </w:tc>
        <w:tc>
          <w:tcPr>
            <w:tcW w:w="1300" w:type="dxa"/>
            <w:tcBorders>
              <w:top w:val="single" w:color="auto" w:sz="4" w:space="0"/>
              <w:left w:val="single" w:color="auto" w:sz="4" w:space="0"/>
              <w:right w:val="single" w:color="auto" w:sz="4" w:space="0"/>
            </w:tcBorders>
            <w:noWrap/>
            <w:vAlign w:val="center"/>
          </w:tcPr>
          <w:p w14:paraId="25A0F9BD">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cs="宋体"/>
                <w:bCs/>
                <w:color w:val="auto"/>
                <w:kern w:val="0"/>
                <w:szCs w:val="21"/>
                <w:highlight w:val="none"/>
              </w:rPr>
              <w:t>拟投入服务团队概况</w:t>
            </w:r>
            <w:r>
              <w:rPr>
                <w:rFonts w:hint="eastAsia" w:ascii="宋体" w:hAnsi="宋体" w:eastAsia="宋体" w:cs="宋体"/>
                <w:i w:val="0"/>
                <w:iCs w:val="0"/>
                <w:color w:val="auto"/>
                <w:kern w:val="0"/>
                <w:sz w:val="21"/>
                <w:szCs w:val="21"/>
                <w:highlight w:val="none"/>
                <w:u w:val="none"/>
                <w:lang w:val="en-US" w:eastAsia="zh-CN" w:bidi="ar"/>
              </w:rPr>
              <w:t>（20分）</w:t>
            </w:r>
          </w:p>
        </w:tc>
        <w:tc>
          <w:tcPr>
            <w:tcW w:w="6698" w:type="dxa"/>
            <w:gridSpan w:val="3"/>
            <w:tcBorders>
              <w:top w:val="single" w:color="auto" w:sz="4" w:space="0"/>
              <w:left w:val="single" w:color="auto" w:sz="4" w:space="0"/>
              <w:bottom w:val="single" w:color="auto" w:sz="4" w:space="0"/>
              <w:right w:val="single" w:color="auto" w:sz="4" w:space="0"/>
            </w:tcBorders>
            <w:noWrap/>
            <w:vAlign w:val="center"/>
          </w:tcPr>
          <w:p w14:paraId="3F247E40">
            <w:pPr>
              <w:spacing w:line="320" w:lineRule="exact"/>
              <w:rPr>
                <w:rFonts w:ascii="宋体" w:hAnsi="宋体" w:cs="宋体"/>
                <w:color w:val="auto"/>
                <w:kern w:val="0"/>
                <w:szCs w:val="21"/>
                <w:highlight w:val="none"/>
              </w:rPr>
            </w:pPr>
            <w:r>
              <w:rPr>
                <w:rFonts w:hint="eastAsia" w:ascii="宋体" w:hAnsi="宋体" w:cs="宋体"/>
                <w:color w:val="auto"/>
                <w:kern w:val="0"/>
                <w:szCs w:val="21"/>
              </w:rPr>
              <w:t>供应商应根据项目特点、工作内容及要求配备齐全的相应工作人</w:t>
            </w:r>
            <w:r>
              <w:rPr>
                <w:rFonts w:hint="eastAsia" w:ascii="宋体" w:hAnsi="宋体" w:cs="宋体"/>
                <w:color w:val="auto"/>
                <w:kern w:val="0"/>
                <w:szCs w:val="21"/>
                <w:highlight w:val="none"/>
              </w:rPr>
              <w:t>员：</w:t>
            </w:r>
          </w:p>
          <w:p w14:paraId="1C9DFECE">
            <w:pPr>
              <w:widowControl/>
              <w:jc w:val="left"/>
              <w:rPr>
                <w:color w:val="auto"/>
                <w:highlight w:val="none"/>
              </w:rPr>
            </w:pPr>
            <w:r>
              <w:rPr>
                <w:rFonts w:hint="eastAsia" w:ascii="宋体" w:hAnsi="宋体" w:cs="宋体"/>
                <w:color w:val="auto"/>
                <w:kern w:val="0"/>
                <w:szCs w:val="21"/>
                <w:highlight w:val="none"/>
              </w:rPr>
              <w:t>1、配备</w:t>
            </w:r>
            <w:r>
              <w:rPr>
                <w:rFonts w:hint="eastAsia" w:ascii="宋体" w:hAnsi="宋体" w:cs="宋体"/>
                <w:color w:val="auto"/>
                <w:kern w:val="0"/>
                <w:szCs w:val="21"/>
                <w:highlight w:val="none"/>
                <w:lang w:val="en-US" w:eastAsia="zh-CN"/>
              </w:rPr>
              <w:t>在校绿化养护队伍</w:t>
            </w:r>
            <w:r>
              <w:rPr>
                <w:rFonts w:hint="eastAsia" w:ascii="宋体" w:hAnsi="宋体" w:cs="宋体"/>
                <w:color w:val="auto"/>
                <w:kern w:val="0"/>
                <w:szCs w:val="21"/>
                <w:highlight w:val="none"/>
                <w:lang w:bidi="ar"/>
              </w:rPr>
              <w:t>在</w:t>
            </w:r>
            <w:r>
              <w:rPr>
                <w:rFonts w:hint="eastAsia" w:ascii="宋体" w:hAnsi="宋体" w:cs="宋体"/>
                <w:color w:val="auto"/>
                <w:kern w:val="0"/>
                <w:szCs w:val="21"/>
                <w:highlight w:val="none"/>
                <w:lang w:val="en-US" w:eastAsia="zh-CN" w:bidi="ar"/>
              </w:rPr>
              <w:t>30</w:t>
            </w:r>
            <w:r>
              <w:rPr>
                <w:rFonts w:hint="eastAsia" w:ascii="宋体" w:hAnsi="宋体" w:cs="宋体"/>
                <w:color w:val="auto"/>
                <w:kern w:val="0"/>
                <w:szCs w:val="21"/>
                <w:highlight w:val="none"/>
                <w:lang w:bidi="ar"/>
              </w:rPr>
              <w:t>人（含）以上，得</w:t>
            </w:r>
            <w:r>
              <w:rPr>
                <w:rFonts w:hint="eastAsia" w:ascii="宋体" w:hAnsi="宋体" w:cs="宋体"/>
                <w:color w:val="auto"/>
                <w:kern w:val="0"/>
                <w:szCs w:val="21"/>
                <w:highlight w:val="none"/>
                <w:lang w:val="en-US" w:eastAsia="zh-CN" w:bidi="ar"/>
              </w:rPr>
              <w:t>11分</w:t>
            </w:r>
            <w:r>
              <w:rPr>
                <w:rFonts w:hint="eastAsia" w:ascii="宋体" w:hAnsi="宋体" w:cs="宋体"/>
                <w:color w:val="auto"/>
                <w:kern w:val="0"/>
                <w:szCs w:val="21"/>
                <w:highlight w:val="none"/>
                <w:lang w:bidi="ar"/>
              </w:rPr>
              <w:t>；</w:t>
            </w:r>
            <w:r>
              <w:rPr>
                <w:rFonts w:hint="eastAsia" w:ascii="宋体" w:hAnsi="宋体" w:cs="宋体"/>
                <w:color w:val="auto"/>
                <w:kern w:val="0"/>
                <w:szCs w:val="21"/>
                <w:highlight w:val="none"/>
                <w:lang w:val="en-US" w:eastAsia="zh-CN" w:bidi="ar"/>
              </w:rPr>
              <w:t>25</w:t>
            </w:r>
            <w:r>
              <w:rPr>
                <w:rFonts w:hint="eastAsia" w:ascii="宋体" w:hAnsi="宋体" w:cs="宋体"/>
                <w:color w:val="auto"/>
                <w:kern w:val="0"/>
                <w:szCs w:val="21"/>
                <w:highlight w:val="none"/>
                <w:lang w:bidi="ar"/>
              </w:rPr>
              <w:t>人（含）以上</w:t>
            </w:r>
            <w:r>
              <w:rPr>
                <w:rFonts w:hint="eastAsia" w:ascii="宋体" w:hAnsi="宋体" w:cs="宋体"/>
                <w:color w:val="auto"/>
                <w:kern w:val="0"/>
                <w:szCs w:val="21"/>
                <w:highlight w:val="none"/>
                <w:lang w:val="en-US" w:eastAsia="zh-CN" w:bidi="ar"/>
              </w:rPr>
              <w:t>30</w:t>
            </w:r>
            <w:r>
              <w:rPr>
                <w:rFonts w:hint="eastAsia" w:ascii="宋体" w:hAnsi="宋体" w:cs="宋体"/>
                <w:color w:val="auto"/>
                <w:kern w:val="0"/>
                <w:szCs w:val="21"/>
                <w:highlight w:val="none"/>
                <w:lang w:bidi="ar"/>
              </w:rPr>
              <w:t>人以下，得</w:t>
            </w:r>
            <w:r>
              <w:rPr>
                <w:rFonts w:hint="eastAsia" w:ascii="宋体" w:hAnsi="宋体" w:cs="宋体"/>
                <w:color w:val="auto"/>
                <w:kern w:val="0"/>
                <w:szCs w:val="21"/>
                <w:highlight w:val="none"/>
                <w:lang w:val="en-US" w:eastAsia="zh-CN" w:bidi="ar"/>
              </w:rPr>
              <w:t>8</w:t>
            </w:r>
            <w:r>
              <w:rPr>
                <w:rFonts w:hint="eastAsia" w:ascii="宋体" w:hAnsi="宋体" w:cs="宋体"/>
                <w:color w:val="auto"/>
                <w:kern w:val="0"/>
                <w:szCs w:val="21"/>
                <w:highlight w:val="none"/>
                <w:lang w:bidi="ar"/>
              </w:rPr>
              <w:t>分；</w:t>
            </w:r>
            <w:r>
              <w:rPr>
                <w:rFonts w:hint="eastAsia" w:ascii="宋体" w:hAnsi="宋体" w:cs="宋体"/>
                <w:color w:val="auto"/>
                <w:kern w:val="0"/>
                <w:szCs w:val="21"/>
                <w:highlight w:val="none"/>
                <w:lang w:val="en-US" w:eastAsia="zh-CN" w:bidi="ar"/>
              </w:rPr>
              <w:t>20</w:t>
            </w:r>
            <w:r>
              <w:rPr>
                <w:rFonts w:hint="eastAsia" w:ascii="宋体" w:hAnsi="宋体" w:cs="宋体"/>
                <w:color w:val="auto"/>
                <w:kern w:val="0"/>
                <w:szCs w:val="21"/>
                <w:highlight w:val="none"/>
                <w:lang w:bidi="ar"/>
              </w:rPr>
              <w:t>人（含）以上</w:t>
            </w:r>
            <w:r>
              <w:rPr>
                <w:rFonts w:hint="eastAsia" w:ascii="宋体" w:hAnsi="宋体" w:cs="宋体"/>
                <w:color w:val="auto"/>
                <w:kern w:val="0"/>
                <w:szCs w:val="21"/>
                <w:highlight w:val="none"/>
                <w:lang w:val="en-US" w:eastAsia="zh-CN" w:bidi="ar"/>
              </w:rPr>
              <w:t>25</w:t>
            </w:r>
            <w:r>
              <w:rPr>
                <w:rFonts w:hint="eastAsia" w:ascii="宋体" w:hAnsi="宋体" w:cs="宋体"/>
                <w:color w:val="auto"/>
                <w:kern w:val="0"/>
                <w:szCs w:val="21"/>
                <w:highlight w:val="none"/>
                <w:lang w:bidi="ar"/>
              </w:rPr>
              <w:t>人以下，得</w:t>
            </w:r>
            <w:r>
              <w:rPr>
                <w:rFonts w:hint="eastAsia" w:ascii="宋体" w:hAnsi="宋体" w:cs="宋体"/>
                <w:color w:val="auto"/>
                <w:kern w:val="0"/>
                <w:szCs w:val="21"/>
                <w:highlight w:val="none"/>
                <w:lang w:val="en-US" w:eastAsia="zh-CN" w:bidi="ar"/>
              </w:rPr>
              <w:t>5</w:t>
            </w:r>
            <w:r>
              <w:rPr>
                <w:rFonts w:hint="eastAsia" w:ascii="宋体" w:hAnsi="宋体" w:cs="宋体"/>
                <w:color w:val="auto"/>
                <w:kern w:val="0"/>
                <w:szCs w:val="21"/>
                <w:highlight w:val="none"/>
                <w:lang w:bidi="ar"/>
              </w:rPr>
              <w:t>分；</w:t>
            </w:r>
            <w:r>
              <w:rPr>
                <w:rFonts w:hint="eastAsia" w:ascii="宋体" w:hAnsi="宋体" w:cs="宋体"/>
                <w:color w:val="auto"/>
                <w:kern w:val="0"/>
                <w:szCs w:val="21"/>
                <w:highlight w:val="none"/>
                <w:lang w:val="en-US" w:eastAsia="zh-CN" w:bidi="ar"/>
              </w:rPr>
              <w:t>20</w:t>
            </w:r>
            <w:r>
              <w:rPr>
                <w:rFonts w:hint="eastAsia" w:ascii="宋体" w:hAnsi="宋体" w:cs="宋体"/>
                <w:color w:val="auto"/>
                <w:kern w:val="0"/>
                <w:szCs w:val="21"/>
                <w:highlight w:val="none"/>
                <w:lang w:bidi="ar"/>
              </w:rPr>
              <w:t>人以下不得分。</w:t>
            </w:r>
          </w:p>
          <w:p w14:paraId="07A7B429">
            <w:pPr>
              <w:spacing w:line="320" w:lineRule="exact"/>
              <w:rPr>
                <w:rFonts w:ascii="宋体" w:hAnsi="宋体" w:cs="宋体"/>
                <w:b/>
                <w:bCs/>
                <w:color w:val="auto"/>
                <w:kern w:val="0"/>
                <w:szCs w:val="21"/>
              </w:rPr>
            </w:pPr>
            <w:r>
              <w:rPr>
                <w:rFonts w:hint="eastAsia" w:ascii="宋体" w:hAnsi="宋体" w:cs="宋体"/>
                <w:b/>
                <w:bCs/>
                <w:color w:val="auto"/>
                <w:kern w:val="0"/>
                <w:szCs w:val="21"/>
              </w:rPr>
              <w:t>须提供证明材料包括：人员身份证及花名册及劳务（劳动）合同；</w:t>
            </w:r>
          </w:p>
          <w:p w14:paraId="734B85D2">
            <w:pPr>
              <w:spacing w:line="320" w:lineRule="exact"/>
              <w:rPr>
                <w:rFonts w:ascii="宋体" w:hAnsi="宋体" w:cs="宋体"/>
                <w:color w:val="auto"/>
                <w:kern w:val="0"/>
                <w:szCs w:val="21"/>
              </w:rPr>
            </w:pPr>
            <w:r>
              <w:rPr>
                <w:rFonts w:hint="eastAsia" w:ascii="宋体" w:hAnsi="宋体" w:cs="宋体"/>
                <w:color w:val="auto"/>
                <w:kern w:val="0"/>
                <w:szCs w:val="21"/>
              </w:rPr>
              <w:t>2、</w:t>
            </w:r>
            <w:r>
              <w:rPr>
                <w:rFonts w:hint="eastAsia" w:ascii="宋体" w:hAnsi="宋体" w:cs="宋体"/>
                <w:color w:val="auto"/>
                <w:kern w:val="0"/>
                <w:szCs w:val="21"/>
                <w:lang w:val="en-US" w:eastAsia="zh-CN"/>
              </w:rPr>
              <w:t>绿化养护专业技术人员</w:t>
            </w:r>
            <w:r>
              <w:rPr>
                <w:rFonts w:hint="eastAsia" w:ascii="宋体" w:hAnsi="宋体" w:cs="宋体"/>
                <w:color w:val="auto"/>
                <w:kern w:val="0"/>
                <w:szCs w:val="21"/>
              </w:rPr>
              <w:t>：</w:t>
            </w:r>
          </w:p>
          <w:p w14:paraId="17F37A1C">
            <w:pPr>
              <w:spacing w:line="320" w:lineRule="exact"/>
              <w:rPr>
                <w:color w:val="auto"/>
              </w:rPr>
            </w:pPr>
            <w:r>
              <w:rPr>
                <w:rFonts w:hint="eastAsia"/>
                <w:color w:val="auto"/>
              </w:rPr>
              <w:t>提供不少于</w:t>
            </w:r>
            <w:r>
              <w:rPr>
                <w:rFonts w:hint="eastAsia"/>
                <w:color w:val="auto"/>
                <w:lang w:val="en-US" w:eastAsia="zh-CN"/>
              </w:rPr>
              <w:t>4</w:t>
            </w:r>
            <w:r>
              <w:rPr>
                <w:rFonts w:hint="eastAsia"/>
                <w:color w:val="auto"/>
              </w:rPr>
              <w:t>人，</w:t>
            </w:r>
            <w:r>
              <w:rPr>
                <w:rFonts w:hint="eastAsia"/>
                <w:color w:val="auto"/>
                <w:lang w:val="en-US" w:eastAsia="zh-CN"/>
              </w:rPr>
              <w:t>4</w:t>
            </w:r>
            <w:r>
              <w:rPr>
                <w:rFonts w:hint="eastAsia"/>
                <w:color w:val="auto"/>
              </w:rPr>
              <w:t>人（含）得</w:t>
            </w:r>
            <w:r>
              <w:rPr>
                <w:rFonts w:hint="eastAsia"/>
                <w:color w:val="auto"/>
                <w:lang w:val="en-US" w:eastAsia="zh-CN"/>
              </w:rPr>
              <w:t>3</w:t>
            </w:r>
            <w:r>
              <w:rPr>
                <w:rFonts w:hint="eastAsia"/>
                <w:color w:val="auto"/>
              </w:rPr>
              <w:t>分，每增加1人加</w:t>
            </w:r>
            <w:r>
              <w:rPr>
                <w:rFonts w:hint="eastAsia"/>
                <w:color w:val="auto"/>
                <w:lang w:val="en-US" w:eastAsia="zh-CN"/>
              </w:rPr>
              <w:t>1.5</w:t>
            </w:r>
            <w:r>
              <w:rPr>
                <w:rFonts w:hint="eastAsia"/>
                <w:color w:val="auto"/>
              </w:rPr>
              <w:t>分，提供</w:t>
            </w:r>
            <w:r>
              <w:rPr>
                <w:rFonts w:hint="eastAsia"/>
                <w:color w:val="auto"/>
                <w:lang w:val="en-US" w:eastAsia="zh-CN"/>
              </w:rPr>
              <w:t>8</w:t>
            </w:r>
            <w:r>
              <w:rPr>
                <w:rFonts w:hint="eastAsia"/>
                <w:color w:val="auto"/>
              </w:rPr>
              <w:t>人得满分，满分</w:t>
            </w:r>
            <w:r>
              <w:rPr>
                <w:rFonts w:hint="eastAsia"/>
                <w:color w:val="auto"/>
                <w:lang w:val="en-US" w:eastAsia="zh-CN"/>
              </w:rPr>
              <w:t>9</w:t>
            </w:r>
            <w:r>
              <w:rPr>
                <w:rFonts w:hint="eastAsia"/>
                <w:color w:val="auto"/>
              </w:rPr>
              <w:t>分。</w:t>
            </w:r>
            <w:r>
              <w:rPr>
                <w:rFonts w:hint="eastAsia"/>
                <w:color w:val="auto"/>
                <w:lang w:val="en-US" w:eastAsia="zh-CN"/>
              </w:rPr>
              <w:t>4</w:t>
            </w:r>
            <w:r>
              <w:rPr>
                <w:rFonts w:hint="eastAsia"/>
                <w:color w:val="auto"/>
              </w:rPr>
              <w:t>人以下不得分。</w:t>
            </w:r>
            <w:r>
              <w:rPr>
                <w:rFonts w:hint="eastAsia"/>
                <w:b/>
                <w:bCs/>
                <w:color w:val="auto"/>
              </w:rPr>
              <w:t>服务本项目</w:t>
            </w:r>
            <w:r>
              <w:rPr>
                <w:rFonts w:hint="eastAsia"/>
                <w:b/>
                <w:bCs/>
                <w:color w:val="auto"/>
                <w:lang w:val="en-US" w:eastAsia="zh-CN"/>
              </w:rPr>
              <w:t>专业技术人员</w:t>
            </w:r>
            <w:r>
              <w:rPr>
                <w:rFonts w:hint="eastAsia"/>
                <w:b/>
                <w:bCs/>
                <w:color w:val="auto"/>
              </w:rPr>
              <w:t>须提供与该项目相关的有效</w:t>
            </w:r>
            <w:r>
              <w:rPr>
                <w:rFonts w:hint="eastAsia"/>
                <w:b/>
                <w:bCs/>
                <w:color w:val="auto"/>
                <w:lang w:val="en-US" w:eastAsia="zh-CN"/>
              </w:rPr>
              <w:t>资格证书或职称证书（中级或以上）</w:t>
            </w:r>
            <w:r>
              <w:rPr>
                <w:rFonts w:hint="eastAsia"/>
                <w:b/>
                <w:bCs/>
                <w:color w:val="auto"/>
              </w:rPr>
              <w:t>。</w:t>
            </w:r>
          </w:p>
          <w:p w14:paraId="75D2DACB">
            <w:pPr>
              <w:keepNext w:val="0"/>
              <w:keepLines w:val="0"/>
              <w:widowControl/>
              <w:suppressLineNumbers w:val="0"/>
              <w:jc w:val="both"/>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b/>
                <w:bCs/>
                <w:color w:val="auto"/>
                <w:lang w:val="en-US" w:eastAsia="zh-CN"/>
              </w:rPr>
              <w:t>绿化养护队伍不</w:t>
            </w:r>
            <w:r>
              <w:rPr>
                <w:rFonts w:hint="eastAsia"/>
                <w:b/>
                <w:bCs/>
                <w:color w:val="auto"/>
              </w:rPr>
              <w:t>包含</w:t>
            </w:r>
            <w:r>
              <w:rPr>
                <w:rFonts w:hint="eastAsia"/>
                <w:b/>
                <w:bCs/>
                <w:color w:val="auto"/>
                <w:lang w:val="en-US" w:eastAsia="zh-CN"/>
              </w:rPr>
              <w:t>专业技术人员</w:t>
            </w:r>
            <w:r>
              <w:rPr>
                <w:rFonts w:hint="eastAsia"/>
                <w:b/>
                <w:bCs/>
                <w:color w:val="auto"/>
              </w:rPr>
              <w:t>，</w:t>
            </w:r>
            <w:r>
              <w:rPr>
                <w:rFonts w:hint="eastAsia" w:ascii="宋体" w:hAnsi="宋体" w:cs="宋体"/>
                <w:b/>
                <w:bCs/>
                <w:color w:val="auto"/>
                <w:kern w:val="0"/>
                <w:szCs w:val="21"/>
              </w:rPr>
              <w:t>以上材料未提供或提供不全不得分。</w:t>
            </w:r>
            <w:r>
              <w:rPr>
                <w:rStyle w:val="103"/>
                <w:rFonts w:hint="eastAsia" w:ascii="宋体" w:hAnsi="宋体" w:eastAsia="宋体" w:cs="宋体"/>
                <w:b/>
                <w:bCs/>
                <w:color w:val="auto"/>
                <w:sz w:val="21"/>
                <w:szCs w:val="21"/>
                <w:highlight w:val="none"/>
                <w:lang w:val="en-US"/>
              </w:rPr>
              <w:t>以上材料</w:t>
            </w:r>
            <w:r>
              <w:rPr>
                <w:rFonts w:hint="eastAsia" w:ascii="宋体" w:hAnsi="宋体" w:eastAsia="宋体" w:cs="宋体"/>
                <w:b/>
                <w:bCs/>
                <w:color w:val="auto"/>
                <w:kern w:val="0"/>
                <w:sz w:val="21"/>
                <w:szCs w:val="21"/>
                <w:highlight w:val="none"/>
              </w:rPr>
              <w:t>提供</w:t>
            </w:r>
            <w:r>
              <w:rPr>
                <w:rFonts w:hint="eastAsia" w:ascii="宋体" w:hAnsi="宋体" w:eastAsia="宋体" w:cs="宋体"/>
                <w:b/>
                <w:bCs/>
                <w:color w:val="auto"/>
                <w:kern w:val="0"/>
                <w:sz w:val="21"/>
                <w:szCs w:val="21"/>
                <w:highlight w:val="none"/>
                <w:lang w:val="en-US" w:eastAsia="zh-CN"/>
              </w:rPr>
              <w:t>原件彩色扫描件</w:t>
            </w:r>
            <w:r>
              <w:rPr>
                <w:rFonts w:hint="eastAsia" w:ascii="宋体" w:hAnsi="宋体" w:eastAsia="宋体" w:cs="宋体"/>
                <w:b/>
                <w:bCs/>
                <w:color w:val="auto"/>
                <w:kern w:val="0"/>
                <w:sz w:val="21"/>
                <w:szCs w:val="21"/>
                <w:highlight w:val="none"/>
              </w:rPr>
              <w:t>加盖公章</w:t>
            </w:r>
            <w:r>
              <w:rPr>
                <w:rFonts w:hint="eastAsia" w:ascii="宋体" w:hAnsi="宋体" w:eastAsia="宋体" w:cs="宋体"/>
                <w:b/>
                <w:bCs/>
                <w:color w:val="auto"/>
                <w:kern w:val="0"/>
                <w:sz w:val="21"/>
                <w:szCs w:val="21"/>
                <w:highlight w:val="none"/>
                <w:lang w:eastAsia="zh-CN"/>
              </w:rPr>
              <w:t>。</w:t>
            </w:r>
          </w:p>
        </w:tc>
      </w:tr>
      <w:tr w14:paraId="0BD718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75" w:type="dxa"/>
            <w:left w:w="75" w:type="dxa"/>
            <w:bottom w:w="75" w:type="dxa"/>
            <w:right w:w="75" w:type="dxa"/>
          </w:tblCellMar>
        </w:tblPrEx>
        <w:trPr>
          <w:trHeight w:val="90" w:hRule="atLeast"/>
        </w:trPr>
        <w:tc>
          <w:tcPr>
            <w:tcW w:w="600" w:type="dxa"/>
            <w:vMerge w:val="continue"/>
            <w:tcBorders>
              <w:top w:val="single" w:color="auto" w:sz="4" w:space="0"/>
              <w:left w:val="single" w:color="auto" w:sz="4" w:space="0"/>
              <w:bottom w:val="single" w:color="auto" w:sz="4" w:space="0"/>
              <w:right w:val="single" w:color="auto" w:sz="4" w:space="0"/>
            </w:tcBorders>
            <w:vAlign w:val="center"/>
          </w:tcPr>
          <w:p w14:paraId="1165432E">
            <w:pPr>
              <w:pStyle w:val="46"/>
              <w:spacing w:line="360" w:lineRule="exact"/>
              <w:rPr>
                <w:rFonts w:hint="eastAsia" w:ascii="宋体" w:hAnsi="宋体" w:eastAsia="宋体" w:cs="宋体"/>
                <w:b w:val="0"/>
                <w:bCs/>
                <w:color w:val="auto"/>
                <w:sz w:val="21"/>
                <w:szCs w:val="21"/>
                <w:highlight w:val="none"/>
                <w:lang w:val="en-US" w:eastAsia="zh-CN"/>
              </w:rPr>
            </w:pPr>
          </w:p>
        </w:tc>
        <w:tc>
          <w:tcPr>
            <w:tcW w:w="1100" w:type="dxa"/>
            <w:vMerge w:val="restart"/>
            <w:tcBorders>
              <w:top w:val="single" w:color="auto" w:sz="4" w:space="0"/>
              <w:left w:val="single" w:color="auto" w:sz="4" w:space="0"/>
              <w:right w:val="single" w:color="auto" w:sz="4" w:space="0"/>
            </w:tcBorders>
            <w:noWrap/>
            <w:vAlign w:val="center"/>
          </w:tcPr>
          <w:p w14:paraId="2D8C9A4E">
            <w:pPr>
              <w:pStyle w:val="46"/>
              <w:spacing w:line="360" w:lineRule="exact"/>
              <w:jc w:val="center"/>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技术部分（51分）</w:t>
            </w:r>
          </w:p>
        </w:tc>
        <w:tc>
          <w:tcPr>
            <w:tcW w:w="1300" w:type="dxa"/>
            <w:tcBorders>
              <w:top w:val="single" w:color="auto" w:sz="4" w:space="0"/>
              <w:left w:val="single" w:color="auto" w:sz="4" w:space="0"/>
              <w:right w:val="single" w:color="auto" w:sz="4" w:space="0"/>
            </w:tcBorders>
            <w:noWrap/>
            <w:vAlign w:val="center"/>
          </w:tcPr>
          <w:p w14:paraId="25830228">
            <w:pPr>
              <w:pStyle w:val="46"/>
              <w:spacing w:line="360" w:lineRule="exact"/>
              <w:jc w:val="center"/>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项目实施方案（24分）</w:t>
            </w:r>
          </w:p>
        </w:tc>
        <w:tc>
          <w:tcPr>
            <w:tcW w:w="6698" w:type="dxa"/>
            <w:gridSpan w:val="3"/>
            <w:tcBorders>
              <w:top w:val="single" w:color="auto" w:sz="4" w:space="0"/>
              <w:left w:val="single" w:color="auto" w:sz="4" w:space="0"/>
              <w:bottom w:val="single" w:color="auto" w:sz="4" w:space="0"/>
              <w:right w:val="single" w:color="auto" w:sz="4" w:space="0"/>
            </w:tcBorders>
            <w:noWrap/>
            <w:vAlign w:val="center"/>
          </w:tcPr>
          <w:p w14:paraId="21BC2673">
            <w:pPr>
              <w:keepNext w:val="0"/>
              <w:keepLines w:val="0"/>
              <w:widowControl/>
              <w:suppressLineNumbers w:val="0"/>
              <w:jc w:val="left"/>
              <w:textAlignment w:val="center"/>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供应商根据本项目特点，</w:t>
            </w:r>
            <w:r>
              <w:rPr>
                <w:rFonts w:hint="eastAsia" w:ascii="宋体" w:hAnsi="宋体" w:eastAsia="宋体" w:cs="宋体"/>
                <w:b w:val="0"/>
                <w:i w:val="0"/>
                <w:iCs w:val="0"/>
                <w:color w:val="auto"/>
                <w:kern w:val="0"/>
                <w:sz w:val="21"/>
                <w:szCs w:val="21"/>
                <w:highlight w:val="none"/>
                <w:u w:val="none"/>
                <w:lang w:val="en-US" w:eastAsia="zh-CN" w:bidi="ar"/>
              </w:rPr>
              <w:t>提供的</w:t>
            </w:r>
            <w:r>
              <w:rPr>
                <w:rFonts w:hint="eastAsia" w:ascii="宋体" w:hAnsi="宋体" w:eastAsia="宋体" w:cs="宋体"/>
                <w:b w:val="0"/>
                <w:bCs/>
                <w:color w:val="auto"/>
                <w:sz w:val="21"/>
                <w:szCs w:val="21"/>
                <w:highlight w:val="none"/>
                <w:lang w:val="en-US" w:eastAsia="zh-CN"/>
              </w:rPr>
              <w:t>项目实施方案</w:t>
            </w:r>
            <w:r>
              <w:rPr>
                <w:rFonts w:hint="eastAsia" w:ascii="宋体" w:hAnsi="宋体" w:eastAsia="宋体" w:cs="宋体"/>
                <w:b w:val="0"/>
                <w:i w:val="0"/>
                <w:iCs w:val="0"/>
                <w:color w:val="auto"/>
                <w:kern w:val="0"/>
                <w:sz w:val="21"/>
                <w:szCs w:val="21"/>
                <w:highlight w:val="none"/>
                <w:u w:val="none"/>
                <w:lang w:val="en-US" w:eastAsia="zh-CN" w:bidi="ar"/>
              </w:rPr>
              <w:t>进行评审，</w:t>
            </w:r>
            <w:r>
              <w:rPr>
                <w:rFonts w:hint="eastAsia" w:ascii="宋体" w:hAnsi="宋体" w:eastAsia="宋体" w:cs="宋体"/>
                <w:b w:val="0"/>
                <w:bCs/>
                <w:color w:val="auto"/>
                <w:sz w:val="21"/>
                <w:szCs w:val="21"/>
                <w:highlight w:val="none"/>
                <w:lang w:val="en-US" w:eastAsia="zh-CN"/>
              </w:rPr>
              <w:t>包括以下要素内容：①乔木、灌木、花卉、地被、绿篱、草坪等的校园绿化整体养护措施方案，包括浇水排水、修剪、施肥、松土除草、清理树坑、扶植、死亡苗木更换、翻地播种、冬季防寒措施等；②植物病虫害防治方案；③绿化垃圾清运方案；④绿化管网维护保养使用及巡查检修、应急情况处理等方案；⑤编制养护日志及更新校区植物档案库；⑥安全施工作业方案等。</w:t>
            </w:r>
          </w:p>
          <w:p w14:paraId="080A66AA">
            <w:pPr>
              <w:keepNext w:val="0"/>
              <w:keepLines w:val="0"/>
              <w:widowControl/>
              <w:suppressLineNumbers w:val="0"/>
              <w:jc w:val="left"/>
              <w:textAlignment w:val="center"/>
              <w:rPr>
                <w:rFonts w:hint="eastAsia" w:ascii="宋体" w:hAnsi="宋体" w:eastAsia="宋体" w:cs="宋体"/>
                <w:b w:val="0"/>
                <w:bCs/>
                <w:color w:val="auto"/>
                <w:sz w:val="21"/>
                <w:szCs w:val="21"/>
                <w:highlight w:val="none"/>
                <w:lang w:val="en-US" w:eastAsia="zh-CN"/>
              </w:rPr>
            </w:pPr>
            <w:r>
              <w:rPr>
                <w:rFonts w:hint="eastAsia" w:ascii="宋体" w:hAnsi="宋体" w:eastAsia="宋体" w:cs="宋体"/>
                <w:color w:val="auto"/>
                <w:sz w:val="21"/>
                <w:szCs w:val="21"/>
                <w:highlight w:val="none"/>
                <w:lang w:val="en-US" w:eastAsia="zh-CN"/>
              </w:rPr>
              <w:t>以上内容全部内容满足需求的得24分，每缺少一项扣4分；每有一处不足或缺陷或不能符合项目实际</w:t>
            </w:r>
            <w:r>
              <w:rPr>
                <w:rFonts w:hint="eastAsia" w:ascii="宋体" w:hAnsi="宋体" w:eastAsia="宋体" w:cs="宋体"/>
                <w:sz w:val="21"/>
                <w:szCs w:val="21"/>
                <w:highlight w:val="none"/>
                <w:lang w:val="en-US" w:eastAsia="zh-CN"/>
              </w:rPr>
              <w:t>情况的扣2分，扣完为止，未提供不得分。</w:t>
            </w:r>
          </w:p>
          <w:p w14:paraId="76286389">
            <w:pPr>
              <w:keepNext w:val="0"/>
              <w:keepLines w:val="0"/>
              <w:widowControl/>
              <w:suppressLineNumbers w:val="0"/>
              <w:jc w:val="left"/>
              <w:textAlignment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注：1、内容满足需求是指：①内容与项目服务需求吻合、层次细化，有具体详细的阐述；②阐述从实际出发，切合项目背景、项目需求并提出专业技术建议或者解决方案；③内容符合国家、地方、行业标准、行业惯例以及项目特点；④内容清楚明了、表述规范、含义准确。</w:t>
            </w:r>
          </w:p>
          <w:p w14:paraId="007D5C5E">
            <w:pPr>
              <w:keepNext w:val="0"/>
              <w:keepLines w:val="0"/>
              <w:widowControl/>
              <w:suppressLineNumbers w:val="0"/>
              <w:jc w:val="left"/>
              <w:textAlignment w:val="center"/>
              <w:rPr>
                <w:rFonts w:hint="eastAsia" w:ascii="宋体" w:hAnsi="宋体" w:eastAsia="宋体" w:cs="宋体"/>
                <w:b w:val="0"/>
                <w:bCs/>
                <w:color w:val="auto"/>
                <w:sz w:val="21"/>
                <w:szCs w:val="21"/>
                <w:highlight w:val="none"/>
                <w:lang w:val="en-US" w:eastAsia="zh-CN"/>
              </w:rPr>
            </w:pPr>
            <w:r>
              <w:rPr>
                <w:rFonts w:hint="eastAsia" w:ascii="宋体" w:hAnsi="宋体" w:eastAsia="宋体" w:cs="宋体"/>
                <w:sz w:val="21"/>
                <w:szCs w:val="21"/>
                <w:highlight w:val="none"/>
                <w:lang w:val="en-US" w:eastAsia="zh-CN"/>
              </w:rPr>
              <w:t>2、①不足具体是指：对应单项中的内容缺失（不完整）、与对应单项的要求缺少重要节点（如仅有框架或标题、单项内容仅有复制招标内容的要求、涉及内容无重点）；②缺陷具体是指：单项方案中出现套用其他项目方案或内容、内容中出现前后描述不一致现象或语言描述出现有错误、内容涉及适用的规范及标准（方法）出现错误、实施地点区域错误等任意一种情形。</w:t>
            </w:r>
          </w:p>
        </w:tc>
      </w:tr>
      <w:tr w14:paraId="2AF3AF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75" w:type="dxa"/>
            <w:left w:w="75" w:type="dxa"/>
            <w:bottom w:w="75" w:type="dxa"/>
            <w:right w:w="75" w:type="dxa"/>
          </w:tblCellMar>
        </w:tblPrEx>
        <w:trPr>
          <w:trHeight w:val="1757" w:hRule="atLeast"/>
        </w:trPr>
        <w:tc>
          <w:tcPr>
            <w:tcW w:w="600" w:type="dxa"/>
            <w:vMerge w:val="continue"/>
            <w:tcBorders>
              <w:top w:val="single" w:color="auto" w:sz="4" w:space="0"/>
              <w:left w:val="single" w:color="auto" w:sz="4" w:space="0"/>
              <w:bottom w:val="single" w:color="auto" w:sz="4" w:space="0"/>
              <w:right w:val="single" w:color="auto" w:sz="4" w:space="0"/>
            </w:tcBorders>
            <w:vAlign w:val="center"/>
          </w:tcPr>
          <w:p w14:paraId="52F99952">
            <w:pPr>
              <w:pStyle w:val="46"/>
              <w:spacing w:line="360" w:lineRule="exact"/>
              <w:rPr>
                <w:rFonts w:hint="eastAsia" w:ascii="宋体" w:hAnsi="宋体" w:eastAsia="宋体" w:cs="宋体"/>
                <w:b w:val="0"/>
                <w:bCs/>
                <w:color w:val="auto"/>
                <w:sz w:val="21"/>
                <w:szCs w:val="21"/>
                <w:highlight w:val="none"/>
                <w:lang w:val="en-US" w:eastAsia="zh-CN"/>
              </w:rPr>
            </w:pPr>
          </w:p>
        </w:tc>
        <w:tc>
          <w:tcPr>
            <w:tcW w:w="1100" w:type="dxa"/>
            <w:vMerge w:val="continue"/>
            <w:tcBorders>
              <w:left w:val="single" w:color="auto" w:sz="4" w:space="0"/>
              <w:right w:val="single" w:color="auto" w:sz="4" w:space="0"/>
            </w:tcBorders>
            <w:noWrap/>
            <w:vAlign w:val="center"/>
          </w:tcPr>
          <w:p w14:paraId="4796E0F9">
            <w:pPr>
              <w:pStyle w:val="46"/>
              <w:spacing w:line="360" w:lineRule="exact"/>
              <w:rPr>
                <w:rFonts w:hint="eastAsia" w:ascii="宋体" w:hAnsi="宋体" w:eastAsia="宋体" w:cs="宋体"/>
                <w:b w:val="0"/>
                <w:bCs/>
                <w:color w:val="auto"/>
                <w:sz w:val="21"/>
                <w:szCs w:val="21"/>
                <w:highlight w:val="none"/>
                <w:lang w:val="en-US" w:eastAsia="zh-CN"/>
              </w:rPr>
            </w:pPr>
          </w:p>
        </w:tc>
        <w:tc>
          <w:tcPr>
            <w:tcW w:w="1300" w:type="dxa"/>
            <w:tcBorders>
              <w:left w:val="single" w:color="auto" w:sz="4" w:space="0"/>
              <w:right w:val="single" w:color="auto" w:sz="4" w:space="0"/>
            </w:tcBorders>
            <w:noWrap/>
            <w:vAlign w:val="center"/>
          </w:tcPr>
          <w:p w14:paraId="24C9E796">
            <w:pPr>
              <w:pStyle w:val="46"/>
              <w:spacing w:line="360" w:lineRule="exact"/>
              <w:jc w:val="center"/>
              <w:rPr>
                <w:rFonts w:hint="eastAsia" w:ascii="宋体" w:hAnsi="宋体" w:eastAsia="宋体" w:cs="宋体"/>
                <w:b w:val="0"/>
                <w:bCs/>
                <w:color w:val="auto"/>
                <w:sz w:val="21"/>
                <w:szCs w:val="21"/>
                <w:highlight w:val="none"/>
                <w:lang w:val="en-GB" w:eastAsia="zh-CN"/>
              </w:rPr>
            </w:pPr>
            <w:r>
              <w:rPr>
                <w:rFonts w:hint="eastAsia" w:ascii="宋体" w:hAnsi="宋体" w:eastAsia="宋体" w:cs="宋体"/>
                <w:b w:val="0"/>
                <w:bCs/>
                <w:color w:val="auto"/>
                <w:sz w:val="21"/>
                <w:szCs w:val="21"/>
                <w:highlight w:val="none"/>
                <w:lang w:val="en-GB" w:eastAsia="zh-CN"/>
              </w:rPr>
              <w:t>作业管理制度方案（</w:t>
            </w:r>
            <w:r>
              <w:rPr>
                <w:rFonts w:hint="eastAsia" w:ascii="宋体" w:hAnsi="宋体" w:eastAsia="宋体" w:cs="宋体"/>
                <w:b w:val="0"/>
                <w:bCs/>
                <w:color w:val="auto"/>
                <w:sz w:val="21"/>
                <w:szCs w:val="21"/>
                <w:highlight w:val="none"/>
                <w:lang w:val="en-US" w:eastAsia="zh-CN"/>
              </w:rPr>
              <w:t>15</w:t>
            </w:r>
            <w:r>
              <w:rPr>
                <w:rFonts w:hint="eastAsia" w:ascii="宋体" w:hAnsi="宋体" w:eastAsia="宋体" w:cs="宋体"/>
                <w:b w:val="0"/>
                <w:bCs/>
                <w:color w:val="auto"/>
                <w:sz w:val="21"/>
                <w:szCs w:val="21"/>
                <w:highlight w:val="none"/>
                <w:lang w:val="en-GB" w:eastAsia="zh-CN"/>
              </w:rPr>
              <w:t>分）</w:t>
            </w:r>
          </w:p>
        </w:tc>
        <w:tc>
          <w:tcPr>
            <w:tcW w:w="6698" w:type="dxa"/>
            <w:gridSpan w:val="3"/>
            <w:tcBorders>
              <w:top w:val="single" w:color="auto" w:sz="4" w:space="0"/>
              <w:left w:val="single" w:color="auto" w:sz="4" w:space="0"/>
              <w:bottom w:val="single" w:color="auto" w:sz="4" w:space="0"/>
              <w:right w:val="single" w:color="auto" w:sz="4" w:space="0"/>
            </w:tcBorders>
            <w:noWrap/>
            <w:vAlign w:val="center"/>
          </w:tcPr>
          <w:p w14:paraId="31FD3EC7">
            <w:pPr>
              <w:keepNext w:val="0"/>
              <w:keepLines w:val="0"/>
              <w:widowControl/>
              <w:suppressLineNumbers w:val="0"/>
              <w:jc w:val="left"/>
              <w:textAlignment w:val="center"/>
              <w:rPr>
                <w:rFonts w:hint="eastAsia" w:ascii="宋体" w:hAnsi="宋体" w:eastAsia="宋体" w:cs="宋体"/>
                <w:b w:val="0"/>
                <w:i w:val="0"/>
                <w:iCs w:val="0"/>
                <w:color w:val="auto"/>
                <w:kern w:val="0"/>
                <w:sz w:val="21"/>
                <w:szCs w:val="21"/>
                <w:highlight w:val="none"/>
                <w:u w:val="none"/>
                <w:lang w:val="en-US" w:eastAsia="zh-CN" w:bidi="ar"/>
              </w:rPr>
            </w:pPr>
            <w:r>
              <w:rPr>
                <w:rFonts w:hint="eastAsia" w:ascii="宋体" w:hAnsi="宋体" w:eastAsia="宋体" w:cs="宋体"/>
                <w:b w:val="0"/>
                <w:i w:val="0"/>
                <w:iCs w:val="0"/>
                <w:color w:val="auto"/>
                <w:kern w:val="0"/>
                <w:sz w:val="21"/>
                <w:szCs w:val="21"/>
                <w:highlight w:val="none"/>
                <w:u w:val="none"/>
                <w:lang w:val="en-US" w:eastAsia="zh-CN" w:bidi="ar"/>
              </w:rPr>
              <w:t>供应商提供的针对本项目的作业管理制度，包括以下要素内容：①对人员的管理与培训方案；②对机具的管理；③针对各项维护内容的巡查措施；④巡查岗位职责及巡查流程；⑤发现问题、上报及处置机制等。</w:t>
            </w:r>
          </w:p>
          <w:p w14:paraId="02B56731">
            <w:pPr>
              <w:keepNext w:val="0"/>
              <w:keepLines w:val="0"/>
              <w:widowControl/>
              <w:suppressLineNumbers w:val="0"/>
              <w:jc w:val="left"/>
              <w:textAlignment w:val="center"/>
              <w:rPr>
                <w:rFonts w:hint="eastAsia" w:ascii="宋体" w:hAnsi="宋体" w:eastAsia="宋体" w:cs="宋体"/>
                <w:b w:val="0"/>
                <w:bCs/>
                <w:color w:val="auto"/>
                <w:sz w:val="21"/>
                <w:szCs w:val="21"/>
                <w:highlight w:val="none"/>
                <w:lang w:val="en-US" w:eastAsia="zh-CN"/>
              </w:rPr>
            </w:pPr>
            <w:r>
              <w:rPr>
                <w:rFonts w:hint="eastAsia" w:ascii="宋体" w:hAnsi="宋体" w:eastAsia="宋体" w:cs="宋体"/>
                <w:sz w:val="21"/>
                <w:szCs w:val="21"/>
                <w:highlight w:val="none"/>
                <w:lang w:val="en-US" w:eastAsia="zh-CN"/>
              </w:rPr>
              <w:t>以上内容全部内容满足需求的得15分，每缺少一项扣3分；每有一处不足或缺陷或不能符合项目实际情况的扣1.5分，扣完为止，未提供不得分。</w:t>
            </w:r>
          </w:p>
          <w:p w14:paraId="694BD327">
            <w:pPr>
              <w:keepNext w:val="0"/>
              <w:keepLines w:val="0"/>
              <w:widowControl/>
              <w:suppressLineNumbers w:val="0"/>
              <w:jc w:val="left"/>
              <w:textAlignment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注：1、内容满足需求是指：①内容与项目服务需求吻合、层次细化，有具体详细的阐述；②阐述从实际出发，切合项目背景、项目需求并提出专业技术建议或者解决方案；③内容符合国家、地方、行业标准、行业惯例以及项目特点；④内容清楚明了、表述规范、含义准确。</w:t>
            </w:r>
          </w:p>
          <w:p w14:paraId="02D15E96">
            <w:pPr>
              <w:keepNext w:val="0"/>
              <w:keepLines w:val="0"/>
              <w:widowControl/>
              <w:suppressLineNumbers w:val="0"/>
              <w:jc w:val="left"/>
              <w:textAlignment w:val="center"/>
              <w:rPr>
                <w:rFonts w:hint="eastAsia" w:ascii="宋体" w:hAnsi="宋体" w:eastAsia="宋体" w:cs="宋体"/>
                <w:b w:val="0"/>
                <w:i w:val="0"/>
                <w:iCs w:val="0"/>
                <w:color w:val="auto"/>
                <w:kern w:val="0"/>
                <w:sz w:val="21"/>
                <w:szCs w:val="21"/>
                <w:highlight w:val="none"/>
                <w:u w:val="none"/>
                <w:lang w:val="en-US" w:eastAsia="zh-CN" w:bidi="ar"/>
              </w:rPr>
            </w:pPr>
            <w:r>
              <w:rPr>
                <w:rFonts w:hint="eastAsia" w:ascii="宋体" w:hAnsi="宋体" w:eastAsia="宋体" w:cs="宋体"/>
                <w:sz w:val="21"/>
                <w:szCs w:val="21"/>
                <w:highlight w:val="none"/>
                <w:lang w:val="en-US" w:eastAsia="zh-CN"/>
              </w:rPr>
              <w:t>2、①不足具体是指：对应单项中的内容缺失（不完整）、与对应单项的要求缺少重要节点（如仅有框架或标题、单项内容仅有复制招标内容的要求、涉及内容无重点）；②缺陷具体是指：单项方案中出现套用其他项目方案或内容、内容中出现前后描述不一致现象或语言描述出现有错误、内容涉及适用的规范及标准（方法）出现错误、实施地点区域错误等任意一种情形。</w:t>
            </w:r>
          </w:p>
        </w:tc>
      </w:tr>
      <w:tr w14:paraId="1A0A9D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75" w:type="dxa"/>
            <w:left w:w="75" w:type="dxa"/>
            <w:bottom w:w="75" w:type="dxa"/>
            <w:right w:w="75" w:type="dxa"/>
          </w:tblCellMar>
        </w:tblPrEx>
        <w:trPr>
          <w:trHeight w:val="1020" w:hRule="atLeast"/>
        </w:trPr>
        <w:tc>
          <w:tcPr>
            <w:tcW w:w="600" w:type="dxa"/>
            <w:vMerge w:val="continue"/>
            <w:tcBorders>
              <w:top w:val="single" w:color="auto" w:sz="4" w:space="0"/>
              <w:left w:val="single" w:color="auto" w:sz="4" w:space="0"/>
              <w:bottom w:val="single" w:color="auto" w:sz="4" w:space="0"/>
              <w:right w:val="single" w:color="auto" w:sz="4" w:space="0"/>
            </w:tcBorders>
            <w:vAlign w:val="center"/>
          </w:tcPr>
          <w:p w14:paraId="1EDE9125">
            <w:pPr>
              <w:pStyle w:val="46"/>
              <w:spacing w:line="360" w:lineRule="exact"/>
              <w:rPr>
                <w:rFonts w:hint="eastAsia" w:ascii="宋体" w:hAnsi="宋体" w:eastAsia="宋体" w:cs="宋体"/>
                <w:b w:val="0"/>
                <w:bCs/>
                <w:color w:val="auto"/>
                <w:sz w:val="21"/>
                <w:szCs w:val="21"/>
                <w:highlight w:val="none"/>
                <w:lang w:val="en-US" w:eastAsia="zh-CN"/>
              </w:rPr>
            </w:pPr>
          </w:p>
        </w:tc>
        <w:tc>
          <w:tcPr>
            <w:tcW w:w="1100" w:type="dxa"/>
            <w:vMerge w:val="continue"/>
            <w:tcBorders>
              <w:left w:val="single" w:color="auto" w:sz="4" w:space="0"/>
              <w:right w:val="single" w:color="auto" w:sz="4" w:space="0"/>
            </w:tcBorders>
            <w:noWrap/>
            <w:vAlign w:val="center"/>
          </w:tcPr>
          <w:p w14:paraId="1A98703A">
            <w:pPr>
              <w:pStyle w:val="46"/>
              <w:spacing w:line="360" w:lineRule="exact"/>
              <w:rPr>
                <w:rFonts w:hint="eastAsia" w:ascii="宋体" w:hAnsi="宋体" w:eastAsia="宋体" w:cs="宋体"/>
                <w:b w:val="0"/>
                <w:bCs/>
                <w:color w:val="auto"/>
                <w:sz w:val="21"/>
                <w:szCs w:val="21"/>
                <w:highlight w:val="none"/>
                <w:lang w:val="en-US" w:eastAsia="zh-CN"/>
              </w:rPr>
            </w:pPr>
          </w:p>
        </w:tc>
        <w:tc>
          <w:tcPr>
            <w:tcW w:w="1300" w:type="dxa"/>
            <w:tcBorders>
              <w:left w:val="single" w:color="auto" w:sz="4" w:space="0"/>
              <w:right w:val="single" w:color="auto" w:sz="4" w:space="0"/>
            </w:tcBorders>
            <w:noWrap/>
            <w:vAlign w:val="center"/>
          </w:tcPr>
          <w:p w14:paraId="51DA1AE5">
            <w:pPr>
              <w:pStyle w:val="46"/>
              <w:spacing w:line="360" w:lineRule="exact"/>
              <w:jc w:val="center"/>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GB" w:eastAsia="zh-CN"/>
              </w:rPr>
              <w:t>质量控制方案（</w:t>
            </w:r>
            <w:r>
              <w:rPr>
                <w:rFonts w:hint="eastAsia" w:ascii="宋体" w:hAnsi="宋体" w:eastAsia="宋体" w:cs="宋体"/>
                <w:b w:val="0"/>
                <w:bCs/>
                <w:color w:val="auto"/>
                <w:sz w:val="21"/>
                <w:szCs w:val="21"/>
                <w:highlight w:val="none"/>
                <w:lang w:val="en-US" w:eastAsia="zh-CN"/>
              </w:rPr>
              <w:t>4分</w:t>
            </w:r>
            <w:r>
              <w:rPr>
                <w:rFonts w:hint="eastAsia" w:ascii="宋体" w:hAnsi="宋体" w:eastAsia="宋体" w:cs="宋体"/>
                <w:b w:val="0"/>
                <w:bCs/>
                <w:color w:val="auto"/>
                <w:sz w:val="21"/>
                <w:szCs w:val="21"/>
                <w:highlight w:val="none"/>
                <w:lang w:val="en-GB" w:eastAsia="zh-CN"/>
              </w:rPr>
              <w:t>）</w:t>
            </w:r>
          </w:p>
        </w:tc>
        <w:tc>
          <w:tcPr>
            <w:tcW w:w="6698" w:type="dxa"/>
            <w:gridSpan w:val="3"/>
            <w:tcBorders>
              <w:top w:val="single" w:color="auto" w:sz="4" w:space="0"/>
              <w:left w:val="single" w:color="auto" w:sz="4" w:space="0"/>
              <w:bottom w:val="single" w:color="auto" w:sz="4" w:space="0"/>
              <w:right w:val="single" w:color="auto" w:sz="4" w:space="0"/>
            </w:tcBorders>
            <w:noWrap/>
            <w:vAlign w:val="center"/>
          </w:tcPr>
          <w:p w14:paraId="1BCB9E97">
            <w:pPr>
              <w:keepNext w:val="0"/>
              <w:keepLines w:val="0"/>
              <w:widowControl/>
              <w:suppressLineNumbers w:val="0"/>
              <w:jc w:val="left"/>
              <w:textAlignment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供应商提供的针对本项目的质量控制方案，包括以下因素：①质量控制目标；②绿化管护质量控制措施等。</w:t>
            </w:r>
          </w:p>
          <w:p w14:paraId="17FD4304">
            <w:pPr>
              <w:keepNext w:val="0"/>
              <w:keepLines w:val="0"/>
              <w:widowControl/>
              <w:suppressLineNumbers w:val="0"/>
              <w:jc w:val="left"/>
              <w:textAlignment w:val="center"/>
              <w:rPr>
                <w:rFonts w:hint="eastAsia" w:ascii="宋体" w:hAnsi="宋体" w:eastAsia="宋体" w:cs="宋体"/>
                <w:b w:val="0"/>
                <w:bCs/>
                <w:color w:val="auto"/>
                <w:sz w:val="21"/>
                <w:szCs w:val="21"/>
                <w:highlight w:val="none"/>
                <w:lang w:val="en-US" w:eastAsia="zh-CN"/>
              </w:rPr>
            </w:pPr>
            <w:r>
              <w:rPr>
                <w:rFonts w:hint="eastAsia" w:ascii="宋体" w:hAnsi="宋体" w:eastAsia="宋体" w:cs="宋体"/>
                <w:sz w:val="21"/>
                <w:szCs w:val="21"/>
                <w:highlight w:val="none"/>
                <w:lang w:val="en-US" w:eastAsia="zh-CN"/>
              </w:rPr>
              <w:t>以上内容全部内容满足需求的得4分，每缺少一项扣2分；每有一处不足或缺陷或不能符合项目实际情况的扣1分，扣完为止，未提供不得分。</w:t>
            </w:r>
          </w:p>
          <w:p w14:paraId="29EAFBE5">
            <w:pPr>
              <w:keepNext w:val="0"/>
              <w:keepLines w:val="0"/>
              <w:widowControl/>
              <w:suppressLineNumbers w:val="0"/>
              <w:jc w:val="left"/>
              <w:textAlignment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注：1、内容满足需求是指：①内容与项目服务需求吻合、层次细化，有具体详细的阐述；②阐述从实际出发，切合项目背景、项目需求并提出专业技术建议或者解决方案；③内容符合国家、地方、行业标准、行业惯例以及项目特点；④内容清楚明了、表述规范、含义准确。</w:t>
            </w:r>
          </w:p>
          <w:p w14:paraId="24A149BC">
            <w:pPr>
              <w:keepNext w:val="0"/>
              <w:keepLines w:val="0"/>
              <w:widowControl/>
              <w:suppressLineNumbers w:val="0"/>
              <w:jc w:val="left"/>
              <w:textAlignment w:val="center"/>
              <w:rPr>
                <w:rFonts w:hint="eastAsia" w:ascii="宋体" w:hAnsi="宋体" w:eastAsia="宋体" w:cs="宋体"/>
                <w:b w:val="0"/>
                <w:i w:val="0"/>
                <w:iCs w:val="0"/>
                <w:color w:val="auto"/>
                <w:kern w:val="0"/>
                <w:sz w:val="21"/>
                <w:szCs w:val="21"/>
                <w:highlight w:val="none"/>
                <w:u w:val="none"/>
                <w:lang w:val="en-US" w:eastAsia="zh-CN" w:bidi="ar"/>
              </w:rPr>
            </w:pPr>
            <w:r>
              <w:rPr>
                <w:rFonts w:hint="eastAsia" w:ascii="宋体" w:hAnsi="宋体" w:eastAsia="宋体" w:cs="宋体"/>
                <w:sz w:val="21"/>
                <w:szCs w:val="21"/>
                <w:highlight w:val="none"/>
                <w:lang w:val="en-US" w:eastAsia="zh-CN"/>
              </w:rPr>
              <w:t>2、①不足具体是指：对应单项中的内容缺失（不完整）、与对应单项的要求缺少重要节点（如仅有框架或标题、单项内容仅有复制招标内容的要求、涉及内容无重点）；②缺陷具体是指：单项方案中出现套用其他项目方案或内容、内容中出现前后描述不一致现象或语言描述出现有错误、内容涉及适用的规范及标准（方法）出现错误、实施地点区域错误等任意一种情形。</w:t>
            </w:r>
          </w:p>
        </w:tc>
      </w:tr>
      <w:tr w14:paraId="74541D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75" w:type="dxa"/>
            <w:left w:w="75" w:type="dxa"/>
            <w:bottom w:w="75" w:type="dxa"/>
            <w:right w:w="75" w:type="dxa"/>
          </w:tblCellMar>
        </w:tblPrEx>
        <w:trPr>
          <w:trHeight w:val="1020" w:hRule="atLeast"/>
        </w:trPr>
        <w:tc>
          <w:tcPr>
            <w:tcW w:w="600" w:type="dxa"/>
            <w:vMerge w:val="continue"/>
            <w:tcBorders>
              <w:top w:val="single" w:color="auto" w:sz="4" w:space="0"/>
              <w:left w:val="single" w:color="auto" w:sz="4" w:space="0"/>
              <w:bottom w:val="single" w:color="auto" w:sz="4" w:space="0"/>
              <w:right w:val="single" w:color="auto" w:sz="4" w:space="0"/>
            </w:tcBorders>
            <w:vAlign w:val="center"/>
          </w:tcPr>
          <w:p w14:paraId="34D61AEE">
            <w:pPr>
              <w:pStyle w:val="46"/>
              <w:spacing w:line="360" w:lineRule="exact"/>
              <w:rPr>
                <w:rFonts w:hint="eastAsia" w:ascii="宋体" w:hAnsi="宋体" w:eastAsia="宋体" w:cs="宋体"/>
                <w:b w:val="0"/>
                <w:bCs/>
                <w:color w:val="auto"/>
                <w:sz w:val="21"/>
                <w:szCs w:val="21"/>
                <w:highlight w:val="none"/>
                <w:lang w:val="en-US" w:eastAsia="zh-CN"/>
              </w:rPr>
            </w:pPr>
          </w:p>
        </w:tc>
        <w:tc>
          <w:tcPr>
            <w:tcW w:w="1100" w:type="dxa"/>
            <w:vMerge w:val="continue"/>
            <w:tcBorders>
              <w:left w:val="single" w:color="auto" w:sz="4" w:space="0"/>
              <w:right w:val="single" w:color="auto" w:sz="4" w:space="0"/>
            </w:tcBorders>
            <w:noWrap/>
            <w:vAlign w:val="center"/>
          </w:tcPr>
          <w:p w14:paraId="78A99038">
            <w:pPr>
              <w:pStyle w:val="46"/>
              <w:spacing w:line="360" w:lineRule="exact"/>
              <w:rPr>
                <w:rFonts w:hint="eastAsia" w:ascii="宋体" w:hAnsi="宋体" w:eastAsia="宋体" w:cs="宋体"/>
                <w:b w:val="0"/>
                <w:bCs/>
                <w:color w:val="auto"/>
                <w:sz w:val="21"/>
                <w:szCs w:val="21"/>
                <w:highlight w:val="none"/>
                <w:lang w:val="en-US" w:eastAsia="zh-CN"/>
              </w:rPr>
            </w:pPr>
          </w:p>
        </w:tc>
        <w:tc>
          <w:tcPr>
            <w:tcW w:w="1300" w:type="dxa"/>
            <w:tcBorders>
              <w:left w:val="single" w:color="auto" w:sz="4" w:space="0"/>
              <w:right w:val="single" w:color="auto" w:sz="4" w:space="0"/>
            </w:tcBorders>
            <w:noWrap/>
            <w:vAlign w:val="center"/>
          </w:tcPr>
          <w:p w14:paraId="06E29B1A">
            <w:pPr>
              <w:pStyle w:val="46"/>
              <w:spacing w:line="360" w:lineRule="exact"/>
              <w:jc w:val="center"/>
              <w:rPr>
                <w:rFonts w:hint="eastAsia" w:ascii="宋体" w:hAnsi="宋体" w:eastAsia="宋体" w:cs="宋体"/>
                <w:b w:val="0"/>
                <w:bCs/>
                <w:color w:val="auto"/>
                <w:sz w:val="21"/>
                <w:szCs w:val="21"/>
                <w:highlight w:val="none"/>
                <w:lang w:val="en-GB" w:eastAsia="zh-CN"/>
              </w:rPr>
            </w:pPr>
            <w:r>
              <w:rPr>
                <w:rFonts w:hint="eastAsia" w:ascii="宋体" w:hAnsi="宋体" w:eastAsia="宋体" w:cs="宋体"/>
                <w:b w:val="0"/>
                <w:bCs/>
                <w:color w:val="auto"/>
                <w:sz w:val="21"/>
                <w:szCs w:val="21"/>
                <w:highlight w:val="none"/>
                <w:lang w:val="en-GB" w:eastAsia="zh-CN"/>
              </w:rPr>
              <w:t>本地化服务（</w:t>
            </w:r>
            <w:r>
              <w:rPr>
                <w:rFonts w:hint="eastAsia" w:ascii="宋体" w:hAnsi="宋体" w:eastAsia="宋体" w:cs="宋体"/>
                <w:b w:val="0"/>
                <w:bCs/>
                <w:color w:val="auto"/>
                <w:sz w:val="21"/>
                <w:szCs w:val="21"/>
                <w:highlight w:val="none"/>
                <w:lang w:val="en-US" w:eastAsia="zh-CN"/>
              </w:rPr>
              <w:t>2</w:t>
            </w:r>
            <w:r>
              <w:rPr>
                <w:rFonts w:hint="eastAsia" w:ascii="宋体" w:hAnsi="宋体" w:eastAsia="宋体" w:cs="宋体"/>
                <w:b w:val="0"/>
                <w:bCs/>
                <w:color w:val="auto"/>
                <w:sz w:val="21"/>
                <w:szCs w:val="21"/>
                <w:highlight w:val="none"/>
                <w:lang w:val="en-GB" w:eastAsia="zh-CN"/>
              </w:rPr>
              <w:t>分）</w:t>
            </w:r>
          </w:p>
        </w:tc>
        <w:tc>
          <w:tcPr>
            <w:tcW w:w="6698" w:type="dxa"/>
            <w:gridSpan w:val="3"/>
            <w:tcBorders>
              <w:top w:val="single" w:color="auto" w:sz="4" w:space="0"/>
              <w:left w:val="single" w:color="auto" w:sz="4" w:space="0"/>
              <w:bottom w:val="single" w:color="auto" w:sz="4" w:space="0"/>
              <w:right w:val="single" w:color="auto" w:sz="4" w:space="0"/>
            </w:tcBorders>
            <w:noWrap/>
            <w:vAlign w:val="center"/>
          </w:tcPr>
          <w:p w14:paraId="3D75E3DC">
            <w:pPr>
              <w:pStyle w:val="46"/>
              <w:spacing w:line="360" w:lineRule="exact"/>
              <w:rPr>
                <w:rFonts w:hint="eastAsia" w:ascii="宋体" w:hAnsi="宋体" w:eastAsia="宋体" w:cs="宋体"/>
                <w:b w:val="0"/>
                <w:i w:val="0"/>
                <w:iCs w:val="0"/>
                <w:color w:val="auto"/>
                <w:kern w:val="0"/>
                <w:sz w:val="21"/>
                <w:szCs w:val="21"/>
                <w:highlight w:val="none"/>
                <w:u w:val="none"/>
                <w:lang w:val="en-US" w:eastAsia="zh-CN" w:bidi="ar"/>
              </w:rPr>
            </w:pPr>
            <w:r>
              <w:rPr>
                <w:rFonts w:hint="eastAsia" w:ascii="宋体" w:hAnsi="宋体" w:eastAsia="宋体" w:cs="宋体"/>
                <w:b w:val="0"/>
                <w:i w:val="0"/>
                <w:iCs w:val="0"/>
                <w:color w:val="auto"/>
                <w:kern w:val="0"/>
                <w:sz w:val="21"/>
                <w:szCs w:val="21"/>
                <w:highlight w:val="none"/>
                <w:u w:val="none"/>
                <w:lang w:val="en-US" w:eastAsia="zh-CN" w:bidi="ar"/>
              </w:rPr>
              <w:t>供应商能够提供本地化技术支持和服务的得2分，否则不得分，须提供证明材料（如购房合同或租赁合同或本地化服务承诺，提供原件彩色扫描件加盖公章）</w:t>
            </w:r>
          </w:p>
        </w:tc>
      </w:tr>
      <w:tr w14:paraId="3752B2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75" w:type="dxa"/>
            <w:left w:w="75" w:type="dxa"/>
            <w:bottom w:w="75" w:type="dxa"/>
            <w:right w:w="75" w:type="dxa"/>
          </w:tblCellMar>
        </w:tblPrEx>
        <w:trPr>
          <w:trHeight w:val="680" w:hRule="atLeast"/>
        </w:trPr>
        <w:tc>
          <w:tcPr>
            <w:tcW w:w="600" w:type="dxa"/>
            <w:vMerge w:val="continue"/>
            <w:tcBorders>
              <w:top w:val="single" w:color="auto" w:sz="4" w:space="0"/>
              <w:left w:val="single" w:color="auto" w:sz="4" w:space="0"/>
              <w:bottom w:val="single" w:color="auto" w:sz="4" w:space="0"/>
              <w:right w:val="single" w:color="auto" w:sz="4" w:space="0"/>
            </w:tcBorders>
            <w:vAlign w:val="center"/>
          </w:tcPr>
          <w:p w14:paraId="6AC58FCC">
            <w:pPr>
              <w:pStyle w:val="46"/>
              <w:spacing w:line="360" w:lineRule="exact"/>
              <w:rPr>
                <w:rFonts w:hint="eastAsia" w:ascii="宋体" w:hAnsi="宋体" w:eastAsia="宋体" w:cs="宋体"/>
                <w:b w:val="0"/>
                <w:bCs/>
                <w:color w:val="auto"/>
                <w:sz w:val="21"/>
                <w:szCs w:val="21"/>
                <w:highlight w:val="none"/>
                <w:lang w:val="en-US" w:eastAsia="zh-CN"/>
              </w:rPr>
            </w:pPr>
          </w:p>
        </w:tc>
        <w:tc>
          <w:tcPr>
            <w:tcW w:w="1100" w:type="dxa"/>
            <w:vMerge w:val="continue"/>
            <w:tcBorders>
              <w:left w:val="single" w:color="auto" w:sz="4" w:space="0"/>
              <w:right w:val="single" w:color="auto" w:sz="4" w:space="0"/>
            </w:tcBorders>
            <w:noWrap/>
            <w:vAlign w:val="center"/>
          </w:tcPr>
          <w:p w14:paraId="37E08151">
            <w:pPr>
              <w:pStyle w:val="46"/>
              <w:spacing w:line="360" w:lineRule="exact"/>
              <w:rPr>
                <w:rFonts w:hint="eastAsia" w:ascii="宋体" w:hAnsi="宋体" w:eastAsia="宋体" w:cs="宋体"/>
                <w:b w:val="0"/>
                <w:bCs/>
                <w:color w:val="auto"/>
                <w:sz w:val="21"/>
                <w:szCs w:val="21"/>
                <w:highlight w:val="none"/>
                <w:lang w:val="en-US" w:eastAsia="zh-CN"/>
              </w:rPr>
            </w:pPr>
          </w:p>
        </w:tc>
        <w:tc>
          <w:tcPr>
            <w:tcW w:w="1300" w:type="dxa"/>
            <w:tcBorders>
              <w:left w:val="single" w:color="auto" w:sz="4" w:space="0"/>
              <w:right w:val="single" w:color="auto" w:sz="4" w:space="0"/>
            </w:tcBorders>
            <w:noWrap/>
            <w:vAlign w:val="center"/>
          </w:tcPr>
          <w:p w14:paraId="7FE6DA92">
            <w:pPr>
              <w:pStyle w:val="46"/>
              <w:spacing w:line="360" w:lineRule="exact"/>
              <w:jc w:val="center"/>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GB" w:eastAsia="zh-CN"/>
              </w:rPr>
              <w:t>服务承诺（</w:t>
            </w:r>
            <w:r>
              <w:rPr>
                <w:rFonts w:hint="eastAsia" w:ascii="宋体" w:hAnsi="宋体" w:eastAsia="宋体" w:cs="宋体"/>
                <w:b w:val="0"/>
                <w:bCs/>
                <w:color w:val="auto"/>
                <w:sz w:val="21"/>
                <w:szCs w:val="21"/>
                <w:highlight w:val="none"/>
                <w:lang w:val="en-US" w:eastAsia="zh-CN"/>
              </w:rPr>
              <w:t>4</w:t>
            </w:r>
            <w:r>
              <w:rPr>
                <w:rFonts w:hint="eastAsia" w:ascii="宋体" w:hAnsi="宋体" w:eastAsia="宋体" w:cs="宋体"/>
                <w:b w:val="0"/>
                <w:bCs/>
                <w:color w:val="auto"/>
                <w:sz w:val="21"/>
                <w:szCs w:val="21"/>
                <w:highlight w:val="none"/>
                <w:lang w:val="en-GB" w:eastAsia="zh-CN"/>
              </w:rPr>
              <w:t>分）</w:t>
            </w:r>
          </w:p>
        </w:tc>
        <w:tc>
          <w:tcPr>
            <w:tcW w:w="6698" w:type="dxa"/>
            <w:gridSpan w:val="3"/>
            <w:tcBorders>
              <w:top w:val="single" w:color="auto" w:sz="4" w:space="0"/>
              <w:left w:val="single" w:color="auto" w:sz="4" w:space="0"/>
              <w:bottom w:val="single" w:color="auto" w:sz="4" w:space="0"/>
              <w:right w:val="single" w:color="auto" w:sz="4" w:space="0"/>
            </w:tcBorders>
            <w:noWrap/>
            <w:vAlign w:val="center"/>
          </w:tcPr>
          <w:p w14:paraId="473C16CA">
            <w:pPr>
              <w:pStyle w:val="46"/>
              <w:spacing w:line="360" w:lineRule="exact"/>
              <w:rPr>
                <w:rFonts w:hint="eastAsia" w:ascii="宋体" w:hAnsi="宋体" w:eastAsia="宋体" w:cs="宋体"/>
                <w:b w:val="0"/>
                <w:i w:val="0"/>
                <w:iCs w:val="0"/>
                <w:color w:val="auto"/>
                <w:kern w:val="0"/>
                <w:sz w:val="21"/>
                <w:szCs w:val="21"/>
                <w:highlight w:val="none"/>
                <w:u w:val="none"/>
                <w:lang w:val="en-US" w:eastAsia="zh-CN" w:bidi="ar"/>
              </w:rPr>
            </w:pPr>
            <w:r>
              <w:rPr>
                <w:rFonts w:hint="eastAsia" w:ascii="宋体" w:hAnsi="宋体" w:eastAsia="宋体" w:cs="宋体"/>
                <w:b w:val="0"/>
                <w:i w:val="0"/>
                <w:iCs w:val="0"/>
                <w:color w:val="auto"/>
                <w:kern w:val="0"/>
                <w:sz w:val="21"/>
                <w:szCs w:val="21"/>
                <w:highlight w:val="none"/>
                <w:u w:val="none"/>
                <w:lang w:val="en-US" w:eastAsia="zh-CN" w:bidi="ar"/>
              </w:rPr>
              <w:t>1、承诺养护期内组织各类公益类活动并给予工具、设备的支持，承诺此项得2分。</w:t>
            </w:r>
          </w:p>
          <w:p w14:paraId="05456110">
            <w:pPr>
              <w:pStyle w:val="46"/>
              <w:spacing w:line="360" w:lineRule="exact"/>
              <w:rPr>
                <w:rFonts w:hint="eastAsia" w:ascii="宋体" w:hAnsi="宋体" w:eastAsia="宋体" w:cs="宋体"/>
                <w:b w:val="0"/>
                <w:i w:val="0"/>
                <w:iCs w:val="0"/>
                <w:color w:val="auto"/>
                <w:kern w:val="0"/>
                <w:sz w:val="21"/>
                <w:szCs w:val="21"/>
                <w:highlight w:val="none"/>
                <w:u w:val="none"/>
                <w:lang w:val="en-US" w:eastAsia="zh-CN" w:bidi="ar"/>
              </w:rPr>
            </w:pPr>
            <w:r>
              <w:rPr>
                <w:rFonts w:hint="eastAsia" w:ascii="宋体" w:hAnsi="宋体" w:eastAsia="宋体" w:cs="宋体"/>
                <w:b w:val="0"/>
                <w:i w:val="0"/>
                <w:iCs w:val="0"/>
                <w:color w:val="auto"/>
                <w:kern w:val="0"/>
                <w:sz w:val="21"/>
                <w:szCs w:val="21"/>
                <w:highlight w:val="none"/>
                <w:u w:val="none"/>
                <w:lang w:val="en-US" w:eastAsia="zh-CN" w:bidi="ar"/>
              </w:rPr>
              <w:t>2、承诺为做好乔木修剪，服务期内需提供登高车35车次/天，承诺此项得1分；承诺为做好乔木修剪，服务期内需提供登高车40车次/天，承诺此项得2分。本项满分2分。</w:t>
            </w:r>
          </w:p>
        </w:tc>
      </w:tr>
      <w:tr w14:paraId="4B092A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75" w:type="dxa"/>
            <w:left w:w="75" w:type="dxa"/>
            <w:bottom w:w="75" w:type="dxa"/>
            <w:right w:w="75" w:type="dxa"/>
          </w:tblCellMar>
        </w:tblPrEx>
        <w:trPr>
          <w:trHeight w:val="1757" w:hRule="atLeast"/>
        </w:trPr>
        <w:tc>
          <w:tcPr>
            <w:tcW w:w="600" w:type="dxa"/>
            <w:vMerge w:val="continue"/>
            <w:tcBorders>
              <w:top w:val="single" w:color="auto" w:sz="4" w:space="0"/>
              <w:left w:val="single" w:color="auto" w:sz="4" w:space="0"/>
              <w:bottom w:val="single" w:color="auto" w:sz="4" w:space="0"/>
              <w:right w:val="single" w:color="auto" w:sz="4" w:space="0"/>
            </w:tcBorders>
            <w:vAlign w:val="center"/>
          </w:tcPr>
          <w:p w14:paraId="497CDDD4">
            <w:pPr>
              <w:pStyle w:val="46"/>
              <w:spacing w:line="360" w:lineRule="exact"/>
              <w:rPr>
                <w:rFonts w:hint="eastAsia" w:ascii="宋体" w:hAnsi="宋体" w:eastAsia="宋体" w:cs="宋体"/>
                <w:b w:val="0"/>
                <w:bCs/>
                <w:color w:val="auto"/>
                <w:sz w:val="21"/>
                <w:szCs w:val="21"/>
                <w:highlight w:val="none"/>
                <w:lang w:val="en-US" w:eastAsia="zh-CN"/>
              </w:rPr>
            </w:pPr>
          </w:p>
        </w:tc>
        <w:tc>
          <w:tcPr>
            <w:tcW w:w="1100" w:type="dxa"/>
            <w:vMerge w:val="continue"/>
            <w:tcBorders>
              <w:left w:val="single" w:color="auto" w:sz="4" w:space="0"/>
              <w:right w:val="single" w:color="auto" w:sz="4" w:space="0"/>
            </w:tcBorders>
            <w:noWrap/>
            <w:vAlign w:val="center"/>
          </w:tcPr>
          <w:p w14:paraId="375C97E0">
            <w:pPr>
              <w:pStyle w:val="46"/>
              <w:spacing w:line="360" w:lineRule="exact"/>
              <w:rPr>
                <w:rFonts w:hint="eastAsia" w:ascii="宋体" w:hAnsi="宋体" w:eastAsia="宋体" w:cs="宋体"/>
                <w:b w:val="0"/>
                <w:bCs/>
                <w:color w:val="auto"/>
                <w:sz w:val="21"/>
                <w:szCs w:val="21"/>
                <w:highlight w:val="none"/>
                <w:lang w:val="en-US" w:eastAsia="zh-CN"/>
              </w:rPr>
            </w:pPr>
          </w:p>
        </w:tc>
        <w:tc>
          <w:tcPr>
            <w:tcW w:w="1300" w:type="dxa"/>
            <w:tcBorders>
              <w:left w:val="single" w:color="auto" w:sz="4" w:space="0"/>
              <w:right w:val="single" w:color="auto" w:sz="4" w:space="0"/>
            </w:tcBorders>
            <w:noWrap/>
            <w:vAlign w:val="center"/>
          </w:tcPr>
          <w:p w14:paraId="09C908FF">
            <w:pPr>
              <w:pStyle w:val="46"/>
              <w:spacing w:line="360" w:lineRule="exact"/>
              <w:jc w:val="center"/>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GB" w:eastAsia="zh-CN"/>
              </w:rPr>
              <w:t>应急保障（</w:t>
            </w:r>
            <w:r>
              <w:rPr>
                <w:rFonts w:hint="eastAsia" w:ascii="宋体" w:hAnsi="宋体" w:eastAsia="宋体" w:cs="宋体"/>
                <w:b w:val="0"/>
                <w:bCs/>
                <w:color w:val="auto"/>
                <w:sz w:val="21"/>
                <w:szCs w:val="21"/>
                <w:highlight w:val="none"/>
                <w:lang w:val="en-US" w:eastAsia="zh-CN"/>
              </w:rPr>
              <w:t>2</w:t>
            </w:r>
            <w:r>
              <w:rPr>
                <w:rFonts w:hint="eastAsia" w:ascii="宋体" w:hAnsi="宋体" w:eastAsia="宋体" w:cs="宋体"/>
                <w:b w:val="0"/>
                <w:bCs/>
                <w:color w:val="auto"/>
                <w:sz w:val="21"/>
                <w:szCs w:val="21"/>
                <w:highlight w:val="none"/>
                <w:lang w:val="en-GB" w:eastAsia="zh-CN"/>
              </w:rPr>
              <w:t>分）</w:t>
            </w:r>
          </w:p>
        </w:tc>
        <w:tc>
          <w:tcPr>
            <w:tcW w:w="6698" w:type="dxa"/>
            <w:gridSpan w:val="3"/>
            <w:tcBorders>
              <w:top w:val="single" w:color="auto" w:sz="4" w:space="0"/>
              <w:left w:val="single" w:color="auto" w:sz="4" w:space="0"/>
              <w:bottom w:val="single" w:color="auto" w:sz="4" w:space="0"/>
              <w:right w:val="single" w:color="auto" w:sz="4" w:space="0"/>
            </w:tcBorders>
            <w:noWrap/>
            <w:vAlign w:val="center"/>
          </w:tcPr>
          <w:p w14:paraId="6736E2FE">
            <w:pPr>
              <w:pStyle w:val="46"/>
              <w:spacing w:line="360" w:lineRule="exact"/>
              <w:rPr>
                <w:rFonts w:hint="eastAsia" w:ascii="宋体" w:hAnsi="宋体" w:eastAsia="宋体" w:cs="宋体"/>
                <w:b w:val="0"/>
                <w:i w:val="0"/>
                <w:iCs w:val="0"/>
                <w:color w:val="auto"/>
                <w:kern w:val="0"/>
                <w:sz w:val="21"/>
                <w:szCs w:val="21"/>
                <w:highlight w:val="none"/>
                <w:u w:val="none"/>
                <w:lang w:val="en-US" w:eastAsia="zh-CN" w:bidi="ar"/>
              </w:rPr>
            </w:pPr>
            <w:r>
              <w:rPr>
                <w:rFonts w:hint="eastAsia" w:ascii="宋体" w:hAnsi="宋体" w:eastAsia="宋体" w:cs="宋体"/>
                <w:b w:val="0"/>
                <w:i w:val="0"/>
                <w:iCs w:val="0"/>
                <w:color w:val="auto"/>
                <w:kern w:val="0"/>
                <w:sz w:val="21"/>
                <w:szCs w:val="21"/>
                <w:highlight w:val="none"/>
                <w:u w:val="none"/>
                <w:lang w:val="en-US" w:eastAsia="zh-CN" w:bidi="ar"/>
              </w:rPr>
              <w:t>根据供应商在接到采购人应急保障通知后须在指定时间内增派车辆及人员以满足采购人需求：</w:t>
            </w:r>
          </w:p>
          <w:p w14:paraId="2255FCE0">
            <w:pPr>
              <w:pStyle w:val="46"/>
              <w:spacing w:line="360" w:lineRule="exact"/>
              <w:rPr>
                <w:rFonts w:hint="eastAsia" w:ascii="宋体" w:hAnsi="宋体" w:eastAsia="宋体" w:cs="宋体"/>
                <w:b w:val="0"/>
                <w:i w:val="0"/>
                <w:iCs w:val="0"/>
                <w:color w:val="auto"/>
                <w:kern w:val="0"/>
                <w:sz w:val="21"/>
                <w:szCs w:val="21"/>
                <w:highlight w:val="none"/>
                <w:u w:val="none"/>
                <w:lang w:val="en-US" w:eastAsia="zh-CN" w:bidi="ar"/>
              </w:rPr>
            </w:pPr>
            <w:r>
              <w:rPr>
                <w:rFonts w:hint="eastAsia" w:ascii="宋体" w:hAnsi="宋体" w:eastAsia="宋体" w:cs="宋体"/>
                <w:b w:val="0"/>
                <w:i w:val="0"/>
                <w:iCs w:val="0"/>
                <w:color w:val="auto"/>
                <w:kern w:val="0"/>
                <w:sz w:val="21"/>
                <w:szCs w:val="21"/>
                <w:highlight w:val="none"/>
                <w:u w:val="none"/>
                <w:lang w:val="en-US" w:eastAsia="zh-CN" w:bidi="ar"/>
              </w:rPr>
              <w:t>符合招标文件服务要求且承诺应急保障时间8小时内，得1分；</w:t>
            </w:r>
          </w:p>
          <w:p w14:paraId="1F1DB45B">
            <w:pPr>
              <w:pStyle w:val="46"/>
              <w:spacing w:line="360" w:lineRule="exact"/>
              <w:rPr>
                <w:rFonts w:hint="eastAsia" w:ascii="宋体" w:hAnsi="宋体" w:eastAsia="宋体" w:cs="宋体"/>
                <w:b w:val="0"/>
                <w:i w:val="0"/>
                <w:iCs w:val="0"/>
                <w:color w:val="auto"/>
                <w:kern w:val="0"/>
                <w:sz w:val="21"/>
                <w:szCs w:val="21"/>
                <w:highlight w:val="none"/>
                <w:u w:val="none"/>
                <w:lang w:val="en-US" w:eastAsia="zh-CN" w:bidi="ar"/>
              </w:rPr>
            </w:pPr>
            <w:r>
              <w:rPr>
                <w:rFonts w:hint="eastAsia" w:ascii="宋体" w:hAnsi="宋体" w:eastAsia="宋体" w:cs="宋体"/>
                <w:b w:val="0"/>
                <w:i w:val="0"/>
                <w:iCs w:val="0"/>
                <w:color w:val="auto"/>
                <w:kern w:val="0"/>
                <w:sz w:val="21"/>
                <w:szCs w:val="21"/>
                <w:highlight w:val="none"/>
                <w:u w:val="none"/>
                <w:lang w:val="en-US" w:eastAsia="zh-CN" w:bidi="ar"/>
              </w:rPr>
              <w:t>符合招标文件服务要求且承诺应急保障时间4小时内，得2分；</w:t>
            </w:r>
          </w:p>
          <w:p w14:paraId="1588607E">
            <w:pPr>
              <w:pStyle w:val="46"/>
              <w:spacing w:line="360" w:lineRule="exact"/>
              <w:rPr>
                <w:rFonts w:hint="eastAsia" w:ascii="宋体" w:hAnsi="宋体" w:eastAsia="宋体" w:cs="宋体"/>
                <w:b w:val="0"/>
                <w:i w:val="0"/>
                <w:iCs w:val="0"/>
                <w:color w:val="auto"/>
                <w:kern w:val="0"/>
                <w:sz w:val="21"/>
                <w:szCs w:val="21"/>
                <w:highlight w:val="none"/>
                <w:u w:val="none"/>
                <w:lang w:val="en-US" w:eastAsia="zh-CN" w:bidi="ar"/>
              </w:rPr>
            </w:pPr>
            <w:r>
              <w:rPr>
                <w:rFonts w:hint="eastAsia" w:ascii="宋体" w:hAnsi="宋体" w:eastAsia="宋体" w:cs="宋体"/>
                <w:b w:val="0"/>
                <w:i w:val="0"/>
                <w:iCs w:val="0"/>
                <w:color w:val="auto"/>
                <w:kern w:val="0"/>
                <w:sz w:val="21"/>
                <w:szCs w:val="21"/>
                <w:highlight w:val="none"/>
                <w:u w:val="none"/>
                <w:lang w:val="en-US" w:eastAsia="zh-CN" w:bidi="ar"/>
              </w:rPr>
              <w:t>提供承诺书，承诺书不满足上述时间不得分，本项满分2分。</w:t>
            </w:r>
          </w:p>
        </w:tc>
      </w:tr>
      <w:bookmarkEnd w:id="140"/>
      <w:bookmarkEnd w:id="141"/>
      <w:bookmarkEnd w:id="142"/>
      <w:bookmarkEnd w:id="143"/>
    </w:tbl>
    <w:p w14:paraId="27DE1E23">
      <w:pPr>
        <w:pStyle w:val="23"/>
        <w:spacing w:after="0" w:line="440" w:lineRule="exact"/>
        <w:ind w:firstLine="600" w:firstLineChars="2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2.4算数性修正</w:t>
      </w:r>
    </w:p>
    <w:p w14:paraId="223258D5">
      <w:pPr>
        <w:pStyle w:val="23"/>
        <w:spacing w:after="0" w:line="440" w:lineRule="exact"/>
        <w:ind w:firstLine="600" w:firstLineChars="2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最后报价有算术错误及其他错误的，磋商小组会按以下原则要求供应商对磋商报价进行修正，并要求供应商书面澄清确认。供应商拒不澄清确认的，视为未实质响应磋商文件要求，其响应文件做无效处理：</w:t>
      </w:r>
    </w:p>
    <w:p w14:paraId="6BF7EF68">
      <w:pPr>
        <w:pStyle w:val="23"/>
        <w:spacing w:after="0" w:line="440" w:lineRule="exact"/>
        <w:ind w:firstLine="600" w:firstLineChars="2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（1）响应文件中的大写金额与小写金额不一致的，以大写金额为准；</w:t>
      </w:r>
    </w:p>
    <w:p w14:paraId="4C827C8C">
      <w:pPr>
        <w:pStyle w:val="23"/>
        <w:spacing w:after="0" w:line="440" w:lineRule="exact"/>
        <w:ind w:firstLine="600" w:firstLineChars="2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（2）项目综合单价合计金额与单价金额不一致的，以单价金额为准，但单价金额小数点有明显错误的除外；</w:t>
      </w:r>
    </w:p>
    <w:p w14:paraId="6BCB2270">
      <w:pPr>
        <w:pStyle w:val="23"/>
        <w:spacing w:after="0" w:line="440" w:lineRule="exact"/>
        <w:ind w:firstLine="600" w:firstLineChars="2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（3）如果分项报价中存在缺漏项，则视为缺漏项价格已包含在其他分项报价。</w:t>
      </w:r>
    </w:p>
    <w:p w14:paraId="5A80F0B5">
      <w:pPr>
        <w:shd w:val="clear" w:color="auto" w:fill="FFFFFF"/>
        <w:adjustRightInd w:val="0"/>
        <w:snapToGrid w:val="0"/>
        <w:spacing w:line="440" w:lineRule="exac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同时出现两种以上不一致的，按照前款规定的顺序修正。</w:t>
      </w:r>
    </w:p>
    <w:p w14:paraId="59C7BFCE">
      <w:pPr>
        <w:shd w:val="clear" w:color="auto" w:fill="FFFFFF"/>
        <w:spacing w:line="440" w:lineRule="exac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修正后的报价遵照如下规定处理：磋商小组在政采云系统中发出澄清、答疑，供应商在规定时间（</w:t>
      </w:r>
      <w:r>
        <w:rPr>
          <w:rFonts w:hint="eastAsia" w:ascii="宋体" w:hAnsi="宋体" w:eastAsia="宋体" w:cs="宋体"/>
          <w:color w:val="auto"/>
          <w:kern w:val="0"/>
          <w:sz w:val="24"/>
          <w:szCs w:val="24"/>
          <w:highlight w:val="none"/>
          <w:lang w:eastAsia="zh-CN"/>
        </w:rPr>
        <w:t>30分钟</w:t>
      </w:r>
      <w:r>
        <w:rPr>
          <w:rFonts w:hint="eastAsia" w:ascii="宋体" w:hAnsi="宋体" w:eastAsia="宋体" w:cs="宋体"/>
          <w:color w:val="auto"/>
          <w:kern w:val="0"/>
          <w:sz w:val="24"/>
          <w:szCs w:val="24"/>
          <w:highlight w:val="none"/>
        </w:rPr>
        <w:t>）内系统内回复，修正后的报价经供应商确认后产生约束力，供应商不确认的，其响应文件无效。</w:t>
      </w:r>
    </w:p>
    <w:p w14:paraId="0CA7ADB0">
      <w:pPr>
        <w:shd w:val="clear" w:color="auto" w:fill="FFFFFF"/>
        <w:spacing w:line="440" w:lineRule="exact"/>
        <w:ind w:firstLine="482" w:firstLineChars="200"/>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3.磋商小组的权利</w:t>
      </w:r>
    </w:p>
    <w:p w14:paraId="5C57413D">
      <w:pPr>
        <w:shd w:val="clear" w:color="auto" w:fill="FFFFFF"/>
        <w:spacing w:line="440" w:lineRule="exac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3.1 磋商小组认为供应商的报价明显低于其他通过符合性审查供应商的报价，有可能影响产品质量或者不能诚信履约的，应当要求其在评审现场合理的时间内提供书面说明，必要时提交相关证明材料；供应商不能证明其报价合理性的，磋商小组应当将其作为无效响应处理。</w:t>
      </w:r>
    </w:p>
    <w:p w14:paraId="081D6295">
      <w:pPr>
        <w:shd w:val="clear" w:color="auto" w:fill="FFFFFF"/>
        <w:spacing w:line="440" w:lineRule="exac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3.2磋商小组发现竞争性磋商文件存在歧义、重大缺陷导致评审工作无法进行，或者竞争性磋商文件内容违反国家有关强制性规定的，应当停止评审工作，与采购人或者采购代理机构沟通并作书面记录。采购人或者采购代理机构确认后，应当修改竞争性磋商文件，重新组织采购活动。</w:t>
      </w:r>
    </w:p>
    <w:p w14:paraId="1E61866C">
      <w:pPr>
        <w:shd w:val="clear" w:color="auto" w:fill="FFFFFF"/>
        <w:spacing w:line="440" w:lineRule="exac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3.3评审报告由磋商小组全体成员签字。磋商小组成员对需要共同认定的事项存在争议的，应当按照少数服从多数的原则作出结论。持不同意见的磋商小组成员应当在评审报告上签署不同意见及理由，否则视为同意评审报告。</w:t>
      </w:r>
    </w:p>
    <w:p w14:paraId="031C5CC6">
      <w:pPr>
        <w:shd w:val="clear" w:color="auto" w:fill="FFFFFF"/>
        <w:spacing w:line="440" w:lineRule="exac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3.3.1评审结果汇总完成后，除下列情形外，任何人不得修改评审结果：</w:t>
      </w:r>
    </w:p>
    <w:p w14:paraId="020B43C1">
      <w:pPr>
        <w:keepNext w:val="0"/>
        <w:keepLines w:val="0"/>
        <w:pageBreakBefore w:val="0"/>
        <w:widowControl w:val="0"/>
        <w:shd w:val="clear" w:color="auto" w:fill="FFFFFF"/>
        <w:kinsoku/>
        <w:wordWrap/>
        <w:overflowPunct/>
        <w:topLinePunct w:val="0"/>
        <w:autoSpaceDE/>
        <w:autoSpaceDN/>
        <w:bidi w:val="0"/>
        <w:adjustRightInd/>
        <w:spacing w:line="420" w:lineRule="exact"/>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3.3.1.1分值汇总计算错误的；</w:t>
      </w:r>
    </w:p>
    <w:p w14:paraId="54AB15CF">
      <w:pPr>
        <w:keepNext w:val="0"/>
        <w:keepLines w:val="0"/>
        <w:pageBreakBefore w:val="0"/>
        <w:widowControl w:val="0"/>
        <w:shd w:val="clear" w:color="auto" w:fill="FFFFFF"/>
        <w:kinsoku/>
        <w:wordWrap/>
        <w:overflowPunct/>
        <w:topLinePunct w:val="0"/>
        <w:autoSpaceDE/>
        <w:autoSpaceDN/>
        <w:bidi w:val="0"/>
        <w:adjustRightInd/>
        <w:spacing w:line="420" w:lineRule="exact"/>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3.3.1.2分项评分超出评分标准范围的；</w:t>
      </w:r>
    </w:p>
    <w:p w14:paraId="5EEA5A1A">
      <w:pPr>
        <w:keepNext w:val="0"/>
        <w:keepLines w:val="0"/>
        <w:pageBreakBefore w:val="0"/>
        <w:widowControl w:val="0"/>
        <w:shd w:val="clear" w:color="auto" w:fill="FFFFFF"/>
        <w:kinsoku/>
        <w:wordWrap/>
        <w:overflowPunct/>
        <w:topLinePunct w:val="0"/>
        <w:autoSpaceDE/>
        <w:autoSpaceDN/>
        <w:bidi w:val="0"/>
        <w:adjustRightInd/>
        <w:spacing w:line="420" w:lineRule="exact"/>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3.3.1.3磋商小组成员对客观评审因素评分不一致的；</w:t>
      </w:r>
    </w:p>
    <w:p w14:paraId="7D26ED2E">
      <w:pPr>
        <w:keepNext w:val="0"/>
        <w:keepLines w:val="0"/>
        <w:pageBreakBefore w:val="0"/>
        <w:widowControl w:val="0"/>
        <w:shd w:val="clear" w:color="auto" w:fill="FFFFFF"/>
        <w:kinsoku/>
        <w:wordWrap/>
        <w:overflowPunct/>
        <w:topLinePunct w:val="0"/>
        <w:autoSpaceDE/>
        <w:autoSpaceDN/>
        <w:bidi w:val="0"/>
        <w:adjustRightInd/>
        <w:spacing w:line="420" w:lineRule="exact"/>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3.3.1.4经磋商小组认定评分畸高、畸低的。</w:t>
      </w:r>
    </w:p>
    <w:p w14:paraId="03D9381D">
      <w:pPr>
        <w:keepNext w:val="0"/>
        <w:keepLines w:val="0"/>
        <w:pageBreakBefore w:val="0"/>
        <w:widowControl w:val="0"/>
        <w:shd w:val="clear" w:color="auto" w:fill="FFFFFF"/>
        <w:kinsoku/>
        <w:wordWrap/>
        <w:overflowPunct/>
        <w:topLinePunct w:val="0"/>
        <w:autoSpaceDE/>
        <w:autoSpaceDN/>
        <w:bidi w:val="0"/>
        <w:adjustRightInd/>
        <w:spacing w:line="420" w:lineRule="exact"/>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评审报告签署前，经复核发现存在以上情形之一的，磋商小组应当当场修改评审结果，并在评审报告中记载；评审报告签署后，采购人或者采购代理机构发现存在以上情形之一的，应当组织原磋商小组进行重新评审，重新评审改变评审结果的，书面报告本级财政部门。</w:t>
      </w:r>
    </w:p>
    <w:p w14:paraId="2D8EF3B5">
      <w:pPr>
        <w:keepNext w:val="0"/>
        <w:keepLines w:val="0"/>
        <w:pageBreakBefore w:val="0"/>
        <w:widowControl w:val="0"/>
        <w:shd w:val="clear" w:color="auto" w:fill="FFFFFF"/>
        <w:kinsoku/>
        <w:wordWrap/>
        <w:overflowPunct/>
        <w:topLinePunct w:val="0"/>
        <w:autoSpaceDE/>
        <w:autoSpaceDN/>
        <w:bidi w:val="0"/>
        <w:adjustRightInd/>
        <w:spacing w:line="420" w:lineRule="exact"/>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3.4磋商小组依据供应商须知前附表规定的评审方法，对供应商的响应文件进行评审和比较，供应商最终得分等于商务部分、技术部分、报价部分得分之和。磋商小组确定供应商最终得分和排名向采购人提出书面报告，并推荐合格的成交候选人。</w:t>
      </w:r>
    </w:p>
    <w:p w14:paraId="43ACFDF1">
      <w:pPr>
        <w:keepNext w:val="0"/>
        <w:keepLines w:val="0"/>
        <w:pageBreakBefore w:val="0"/>
        <w:widowControl w:val="0"/>
        <w:shd w:val="clear" w:color="auto" w:fill="FFFFFF"/>
        <w:kinsoku/>
        <w:wordWrap/>
        <w:overflowPunct/>
        <w:topLinePunct w:val="0"/>
        <w:autoSpaceDE/>
        <w:autoSpaceDN/>
        <w:bidi w:val="0"/>
        <w:adjustRightInd/>
        <w:spacing w:line="420" w:lineRule="exact"/>
        <w:ind w:firstLine="482" w:firstLineChars="200"/>
        <w:textAlignment w:val="auto"/>
        <w:rPr>
          <w:rFonts w:hint="eastAsia" w:ascii="宋体" w:hAnsi="宋体" w:eastAsia="宋体" w:cs="宋体"/>
          <w:b/>
          <w:bCs/>
          <w:color w:val="auto"/>
          <w:kern w:val="0"/>
          <w:sz w:val="24"/>
          <w:szCs w:val="24"/>
          <w:highlight w:val="none"/>
        </w:rPr>
      </w:pPr>
      <w:bookmarkStart w:id="144" w:name="_Toc31479"/>
      <w:bookmarkStart w:id="145" w:name="_Toc37090660"/>
      <w:bookmarkStart w:id="146" w:name="_Toc37090996"/>
      <w:bookmarkStart w:id="147" w:name="_Toc37090995"/>
      <w:bookmarkStart w:id="148" w:name="_Toc37090659"/>
      <w:r>
        <w:rPr>
          <w:rFonts w:hint="eastAsia" w:ascii="宋体" w:hAnsi="宋体" w:eastAsia="宋体" w:cs="宋体"/>
          <w:b/>
          <w:bCs/>
          <w:color w:val="auto"/>
          <w:kern w:val="0"/>
          <w:sz w:val="24"/>
          <w:szCs w:val="24"/>
          <w:highlight w:val="none"/>
        </w:rPr>
        <w:t>4. 评审过程的保密</w:t>
      </w:r>
      <w:bookmarkEnd w:id="144"/>
      <w:bookmarkEnd w:id="145"/>
      <w:bookmarkEnd w:id="146"/>
    </w:p>
    <w:p w14:paraId="6917EDF0">
      <w:pPr>
        <w:keepNext w:val="0"/>
        <w:keepLines w:val="0"/>
        <w:pageBreakBefore w:val="0"/>
        <w:widowControl w:val="0"/>
        <w:shd w:val="clear" w:color="auto" w:fill="FFFFFF"/>
        <w:kinsoku/>
        <w:wordWrap/>
        <w:overflowPunct/>
        <w:topLinePunct w:val="0"/>
        <w:autoSpaceDE/>
        <w:autoSpaceDN/>
        <w:bidi w:val="0"/>
        <w:adjustRightInd/>
        <w:spacing w:line="420" w:lineRule="exact"/>
        <w:ind w:firstLine="484" w:firstLineChars="202"/>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4.1凡属于对响应文件的审查、澄清、评价和比较有关的资料、成交候选人的推荐情况以及与评审有关的其他任何情况，磋商小组成员和与评审活动有关的工作人员不得对任何单位和个人透露。</w:t>
      </w:r>
    </w:p>
    <w:p w14:paraId="67ADBD9A">
      <w:pPr>
        <w:keepNext w:val="0"/>
        <w:keepLines w:val="0"/>
        <w:pageBreakBefore w:val="0"/>
        <w:widowControl w:val="0"/>
        <w:shd w:val="clear" w:color="auto" w:fill="FFFFFF"/>
        <w:kinsoku/>
        <w:wordWrap/>
        <w:overflowPunct/>
        <w:topLinePunct w:val="0"/>
        <w:autoSpaceDE/>
        <w:autoSpaceDN/>
        <w:bidi w:val="0"/>
        <w:adjustRightInd/>
        <w:spacing w:line="420" w:lineRule="exact"/>
        <w:ind w:firstLine="484" w:firstLineChars="202"/>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4.2 在响应文件的评审和比较、成交候选人推荐以及授予合同的过程中，供应商向采购人或者磋商小组施加影响的任何行为，都将会导致其响应文件被拒绝。</w:t>
      </w:r>
    </w:p>
    <w:p w14:paraId="5BED63FF">
      <w:pPr>
        <w:keepNext w:val="0"/>
        <w:keepLines w:val="0"/>
        <w:pageBreakBefore w:val="0"/>
        <w:widowControl w:val="0"/>
        <w:shd w:val="clear" w:color="auto" w:fill="FFFFFF"/>
        <w:kinsoku/>
        <w:wordWrap/>
        <w:overflowPunct/>
        <w:topLinePunct w:val="0"/>
        <w:autoSpaceDE/>
        <w:autoSpaceDN/>
        <w:bidi w:val="0"/>
        <w:adjustRightInd/>
        <w:spacing w:line="420" w:lineRule="exact"/>
        <w:ind w:firstLine="484" w:firstLineChars="202"/>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4.3成交供应商确定后，采购人不对未成交供应商就评审过程以及未能成交原因做出任何解释。未成交供应商不得向磋商小组组成人员或者其他有关人员索问评审过程的情况和材料。</w:t>
      </w:r>
    </w:p>
    <w:p w14:paraId="2623E1AB">
      <w:pPr>
        <w:keepNext w:val="0"/>
        <w:keepLines w:val="0"/>
        <w:pageBreakBefore w:val="0"/>
        <w:widowControl w:val="0"/>
        <w:shd w:val="clear" w:color="auto" w:fill="FFFFFF"/>
        <w:kinsoku/>
        <w:wordWrap/>
        <w:overflowPunct/>
        <w:topLinePunct w:val="0"/>
        <w:autoSpaceDE/>
        <w:autoSpaceDN/>
        <w:bidi w:val="0"/>
        <w:adjustRightInd/>
        <w:spacing w:line="420" w:lineRule="exact"/>
        <w:ind w:firstLine="482" w:firstLineChars="200"/>
        <w:textAlignment w:val="auto"/>
        <w:rPr>
          <w:rFonts w:hint="eastAsia" w:ascii="宋体" w:hAnsi="宋体" w:eastAsia="宋体" w:cs="宋体"/>
          <w:b/>
          <w:bCs/>
          <w:color w:val="auto"/>
          <w:kern w:val="0"/>
          <w:sz w:val="24"/>
          <w:szCs w:val="24"/>
          <w:highlight w:val="none"/>
        </w:rPr>
      </w:pPr>
      <w:bookmarkStart w:id="149" w:name="_Toc24415"/>
      <w:r>
        <w:rPr>
          <w:rFonts w:hint="eastAsia" w:ascii="宋体" w:hAnsi="宋体" w:eastAsia="宋体" w:cs="宋体"/>
          <w:b/>
          <w:bCs/>
          <w:color w:val="auto"/>
          <w:kern w:val="0"/>
          <w:sz w:val="24"/>
          <w:szCs w:val="24"/>
          <w:highlight w:val="none"/>
        </w:rPr>
        <w:t>4. 定标原则</w:t>
      </w:r>
      <w:bookmarkEnd w:id="147"/>
      <w:bookmarkEnd w:id="148"/>
      <w:bookmarkEnd w:id="149"/>
    </w:p>
    <w:p w14:paraId="4E840F98">
      <w:pPr>
        <w:keepNext w:val="0"/>
        <w:keepLines w:val="0"/>
        <w:pageBreakBefore w:val="0"/>
        <w:widowControl w:val="0"/>
        <w:shd w:val="clear" w:color="auto" w:fill="FFFFFF"/>
        <w:kinsoku/>
        <w:wordWrap/>
        <w:overflowPunct/>
        <w:topLinePunct w:val="0"/>
        <w:autoSpaceDE/>
        <w:autoSpaceDN/>
        <w:bidi w:val="0"/>
        <w:adjustRightInd/>
        <w:spacing w:line="420" w:lineRule="exact"/>
        <w:ind w:firstLine="484" w:firstLineChars="202"/>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4.1 磋商小组依据供应商须知前附表规定的评审方法和标准，按照得分由高到低的顺序进行排序，最终将前三名作为成交候选人推荐给采购人。</w:t>
      </w:r>
    </w:p>
    <w:p w14:paraId="0970DEB9">
      <w:pPr>
        <w:keepNext w:val="0"/>
        <w:keepLines w:val="0"/>
        <w:pageBreakBefore w:val="0"/>
        <w:widowControl w:val="0"/>
        <w:shd w:val="clear" w:color="auto" w:fill="FFFFFF"/>
        <w:kinsoku/>
        <w:wordWrap/>
        <w:overflowPunct/>
        <w:topLinePunct w:val="0"/>
        <w:autoSpaceDE/>
        <w:autoSpaceDN/>
        <w:bidi w:val="0"/>
        <w:adjustRightInd/>
        <w:spacing w:line="420" w:lineRule="exact"/>
        <w:ind w:firstLine="484" w:firstLineChars="202"/>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4.2 采购代理机构应当在评审结束后2个工作日内将评审报告送采购人。采购人应当自收到评审报告之日起５个工作日内，在评审报告确定的成交候选人名单中按顺序确定成交供应商。</w:t>
      </w:r>
    </w:p>
    <w:p w14:paraId="417160E9">
      <w:pPr>
        <w:pStyle w:val="23"/>
        <w:keepNext w:val="0"/>
        <w:keepLines w:val="0"/>
        <w:pageBreakBefore w:val="0"/>
        <w:widowControl w:val="0"/>
        <w:kinsoku/>
        <w:wordWrap/>
        <w:overflowPunct/>
        <w:topLinePunct w:val="0"/>
        <w:autoSpaceDE/>
        <w:autoSpaceDN/>
        <w:bidi w:val="0"/>
        <w:adjustRightInd/>
        <w:snapToGrid w:val="0"/>
        <w:spacing w:after="0" w:line="420" w:lineRule="exact"/>
        <w:ind w:firstLine="482"/>
        <w:textAlignment w:val="auto"/>
        <w:rPr>
          <w:rFonts w:hint="eastAsia" w:ascii="宋体" w:hAnsi="宋体" w:eastAsia="宋体" w:cs="宋体"/>
          <w:color w:val="auto"/>
          <w:highlight w:val="none"/>
        </w:rPr>
      </w:pPr>
      <w:r>
        <w:rPr>
          <w:rFonts w:hint="eastAsia" w:ascii="宋体" w:hAnsi="宋体" w:eastAsia="宋体" w:cs="宋体"/>
          <w:b/>
          <w:bCs/>
          <w:color w:val="auto"/>
          <w:sz w:val="24"/>
          <w:szCs w:val="24"/>
          <w:highlight w:val="none"/>
        </w:rPr>
        <w:t>4.3成交供应商拒绝与采购人签订合同的，采购人可以按照评审报告推荐的成交供应商名单排序，确定下一候选人为成交供应商，也可以重新开展政府采购活动。</w:t>
      </w:r>
    </w:p>
    <w:p w14:paraId="0969C64E">
      <w:pPr>
        <w:pStyle w:val="23"/>
        <w:keepNext w:val="0"/>
        <w:keepLines w:val="0"/>
        <w:pageBreakBefore w:val="0"/>
        <w:widowControl w:val="0"/>
        <w:kinsoku/>
        <w:wordWrap/>
        <w:overflowPunct/>
        <w:topLinePunct w:val="0"/>
        <w:autoSpaceDE/>
        <w:autoSpaceDN/>
        <w:bidi w:val="0"/>
        <w:adjustRightInd/>
        <w:snapToGrid w:val="0"/>
        <w:spacing w:after="0" w:line="420" w:lineRule="exact"/>
        <w:ind w:firstLine="482"/>
        <w:textAlignment w:val="auto"/>
        <w:rPr>
          <w:rFonts w:hint="eastAsia" w:ascii="宋体" w:hAnsi="宋体" w:eastAsia="宋体" w:cs="宋体"/>
          <w:color w:val="auto"/>
          <w:highlight w:val="none"/>
        </w:rPr>
      </w:pPr>
      <w:r>
        <w:rPr>
          <w:rFonts w:hint="eastAsia" w:ascii="宋体" w:hAnsi="宋体" w:eastAsia="宋体" w:cs="宋体"/>
          <w:b/>
          <w:bCs/>
          <w:color w:val="auto"/>
          <w:sz w:val="24"/>
          <w:szCs w:val="24"/>
          <w:highlight w:val="none"/>
        </w:rPr>
        <w:t>4.4 出现下列情形之一的，本项目予以废标，重新开展采购活动。</w:t>
      </w:r>
    </w:p>
    <w:p w14:paraId="3FAF5F3D">
      <w:pPr>
        <w:pStyle w:val="23"/>
        <w:keepNext w:val="0"/>
        <w:keepLines w:val="0"/>
        <w:pageBreakBefore w:val="0"/>
        <w:widowControl w:val="0"/>
        <w:kinsoku/>
        <w:wordWrap/>
        <w:overflowPunct/>
        <w:topLinePunct w:val="0"/>
        <w:autoSpaceDE/>
        <w:autoSpaceDN/>
        <w:bidi w:val="0"/>
        <w:adjustRightInd/>
        <w:snapToGrid w:val="0"/>
        <w:spacing w:after="0" w:line="420" w:lineRule="exact"/>
        <w:ind w:firstLine="482"/>
        <w:textAlignment w:val="auto"/>
        <w:rPr>
          <w:rFonts w:hint="eastAsia" w:ascii="宋体" w:hAnsi="宋体" w:eastAsia="宋体" w:cs="宋体"/>
          <w:color w:val="auto"/>
          <w:highlight w:val="none"/>
        </w:rPr>
      </w:pPr>
      <w:r>
        <w:rPr>
          <w:rFonts w:hint="eastAsia" w:ascii="宋体" w:hAnsi="宋体" w:eastAsia="宋体" w:cs="宋体"/>
          <w:b/>
          <w:bCs/>
          <w:color w:val="auto"/>
          <w:sz w:val="24"/>
          <w:szCs w:val="24"/>
          <w:highlight w:val="none"/>
        </w:rPr>
        <w:t>4.4.1 符合专业条件的供应商或者对竞争性磋商文件作实质响应的供应商不足法定家数的；</w:t>
      </w:r>
    </w:p>
    <w:p w14:paraId="3D3D4BF7">
      <w:pPr>
        <w:pStyle w:val="23"/>
        <w:snapToGrid w:val="0"/>
        <w:spacing w:after="0" w:line="440" w:lineRule="exact"/>
        <w:ind w:firstLine="482"/>
        <w:rPr>
          <w:rFonts w:hint="eastAsia" w:ascii="宋体" w:hAnsi="宋体" w:eastAsia="宋体" w:cs="宋体"/>
          <w:color w:val="auto"/>
          <w:highlight w:val="none"/>
        </w:rPr>
      </w:pPr>
      <w:r>
        <w:rPr>
          <w:rFonts w:hint="eastAsia" w:ascii="宋体" w:hAnsi="宋体" w:eastAsia="宋体" w:cs="宋体"/>
          <w:b/>
          <w:bCs/>
          <w:color w:val="auto"/>
          <w:sz w:val="24"/>
          <w:szCs w:val="24"/>
          <w:highlight w:val="none"/>
        </w:rPr>
        <w:t>4.4.2出现影响采购公正的违法、违规行为的；</w:t>
      </w:r>
    </w:p>
    <w:p w14:paraId="2FE5ECED">
      <w:pPr>
        <w:pStyle w:val="23"/>
        <w:snapToGrid w:val="0"/>
        <w:spacing w:after="0" w:line="440" w:lineRule="exact"/>
        <w:ind w:firstLine="482"/>
        <w:rPr>
          <w:rFonts w:hint="eastAsia" w:ascii="宋体" w:hAnsi="宋体" w:eastAsia="宋体" w:cs="宋体"/>
          <w:color w:val="auto"/>
          <w:highlight w:val="none"/>
        </w:rPr>
      </w:pPr>
      <w:r>
        <w:rPr>
          <w:rFonts w:hint="eastAsia" w:ascii="宋体" w:hAnsi="宋体" w:eastAsia="宋体" w:cs="宋体"/>
          <w:b/>
          <w:bCs/>
          <w:color w:val="auto"/>
          <w:sz w:val="24"/>
          <w:szCs w:val="24"/>
          <w:highlight w:val="none"/>
        </w:rPr>
        <w:t>4.4.3 因重大变故，采购任务取消的。</w:t>
      </w:r>
    </w:p>
    <w:p w14:paraId="561FFCE5">
      <w:pPr>
        <w:pStyle w:val="44"/>
        <w:jc w:val="center"/>
        <w:outlineLvl w:val="0"/>
        <w:rPr>
          <w:rFonts w:hint="eastAsia" w:ascii="宋体" w:hAnsi="宋体" w:eastAsia="宋体" w:cs="宋体"/>
          <w:color w:val="auto"/>
          <w:spacing w:val="6"/>
          <w:sz w:val="32"/>
          <w:szCs w:val="32"/>
          <w:highlight w:val="none"/>
        </w:rPr>
      </w:pPr>
      <w:r>
        <w:rPr>
          <w:rFonts w:hint="eastAsia" w:ascii="宋体" w:hAnsi="宋体" w:eastAsia="宋体" w:cs="宋体"/>
          <w:color w:val="auto"/>
          <w:spacing w:val="6"/>
          <w:sz w:val="32"/>
          <w:szCs w:val="32"/>
          <w:highlight w:val="none"/>
        </w:rPr>
        <w:br w:type="page"/>
      </w:r>
      <w:bookmarkStart w:id="150" w:name="_Toc28603"/>
      <w:r>
        <w:rPr>
          <w:rFonts w:hint="eastAsia" w:ascii="宋体" w:hAnsi="宋体" w:eastAsia="宋体" w:cs="宋体"/>
          <w:color w:val="auto"/>
          <w:spacing w:val="6"/>
          <w:sz w:val="32"/>
          <w:szCs w:val="32"/>
          <w:highlight w:val="none"/>
        </w:rPr>
        <w:t>第六章 响应文件格式</w:t>
      </w:r>
      <w:bookmarkEnd w:id="150"/>
    </w:p>
    <w:p w14:paraId="17943791">
      <w:pPr>
        <w:rPr>
          <w:rFonts w:hint="eastAsia" w:ascii="宋体" w:hAnsi="宋体" w:eastAsia="宋体" w:cs="宋体"/>
          <w:color w:val="auto"/>
          <w:spacing w:val="6"/>
          <w:sz w:val="32"/>
          <w:szCs w:val="32"/>
          <w:highlight w:val="none"/>
        </w:rPr>
      </w:pPr>
    </w:p>
    <w:p w14:paraId="0C08B60F">
      <w:pPr>
        <w:pStyle w:val="36"/>
        <w:rPr>
          <w:rFonts w:hint="eastAsia" w:ascii="宋体" w:hAnsi="宋体" w:eastAsia="宋体" w:cs="宋体"/>
          <w:color w:val="auto"/>
          <w:spacing w:val="6"/>
          <w:sz w:val="32"/>
          <w:szCs w:val="32"/>
          <w:highlight w:val="none"/>
        </w:rPr>
      </w:pPr>
    </w:p>
    <w:p w14:paraId="309E8154">
      <w:pPr>
        <w:pStyle w:val="36"/>
        <w:rPr>
          <w:rFonts w:hint="eastAsia" w:ascii="宋体" w:hAnsi="宋体" w:eastAsia="宋体" w:cs="宋体"/>
          <w:color w:val="auto"/>
          <w:spacing w:val="6"/>
          <w:sz w:val="32"/>
          <w:szCs w:val="32"/>
          <w:highlight w:val="none"/>
        </w:rPr>
      </w:pPr>
    </w:p>
    <w:p w14:paraId="2FEF99CA">
      <w:pPr>
        <w:pStyle w:val="36"/>
        <w:rPr>
          <w:rFonts w:hint="eastAsia" w:ascii="宋体" w:hAnsi="宋体" w:eastAsia="宋体" w:cs="宋体"/>
          <w:color w:val="auto"/>
          <w:spacing w:val="6"/>
          <w:sz w:val="32"/>
          <w:szCs w:val="32"/>
          <w:highlight w:val="none"/>
        </w:rPr>
      </w:pPr>
    </w:p>
    <w:p w14:paraId="75E000CE">
      <w:pPr>
        <w:pStyle w:val="36"/>
        <w:rPr>
          <w:rFonts w:hint="eastAsia" w:ascii="宋体" w:hAnsi="宋体" w:eastAsia="宋体" w:cs="宋体"/>
          <w:color w:val="auto"/>
          <w:spacing w:val="6"/>
          <w:sz w:val="32"/>
          <w:szCs w:val="32"/>
          <w:highlight w:val="none"/>
        </w:rPr>
      </w:pPr>
    </w:p>
    <w:p w14:paraId="2C194D98">
      <w:pPr>
        <w:rPr>
          <w:rFonts w:hint="eastAsia" w:ascii="宋体" w:hAnsi="宋体" w:eastAsia="宋体" w:cs="宋体"/>
          <w:color w:val="auto"/>
          <w:highlight w:val="none"/>
        </w:rPr>
      </w:pPr>
    </w:p>
    <w:p w14:paraId="34C64752">
      <w:pPr>
        <w:tabs>
          <w:tab w:val="left" w:pos="8280"/>
        </w:tabs>
        <w:spacing w:line="360" w:lineRule="auto"/>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br w:type="page"/>
      </w:r>
    </w:p>
    <w:p w14:paraId="692FEE1A">
      <w:pPr>
        <w:tabs>
          <w:tab w:val="left" w:pos="8280"/>
        </w:tabs>
        <w:spacing w:line="360" w:lineRule="auto"/>
        <w:rPr>
          <w:rFonts w:hint="eastAsia" w:ascii="宋体" w:hAnsi="宋体" w:eastAsia="宋体" w:cs="宋体"/>
          <w:b/>
          <w:bCs/>
          <w:color w:val="auto"/>
          <w:sz w:val="28"/>
          <w:szCs w:val="28"/>
          <w:highlight w:val="none"/>
        </w:rPr>
      </w:pPr>
    </w:p>
    <w:p w14:paraId="18F9FE3F">
      <w:pPr>
        <w:tabs>
          <w:tab w:val="left" w:pos="8280"/>
        </w:tabs>
        <w:spacing w:line="360" w:lineRule="auto"/>
        <w:rPr>
          <w:rFonts w:hint="eastAsia" w:ascii="宋体" w:hAnsi="宋体" w:eastAsia="宋体" w:cs="宋体"/>
          <w:b/>
          <w:bCs/>
          <w:color w:val="auto"/>
          <w:sz w:val="28"/>
          <w:szCs w:val="28"/>
          <w:highlight w:val="none"/>
        </w:rPr>
      </w:pPr>
    </w:p>
    <w:p w14:paraId="3E8450CE">
      <w:pPr>
        <w:tabs>
          <w:tab w:val="left" w:pos="8280"/>
        </w:tabs>
        <w:spacing w:line="360" w:lineRule="auto"/>
        <w:rPr>
          <w:rFonts w:hint="eastAsia" w:ascii="宋体" w:hAnsi="宋体" w:eastAsia="宋体" w:cs="宋体"/>
          <w:b/>
          <w:bCs/>
          <w:color w:val="auto"/>
          <w:sz w:val="28"/>
          <w:szCs w:val="28"/>
          <w:highlight w:val="none"/>
        </w:rPr>
      </w:pPr>
    </w:p>
    <w:p w14:paraId="47A119E3">
      <w:pPr>
        <w:tabs>
          <w:tab w:val="left" w:pos="8280"/>
        </w:tabs>
        <w:spacing w:line="360" w:lineRule="auto"/>
        <w:rPr>
          <w:rFonts w:hint="eastAsia" w:ascii="宋体" w:hAnsi="宋体" w:eastAsia="宋体" w:cs="宋体"/>
          <w:b/>
          <w:bCs/>
          <w:color w:val="auto"/>
          <w:sz w:val="28"/>
          <w:szCs w:val="28"/>
          <w:highlight w:val="none"/>
        </w:rPr>
      </w:pPr>
      <w:bookmarkStart w:id="151" w:name="_Toc8140"/>
      <w:r>
        <w:rPr>
          <w:rFonts w:hint="eastAsia" w:ascii="宋体" w:hAnsi="宋体" w:eastAsia="宋体" w:cs="宋体"/>
          <w:b/>
          <w:bCs/>
          <w:color w:val="auto"/>
          <w:sz w:val="28"/>
          <w:szCs w:val="28"/>
          <w:highlight w:val="none"/>
        </w:rPr>
        <w:t>封    面：</w:t>
      </w:r>
      <w:bookmarkEnd w:id="151"/>
    </w:p>
    <w:p w14:paraId="4C07DF07">
      <w:pPr>
        <w:tabs>
          <w:tab w:val="left" w:pos="450"/>
          <w:tab w:val="left" w:pos="8280"/>
        </w:tabs>
        <w:spacing w:line="720" w:lineRule="exact"/>
        <w:rPr>
          <w:rFonts w:hint="eastAsia" w:ascii="宋体" w:hAnsi="宋体" w:eastAsia="宋体" w:cs="宋体"/>
          <w:b/>
          <w:bCs/>
          <w:color w:val="auto"/>
          <w:sz w:val="36"/>
          <w:szCs w:val="36"/>
          <w:highlight w:val="none"/>
        </w:rPr>
      </w:pPr>
      <w:r>
        <w:rPr>
          <w:rFonts w:hint="eastAsia" w:ascii="宋体" w:hAnsi="宋体" w:eastAsia="宋体" w:cs="宋体"/>
          <w:b/>
          <w:bCs/>
          <w:color w:val="auto"/>
          <w:sz w:val="24"/>
          <w:szCs w:val="24"/>
          <w:highlight w:val="none"/>
        </w:rPr>
        <w:t xml:space="preserve">        </w:t>
      </w:r>
      <w:r>
        <w:rPr>
          <w:rFonts w:hint="eastAsia" w:ascii="宋体" w:hAnsi="宋体" w:eastAsia="宋体" w:cs="宋体"/>
          <w:b/>
          <w:bCs/>
          <w:color w:val="auto"/>
          <w:sz w:val="36"/>
          <w:szCs w:val="36"/>
          <w:highlight w:val="none"/>
        </w:rPr>
        <w:t xml:space="preserve"> </w:t>
      </w:r>
    </w:p>
    <w:p w14:paraId="1E7664A2">
      <w:pPr>
        <w:tabs>
          <w:tab w:val="left" w:pos="450"/>
          <w:tab w:val="left" w:pos="8280"/>
        </w:tabs>
        <w:spacing w:line="720" w:lineRule="exact"/>
        <w:ind w:firstLine="723" w:firstLineChars="200"/>
        <w:rPr>
          <w:rFonts w:hint="eastAsia" w:ascii="宋体" w:hAnsi="宋体" w:eastAsia="宋体" w:cs="宋体"/>
          <w:b/>
          <w:bCs/>
          <w:color w:val="auto"/>
          <w:sz w:val="36"/>
          <w:szCs w:val="36"/>
          <w:highlight w:val="none"/>
        </w:rPr>
      </w:pPr>
      <w:r>
        <w:rPr>
          <w:rFonts w:hint="eastAsia" w:ascii="宋体" w:hAnsi="宋体" w:eastAsia="宋体" w:cs="宋体"/>
          <w:b/>
          <w:bCs/>
          <w:color w:val="auto"/>
          <w:sz w:val="36"/>
          <w:szCs w:val="36"/>
          <w:highlight w:val="none"/>
        </w:rPr>
        <w:t xml:space="preserve">    </w:t>
      </w:r>
      <w:r>
        <w:rPr>
          <w:rFonts w:hint="eastAsia" w:ascii="宋体" w:hAnsi="宋体" w:eastAsia="宋体" w:cs="宋体"/>
          <w:b/>
          <w:bCs/>
          <w:color w:val="auto"/>
          <w:sz w:val="36"/>
          <w:szCs w:val="36"/>
          <w:highlight w:val="none"/>
          <w:u w:val="single"/>
        </w:rPr>
        <w:t xml:space="preserve">                               </w:t>
      </w:r>
      <w:r>
        <w:rPr>
          <w:rFonts w:hint="eastAsia" w:ascii="宋体" w:hAnsi="宋体" w:eastAsia="宋体" w:cs="宋体"/>
          <w:b/>
          <w:bCs/>
          <w:color w:val="auto"/>
          <w:sz w:val="36"/>
          <w:szCs w:val="36"/>
          <w:highlight w:val="none"/>
        </w:rPr>
        <w:t>项目</w:t>
      </w:r>
    </w:p>
    <w:p w14:paraId="5664832A">
      <w:pPr>
        <w:tabs>
          <w:tab w:val="left" w:pos="8280"/>
        </w:tabs>
        <w:spacing w:line="720" w:lineRule="exact"/>
        <w:jc w:val="center"/>
        <w:rPr>
          <w:rFonts w:hint="eastAsia" w:ascii="宋体" w:hAnsi="宋体" w:eastAsia="宋体" w:cs="宋体"/>
          <w:b/>
          <w:bCs/>
          <w:color w:val="auto"/>
          <w:sz w:val="36"/>
          <w:szCs w:val="36"/>
          <w:highlight w:val="none"/>
        </w:rPr>
      </w:pPr>
      <w:r>
        <w:rPr>
          <w:rFonts w:hint="eastAsia" w:ascii="宋体" w:hAnsi="宋体" w:eastAsia="宋体" w:cs="宋体"/>
          <w:b/>
          <w:bCs/>
          <w:color w:val="auto"/>
          <w:sz w:val="36"/>
          <w:szCs w:val="36"/>
          <w:highlight w:val="none"/>
        </w:rPr>
        <w:t>响应文件</w:t>
      </w:r>
    </w:p>
    <w:p w14:paraId="086A9FC8">
      <w:pPr>
        <w:tabs>
          <w:tab w:val="left" w:pos="275"/>
          <w:tab w:val="left" w:pos="8280"/>
        </w:tabs>
        <w:spacing w:line="360" w:lineRule="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ab/>
      </w:r>
    </w:p>
    <w:p w14:paraId="5B1A5626">
      <w:pPr>
        <w:tabs>
          <w:tab w:val="left" w:pos="275"/>
          <w:tab w:val="left" w:pos="8280"/>
        </w:tabs>
        <w:spacing w:line="360" w:lineRule="auto"/>
        <w:rPr>
          <w:rFonts w:hint="eastAsia" w:ascii="宋体" w:hAnsi="宋体" w:eastAsia="宋体" w:cs="宋体"/>
          <w:b/>
          <w:bCs/>
          <w:color w:val="auto"/>
          <w:sz w:val="28"/>
          <w:szCs w:val="28"/>
          <w:highlight w:val="none"/>
        </w:rPr>
      </w:pPr>
    </w:p>
    <w:p w14:paraId="1ECFBF56">
      <w:pPr>
        <w:tabs>
          <w:tab w:val="left" w:pos="275"/>
          <w:tab w:val="left" w:pos="8280"/>
        </w:tabs>
        <w:spacing w:line="360" w:lineRule="auto"/>
        <w:rPr>
          <w:rFonts w:hint="eastAsia" w:ascii="宋体" w:hAnsi="宋体" w:eastAsia="宋体" w:cs="宋体"/>
          <w:b/>
          <w:bCs/>
          <w:color w:val="auto"/>
          <w:sz w:val="28"/>
          <w:szCs w:val="28"/>
          <w:highlight w:val="none"/>
        </w:rPr>
      </w:pPr>
    </w:p>
    <w:p w14:paraId="3EE1984B">
      <w:pPr>
        <w:tabs>
          <w:tab w:val="left" w:pos="275"/>
          <w:tab w:val="left" w:pos="8280"/>
        </w:tabs>
        <w:spacing w:line="360" w:lineRule="auto"/>
        <w:rPr>
          <w:rFonts w:hint="eastAsia" w:ascii="宋体" w:hAnsi="宋体" w:eastAsia="宋体" w:cs="宋体"/>
          <w:b/>
          <w:bCs/>
          <w:color w:val="auto"/>
          <w:sz w:val="28"/>
          <w:szCs w:val="28"/>
          <w:highlight w:val="none"/>
        </w:rPr>
      </w:pPr>
    </w:p>
    <w:p w14:paraId="7EDDC8DA">
      <w:pPr>
        <w:tabs>
          <w:tab w:val="left" w:pos="275"/>
          <w:tab w:val="left" w:pos="8280"/>
        </w:tabs>
        <w:spacing w:line="360" w:lineRule="auto"/>
        <w:rPr>
          <w:rFonts w:hint="eastAsia" w:ascii="宋体" w:hAnsi="宋体" w:eastAsia="宋体" w:cs="宋体"/>
          <w:b/>
          <w:bCs/>
          <w:color w:val="auto"/>
          <w:sz w:val="28"/>
          <w:szCs w:val="28"/>
          <w:highlight w:val="none"/>
        </w:rPr>
      </w:pPr>
    </w:p>
    <w:p w14:paraId="3A62E445">
      <w:pPr>
        <w:tabs>
          <w:tab w:val="left" w:pos="275"/>
          <w:tab w:val="left" w:pos="8280"/>
        </w:tabs>
        <w:spacing w:line="360" w:lineRule="auto"/>
        <w:rPr>
          <w:rFonts w:hint="eastAsia" w:ascii="宋体" w:hAnsi="宋体" w:eastAsia="宋体" w:cs="宋体"/>
          <w:b/>
          <w:bCs/>
          <w:color w:val="auto"/>
          <w:sz w:val="28"/>
          <w:szCs w:val="28"/>
          <w:highlight w:val="none"/>
        </w:rPr>
      </w:pPr>
      <w:bookmarkStart w:id="152" w:name="_Toc10502"/>
      <w:r>
        <w:rPr>
          <w:rFonts w:hint="eastAsia" w:ascii="宋体" w:hAnsi="宋体" w:eastAsia="宋体" w:cs="宋体"/>
          <w:b/>
          <w:bCs/>
          <w:color w:val="auto"/>
          <w:sz w:val="28"/>
          <w:szCs w:val="28"/>
          <w:highlight w:val="none"/>
        </w:rPr>
        <w:t>项目编号：</w:t>
      </w:r>
      <w:bookmarkEnd w:id="152"/>
      <w:r>
        <w:rPr>
          <w:rFonts w:hint="eastAsia" w:ascii="宋体" w:hAnsi="宋体" w:eastAsia="宋体" w:cs="宋体"/>
          <w:b/>
          <w:bCs/>
          <w:color w:val="auto"/>
          <w:sz w:val="28"/>
          <w:szCs w:val="28"/>
          <w:highlight w:val="none"/>
          <w:u w:val="single"/>
        </w:rPr>
        <w:t xml:space="preserve">                                                </w:t>
      </w:r>
    </w:p>
    <w:p w14:paraId="514A09D5">
      <w:pPr>
        <w:tabs>
          <w:tab w:val="left" w:pos="765"/>
          <w:tab w:val="left" w:pos="8280"/>
        </w:tabs>
        <w:spacing w:line="360" w:lineRule="auto"/>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ab/>
      </w:r>
    </w:p>
    <w:p w14:paraId="337ECF0E">
      <w:pPr>
        <w:tabs>
          <w:tab w:val="left" w:pos="765"/>
          <w:tab w:val="left" w:pos="8280"/>
        </w:tabs>
        <w:spacing w:line="360" w:lineRule="auto"/>
        <w:rPr>
          <w:rFonts w:hint="eastAsia" w:ascii="宋体" w:hAnsi="宋体" w:eastAsia="宋体" w:cs="宋体"/>
          <w:b/>
          <w:bCs/>
          <w:color w:val="auto"/>
          <w:sz w:val="28"/>
          <w:szCs w:val="28"/>
          <w:highlight w:val="none"/>
        </w:rPr>
      </w:pPr>
      <w:bookmarkStart w:id="153" w:name="_Toc20930"/>
      <w:r>
        <w:rPr>
          <w:rFonts w:hint="eastAsia" w:ascii="宋体" w:hAnsi="宋体" w:eastAsia="宋体" w:cs="宋体"/>
          <w:b/>
          <w:bCs/>
          <w:color w:val="auto"/>
          <w:sz w:val="28"/>
          <w:szCs w:val="28"/>
          <w:highlight w:val="none"/>
        </w:rPr>
        <w:t>响应文件递交人（电子公章）：</w:t>
      </w:r>
      <w:bookmarkEnd w:id="153"/>
      <w:r>
        <w:rPr>
          <w:rFonts w:hint="eastAsia" w:ascii="宋体" w:hAnsi="宋体" w:eastAsia="宋体" w:cs="宋体"/>
          <w:b/>
          <w:bCs/>
          <w:color w:val="auto"/>
          <w:sz w:val="28"/>
          <w:szCs w:val="28"/>
          <w:highlight w:val="none"/>
        </w:rPr>
        <w:t xml:space="preserve"> </w:t>
      </w:r>
      <w:r>
        <w:rPr>
          <w:rFonts w:hint="eastAsia" w:ascii="宋体" w:hAnsi="宋体" w:eastAsia="宋体" w:cs="宋体"/>
          <w:b/>
          <w:bCs/>
          <w:color w:val="auto"/>
          <w:sz w:val="28"/>
          <w:szCs w:val="28"/>
          <w:highlight w:val="none"/>
          <w:u w:val="single"/>
        </w:rPr>
        <w:t xml:space="preserve">                                  </w:t>
      </w:r>
    </w:p>
    <w:p w14:paraId="3237B581">
      <w:pPr>
        <w:tabs>
          <w:tab w:val="left" w:pos="8280"/>
        </w:tabs>
        <w:spacing w:line="360" w:lineRule="auto"/>
        <w:jc w:val="center"/>
        <w:rPr>
          <w:rFonts w:hint="eastAsia" w:ascii="宋体" w:hAnsi="宋体" w:eastAsia="宋体" w:cs="宋体"/>
          <w:b/>
          <w:bCs/>
          <w:color w:val="auto"/>
          <w:sz w:val="28"/>
          <w:szCs w:val="28"/>
          <w:highlight w:val="none"/>
        </w:rPr>
      </w:pPr>
    </w:p>
    <w:p w14:paraId="314B43A8">
      <w:pPr>
        <w:tabs>
          <w:tab w:val="left" w:pos="350"/>
          <w:tab w:val="left" w:pos="8280"/>
        </w:tabs>
        <w:spacing w:line="360" w:lineRule="auto"/>
        <w:rPr>
          <w:rFonts w:hint="eastAsia" w:ascii="宋体" w:hAnsi="宋体" w:eastAsia="宋体" w:cs="宋体"/>
          <w:b/>
          <w:bCs/>
          <w:color w:val="auto"/>
          <w:sz w:val="28"/>
          <w:szCs w:val="28"/>
          <w:highlight w:val="none"/>
        </w:rPr>
      </w:pPr>
      <w:bookmarkStart w:id="154" w:name="_Toc6206"/>
      <w:r>
        <w:rPr>
          <w:rFonts w:hint="eastAsia" w:ascii="宋体" w:hAnsi="宋体" w:eastAsia="宋体" w:cs="宋体"/>
          <w:b/>
          <w:bCs/>
          <w:color w:val="auto"/>
          <w:sz w:val="28"/>
          <w:szCs w:val="28"/>
          <w:highlight w:val="none"/>
        </w:rPr>
        <w:t>供应商法定代表人</w:t>
      </w:r>
      <w:bookmarkEnd w:id="154"/>
    </w:p>
    <w:p w14:paraId="33E38EE5">
      <w:pPr>
        <w:tabs>
          <w:tab w:val="left" w:pos="840"/>
          <w:tab w:val="left" w:pos="8280"/>
        </w:tabs>
        <w:spacing w:line="360" w:lineRule="auto"/>
        <w:rPr>
          <w:rFonts w:hint="eastAsia" w:ascii="宋体" w:hAnsi="宋体" w:eastAsia="宋体" w:cs="宋体"/>
          <w:b/>
          <w:bCs/>
          <w:color w:val="auto"/>
          <w:sz w:val="28"/>
          <w:szCs w:val="28"/>
          <w:highlight w:val="none"/>
        </w:rPr>
      </w:pPr>
      <w:bookmarkStart w:id="155" w:name="_Toc6379"/>
      <w:r>
        <w:rPr>
          <w:rFonts w:hint="eastAsia" w:ascii="宋体" w:hAnsi="宋体" w:eastAsia="宋体" w:cs="宋体"/>
          <w:b/>
          <w:bCs/>
          <w:color w:val="auto"/>
          <w:sz w:val="28"/>
          <w:szCs w:val="28"/>
          <w:highlight w:val="none"/>
        </w:rPr>
        <w:t>或其委托人（签章）：</w:t>
      </w:r>
      <w:bookmarkEnd w:id="155"/>
      <w:r>
        <w:rPr>
          <w:rFonts w:hint="eastAsia" w:ascii="宋体" w:hAnsi="宋体" w:eastAsia="宋体" w:cs="宋体"/>
          <w:b/>
          <w:bCs/>
          <w:color w:val="auto"/>
          <w:sz w:val="28"/>
          <w:szCs w:val="28"/>
          <w:highlight w:val="none"/>
          <w:u w:val="single"/>
        </w:rPr>
        <w:t xml:space="preserve">                                       </w:t>
      </w:r>
    </w:p>
    <w:p w14:paraId="591A3348">
      <w:pPr>
        <w:rPr>
          <w:rFonts w:hint="eastAsia" w:ascii="宋体" w:hAnsi="宋体" w:eastAsia="宋体" w:cs="宋体"/>
          <w:color w:val="auto"/>
          <w:highlight w:val="none"/>
        </w:rPr>
      </w:pPr>
    </w:p>
    <w:p w14:paraId="572654CF">
      <w:pPr>
        <w:pStyle w:val="36"/>
        <w:rPr>
          <w:rFonts w:hint="eastAsia" w:ascii="宋体" w:hAnsi="宋体" w:eastAsia="宋体" w:cs="宋体"/>
          <w:color w:val="auto"/>
          <w:highlight w:val="none"/>
        </w:rPr>
      </w:pPr>
    </w:p>
    <w:p w14:paraId="303C8BE0">
      <w:pPr>
        <w:pStyle w:val="36"/>
        <w:rPr>
          <w:rFonts w:hint="eastAsia" w:ascii="宋体" w:hAnsi="宋体" w:eastAsia="宋体" w:cs="宋体"/>
          <w:color w:val="auto"/>
          <w:highlight w:val="none"/>
        </w:rPr>
      </w:pPr>
    </w:p>
    <w:p w14:paraId="546035CF">
      <w:pPr>
        <w:pStyle w:val="36"/>
        <w:rPr>
          <w:rFonts w:hint="eastAsia" w:ascii="宋体" w:hAnsi="宋体" w:eastAsia="宋体" w:cs="宋体"/>
          <w:color w:val="auto"/>
          <w:highlight w:val="none"/>
        </w:rPr>
      </w:pPr>
    </w:p>
    <w:p w14:paraId="11B71F5E">
      <w:pPr>
        <w:pStyle w:val="36"/>
        <w:jc w:val="center"/>
        <w:rPr>
          <w:rFonts w:hint="eastAsia" w:ascii="宋体" w:hAnsi="宋体" w:eastAsia="宋体" w:cs="宋体"/>
          <w:b/>
          <w:bCs/>
          <w:color w:val="auto"/>
          <w:sz w:val="28"/>
          <w:szCs w:val="28"/>
          <w:highlight w:val="none"/>
        </w:rPr>
      </w:pPr>
      <w:bookmarkStart w:id="156" w:name="_Toc6131"/>
      <w:r>
        <w:rPr>
          <w:rFonts w:hint="eastAsia" w:ascii="宋体" w:hAnsi="宋体" w:eastAsia="宋体" w:cs="宋体"/>
          <w:b/>
          <w:bCs/>
          <w:color w:val="auto"/>
          <w:sz w:val="28"/>
          <w:szCs w:val="28"/>
          <w:highlight w:val="none"/>
        </w:rPr>
        <w:t>年     月     日</w:t>
      </w:r>
      <w:bookmarkEnd w:id="156"/>
    </w:p>
    <w:p w14:paraId="7BFEEEC4">
      <w:pPr>
        <w:pStyle w:val="36"/>
        <w:jc w:val="center"/>
        <w:rPr>
          <w:rFonts w:hint="eastAsia" w:ascii="宋体" w:hAnsi="宋体" w:eastAsia="宋体" w:cs="宋体"/>
          <w:color w:val="auto"/>
          <w:highlight w:val="none"/>
        </w:rPr>
      </w:pPr>
      <w:r>
        <w:rPr>
          <w:rFonts w:hint="eastAsia" w:ascii="宋体" w:hAnsi="宋体" w:eastAsia="宋体" w:cs="宋体"/>
          <w:b/>
          <w:bCs/>
          <w:color w:val="auto"/>
          <w:sz w:val="28"/>
          <w:szCs w:val="28"/>
          <w:highlight w:val="none"/>
        </w:rPr>
        <w:br w:type="page"/>
      </w:r>
    </w:p>
    <w:p w14:paraId="41DDBE0F">
      <w:pPr>
        <w:autoSpaceDE w:val="0"/>
        <w:autoSpaceDN w:val="0"/>
        <w:adjustRightInd w:val="0"/>
        <w:spacing w:line="427" w:lineRule="exact"/>
        <w:ind w:left="20" w:right="-40" w:hanging="19" w:hangingChars="7"/>
        <w:jc w:val="center"/>
        <w:rPr>
          <w:rFonts w:hint="eastAsia" w:ascii="宋体" w:hAnsi="宋体" w:eastAsia="宋体" w:cs="宋体"/>
          <w:color w:val="auto"/>
          <w:highlight w:val="none"/>
        </w:rPr>
      </w:pPr>
      <w:r>
        <w:rPr>
          <w:rFonts w:hint="eastAsia" w:ascii="宋体" w:hAnsi="宋体" w:eastAsia="宋体" w:cs="宋体"/>
          <w:color w:val="auto"/>
          <w:sz w:val="28"/>
          <w:szCs w:val="28"/>
          <w:highlight w:val="none"/>
        </w:rPr>
        <w:t>目  录</w:t>
      </w:r>
    </w:p>
    <w:p w14:paraId="668F1B3D">
      <w:pPr>
        <w:autoSpaceDE w:val="0"/>
        <w:autoSpaceDN w:val="0"/>
        <w:adjustRightInd w:val="0"/>
        <w:spacing w:line="440" w:lineRule="exact"/>
        <w:rPr>
          <w:rFonts w:hint="eastAsia" w:ascii="宋体" w:hAnsi="宋体" w:eastAsia="宋体" w:cs="宋体"/>
          <w:b/>
          <w:color w:val="auto"/>
          <w:sz w:val="24"/>
          <w:highlight w:val="none"/>
        </w:rPr>
      </w:pPr>
      <w:bookmarkStart w:id="157" w:name="_Toc24416"/>
      <w:bookmarkStart w:id="158" w:name="_Toc24620"/>
      <w:bookmarkStart w:id="159" w:name="_Hlk78804305"/>
      <w:r>
        <w:rPr>
          <w:rFonts w:hint="eastAsia" w:ascii="宋体" w:hAnsi="宋体" w:eastAsia="宋体" w:cs="宋体"/>
          <w:b/>
          <w:color w:val="auto"/>
          <w:sz w:val="24"/>
          <w:highlight w:val="none"/>
          <w:lang w:val="en-US" w:eastAsia="zh-CN"/>
        </w:rPr>
        <w:t>一、</w:t>
      </w:r>
      <w:r>
        <w:rPr>
          <w:rFonts w:hint="eastAsia" w:ascii="宋体" w:hAnsi="宋体" w:eastAsia="宋体" w:cs="宋体"/>
          <w:b/>
          <w:color w:val="auto"/>
          <w:sz w:val="24"/>
          <w:highlight w:val="none"/>
        </w:rPr>
        <w:t>响应书</w:t>
      </w:r>
      <w:bookmarkEnd w:id="157"/>
      <w:bookmarkEnd w:id="158"/>
    </w:p>
    <w:bookmarkEnd w:id="159"/>
    <w:p w14:paraId="23AF51E0">
      <w:pPr>
        <w:autoSpaceDE w:val="0"/>
        <w:autoSpaceDN w:val="0"/>
        <w:adjustRightInd w:val="0"/>
        <w:spacing w:line="440" w:lineRule="exact"/>
        <w:rPr>
          <w:rFonts w:hint="eastAsia" w:ascii="宋体" w:hAnsi="宋体" w:eastAsia="宋体" w:cs="宋体"/>
          <w:b/>
          <w:color w:val="auto"/>
          <w:sz w:val="24"/>
          <w:highlight w:val="none"/>
        </w:rPr>
      </w:pPr>
      <w:r>
        <w:rPr>
          <w:rFonts w:hint="eastAsia" w:ascii="宋体" w:hAnsi="宋体" w:eastAsia="宋体" w:cs="宋体"/>
          <w:b/>
          <w:color w:val="auto"/>
          <w:sz w:val="24"/>
          <w:highlight w:val="none"/>
        </w:rPr>
        <w:t>二、资格证明文件</w:t>
      </w:r>
    </w:p>
    <w:p w14:paraId="415401D8">
      <w:pPr>
        <w:autoSpaceDE w:val="0"/>
        <w:autoSpaceDN w:val="0"/>
        <w:adjustRightInd w:val="0"/>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（一）具有独立承担民事责任的能力（营业执照）</w:t>
      </w:r>
    </w:p>
    <w:p w14:paraId="6F128B5E">
      <w:pPr>
        <w:autoSpaceDE w:val="0"/>
        <w:autoSpaceDN w:val="0"/>
        <w:adjustRightInd w:val="0"/>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（二）具有良好的商业信誉和健全的财务会计制度</w:t>
      </w:r>
    </w:p>
    <w:p w14:paraId="32C1822F">
      <w:pPr>
        <w:autoSpaceDE w:val="0"/>
        <w:autoSpaceDN w:val="0"/>
        <w:adjustRightInd w:val="0"/>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（三）有依法缴纳税收和社会保障资金的良好记录</w:t>
      </w:r>
    </w:p>
    <w:p w14:paraId="40223A5D">
      <w:pPr>
        <w:autoSpaceDE w:val="0"/>
        <w:autoSpaceDN w:val="0"/>
        <w:adjustRightInd w:val="0"/>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（四）具有履行合同所必需的设备和专业技术能力</w:t>
      </w:r>
    </w:p>
    <w:p w14:paraId="2237D4B6">
      <w:pPr>
        <w:autoSpaceDE w:val="0"/>
        <w:autoSpaceDN w:val="0"/>
        <w:adjustRightInd w:val="0"/>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（五）参加政府采购活动前三年内，在经营活动中没有重大违法记录</w:t>
      </w:r>
    </w:p>
    <w:p w14:paraId="6AA6B73B">
      <w:pPr>
        <w:autoSpaceDE w:val="0"/>
        <w:autoSpaceDN w:val="0"/>
        <w:adjustRightInd w:val="0"/>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（六）供应商未列入失信被执行人、重大税收违法案件当事人名单、政府采购严重违法失信行为记录名单</w:t>
      </w:r>
    </w:p>
    <w:p w14:paraId="1E2A9713">
      <w:pPr>
        <w:autoSpaceDE w:val="0"/>
        <w:autoSpaceDN w:val="0"/>
        <w:adjustRightInd w:val="0"/>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（七）联合体</w:t>
      </w:r>
    </w:p>
    <w:p w14:paraId="67DE53AE">
      <w:pPr>
        <w:autoSpaceDE w:val="0"/>
        <w:autoSpaceDN w:val="0"/>
        <w:adjustRightInd w:val="0"/>
        <w:spacing w:line="440" w:lineRule="exact"/>
        <w:ind w:firstLine="480" w:firstLineChars="200"/>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（八）</w:t>
      </w:r>
      <w:r>
        <w:rPr>
          <w:rFonts w:hint="eastAsia" w:ascii="宋体" w:hAnsi="宋体" w:eastAsia="宋体" w:cs="宋体"/>
          <w:color w:val="auto"/>
          <w:sz w:val="24"/>
          <w:highlight w:val="none"/>
          <w:lang w:eastAsia="zh-CN"/>
        </w:rPr>
        <w:t>磋商保证金</w:t>
      </w:r>
    </w:p>
    <w:p w14:paraId="1D6A6BA4">
      <w:pPr>
        <w:autoSpaceDE w:val="0"/>
        <w:autoSpaceDN w:val="0"/>
        <w:adjustRightInd w:val="0"/>
        <w:spacing w:line="440" w:lineRule="exact"/>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rPr>
        <w:t>（九）</w:t>
      </w:r>
      <w:r>
        <w:rPr>
          <w:rFonts w:hint="eastAsia" w:ascii="宋体" w:hAnsi="宋体" w:eastAsia="宋体" w:cs="宋体"/>
          <w:color w:val="auto"/>
          <w:sz w:val="24"/>
          <w:highlight w:val="none"/>
          <w:lang w:val="en-US" w:eastAsia="zh-CN"/>
        </w:rPr>
        <w:t>资质条件</w:t>
      </w:r>
    </w:p>
    <w:p w14:paraId="00C3CD06">
      <w:pPr>
        <w:autoSpaceDE w:val="0"/>
        <w:autoSpaceDN w:val="0"/>
        <w:adjustRightInd w:val="0"/>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十</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其他声明及文件材料</w:t>
      </w:r>
    </w:p>
    <w:p w14:paraId="0CDDF0E3">
      <w:pPr>
        <w:autoSpaceDE w:val="0"/>
        <w:autoSpaceDN w:val="0"/>
        <w:adjustRightInd w:val="0"/>
        <w:spacing w:line="440" w:lineRule="exact"/>
        <w:rPr>
          <w:rFonts w:hint="eastAsia" w:ascii="宋体" w:hAnsi="宋体" w:eastAsia="宋体" w:cs="宋体"/>
          <w:b/>
          <w:color w:val="auto"/>
          <w:sz w:val="24"/>
          <w:highlight w:val="none"/>
        </w:rPr>
      </w:pPr>
      <w:r>
        <w:rPr>
          <w:rFonts w:hint="eastAsia" w:ascii="宋体" w:hAnsi="宋体" w:eastAsia="宋体" w:cs="宋体"/>
          <w:b/>
          <w:color w:val="auto"/>
          <w:sz w:val="24"/>
          <w:highlight w:val="none"/>
        </w:rPr>
        <w:t>三、商务文件</w:t>
      </w:r>
    </w:p>
    <w:p w14:paraId="76CF1144">
      <w:pPr>
        <w:numPr>
          <w:ilvl w:val="0"/>
          <w:numId w:val="10"/>
        </w:numPr>
        <w:autoSpaceDE w:val="0"/>
        <w:autoSpaceDN w:val="0"/>
        <w:adjustRightInd w:val="0"/>
        <w:spacing w:line="440" w:lineRule="exact"/>
        <w:ind w:left="0" w:leftChars="0" w:firstLine="420" w:firstLineChars="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法定代表人资格证明书及法定代表人授权委托书</w:t>
      </w:r>
    </w:p>
    <w:p w14:paraId="448A94AA">
      <w:pPr>
        <w:numPr>
          <w:ilvl w:val="0"/>
          <w:numId w:val="10"/>
        </w:numPr>
        <w:autoSpaceDE w:val="0"/>
        <w:autoSpaceDN w:val="0"/>
        <w:adjustRightInd w:val="0"/>
        <w:spacing w:line="440" w:lineRule="exact"/>
        <w:ind w:left="0" w:leftChars="0" w:firstLine="420" w:firstLineChars="0"/>
        <w:rPr>
          <w:rFonts w:hint="eastAsia" w:ascii="宋体" w:hAnsi="宋体" w:eastAsia="宋体" w:cs="宋体"/>
          <w:color w:val="auto"/>
          <w:sz w:val="24"/>
          <w:highlight w:val="none"/>
        </w:rPr>
      </w:pPr>
      <w:r>
        <w:rPr>
          <w:rFonts w:hint="eastAsia" w:ascii="宋体" w:hAnsi="宋体" w:eastAsia="宋体" w:cs="宋体"/>
          <w:color w:val="auto"/>
          <w:sz w:val="24"/>
          <w:highlight w:val="none"/>
        </w:rPr>
        <w:t>开标一览表及报价明细表</w:t>
      </w:r>
    </w:p>
    <w:p w14:paraId="16F7435F">
      <w:pPr>
        <w:numPr>
          <w:ilvl w:val="0"/>
          <w:numId w:val="10"/>
        </w:numPr>
        <w:autoSpaceDE w:val="0"/>
        <w:autoSpaceDN w:val="0"/>
        <w:adjustRightInd w:val="0"/>
        <w:spacing w:line="440" w:lineRule="exact"/>
        <w:ind w:left="0" w:leftChars="0" w:firstLine="420" w:firstLineChars="0"/>
        <w:rPr>
          <w:rFonts w:hint="eastAsia" w:ascii="宋体" w:hAnsi="宋体" w:eastAsia="宋体" w:cs="宋体"/>
          <w:color w:val="auto"/>
          <w:sz w:val="24"/>
          <w:highlight w:val="none"/>
        </w:rPr>
      </w:pPr>
      <w:bookmarkStart w:id="160" w:name="_Hlk78745738"/>
      <w:r>
        <w:rPr>
          <w:rFonts w:hint="eastAsia" w:ascii="宋体" w:hAnsi="宋体" w:eastAsia="宋体" w:cs="宋体"/>
          <w:color w:val="auto"/>
          <w:sz w:val="24"/>
          <w:highlight w:val="none"/>
        </w:rPr>
        <w:t>合同、商务条款偏离说明表</w:t>
      </w:r>
    </w:p>
    <w:bookmarkEnd w:id="160"/>
    <w:p w14:paraId="294D116D">
      <w:pPr>
        <w:numPr>
          <w:ilvl w:val="0"/>
          <w:numId w:val="10"/>
        </w:numPr>
        <w:autoSpaceDE w:val="0"/>
        <w:autoSpaceDN w:val="0"/>
        <w:adjustRightInd w:val="0"/>
        <w:spacing w:line="440" w:lineRule="exact"/>
        <w:ind w:left="0" w:leftChars="0" w:firstLine="420" w:firstLineChars="0"/>
        <w:rPr>
          <w:rFonts w:hint="eastAsia" w:ascii="宋体" w:hAnsi="宋体" w:eastAsia="宋体" w:cs="宋体"/>
          <w:color w:val="auto"/>
          <w:sz w:val="24"/>
          <w:highlight w:val="none"/>
        </w:rPr>
      </w:pPr>
      <w:r>
        <w:rPr>
          <w:rFonts w:hint="eastAsia" w:ascii="宋体" w:hAnsi="宋体" w:eastAsia="宋体" w:cs="宋体"/>
          <w:color w:val="auto"/>
          <w:sz w:val="24"/>
          <w:highlight w:val="none"/>
        </w:rPr>
        <w:t>公司资质</w:t>
      </w:r>
    </w:p>
    <w:p w14:paraId="7FF29559">
      <w:pPr>
        <w:numPr>
          <w:ilvl w:val="0"/>
          <w:numId w:val="10"/>
        </w:numPr>
        <w:autoSpaceDE w:val="0"/>
        <w:autoSpaceDN w:val="0"/>
        <w:adjustRightInd w:val="0"/>
        <w:spacing w:line="440" w:lineRule="exact"/>
        <w:ind w:left="0" w:leftChars="0" w:firstLine="420" w:firstLineChars="0"/>
        <w:rPr>
          <w:rFonts w:hint="eastAsia" w:ascii="宋体" w:hAnsi="宋体" w:eastAsia="宋体" w:cs="宋体"/>
          <w:color w:val="auto"/>
          <w:sz w:val="24"/>
          <w:highlight w:val="none"/>
        </w:rPr>
      </w:pPr>
      <w:r>
        <w:rPr>
          <w:rFonts w:hint="eastAsia" w:ascii="宋体" w:hAnsi="宋体" w:eastAsia="宋体" w:cs="宋体"/>
          <w:color w:val="auto"/>
          <w:sz w:val="24"/>
          <w:highlight w:val="none"/>
        </w:rPr>
        <w:t>项目负责人基本情况及项目组成人员</w:t>
      </w:r>
    </w:p>
    <w:p w14:paraId="18824233">
      <w:pPr>
        <w:numPr>
          <w:ilvl w:val="0"/>
          <w:numId w:val="10"/>
        </w:numPr>
        <w:autoSpaceDE w:val="0"/>
        <w:autoSpaceDN w:val="0"/>
        <w:adjustRightInd w:val="0"/>
        <w:spacing w:line="440" w:lineRule="exact"/>
        <w:ind w:left="0" w:leftChars="0" w:firstLine="420" w:firstLineChars="0"/>
        <w:rPr>
          <w:rFonts w:hint="eastAsia" w:ascii="宋体" w:hAnsi="宋体" w:eastAsia="宋体" w:cs="宋体"/>
          <w:color w:val="auto"/>
          <w:sz w:val="24"/>
          <w:highlight w:val="none"/>
        </w:rPr>
      </w:pPr>
      <w:r>
        <w:rPr>
          <w:rFonts w:hint="eastAsia" w:ascii="宋体" w:hAnsi="宋体" w:eastAsia="宋体" w:cs="宋体"/>
          <w:color w:val="auto"/>
          <w:sz w:val="24"/>
          <w:highlight w:val="none"/>
        </w:rPr>
        <w:t>财务状况</w:t>
      </w:r>
    </w:p>
    <w:p w14:paraId="1C1346A6">
      <w:pPr>
        <w:numPr>
          <w:ilvl w:val="0"/>
          <w:numId w:val="10"/>
        </w:numPr>
        <w:autoSpaceDE w:val="0"/>
        <w:autoSpaceDN w:val="0"/>
        <w:adjustRightInd w:val="0"/>
        <w:spacing w:line="440" w:lineRule="exact"/>
        <w:ind w:left="0" w:leftChars="0" w:firstLine="420" w:firstLineChars="0"/>
        <w:rPr>
          <w:rFonts w:hint="eastAsia" w:ascii="宋体" w:hAnsi="宋体" w:eastAsia="宋体" w:cs="宋体"/>
          <w:color w:val="auto"/>
          <w:sz w:val="24"/>
          <w:highlight w:val="none"/>
        </w:rPr>
      </w:pPr>
      <w:r>
        <w:rPr>
          <w:rFonts w:hint="eastAsia" w:ascii="宋体" w:hAnsi="宋体" w:eastAsia="宋体" w:cs="宋体"/>
          <w:color w:val="auto"/>
          <w:sz w:val="24"/>
          <w:highlight w:val="none"/>
        </w:rPr>
        <w:t>近年同类项目业绩</w:t>
      </w:r>
    </w:p>
    <w:p w14:paraId="2A414941">
      <w:pPr>
        <w:numPr>
          <w:ilvl w:val="0"/>
          <w:numId w:val="10"/>
        </w:numPr>
        <w:autoSpaceDE w:val="0"/>
        <w:autoSpaceDN w:val="0"/>
        <w:adjustRightInd w:val="0"/>
        <w:spacing w:line="440" w:lineRule="exact"/>
        <w:ind w:left="0" w:leftChars="0" w:firstLine="420" w:firstLineChars="0"/>
        <w:rPr>
          <w:rFonts w:hint="eastAsia" w:ascii="宋体" w:hAnsi="宋体" w:eastAsia="宋体" w:cs="宋体"/>
          <w:color w:val="auto"/>
          <w:sz w:val="24"/>
          <w:highlight w:val="none"/>
        </w:rPr>
      </w:pPr>
      <w:bookmarkStart w:id="161" w:name="_Hlk78745962"/>
      <w:r>
        <w:rPr>
          <w:rFonts w:hint="eastAsia" w:ascii="宋体" w:hAnsi="宋体" w:eastAsia="宋体" w:cs="宋体"/>
          <w:color w:val="auto"/>
          <w:sz w:val="24"/>
          <w:highlight w:val="none"/>
        </w:rPr>
        <w:t>中小微企业、残疾人福利性单位、监狱企业声明函（如有）</w:t>
      </w:r>
      <w:bookmarkEnd w:id="161"/>
    </w:p>
    <w:p w14:paraId="5823514E">
      <w:pPr>
        <w:numPr>
          <w:ilvl w:val="0"/>
          <w:numId w:val="10"/>
        </w:numPr>
        <w:autoSpaceDE w:val="0"/>
        <w:autoSpaceDN w:val="0"/>
        <w:adjustRightInd w:val="0"/>
        <w:spacing w:line="440" w:lineRule="exact"/>
        <w:ind w:left="0" w:leftChars="0" w:firstLine="420" w:firstLineChars="0"/>
        <w:rPr>
          <w:rFonts w:hint="eastAsia" w:ascii="宋体" w:hAnsi="宋体" w:eastAsia="宋体" w:cs="宋体"/>
          <w:color w:val="auto"/>
          <w:sz w:val="24"/>
          <w:highlight w:val="none"/>
        </w:rPr>
      </w:pPr>
      <w:bookmarkStart w:id="162" w:name="_Hlk78745979"/>
      <w:r>
        <w:rPr>
          <w:rFonts w:hint="eastAsia" w:ascii="宋体" w:hAnsi="宋体" w:eastAsia="宋体" w:cs="宋体"/>
          <w:color w:val="auto"/>
          <w:sz w:val="24"/>
          <w:highlight w:val="none"/>
        </w:rPr>
        <w:t>节能、环保产品明细表（如有）</w:t>
      </w:r>
      <w:bookmarkEnd w:id="162"/>
    </w:p>
    <w:p w14:paraId="71823313">
      <w:pPr>
        <w:numPr>
          <w:ilvl w:val="0"/>
          <w:numId w:val="10"/>
        </w:numPr>
        <w:autoSpaceDE w:val="0"/>
        <w:autoSpaceDN w:val="0"/>
        <w:adjustRightInd w:val="0"/>
        <w:spacing w:line="440" w:lineRule="exact"/>
        <w:ind w:left="0" w:leftChars="0" w:firstLine="420" w:firstLineChars="0"/>
        <w:rPr>
          <w:rFonts w:hint="eastAsia" w:ascii="宋体" w:hAnsi="宋体" w:eastAsia="宋体" w:cs="宋体"/>
          <w:color w:val="auto"/>
          <w:sz w:val="24"/>
          <w:highlight w:val="none"/>
        </w:rPr>
      </w:pPr>
      <w:bookmarkStart w:id="163" w:name="_Hlk78745997"/>
      <w:r>
        <w:rPr>
          <w:rFonts w:hint="eastAsia" w:ascii="宋体" w:hAnsi="宋体" w:eastAsia="宋体" w:cs="宋体"/>
          <w:color w:val="auto"/>
          <w:sz w:val="24"/>
          <w:highlight w:val="none"/>
        </w:rPr>
        <w:t>供应商认为有必要提供的其他商务资料</w:t>
      </w:r>
    </w:p>
    <w:bookmarkEnd w:id="163"/>
    <w:p w14:paraId="77C0689F">
      <w:pPr>
        <w:autoSpaceDE w:val="0"/>
        <w:autoSpaceDN w:val="0"/>
        <w:adjustRightInd w:val="0"/>
        <w:spacing w:line="440" w:lineRule="exact"/>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四、技术文件</w:t>
      </w:r>
    </w:p>
    <w:p w14:paraId="0C92C012">
      <w:pPr>
        <w:autoSpaceDE w:val="0"/>
        <w:autoSpaceDN w:val="0"/>
        <w:adjustRightInd w:val="0"/>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（一）供应商自行编写的服务方案及相关文件</w:t>
      </w:r>
    </w:p>
    <w:p w14:paraId="0697E391">
      <w:pPr>
        <w:autoSpaceDE w:val="0"/>
        <w:autoSpaceDN w:val="0"/>
        <w:adjustRightInd w:val="0"/>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（二）技术规范偏离表</w:t>
      </w:r>
    </w:p>
    <w:p w14:paraId="1B8880BE">
      <w:pPr>
        <w:autoSpaceDE w:val="0"/>
        <w:autoSpaceDN w:val="0"/>
        <w:adjustRightInd w:val="0"/>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（三）供应商认为应该提供的有利于</w:t>
      </w:r>
      <w:r>
        <w:rPr>
          <w:rFonts w:hint="eastAsia" w:ascii="宋体" w:hAnsi="宋体" w:eastAsia="宋体" w:cs="宋体"/>
          <w:color w:val="auto"/>
          <w:sz w:val="24"/>
          <w:highlight w:val="none"/>
          <w:lang w:eastAsia="zh-CN"/>
        </w:rPr>
        <w:t>采购人</w:t>
      </w:r>
      <w:r>
        <w:rPr>
          <w:rFonts w:hint="eastAsia" w:ascii="宋体" w:hAnsi="宋体" w:eastAsia="宋体" w:cs="宋体"/>
          <w:color w:val="auto"/>
          <w:sz w:val="24"/>
          <w:highlight w:val="none"/>
        </w:rPr>
        <w:t xml:space="preserve">的其他技术内容 </w:t>
      </w:r>
    </w:p>
    <w:p w14:paraId="6E175904">
      <w:pPr>
        <w:autoSpaceDE w:val="0"/>
        <w:autoSpaceDN w:val="0"/>
        <w:adjustRightInd w:val="0"/>
        <w:spacing w:line="440" w:lineRule="exact"/>
        <w:rPr>
          <w:rFonts w:hint="eastAsia" w:ascii="宋体" w:hAnsi="宋体" w:eastAsia="宋体" w:cs="宋体"/>
          <w:color w:val="auto"/>
          <w:sz w:val="24"/>
          <w:highlight w:val="none"/>
        </w:rPr>
      </w:pPr>
      <w:r>
        <w:rPr>
          <w:rFonts w:hint="eastAsia" w:ascii="宋体" w:hAnsi="宋体" w:eastAsia="宋体" w:cs="宋体"/>
          <w:b/>
          <w:color w:val="auto"/>
          <w:sz w:val="24"/>
          <w:highlight w:val="none"/>
        </w:rPr>
        <w:t>五、其他资料</w:t>
      </w:r>
    </w:p>
    <w:p w14:paraId="04D0BB4D">
      <w:pPr>
        <w:spacing w:line="480" w:lineRule="exact"/>
        <w:jc w:val="center"/>
        <w:rPr>
          <w:rFonts w:hint="eastAsia" w:ascii="宋体" w:hAnsi="宋体" w:eastAsia="宋体" w:cs="宋体"/>
          <w:color w:val="auto"/>
          <w:sz w:val="24"/>
          <w:highlight w:val="none"/>
        </w:rPr>
        <w:sectPr>
          <w:headerReference r:id="rId5" w:type="default"/>
          <w:footerReference r:id="rId6" w:type="default"/>
          <w:pgSz w:w="11906" w:h="16838"/>
          <w:pgMar w:top="1440" w:right="1106" w:bottom="1440" w:left="1800" w:header="851" w:footer="752" w:gutter="0"/>
          <w:pgNumType w:fmt="decimal" w:start="1"/>
          <w:cols w:space="720" w:num="1"/>
          <w:docGrid w:type="lines" w:linePitch="312" w:charSpace="0"/>
        </w:sectPr>
      </w:pPr>
    </w:p>
    <w:p w14:paraId="22A32A4B">
      <w:pPr>
        <w:pStyle w:val="10"/>
        <w:rPr>
          <w:rFonts w:hint="eastAsia" w:ascii="宋体" w:hAnsi="宋体" w:eastAsia="宋体" w:cs="宋体"/>
          <w:color w:val="auto"/>
          <w:highlight w:val="none"/>
        </w:rPr>
      </w:pPr>
    </w:p>
    <w:p w14:paraId="489055F4">
      <w:pPr>
        <w:jc w:val="left"/>
        <w:outlineLvl w:val="1"/>
        <w:rPr>
          <w:rFonts w:hint="eastAsia" w:ascii="宋体" w:hAnsi="宋体" w:eastAsia="宋体" w:cs="宋体"/>
          <w:b/>
          <w:color w:val="auto"/>
          <w:kern w:val="0"/>
          <w:sz w:val="32"/>
          <w:szCs w:val="24"/>
          <w:highlight w:val="none"/>
          <w:lang w:val="en-US" w:eastAsia="zh-CN" w:bidi="ar-SA"/>
        </w:rPr>
      </w:pPr>
      <w:bookmarkStart w:id="164" w:name="_Toc12503"/>
      <w:r>
        <w:rPr>
          <w:rFonts w:hint="eastAsia" w:ascii="宋体" w:hAnsi="宋体" w:eastAsia="宋体" w:cs="宋体"/>
          <w:b/>
          <w:color w:val="auto"/>
          <w:kern w:val="0"/>
          <w:sz w:val="32"/>
          <w:szCs w:val="24"/>
          <w:highlight w:val="none"/>
          <w:lang w:val="en-US" w:eastAsia="zh-CN" w:bidi="ar-SA"/>
        </w:rPr>
        <w:t>一、响应书</w:t>
      </w:r>
    </w:p>
    <w:bookmarkEnd w:id="164"/>
    <w:p w14:paraId="1D8F7A2E">
      <w:pPr>
        <w:jc w:val="center"/>
        <w:rPr>
          <w:rFonts w:hint="eastAsia" w:ascii="宋体" w:hAnsi="宋体" w:eastAsia="宋体" w:cs="宋体"/>
          <w:b/>
          <w:bCs/>
          <w:color w:val="auto"/>
          <w:sz w:val="28"/>
          <w:szCs w:val="28"/>
          <w:highlight w:val="none"/>
        </w:rPr>
      </w:pPr>
      <w:bookmarkStart w:id="165" w:name="_Toc2115"/>
      <w:bookmarkStart w:id="166" w:name="_Hlk78744634"/>
      <w:bookmarkStart w:id="167" w:name="_Toc53602922"/>
      <w:r>
        <w:rPr>
          <w:rFonts w:hint="eastAsia" w:ascii="宋体" w:hAnsi="宋体" w:eastAsia="宋体" w:cs="宋体"/>
          <w:b/>
          <w:bCs/>
          <w:color w:val="auto"/>
          <w:sz w:val="28"/>
          <w:szCs w:val="28"/>
          <w:highlight w:val="none"/>
        </w:rPr>
        <w:t>响 应 书</w:t>
      </w:r>
      <w:bookmarkEnd w:id="165"/>
    </w:p>
    <w:p w14:paraId="047025ED">
      <w:pPr>
        <w:spacing w:line="44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（采购人）：</w:t>
      </w:r>
    </w:p>
    <w:p w14:paraId="47FD760E">
      <w:pPr>
        <w:spacing w:line="440" w:lineRule="exact"/>
        <w:ind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我们收到你们</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号竞争性磋商文件，经认真研究，我们决定参加本次磋商。愿意按照竞争性磋商文件规定的内容承担该项目的采购任务，严格执行我方所承诺的责任和义务。为此，我方郑重声明以下诸点，并负法律责任。</w:t>
      </w:r>
    </w:p>
    <w:p w14:paraId="69E1E35E">
      <w:pPr>
        <w:spacing w:line="440" w:lineRule="exact"/>
        <w:ind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⒈按照竞争性磋商文件中的一切要求，提供采购服务，磋商总价</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元（人民币大写）￥：</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元（用阿拉伯数字书写）人民币，明细见明细报价表。</w:t>
      </w:r>
    </w:p>
    <w:p w14:paraId="4122931E">
      <w:pPr>
        <w:spacing w:line="440" w:lineRule="exact"/>
        <w:ind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⒉如果我们的响应文件被接受，我们将履行竞争性磋商文件中规定的每一项要求，按期、按质、按量完成本次采购项目。</w:t>
      </w:r>
    </w:p>
    <w:p w14:paraId="72E8CEFE">
      <w:pPr>
        <w:spacing w:line="440" w:lineRule="exact"/>
        <w:ind w:firstLine="480" w:firstLineChars="200"/>
        <w:rPr>
          <w:rFonts w:hint="eastAsia" w:ascii="宋体" w:hAnsi="宋体" w:eastAsia="宋体" w:cs="宋体"/>
          <w:color w:val="auto"/>
          <w:sz w:val="24"/>
          <w:highlight w:val="none"/>
        </w:rPr>
      </w:pPr>
      <w:bookmarkStart w:id="168" w:name="_Toc6537"/>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rPr>
        <w:t>.我方承诺服务期限按照</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执行。</w:t>
      </w:r>
      <w:bookmarkEnd w:id="168"/>
    </w:p>
    <w:p w14:paraId="0E719F30">
      <w:pPr>
        <w:spacing w:line="440" w:lineRule="exact"/>
        <w:ind w:firstLine="480" w:firstLineChars="200"/>
        <w:rPr>
          <w:rFonts w:hint="eastAsia" w:ascii="宋体" w:hAnsi="宋体" w:eastAsia="宋体" w:cs="宋体"/>
          <w:color w:val="auto"/>
          <w:highlight w:val="none"/>
        </w:rPr>
      </w:pPr>
      <w:bookmarkStart w:id="169" w:name="_Toc8772"/>
      <w:r>
        <w:rPr>
          <w:rFonts w:hint="eastAsia" w:ascii="宋体" w:hAnsi="宋体" w:eastAsia="宋体" w:cs="宋体"/>
          <w:color w:val="auto"/>
          <w:sz w:val="24"/>
          <w:highlight w:val="none"/>
          <w:lang w:val="en-US" w:eastAsia="zh-CN"/>
        </w:rPr>
        <w:t>4</w:t>
      </w:r>
      <w:r>
        <w:rPr>
          <w:rFonts w:hint="eastAsia" w:ascii="宋体" w:hAnsi="宋体" w:eastAsia="宋体" w:cs="宋体"/>
          <w:color w:val="auto"/>
          <w:sz w:val="24"/>
          <w:highlight w:val="none"/>
        </w:rPr>
        <w:t>.我方承诺付款方式按照</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执行。</w:t>
      </w:r>
      <w:bookmarkEnd w:id="169"/>
    </w:p>
    <w:p w14:paraId="3106328F">
      <w:pPr>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5</w:t>
      </w:r>
      <w:r>
        <w:rPr>
          <w:rFonts w:hint="eastAsia" w:ascii="宋体" w:hAnsi="宋体" w:eastAsia="宋体" w:cs="宋体"/>
          <w:color w:val="auto"/>
          <w:sz w:val="24"/>
          <w:highlight w:val="none"/>
        </w:rPr>
        <w:t>.如果我方成交，我方将在竞争性磋商文件规定的时间内签订委托合同。如果我方违约，除磋商保证金不予退还外，贵方有权终止我方成交并选择其它成交供应商。</w:t>
      </w:r>
    </w:p>
    <w:p w14:paraId="7A27A126">
      <w:pPr>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6</w:t>
      </w:r>
      <w:r>
        <w:rPr>
          <w:rFonts w:hint="eastAsia" w:ascii="宋体" w:hAnsi="宋体" w:eastAsia="宋体" w:cs="宋体"/>
          <w:color w:val="auto"/>
          <w:sz w:val="24"/>
          <w:highlight w:val="none"/>
        </w:rPr>
        <w:t>.如果我方成交，我方将在竞争性磋商文件规定的时间内签订服务合同。如果我方违约，借故拒签合同或拖延签订的，则采购人将废除授标，磋商保证金不予退还，给采购人造成的损失超过投保证金保数额的，还应当对超过部分予以赔偿，同时依法承担相应法律责任，采购人可另行选择成交单位。</w:t>
      </w:r>
    </w:p>
    <w:p w14:paraId="0832F501">
      <w:pPr>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7</w:t>
      </w:r>
      <w:r>
        <w:rPr>
          <w:rFonts w:hint="eastAsia" w:ascii="宋体" w:hAnsi="宋体" w:eastAsia="宋体" w:cs="宋体"/>
          <w:color w:val="auto"/>
          <w:sz w:val="24"/>
          <w:highlight w:val="none"/>
        </w:rPr>
        <w:t>.我方同意在磋商有效期内遵守本响应文件，在此期限期满前的任何时间，本响应文件一直对我们具有约束力，本项目磋商有效期为响应文件递交截止时间后</w:t>
      </w:r>
      <w:r>
        <w:rPr>
          <w:rFonts w:hint="eastAsia" w:ascii="宋体" w:hAnsi="宋体" w:eastAsia="宋体" w:cs="宋体"/>
          <w:color w:val="auto"/>
          <w:sz w:val="24"/>
          <w:highlight w:val="none"/>
          <w:u w:val="single"/>
        </w:rPr>
        <w:t xml:space="preserve"> 90 </w:t>
      </w:r>
      <w:r>
        <w:rPr>
          <w:rFonts w:hint="eastAsia" w:ascii="宋体" w:hAnsi="宋体" w:eastAsia="宋体" w:cs="宋体"/>
          <w:color w:val="auto"/>
          <w:sz w:val="24"/>
          <w:highlight w:val="none"/>
        </w:rPr>
        <w:t>天。</w:t>
      </w:r>
    </w:p>
    <w:p w14:paraId="168266B7">
      <w:pPr>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8</w:t>
      </w:r>
      <w:r>
        <w:rPr>
          <w:rFonts w:hint="eastAsia" w:ascii="宋体" w:hAnsi="宋体" w:eastAsia="宋体" w:cs="宋体"/>
          <w:color w:val="auto"/>
          <w:sz w:val="24"/>
          <w:highlight w:val="none"/>
        </w:rPr>
        <w:t>.我们愿意提供采购人在竞争性磋商文件中要求的所有资料。</w:t>
      </w:r>
    </w:p>
    <w:p w14:paraId="68D4A617">
      <w:pPr>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9</w:t>
      </w:r>
      <w:r>
        <w:rPr>
          <w:rFonts w:hint="eastAsia" w:ascii="宋体" w:hAnsi="宋体" w:eastAsia="宋体" w:cs="宋体"/>
          <w:color w:val="auto"/>
          <w:sz w:val="24"/>
          <w:highlight w:val="none"/>
        </w:rPr>
        <w:t>.我们认为采购人有选择或拒绝任何参与供应商成交的权力。我们理解，最低报价不是成交的唯一条件。</w:t>
      </w:r>
    </w:p>
    <w:p w14:paraId="05256C5E">
      <w:pPr>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eastAsia="宋体" w:cs="宋体"/>
          <w:color w:val="auto"/>
          <w:sz w:val="24"/>
          <w:highlight w:val="none"/>
          <w:lang w:val="en-US" w:eastAsia="zh-CN"/>
        </w:rPr>
        <w:t>0</w:t>
      </w:r>
      <w:r>
        <w:rPr>
          <w:rFonts w:hint="eastAsia" w:ascii="宋体" w:hAnsi="宋体" w:eastAsia="宋体" w:cs="宋体"/>
          <w:color w:val="auto"/>
          <w:sz w:val="24"/>
          <w:highlight w:val="none"/>
        </w:rPr>
        <w:t>.我们愿按</w:t>
      </w:r>
      <w:r>
        <w:rPr>
          <w:rFonts w:hint="eastAsia" w:ascii="宋体" w:hAnsi="宋体" w:eastAsia="宋体" w:cs="宋体"/>
          <w:color w:val="auto"/>
          <w:sz w:val="24"/>
          <w:highlight w:val="none"/>
          <w:lang w:val="en-US" w:eastAsia="zh-CN"/>
        </w:rPr>
        <w:t>民法典</w:t>
      </w:r>
      <w:r>
        <w:rPr>
          <w:rFonts w:hint="eastAsia" w:ascii="宋体" w:hAnsi="宋体" w:eastAsia="宋体" w:cs="宋体"/>
          <w:color w:val="auto"/>
          <w:sz w:val="24"/>
          <w:highlight w:val="none"/>
        </w:rPr>
        <w:t>履行自己的全部责任。</w:t>
      </w:r>
    </w:p>
    <w:p w14:paraId="660D33EA">
      <w:pPr>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eastAsia="宋体" w:cs="宋体"/>
          <w:color w:val="auto"/>
          <w:sz w:val="24"/>
          <w:highlight w:val="none"/>
          <w:lang w:val="en-US" w:eastAsia="zh-CN"/>
        </w:rPr>
        <w:t>1</w:t>
      </w:r>
      <w:r>
        <w:rPr>
          <w:rFonts w:hint="eastAsia" w:ascii="宋体" w:hAnsi="宋体" w:eastAsia="宋体" w:cs="宋体"/>
          <w:color w:val="auto"/>
          <w:sz w:val="24"/>
          <w:highlight w:val="none"/>
        </w:rPr>
        <w:t>.我方愿意按照竞争性磋商文件中规定的收费标准，承付成交服务费。</w:t>
      </w:r>
    </w:p>
    <w:p w14:paraId="1FDF9CCD">
      <w:pPr>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eastAsia="宋体" w:cs="宋体"/>
          <w:color w:val="auto"/>
          <w:sz w:val="24"/>
          <w:highlight w:val="none"/>
          <w:lang w:val="en-US" w:eastAsia="zh-CN"/>
        </w:rPr>
        <w:t>2</w:t>
      </w:r>
      <w:r>
        <w:rPr>
          <w:rFonts w:hint="eastAsia" w:ascii="宋体" w:hAnsi="宋体" w:eastAsia="宋体" w:cs="宋体"/>
          <w:color w:val="auto"/>
          <w:sz w:val="24"/>
          <w:highlight w:val="none"/>
        </w:rPr>
        <w:t>.该响应书在开标/磋商后的全过程中保持有效，不作任何更改和变动。</w:t>
      </w:r>
    </w:p>
    <w:p w14:paraId="42A459B7">
      <w:pPr>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rPr>
        <w:t>.我们同意按竞争性磋商文件规定，交纳</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元的磋商保证金。并同意在确定最终成交供应商、发出《成交通知书》之后5个工作日内退还我公司的磋商保证金。（如因特殊原因，在磋商有效期之后确定成交供应商，本承诺依然有效。）</w:t>
      </w:r>
    </w:p>
    <w:p w14:paraId="40A101B8">
      <w:pPr>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eastAsia="宋体" w:cs="宋体"/>
          <w:color w:val="auto"/>
          <w:sz w:val="24"/>
          <w:highlight w:val="none"/>
          <w:lang w:val="en-US" w:eastAsia="zh-CN"/>
        </w:rPr>
        <w:t>4</w:t>
      </w:r>
      <w:r>
        <w:rPr>
          <w:rFonts w:hint="eastAsia" w:ascii="宋体" w:hAnsi="宋体" w:eastAsia="宋体" w:cs="宋体"/>
          <w:color w:val="auto"/>
          <w:sz w:val="24"/>
          <w:highlight w:val="none"/>
        </w:rPr>
        <w:t>.综合说明：</w:t>
      </w:r>
    </w:p>
    <w:p w14:paraId="780E2DF8">
      <w:pPr>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eastAsia="宋体" w:cs="宋体"/>
          <w:color w:val="auto"/>
          <w:sz w:val="24"/>
          <w:highlight w:val="none"/>
          <w:lang w:val="en-US" w:eastAsia="zh-CN"/>
        </w:rPr>
        <w:t>服务</w:t>
      </w:r>
      <w:r>
        <w:rPr>
          <w:rFonts w:hint="eastAsia" w:ascii="宋体" w:hAnsi="宋体" w:eastAsia="宋体" w:cs="宋体"/>
          <w:color w:val="auto"/>
          <w:sz w:val="24"/>
          <w:highlight w:val="none"/>
        </w:rPr>
        <w:t>的详细技术参数、技术条件、技术标准、拟达到的质量标准和保险期限。</w:t>
      </w:r>
    </w:p>
    <w:p w14:paraId="4315E417">
      <w:pPr>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（2）易损件、配件及供应方式。</w:t>
      </w:r>
    </w:p>
    <w:p w14:paraId="144A8E1E">
      <w:pPr>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（3）工程安装计划、组织机构及人员安排。</w:t>
      </w:r>
    </w:p>
    <w:p w14:paraId="66B7D57F">
      <w:pPr>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（5）技术服务。</w:t>
      </w:r>
    </w:p>
    <w:p w14:paraId="731242F6">
      <w:pPr>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（6）运输方式。</w:t>
      </w:r>
    </w:p>
    <w:p w14:paraId="4A0991F7">
      <w:pPr>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（7）要求项目单位提供的配合。</w:t>
      </w:r>
    </w:p>
    <w:p w14:paraId="237AD674">
      <w:pPr>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（8）对竞争性磋商文件内容有不同意见的偏离说明。</w:t>
      </w:r>
    </w:p>
    <w:p w14:paraId="45FB93D1">
      <w:pPr>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（9）其它。</w:t>
      </w:r>
    </w:p>
    <w:p w14:paraId="07E22693">
      <w:pPr>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eastAsia="宋体" w:cs="宋体"/>
          <w:color w:val="auto"/>
          <w:sz w:val="24"/>
          <w:highlight w:val="none"/>
          <w:lang w:val="en-US" w:eastAsia="zh-CN"/>
        </w:rPr>
        <w:t>5</w:t>
      </w:r>
      <w:r>
        <w:rPr>
          <w:rFonts w:hint="eastAsia" w:ascii="宋体" w:hAnsi="宋体" w:eastAsia="宋体" w:cs="宋体"/>
          <w:color w:val="auto"/>
          <w:sz w:val="24"/>
          <w:highlight w:val="none"/>
        </w:rPr>
        <w:t>.所有有关本响应书的函电，请按下列地址联系：</w:t>
      </w:r>
    </w:p>
    <w:p w14:paraId="6B653363">
      <w:pPr>
        <w:spacing w:line="440" w:lineRule="exact"/>
        <w:ind w:firstLine="480" w:firstLineChars="200"/>
        <w:rPr>
          <w:rFonts w:hint="eastAsia" w:ascii="宋体" w:hAnsi="宋体" w:eastAsia="宋体" w:cs="宋体"/>
          <w:color w:val="auto"/>
          <w:sz w:val="24"/>
          <w:highlight w:val="none"/>
        </w:rPr>
      </w:pPr>
    </w:p>
    <w:p w14:paraId="32476E46">
      <w:pPr>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单       位：</w:t>
      </w:r>
    </w:p>
    <w:p w14:paraId="5CF469D2">
      <w:pPr>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地       址：</w:t>
      </w:r>
    </w:p>
    <w:p w14:paraId="3795F906">
      <w:pPr>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电       话：</w:t>
      </w:r>
    </w:p>
    <w:p w14:paraId="6434C71C">
      <w:pPr>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传       真：</w:t>
      </w:r>
    </w:p>
    <w:p w14:paraId="79AFCFD6">
      <w:pPr>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邮 政 编 码：</w:t>
      </w:r>
    </w:p>
    <w:p w14:paraId="6F33CC7F">
      <w:pPr>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联  系  人：</w:t>
      </w:r>
    </w:p>
    <w:p w14:paraId="2F1FF3B0">
      <w:pPr>
        <w:spacing w:line="440" w:lineRule="exact"/>
        <w:ind w:firstLine="480" w:firstLineChars="200"/>
        <w:rPr>
          <w:rFonts w:hint="eastAsia" w:ascii="宋体" w:hAnsi="宋体" w:eastAsia="宋体" w:cs="宋体"/>
          <w:color w:val="auto"/>
          <w:sz w:val="24"/>
          <w:highlight w:val="none"/>
        </w:rPr>
      </w:pPr>
    </w:p>
    <w:p w14:paraId="66D66996">
      <w:pPr>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供应商：（</w:t>
      </w:r>
      <w:r>
        <w:rPr>
          <w:rFonts w:hint="eastAsia" w:ascii="宋体" w:hAnsi="宋体" w:eastAsia="宋体" w:cs="宋体"/>
          <w:color w:val="auto"/>
          <w:sz w:val="24"/>
          <w:szCs w:val="24"/>
          <w:highlight w:val="none"/>
        </w:rPr>
        <w:t>电子公章</w:t>
      </w:r>
      <w:r>
        <w:rPr>
          <w:rFonts w:hint="eastAsia" w:ascii="宋体" w:hAnsi="宋体" w:eastAsia="宋体" w:cs="宋体"/>
          <w:color w:val="auto"/>
          <w:sz w:val="24"/>
          <w:highlight w:val="none"/>
        </w:rPr>
        <w:t>）</w:t>
      </w:r>
    </w:p>
    <w:p w14:paraId="3C9ABDB3">
      <w:pPr>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授权代表签字：</w:t>
      </w:r>
    </w:p>
    <w:p w14:paraId="129DCB13">
      <w:pPr>
        <w:spacing w:line="440" w:lineRule="exact"/>
        <w:ind w:firstLine="480" w:firstLineChars="200"/>
        <w:rPr>
          <w:rFonts w:hint="eastAsia" w:ascii="宋体" w:hAnsi="宋体" w:eastAsia="宋体" w:cs="宋体"/>
          <w:color w:val="auto"/>
          <w:sz w:val="24"/>
          <w:highlight w:val="none"/>
        </w:rPr>
      </w:pPr>
    </w:p>
    <w:p w14:paraId="1E974CA3">
      <w:pPr>
        <w:spacing w:line="440" w:lineRule="exact"/>
        <w:ind w:firstLine="1200" w:firstLineChars="5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年   月    日</w:t>
      </w:r>
    </w:p>
    <w:bookmarkEnd w:id="166"/>
    <w:p w14:paraId="05C91500">
      <w:pPr>
        <w:pStyle w:val="46"/>
        <w:outlineLvl w:val="1"/>
        <w:rPr>
          <w:rFonts w:hint="eastAsia" w:ascii="宋体" w:hAnsi="宋体" w:eastAsia="宋体" w:cs="宋体"/>
          <w:color w:val="auto"/>
          <w:highlight w:val="none"/>
        </w:rPr>
      </w:pPr>
      <w:r>
        <w:rPr>
          <w:rFonts w:hint="eastAsia" w:ascii="宋体" w:hAnsi="宋体" w:eastAsia="宋体" w:cs="宋体"/>
          <w:color w:val="auto"/>
          <w:sz w:val="24"/>
          <w:highlight w:val="none"/>
        </w:rPr>
        <w:br w:type="page"/>
      </w:r>
      <w:bookmarkEnd w:id="167"/>
      <w:bookmarkStart w:id="170" w:name="_Toc10119"/>
      <w:bookmarkStart w:id="171" w:name="_Toc24798"/>
      <w:r>
        <w:rPr>
          <w:rFonts w:hint="eastAsia" w:ascii="宋体" w:hAnsi="宋体" w:eastAsia="宋体" w:cs="宋体"/>
          <w:color w:val="auto"/>
          <w:highlight w:val="none"/>
        </w:rPr>
        <w:t>二、资格证明文件</w:t>
      </w:r>
      <w:bookmarkEnd w:id="170"/>
      <w:bookmarkEnd w:id="171"/>
    </w:p>
    <w:p w14:paraId="62DC5DB1">
      <w:pPr>
        <w:pStyle w:val="46"/>
        <w:outlineLvl w:val="2"/>
        <w:rPr>
          <w:rFonts w:hint="eastAsia" w:ascii="宋体" w:hAnsi="宋体" w:eastAsia="宋体" w:cs="宋体"/>
          <w:color w:val="auto"/>
          <w:highlight w:val="none"/>
        </w:rPr>
      </w:pPr>
      <w:bookmarkStart w:id="172" w:name="_Toc31792"/>
      <w:bookmarkStart w:id="173" w:name="_Toc29475"/>
      <w:r>
        <w:rPr>
          <w:rFonts w:hint="eastAsia" w:ascii="宋体" w:hAnsi="宋体" w:eastAsia="宋体" w:cs="宋体"/>
          <w:color w:val="auto"/>
          <w:highlight w:val="none"/>
        </w:rPr>
        <w:t>（一）营业执照</w:t>
      </w:r>
      <w:bookmarkEnd w:id="172"/>
      <w:bookmarkEnd w:id="173"/>
    </w:p>
    <w:p w14:paraId="3098BAE1">
      <w:pPr>
        <w:pStyle w:val="48"/>
        <w:ind w:firstLine="560" w:firstLineChars="200"/>
        <w:rPr>
          <w:rFonts w:hint="eastAsia" w:ascii="宋体" w:hAnsi="宋体" w:eastAsia="宋体" w:cs="宋体"/>
          <w:color w:val="auto"/>
          <w:highlight w:val="none"/>
        </w:rPr>
      </w:pPr>
      <w:r>
        <w:rPr>
          <w:rFonts w:hint="eastAsia" w:ascii="宋体" w:hAnsi="宋体" w:eastAsia="宋体" w:cs="宋体"/>
          <w:color w:val="auto"/>
          <w:highlight w:val="none"/>
        </w:rPr>
        <w:t>说明：如供应商是企业（包括合伙企业），应提供在工商部门注册的有效“企业法人营业执照”或“营业执照”；如供应商是事业单位，应提供有效的“事业单位法人证书”；供应商是非企业专业服务机构的，应提供执业许可证等证明文件；如供应商是个体工商户，应提供有效的“个体工商户营业执照”；如供应商是自然人，应提供有效的自然人身份证明。</w:t>
      </w:r>
    </w:p>
    <w:p w14:paraId="47746C0A">
      <w:pPr>
        <w:pStyle w:val="49"/>
        <w:jc w:val="center"/>
        <w:rPr>
          <w:rFonts w:hint="eastAsia" w:ascii="宋体" w:hAnsi="宋体" w:eastAsia="宋体" w:cs="宋体"/>
          <w:color w:val="auto"/>
          <w:highlight w:val="none"/>
        </w:rPr>
      </w:pPr>
      <w:bookmarkStart w:id="174" w:name="_Toc256000045"/>
      <w:bookmarkStart w:id="175" w:name="_Toc256000058"/>
      <w:r>
        <w:rPr>
          <w:rFonts w:hint="eastAsia" w:ascii="宋体" w:hAnsi="宋体" w:eastAsia="宋体" w:cs="宋体"/>
          <w:color w:val="auto"/>
          <w:highlight w:val="none"/>
        </w:rPr>
        <w:br w:type="page"/>
      </w:r>
      <w:r>
        <w:rPr>
          <w:rFonts w:hint="eastAsia" w:ascii="宋体" w:hAnsi="宋体" w:eastAsia="宋体" w:cs="宋体"/>
          <w:color w:val="auto"/>
          <w:highlight w:val="none"/>
        </w:rPr>
        <w:t>供应商基本情况表</w:t>
      </w:r>
      <w:bookmarkEnd w:id="174"/>
      <w:bookmarkEnd w:id="175"/>
    </w:p>
    <w:p w14:paraId="76329088">
      <w:pPr>
        <w:pStyle w:val="50"/>
        <w:tabs>
          <w:tab w:val="left" w:pos="5570"/>
        </w:tabs>
        <w:spacing w:before="123"/>
        <w:ind w:left="217"/>
        <w:rPr>
          <w:rFonts w:hint="eastAsia" w:ascii="宋体" w:hAnsi="宋体" w:eastAsia="宋体" w:cs="宋体"/>
          <w:color w:val="auto"/>
          <w:sz w:val="24"/>
          <w:highlight w:val="none"/>
        </w:rPr>
      </w:pPr>
      <w:r>
        <w:rPr>
          <w:rFonts w:hint="eastAsia" w:ascii="宋体" w:hAnsi="宋体" w:eastAsia="宋体" w:cs="宋体"/>
          <w:color w:val="auto"/>
          <w:sz w:val="24"/>
          <w:highlight w:val="none"/>
        </w:rPr>
        <w:t>项目名称：</w:t>
      </w:r>
      <w:r>
        <w:rPr>
          <w:rFonts w:hint="eastAsia" w:ascii="宋体" w:hAnsi="宋体" w:eastAsia="宋体" w:cs="宋体"/>
          <w:color w:val="auto"/>
          <w:sz w:val="24"/>
          <w:highlight w:val="none"/>
        </w:rPr>
        <w:tab/>
      </w:r>
    </w:p>
    <w:p w14:paraId="43780F87">
      <w:pPr>
        <w:pStyle w:val="50"/>
        <w:tabs>
          <w:tab w:val="left" w:pos="5570"/>
        </w:tabs>
        <w:spacing w:before="123"/>
        <w:ind w:left="217"/>
        <w:rPr>
          <w:rFonts w:hint="eastAsia" w:ascii="宋体" w:hAnsi="宋体" w:eastAsia="宋体" w:cs="宋体"/>
          <w:color w:val="auto"/>
          <w:sz w:val="24"/>
          <w:highlight w:val="none"/>
        </w:rPr>
      </w:pPr>
      <w:r>
        <w:rPr>
          <w:rFonts w:hint="eastAsia" w:ascii="宋体" w:hAnsi="宋体" w:eastAsia="宋体" w:cs="宋体"/>
          <w:color w:val="auto"/>
          <w:sz w:val="24"/>
          <w:highlight w:val="none"/>
        </w:rPr>
        <w:t>项目编号：</w:t>
      </w:r>
    </w:p>
    <w:p w14:paraId="0B9F4091">
      <w:pPr>
        <w:pStyle w:val="51"/>
        <w:spacing w:before="9"/>
        <w:rPr>
          <w:rFonts w:hint="eastAsia" w:ascii="宋体" w:hAnsi="宋体" w:eastAsia="宋体" w:cs="宋体"/>
          <w:color w:val="auto"/>
          <w:sz w:val="24"/>
          <w:highlight w:val="none"/>
        </w:rPr>
      </w:pPr>
    </w:p>
    <w:tbl>
      <w:tblPr>
        <w:tblStyle w:val="25"/>
        <w:tblW w:w="0" w:type="auto"/>
        <w:jc w:val="center"/>
        <w:tblLayout w:type="fixed"/>
        <w:tblCellMar>
          <w:top w:w="0" w:type="dxa"/>
          <w:left w:w="0" w:type="dxa"/>
          <w:bottom w:w="0" w:type="dxa"/>
          <w:right w:w="0" w:type="dxa"/>
        </w:tblCellMar>
      </w:tblPr>
      <w:tblGrid>
        <w:gridCol w:w="1986"/>
        <w:gridCol w:w="3577"/>
        <w:gridCol w:w="3556"/>
      </w:tblGrid>
      <w:tr w14:paraId="43911CC3">
        <w:tblPrEx>
          <w:tblCellMar>
            <w:top w:w="0" w:type="dxa"/>
            <w:left w:w="0" w:type="dxa"/>
            <w:bottom w:w="0" w:type="dxa"/>
            <w:right w:w="0" w:type="dxa"/>
          </w:tblCellMar>
        </w:tblPrEx>
        <w:trPr>
          <w:trHeight w:val="485" w:hRule="exact"/>
          <w:jc w:val="center"/>
        </w:trPr>
        <w:tc>
          <w:tcPr>
            <w:tcW w:w="1986" w:type="dxa"/>
            <w:tcBorders>
              <w:top w:val="single" w:color="000000" w:sz="4" w:space="0"/>
              <w:left w:val="single" w:color="000000" w:sz="4" w:space="0"/>
              <w:bottom w:val="single" w:color="000000" w:sz="4" w:space="0"/>
              <w:right w:val="single" w:color="000000" w:sz="4" w:space="0"/>
            </w:tcBorders>
          </w:tcPr>
          <w:p w14:paraId="5096C3AA">
            <w:pPr>
              <w:pStyle w:val="52"/>
              <w:spacing w:before="84"/>
              <w:ind w:left="587"/>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供应商名称</w:t>
            </w:r>
          </w:p>
        </w:tc>
        <w:tc>
          <w:tcPr>
            <w:tcW w:w="7133" w:type="dxa"/>
            <w:gridSpan w:val="2"/>
            <w:tcBorders>
              <w:top w:val="single" w:color="000000" w:sz="4" w:space="0"/>
              <w:left w:val="single" w:color="000000" w:sz="4" w:space="0"/>
              <w:bottom w:val="single" w:color="000000" w:sz="4" w:space="0"/>
              <w:right w:val="single" w:color="000000" w:sz="4" w:space="0"/>
            </w:tcBorders>
          </w:tcPr>
          <w:p w14:paraId="497DA58B">
            <w:pPr>
              <w:pStyle w:val="51"/>
              <w:rPr>
                <w:rFonts w:hint="eastAsia" w:ascii="宋体" w:hAnsi="宋体" w:eastAsia="宋体" w:cs="宋体"/>
                <w:color w:val="auto"/>
                <w:szCs w:val="21"/>
                <w:highlight w:val="none"/>
              </w:rPr>
            </w:pPr>
          </w:p>
        </w:tc>
      </w:tr>
      <w:tr w14:paraId="5265EB23">
        <w:tblPrEx>
          <w:tblCellMar>
            <w:top w:w="0" w:type="dxa"/>
            <w:left w:w="0" w:type="dxa"/>
            <w:bottom w:w="0" w:type="dxa"/>
            <w:right w:w="0" w:type="dxa"/>
          </w:tblCellMar>
        </w:tblPrEx>
        <w:trPr>
          <w:trHeight w:val="486" w:hRule="exact"/>
          <w:jc w:val="center"/>
        </w:trPr>
        <w:tc>
          <w:tcPr>
            <w:tcW w:w="1986" w:type="dxa"/>
            <w:tcBorders>
              <w:top w:val="single" w:color="000000" w:sz="4" w:space="0"/>
              <w:left w:val="single" w:color="000000" w:sz="4" w:space="0"/>
              <w:bottom w:val="single" w:color="000000" w:sz="4" w:space="0"/>
              <w:right w:val="single" w:color="000000" w:sz="4" w:space="0"/>
            </w:tcBorders>
          </w:tcPr>
          <w:p w14:paraId="03FBB0A1">
            <w:pPr>
              <w:pStyle w:val="52"/>
              <w:spacing w:before="86"/>
              <w:ind w:left="692"/>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联系地址</w:t>
            </w:r>
          </w:p>
        </w:tc>
        <w:tc>
          <w:tcPr>
            <w:tcW w:w="7133" w:type="dxa"/>
            <w:gridSpan w:val="2"/>
            <w:tcBorders>
              <w:top w:val="single" w:color="000000" w:sz="4" w:space="0"/>
              <w:left w:val="single" w:color="000000" w:sz="4" w:space="0"/>
              <w:bottom w:val="single" w:color="000000" w:sz="4" w:space="0"/>
              <w:right w:val="single" w:color="000000" w:sz="4" w:space="0"/>
            </w:tcBorders>
          </w:tcPr>
          <w:p w14:paraId="1E0070D4">
            <w:pPr>
              <w:pStyle w:val="51"/>
              <w:rPr>
                <w:rFonts w:hint="eastAsia" w:ascii="宋体" w:hAnsi="宋体" w:eastAsia="宋体" w:cs="宋体"/>
                <w:color w:val="auto"/>
                <w:szCs w:val="21"/>
                <w:highlight w:val="none"/>
              </w:rPr>
            </w:pPr>
          </w:p>
        </w:tc>
      </w:tr>
      <w:tr w14:paraId="062F9E77">
        <w:tblPrEx>
          <w:tblCellMar>
            <w:top w:w="0" w:type="dxa"/>
            <w:left w:w="0" w:type="dxa"/>
            <w:bottom w:w="0" w:type="dxa"/>
            <w:right w:w="0" w:type="dxa"/>
          </w:tblCellMar>
        </w:tblPrEx>
        <w:trPr>
          <w:trHeight w:val="452" w:hRule="exact"/>
          <w:jc w:val="center"/>
        </w:trPr>
        <w:tc>
          <w:tcPr>
            <w:tcW w:w="1986" w:type="dxa"/>
            <w:tcBorders>
              <w:top w:val="single" w:color="000000" w:sz="4" w:space="0"/>
              <w:left w:val="single" w:color="000000" w:sz="4" w:space="0"/>
              <w:bottom w:val="single" w:color="000000" w:sz="4" w:space="0"/>
              <w:right w:val="single" w:color="000000" w:sz="4" w:space="0"/>
            </w:tcBorders>
          </w:tcPr>
          <w:p w14:paraId="6B252576">
            <w:pPr>
              <w:pStyle w:val="52"/>
              <w:spacing w:before="84"/>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供应商从业人员数量</w:t>
            </w:r>
          </w:p>
        </w:tc>
        <w:tc>
          <w:tcPr>
            <w:tcW w:w="7133" w:type="dxa"/>
            <w:gridSpan w:val="2"/>
            <w:tcBorders>
              <w:top w:val="single" w:color="000000" w:sz="4" w:space="0"/>
              <w:left w:val="single" w:color="000000" w:sz="4" w:space="0"/>
              <w:bottom w:val="single" w:color="000000" w:sz="4" w:space="0"/>
              <w:right w:val="single" w:color="000000" w:sz="4" w:space="0"/>
            </w:tcBorders>
          </w:tcPr>
          <w:p w14:paraId="1EAB3B39">
            <w:pPr>
              <w:pStyle w:val="51"/>
              <w:rPr>
                <w:rFonts w:hint="eastAsia" w:ascii="宋体" w:hAnsi="宋体" w:eastAsia="宋体" w:cs="宋体"/>
                <w:color w:val="auto"/>
                <w:szCs w:val="21"/>
                <w:highlight w:val="none"/>
              </w:rPr>
            </w:pPr>
          </w:p>
        </w:tc>
      </w:tr>
      <w:tr w14:paraId="268FE5B3">
        <w:tblPrEx>
          <w:tblCellMar>
            <w:top w:w="0" w:type="dxa"/>
            <w:left w:w="0" w:type="dxa"/>
            <w:bottom w:w="0" w:type="dxa"/>
            <w:right w:w="0" w:type="dxa"/>
          </w:tblCellMar>
        </w:tblPrEx>
        <w:trPr>
          <w:trHeight w:val="485" w:hRule="exact"/>
          <w:jc w:val="center"/>
        </w:trPr>
        <w:tc>
          <w:tcPr>
            <w:tcW w:w="1986" w:type="dxa"/>
            <w:tcBorders>
              <w:top w:val="single" w:color="000000" w:sz="4" w:space="0"/>
              <w:left w:val="single" w:color="000000" w:sz="4" w:space="0"/>
              <w:bottom w:val="single" w:color="000000" w:sz="4" w:space="0"/>
              <w:right w:val="single" w:color="000000" w:sz="4" w:space="0"/>
            </w:tcBorders>
          </w:tcPr>
          <w:p w14:paraId="14D353CB">
            <w:pPr>
              <w:pStyle w:val="52"/>
              <w:spacing w:before="84"/>
              <w:ind w:left="587"/>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法定代表人</w:t>
            </w:r>
          </w:p>
        </w:tc>
        <w:tc>
          <w:tcPr>
            <w:tcW w:w="3577" w:type="dxa"/>
            <w:tcBorders>
              <w:top w:val="single" w:color="000000" w:sz="4" w:space="0"/>
              <w:left w:val="single" w:color="000000" w:sz="4" w:space="0"/>
              <w:bottom w:val="single" w:color="000000" w:sz="4" w:space="0"/>
              <w:right w:val="nil"/>
            </w:tcBorders>
          </w:tcPr>
          <w:p w14:paraId="79796AF4">
            <w:pPr>
              <w:pStyle w:val="52"/>
              <w:spacing w:before="84"/>
              <w:ind w:left="101"/>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姓名：      职务：    职称：</w:t>
            </w:r>
          </w:p>
        </w:tc>
        <w:tc>
          <w:tcPr>
            <w:tcW w:w="3556" w:type="dxa"/>
            <w:tcBorders>
              <w:top w:val="single" w:color="000000" w:sz="4" w:space="0"/>
              <w:left w:val="nil"/>
              <w:bottom w:val="single" w:color="000000" w:sz="4" w:space="0"/>
              <w:right w:val="single" w:color="000000" w:sz="4" w:space="0"/>
            </w:tcBorders>
          </w:tcPr>
          <w:p w14:paraId="58114889">
            <w:pPr>
              <w:pStyle w:val="52"/>
              <w:spacing w:before="84"/>
              <w:ind w:left="420"/>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电话：</w:t>
            </w:r>
          </w:p>
        </w:tc>
      </w:tr>
      <w:tr w14:paraId="40193E55">
        <w:tblPrEx>
          <w:tblCellMar>
            <w:top w:w="0" w:type="dxa"/>
            <w:left w:w="0" w:type="dxa"/>
            <w:bottom w:w="0" w:type="dxa"/>
            <w:right w:w="0" w:type="dxa"/>
          </w:tblCellMar>
        </w:tblPrEx>
        <w:trPr>
          <w:trHeight w:val="486" w:hRule="exact"/>
          <w:jc w:val="center"/>
        </w:trPr>
        <w:tc>
          <w:tcPr>
            <w:tcW w:w="1986" w:type="dxa"/>
            <w:tcBorders>
              <w:top w:val="single" w:color="000000" w:sz="4" w:space="0"/>
              <w:left w:val="single" w:color="000000" w:sz="4" w:space="0"/>
              <w:bottom w:val="single" w:color="000000" w:sz="4" w:space="0"/>
              <w:right w:val="single" w:color="000000" w:sz="4" w:space="0"/>
            </w:tcBorders>
          </w:tcPr>
          <w:p w14:paraId="7554A88C">
            <w:pPr>
              <w:pStyle w:val="52"/>
              <w:spacing w:before="86"/>
              <w:ind w:left="587"/>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技术负责人</w:t>
            </w:r>
          </w:p>
        </w:tc>
        <w:tc>
          <w:tcPr>
            <w:tcW w:w="3577" w:type="dxa"/>
            <w:tcBorders>
              <w:top w:val="single" w:color="000000" w:sz="4" w:space="0"/>
              <w:left w:val="single" w:color="000000" w:sz="4" w:space="0"/>
              <w:bottom w:val="single" w:color="000000" w:sz="4" w:space="0"/>
              <w:right w:val="nil"/>
            </w:tcBorders>
          </w:tcPr>
          <w:p w14:paraId="4EC916DC">
            <w:pPr>
              <w:pStyle w:val="52"/>
              <w:spacing w:before="86"/>
              <w:ind w:left="101"/>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姓名：      职务：    职称：</w:t>
            </w:r>
          </w:p>
        </w:tc>
        <w:tc>
          <w:tcPr>
            <w:tcW w:w="3556" w:type="dxa"/>
            <w:tcBorders>
              <w:top w:val="single" w:color="000000" w:sz="4" w:space="0"/>
              <w:left w:val="nil"/>
              <w:bottom w:val="single" w:color="000000" w:sz="4" w:space="0"/>
              <w:right w:val="single" w:color="000000" w:sz="4" w:space="0"/>
            </w:tcBorders>
          </w:tcPr>
          <w:p w14:paraId="10F14E5C">
            <w:pPr>
              <w:pStyle w:val="52"/>
              <w:spacing w:before="86"/>
              <w:ind w:left="420"/>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电话：</w:t>
            </w:r>
          </w:p>
        </w:tc>
      </w:tr>
      <w:tr w14:paraId="12E1687B">
        <w:tblPrEx>
          <w:tblCellMar>
            <w:top w:w="0" w:type="dxa"/>
            <w:left w:w="0" w:type="dxa"/>
            <w:bottom w:w="0" w:type="dxa"/>
            <w:right w:w="0" w:type="dxa"/>
          </w:tblCellMar>
        </w:tblPrEx>
        <w:trPr>
          <w:trHeight w:val="678" w:hRule="exact"/>
          <w:jc w:val="center"/>
        </w:trPr>
        <w:tc>
          <w:tcPr>
            <w:tcW w:w="1986" w:type="dxa"/>
            <w:tcBorders>
              <w:top w:val="single" w:color="000000" w:sz="4" w:space="0"/>
              <w:left w:val="single" w:color="000000" w:sz="4" w:space="0"/>
              <w:bottom w:val="single" w:color="000000" w:sz="4" w:space="0"/>
              <w:right w:val="single" w:color="000000" w:sz="4" w:space="0"/>
            </w:tcBorders>
          </w:tcPr>
          <w:p w14:paraId="65477546">
            <w:pPr>
              <w:pStyle w:val="52"/>
              <w:spacing w:before="5"/>
              <w:rPr>
                <w:rFonts w:hint="eastAsia" w:ascii="宋体" w:hAnsi="宋体" w:eastAsia="宋体" w:cs="宋体"/>
                <w:color w:val="auto"/>
                <w:kern w:val="2"/>
                <w:sz w:val="21"/>
                <w:szCs w:val="21"/>
                <w:highlight w:val="none"/>
              </w:rPr>
            </w:pPr>
          </w:p>
          <w:p w14:paraId="1F2F61DA">
            <w:pPr>
              <w:pStyle w:val="52"/>
              <w:ind w:left="692"/>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联系方式</w:t>
            </w:r>
          </w:p>
        </w:tc>
        <w:tc>
          <w:tcPr>
            <w:tcW w:w="7133" w:type="dxa"/>
            <w:gridSpan w:val="2"/>
            <w:tcBorders>
              <w:top w:val="single" w:color="000000" w:sz="4" w:space="0"/>
              <w:left w:val="single" w:color="000000" w:sz="4" w:space="0"/>
              <w:bottom w:val="single" w:color="000000" w:sz="4" w:space="0"/>
              <w:right w:val="single" w:color="000000" w:sz="4" w:space="0"/>
            </w:tcBorders>
          </w:tcPr>
          <w:p w14:paraId="6326D44C">
            <w:pPr>
              <w:pStyle w:val="52"/>
              <w:tabs>
                <w:tab w:val="left" w:pos="3735"/>
              </w:tabs>
              <w:spacing w:before="9"/>
              <w:ind w:left="101"/>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联系人：</w:t>
            </w:r>
            <w:r>
              <w:rPr>
                <w:rFonts w:hint="eastAsia" w:ascii="宋体" w:hAnsi="宋体" w:eastAsia="宋体" w:cs="宋体"/>
                <w:color w:val="auto"/>
                <w:kern w:val="2"/>
                <w:sz w:val="21"/>
                <w:szCs w:val="21"/>
                <w:highlight w:val="none"/>
                <w:lang w:eastAsia="zh-CN"/>
              </w:rPr>
              <w:tab/>
            </w:r>
            <w:r>
              <w:rPr>
                <w:rFonts w:hint="eastAsia" w:ascii="宋体" w:hAnsi="宋体" w:eastAsia="宋体" w:cs="宋体"/>
                <w:color w:val="auto"/>
                <w:kern w:val="2"/>
                <w:sz w:val="21"/>
                <w:szCs w:val="21"/>
                <w:highlight w:val="none"/>
                <w:lang w:eastAsia="zh-CN"/>
              </w:rPr>
              <w:t>电</w:t>
            </w:r>
            <w:r>
              <w:rPr>
                <w:rFonts w:hint="eastAsia" w:ascii="宋体" w:hAnsi="宋体" w:eastAsia="宋体" w:cs="宋体"/>
                <w:color w:val="auto"/>
                <w:spacing w:val="103"/>
                <w:kern w:val="2"/>
                <w:sz w:val="21"/>
                <w:szCs w:val="21"/>
                <w:highlight w:val="none"/>
                <w:lang w:eastAsia="zh-CN"/>
              </w:rPr>
              <w:t xml:space="preserve"> </w:t>
            </w:r>
            <w:r>
              <w:rPr>
                <w:rFonts w:hint="eastAsia" w:ascii="宋体" w:hAnsi="宋体" w:eastAsia="宋体" w:cs="宋体"/>
                <w:color w:val="auto"/>
                <w:kern w:val="2"/>
                <w:sz w:val="21"/>
                <w:szCs w:val="21"/>
                <w:highlight w:val="none"/>
                <w:lang w:eastAsia="zh-CN"/>
              </w:rPr>
              <w:t>话：</w:t>
            </w:r>
          </w:p>
          <w:p w14:paraId="41D8D8C8">
            <w:pPr>
              <w:pStyle w:val="52"/>
              <w:tabs>
                <w:tab w:val="left" w:pos="3673"/>
              </w:tabs>
              <w:spacing w:before="84"/>
              <w:ind w:left="102"/>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传  真：                      邮</w:t>
            </w:r>
            <w:r>
              <w:rPr>
                <w:rFonts w:hint="eastAsia" w:ascii="宋体" w:hAnsi="宋体" w:eastAsia="宋体" w:cs="宋体"/>
                <w:color w:val="auto"/>
                <w:kern w:val="2"/>
                <w:sz w:val="21"/>
                <w:szCs w:val="21"/>
                <w:highlight w:val="none"/>
                <w:lang w:eastAsia="zh-CN"/>
              </w:rPr>
              <w:tab/>
            </w:r>
            <w:r>
              <w:rPr>
                <w:rFonts w:hint="eastAsia" w:ascii="宋体" w:hAnsi="宋体" w:eastAsia="宋体" w:cs="宋体"/>
                <w:color w:val="auto"/>
                <w:kern w:val="2"/>
                <w:sz w:val="21"/>
                <w:szCs w:val="21"/>
                <w:highlight w:val="none"/>
                <w:lang w:eastAsia="zh-CN"/>
              </w:rPr>
              <w:t>箱：</w:t>
            </w:r>
          </w:p>
        </w:tc>
      </w:tr>
      <w:tr w14:paraId="0EB5FAAD">
        <w:tblPrEx>
          <w:tblCellMar>
            <w:top w:w="0" w:type="dxa"/>
            <w:left w:w="0" w:type="dxa"/>
            <w:bottom w:w="0" w:type="dxa"/>
            <w:right w:w="0" w:type="dxa"/>
          </w:tblCellMar>
        </w:tblPrEx>
        <w:trPr>
          <w:trHeight w:val="627" w:hRule="exact"/>
          <w:jc w:val="center"/>
        </w:trPr>
        <w:tc>
          <w:tcPr>
            <w:tcW w:w="1986" w:type="dxa"/>
            <w:tcBorders>
              <w:top w:val="single" w:color="000000" w:sz="4" w:space="0"/>
              <w:left w:val="single" w:color="000000" w:sz="4" w:space="0"/>
              <w:bottom w:val="single" w:color="000000" w:sz="4" w:space="0"/>
              <w:right w:val="single" w:color="000000" w:sz="4" w:space="0"/>
            </w:tcBorders>
          </w:tcPr>
          <w:p w14:paraId="539D0B7F">
            <w:pPr>
              <w:pStyle w:val="52"/>
              <w:spacing w:before="84"/>
              <w:ind w:left="692"/>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基本账户</w:t>
            </w:r>
          </w:p>
        </w:tc>
        <w:tc>
          <w:tcPr>
            <w:tcW w:w="3577" w:type="dxa"/>
            <w:tcBorders>
              <w:top w:val="single" w:color="000000" w:sz="4" w:space="0"/>
              <w:left w:val="single" w:color="000000" w:sz="4" w:space="0"/>
              <w:bottom w:val="single" w:color="000000" w:sz="4" w:space="0"/>
              <w:right w:val="nil"/>
            </w:tcBorders>
          </w:tcPr>
          <w:p w14:paraId="5B8CEA0A">
            <w:pPr>
              <w:pStyle w:val="52"/>
              <w:spacing w:before="84"/>
              <w:ind w:left="3041" w:leftChars="48" w:hanging="2940" w:hangingChars="1400"/>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 xml:space="preserve">名  称：          </w:t>
            </w:r>
          </w:p>
        </w:tc>
        <w:tc>
          <w:tcPr>
            <w:tcW w:w="3556" w:type="dxa"/>
            <w:tcBorders>
              <w:top w:val="single" w:color="000000" w:sz="4" w:space="0"/>
              <w:left w:val="nil"/>
              <w:bottom w:val="single" w:color="000000" w:sz="4" w:space="0"/>
              <w:right w:val="single" w:color="000000" w:sz="4" w:space="0"/>
            </w:tcBorders>
          </w:tcPr>
          <w:p w14:paraId="7ECEC26C">
            <w:pPr>
              <w:pStyle w:val="52"/>
              <w:spacing w:before="84"/>
              <w:ind w:left="105" w:firstLine="210" w:firstLineChars="100"/>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账号：</w:t>
            </w:r>
          </w:p>
        </w:tc>
      </w:tr>
      <w:tr w14:paraId="03F4BFA8">
        <w:tblPrEx>
          <w:tblCellMar>
            <w:top w:w="0" w:type="dxa"/>
            <w:left w:w="0" w:type="dxa"/>
            <w:bottom w:w="0" w:type="dxa"/>
            <w:right w:w="0" w:type="dxa"/>
          </w:tblCellMar>
        </w:tblPrEx>
        <w:trPr>
          <w:trHeight w:val="278" w:hRule="exact"/>
          <w:jc w:val="center"/>
        </w:trPr>
        <w:tc>
          <w:tcPr>
            <w:tcW w:w="1986" w:type="dxa"/>
            <w:vMerge w:val="restart"/>
            <w:tcBorders>
              <w:top w:val="single" w:color="000000" w:sz="4" w:space="0"/>
              <w:left w:val="single" w:color="000000" w:sz="4" w:space="0"/>
              <w:bottom w:val="single" w:color="000000" w:sz="4" w:space="0"/>
              <w:right w:val="single" w:color="000000" w:sz="4" w:space="0"/>
            </w:tcBorders>
          </w:tcPr>
          <w:p w14:paraId="7B568AD2">
            <w:pPr>
              <w:pStyle w:val="52"/>
              <w:rPr>
                <w:rFonts w:hint="eastAsia" w:ascii="宋体" w:hAnsi="宋体" w:eastAsia="宋体" w:cs="宋体"/>
                <w:color w:val="auto"/>
                <w:kern w:val="2"/>
                <w:sz w:val="21"/>
                <w:szCs w:val="21"/>
                <w:highlight w:val="none"/>
              </w:rPr>
            </w:pPr>
          </w:p>
          <w:p w14:paraId="403DE554">
            <w:pPr>
              <w:pStyle w:val="52"/>
              <w:rPr>
                <w:rFonts w:hint="eastAsia" w:ascii="宋体" w:hAnsi="宋体" w:eastAsia="宋体" w:cs="宋体"/>
                <w:color w:val="auto"/>
                <w:kern w:val="2"/>
                <w:sz w:val="21"/>
                <w:szCs w:val="21"/>
                <w:highlight w:val="none"/>
              </w:rPr>
            </w:pPr>
          </w:p>
          <w:p w14:paraId="2CB26C2F">
            <w:pPr>
              <w:pStyle w:val="52"/>
              <w:rPr>
                <w:rFonts w:hint="eastAsia" w:ascii="宋体" w:hAnsi="宋体" w:eastAsia="宋体" w:cs="宋体"/>
                <w:color w:val="auto"/>
                <w:kern w:val="2"/>
                <w:sz w:val="21"/>
                <w:szCs w:val="21"/>
                <w:highlight w:val="none"/>
              </w:rPr>
            </w:pPr>
          </w:p>
          <w:p w14:paraId="59805F33">
            <w:pPr>
              <w:pStyle w:val="52"/>
              <w:rPr>
                <w:rFonts w:hint="eastAsia" w:ascii="宋体" w:hAnsi="宋体" w:eastAsia="宋体" w:cs="宋体"/>
                <w:color w:val="auto"/>
                <w:kern w:val="2"/>
                <w:sz w:val="21"/>
                <w:szCs w:val="21"/>
                <w:highlight w:val="none"/>
              </w:rPr>
            </w:pPr>
          </w:p>
          <w:p w14:paraId="647B3ACF">
            <w:pPr>
              <w:pStyle w:val="52"/>
              <w:rPr>
                <w:rFonts w:hint="eastAsia" w:ascii="宋体" w:hAnsi="宋体" w:eastAsia="宋体" w:cs="宋体"/>
                <w:color w:val="auto"/>
                <w:kern w:val="2"/>
                <w:sz w:val="21"/>
                <w:szCs w:val="21"/>
                <w:highlight w:val="none"/>
              </w:rPr>
            </w:pPr>
          </w:p>
          <w:p w14:paraId="4F5D9975">
            <w:pPr>
              <w:pStyle w:val="52"/>
              <w:spacing w:before="6"/>
              <w:rPr>
                <w:rFonts w:hint="eastAsia" w:ascii="宋体" w:hAnsi="宋体" w:eastAsia="宋体" w:cs="宋体"/>
                <w:color w:val="auto"/>
                <w:kern w:val="2"/>
                <w:sz w:val="21"/>
                <w:szCs w:val="21"/>
                <w:highlight w:val="none"/>
              </w:rPr>
            </w:pPr>
          </w:p>
          <w:p w14:paraId="22461704">
            <w:pPr>
              <w:pStyle w:val="52"/>
              <w:ind w:left="108"/>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供应商关联情况</w:t>
            </w:r>
          </w:p>
        </w:tc>
        <w:tc>
          <w:tcPr>
            <w:tcW w:w="7133" w:type="dxa"/>
            <w:gridSpan w:val="2"/>
            <w:tcBorders>
              <w:top w:val="single" w:color="000000" w:sz="4" w:space="0"/>
              <w:left w:val="single" w:color="000000" w:sz="4" w:space="0"/>
              <w:bottom w:val="nil"/>
              <w:right w:val="single" w:color="000000" w:sz="4" w:space="0"/>
            </w:tcBorders>
          </w:tcPr>
          <w:p w14:paraId="7E70434E">
            <w:pPr>
              <w:pStyle w:val="52"/>
              <w:spacing w:line="242" w:lineRule="exact"/>
              <w:ind w:left="101"/>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 xml:space="preserve">1：与我公司单位负责人为同一人的其他单位名称： </w:t>
            </w:r>
          </w:p>
        </w:tc>
      </w:tr>
      <w:tr w14:paraId="2FE1E4EF">
        <w:tblPrEx>
          <w:tblCellMar>
            <w:top w:w="0" w:type="dxa"/>
            <w:left w:w="0" w:type="dxa"/>
            <w:bottom w:w="0" w:type="dxa"/>
            <w:right w:w="0" w:type="dxa"/>
          </w:tblCellMar>
        </w:tblPrEx>
        <w:trPr>
          <w:trHeight w:val="310" w:hRule="atLeast"/>
          <w:jc w:val="center"/>
        </w:trPr>
        <w:tc>
          <w:tcPr>
            <w:tcW w:w="1986" w:type="dxa"/>
            <w:vMerge w:val="continue"/>
            <w:tcBorders>
              <w:top w:val="single" w:color="000000" w:sz="4" w:space="0"/>
              <w:left w:val="single" w:color="000000" w:sz="4" w:space="0"/>
              <w:bottom w:val="single" w:color="000000" w:sz="4" w:space="0"/>
              <w:right w:val="single" w:color="000000" w:sz="4" w:space="0"/>
            </w:tcBorders>
            <w:vAlign w:val="center"/>
          </w:tcPr>
          <w:p w14:paraId="527F3685">
            <w:pPr>
              <w:widowControl/>
              <w:jc w:val="left"/>
              <w:rPr>
                <w:rFonts w:hint="eastAsia" w:ascii="宋体" w:hAnsi="宋体" w:eastAsia="宋体" w:cs="宋体"/>
                <w:color w:val="auto"/>
                <w:highlight w:val="none"/>
              </w:rPr>
            </w:pPr>
          </w:p>
        </w:tc>
        <w:tc>
          <w:tcPr>
            <w:tcW w:w="7133" w:type="dxa"/>
            <w:gridSpan w:val="2"/>
            <w:tcBorders>
              <w:top w:val="nil"/>
              <w:left w:val="single" w:color="000000" w:sz="4" w:space="0"/>
              <w:bottom w:val="nil"/>
              <w:right w:val="single" w:color="000000" w:sz="4" w:space="0"/>
            </w:tcBorders>
          </w:tcPr>
          <w:p w14:paraId="594A2F27">
            <w:pPr>
              <w:pStyle w:val="52"/>
              <w:spacing w:line="262" w:lineRule="exact"/>
              <w:ind w:left="101"/>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 xml:space="preserve">□无； </w:t>
            </w:r>
          </w:p>
        </w:tc>
      </w:tr>
      <w:tr w14:paraId="0D153523">
        <w:tblPrEx>
          <w:tblCellMar>
            <w:top w:w="0" w:type="dxa"/>
            <w:left w:w="0" w:type="dxa"/>
            <w:bottom w:w="0" w:type="dxa"/>
            <w:right w:w="0" w:type="dxa"/>
          </w:tblCellMar>
        </w:tblPrEx>
        <w:trPr>
          <w:trHeight w:val="310" w:hRule="atLeast"/>
          <w:jc w:val="center"/>
        </w:trPr>
        <w:tc>
          <w:tcPr>
            <w:tcW w:w="1986" w:type="dxa"/>
            <w:vMerge w:val="continue"/>
            <w:tcBorders>
              <w:top w:val="single" w:color="000000" w:sz="4" w:space="0"/>
              <w:left w:val="single" w:color="000000" w:sz="4" w:space="0"/>
              <w:bottom w:val="single" w:color="000000" w:sz="4" w:space="0"/>
              <w:right w:val="single" w:color="000000" w:sz="4" w:space="0"/>
            </w:tcBorders>
            <w:vAlign w:val="center"/>
          </w:tcPr>
          <w:p w14:paraId="7090ED03">
            <w:pPr>
              <w:widowControl/>
              <w:jc w:val="left"/>
              <w:rPr>
                <w:rFonts w:hint="eastAsia" w:ascii="宋体" w:hAnsi="宋体" w:eastAsia="宋体" w:cs="宋体"/>
                <w:color w:val="auto"/>
                <w:highlight w:val="none"/>
                <w:lang w:eastAsia="en-US"/>
              </w:rPr>
            </w:pPr>
          </w:p>
        </w:tc>
        <w:tc>
          <w:tcPr>
            <w:tcW w:w="7133" w:type="dxa"/>
            <w:gridSpan w:val="2"/>
            <w:tcBorders>
              <w:top w:val="nil"/>
              <w:left w:val="single" w:color="000000" w:sz="4" w:space="0"/>
              <w:bottom w:val="nil"/>
              <w:right w:val="single" w:color="000000" w:sz="4" w:space="0"/>
            </w:tcBorders>
          </w:tcPr>
          <w:p w14:paraId="09BC9EB0">
            <w:pPr>
              <w:pStyle w:val="52"/>
              <w:spacing w:line="262" w:lineRule="exact"/>
              <w:ind w:left="101"/>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u w:val="single" w:color="000000"/>
              </w:rPr>
              <w:t>□</w:t>
            </w:r>
            <w:r>
              <w:rPr>
                <w:rFonts w:hint="eastAsia" w:ascii="宋体" w:hAnsi="宋体" w:eastAsia="宋体" w:cs="宋体"/>
                <w:color w:val="auto"/>
                <w:kern w:val="2"/>
                <w:sz w:val="21"/>
                <w:szCs w:val="21"/>
                <w:highlight w:val="none"/>
              </w:rPr>
              <w:t xml:space="preserve">有：                                  </w:t>
            </w:r>
            <w:r>
              <w:rPr>
                <w:rFonts w:hint="eastAsia" w:ascii="宋体" w:hAnsi="宋体" w:eastAsia="宋体" w:cs="宋体"/>
                <w:color w:val="auto"/>
                <w:spacing w:val="68"/>
                <w:kern w:val="2"/>
                <w:sz w:val="21"/>
                <w:szCs w:val="21"/>
                <w:highlight w:val="none"/>
              </w:rPr>
              <w:t xml:space="preserve"> </w:t>
            </w:r>
            <w:r>
              <w:rPr>
                <w:rFonts w:hint="eastAsia" w:ascii="宋体" w:hAnsi="宋体" w:eastAsia="宋体" w:cs="宋体"/>
                <w:color w:val="auto"/>
                <w:kern w:val="2"/>
                <w:sz w:val="21"/>
                <w:szCs w:val="21"/>
                <w:highlight w:val="none"/>
              </w:rPr>
              <w:t xml:space="preserve">。 </w:t>
            </w:r>
          </w:p>
        </w:tc>
      </w:tr>
      <w:tr w14:paraId="4E7556E3">
        <w:tblPrEx>
          <w:tblCellMar>
            <w:top w:w="0" w:type="dxa"/>
            <w:left w:w="0" w:type="dxa"/>
            <w:bottom w:w="0" w:type="dxa"/>
            <w:right w:w="0" w:type="dxa"/>
          </w:tblCellMar>
        </w:tblPrEx>
        <w:trPr>
          <w:trHeight w:val="310" w:hRule="atLeast"/>
          <w:jc w:val="center"/>
        </w:trPr>
        <w:tc>
          <w:tcPr>
            <w:tcW w:w="1986" w:type="dxa"/>
            <w:vMerge w:val="continue"/>
            <w:tcBorders>
              <w:top w:val="single" w:color="000000" w:sz="4" w:space="0"/>
              <w:left w:val="single" w:color="000000" w:sz="4" w:space="0"/>
              <w:bottom w:val="single" w:color="000000" w:sz="4" w:space="0"/>
              <w:right w:val="single" w:color="000000" w:sz="4" w:space="0"/>
            </w:tcBorders>
            <w:vAlign w:val="center"/>
          </w:tcPr>
          <w:p w14:paraId="5FB967A7">
            <w:pPr>
              <w:widowControl/>
              <w:jc w:val="left"/>
              <w:rPr>
                <w:rFonts w:hint="eastAsia" w:ascii="宋体" w:hAnsi="宋体" w:eastAsia="宋体" w:cs="宋体"/>
                <w:color w:val="auto"/>
                <w:highlight w:val="none"/>
                <w:lang w:eastAsia="en-US"/>
              </w:rPr>
            </w:pPr>
          </w:p>
        </w:tc>
        <w:tc>
          <w:tcPr>
            <w:tcW w:w="7133" w:type="dxa"/>
            <w:gridSpan w:val="2"/>
            <w:tcBorders>
              <w:top w:val="nil"/>
              <w:left w:val="single" w:color="000000" w:sz="4" w:space="0"/>
              <w:bottom w:val="nil"/>
              <w:right w:val="single" w:color="000000" w:sz="4" w:space="0"/>
            </w:tcBorders>
          </w:tcPr>
          <w:p w14:paraId="730ABB47">
            <w:pPr>
              <w:pStyle w:val="52"/>
              <w:spacing w:line="262" w:lineRule="exact"/>
              <w:ind w:left="101"/>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 xml:space="preserve">2、与我公司存在控股、管理关系的其他单位的名称： </w:t>
            </w:r>
          </w:p>
        </w:tc>
      </w:tr>
      <w:tr w14:paraId="6C81C072">
        <w:tblPrEx>
          <w:tblCellMar>
            <w:top w:w="0" w:type="dxa"/>
            <w:left w:w="0" w:type="dxa"/>
            <w:bottom w:w="0" w:type="dxa"/>
            <w:right w:w="0" w:type="dxa"/>
          </w:tblCellMar>
        </w:tblPrEx>
        <w:trPr>
          <w:trHeight w:val="310" w:hRule="atLeast"/>
          <w:jc w:val="center"/>
        </w:trPr>
        <w:tc>
          <w:tcPr>
            <w:tcW w:w="1986" w:type="dxa"/>
            <w:vMerge w:val="continue"/>
            <w:tcBorders>
              <w:top w:val="single" w:color="000000" w:sz="4" w:space="0"/>
              <w:left w:val="single" w:color="000000" w:sz="4" w:space="0"/>
              <w:bottom w:val="single" w:color="000000" w:sz="4" w:space="0"/>
              <w:right w:val="single" w:color="000000" w:sz="4" w:space="0"/>
            </w:tcBorders>
            <w:vAlign w:val="center"/>
          </w:tcPr>
          <w:p w14:paraId="6F0D67C4">
            <w:pPr>
              <w:widowControl/>
              <w:jc w:val="left"/>
              <w:rPr>
                <w:rFonts w:hint="eastAsia" w:ascii="宋体" w:hAnsi="宋体" w:eastAsia="宋体" w:cs="宋体"/>
                <w:color w:val="auto"/>
                <w:highlight w:val="none"/>
              </w:rPr>
            </w:pPr>
          </w:p>
        </w:tc>
        <w:tc>
          <w:tcPr>
            <w:tcW w:w="7133" w:type="dxa"/>
            <w:gridSpan w:val="2"/>
            <w:tcBorders>
              <w:top w:val="nil"/>
              <w:left w:val="single" w:color="000000" w:sz="4" w:space="0"/>
              <w:bottom w:val="nil"/>
              <w:right w:val="single" w:color="000000" w:sz="4" w:space="0"/>
            </w:tcBorders>
          </w:tcPr>
          <w:p w14:paraId="541A9A64">
            <w:pPr>
              <w:pStyle w:val="52"/>
              <w:spacing w:line="262" w:lineRule="exact"/>
              <w:ind w:left="101"/>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 xml:space="preserve">□无； </w:t>
            </w:r>
          </w:p>
        </w:tc>
      </w:tr>
      <w:tr w14:paraId="00EDE240">
        <w:tblPrEx>
          <w:tblCellMar>
            <w:top w:w="0" w:type="dxa"/>
            <w:left w:w="0" w:type="dxa"/>
            <w:bottom w:w="0" w:type="dxa"/>
            <w:right w:w="0" w:type="dxa"/>
          </w:tblCellMar>
        </w:tblPrEx>
        <w:trPr>
          <w:trHeight w:val="330" w:hRule="atLeast"/>
          <w:jc w:val="center"/>
        </w:trPr>
        <w:tc>
          <w:tcPr>
            <w:tcW w:w="1986" w:type="dxa"/>
            <w:vMerge w:val="continue"/>
            <w:tcBorders>
              <w:top w:val="single" w:color="000000" w:sz="4" w:space="0"/>
              <w:left w:val="single" w:color="000000" w:sz="4" w:space="0"/>
              <w:bottom w:val="single" w:color="000000" w:sz="4" w:space="0"/>
              <w:right w:val="single" w:color="000000" w:sz="4" w:space="0"/>
            </w:tcBorders>
            <w:vAlign w:val="center"/>
          </w:tcPr>
          <w:p w14:paraId="33BD47FF">
            <w:pPr>
              <w:widowControl/>
              <w:jc w:val="left"/>
              <w:rPr>
                <w:rFonts w:hint="eastAsia" w:ascii="宋体" w:hAnsi="宋体" w:eastAsia="宋体" w:cs="宋体"/>
                <w:color w:val="auto"/>
                <w:highlight w:val="none"/>
                <w:lang w:eastAsia="en-US"/>
              </w:rPr>
            </w:pPr>
          </w:p>
        </w:tc>
        <w:tc>
          <w:tcPr>
            <w:tcW w:w="7133" w:type="dxa"/>
            <w:gridSpan w:val="2"/>
            <w:tcBorders>
              <w:top w:val="nil"/>
              <w:left w:val="single" w:color="000000" w:sz="4" w:space="0"/>
              <w:bottom w:val="nil"/>
              <w:right w:val="single" w:color="000000" w:sz="4" w:space="0"/>
            </w:tcBorders>
          </w:tcPr>
          <w:p w14:paraId="4DEE0D97">
            <w:pPr>
              <w:pStyle w:val="52"/>
              <w:spacing w:line="262" w:lineRule="exact"/>
              <w:ind w:left="101"/>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u w:val="single" w:color="000000"/>
              </w:rPr>
              <w:t>□</w:t>
            </w:r>
            <w:r>
              <w:rPr>
                <w:rFonts w:hint="eastAsia" w:ascii="宋体" w:hAnsi="宋体" w:eastAsia="宋体" w:cs="宋体"/>
                <w:color w:val="auto"/>
                <w:kern w:val="2"/>
                <w:sz w:val="21"/>
                <w:szCs w:val="21"/>
                <w:highlight w:val="none"/>
              </w:rPr>
              <w:t xml:space="preserve">有：                                   </w:t>
            </w:r>
            <w:r>
              <w:rPr>
                <w:rFonts w:hint="eastAsia" w:ascii="宋体" w:hAnsi="宋体" w:eastAsia="宋体" w:cs="宋体"/>
                <w:color w:val="auto"/>
                <w:spacing w:val="68"/>
                <w:kern w:val="2"/>
                <w:sz w:val="21"/>
                <w:szCs w:val="21"/>
                <w:highlight w:val="none"/>
              </w:rPr>
              <w:t xml:space="preserve"> </w:t>
            </w:r>
            <w:r>
              <w:rPr>
                <w:rFonts w:hint="eastAsia" w:ascii="宋体" w:hAnsi="宋体" w:eastAsia="宋体" w:cs="宋体"/>
                <w:color w:val="auto"/>
                <w:kern w:val="2"/>
                <w:sz w:val="21"/>
                <w:szCs w:val="21"/>
                <w:highlight w:val="none"/>
              </w:rPr>
              <w:t xml:space="preserve">。 </w:t>
            </w:r>
          </w:p>
        </w:tc>
      </w:tr>
      <w:tr w14:paraId="114E6126">
        <w:tblPrEx>
          <w:tblCellMar>
            <w:top w:w="0" w:type="dxa"/>
            <w:left w:w="0" w:type="dxa"/>
            <w:bottom w:w="0" w:type="dxa"/>
            <w:right w:w="0" w:type="dxa"/>
          </w:tblCellMar>
        </w:tblPrEx>
        <w:trPr>
          <w:trHeight w:val="353" w:hRule="atLeast"/>
          <w:jc w:val="center"/>
        </w:trPr>
        <w:tc>
          <w:tcPr>
            <w:tcW w:w="1986" w:type="dxa"/>
            <w:vMerge w:val="continue"/>
            <w:tcBorders>
              <w:top w:val="single" w:color="000000" w:sz="4" w:space="0"/>
              <w:left w:val="single" w:color="000000" w:sz="4" w:space="0"/>
              <w:bottom w:val="single" w:color="000000" w:sz="4" w:space="0"/>
              <w:right w:val="single" w:color="000000" w:sz="4" w:space="0"/>
            </w:tcBorders>
            <w:vAlign w:val="center"/>
          </w:tcPr>
          <w:p w14:paraId="38054E86">
            <w:pPr>
              <w:widowControl/>
              <w:jc w:val="left"/>
              <w:rPr>
                <w:rFonts w:hint="eastAsia" w:ascii="宋体" w:hAnsi="宋体" w:eastAsia="宋体" w:cs="宋体"/>
                <w:color w:val="auto"/>
                <w:highlight w:val="none"/>
                <w:lang w:eastAsia="en-US"/>
              </w:rPr>
            </w:pPr>
          </w:p>
        </w:tc>
        <w:tc>
          <w:tcPr>
            <w:tcW w:w="7133" w:type="dxa"/>
            <w:gridSpan w:val="2"/>
            <w:tcBorders>
              <w:top w:val="nil"/>
              <w:left w:val="single" w:color="000000" w:sz="4" w:space="0"/>
              <w:bottom w:val="nil"/>
              <w:right w:val="single" w:color="000000" w:sz="4" w:space="0"/>
            </w:tcBorders>
          </w:tcPr>
          <w:p w14:paraId="37287C0E">
            <w:pPr>
              <w:pStyle w:val="52"/>
              <w:spacing w:before="8"/>
              <w:ind w:left="101"/>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备注：</w:t>
            </w:r>
          </w:p>
        </w:tc>
      </w:tr>
      <w:tr w14:paraId="0315A041">
        <w:tblPrEx>
          <w:tblCellMar>
            <w:top w:w="0" w:type="dxa"/>
            <w:left w:w="0" w:type="dxa"/>
            <w:bottom w:w="0" w:type="dxa"/>
            <w:right w:w="0" w:type="dxa"/>
          </w:tblCellMar>
        </w:tblPrEx>
        <w:trPr>
          <w:trHeight w:val="358" w:hRule="atLeast"/>
          <w:jc w:val="center"/>
        </w:trPr>
        <w:tc>
          <w:tcPr>
            <w:tcW w:w="1986" w:type="dxa"/>
            <w:vMerge w:val="continue"/>
            <w:tcBorders>
              <w:top w:val="single" w:color="000000" w:sz="4" w:space="0"/>
              <w:left w:val="single" w:color="000000" w:sz="4" w:space="0"/>
              <w:bottom w:val="single" w:color="000000" w:sz="4" w:space="0"/>
              <w:right w:val="single" w:color="000000" w:sz="4" w:space="0"/>
            </w:tcBorders>
            <w:vAlign w:val="center"/>
          </w:tcPr>
          <w:p w14:paraId="5FEF361C">
            <w:pPr>
              <w:widowControl/>
              <w:jc w:val="left"/>
              <w:rPr>
                <w:rFonts w:hint="eastAsia" w:ascii="宋体" w:hAnsi="宋体" w:eastAsia="宋体" w:cs="宋体"/>
                <w:color w:val="auto"/>
                <w:highlight w:val="none"/>
                <w:lang w:eastAsia="en-US"/>
              </w:rPr>
            </w:pPr>
          </w:p>
        </w:tc>
        <w:tc>
          <w:tcPr>
            <w:tcW w:w="7133" w:type="dxa"/>
            <w:gridSpan w:val="2"/>
            <w:tcBorders>
              <w:top w:val="nil"/>
              <w:left w:val="single" w:color="000000" w:sz="4" w:space="0"/>
              <w:bottom w:val="nil"/>
              <w:right w:val="single" w:color="000000" w:sz="4" w:space="0"/>
            </w:tcBorders>
          </w:tcPr>
          <w:p w14:paraId="0A0A8022">
            <w:pPr>
              <w:pStyle w:val="52"/>
              <w:spacing w:before="9"/>
              <w:ind w:left="101"/>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1、“单位负责人”是指单位法定代表人或者法律、行政法规规定代表</w:t>
            </w:r>
          </w:p>
        </w:tc>
      </w:tr>
      <w:tr w14:paraId="4360395B">
        <w:tblPrEx>
          <w:tblCellMar>
            <w:top w:w="0" w:type="dxa"/>
            <w:left w:w="0" w:type="dxa"/>
            <w:bottom w:w="0" w:type="dxa"/>
            <w:right w:w="0" w:type="dxa"/>
          </w:tblCellMar>
        </w:tblPrEx>
        <w:trPr>
          <w:trHeight w:val="349" w:hRule="atLeast"/>
          <w:jc w:val="center"/>
        </w:trPr>
        <w:tc>
          <w:tcPr>
            <w:tcW w:w="1986" w:type="dxa"/>
            <w:vMerge w:val="continue"/>
            <w:tcBorders>
              <w:top w:val="single" w:color="000000" w:sz="4" w:space="0"/>
              <w:left w:val="single" w:color="000000" w:sz="4" w:space="0"/>
              <w:bottom w:val="single" w:color="000000" w:sz="4" w:space="0"/>
              <w:right w:val="single" w:color="000000" w:sz="4" w:space="0"/>
            </w:tcBorders>
            <w:vAlign w:val="center"/>
          </w:tcPr>
          <w:p w14:paraId="2E4791F9">
            <w:pPr>
              <w:widowControl/>
              <w:jc w:val="left"/>
              <w:rPr>
                <w:rFonts w:hint="eastAsia" w:ascii="宋体" w:hAnsi="宋体" w:eastAsia="宋体" w:cs="宋体"/>
                <w:color w:val="auto"/>
                <w:highlight w:val="none"/>
              </w:rPr>
            </w:pPr>
          </w:p>
        </w:tc>
        <w:tc>
          <w:tcPr>
            <w:tcW w:w="7133" w:type="dxa"/>
            <w:gridSpan w:val="2"/>
            <w:tcBorders>
              <w:top w:val="nil"/>
              <w:left w:val="single" w:color="000000" w:sz="4" w:space="0"/>
              <w:bottom w:val="nil"/>
              <w:right w:val="single" w:color="000000" w:sz="4" w:space="0"/>
            </w:tcBorders>
          </w:tcPr>
          <w:p w14:paraId="4D6449CF">
            <w:pPr>
              <w:pStyle w:val="52"/>
              <w:spacing w:before="4"/>
              <w:ind w:left="101"/>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单位行使职权的主要负责人。</w:t>
            </w:r>
          </w:p>
        </w:tc>
      </w:tr>
      <w:tr w14:paraId="01BEC7EF">
        <w:tblPrEx>
          <w:tblCellMar>
            <w:top w:w="0" w:type="dxa"/>
            <w:left w:w="0" w:type="dxa"/>
            <w:bottom w:w="0" w:type="dxa"/>
            <w:right w:w="0" w:type="dxa"/>
          </w:tblCellMar>
        </w:tblPrEx>
        <w:trPr>
          <w:trHeight w:val="358" w:hRule="atLeast"/>
          <w:jc w:val="center"/>
        </w:trPr>
        <w:tc>
          <w:tcPr>
            <w:tcW w:w="1986" w:type="dxa"/>
            <w:vMerge w:val="continue"/>
            <w:tcBorders>
              <w:top w:val="single" w:color="000000" w:sz="4" w:space="0"/>
              <w:left w:val="single" w:color="000000" w:sz="4" w:space="0"/>
              <w:bottom w:val="single" w:color="000000" w:sz="4" w:space="0"/>
              <w:right w:val="single" w:color="000000" w:sz="4" w:space="0"/>
            </w:tcBorders>
            <w:vAlign w:val="center"/>
          </w:tcPr>
          <w:p w14:paraId="332B5E08">
            <w:pPr>
              <w:widowControl/>
              <w:jc w:val="left"/>
              <w:rPr>
                <w:rFonts w:hint="eastAsia" w:ascii="宋体" w:hAnsi="宋体" w:eastAsia="宋体" w:cs="宋体"/>
                <w:color w:val="auto"/>
                <w:highlight w:val="none"/>
              </w:rPr>
            </w:pPr>
          </w:p>
        </w:tc>
        <w:tc>
          <w:tcPr>
            <w:tcW w:w="7133" w:type="dxa"/>
            <w:gridSpan w:val="2"/>
            <w:tcBorders>
              <w:top w:val="nil"/>
              <w:left w:val="single" w:color="000000" w:sz="4" w:space="0"/>
              <w:bottom w:val="nil"/>
              <w:right w:val="single" w:color="000000" w:sz="4" w:space="0"/>
            </w:tcBorders>
          </w:tcPr>
          <w:p w14:paraId="1C20D93F">
            <w:pPr>
              <w:pStyle w:val="52"/>
              <w:spacing w:before="9"/>
              <w:ind w:left="102"/>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2、本条所规定的控股、管理关系仅限于直接控股、直接管理关系，不</w:t>
            </w:r>
          </w:p>
        </w:tc>
      </w:tr>
      <w:tr w14:paraId="6A849F63">
        <w:tblPrEx>
          <w:tblCellMar>
            <w:top w:w="0" w:type="dxa"/>
            <w:left w:w="0" w:type="dxa"/>
            <w:bottom w:w="0" w:type="dxa"/>
            <w:right w:w="0" w:type="dxa"/>
          </w:tblCellMar>
        </w:tblPrEx>
        <w:trPr>
          <w:trHeight w:val="372" w:hRule="atLeast"/>
          <w:jc w:val="center"/>
        </w:trPr>
        <w:tc>
          <w:tcPr>
            <w:tcW w:w="1986" w:type="dxa"/>
            <w:vMerge w:val="continue"/>
            <w:tcBorders>
              <w:top w:val="single" w:color="000000" w:sz="4" w:space="0"/>
              <w:left w:val="single" w:color="000000" w:sz="4" w:space="0"/>
              <w:bottom w:val="single" w:color="000000" w:sz="4" w:space="0"/>
              <w:right w:val="single" w:color="000000" w:sz="4" w:space="0"/>
            </w:tcBorders>
            <w:vAlign w:val="center"/>
          </w:tcPr>
          <w:p w14:paraId="32B84815">
            <w:pPr>
              <w:widowControl/>
              <w:jc w:val="left"/>
              <w:rPr>
                <w:rFonts w:hint="eastAsia" w:ascii="宋体" w:hAnsi="宋体" w:eastAsia="宋体" w:cs="宋体"/>
                <w:color w:val="auto"/>
                <w:highlight w:val="none"/>
              </w:rPr>
            </w:pPr>
          </w:p>
        </w:tc>
        <w:tc>
          <w:tcPr>
            <w:tcW w:w="7133" w:type="dxa"/>
            <w:gridSpan w:val="2"/>
            <w:tcBorders>
              <w:top w:val="nil"/>
              <w:left w:val="single" w:color="000000" w:sz="4" w:space="0"/>
              <w:bottom w:val="single" w:color="000000" w:sz="4" w:space="0"/>
              <w:right w:val="single" w:color="000000" w:sz="4" w:space="0"/>
            </w:tcBorders>
          </w:tcPr>
          <w:p w14:paraId="0113EDA6">
            <w:pPr>
              <w:pStyle w:val="52"/>
              <w:spacing w:before="4"/>
              <w:ind w:left="102"/>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包括间接的控股或管理关系。</w:t>
            </w:r>
          </w:p>
        </w:tc>
      </w:tr>
    </w:tbl>
    <w:p w14:paraId="7927AD9A">
      <w:pPr>
        <w:pStyle w:val="53"/>
        <w:adjustRightInd w:val="0"/>
        <w:snapToGrid w:val="0"/>
        <w:spacing w:line="5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法定代表人（单位负责人）或其委托代理人（签字或电子签章）：</w:t>
      </w:r>
      <w:r>
        <w:rPr>
          <w:rFonts w:hint="eastAsia" w:ascii="宋体" w:hAnsi="宋体" w:eastAsia="宋体" w:cs="宋体"/>
          <w:color w:val="auto"/>
          <w:sz w:val="24"/>
          <w:szCs w:val="24"/>
          <w:highlight w:val="none"/>
          <w:u w:val="single"/>
        </w:rPr>
        <w:t xml:space="preserve">                  </w:t>
      </w:r>
    </w:p>
    <w:p w14:paraId="7E9C6EF1">
      <w:pPr>
        <w:pStyle w:val="53"/>
        <w:adjustRightInd w:val="0"/>
        <w:snapToGrid w:val="0"/>
        <w:spacing w:line="500" w:lineRule="exac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供应商名称（签章）：</w:t>
      </w:r>
      <w:r>
        <w:rPr>
          <w:rFonts w:hint="eastAsia" w:ascii="宋体" w:hAnsi="宋体" w:eastAsia="宋体" w:cs="宋体"/>
          <w:color w:val="auto"/>
          <w:sz w:val="24"/>
          <w:szCs w:val="24"/>
          <w:highlight w:val="none"/>
          <w:u w:val="single"/>
        </w:rPr>
        <w:t xml:space="preserve">                       </w:t>
      </w:r>
    </w:p>
    <w:p w14:paraId="076EE2E8">
      <w:pPr>
        <w:pStyle w:val="53"/>
        <w:spacing w:line="500" w:lineRule="exact"/>
        <w:rPr>
          <w:rFonts w:hint="eastAsia" w:ascii="宋体" w:hAnsi="宋体" w:eastAsia="宋体" w:cs="宋体"/>
          <w:color w:val="auto"/>
          <w:highlight w:val="none"/>
        </w:rPr>
      </w:pP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日</w:t>
      </w:r>
    </w:p>
    <w:p w14:paraId="7ED64C2B">
      <w:pPr>
        <w:pStyle w:val="46"/>
        <w:outlineLvl w:val="2"/>
        <w:rPr>
          <w:rFonts w:hint="eastAsia" w:ascii="宋体" w:hAnsi="宋体" w:eastAsia="宋体" w:cs="宋体"/>
          <w:color w:val="auto"/>
          <w:highlight w:val="none"/>
        </w:rPr>
      </w:pPr>
      <w:r>
        <w:rPr>
          <w:rFonts w:hint="eastAsia" w:ascii="宋体" w:hAnsi="宋体" w:eastAsia="宋体" w:cs="宋体"/>
          <w:color w:val="auto"/>
          <w:highlight w:val="none"/>
        </w:rPr>
        <w:br w:type="page"/>
      </w:r>
      <w:bookmarkStart w:id="176" w:name="_Toc6986"/>
      <w:bookmarkStart w:id="177" w:name="_Toc31735"/>
      <w:r>
        <w:rPr>
          <w:rFonts w:hint="eastAsia" w:ascii="宋体" w:hAnsi="宋体" w:eastAsia="宋体" w:cs="宋体"/>
          <w:color w:val="auto"/>
          <w:highlight w:val="none"/>
        </w:rPr>
        <w:t>（二）具有良好的商业信誉和健全的财务会计制度；</w:t>
      </w:r>
      <w:bookmarkEnd w:id="176"/>
      <w:bookmarkEnd w:id="177"/>
    </w:p>
    <w:p w14:paraId="44684508">
      <w:pPr>
        <w:pStyle w:val="46"/>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auto"/>
        <w:outlineLvl w:val="9"/>
        <w:rPr>
          <w:rFonts w:hint="eastAsia" w:ascii="宋体" w:hAnsi="宋体" w:eastAsia="宋体" w:cs="宋体"/>
          <w:b w:val="0"/>
          <w:bCs/>
          <w:color w:val="auto"/>
          <w:sz w:val="21"/>
          <w:szCs w:val="21"/>
          <w:highlight w:val="none"/>
          <w:lang w:eastAsia="zh-CN"/>
        </w:rPr>
      </w:pPr>
      <w:bookmarkStart w:id="178" w:name="_Toc11370"/>
      <w:bookmarkStart w:id="179" w:name="_Toc28292"/>
      <w:r>
        <w:rPr>
          <w:rFonts w:hint="eastAsia" w:ascii="宋体" w:hAnsi="宋体" w:eastAsia="宋体" w:cs="宋体"/>
          <w:b w:val="0"/>
          <w:bCs/>
          <w:color w:val="auto"/>
          <w:sz w:val="21"/>
          <w:szCs w:val="21"/>
          <w:highlight w:val="none"/>
          <w:lang w:val="en-US" w:eastAsia="zh-CN"/>
        </w:rPr>
        <w:t>投标时，若投标人成立超过一年需提供2021年、2022年、2023年度任意一年的财务状况报表或经第三方审计出具的审计报告复印件/扫描件并加盖公章，投标人成立不足一年（含一年）需提供近三个月内任意一个月的财务报告复印件/扫描件并加盖公章（需包含资产负债表、现金流量表、利润表）或近三个月内任意一个月的银行资信证明材料复印件/扫描件并加盖公章</w:t>
      </w:r>
      <w:r>
        <w:rPr>
          <w:rFonts w:hint="eastAsia" w:ascii="宋体" w:hAnsi="宋体" w:eastAsia="宋体" w:cs="宋体"/>
          <w:b w:val="0"/>
          <w:bCs/>
          <w:color w:val="auto"/>
          <w:sz w:val="21"/>
          <w:szCs w:val="21"/>
          <w:highlight w:val="none"/>
          <w:lang w:eastAsia="zh-CN"/>
        </w:rPr>
        <w:t>。</w:t>
      </w:r>
    </w:p>
    <w:p w14:paraId="3D699336">
      <w:pPr>
        <w:pStyle w:val="46"/>
        <w:outlineLvl w:val="2"/>
        <w:rPr>
          <w:rFonts w:hint="eastAsia" w:ascii="宋体" w:hAnsi="宋体" w:eastAsia="宋体" w:cs="宋体"/>
          <w:color w:val="auto"/>
          <w:highlight w:val="none"/>
        </w:rPr>
      </w:pPr>
      <w:r>
        <w:rPr>
          <w:rFonts w:hint="eastAsia" w:ascii="宋体" w:hAnsi="宋体" w:eastAsia="宋体" w:cs="宋体"/>
          <w:color w:val="auto"/>
          <w:highlight w:val="none"/>
        </w:rPr>
        <w:t>（三）有依法缴纳税收和社会保障资金的良好记录</w:t>
      </w:r>
      <w:bookmarkEnd w:id="178"/>
      <w:bookmarkEnd w:id="179"/>
    </w:p>
    <w:p w14:paraId="0DFE1F5F">
      <w:pPr>
        <w:pStyle w:val="46"/>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auto"/>
        <w:outlineLvl w:val="9"/>
        <w:rPr>
          <w:rFonts w:hint="eastAsia" w:ascii="宋体" w:hAnsi="宋体" w:eastAsia="宋体" w:cs="宋体"/>
          <w:b w:val="0"/>
          <w:bCs/>
          <w:color w:val="auto"/>
          <w:sz w:val="21"/>
          <w:szCs w:val="21"/>
          <w:highlight w:val="none"/>
          <w:lang w:eastAsia="zh-CN"/>
        </w:rPr>
      </w:pPr>
      <w:bookmarkStart w:id="180" w:name="_Toc7342"/>
      <w:bookmarkStart w:id="181" w:name="_Toc19442"/>
      <w:r>
        <w:rPr>
          <w:rFonts w:hint="eastAsia" w:ascii="宋体" w:hAnsi="宋体" w:eastAsia="宋体" w:cs="宋体"/>
          <w:b w:val="0"/>
          <w:bCs/>
          <w:color w:val="auto"/>
          <w:sz w:val="21"/>
          <w:szCs w:val="21"/>
          <w:highlight w:val="none"/>
          <w:lang w:eastAsia="zh-CN"/>
        </w:rPr>
        <w:t xml:space="preserve">投标人依法缴纳税收的证明材料：本项目投标截止时间前 6 个月内（至少提供1个月）缴纳税收的凭据（完税证、缴款书、印花税票、银行代扣（代缴）转账凭证等均可）； </w:t>
      </w:r>
    </w:p>
    <w:p w14:paraId="1D6566F2">
      <w:pPr>
        <w:pStyle w:val="46"/>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auto"/>
        <w:outlineLvl w:val="9"/>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 xml:space="preserve">供应商依法缴纳社会保障资金的证明材料：本项目响应截止时间时间前 6个月内（至少提供1个月）缴纳社会保险的凭据（专用收据或社会保险交纳清单）； </w:t>
      </w:r>
    </w:p>
    <w:p w14:paraId="61E341DB">
      <w:pPr>
        <w:pStyle w:val="46"/>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auto"/>
        <w:outlineLvl w:val="9"/>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供应商为其他组织或自然人的，也需要按此项规定提供缴纳税收的凭据和交纳社会保险的凭据。如供应商的社会保险为委托第三方代缴，还需同时提供供应商与第三方服务机构签署的服务合同（合同中应明确写明第三方为供应商代缴其社会保险）。</w:t>
      </w:r>
    </w:p>
    <w:p w14:paraId="38656C63">
      <w:pPr>
        <w:pStyle w:val="46"/>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auto"/>
        <w:outlineLvl w:val="9"/>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依法不需要缴纳社会保障资金的供应商，须提供相应文件证明其依法不需要缴纳社会保障资金。</w:t>
      </w:r>
    </w:p>
    <w:p w14:paraId="6684B59D">
      <w:pPr>
        <w:pStyle w:val="46"/>
        <w:keepNext w:val="0"/>
        <w:keepLines w:val="0"/>
        <w:pageBreakBefore w:val="0"/>
        <w:widowControl/>
        <w:kinsoku/>
        <w:wordWrap/>
        <w:overflowPunct/>
        <w:topLinePunct w:val="0"/>
        <w:autoSpaceDE/>
        <w:autoSpaceDN/>
        <w:bidi w:val="0"/>
        <w:adjustRightInd/>
        <w:snapToGrid/>
        <w:spacing w:line="360" w:lineRule="auto"/>
        <w:textAlignment w:val="auto"/>
        <w:outlineLvl w:val="2"/>
        <w:rPr>
          <w:rFonts w:hint="eastAsia" w:ascii="宋体" w:hAnsi="宋体" w:eastAsia="宋体" w:cs="宋体"/>
          <w:color w:val="auto"/>
          <w:highlight w:val="none"/>
        </w:rPr>
      </w:pPr>
      <w:r>
        <w:rPr>
          <w:rFonts w:hint="eastAsia" w:ascii="宋体" w:hAnsi="宋体" w:eastAsia="宋体" w:cs="宋体"/>
          <w:color w:val="auto"/>
          <w:highlight w:val="none"/>
        </w:rPr>
        <w:t>（四）供应商须具有履行合同所必需的设备和专业技术能力，须附相关证明材料或声明：</w:t>
      </w:r>
      <w:bookmarkEnd w:id="180"/>
      <w:bookmarkEnd w:id="181"/>
    </w:p>
    <w:p w14:paraId="4087F8B9">
      <w:pPr>
        <w:pStyle w:val="54"/>
        <w:autoSpaceDE w:val="0"/>
        <w:autoSpaceDN w:val="0"/>
        <w:adjustRightInd w:val="0"/>
        <w:spacing w:line="440" w:lineRule="exact"/>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格式：</w:t>
      </w:r>
    </w:p>
    <w:p w14:paraId="463167DF">
      <w:pPr>
        <w:pStyle w:val="54"/>
        <w:autoSpaceDE w:val="0"/>
        <w:autoSpaceDN w:val="0"/>
        <w:adjustRightInd w:val="0"/>
        <w:spacing w:line="440" w:lineRule="exact"/>
        <w:ind w:firstLine="120" w:firstLineChars="5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本供应商郑重声明：</w:t>
      </w:r>
    </w:p>
    <w:p w14:paraId="05428634">
      <w:pPr>
        <w:pStyle w:val="54"/>
        <w:autoSpaceDE w:val="0"/>
        <w:autoSpaceDN w:val="0"/>
        <w:adjustRightInd w:val="0"/>
        <w:spacing w:line="440" w:lineRule="exact"/>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本公司（或单位）具备本项目履行合同所必需的设备和专业技术能力，特此承诺。 </w:t>
      </w:r>
    </w:p>
    <w:p w14:paraId="1FE0F18F">
      <w:pPr>
        <w:pStyle w:val="53"/>
        <w:adjustRightInd w:val="0"/>
        <w:snapToGrid w:val="0"/>
        <w:spacing w:line="500" w:lineRule="exact"/>
        <w:rPr>
          <w:rFonts w:hint="eastAsia" w:ascii="宋体" w:hAnsi="宋体" w:eastAsia="宋体" w:cs="宋体"/>
          <w:color w:val="auto"/>
          <w:sz w:val="24"/>
          <w:szCs w:val="24"/>
          <w:highlight w:val="none"/>
        </w:rPr>
      </w:pPr>
    </w:p>
    <w:p w14:paraId="5BB63F23">
      <w:pPr>
        <w:pStyle w:val="53"/>
        <w:adjustRightInd w:val="0"/>
        <w:snapToGrid w:val="0"/>
        <w:spacing w:line="500" w:lineRule="exact"/>
        <w:rPr>
          <w:rFonts w:hint="eastAsia" w:ascii="宋体" w:hAnsi="宋体" w:eastAsia="宋体" w:cs="宋体"/>
          <w:color w:val="auto"/>
          <w:sz w:val="24"/>
          <w:szCs w:val="24"/>
          <w:highlight w:val="none"/>
        </w:rPr>
      </w:pPr>
    </w:p>
    <w:p w14:paraId="1B9564A8">
      <w:pPr>
        <w:pStyle w:val="53"/>
        <w:adjustRightInd w:val="0"/>
        <w:snapToGrid w:val="0"/>
        <w:spacing w:line="500" w:lineRule="exact"/>
        <w:rPr>
          <w:rFonts w:hint="eastAsia" w:ascii="宋体" w:hAnsi="宋体" w:eastAsia="宋体" w:cs="宋体"/>
          <w:color w:val="auto"/>
          <w:sz w:val="24"/>
          <w:szCs w:val="24"/>
          <w:highlight w:val="none"/>
        </w:rPr>
      </w:pPr>
    </w:p>
    <w:p w14:paraId="523BA6DC">
      <w:pPr>
        <w:pStyle w:val="53"/>
        <w:adjustRightInd w:val="0"/>
        <w:snapToGrid w:val="0"/>
        <w:spacing w:line="500" w:lineRule="exact"/>
        <w:rPr>
          <w:rFonts w:hint="eastAsia" w:ascii="宋体" w:hAnsi="宋体" w:eastAsia="宋体" w:cs="宋体"/>
          <w:color w:val="auto"/>
          <w:sz w:val="24"/>
          <w:szCs w:val="24"/>
          <w:highlight w:val="none"/>
        </w:rPr>
      </w:pPr>
    </w:p>
    <w:p w14:paraId="005950B1">
      <w:pPr>
        <w:pStyle w:val="53"/>
        <w:adjustRightInd w:val="0"/>
        <w:snapToGrid w:val="0"/>
        <w:spacing w:line="500" w:lineRule="exact"/>
        <w:rPr>
          <w:rFonts w:hint="eastAsia" w:ascii="宋体" w:hAnsi="宋体" w:eastAsia="宋体" w:cs="宋体"/>
          <w:color w:val="auto"/>
          <w:sz w:val="24"/>
          <w:szCs w:val="24"/>
          <w:highlight w:val="none"/>
        </w:rPr>
      </w:pPr>
    </w:p>
    <w:p w14:paraId="775F7154">
      <w:pPr>
        <w:pStyle w:val="53"/>
        <w:adjustRightInd w:val="0"/>
        <w:snapToGrid w:val="0"/>
        <w:spacing w:line="5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法定代表人（单位负责人）或其委托代理人（签字或电子签章）：</w:t>
      </w:r>
      <w:r>
        <w:rPr>
          <w:rFonts w:hint="eastAsia" w:ascii="宋体" w:hAnsi="宋体" w:eastAsia="宋体" w:cs="宋体"/>
          <w:color w:val="auto"/>
          <w:sz w:val="24"/>
          <w:szCs w:val="24"/>
          <w:highlight w:val="none"/>
          <w:u w:val="single"/>
        </w:rPr>
        <w:t xml:space="preserve">                  </w:t>
      </w:r>
    </w:p>
    <w:p w14:paraId="4860436E">
      <w:pPr>
        <w:pStyle w:val="53"/>
        <w:adjustRightInd w:val="0"/>
        <w:snapToGrid w:val="0"/>
        <w:spacing w:line="500" w:lineRule="exac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供应商名称（签章）：</w:t>
      </w:r>
      <w:r>
        <w:rPr>
          <w:rFonts w:hint="eastAsia" w:ascii="宋体" w:hAnsi="宋体" w:eastAsia="宋体" w:cs="宋体"/>
          <w:color w:val="auto"/>
          <w:sz w:val="24"/>
          <w:szCs w:val="24"/>
          <w:highlight w:val="none"/>
          <w:u w:val="single"/>
        </w:rPr>
        <w:t xml:space="preserve">                       </w:t>
      </w:r>
    </w:p>
    <w:p w14:paraId="0BF1FDFD">
      <w:pPr>
        <w:pStyle w:val="53"/>
        <w:spacing w:line="500" w:lineRule="exact"/>
        <w:rPr>
          <w:rFonts w:hint="eastAsia" w:ascii="宋体" w:hAnsi="宋体" w:eastAsia="宋体" w:cs="宋体"/>
          <w:color w:val="auto"/>
          <w:highlight w:val="none"/>
        </w:rPr>
      </w:pP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日</w:t>
      </w:r>
    </w:p>
    <w:p w14:paraId="3C5042B0">
      <w:pPr>
        <w:pStyle w:val="54"/>
        <w:adjustRightInd w:val="0"/>
        <w:snapToGrid w:val="0"/>
        <w:spacing w:line="360" w:lineRule="auto"/>
        <w:jc w:val="left"/>
        <w:rPr>
          <w:rFonts w:hint="eastAsia" w:ascii="宋体" w:hAnsi="宋体" w:eastAsia="宋体" w:cs="宋体"/>
          <w:b/>
          <w:color w:val="auto"/>
          <w:sz w:val="24"/>
          <w:szCs w:val="24"/>
          <w:highlight w:val="none"/>
        </w:rPr>
      </w:pPr>
    </w:p>
    <w:p w14:paraId="6E14EA75">
      <w:pPr>
        <w:pStyle w:val="46"/>
        <w:outlineLvl w:val="2"/>
        <w:rPr>
          <w:rFonts w:hint="eastAsia" w:ascii="宋体" w:hAnsi="宋体" w:eastAsia="宋体" w:cs="宋体"/>
          <w:color w:val="auto"/>
          <w:highlight w:val="none"/>
        </w:rPr>
        <w:sectPr>
          <w:pgSz w:w="11906" w:h="16838"/>
          <w:pgMar w:top="1440" w:right="1797" w:bottom="1440" w:left="1797" w:header="851" w:footer="992" w:gutter="0"/>
          <w:pgNumType w:fmt="decimal"/>
          <w:cols w:space="720" w:num="1"/>
        </w:sectPr>
      </w:pPr>
    </w:p>
    <w:p w14:paraId="1DFCD64A">
      <w:pPr>
        <w:pStyle w:val="46"/>
        <w:outlineLvl w:val="2"/>
        <w:rPr>
          <w:rFonts w:hint="eastAsia" w:ascii="宋体" w:hAnsi="宋体" w:eastAsia="宋体" w:cs="宋体"/>
          <w:color w:val="auto"/>
          <w:highlight w:val="none"/>
        </w:rPr>
      </w:pPr>
      <w:bookmarkStart w:id="182" w:name="_Toc16347"/>
      <w:bookmarkStart w:id="183" w:name="_Toc21544"/>
      <w:r>
        <w:rPr>
          <w:rFonts w:hint="eastAsia" w:ascii="宋体" w:hAnsi="宋体" w:eastAsia="宋体" w:cs="宋体"/>
          <w:color w:val="auto"/>
          <w:highlight w:val="none"/>
        </w:rPr>
        <w:t>（五）参加政府采购活动前三年内，在经营活动中没有重大违法记录的书面声明：</w:t>
      </w:r>
      <w:bookmarkEnd w:id="182"/>
      <w:bookmarkEnd w:id="183"/>
    </w:p>
    <w:p w14:paraId="1BE2C5A4">
      <w:pPr>
        <w:pStyle w:val="54"/>
        <w:adjustRightInd w:val="0"/>
        <w:snapToGrid w:val="0"/>
        <w:spacing w:line="360" w:lineRule="auto"/>
        <w:rPr>
          <w:rFonts w:hint="eastAsia" w:ascii="宋体" w:hAnsi="宋体" w:eastAsia="宋体" w:cs="宋体"/>
          <w:color w:val="auto"/>
          <w:sz w:val="24"/>
          <w:szCs w:val="24"/>
          <w:highlight w:val="none"/>
        </w:rPr>
      </w:pPr>
    </w:p>
    <w:p w14:paraId="73A0678C">
      <w:pPr>
        <w:pStyle w:val="54"/>
        <w:adjustRightInd w:val="0"/>
        <w:snapToGrid w:val="0"/>
        <w:spacing w:line="360" w:lineRule="auto"/>
        <w:rPr>
          <w:rFonts w:hint="eastAsia" w:ascii="宋体" w:hAnsi="宋体" w:eastAsia="宋体" w:cs="宋体"/>
          <w:color w:val="auto"/>
          <w:sz w:val="24"/>
          <w:szCs w:val="24"/>
          <w:highlight w:val="none"/>
        </w:rPr>
      </w:pPr>
    </w:p>
    <w:p w14:paraId="7B2F7D13">
      <w:pPr>
        <w:pStyle w:val="54"/>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格式：</w:t>
      </w:r>
    </w:p>
    <w:p w14:paraId="59C0002C">
      <w:pPr>
        <w:pStyle w:val="55"/>
        <w:adjustRightInd w:val="0"/>
        <w:snapToGrid w:val="0"/>
        <w:spacing w:line="360" w:lineRule="auto"/>
        <w:ind w:firstLine="480" w:firstLineChars="20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无重大违法记录声明书</w:t>
      </w:r>
    </w:p>
    <w:p w14:paraId="746D4169">
      <w:pPr>
        <w:pStyle w:val="54"/>
        <w:adjustRightInd w:val="0"/>
        <w:snapToGrid w:val="0"/>
        <w:spacing w:line="360" w:lineRule="auto"/>
        <w:rPr>
          <w:rFonts w:hint="eastAsia" w:ascii="宋体" w:hAnsi="宋体" w:eastAsia="宋体" w:cs="宋体"/>
          <w:color w:val="auto"/>
          <w:sz w:val="24"/>
          <w:szCs w:val="24"/>
          <w:highlight w:val="none"/>
        </w:rPr>
      </w:pPr>
    </w:p>
    <w:p w14:paraId="75B45E4B">
      <w:pPr>
        <w:pStyle w:val="54"/>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rPr>
        <w:t xml:space="preserve">（采购人）         </w:t>
      </w:r>
      <w:r>
        <w:rPr>
          <w:rFonts w:hint="eastAsia" w:ascii="宋体" w:hAnsi="宋体" w:eastAsia="宋体" w:cs="宋体"/>
          <w:color w:val="auto"/>
          <w:sz w:val="24"/>
          <w:szCs w:val="24"/>
          <w:highlight w:val="none"/>
        </w:rPr>
        <w:t>：</w:t>
      </w:r>
    </w:p>
    <w:p w14:paraId="59F16A41">
      <w:pPr>
        <w:pStyle w:val="54"/>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我公司参与</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项目名称、编号）投标，本公司郑重声明，我方参加本项目政府采购活动前三年内无重大违法记录，符合《政府采购法》规定的供应商条件。若贵方在本项目采购过程中发现我方政府采购活动前三年内有重大违法记录，我公司将无条件退出本项目的投标，并承担因此引起的一切后果。我方对此声明负全部法律责任。</w:t>
      </w:r>
    </w:p>
    <w:p w14:paraId="4871494E">
      <w:pPr>
        <w:pStyle w:val="54"/>
        <w:adjustRightInd w:val="0"/>
        <w:snapToGrid w:val="0"/>
        <w:spacing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特此声明</w:t>
      </w:r>
      <w:r>
        <w:rPr>
          <w:rFonts w:hint="eastAsia" w:ascii="宋体" w:hAnsi="宋体" w:cs="宋体"/>
          <w:color w:val="auto"/>
          <w:sz w:val="24"/>
          <w:szCs w:val="24"/>
          <w:highlight w:val="none"/>
          <w:lang w:eastAsia="zh-CN"/>
        </w:rPr>
        <w:t>！</w:t>
      </w:r>
    </w:p>
    <w:p w14:paraId="7185BD96">
      <w:pPr>
        <w:pStyle w:val="53"/>
        <w:adjustRightInd w:val="0"/>
        <w:snapToGrid w:val="0"/>
        <w:spacing w:line="5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法定代表人（单位负责人）或其委托代理人（签字或电子签章）：</w:t>
      </w:r>
      <w:r>
        <w:rPr>
          <w:rFonts w:hint="eastAsia" w:ascii="宋体" w:hAnsi="宋体" w:eastAsia="宋体" w:cs="宋体"/>
          <w:color w:val="auto"/>
          <w:sz w:val="24"/>
          <w:szCs w:val="24"/>
          <w:highlight w:val="none"/>
          <w:u w:val="single"/>
        </w:rPr>
        <w:t xml:space="preserve">                  </w:t>
      </w:r>
    </w:p>
    <w:p w14:paraId="0FC1F900">
      <w:pPr>
        <w:pStyle w:val="53"/>
        <w:adjustRightInd w:val="0"/>
        <w:snapToGrid w:val="0"/>
        <w:spacing w:line="500" w:lineRule="exac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供应商名称（签章）：</w:t>
      </w:r>
      <w:r>
        <w:rPr>
          <w:rFonts w:hint="eastAsia" w:ascii="宋体" w:hAnsi="宋体" w:eastAsia="宋体" w:cs="宋体"/>
          <w:color w:val="auto"/>
          <w:sz w:val="24"/>
          <w:szCs w:val="24"/>
          <w:highlight w:val="none"/>
          <w:u w:val="single"/>
        </w:rPr>
        <w:t xml:space="preserve">                       </w:t>
      </w:r>
    </w:p>
    <w:p w14:paraId="10332EB8">
      <w:pPr>
        <w:pStyle w:val="53"/>
        <w:spacing w:line="500" w:lineRule="exact"/>
        <w:rPr>
          <w:rFonts w:hint="eastAsia" w:ascii="宋体" w:hAnsi="宋体" w:eastAsia="宋体" w:cs="宋体"/>
          <w:color w:val="auto"/>
          <w:highlight w:val="none"/>
        </w:rPr>
      </w:pP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日</w:t>
      </w:r>
    </w:p>
    <w:p w14:paraId="17B78531">
      <w:pPr>
        <w:pStyle w:val="54"/>
        <w:adjustRightInd w:val="0"/>
        <w:snapToGrid w:val="0"/>
        <w:spacing w:line="360" w:lineRule="auto"/>
        <w:jc w:val="left"/>
        <w:rPr>
          <w:rFonts w:hint="eastAsia" w:ascii="宋体" w:hAnsi="宋体" w:eastAsia="宋体" w:cs="宋体"/>
          <w:color w:val="auto"/>
          <w:sz w:val="24"/>
          <w:szCs w:val="24"/>
          <w:highlight w:val="none"/>
        </w:rPr>
      </w:pPr>
    </w:p>
    <w:p w14:paraId="645DEFC2">
      <w:pPr>
        <w:pStyle w:val="54"/>
        <w:adjustRightInd w:val="0"/>
        <w:snapToGrid w:val="0"/>
        <w:spacing w:line="360" w:lineRule="auto"/>
        <w:jc w:val="left"/>
        <w:rPr>
          <w:rFonts w:hint="eastAsia" w:ascii="宋体" w:hAnsi="宋体" w:eastAsia="宋体" w:cs="宋体"/>
          <w:b/>
          <w:color w:val="auto"/>
          <w:kern w:val="0"/>
          <w:sz w:val="32"/>
          <w:szCs w:val="24"/>
          <w:highlight w:val="none"/>
        </w:rPr>
        <w:sectPr>
          <w:pgSz w:w="11906" w:h="16838"/>
          <w:pgMar w:top="1440" w:right="1797" w:bottom="1440" w:left="1797" w:header="851" w:footer="992" w:gutter="0"/>
          <w:pgNumType w:fmt="decimal"/>
          <w:cols w:space="720" w:num="1"/>
        </w:sectPr>
      </w:pPr>
    </w:p>
    <w:p w14:paraId="0EE4506F">
      <w:pPr>
        <w:pStyle w:val="46"/>
        <w:outlineLvl w:val="2"/>
        <w:rPr>
          <w:rFonts w:hint="eastAsia" w:ascii="宋体" w:hAnsi="宋体" w:eastAsia="宋体" w:cs="宋体"/>
          <w:color w:val="auto"/>
          <w:highlight w:val="none"/>
        </w:rPr>
      </w:pPr>
      <w:bookmarkStart w:id="184" w:name="_Toc32053"/>
      <w:bookmarkStart w:id="185" w:name="_Toc31574"/>
      <w:r>
        <w:rPr>
          <w:rFonts w:hint="eastAsia" w:ascii="宋体" w:hAnsi="宋体" w:eastAsia="宋体" w:cs="宋体"/>
          <w:color w:val="auto"/>
          <w:highlight w:val="none"/>
        </w:rPr>
        <w:t>（六）供应商未列入失信被执行人、重大税收违法案件当事人名单、政府采购严重违法失信行为记录名单</w:t>
      </w:r>
      <w:bookmarkEnd w:id="184"/>
      <w:bookmarkEnd w:id="185"/>
    </w:p>
    <w:p w14:paraId="0DAA6E47">
      <w:pPr>
        <w:pStyle w:val="48"/>
        <w:spacing w:line="360" w:lineRule="auto"/>
        <w:ind w:firstLine="504" w:firstLineChars="200"/>
        <w:jc w:val="left"/>
        <w:rPr>
          <w:rFonts w:hint="eastAsia" w:ascii="宋体" w:hAnsi="宋体" w:eastAsia="宋体" w:cs="宋体"/>
          <w:color w:val="auto"/>
          <w:spacing w:val="6"/>
          <w:kern w:val="0"/>
          <w:sz w:val="24"/>
          <w:szCs w:val="24"/>
          <w:highlight w:val="none"/>
        </w:rPr>
      </w:pPr>
      <w:r>
        <w:rPr>
          <w:rFonts w:hint="eastAsia" w:ascii="宋体" w:hAnsi="宋体" w:eastAsia="宋体" w:cs="宋体"/>
          <w:color w:val="auto"/>
          <w:spacing w:val="6"/>
          <w:kern w:val="0"/>
          <w:sz w:val="24"/>
          <w:szCs w:val="24"/>
          <w:highlight w:val="none"/>
        </w:rPr>
        <w:t>“信用中国”网站或“中国政府采购网”查询信息：</w:t>
      </w:r>
    </w:p>
    <w:p w14:paraId="08F85DF7">
      <w:pPr>
        <w:pStyle w:val="48"/>
        <w:spacing w:line="360" w:lineRule="auto"/>
        <w:ind w:firstLine="504" w:firstLineChars="200"/>
        <w:jc w:val="left"/>
        <w:rPr>
          <w:rFonts w:hint="eastAsia" w:ascii="宋体" w:hAnsi="宋体" w:eastAsia="宋体" w:cs="宋体"/>
          <w:color w:val="auto"/>
          <w:spacing w:val="6"/>
          <w:kern w:val="0"/>
          <w:sz w:val="24"/>
          <w:szCs w:val="24"/>
          <w:highlight w:val="none"/>
        </w:rPr>
      </w:pPr>
      <w:r>
        <w:rPr>
          <w:rFonts w:hint="eastAsia" w:ascii="宋体" w:hAnsi="宋体" w:eastAsia="宋体" w:cs="宋体"/>
          <w:color w:val="auto"/>
          <w:spacing w:val="6"/>
          <w:kern w:val="0"/>
          <w:sz w:val="24"/>
          <w:szCs w:val="24"/>
          <w:highlight w:val="none"/>
        </w:rPr>
        <w:t xml:space="preserve">①未被列入失信被执行人； </w:t>
      </w:r>
    </w:p>
    <w:p w14:paraId="02E15EAC">
      <w:pPr>
        <w:pStyle w:val="48"/>
        <w:spacing w:line="360" w:lineRule="auto"/>
        <w:ind w:firstLine="504" w:firstLineChars="200"/>
        <w:jc w:val="left"/>
        <w:rPr>
          <w:rFonts w:hint="eastAsia" w:ascii="宋体" w:hAnsi="宋体" w:eastAsia="宋体" w:cs="宋体"/>
          <w:color w:val="auto"/>
          <w:spacing w:val="6"/>
          <w:kern w:val="0"/>
          <w:sz w:val="24"/>
          <w:szCs w:val="24"/>
          <w:highlight w:val="none"/>
        </w:rPr>
      </w:pPr>
      <w:r>
        <w:rPr>
          <w:rFonts w:hint="eastAsia" w:ascii="宋体" w:hAnsi="宋体" w:eastAsia="宋体" w:cs="宋体"/>
          <w:color w:val="auto"/>
          <w:spacing w:val="6"/>
          <w:kern w:val="0"/>
          <w:sz w:val="24"/>
          <w:szCs w:val="24"/>
          <w:highlight w:val="none"/>
        </w:rPr>
        <w:t xml:space="preserve">②不是重大税收违法案件当事人名单的供应商； </w:t>
      </w:r>
    </w:p>
    <w:p w14:paraId="1922B595">
      <w:pPr>
        <w:pStyle w:val="48"/>
        <w:spacing w:line="360" w:lineRule="auto"/>
        <w:ind w:firstLine="504" w:firstLineChars="200"/>
        <w:jc w:val="left"/>
        <w:rPr>
          <w:rFonts w:hint="eastAsia" w:ascii="宋体" w:hAnsi="宋体" w:eastAsia="宋体" w:cs="宋体"/>
          <w:color w:val="auto"/>
          <w:spacing w:val="6"/>
          <w:kern w:val="0"/>
          <w:sz w:val="24"/>
          <w:szCs w:val="24"/>
          <w:highlight w:val="none"/>
        </w:rPr>
        <w:sectPr>
          <w:pgSz w:w="11906" w:h="16838"/>
          <w:pgMar w:top="1440" w:right="1800" w:bottom="1440" w:left="1800" w:header="851" w:footer="992" w:gutter="0"/>
          <w:pgNumType w:fmt="decimal"/>
          <w:cols w:space="720" w:num="1"/>
        </w:sectPr>
      </w:pPr>
      <w:r>
        <w:rPr>
          <w:rFonts w:hint="eastAsia" w:ascii="宋体" w:hAnsi="宋体" w:eastAsia="宋体" w:cs="宋体"/>
          <w:color w:val="auto"/>
          <w:spacing w:val="6"/>
          <w:kern w:val="0"/>
          <w:sz w:val="24"/>
          <w:szCs w:val="24"/>
          <w:highlight w:val="none"/>
        </w:rPr>
        <w:t>③未被列入政府采购严重违法失信行为记录名单。</w:t>
      </w:r>
    </w:p>
    <w:p w14:paraId="056E9E16">
      <w:pPr>
        <w:pStyle w:val="46"/>
        <w:outlineLvl w:val="2"/>
        <w:rPr>
          <w:rFonts w:hint="eastAsia" w:ascii="宋体" w:hAnsi="宋体" w:eastAsia="宋体" w:cs="宋体"/>
          <w:color w:val="auto"/>
          <w:highlight w:val="none"/>
          <w:lang w:eastAsia="zh-CN"/>
        </w:rPr>
      </w:pPr>
      <w:bookmarkStart w:id="186" w:name="_Toc215"/>
      <w:bookmarkStart w:id="187" w:name="_Toc10667"/>
      <w:r>
        <w:rPr>
          <w:rFonts w:hint="eastAsia" w:ascii="宋体" w:hAnsi="宋体" w:eastAsia="宋体" w:cs="宋体"/>
          <w:color w:val="auto"/>
          <w:highlight w:val="none"/>
        </w:rPr>
        <w:t>（七）联合投标协议书</w:t>
      </w:r>
      <w:bookmarkEnd w:id="186"/>
      <w:bookmarkEnd w:id="187"/>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不适用</w:t>
      </w:r>
      <w:r>
        <w:rPr>
          <w:rFonts w:hint="eastAsia" w:ascii="宋体" w:hAnsi="宋体" w:eastAsia="宋体" w:cs="宋体"/>
          <w:color w:val="auto"/>
          <w:highlight w:val="none"/>
          <w:lang w:eastAsia="zh-CN"/>
        </w:rPr>
        <w:t>）</w:t>
      </w:r>
    </w:p>
    <w:p w14:paraId="6FC4235F">
      <w:pPr>
        <w:pStyle w:val="48"/>
        <w:spacing w:line="360" w:lineRule="auto"/>
        <w:ind w:firstLine="482" w:firstLineChars="200"/>
        <w:jc w:val="center"/>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联合投标协议书</w:t>
      </w:r>
    </w:p>
    <w:p w14:paraId="4E9C415B">
      <w:pPr>
        <w:pStyle w:val="56"/>
        <w:spacing w:line="360" w:lineRule="auto"/>
        <w:ind w:firstLine="36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（所有成员单位名称）自愿组成</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（联合体名称）联合体，共同参加</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（项目名称）</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标段投标。现就联合体投标事宜订立如下协议。</w:t>
      </w:r>
    </w:p>
    <w:p w14:paraId="3A72AD9E">
      <w:pPr>
        <w:pStyle w:val="56"/>
        <w:spacing w:line="360" w:lineRule="auto"/>
        <w:ind w:firstLine="56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（某成员单位名称）为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（联合体名称）牵头人。</w:t>
      </w:r>
    </w:p>
    <w:p w14:paraId="129B12E5">
      <w:pPr>
        <w:pStyle w:val="56"/>
        <w:spacing w:line="360" w:lineRule="auto"/>
        <w:ind w:firstLine="56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2.联合体各成员授权牵头人代表联合体参加投标活动，签署文件，提交和接收相关的资料、信息及指示，进行合同谈判活动，负责合同实施阶段的组织和协调工作，以及处理与本招标项目有关的一切事宜。</w:t>
      </w:r>
    </w:p>
    <w:p w14:paraId="02B23AA1">
      <w:pPr>
        <w:pStyle w:val="56"/>
        <w:spacing w:line="360" w:lineRule="auto"/>
        <w:ind w:firstLine="56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3.联合体牵头人在本项目中签署的一切文件和处理的一切事宜，联合体各成员均予以承认。联合体各成员将严格按照磋商文件、响应文件和合同的要求全面履行义务，并向</w:t>
      </w:r>
      <w:r>
        <w:rPr>
          <w:rFonts w:hint="eastAsia" w:ascii="宋体" w:hAnsi="宋体" w:eastAsia="宋体" w:cs="宋体"/>
          <w:color w:val="auto"/>
          <w:sz w:val="24"/>
          <w:szCs w:val="24"/>
          <w:highlight w:val="none"/>
          <w:lang w:eastAsia="zh-CN"/>
        </w:rPr>
        <w:t>采购人</w:t>
      </w:r>
      <w:r>
        <w:rPr>
          <w:rFonts w:hint="eastAsia" w:ascii="宋体" w:hAnsi="宋体" w:eastAsia="宋体" w:cs="宋体"/>
          <w:color w:val="auto"/>
          <w:sz w:val="24"/>
          <w:szCs w:val="24"/>
          <w:highlight w:val="none"/>
        </w:rPr>
        <w:t>承担连带责任。</w:t>
      </w:r>
    </w:p>
    <w:p w14:paraId="17BB52F0">
      <w:pPr>
        <w:pStyle w:val="56"/>
        <w:topLinePunct/>
        <w:spacing w:line="360" w:lineRule="auto"/>
        <w:ind w:left="141" w:leftChars="67" w:firstLine="424" w:firstLineChars="17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4.联合体各成员单位内部的职责分工如下：</w:t>
      </w:r>
      <w:r>
        <w:rPr>
          <w:rFonts w:hint="eastAsia" w:ascii="宋体" w:hAnsi="宋体" w:eastAsia="宋体" w:cs="宋体"/>
          <w:color w:val="auto"/>
          <w:sz w:val="24"/>
          <w:szCs w:val="24"/>
          <w:highlight w:val="none"/>
          <w:u w:val="single"/>
        </w:rPr>
        <w:t>（牵头人名称）</w:t>
      </w:r>
      <w:r>
        <w:rPr>
          <w:rFonts w:hint="eastAsia" w:ascii="宋体" w:hAnsi="宋体" w:eastAsia="宋体" w:cs="宋体"/>
          <w:color w:val="auto"/>
          <w:sz w:val="24"/>
          <w:szCs w:val="24"/>
          <w:highlight w:val="none"/>
        </w:rPr>
        <w:t>承担</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专业工程；</w:t>
      </w:r>
      <w:r>
        <w:rPr>
          <w:rFonts w:hint="eastAsia" w:ascii="宋体" w:hAnsi="宋体" w:eastAsia="宋体" w:cs="宋体"/>
          <w:color w:val="auto"/>
          <w:sz w:val="24"/>
          <w:szCs w:val="24"/>
          <w:highlight w:val="none"/>
          <w:u w:val="single"/>
        </w:rPr>
        <w:t>（成员一名称）</w:t>
      </w:r>
      <w:r>
        <w:rPr>
          <w:rFonts w:hint="eastAsia" w:ascii="宋体" w:hAnsi="宋体" w:eastAsia="宋体" w:cs="宋体"/>
          <w:color w:val="auto"/>
          <w:sz w:val="24"/>
          <w:szCs w:val="24"/>
          <w:highlight w:val="none"/>
        </w:rPr>
        <w:t>承担</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专业工程；……。</w:t>
      </w:r>
    </w:p>
    <w:p w14:paraId="2850ECBF">
      <w:pPr>
        <w:pStyle w:val="56"/>
        <w:topLinePunct/>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5.投标工作和联合体在中标后项目服务过程中的有关费用按各自承担的工作量分摊。</w:t>
      </w:r>
    </w:p>
    <w:p w14:paraId="1083218D">
      <w:pPr>
        <w:pStyle w:val="56"/>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6.本协议书自所有成员单位法定代表人签字并加盖单位章之日起生效，合同履行完毕后自动失效。</w:t>
      </w:r>
    </w:p>
    <w:p w14:paraId="4040EE6A">
      <w:pPr>
        <w:pStyle w:val="56"/>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7.本协议书一式</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份，联合体成员和</w:t>
      </w:r>
      <w:r>
        <w:rPr>
          <w:rFonts w:hint="eastAsia" w:ascii="宋体" w:hAnsi="宋体" w:eastAsia="宋体" w:cs="宋体"/>
          <w:color w:val="auto"/>
          <w:sz w:val="24"/>
          <w:szCs w:val="24"/>
          <w:highlight w:val="none"/>
          <w:lang w:eastAsia="zh-CN"/>
        </w:rPr>
        <w:t>采购人</w:t>
      </w:r>
      <w:r>
        <w:rPr>
          <w:rFonts w:hint="eastAsia" w:ascii="宋体" w:hAnsi="宋体" w:eastAsia="宋体" w:cs="宋体"/>
          <w:color w:val="auto"/>
          <w:sz w:val="24"/>
          <w:szCs w:val="24"/>
          <w:highlight w:val="none"/>
        </w:rPr>
        <w:t>各执一份。</w:t>
      </w:r>
    </w:p>
    <w:p w14:paraId="2DF6B121">
      <w:pPr>
        <w:pStyle w:val="56"/>
        <w:spacing w:line="360" w:lineRule="auto"/>
        <w:ind w:firstLine="480" w:firstLineChars="200"/>
        <w:rPr>
          <w:rFonts w:hint="eastAsia" w:ascii="宋体" w:hAnsi="宋体" w:eastAsia="宋体" w:cs="宋体"/>
          <w:color w:val="auto"/>
          <w:sz w:val="24"/>
          <w:szCs w:val="24"/>
          <w:highlight w:val="none"/>
        </w:rPr>
      </w:pPr>
    </w:p>
    <w:p w14:paraId="5A43748D">
      <w:pPr>
        <w:pStyle w:val="56"/>
        <w:topLinePunct/>
        <w:spacing w:line="360" w:lineRule="auto"/>
        <w:ind w:firstLine="470" w:firstLineChars="19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联合体牵头人名称：</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（盖单位章）</w:t>
      </w:r>
    </w:p>
    <w:p w14:paraId="1DDB3B3C">
      <w:pPr>
        <w:pStyle w:val="56"/>
        <w:topLinePunct/>
        <w:spacing w:line="360" w:lineRule="auto"/>
        <w:ind w:firstLine="470" w:firstLineChars="19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（签字）</w:t>
      </w:r>
    </w:p>
    <w:p w14:paraId="6BE8B2DF">
      <w:pPr>
        <w:pStyle w:val="56"/>
        <w:topLinePunct/>
        <w:spacing w:line="360" w:lineRule="auto"/>
        <w:ind w:firstLine="470" w:firstLineChars="196"/>
        <w:rPr>
          <w:rFonts w:hint="eastAsia" w:ascii="宋体" w:hAnsi="宋体" w:eastAsia="宋体" w:cs="宋体"/>
          <w:color w:val="auto"/>
          <w:sz w:val="24"/>
          <w:szCs w:val="24"/>
          <w:highlight w:val="none"/>
        </w:rPr>
      </w:pPr>
    </w:p>
    <w:p w14:paraId="70704198">
      <w:pPr>
        <w:pStyle w:val="56"/>
        <w:topLinePunct/>
        <w:spacing w:line="360" w:lineRule="auto"/>
        <w:ind w:firstLine="470" w:firstLineChars="19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联合体成员名称：</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（盖单位章）</w:t>
      </w:r>
    </w:p>
    <w:p w14:paraId="6C98E899">
      <w:pPr>
        <w:pStyle w:val="56"/>
        <w:topLinePunct/>
        <w:spacing w:line="360" w:lineRule="auto"/>
        <w:ind w:firstLine="470" w:firstLineChars="19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（签字）</w:t>
      </w:r>
    </w:p>
    <w:p w14:paraId="53051BFF">
      <w:pPr>
        <w:pStyle w:val="56"/>
        <w:topLinePunct/>
        <w:spacing w:line="360" w:lineRule="auto"/>
        <w:ind w:firstLine="470" w:firstLineChars="19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p w14:paraId="4ADAF082">
      <w:pPr>
        <w:pStyle w:val="56"/>
        <w:topLinePunct/>
        <w:spacing w:line="360" w:lineRule="auto"/>
        <w:ind w:firstLine="470" w:firstLineChars="19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联合体成员名称：</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（盖单位章）</w:t>
      </w:r>
    </w:p>
    <w:p w14:paraId="36DDA1FF">
      <w:pPr>
        <w:pStyle w:val="56"/>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（签字）</w:t>
      </w:r>
    </w:p>
    <w:p w14:paraId="4CDFB8E6">
      <w:pPr>
        <w:pStyle w:val="56"/>
        <w:spacing w:line="360" w:lineRule="auto"/>
        <w:ind w:firstLine="480" w:firstLineChars="200"/>
        <w:rPr>
          <w:rFonts w:hint="eastAsia" w:ascii="宋体" w:hAnsi="宋体" w:eastAsia="宋体" w:cs="宋体"/>
          <w:color w:val="auto"/>
          <w:sz w:val="24"/>
          <w:szCs w:val="24"/>
          <w:highlight w:val="none"/>
        </w:rPr>
      </w:pPr>
    </w:p>
    <w:p w14:paraId="78C4A196">
      <w:pPr>
        <w:pStyle w:val="57"/>
        <w:spacing w:line="360" w:lineRule="auto"/>
        <w:ind w:firstLine="709"/>
        <w:jc w:val="right"/>
        <w:rPr>
          <w:rFonts w:hint="eastAsia" w:ascii="宋体" w:hAnsi="宋体" w:eastAsia="宋体" w:cs="宋体"/>
          <w:color w:val="auto"/>
          <w:highlight w:val="none"/>
        </w:rPr>
      </w:pP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年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日</w:t>
      </w:r>
    </w:p>
    <w:p w14:paraId="79F6109E">
      <w:pPr>
        <w:pStyle w:val="46"/>
        <w:outlineLvl w:val="2"/>
        <w:rPr>
          <w:rFonts w:hint="eastAsia" w:ascii="宋体" w:hAnsi="宋体" w:eastAsia="宋体" w:cs="宋体"/>
          <w:color w:val="auto"/>
          <w:highlight w:val="none"/>
        </w:rPr>
      </w:pPr>
      <w:bookmarkStart w:id="188" w:name="_Toc28173"/>
      <w:bookmarkStart w:id="189" w:name="_Toc19714"/>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八</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磋商保证金</w:t>
      </w:r>
      <w:bookmarkEnd w:id="188"/>
      <w:bookmarkEnd w:id="189"/>
    </w:p>
    <w:p w14:paraId="3AFDA333">
      <w:pPr>
        <w:pStyle w:val="59"/>
        <w:spacing w:line="360" w:lineRule="auto"/>
        <w:rPr>
          <w:rFonts w:hint="eastAsia" w:ascii="宋体" w:hAnsi="宋体" w:eastAsia="宋体" w:cs="宋体"/>
          <w:color w:val="auto"/>
          <w:highlight w:val="none"/>
        </w:rPr>
      </w:pPr>
    </w:p>
    <w:p w14:paraId="7C28B190">
      <w:pPr>
        <w:pStyle w:val="59"/>
        <w:spacing w:line="360" w:lineRule="auto"/>
        <w:rPr>
          <w:rFonts w:hint="eastAsia" w:ascii="宋体" w:hAnsi="宋体" w:eastAsia="宋体" w:cs="宋体"/>
          <w:color w:val="auto"/>
          <w:highlight w:val="none"/>
        </w:rPr>
      </w:pPr>
    </w:p>
    <w:p w14:paraId="44BBAFB7">
      <w:pPr>
        <w:pStyle w:val="60"/>
        <w:spacing w:line="360" w:lineRule="auto"/>
        <w:rPr>
          <w:rFonts w:hint="eastAsia" w:ascii="宋体" w:hAnsi="宋体" w:eastAsia="宋体" w:cs="宋体"/>
          <w:color w:val="auto"/>
          <w:highlight w:val="none"/>
        </w:rPr>
      </w:pPr>
      <w:r>
        <w:rPr>
          <w:rFonts w:hint="eastAsia" w:ascii="宋体" w:hAnsi="宋体" w:eastAsia="宋体" w:cs="宋体"/>
          <w:b w:val="0"/>
          <w:color w:val="auto"/>
          <w:spacing w:val="6"/>
          <w:sz w:val="24"/>
          <w:highlight w:val="none"/>
        </w:rPr>
        <w:t>说明：</w:t>
      </w:r>
      <w:r>
        <w:rPr>
          <w:rFonts w:hint="eastAsia" w:ascii="宋体" w:hAnsi="宋体" w:eastAsia="宋体" w:cs="宋体"/>
          <w:b w:val="0"/>
          <w:color w:val="auto"/>
          <w:spacing w:val="6"/>
          <w:sz w:val="24"/>
          <w:highlight w:val="none"/>
          <w:lang w:val="en-US" w:eastAsia="zh-CN"/>
        </w:rPr>
        <w:t>①电汇、转账形式，附投标保证金汇款底单复印件（要求复印件内容清晰，能看清采购代理机构、响应人的名称、账号、金额等）②支票、汇票、本票、保函等非现金形式提供对应的资料（如保函可提供保单）</w:t>
      </w:r>
      <w:r>
        <w:rPr>
          <w:rFonts w:hint="eastAsia" w:ascii="宋体" w:hAnsi="宋体" w:eastAsia="宋体" w:cs="宋体"/>
          <w:color w:val="auto"/>
          <w:highlight w:val="none"/>
        </w:rPr>
        <w:br w:type="page"/>
      </w:r>
    </w:p>
    <w:p w14:paraId="3B1D3FB6">
      <w:pPr>
        <w:pStyle w:val="46"/>
        <w:outlineLvl w:val="2"/>
        <w:rPr>
          <w:rFonts w:hint="eastAsia" w:ascii="宋体" w:hAnsi="宋体" w:eastAsia="宋体" w:cs="宋体"/>
          <w:color w:val="auto"/>
          <w:highlight w:val="none"/>
          <w:lang w:val="en-US" w:eastAsia="zh-CN"/>
        </w:rPr>
      </w:pPr>
      <w:bookmarkStart w:id="190" w:name="_Toc31877"/>
      <w:r>
        <w:rPr>
          <w:rFonts w:hint="eastAsia" w:ascii="宋体" w:hAnsi="宋体" w:eastAsia="宋体" w:cs="宋体"/>
          <w:color w:val="auto"/>
          <w:highlight w:val="none"/>
        </w:rPr>
        <w:t>（九）</w:t>
      </w:r>
      <w:r>
        <w:rPr>
          <w:rFonts w:hint="eastAsia" w:ascii="宋体" w:hAnsi="宋体" w:eastAsia="宋体" w:cs="宋体"/>
          <w:color w:val="auto"/>
          <w:highlight w:val="none"/>
          <w:lang w:val="en-US" w:eastAsia="zh-CN"/>
        </w:rPr>
        <w:t>资质条件：</w:t>
      </w:r>
      <w:bookmarkEnd w:id="190"/>
    </w:p>
    <w:p w14:paraId="3CEC2EB9">
      <w:pP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br w:type="page"/>
      </w:r>
    </w:p>
    <w:p w14:paraId="6E26DAB7">
      <w:pPr>
        <w:pStyle w:val="46"/>
        <w:outlineLvl w:val="9"/>
        <w:rPr>
          <w:rFonts w:hint="eastAsia" w:ascii="宋体" w:hAnsi="宋体" w:eastAsia="宋体" w:cs="宋体"/>
          <w:color w:val="auto"/>
          <w:highlight w:val="none"/>
          <w:lang w:val="en-US" w:eastAsia="zh-CN"/>
        </w:rPr>
      </w:pPr>
    </w:p>
    <w:p w14:paraId="71F3BB56">
      <w:pPr>
        <w:adjustRightInd w:val="0"/>
        <w:snapToGrid w:val="0"/>
        <w:rPr>
          <w:rFonts w:hint="eastAsia" w:ascii="宋体" w:hAnsi="宋体" w:eastAsia="宋体" w:cs="宋体"/>
          <w:b/>
          <w:color w:val="auto"/>
          <w:highlight w:val="none"/>
        </w:rPr>
      </w:pPr>
    </w:p>
    <w:p w14:paraId="4A9A6551">
      <w:pPr>
        <w:pStyle w:val="46"/>
        <w:outlineLvl w:val="2"/>
        <w:rPr>
          <w:rFonts w:hint="eastAsia" w:ascii="宋体" w:hAnsi="宋体" w:eastAsia="宋体" w:cs="宋体"/>
          <w:color w:val="auto"/>
          <w:kern w:val="2"/>
          <w:highlight w:val="none"/>
          <w:lang w:eastAsia="zh-CN"/>
        </w:rPr>
      </w:pPr>
      <w:bookmarkStart w:id="191" w:name="_Toc82686381"/>
      <w:bookmarkStart w:id="192" w:name="_Toc70004534"/>
      <w:r>
        <w:rPr>
          <w:rFonts w:hint="eastAsia" w:ascii="宋体" w:hAnsi="宋体" w:eastAsia="宋体" w:cs="宋体"/>
          <w:color w:val="auto"/>
          <w:kern w:val="2"/>
          <w:highlight w:val="none"/>
          <w:lang w:val="en-US" w:eastAsia="zh-CN"/>
        </w:rPr>
        <w:t>（十）其他声明</w:t>
      </w:r>
      <w:r>
        <w:rPr>
          <w:rFonts w:hint="eastAsia" w:ascii="宋体" w:hAnsi="宋体" w:eastAsia="宋体" w:cs="宋体"/>
          <w:color w:val="auto"/>
          <w:kern w:val="2"/>
          <w:highlight w:val="none"/>
          <w:lang w:eastAsia="zh-CN"/>
        </w:rPr>
        <w:t>及文件材料</w:t>
      </w:r>
    </w:p>
    <w:p w14:paraId="48C1450A">
      <w:pPr>
        <w:numPr>
          <w:ilvl w:val="0"/>
          <w:numId w:val="0"/>
        </w:numPr>
        <w:spacing w:line="360" w:lineRule="auto"/>
        <w:ind w:leftChars="257"/>
        <w:rPr>
          <w:rFonts w:hint="eastAsia" w:ascii="宋体" w:hAnsi="宋体" w:eastAsia="宋体" w:cs="宋体"/>
          <w:color w:val="auto"/>
          <w:highlight w:val="none"/>
        </w:rPr>
      </w:pPr>
      <w:r>
        <w:rPr>
          <w:rFonts w:hint="eastAsia" w:ascii="宋体" w:hAnsi="宋体" w:eastAsia="宋体" w:cs="宋体"/>
          <w:b/>
          <w:bCs/>
          <w:color w:val="auto"/>
          <w:spacing w:val="6"/>
          <w:kern w:val="0"/>
          <w:sz w:val="28"/>
          <w:szCs w:val="28"/>
          <w:highlight w:val="none"/>
        </w:rPr>
        <w:t>政府采购履约担保函（若有，成交后提供）</w:t>
      </w:r>
      <w:bookmarkEnd w:id="191"/>
      <w:bookmarkEnd w:id="192"/>
    </w:p>
    <w:p w14:paraId="73A7CD69">
      <w:pPr>
        <w:spacing w:line="360" w:lineRule="auto"/>
        <w:ind w:firstLine="21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（采购人）：</w:t>
      </w:r>
    </w:p>
    <w:p w14:paraId="13E325E8">
      <w:pPr>
        <w:spacing w:line="360" w:lineRule="auto"/>
        <w:ind w:firstLine="210"/>
        <w:rPr>
          <w:rFonts w:hint="eastAsia" w:ascii="宋体" w:hAnsi="宋体" w:eastAsia="宋体" w:cs="宋体"/>
          <w:color w:val="auto"/>
          <w:sz w:val="24"/>
          <w:szCs w:val="24"/>
          <w:highlight w:val="none"/>
        </w:rPr>
      </w:pPr>
    </w:p>
    <w:p w14:paraId="7EBFD3D5">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鉴于你方与（以下简称供应商）于  年   月   日签定编号为   的《政府采购合同》（以下简称主合同），且依据该合同的约定，供应商应在年</w:t>
      </w:r>
    </w:p>
    <w:p w14:paraId="669536BF">
      <w:pPr>
        <w:spacing w:line="360" w:lineRule="auto"/>
        <w:ind w:firstLine="21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月日前向你方交纳履约保证金，且可以履约担保函的形式交纳履约保证金。应供应商的申请，我方以保证的方式向你方提供如下履约保证金担保：</w:t>
      </w:r>
    </w:p>
    <w:p w14:paraId="016B5ED4">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一、保证责任的情形及保证金额</w:t>
      </w:r>
    </w:p>
    <w:p w14:paraId="0AF55F8E">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（一）在供应商出现下列情形之一时，我方承担保证责任：</w:t>
      </w:r>
    </w:p>
    <w:p w14:paraId="186332FD">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1．将中标项目转让给他人，或者在响应文件中未说明，且未经采购招标机构人同意，将中标项目分包给他人的；</w:t>
      </w:r>
    </w:p>
    <w:p w14:paraId="0B959619">
      <w:pPr>
        <w:spacing w:line="360" w:lineRule="auto"/>
        <w:ind w:firstLine="21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2．主合同约定的应当缴纳履约保证金的情形: </w:t>
      </w:r>
    </w:p>
    <w:p w14:paraId="69492224">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（1）未按主合同约定的质量、数量和期限供应货物/提供服务/完成工程的；</w:t>
      </w:r>
    </w:p>
    <w:p w14:paraId="507A9429">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p w14:paraId="2A8CA61C">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（二）我方的保证范围是主合同约定的合同价款总额的%数额为元（大写），币种为。（即主合同履约保证金金额）</w:t>
      </w:r>
    </w:p>
    <w:p w14:paraId="28ABF9DD">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二、保证的方式及保证期间</w:t>
      </w:r>
    </w:p>
    <w:p w14:paraId="0FEB5D55">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我方保证的方式为：连带责任保证。</w:t>
      </w:r>
    </w:p>
    <w:p w14:paraId="65DB4437">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我方保证的期间为：自本合同生效之日起至供应商按照主合同约定的供货/完工期限届满后日内。</w:t>
      </w:r>
    </w:p>
    <w:p w14:paraId="4B148B57">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如果供应商未按主合同约定向贵方供应货物/提供服务/完成工程的，由我方在保证金额内向你方支付上述款项。</w:t>
      </w:r>
    </w:p>
    <w:p w14:paraId="79BD27B3">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三、承担保证责任的程序</w:t>
      </w:r>
    </w:p>
    <w:p w14:paraId="25A89B21">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1．你方要求我方承担保证责任的，应在本保函保证期间内向我方发出书面索赔通知。索赔通知应写明要求索赔的金额，支付款项应到达的帐号。并附有证明供应商违约事实的证明材料。</w:t>
      </w:r>
    </w:p>
    <w:p w14:paraId="4128F8E4">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如果你方与供应商因货物质量问题产生争议，你方还需同时提供部门出具的质量检测报告，或经诉讼（仲裁）程序裁决后的裁决书、调解书，本保证人即按照检测结果或裁决书、调解书决定是否承担保证责任。</w:t>
      </w:r>
    </w:p>
    <w:p w14:paraId="6A436053">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 我方收到你方的书面索赔通知及相应证明材料，在工作日内进行核定后按照本保函的承诺承担保证责任。</w:t>
      </w:r>
    </w:p>
    <w:p w14:paraId="5DBD9059">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四、保证责任的终止</w:t>
      </w:r>
    </w:p>
    <w:p w14:paraId="4CBD42EF">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1．保证期间届满你方未向我方书面主张保证责任的，自保证期间届满次日起，我方保证责任自动终止。保证期间届满前，主合同约定的货物\工程\服务全部验收合格的，自验收合格日起，我方保证责任自动终止。</w:t>
      </w:r>
    </w:p>
    <w:p w14:paraId="2C9E91D5">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2．我方按照本保函向你方履行了保证责任后，自我方向你方支付款项（支付款项从我方账户划出）之日起，保证责任即终止。</w:t>
      </w:r>
    </w:p>
    <w:p w14:paraId="202444DE">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3．按照法律法规的规定或出现应终止我方保证责任的其它情形的，我方在本保函项下的保证责任亦终止。</w:t>
      </w:r>
    </w:p>
    <w:p w14:paraId="6511B7FC">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你方与供应商修改主合同，加重我方保证责任的，我方对加重部分不承担保证责任，但该等修改事先经我方书面同意的除外；你方与供应商修改主合同履行期限，我方保证期间仍依修改前的履行期限计算，但该等修改事先经我方书面同意的除外。</w:t>
      </w:r>
    </w:p>
    <w:p w14:paraId="4D6AB5F1">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五、免责条款</w:t>
      </w:r>
    </w:p>
    <w:p w14:paraId="408F621C">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1．因你方违反主合同约定致使供应商不能履行义务的，我方不承担保证责任。</w:t>
      </w:r>
    </w:p>
    <w:p w14:paraId="25B474D7">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2．依照法律法规的规定或你方与供应商的另行约定，全部或者部分免除供应商应缴纳的保证金义务的，我方亦免除相应的保证责任。</w:t>
      </w:r>
    </w:p>
    <w:p w14:paraId="01EDF625">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3．因不可抗力造成供应商不能履行供货义务的，我方不承担保证责任。</w:t>
      </w:r>
    </w:p>
    <w:p w14:paraId="32734817">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六、争议的解决</w:t>
      </w:r>
    </w:p>
    <w:p w14:paraId="48AB5A97">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因本保函发生的纠纷，由你我双方协商解决，协商不成的，通过诉讼程序解决，诉讼管辖地法院为法院。</w:t>
      </w:r>
    </w:p>
    <w:p w14:paraId="283F36C2">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七、保函的生效</w:t>
      </w:r>
    </w:p>
    <w:p w14:paraId="0DD72F56">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本保函自我方加盖公章之日起生效。</w:t>
      </w:r>
    </w:p>
    <w:p w14:paraId="62899F8B">
      <w:pPr>
        <w:spacing w:line="360" w:lineRule="auto"/>
        <w:ind w:firstLine="21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保证人：（公章）</w:t>
      </w:r>
    </w:p>
    <w:p w14:paraId="7A3124D7">
      <w:pPr>
        <w:pStyle w:val="61"/>
        <w:rPr>
          <w:rFonts w:hint="eastAsia" w:ascii="宋体" w:hAnsi="宋体" w:eastAsia="宋体" w:cs="宋体"/>
          <w:color w:val="auto"/>
          <w:highlight w:val="none"/>
        </w:rPr>
      </w:pPr>
      <w:r>
        <w:rPr>
          <w:rFonts w:hint="eastAsia" w:ascii="宋体" w:hAnsi="宋体" w:eastAsia="宋体" w:cs="宋体"/>
          <w:color w:val="auto"/>
          <w:sz w:val="24"/>
          <w:highlight w:val="none"/>
        </w:rPr>
        <w:t xml:space="preserve">                                         年     月      日</w:t>
      </w:r>
      <w:r>
        <w:rPr>
          <w:rFonts w:hint="eastAsia" w:ascii="宋体" w:hAnsi="宋体" w:eastAsia="宋体" w:cs="宋体"/>
          <w:color w:val="auto"/>
          <w:sz w:val="24"/>
          <w:highlight w:val="none"/>
        </w:rPr>
        <w:br w:type="page"/>
      </w:r>
      <w:r>
        <w:rPr>
          <w:rFonts w:hint="eastAsia" w:ascii="宋体" w:hAnsi="宋体" w:eastAsia="宋体" w:cs="宋体"/>
          <w:color w:val="auto"/>
          <w:highlight w:val="none"/>
        </w:rPr>
        <w:t>2、不参与围标串标承诺书</w:t>
      </w:r>
    </w:p>
    <w:p w14:paraId="43EA4065">
      <w:pPr>
        <w:pStyle w:val="62"/>
        <w:spacing w:line="640" w:lineRule="exact"/>
        <w:ind w:firstLine="480" w:firstLineChars="200"/>
        <w:rPr>
          <w:rFonts w:hint="eastAsia" w:ascii="宋体" w:hAnsi="宋体" w:eastAsia="宋体" w:cs="宋体"/>
          <w:b w:val="0"/>
          <w:color w:val="auto"/>
          <w:sz w:val="24"/>
          <w:highlight w:val="none"/>
        </w:rPr>
      </w:pPr>
      <w:r>
        <w:rPr>
          <w:rFonts w:hint="eastAsia" w:ascii="宋体" w:hAnsi="宋体" w:eastAsia="宋体" w:cs="宋体"/>
          <w:b w:val="0"/>
          <w:color w:val="auto"/>
          <w:sz w:val="24"/>
          <w:highlight w:val="none"/>
        </w:rPr>
        <w:t>本人作为</w:t>
      </w:r>
      <w:r>
        <w:rPr>
          <w:rFonts w:hint="eastAsia" w:ascii="宋体" w:hAnsi="宋体" w:eastAsia="宋体" w:cs="宋体"/>
          <w:b w:val="0"/>
          <w:color w:val="auto"/>
          <w:sz w:val="24"/>
          <w:highlight w:val="none"/>
          <w:u w:val="single"/>
        </w:rPr>
        <w:t xml:space="preserve">（单位名称）                    </w:t>
      </w:r>
      <w:r>
        <w:rPr>
          <w:rFonts w:hint="eastAsia" w:ascii="宋体" w:hAnsi="宋体" w:eastAsia="宋体" w:cs="宋体"/>
          <w:b w:val="0"/>
          <w:color w:val="auto"/>
          <w:sz w:val="24"/>
          <w:highlight w:val="none"/>
        </w:rPr>
        <w:t>的法人，清楚知晓我公司本项目投标活动，对以下事项作出承诺：</w:t>
      </w:r>
    </w:p>
    <w:p w14:paraId="0D501473">
      <w:pPr>
        <w:pStyle w:val="62"/>
        <w:spacing w:line="640" w:lineRule="exact"/>
        <w:ind w:firstLine="480" w:firstLineChars="200"/>
        <w:rPr>
          <w:rFonts w:hint="eastAsia" w:ascii="宋体" w:hAnsi="宋体" w:eastAsia="宋体" w:cs="宋体"/>
          <w:b w:val="0"/>
          <w:color w:val="auto"/>
          <w:sz w:val="24"/>
          <w:highlight w:val="none"/>
        </w:rPr>
      </w:pPr>
      <w:r>
        <w:rPr>
          <w:rFonts w:hint="eastAsia" w:ascii="宋体" w:hAnsi="宋体" w:eastAsia="宋体" w:cs="宋体"/>
          <w:b w:val="0"/>
          <w:color w:val="auto"/>
          <w:sz w:val="24"/>
          <w:highlight w:val="none"/>
        </w:rPr>
        <w:t>一、我单位遵循公开、公平、公正、诚实守信的原则，依法依规参与本项目竞标。</w:t>
      </w:r>
    </w:p>
    <w:p w14:paraId="74F48713">
      <w:pPr>
        <w:pStyle w:val="62"/>
        <w:spacing w:line="640" w:lineRule="exact"/>
        <w:ind w:firstLine="480" w:firstLineChars="200"/>
        <w:rPr>
          <w:rFonts w:hint="eastAsia" w:ascii="宋体" w:hAnsi="宋体" w:eastAsia="宋体" w:cs="宋体"/>
          <w:b w:val="0"/>
          <w:color w:val="auto"/>
          <w:sz w:val="24"/>
          <w:highlight w:val="none"/>
        </w:rPr>
      </w:pPr>
      <w:r>
        <w:rPr>
          <w:rFonts w:hint="eastAsia" w:ascii="宋体" w:hAnsi="宋体" w:eastAsia="宋体" w:cs="宋体"/>
          <w:b w:val="0"/>
          <w:color w:val="auto"/>
          <w:sz w:val="24"/>
          <w:highlight w:val="none"/>
        </w:rPr>
        <w:t>二、我单位在本项目招标投标活动中，未参与围标串标。</w:t>
      </w:r>
    </w:p>
    <w:p w14:paraId="69203C55">
      <w:pPr>
        <w:pStyle w:val="62"/>
        <w:spacing w:line="640" w:lineRule="exact"/>
        <w:ind w:firstLine="480" w:firstLineChars="200"/>
        <w:rPr>
          <w:rFonts w:hint="eastAsia" w:ascii="宋体" w:hAnsi="宋体" w:eastAsia="宋体" w:cs="宋体"/>
          <w:b w:val="0"/>
          <w:color w:val="auto"/>
          <w:sz w:val="24"/>
          <w:highlight w:val="none"/>
        </w:rPr>
      </w:pPr>
      <w:r>
        <w:rPr>
          <w:rFonts w:hint="eastAsia" w:ascii="宋体" w:hAnsi="宋体" w:eastAsia="宋体" w:cs="宋体"/>
          <w:b w:val="0"/>
          <w:color w:val="auto"/>
          <w:sz w:val="24"/>
          <w:highlight w:val="none"/>
        </w:rPr>
        <w:t>三、我单位如被查实在本项目招标投标活动中存在围标串标的，递交响应文件行为作为实施串通投标违法行为的关键环节，本人承担直接责任人员法律责任，接受相应行政处罚和失信惩戒。</w:t>
      </w:r>
    </w:p>
    <w:p w14:paraId="7EE8A253">
      <w:pPr>
        <w:pStyle w:val="62"/>
        <w:spacing w:line="640" w:lineRule="exact"/>
        <w:rPr>
          <w:rFonts w:hint="eastAsia" w:ascii="宋体" w:hAnsi="宋体" w:eastAsia="宋体" w:cs="宋体"/>
          <w:b w:val="0"/>
          <w:color w:val="auto"/>
          <w:sz w:val="24"/>
          <w:highlight w:val="none"/>
        </w:rPr>
      </w:pPr>
      <w:r>
        <w:rPr>
          <w:rFonts w:hint="eastAsia" w:ascii="宋体" w:hAnsi="宋体" w:eastAsia="宋体" w:cs="宋体"/>
          <w:b w:val="0"/>
          <w:color w:val="auto"/>
          <w:sz w:val="24"/>
          <w:highlight w:val="none"/>
        </w:rPr>
        <w:t xml:space="preserve">项目编号：    </w:t>
      </w:r>
    </w:p>
    <w:p w14:paraId="563B0666">
      <w:pPr>
        <w:pStyle w:val="62"/>
        <w:spacing w:line="640" w:lineRule="exact"/>
        <w:rPr>
          <w:rFonts w:hint="eastAsia" w:ascii="宋体" w:hAnsi="宋体" w:eastAsia="宋体" w:cs="宋体"/>
          <w:b w:val="0"/>
          <w:color w:val="auto"/>
          <w:sz w:val="24"/>
          <w:highlight w:val="none"/>
        </w:rPr>
      </w:pPr>
      <w:r>
        <w:rPr>
          <w:rFonts w:hint="eastAsia" w:ascii="宋体" w:hAnsi="宋体" w:eastAsia="宋体" w:cs="宋体"/>
          <w:b w:val="0"/>
          <w:color w:val="auto"/>
          <w:sz w:val="24"/>
          <w:highlight w:val="none"/>
        </w:rPr>
        <w:t xml:space="preserve">标段号：    </w:t>
      </w:r>
    </w:p>
    <w:p w14:paraId="3E19F4FA">
      <w:pPr>
        <w:pStyle w:val="62"/>
        <w:spacing w:line="640" w:lineRule="exact"/>
        <w:rPr>
          <w:rFonts w:hint="eastAsia" w:ascii="宋体" w:hAnsi="宋体" w:eastAsia="宋体" w:cs="宋体"/>
          <w:b w:val="0"/>
          <w:color w:val="auto"/>
          <w:sz w:val="24"/>
          <w:highlight w:val="none"/>
        </w:rPr>
      </w:pPr>
      <w:r>
        <w:rPr>
          <w:rFonts w:hint="eastAsia" w:ascii="宋体" w:hAnsi="宋体" w:eastAsia="宋体" w:cs="宋体"/>
          <w:b w:val="0"/>
          <w:color w:val="auto"/>
          <w:sz w:val="24"/>
          <w:highlight w:val="none"/>
        </w:rPr>
        <w:t>供应商单位名称：</w:t>
      </w:r>
    </w:p>
    <w:p w14:paraId="197761A8">
      <w:pPr>
        <w:pStyle w:val="62"/>
        <w:spacing w:line="640" w:lineRule="exact"/>
        <w:rPr>
          <w:rFonts w:hint="eastAsia" w:ascii="宋体" w:hAnsi="宋体" w:eastAsia="宋体" w:cs="宋体"/>
          <w:b w:val="0"/>
          <w:color w:val="auto"/>
          <w:sz w:val="24"/>
          <w:highlight w:val="none"/>
        </w:rPr>
      </w:pPr>
      <w:r>
        <w:rPr>
          <w:rFonts w:hint="eastAsia" w:ascii="宋体" w:hAnsi="宋体" w:eastAsia="宋体" w:cs="宋体"/>
          <w:b w:val="0"/>
          <w:color w:val="auto"/>
          <w:sz w:val="24"/>
          <w:highlight w:val="none"/>
        </w:rPr>
        <w:t>供应商法人签名：</w:t>
      </w:r>
    </w:p>
    <w:p w14:paraId="43A4D59E">
      <w:pPr>
        <w:pStyle w:val="62"/>
        <w:spacing w:line="640" w:lineRule="exact"/>
        <w:rPr>
          <w:rFonts w:hint="eastAsia" w:ascii="宋体" w:hAnsi="宋体" w:eastAsia="宋体" w:cs="宋体"/>
          <w:b w:val="0"/>
          <w:color w:val="auto"/>
          <w:sz w:val="24"/>
          <w:highlight w:val="none"/>
        </w:rPr>
      </w:pPr>
      <w:r>
        <w:rPr>
          <w:rFonts w:hint="eastAsia" w:ascii="宋体" w:hAnsi="宋体" w:eastAsia="宋体" w:cs="宋体"/>
          <w:b w:val="0"/>
          <w:color w:val="auto"/>
          <w:sz w:val="24"/>
          <w:highlight w:val="none"/>
        </w:rPr>
        <w:t xml:space="preserve">                                  </w:t>
      </w:r>
    </w:p>
    <w:p w14:paraId="60FB1B00">
      <w:pPr>
        <w:pStyle w:val="62"/>
        <w:spacing w:line="640" w:lineRule="exact"/>
        <w:rPr>
          <w:rFonts w:hint="eastAsia" w:ascii="宋体" w:hAnsi="宋体" w:eastAsia="宋体" w:cs="宋体"/>
          <w:b w:val="0"/>
          <w:color w:val="auto"/>
          <w:sz w:val="24"/>
          <w:highlight w:val="none"/>
        </w:rPr>
      </w:pPr>
    </w:p>
    <w:p w14:paraId="3A694F96">
      <w:pPr>
        <w:pStyle w:val="62"/>
        <w:spacing w:line="640" w:lineRule="exact"/>
        <w:ind w:firstLine="4080" w:firstLineChars="1700"/>
        <w:rPr>
          <w:rFonts w:hint="eastAsia" w:ascii="宋体" w:hAnsi="宋体" w:eastAsia="宋体" w:cs="宋体"/>
          <w:b w:val="0"/>
          <w:color w:val="auto"/>
          <w:sz w:val="24"/>
          <w:highlight w:val="none"/>
        </w:rPr>
      </w:pPr>
      <w:r>
        <w:rPr>
          <w:rFonts w:hint="eastAsia" w:ascii="宋体" w:hAnsi="宋体" w:eastAsia="宋体" w:cs="宋体"/>
          <w:b w:val="0"/>
          <w:color w:val="auto"/>
          <w:sz w:val="24"/>
          <w:highlight w:val="none"/>
        </w:rPr>
        <w:t xml:space="preserve">      盖  章</w:t>
      </w:r>
    </w:p>
    <w:p w14:paraId="5F514FDE">
      <w:pPr>
        <w:pStyle w:val="62"/>
        <w:spacing w:line="640" w:lineRule="exact"/>
        <w:ind w:firstLine="4320" w:firstLineChars="1800"/>
        <w:rPr>
          <w:rFonts w:hint="eastAsia" w:ascii="宋体" w:hAnsi="宋体" w:eastAsia="宋体" w:cs="宋体"/>
          <w:b w:val="0"/>
          <w:color w:val="auto"/>
          <w:sz w:val="24"/>
          <w:highlight w:val="none"/>
        </w:rPr>
      </w:pPr>
      <w:r>
        <w:rPr>
          <w:rFonts w:hint="eastAsia" w:ascii="宋体" w:hAnsi="宋体" w:eastAsia="宋体" w:cs="宋体"/>
          <w:b w:val="0"/>
          <w:color w:val="auto"/>
          <w:sz w:val="24"/>
          <w:highlight w:val="none"/>
        </w:rPr>
        <w:t xml:space="preserve"> 年   月   日</w:t>
      </w:r>
    </w:p>
    <w:p w14:paraId="03A7E8EF">
      <w:pPr>
        <w:pStyle w:val="63"/>
        <w:outlineLvl w:val="1"/>
        <w:rPr>
          <w:rFonts w:hint="eastAsia" w:ascii="宋体" w:hAnsi="宋体" w:eastAsia="宋体" w:cs="宋体"/>
          <w:color w:val="auto"/>
          <w:highlight w:val="none"/>
        </w:rPr>
      </w:pPr>
      <w:r>
        <w:rPr>
          <w:rFonts w:hint="eastAsia" w:ascii="宋体" w:hAnsi="宋体" w:eastAsia="宋体" w:cs="宋体"/>
          <w:color w:val="auto"/>
          <w:highlight w:val="none"/>
        </w:rPr>
        <w:br w:type="page"/>
      </w:r>
      <w:bookmarkStart w:id="193" w:name="_Toc18984"/>
      <w:bookmarkStart w:id="194" w:name="_Toc21378"/>
      <w:bookmarkStart w:id="195" w:name="_Toc82686382"/>
      <w:r>
        <w:rPr>
          <w:rFonts w:hint="eastAsia" w:ascii="宋体" w:hAnsi="宋体" w:eastAsia="宋体" w:cs="宋体"/>
          <w:color w:val="auto"/>
          <w:highlight w:val="none"/>
        </w:rPr>
        <w:t>三、商务文件</w:t>
      </w:r>
      <w:bookmarkEnd w:id="193"/>
      <w:bookmarkEnd w:id="194"/>
      <w:bookmarkEnd w:id="195"/>
    </w:p>
    <w:p w14:paraId="4143CEDF">
      <w:pPr>
        <w:pStyle w:val="64"/>
        <w:outlineLvl w:val="2"/>
        <w:rPr>
          <w:rFonts w:hint="eastAsia" w:ascii="宋体" w:hAnsi="宋体" w:eastAsia="宋体" w:cs="宋体"/>
          <w:color w:val="auto"/>
          <w:highlight w:val="none"/>
        </w:rPr>
      </w:pPr>
      <w:bookmarkStart w:id="196" w:name="_Toc1700"/>
      <w:bookmarkStart w:id="197" w:name="_Toc31055"/>
      <w:r>
        <w:rPr>
          <w:rFonts w:hint="eastAsia" w:ascii="宋体" w:hAnsi="宋体" w:eastAsia="宋体" w:cs="宋体"/>
          <w:color w:val="auto"/>
          <w:highlight w:val="none"/>
        </w:rPr>
        <w:t>（一）法定代表人身份证明及授权委托书</w:t>
      </w:r>
      <w:bookmarkEnd w:id="196"/>
      <w:bookmarkEnd w:id="197"/>
    </w:p>
    <w:p w14:paraId="20548118">
      <w:pPr>
        <w:pStyle w:val="65"/>
        <w:adjustRightInd w:val="0"/>
        <w:snapToGrid w:val="0"/>
        <w:spacing w:line="5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法定代表人资格证明文件</w:t>
      </w:r>
    </w:p>
    <w:p w14:paraId="7ADD7F96">
      <w:pPr>
        <w:pStyle w:val="65"/>
        <w:adjustRightInd w:val="0"/>
        <w:snapToGrid w:val="0"/>
        <w:spacing w:line="5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rPr>
        <w:t>（代理机构名称）</w:t>
      </w:r>
      <w:r>
        <w:rPr>
          <w:rFonts w:hint="eastAsia" w:ascii="宋体" w:hAnsi="宋体" w:eastAsia="宋体" w:cs="宋体"/>
          <w:color w:val="auto"/>
          <w:sz w:val="24"/>
          <w:szCs w:val="24"/>
          <w:highlight w:val="none"/>
        </w:rPr>
        <w:t>：</w:t>
      </w:r>
    </w:p>
    <w:p w14:paraId="116F13B1">
      <w:pPr>
        <w:pStyle w:val="65"/>
        <w:adjustRightInd w:val="0"/>
        <w:snapToGrid w:val="0"/>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兹有</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同志为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公司法定代表人，代表我公司办理一切社会公务事宜，具有法律效力。 </w:t>
      </w:r>
    </w:p>
    <w:p w14:paraId="61B32FC1">
      <w:pPr>
        <w:pStyle w:val="65"/>
        <w:adjustRightInd w:val="0"/>
        <w:snapToGrid w:val="0"/>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附法定代表人基本情况： </w:t>
      </w:r>
    </w:p>
    <w:p w14:paraId="23656513">
      <w:pPr>
        <w:pStyle w:val="65"/>
        <w:adjustRightInd w:val="0"/>
        <w:snapToGrid w:val="0"/>
        <w:spacing w:line="500" w:lineRule="exact"/>
        <w:ind w:firstLine="480" w:firstLineChars="200"/>
        <w:rPr>
          <w:rFonts w:hint="eastAsia" w:ascii="宋体" w:hAnsi="宋体" w:eastAsia="宋体" w:cs="宋体"/>
          <w:color w:val="auto"/>
          <w:sz w:val="24"/>
          <w:szCs w:val="24"/>
          <w:highlight w:val="none"/>
        </w:rPr>
      </w:pPr>
    </w:p>
    <w:p w14:paraId="79A09641">
      <w:pPr>
        <w:pStyle w:val="65"/>
        <w:adjustRightInd w:val="0"/>
        <w:snapToGrid w:val="0"/>
        <w:spacing w:line="500" w:lineRule="exact"/>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姓名：</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性别：</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年龄：</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职务：</w:t>
      </w:r>
      <w:r>
        <w:rPr>
          <w:rFonts w:hint="eastAsia" w:ascii="宋体" w:hAnsi="宋体" w:eastAsia="宋体" w:cs="宋体"/>
          <w:color w:val="auto"/>
          <w:sz w:val="24"/>
          <w:szCs w:val="24"/>
          <w:highlight w:val="none"/>
          <w:u w:val="single"/>
        </w:rPr>
        <w:t xml:space="preserve">         </w:t>
      </w:r>
    </w:p>
    <w:p w14:paraId="5BA52FA9">
      <w:pPr>
        <w:pStyle w:val="65"/>
        <w:adjustRightInd w:val="0"/>
        <w:snapToGrid w:val="0"/>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身份证号码：</w:t>
      </w:r>
      <w:r>
        <w:rPr>
          <w:rFonts w:hint="eastAsia" w:ascii="宋体" w:hAnsi="宋体" w:eastAsia="宋体" w:cs="宋体"/>
          <w:color w:val="auto"/>
          <w:sz w:val="24"/>
          <w:szCs w:val="24"/>
          <w:highlight w:val="none"/>
          <w:u w:val="single"/>
        </w:rPr>
        <w:t xml:space="preserve">                     </w:t>
      </w:r>
    </w:p>
    <w:p w14:paraId="09B0B895">
      <w:pPr>
        <w:pStyle w:val="65"/>
        <w:adjustRightInd w:val="0"/>
        <w:snapToGrid w:val="0"/>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通讯地址：</w:t>
      </w:r>
      <w:r>
        <w:rPr>
          <w:rFonts w:hint="eastAsia" w:ascii="宋体" w:hAnsi="宋体" w:eastAsia="宋体" w:cs="宋体"/>
          <w:color w:val="auto"/>
          <w:sz w:val="24"/>
          <w:szCs w:val="24"/>
          <w:highlight w:val="none"/>
          <w:u w:val="single"/>
        </w:rPr>
        <w:t xml:space="preserve">                       </w:t>
      </w:r>
    </w:p>
    <w:p w14:paraId="13F25DB5">
      <w:pPr>
        <w:pStyle w:val="65"/>
        <w:adjustRightInd w:val="0"/>
        <w:snapToGrid w:val="0"/>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电话号码：</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邮政编码：</w:t>
      </w:r>
      <w:r>
        <w:rPr>
          <w:rFonts w:hint="eastAsia" w:ascii="宋体" w:hAnsi="宋体" w:eastAsia="宋体" w:cs="宋体"/>
          <w:color w:val="auto"/>
          <w:sz w:val="24"/>
          <w:szCs w:val="24"/>
          <w:highlight w:val="none"/>
          <w:u w:val="single"/>
        </w:rPr>
        <w:t xml:space="preserve">               </w:t>
      </w:r>
    </w:p>
    <w:p w14:paraId="3745145C">
      <w:pPr>
        <w:pStyle w:val="65"/>
        <w:adjustRightInd w:val="0"/>
        <w:snapToGrid w:val="0"/>
        <w:spacing w:line="5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tbl>
      <w:tblPr>
        <w:tblStyle w:val="25"/>
        <w:tblW w:w="0" w:type="auto"/>
        <w:tblInd w:w="73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49"/>
      </w:tblGrid>
      <w:tr w14:paraId="5A1AF1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8" w:hRule="atLeast"/>
        </w:trPr>
        <w:tc>
          <w:tcPr>
            <w:tcW w:w="7449" w:type="dxa"/>
            <w:tcBorders>
              <w:top w:val="single" w:color="auto" w:sz="4" w:space="0"/>
              <w:left w:val="single" w:color="auto" w:sz="4" w:space="0"/>
              <w:bottom w:val="single" w:color="auto" w:sz="4" w:space="0"/>
              <w:right w:val="single" w:color="auto" w:sz="4" w:space="0"/>
            </w:tcBorders>
          </w:tcPr>
          <w:p w14:paraId="0049FDDF">
            <w:pPr>
              <w:pStyle w:val="65"/>
              <w:adjustRightInd w:val="0"/>
              <w:snapToGrid w:val="0"/>
              <w:spacing w:line="500" w:lineRule="exact"/>
              <w:jc w:val="center"/>
              <w:rPr>
                <w:rFonts w:hint="eastAsia" w:ascii="宋体" w:hAnsi="宋体" w:eastAsia="宋体" w:cs="宋体"/>
                <w:color w:val="auto"/>
                <w:sz w:val="24"/>
                <w:szCs w:val="24"/>
                <w:highlight w:val="none"/>
              </w:rPr>
            </w:pPr>
          </w:p>
          <w:p w14:paraId="0B221C6E">
            <w:pPr>
              <w:pStyle w:val="65"/>
              <w:adjustRightInd w:val="0"/>
              <w:snapToGrid w:val="0"/>
              <w:spacing w:line="500" w:lineRule="exact"/>
              <w:jc w:val="center"/>
              <w:rPr>
                <w:rFonts w:hint="eastAsia" w:ascii="宋体" w:hAnsi="宋体" w:eastAsia="宋体" w:cs="宋体"/>
                <w:color w:val="auto"/>
                <w:sz w:val="24"/>
                <w:szCs w:val="24"/>
                <w:highlight w:val="none"/>
              </w:rPr>
            </w:pPr>
          </w:p>
          <w:p w14:paraId="4500A79A">
            <w:pPr>
              <w:pStyle w:val="65"/>
              <w:adjustRightInd w:val="0"/>
              <w:snapToGrid w:val="0"/>
              <w:spacing w:line="5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法定代表人《居民身份证》扫描件</w:t>
            </w:r>
          </w:p>
        </w:tc>
      </w:tr>
    </w:tbl>
    <w:p w14:paraId="673389CF">
      <w:pPr>
        <w:pStyle w:val="65"/>
        <w:adjustRightInd w:val="0"/>
        <w:snapToGrid w:val="0"/>
        <w:spacing w:line="500" w:lineRule="exact"/>
        <w:rPr>
          <w:rFonts w:hint="eastAsia" w:ascii="宋体" w:hAnsi="宋体" w:eastAsia="宋体" w:cs="宋体"/>
          <w:color w:val="auto"/>
          <w:sz w:val="24"/>
          <w:szCs w:val="24"/>
          <w:highlight w:val="none"/>
        </w:rPr>
      </w:pPr>
    </w:p>
    <w:p w14:paraId="3A3C3FCC">
      <w:pPr>
        <w:pStyle w:val="65"/>
        <w:tabs>
          <w:tab w:val="left" w:pos="750"/>
        </w:tabs>
        <w:adjustRightInd w:val="0"/>
        <w:snapToGrid w:val="0"/>
        <w:spacing w:line="5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供应商名称（签章）：</w:t>
      </w:r>
      <w:r>
        <w:rPr>
          <w:rFonts w:hint="eastAsia" w:ascii="宋体" w:hAnsi="宋体" w:eastAsia="宋体" w:cs="宋体"/>
          <w:color w:val="auto"/>
          <w:sz w:val="24"/>
          <w:szCs w:val="24"/>
          <w:highlight w:val="none"/>
          <w:u w:val="single"/>
        </w:rPr>
        <w:t xml:space="preserve">           </w:t>
      </w:r>
    </w:p>
    <w:p w14:paraId="78FB09A2">
      <w:pPr>
        <w:pStyle w:val="65"/>
        <w:tabs>
          <w:tab w:val="left" w:pos="750"/>
        </w:tabs>
        <w:adjustRightInd w:val="0"/>
        <w:snapToGrid w:val="0"/>
        <w:spacing w:line="500" w:lineRule="exact"/>
        <w:rPr>
          <w:rFonts w:hint="eastAsia" w:ascii="宋体" w:hAnsi="宋体" w:eastAsia="宋体" w:cs="宋体"/>
          <w:color w:val="auto"/>
          <w:sz w:val="24"/>
          <w:szCs w:val="24"/>
          <w:highlight w:val="none"/>
        </w:rPr>
      </w:pPr>
    </w:p>
    <w:p w14:paraId="3DEF15C3">
      <w:pPr>
        <w:pStyle w:val="65"/>
        <w:tabs>
          <w:tab w:val="left" w:pos="750"/>
        </w:tabs>
        <w:adjustRightInd w:val="0"/>
        <w:snapToGrid w:val="0"/>
        <w:spacing w:line="500" w:lineRule="exact"/>
        <w:ind w:firstLine="720" w:firstLineChars="3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法定代表人（签字或电子签章）：</w:t>
      </w:r>
      <w:r>
        <w:rPr>
          <w:rFonts w:hint="eastAsia" w:ascii="宋体" w:hAnsi="宋体" w:eastAsia="宋体" w:cs="宋体"/>
          <w:color w:val="auto"/>
          <w:sz w:val="24"/>
          <w:szCs w:val="24"/>
          <w:highlight w:val="none"/>
          <w:u w:val="single"/>
        </w:rPr>
        <w:t xml:space="preserve">           </w:t>
      </w:r>
    </w:p>
    <w:p w14:paraId="53ADD2A9">
      <w:pPr>
        <w:pStyle w:val="65"/>
        <w:tabs>
          <w:tab w:val="left" w:pos="750"/>
        </w:tabs>
        <w:adjustRightInd w:val="0"/>
        <w:snapToGrid w:val="0"/>
        <w:spacing w:line="500" w:lineRule="exact"/>
        <w:rPr>
          <w:rFonts w:hint="eastAsia" w:ascii="宋体" w:hAnsi="宋体" w:eastAsia="宋体" w:cs="宋体"/>
          <w:color w:val="auto"/>
          <w:sz w:val="24"/>
          <w:szCs w:val="24"/>
          <w:highlight w:val="none"/>
        </w:rPr>
      </w:pPr>
    </w:p>
    <w:p w14:paraId="21F06CC8">
      <w:pPr>
        <w:pStyle w:val="65"/>
        <w:tabs>
          <w:tab w:val="left" w:pos="750"/>
        </w:tabs>
        <w:adjustRightInd w:val="0"/>
        <w:snapToGrid w:val="0"/>
        <w:spacing w:line="500" w:lineRule="exact"/>
        <w:ind w:firstLine="720" w:firstLineChars="3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p>
    <w:p w14:paraId="34660F73">
      <w:pPr>
        <w:pStyle w:val="66"/>
        <w:outlineLvl w:val="9"/>
        <w:rPr>
          <w:rFonts w:hint="eastAsia" w:ascii="宋体" w:hAnsi="宋体" w:eastAsia="宋体" w:cs="宋体"/>
          <w:color w:val="auto"/>
          <w:highlight w:val="none"/>
        </w:rPr>
      </w:pPr>
      <w:r>
        <w:rPr>
          <w:rFonts w:hint="eastAsia" w:ascii="宋体" w:hAnsi="宋体" w:eastAsia="宋体" w:cs="宋体"/>
          <w:color w:val="auto"/>
          <w:highlight w:val="none"/>
        </w:rPr>
        <w:t xml:space="preserve"> </w:t>
      </w:r>
    </w:p>
    <w:p w14:paraId="366F524B">
      <w:pPr>
        <w:pStyle w:val="66"/>
        <w:outlineLvl w:val="9"/>
        <w:rPr>
          <w:rFonts w:hint="eastAsia" w:ascii="宋体" w:hAnsi="宋体" w:eastAsia="宋体" w:cs="宋体"/>
          <w:color w:val="auto"/>
          <w:highlight w:val="none"/>
        </w:rPr>
      </w:pPr>
    </w:p>
    <w:p w14:paraId="0BAA0E40">
      <w:pPr>
        <w:pStyle w:val="66"/>
        <w:outlineLvl w:val="9"/>
        <w:rPr>
          <w:rFonts w:hint="eastAsia" w:ascii="宋体" w:hAnsi="宋体" w:eastAsia="宋体" w:cs="宋体"/>
          <w:color w:val="auto"/>
          <w:highlight w:val="none"/>
        </w:rPr>
      </w:pPr>
    </w:p>
    <w:p w14:paraId="0003E82D">
      <w:pPr>
        <w:pStyle w:val="65"/>
        <w:rPr>
          <w:rFonts w:hint="eastAsia" w:ascii="宋体" w:hAnsi="宋体" w:eastAsia="宋体" w:cs="宋体"/>
          <w:color w:val="auto"/>
          <w:highlight w:val="none"/>
        </w:rPr>
      </w:pPr>
    </w:p>
    <w:p w14:paraId="0F0E68E0">
      <w:pPr>
        <w:pStyle w:val="65"/>
        <w:rPr>
          <w:rFonts w:hint="eastAsia" w:ascii="宋体" w:hAnsi="宋体" w:eastAsia="宋体" w:cs="宋体"/>
          <w:color w:val="auto"/>
          <w:highlight w:val="none"/>
        </w:rPr>
      </w:pPr>
    </w:p>
    <w:p w14:paraId="4042DC65">
      <w:pPr>
        <w:pStyle w:val="65"/>
        <w:spacing w:line="5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法定代表人授权书</w:t>
      </w:r>
    </w:p>
    <w:p w14:paraId="40D2D22C">
      <w:pPr>
        <w:pStyle w:val="65"/>
        <w:spacing w:line="5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rPr>
        <w:t>（代理机构名称）</w:t>
      </w:r>
      <w:r>
        <w:rPr>
          <w:rFonts w:hint="eastAsia" w:ascii="宋体" w:hAnsi="宋体" w:eastAsia="宋体" w:cs="宋体"/>
          <w:color w:val="auto"/>
          <w:sz w:val="24"/>
          <w:szCs w:val="24"/>
          <w:highlight w:val="none"/>
        </w:rPr>
        <w:t>：</w:t>
      </w:r>
    </w:p>
    <w:p w14:paraId="6F224987">
      <w:pPr>
        <w:pStyle w:val="65"/>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兹授权</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同志为我公司参加贵单位组织的编号为</w:t>
      </w:r>
      <w:r>
        <w:rPr>
          <w:rFonts w:hint="eastAsia" w:ascii="宋体" w:hAnsi="宋体" w:eastAsia="宋体" w:cs="宋体"/>
          <w:color w:val="auto"/>
          <w:sz w:val="24"/>
          <w:szCs w:val="24"/>
          <w:highlight w:val="none"/>
          <w:u w:val="single"/>
        </w:rPr>
        <w:t>（项目编号）</w:t>
      </w:r>
      <w:r>
        <w:rPr>
          <w:rFonts w:hint="eastAsia" w:ascii="宋体" w:hAnsi="宋体" w:eastAsia="宋体" w:cs="宋体"/>
          <w:color w:val="auto"/>
          <w:sz w:val="24"/>
          <w:szCs w:val="24"/>
          <w:highlight w:val="none"/>
        </w:rPr>
        <w:t>的</w:t>
      </w:r>
      <w:r>
        <w:rPr>
          <w:rFonts w:hint="eastAsia" w:ascii="宋体" w:hAnsi="宋体" w:eastAsia="宋体" w:cs="宋体"/>
          <w:color w:val="auto"/>
          <w:sz w:val="24"/>
          <w:szCs w:val="24"/>
          <w:highlight w:val="none"/>
          <w:u w:val="single"/>
        </w:rPr>
        <w:t>（项 目 名 称）</w:t>
      </w:r>
      <w:r>
        <w:rPr>
          <w:rFonts w:hint="eastAsia" w:ascii="宋体" w:hAnsi="宋体" w:eastAsia="宋体" w:cs="宋体"/>
          <w:color w:val="auto"/>
          <w:sz w:val="24"/>
          <w:szCs w:val="24"/>
          <w:highlight w:val="none"/>
        </w:rPr>
        <w:t>采购活动的投标代表人，全权代表我公司处理在该项目采购活动中的一切事宜。代理期限从</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日起至</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日止。 </w:t>
      </w:r>
    </w:p>
    <w:p w14:paraId="1AAEA6F8">
      <w:pPr>
        <w:pStyle w:val="65"/>
        <w:spacing w:line="500" w:lineRule="exact"/>
        <w:rPr>
          <w:rFonts w:hint="eastAsia" w:ascii="宋体" w:hAnsi="宋体" w:eastAsia="宋体" w:cs="宋体"/>
          <w:color w:val="auto"/>
          <w:sz w:val="24"/>
          <w:szCs w:val="24"/>
          <w:highlight w:val="none"/>
        </w:rPr>
      </w:pPr>
    </w:p>
    <w:p w14:paraId="3915E910">
      <w:pPr>
        <w:pStyle w:val="65"/>
        <w:spacing w:line="5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供应商（签章）：</w:t>
      </w:r>
      <w:r>
        <w:rPr>
          <w:rFonts w:hint="eastAsia" w:ascii="宋体" w:hAnsi="宋体" w:eastAsia="宋体" w:cs="宋体"/>
          <w:color w:val="auto"/>
          <w:sz w:val="24"/>
          <w:szCs w:val="24"/>
          <w:highlight w:val="none"/>
          <w:u w:val="single"/>
        </w:rPr>
        <w:t xml:space="preserve">               </w:t>
      </w:r>
    </w:p>
    <w:p w14:paraId="41E57C0D">
      <w:pPr>
        <w:pStyle w:val="65"/>
        <w:spacing w:line="5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法定代表人（签字或电子签章）：</w:t>
      </w:r>
      <w:r>
        <w:rPr>
          <w:rFonts w:hint="eastAsia" w:ascii="宋体" w:hAnsi="宋体" w:eastAsia="宋体" w:cs="宋体"/>
          <w:color w:val="auto"/>
          <w:sz w:val="24"/>
          <w:szCs w:val="24"/>
          <w:highlight w:val="none"/>
          <w:u w:val="single"/>
        </w:rPr>
        <w:t xml:space="preserve">       </w:t>
      </w:r>
    </w:p>
    <w:p w14:paraId="19671CBB">
      <w:pPr>
        <w:pStyle w:val="65"/>
        <w:spacing w:line="5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签发日期：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p>
    <w:p w14:paraId="5BEF9814">
      <w:pPr>
        <w:pStyle w:val="65"/>
        <w:spacing w:line="500" w:lineRule="exact"/>
        <w:rPr>
          <w:rFonts w:hint="eastAsia" w:ascii="宋体" w:hAnsi="宋体" w:eastAsia="宋体" w:cs="宋体"/>
          <w:color w:val="auto"/>
          <w:sz w:val="24"/>
          <w:szCs w:val="24"/>
          <w:highlight w:val="none"/>
        </w:rPr>
      </w:pPr>
    </w:p>
    <w:p w14:paraId="2CE9FF01">
      <w:pPr>
        <w:pStyle w:val="65"/>
        <w:spacing w:line="5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附：</w:t>
      </w:r>
    </w:p>
    <w:p w14:paraId="6B2421E2">
      <w:pPr>
        <w:pStyle w:val="65"/>
        <w:spacing w:line="5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代理人工作单位：</w:t>
      </w:r>
      <w:r>
        <w:rPr>
          <w:rFonts w:hint="eastAsia" w:ascii="宋体" w:hAnsi="宋体" w:eastAsia="宋体" w:cs="宋体"/>
          <w:color w:val="auto"/>
          <w:sz w:val="24"/>
          <w:szCs w:val="24"/>
          <w:highlight w:val="none"/>
          <w:u w:val="single"/>
        </w:rPr>
        <w:t xml:space="preserve">                          </w:t>
      </w:r>
    </w:p>
    <w:p w14:paraId="53F3CE8A">
      <w:pPr>
        <w:pStyle w:val="65"/>
        <w:spacing w:line="5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职务：</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性别：</w:t>
      </w:r>
      <w:r>
        <w:rPr>
          <w:rFonts w:hint="eastAsia" w:ascii="宋体" w:hAnsi="宋体" w:eastAsia="宋体" w:cs="宋体"/>
          <w:color w:val="auto"/>
          <w:sz w:val="24"/>
          <w:szCs w:val="24"/>
          <w:highlight w:val="none"/>
          <w:u w:val="single"/>
        </w:rPr>
        <w:t xml:space="preserve">      </w:t>
      </w:r>
    </w:p>
    <w:p w14:paraId="1F77486F">
      <w:pPr>
        <w:pStyle w:val="65"/>
        <w:adjustRightInd w:val="0"/>
        <w:snapToGrid w:val="0"/>
        <w:spacing w:line="500" w:lineRule="exac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身份证号码：</w:t>
      </w:r>
      <w:r>
        <w:rPr>
          <w:rFonts w:hint="eastAsia" w:ascii="宋体" w:hAnsi="宋体" w:eastAsia="宋体" w:cs="宋体"/>
          <w:color w:val="auto"/>
          <w:sz w:val="24"/>
          <w:szCs w:val="24"/>
          <w:highlight w:val="none"/>
          <w:u w:val="single"/>
        </w:rPr>
        <w:t xml:space="preserve">                              </w:t>
      </w:r>
    </w:p>
    <w:p w14:paraId="6763D644">
      <w:pPr>
        <w:pStyle w:val="65"/>
        <w:tabs>
          <w:tab w:val="left" w:pos="750"/>
        </w:tabs>
        <w:adjustRightInd w:val="0"/>
        <w:snapToGrid w:val="0"/>
        <w:spacing w:line="5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法定代表人（单位负责人）或其委托代理人（签字或电子签章） ：</w:t>
      </w:r>
      <w:r>
        <w:rPr>
          <w:rFonts w:hint="eastAsia" w:ascii="宋体" w:hAnsi="宋体" w:eastAsia="宋体" w:cs="宋体"/>
          <w:color w:val="auto"/>
          <w:sz w:val="24"/>
          <w:szCs w:val="24"/>
          <w:highlight w:val="none"/>
          <w:u w:val="single"/>
        </w:rPr>
        <w:t xml:space="preserve">           </w:t>
      </w:r>
    </w:p>
    <w:p w14:paraId="18060761">
      <w:pPr>
        <w:pStyle w:val="65"/>
        <w:adjustRightInd w:val="0"/>
        <w:snapToGrid w:val="0"/>
        <w:spacing w:line="500" w:lineRule="exact"/>
        <w:ind w:left="-88" w:leftChars="-42" w:firstLine="600" w:firstLineChars="250"/>
        <w:rPr>
          <w:rFonts w:hint="eastAsia" w:ascii="宋体" w:hAnsi="宋体" w:eastAsia="宋体" w:cs="宋体"/>
          <w:color w:val="auto"/>
          <w:sz w:val="24"/>
          <w:szCs w:val="24"/>
          <w:highlight w:val="none"/>
          <w:u w:val="single"/>
        </w:rPr>
      </w:pPr>
    </w:p>
    <w:tbl>
      <w:tblPr>
        <w:tblStyle w:val="25"/>
        <w:tblW w:w="0" w:type="auto"/>
        <w:tblInd w:w="3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68"/>
      </w:tblGrid>
      <w:tr w14:paraId="388F6B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1" w:hRule="atLeast"/>
        </w:trPr>
        <w:tc>
          <w:tcPr>
            <w:tcW w:w="7668" w:type="dxa"/>
            <w:tcBorders>
              <w:top w:val="single" w:color="auto" w:sz="4" w:space="0"/>
              <w:left w:val="single" w:color="auto" w:sz="4" w:space="0"/>
              <w:bottom w:val="single" w:color="auto" w:sz="4" w:space="0"/>
              <w:right w:val="single" w:color="auto" w:sz="4" w:space="0"/>
            </w:tcBorders>
          </w:tcPr>
          <w:p w14:paraId="6CE7E7EF">
            <w:pPr>
              <w:pStyle w:val="65"/>
              <w:spacing w:line="5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粘贴被授权人身份证（扫描件）</w:t>
            </w:r>
          </w:p>
        </w:tc>
      </w:tr>
    </w:tbl>
    <w:p w14:paraId="7C14E4A6">
      <w:pPr>
        <w:pStyle w:val="67"/>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0B8683D1">
      <w:pPr>
        <w:pStyle w:val="67"/>
        <w:rPr>
          <w:rFonts w:hint="eastAsia" w:ascii="宋体" w:hAnsi="宋体" w:eastAsia="宋体" w:cs="宋体"/>
          <w:color w:val="auto"/>
          <w:highlight w:val="none"/>
        </w:rPr>
      </w:pPr>
    </w:p>
    <w:p w14:paraId="73644670">
      <w:pPr>
        <w:pStyle w:val="64"/>
        <w:outlineLvl w:val="2"/>
        <w:rPr>
          <w:rFonts w:hint="eastAsia" w:ascii="宋体" w:hAnsi="宋体" w:eastAsia="宋体" w:cs="宋体"/>
          <w:color w:val="auto"/>
          <w:highlight w:val="none"/>
        </w:rPr>
      </w:pPr>
      <w:bookmarkStart w:id="198" w:name="_Toc14617"/>
      <w:bookmarkStart w:id="199" w:name="_Toc12747"/>
      <w:r>
        <w:rPr>
          <w:rFonts w:hint="eastAsia" w:ascii="宋体" w:hAnsi="宋体" w:eastAsia="宋体" w:cs="宋体"/>
          <w:color w:val="auto"/>
          <w:highlight w:val="none"/>
        </w:rPr>
        <w:t>（二）开标一览表</w:t>
      </w:r>
      <w:bookmarkEnd w:id="198"/>
      <w:bookmarkEnd w:id="199"/>
    </w:p>
    <w:p w14:paraId="4DB31C36">
      <w:pPr>
        <w:pStyle w:val="68"/>
        <w:spacing w:line="360" w:lineRule="auto"/>
        <w:rPr>
          <w:rFonts w:hint="eastAsia" w:ascii="宋体" w:hAnsi="宋体" w:eastAsia="宋体" w:cs="宋体"/>
          <w:b/>
          <w:bCs/>
          <w:color w:val="auto"/>
          <w:kern w:val="44"/>
          <w:sz w:val="32"/>
          <w:szCs w:val="32"/>
          <w:highlight w:val="none"/>
        </w:rPr>
      </w:pPr>
    </w:p>
    <w:p w14:paraId="689CA016">
      <w:pPr>
        <w:pStyle w:val="68"/>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w:t>
      </w:r>
      <w:r>
        <w:rPr>
          <w:rFonts w:hint="eastAsia" w:ascii="宋体" w:hAnsi="宋体" w:eastAsia="宋体" w:cs="宋体"/>
          <w:color w:val="auto"/>
          <w:sz w:val="24"/>
          <w:szCs w:val="24"/>
          <w:highlight w:val="none"/>
          <w:lang w:val="en-US" w:eastAsia="zh-CN"/>
        </w:rPr>
        <w:t>编号</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xml:space="preserve">                     </w:t>
      </w:r>
    </w:p>
    <w:tbl>
      <w:tblPr>
        <w:tblStyle w:val="25"/>
        <w:tblW w:w="91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94"/>
        <w:gridCol w:w="6725"/>
      </w:tblGrid>
      <w:tr w14:paraId="5D3D22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6" w:hRule="atLeast"/>
          <w:jc w:val="center"/>
        </w:trPr>
        <w:tc>
          <w:tcPr>
            <w:tcW w:w="2394" w:type="dxa"/>
            <w:tcBorders>
              <w:top w:val="single" w:color="auto" w:sz="4" w:space="0"/>
              <w:left w:val="single" w:color="auto" w:sz="4" w:space="0"/>
              <w:bottom w:val="single" w:color="auto" w:sz="4" w:space="0"/>
              <w:right w:val="single" w:color="auto" w:sz="4" w:space="0"/>
            </w:tcBorders>
            <w:vAlign w:val="center"/>
          </w:tcPr>
          <w:p w14:paraId="47A0DA0B">
            <w:pPr>
              <w:pStyle w:val="68"/>
              <w:tabs>
                <w:tab w:val="left" w:pos="1337"/>
              </w:tabs>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项目名称</w:t>
            </w:r>
          </w:p>
        </w:tc>
        <w:tc>
          <w:tcPr>
            <w:tcW w:w="6725" w:type="dxa"/>
            <w:tcBorders>
              <w:top w:val="single" w:color="auto" w:sz="4" w:space="0"/>
              <w:left w:val="single" w:color="auto" w:sz="4" w:space="0"/>
              <w:bottom w:val="single" w:color="auto" w:sz="4" w:space="0"/>
              <w:right w:val="single" w:color="auto" w:sz="4" w:space="0"/>
            </w:tcBorders>
            <w:vAlign w:val="center"/>
          </w:tcPr>
          <w:p w14:paraId="14C210D0">
            <w:pPr>
              <w:pStyle w:val="68"/>
              <w:tabs>
                <w:tab w:val="left" w:pos="1337"/>
              </w:tabs>
              <w:spacing w:line="360" w:lineRule="auto"/>
              <w:jc w:val="center"/>
              <w:rPr>
                <w:rFonts w:hint="eastAsia" w:ascii="宋体" w:hAnsi="宋体" w:eastAsia="宋体" w:cs="宋体"/>
                <w:bCs/>
                <w:color w:val="auto"/>
                <w:sz w:val="24"/>
                <w:szCs w:val="24"/>
                <w:highlight w:val="none"/>
              </w:rPr>
            </w:pPr>
          </w:p>
        </w:tc>
      </w:tr>
      <w:tr w14:paraId="0CDB41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46" w:hRule="atLeast"/>
          <w:jc w:val="center"/>
        </w:trPr>
        <w:tc>
          <w:tcPr>
            <w:tcW w:w="2394" w:type="dxa"/>
            <w:tcBorders>
              <w:top w:val="single" w:color="auto" w:sz="4" w:space="0"/>
              <w:left w:val="single" w:color="auto" w:sz="4" w:space="0"/>
              <w:bottom w:val="single" w:color="auto" w:sz="4" w:space="0"/>
              <w:right w:val="single" w:color="auto" w:sz="4" w:space="0"/>
            </w:tcBorders>
            <w:vAlign w:val="center"/>
          </w:tcPr>
          <w:p w14:paraId="5478BC04">
            <w:pPr>
              <w:pStyle w:val="68"/>
              <w:tabs>
                <w:tab w:val="left" w:pos="1337"/>
              </w:tabs>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投标</w:t>
            </w:r>
            <w:r>
              <w:rPr>
                <w:rFonts w:hint="eastAsia" w:ascii="宋体" w:hAnsi="宋体" w:eastAsia="宋体" w:cs="宋体"/>
                <w:bCs/>
                <w:color w:val="auto"/>
                <w:sz w:val="24"/>
                <w:szCs w:val="24"/>
                <w:highlight w:val="none"/>
                <w:lang w:val="en-US" w:eastAsia="zh-CN"/>
              </w:rPr>
              <w:t>总</w:t>
            </w:r>
            <w:r>
              <w:rPr>
                <w:rFonts w:hint="eastAsia" w:ascii="宋体" w:hAnsi="宋体" w:eastAsia="宋体" w:cs="宋体"/>
                <w:bCs/>
                <w:color w:val="auto"/>
                <w:sz w:val="24"/>
                <w:szCs w:val="24"/>
                <w:highlight w:val="none"/>
              </w:rPr>
              <w:t>价（元）</w:t>
            </w:r>
          </w:p>
        </w:tc>
        <w:tc>
          <w:tcPr>
            <w:tcW w:w="6725" w:type="dxa"/>
            <w:tcBorders>
              <w:top w:val="single" w:color="auto" w:sz="4" w:space="0"/>
              <w:left w:val="single" w:color="auto" w:sz="4" w:space="0"/>
              <w:bottom w:val="single" w:color="auto" w:sz="4" w:space="0"/>
              <w:right w:val="single" w:color="auto" w:sz="4" w:space="0"/>
            </w:tcBorders>
            <w:vAlign w:val="center"/>
          </w:tcPr>
          <w:p w14:paraId="1D013F43">
            <w:pPr>
              <w:pStyle w:val="68"/>
              <w:tabs>
                <w:tab w:val="left" w:pos="1337"/>
              </w:tabs>
              <w:spacing w:line="360" w:lineRule="auto"/>
              <w:rPr>
                <w:rFonts w:hint="eastAsia" w:ascii="宋体" w:hAnsi="宋体" w:eastAsia="宋体" w:cs="宋体"/>
                <w:bCs/>
                <w:color w:val="auto"/>
                <w:sz w:val="24"/>
                <w:szCs w:val="24"/>
                <w:highlight w:val="none"/>
              </w:rPr>
            </w:pPr>
          </w:p>
          <w:p w14:paraId="3D6A2D77">
            <w:pPr>
              <w:pStyle w:val="68"/>
              <w:tabs>
                <w:tab w:val="left" w:pos="1337"/>
              </w:tabs>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小写：</w:t>
            </w:r>
            <w:r>
              <w:rPr>
                <w:rFonts w:hint="eastAsia" w:ascii="宋体" w:hAnsi="宋体" w:eastAsia="宋体" w:cs="宋体"/>
                <w:bCs/>
                <w:color w:val="auto"/>
                <w:sz w:val="24"/>
                <w:szCs w:val="24"/>
                <w:highlight w:val="none"/>
                <w:u w:val="single"/>
              </w:rPr>
              <w:t xml:space="preserve">                               </w:t>
            </w:r>
          </w:p>
          <w:p w14:paraId="5A866A60">
            <w:pPr>
              <w:pStyle w:val="68"/>
              <w:tabs>
                <w:tab w:val="left" w:pos="1337"/>
              </w:tabs>
              <w:spacing w:line="360" w:lineRule="auto"/>
              <w:rPr>
                <w:rFonts w:hint="eastAsia" w:ascii="宋体" w:hAnsi="宋体" w:eastAsia="宋体" w:cs="宋体"/>
                <w:bCs/>
                <w:color w:val="auto"/>
                <w:sz w:val="24"/>
                <w:szCs w:val="24"/>
                <w:highlight w:val="none"/>
              </w:rPr>
            </w:pPr>
          </w:p>
          <w:p w14:paraId="153DFDB7">
            <w:pPr>
              <w:pStyle w:val="68"/>
              <w:tabs>
                <w:tab w:val="left" w:pos="1337"/>
              </w:tabs>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大写：</w:t>
            </w:r>
            <w:r>
              <w:rPr>
                <w:rFonts w:hint="eastAsia" w:ascii="宋体" w:hAnsi="宋体" w:eastAsia="宋体" w:cs="宋体"/>
                <w:bCs/>
                <w:color w:val="auto"/>
                <w:sz w:val="24"/>
                <w:szCs w:val="24"/>
                <w:highlight w:val="none"/>
                <w:u w:val="single"/>
              </w:rPr>
              <w:t xml:space="preserve">                               </w:t>
            </w:r>
          </w:p>
          <w:p w14:paraId="20242255">
            <w:pPr>
              <w:pStyle w:val="68"/>
              <w:tabs>
                <w:tab w:val="left" w:pos="1337"/>
              </w:tabs>
              <w:spacing w:line="360" w:lineRule="auto"/>
              <w:rPr>
                <w:rFonts w:hint="eastAsia" w:ascii="宋体" w:hAnsi="宋体" w:eastAsia="宋体" w:cs="宋体"/>
                <w:color w:val="auto"/>
                <w:sz w:val="24"/>
                <w:szCs w:val="24"/>
                <w:highlight w:val="none"/>
              </w:rPr>
            </w:pPr>
          </w:p>
        </w:tc>
      </w:tr>
      <w:tr w14:paraId="07E9CF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jc w:val="center"/>
        </w:trPr>
        <w:tc>
          <w:tcPr>
            <w:tcW w:w="2394" w:type="dxa"/>
            <w:tcBorders>
              <w:top w:val="single" w:color="auto" w:sz="4" w:space="0"/>
              <w:left w:val="single" w:color="auto" w:sz="4" w:space="0"/>
              <w:bottom w:val="single" w:color="auto" w:sz="4" w:space="0"/>
              <w:right w:val="single" w:color="auto" w:sz="4" w:space="0"/>
            </w:tcBorders>
            <w:vAlign w:val="center"/>
          </w:tcPr>
          <w:p w14:paraId="5B2DA4DC">
            <w:pPr>
              <w:pStyle w:val="95"/>
              <w:pageBreakBefore w:val="0"/>
              <w:tabs>
                <w:tab w:val="left" w:pos="1337"/>
              </w:tabs>
              <w:kinsoku/>
              <w:wordWrap/>
              <w:overflowPunct/>
              <w:topLinePunct w:val="0"/>
              <w:bidi w:val="0"/>
              <w:spacing w:line="360" w:lineRule="auto"/>
              <w:jc w:val="center"/>
              <w:rPr>
                <w:rFonts w:hint="eastAsia" w:ascii="宋体" w:hAnsi="宋体" w:eastAsia="宋体" w:cs="宋体"/>
                <w:bCs/>
                <w:color w:val="auto"/>
                <w:sz w:val="24"/>
                <w:szCs w:val="24"/>
                <w:highlight w:val="none"/>
              </w:rPr>
            </w:pPr>
            <w:r>
              <w:rPr>
                <w:rFonts w:hint="eastAsia" w:ascii="宋体" w:hAnsi="宋体" w:cs="宋体"/>
                <w:bCs/>
                <w:color w:val="auto"/>
                <w:sz w:val="24"/>
                <w:highlight w:val="none"/>
                <w:lang w:val="en-US" w:eastAsia="zh-CN"/>
              </w:rPr>
              <w:t>服务</w:t>
            </w:r>
            <w:r>
              <w:rPr>
                <w:rFonts w:hint="eastAsia" w:ascii="宋体" w:hAnsi="宋体" w:eastAsia="宋体" w:cs="宋体"/>
                <w:bCs/>
                <w:color w:val="auto"/>
                <w:sz w:val="24"/>
                <w:highlight w:val="none"/>
              </w:rPr>
              <w:t>期</w:t>
            </w:r>
          </w:p>
        </w:tc>
        <w:tc>
          <w:tcPr>
            <w:tcW w:w="6725" w:type="dxa"/>
            <w:tcBorders>
              <w:top w:val="single" w:color="auto" w:sz="4" w:space="0"/>
              <w:left w:val="single" w:color="auto" w:sz="4" w:space="0"/>
              <w:bottom w:val="single" w:color="auto" w:sz="4" w:space="0"/>
              <w:right w:val="single" w:color="auto" w:sz="4" w:space="0"/>
            </w:tcBorders>
            <w:vAlign w:val="center"/>
          </w:tcPr>
          <w:p w14:paraId="14C8040C">
            <w:pPr>
              <w:pStyle w:val="95"/>
              <w:pageBreakBefore w:val="0"/>
              <w:tabs>
                <w:tab w:val="left" w:pos="1337"/>
              </w:tabs>
              <w:kinsoku/>
              <w:wordWrap/>
              <w:overflowPunct/>
              <w:topLinePunct w:val="0"/>
              <w:bidi w:val="0"/>
              <w:spacing w:line="360" w:lineRule="auto"/>
              <w:jc w:val="both"/>
              <w:rPr>
                <w:rFonts w:hint="eastAsia" w:ascii="宋体" w:hAnsi="宋体" w:eastAsia="宋体" w:cs="宋体"/>
                <w:color w:val="auto"/>
                <w:sz w:val="24"/>
                <w:szCs w:val="24"/>
                <w:highlight w:val="none"/>
              </w:rPr>
            </w:pPr>
            <w:r>
              <w:rPr>
                <w:rFonts w:hint="eastAsia" w:ascii="宋体" w:hAnsi="宋体" w:eastAsia="宋体" w:cs="宋体"/>
                <w:color w:val="auto"/>
                <w:sz w:val="24"/>
                <w:highlight w:val="none"/>
                <w:u w:val="single"/>
              </w:rPr>
              <w:t xml:space="preserve">                       </w:t>
            </w:r>
          </w:p>
        </w:tc>
      </w:tr>
      <w:tr w14:paraId="285628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6" w:hRule="atLeast"/>
          <w:jc w:val="center"/>
        </w:trPr>
        <w:tc>
          <w:tcPr>
            <w:tcW w:w="2394" w:type="dxa"/>
            <w:tcBorders>
              <w:top w:val="single" w:color="auto" w:sz="4" w:space="0"/>
              <w:left w:val="single" w:color="auto" w:sz="4" w:space="0"/>
              <w:bottom w:val="single" w:color="auto" w:sz="4" w:space="0"/>
              <w:right w:val="single" w:color="auto" w:sz="4" w:space="0"/>
            </w:tcBorders>
            <w:vAlign w:val="center"/>
          </w:tcPr>
          <w:p w14:paraId="3D882D66">
            <w:pPr>
              <w:pStyle w:val="68"/>
              <w:tabs>
                <w:tab w:val="left" w:pos="1337"/>
              </w:tabs>
              <w:spacing w:line="360" w:lineRule="auto"/>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付款方式</w:t>
            </w:r>
          </w:p>
        </w:tc>
        <w:tc>
          <w:tcPr>
            <w:tcW w:w="6725" w:type="dxa"/>
            <w:tcBorders>
              <w:top w:val="single" w:color="auto" w:sz="4" w:space="0"/>
              <w:left w:val="single" w:color="auto" w:sz="4" w:space="0"/>
              <w:bottom w:val="single" w:color="auto" w:sz="4" w:space="0"/>
              <w:right w:val="single" w:color="auto" w:sz="4" w:space="0"/>
            </w:tcBorders>
            <w:vAlign w:val="center"/>
          </w:tcPr>
          <w:p w14:paraId="2E8660B3">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highlight w:val="none"/>
                <w:u w:val="single"/>
              </w:rPr>
              <w:t xml:space="preserve">                       </w:t>
            </w:r>
          </w:p>
        </w:tc>
      </w:tr>
      <w:tr w14:paraId="243D76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3" w:hRule="atLeast"/>
          <w:jc w:val="center"/>
        </w:trPr>
        <w:tc>
          <w:tcPr>
            <w:tcW w:w="9119" w:type="dxa"/>
            <w:gridSpan w:val="2"/>
            <w:tcBorders>
              <w:top w:val="single" w:color="auto" w:sz="4" w:space="0"/>
              <w:left w:val="single" w:color="auto" w:sz="4" w:space="0"/>
              <w:bottom w:val="single" w:color="auto" w:sz="4" w:space="0"/>
              <w:right w:val="single" w:color="auto" w:sz="4" w:space="0"/>
            </w:tcBorders>
            <w:vAlign w:val="center"/>
          </w:tcPr>
          <w:p w14:paraId="4F219BB4">
            <w:pPr>
              <w:pStyle w:val="68"/>
              <w:tabs>
                <w:tab w:val="left" w:pos="1337"/>
              </w:tabs>
              <w:spacing w:line="360" w:lineRule="auto"/>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备注：</w:t>
            </w:r>
          </w:p>
        </w:tc>
      </w:tr>
    </w:tbl>
    <w:p w14:paraId="2449FFF4">
      <w:pPr>
        <w:pStyle w:val="68"/>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说明：</w:t>
      </w:r>
    </w:p>
    <w:p w14:paraId="63A32A28">
      <w:pPr>
        <w:pStyle w:val="68"/>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1、供应商严格按照规定的格式填写。投标报价为优惠后报价，并作为评审及定标的依据。</w:t>
      </w:r>
    </w:p>
    <w:p w14:paraId="71D24871">
      <w:pPr>
        <w:pStyle w:val="68"/>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2、任何有选择或有条件的投标报价或表中某一包填写多个报价，均将导致投标被拒绝。</w:t>
      </w:r>
    </w:p>
    <w:p w14:paraId="5C32C410">
      <w:pPr>
        <w:pStyle w:val="68"/>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3、报价一经涂改，应在涂改处加盖单位公章或者由法定代表人或授权委托人签字或盖章，否则其磋商作无效处理。</w:t>
      </w:r>
    </w:p>
    <w:p w14:paraId="147CCB16">
      <w:pPr>
        <w:pStyle w:val="68"/>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4、须附详细的报价明细表，报价明细表中总金额和报价表金额一致。</w:t>
      </w:r>
    </w:p>
    <w:p w14:paraId="21A4B36A">
      <w:pPr>
        <w:pStyle w:val="68"/>
        <w:spacing w:line="360" w:lineRule="auto"/>
        <w:ind w:firstLine="480" w:firstLineChars="200"/>
        <w:rPr>
          <w:rFonts w:hint="eastAsia" w:ascii="宋体" w:hAnsi="宋体" w:eastAsia="宋体" w:cs="宋体"/>
          <w:color w:val="auto"/>
          <w:sz w:val="24"/>
          <w:szCs w:val="24"/>
          <w:highlight w:val="none"/>
        </w:rPr>
      </w:pPr>
    </w:p>
    <w:p w14:paraId="0FB1BCDC">
      <w:pPr>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供应商（盖单位章）：</w:t>
      </w:r>
    </w:p>
    <w:p w14:paraId="28ACCDC2">
      <w:pPr>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法定代表人或其委托代理人（签字或电子签章）：</w:t>
      </w:r>
      <w:r>
        <w:rPr>
          <w:rFonts w:hint="eastAsia" w:ascii="宋体" w:hAnsi="宋体" w:eastAsia="宋体" w:cs="宋体"/>
          <w:color w:val="auto"/>
          <w:sz w:val="24"/>
          <w:szCs w:val="24"/>
          <w:highlight w:val="none"/>
          <w:u w:val="single"/>
        </w:rPr>
        <w:t xml:space="preserve">       </w:t>
      </w:r>
    </w:p>
    <w:p w14:paraId="4E9621E5">
      <w:pPr>
        <w:pStyle w:val="68"/>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p>
    <w:p w14:paraId="7ADD03B9">
      <w:pPr>
        <w:pStyle w:val="69"/>
        <w:jc w:val="center"/>
        <w:rPr>
          <w:rFonts w:hint="eastAsia" w:ascii="宋体" w:hAnsi="宋体" w:eastAsia="宋体" w:cs="宋体"/>
          <w:color w:val="auto"/>
          <w:highlight w:val="none"/>
        </w:rPr>
        <w:sectPr>
          <w:pgSz w:w="11906" w:h="16838"/>
          <w:pgMar w:top="1440" w:right="1800" w:bottom="1440" w:left="1800" w:header="851" w:footer="992" w:gutter="0"/>
          <w:pgNumType w:fmt="decimal"/>
          <w:cols w:space="720" w:num="1"/>
        </w:sectPr>
      </w:pPr>
    </w:p>
    <w:p w14:paraId="2B5C9D05">
      <w:pPr>
        <w:pStyle w:val="69"/>
        <w:jc w:val="center"/>
        <w:rPr>
          <w:rFonts w:hint="eastAsia" w:ascii="宋体" w:hAnsi="宋体" w:eastAsia="宋体" w:cs="宋体"/>
          <w:color w:val="auto"/>
          <w:highlight w:val="none"/>
        </w:rPr>
      </w:pPr>
    </w:p>
    <w:p w14:paraId="199C14D8">
      <w:pPr>
        <w:pStyle w:val="96"/>
        <w:pageBreakBefore w:val="0"/>
        <w:kinsoku/>
        <w:wordWrap/>
        <w:overflowPunct/>
        <w:topLinePunct w:val="0"/>
        <w:bidi w:val="0"/>
        <w:spacing w:line="360" w:lineRule="auto"/>
        <w:ind w:left="0" w:leftChars="0" w:firstLine="0" w:firstLineChars="0"/>
        <w:jc w:val="center"/>
        <w:rPr>
          <w:rFonts w:hint="default" w:ascii="宋体" w:hAnsi="宋体" w:eastAsia="宋体" w:cs="宋体"/>
          <w:b/>
          <w:bCs/>
          <w:color w:val="auto"/>
          <w:sz w:val="40"/>
          <w:szCs w:val="36"/>
          <w:highlight w:val="none"/>
          <w:lang w:val="en-US" w:eastAsia="zh-CN"/>
        </w:rPr>
      </w:pPr>
      <w:r>
        <w:rPr>
          <w:rFonts w:hint="eastAsia" w:ascii="宋体" w:hAnsi="宋体" w:cs="宋体"/>
          <w:b/>
          <w:bCs/>
          <w:color w:val="auto"/>
          <w:sz w:val="40"/>
          <w:szCs w:val="36"/>
          <w:highlight w:val="none"/>
          <w:lang w:val="en-US" w:eastAsia="zh-CN"/>
        </w:rPr>
        <w:t>明细报价表</w:t>
      </w:r>
    </w:p>
    <w:p w14:paraId="49105D8F">
      <w:pPr>
        <w:pStyle w:val="96"/>
        <w:pageBreakBefore w:val="0"/>
        <w:kinsoku/>
        <w:wordWrap/>
        <w:overflowPunct/>
        <w:topLinePunct w:val="0"/>
        <w:bidi w:val="0"/>
        <w:spacing w:line="360" w:lineRule="auto"/>
        <w:ind w:left="0" w:leftChars="0" w:firstLine="0" w:firstLineChars="0"/>
        <w:rPr>
          <w:rFonts w:hint="eastAsia" w:ascii="宋体" w:hAnsi="宋体" w:eastAsia="宋体" w:cs="宋体"/>
          <w:color w:val="auto"/>
          <w:highlight w:val="none"/>
        </w:rPr>
      </w:pPr>
      <w:r>
        <w:rPr>
          <w:rFonts w:hint="eastAsia" w:ascii="宋体" w:hAnsi="宋体" w:eastAsia="宋体" w:cs="宋体"/>
          <w:color w:val="auto"/>
          <w:highlight w:val="none"/>
        </w:rPr>
        <w:t>项目编号：</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 xml:space="preserve">                    价格单位：元</w:t>
      </w: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20"/>
        <w:gridCol w:w="1420"/>
        <w:gridCol w:w="1420"/>
        <w:gridCol w:w="1420"/>
        <w:gridCol w:w="1421"/>
        <w:gridCol w:w="1421"/>
      </w:tblGrid>
      <w:tr w14:paraId="7EE6D0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14:paraId="6EF77CE3">
            <w:pPr>
              <w:pStyle w:val="80"/>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4"/>
                <w:highlight w:val="none"/>
                <w:vertAlign w:val="baseline"/>
                <w:lang w:val="en-US" w:eastAsia="zh-CN"/>
              </w:rPr>
            </w:pPr>
            <w:r>
              <w:rPr>
                <w:rFonts w:hint="eastAsia" w:ascii="宋体" w:hAnsi="宋体" w:cs="宋体"/>
                <w:color w:val="auto"/>
                <w:sz w:val="24"/>
                <w:highlight w:val="none"/>
                <w:vertAlign w:val="baseline"/>
                <w:lang w:val="en-US" w:eastAsia="zh-CN"/>
              </w:rPr>
              <w:t>序号</w:t>
            </w:r>
          </w:p>
        </w:tc>
        <w:tc>
          <w:tcPr>
            <w:tcW w:w="1420" w:type="dxa"/>
            <w:vAlign w:val="center"/>
          </w:tcPr>
          <w:p w14:paraId="70A4BEE0">
            <w:pPr>
              <w:pStyle w:val="80"/>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4"/>
                <w:highlight w:val="none"/>
                <w:vertAlign w:val="baseline"/>
                <w:lang w:val="en-US" w:eastAsia="zh-CN"/>
              </w:rPr>
            </w:pPr>
            <w:r>
              <w:rPr>
                <w:rFonts w:hint="eastAsia" w:ascii="宋体" w:hAnsi="宋体" w:cs="宋体"/>
                <w:color w:val="auto"/>
                <w:sz w:val="24"/>
                <w:highlight w:val="none"/>
                <w:vertAlign w:val="baseline"/>
                <w:lang w:val="en-US" w:eastAsia="zh-CN"/>
              </w:rPr>
              <w:t>名称</w:t>
            </w:r>
          </w:p>
        </w:tc>
        <w:tc>
          <w:tcPr>
            <w:tcW w:w="1420" w:type="dxa"/>
            <w:vAlign w:val="center"/>
          </w:tcPr>
          <w:p w14:paraId="28351588">
            <w:pPr>
              <w:pStyle w:val="80"/>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color w:val="auto"/>
                <w:sz w:val="24"/>
                <w:highlight w:val="none"/>
                <w:vertAlign w:val="baseline"/>
                <w:lang w:val="en-US" w:eastAsia="zh-CN"/>
              </w:rPr>
            </w:pPr>
            <w:r>
              <w:rPr>
                <w:rFonts w:hint="eastAsia" w:ascii="宋体" w:hAnsi="宋体" w:cs="宋体"/>
                <w:color w:val="auto"/>
                <w:sz w:val="24"/>
                <w:highlight w:val="none"/>
                <w:vertAlign w:val="baseline"/>
                <w:lang w:val="en-US" w:eastAsia="zh-CN"/>
              </w:rPr>
              <w:t>计量单位</w:t>
            </w:r>
          </w:p>
        </w:tc>
        <w:tc>
          <w:tcPr>
            <w:tcW w:w="1420" w:type="dxa"/>
            <w:vAlign w:val="center"/>
          </w:tcPr>
          <w:p w14:paraId="230DDB58">
            <w:pPr>
              <w:pStyle w:val="80"/>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4"/>
                <w:highlight w:val="none"/>
                <w:vertAlign w:val="baseline"/>
                <w:lang w:val="en-US" w:eastAsia="zh-CN"/>
              </w:rPr>
            </w:pPr>
            <w:r>
              <w:rPr>
                <w:rFonts w:hint="eastAsia" w:ascii="宋体" w:hAnsi="宋体" w:cs="宋体"/>
                <w:color w:val="auto"/>
                <w:sz w:val="24"/>
                <w:highlight w:val="none"/>
                <w:vertAlign w:val="baseline"/>
                <w:lang w:val="en-US" w:eastAsia="zh-CN"/>
              </w:rPr>
              <w:t>数量</w:t>
            </w:r>
          </w:p>
        </w:tc>
        <w:tc>
          <w:tcPr>
            <w:tcW w:w="1421" w:type="dxa"/>
            <w:vAlign w:val="center"/>
          </w:tcPr>
          <w:p w14:paraId="764D7CD7">
            <w:pPr>
              <w:pStyle w:val="80"/>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color w:val="auto"/>
                <w:sz w:val="24"/>
                <w:highlight w:val="none"/>
                <w:vertAlign w:val="baseline"/>
                <w:lang w:val="en-US" w:eastAsia="zh-CN"/>
              </w:rPr>
            </w:pPr>
            <w:r>
              <w:rPr>
                <w:rFonts w:hint="eastAsia" w:ascii="宋体" w:hAnsi="宋体" w:cs="宋体"/>
                <w:color w:val="auto"/>
                <w:sz w:val="24"/>
                <w:highlight w:val="none"/>
                <w:vertAlign w:val="baseline"/>
                <w:lang w:val="en-US" w:eastAsia="zh-CN"/>
              </w:rPr>
              <w:t>综合单价</w:t>
            </w:r>
          </w:p>
        </w:tc>
        <w:tc>
          <w:tcPr>
            <w:tcW w:w="1421" w:type="dxa"/>
            <w:vAlign w:val="center"/>
          </w:tcPr>
          <w:p w14:paraId="08CAE9CE">
            <w:pPr>
              <w:pStyle w:val="80"/>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color w:val="auto"/>
                <w:sz w:val="24"/>
                <w:highlight w:val="none"/>
                <w:vertAlign w:val="baseline"/>
                <w:lang w:val="en-US" w:eastAsia="zh-CN"/>
              </w:rPr>
            </w:pPr>
            <w:r>
              <w:rPr>
                <w:rFonts w:hint="eastAsia" w:ascii="宋体" w:hAnsi="宋体" w:cs="宋体"/>
                <w:color w:val="auto"/>
                <w:sz w:val="24"/>
                <w:highlight w:val="none"/>
                <w:vertAlign w:val="baseline"/>
                <w:lang w:val="en-US" w:eastAsia="zh-CN"/>
              </w:rPr>
              <w:t>总价</w:t>
            </w:r>
          </w:p>
        </w:tc>
      </w:tr>
      <w:tr w14:paraId="2F9F37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14:paraId="590D189B">
            <w:pPr>
              <w:pStyle w:val="80"/>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4"/>
                <w:highlight w:val="none"/>
                <w:vertAlign w:val="baseline"/>
                <w:lang w:val="en-US" w:eastAsia="zh-CN"/>
              </w:rPr>
            </w:pPr>
            <w:r>
              <w:rPr>
                <w:rFonts w:hint="eastAsia" w:ascii="宋体" w:hAnsi="宋体" w:cs="宋体"/>
                <w:color w:val="auto"/>
                <w:sz w:val="24"/>
                <w:highlight w:val="none"/>
                <w:vertAlign w:val="baseline"/>
                <w:lang w:val="en-US" w:eastAsia="zh-CN"/>
              </w:rPr>
              <w:t>1</w:t>
            </w:r>
          </w:p>
        </w:tc>
        <w:tc>
          <w:tcPr>
            <w:tcW w:w="1420" w:type="dxa"/>
            <w:vAlign w:val="center"/>
          </w:tcPr>
          <w:p w14:paraId="53589A66">
            <w:pPr>
              <w:pStyle w:val="80"/>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4"/>
                <w:highlight w:val="none"/>
                <w:vertAlign w:val="baseline"/>
              </w:rPr>
            </w:pPr>
          </w:p>
        </w:tc>
        <w:tc>
          <w:tcPr>
            <w:tcW w:w="1420" w:type="dxa"/>
            <w:vAlign w:val="center"/>
          </w:tcPr>
          <w:p w14:paraId="18467AEC">
            <w:pPr>
              <w:pStyle w:val="80"/>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4"/>
                <w:highlight w:val="none"/>
                <w:vertAlign w:val="baseline"/>
              </w:rPr>
            </w:pPr>
          </w:p>
        </w:tc>
        <w:tc>
          <w:tcPr>
            <w:tcW w:w="1420" w:type="dxa"/>
            <w:vAlign w:val="center"/>
          </w:tcPr>
          <w:p w14:paraId="305D8D09">
            <w:pPr>
              <w:pStyle w:val="80"/>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4"/>
                <w:highlight w:val="none"/>
                <w:vertAlign w:val="baseline"/>
              </w:rPr>
            </w:pPr>
          </w:p>
        </w:tc>
        <w:tc>
          <w:tcPr>
            <w:tcW w:w="1421" w:type="dxa"/>
            <w:vAlign w:val="center"/>
          </w:tcPr>
          <w:p w14:paraId="22C9B88C">
            <w:pPr>
              <w:pStyle w:val="80"/>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4"/>
                <w:highlight w:val="none"/>
                <w:vertAlign w:val="baseline"/>
              </w:rPr>
            </w:pPr>
          </w:p>
        </w:tc>
        <w:tc>
          <w:tcPr>
            <w:tcW w:w="1421" w:type="dxa"/>
            <w:vAlign w:val="center"/>
          </w:tcPr>
          <w:p w14:paraId="12DB58FD">
            <w:pPr>
              <w:pStyle w:val="80"/>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4"/>
                <w:highlight w:val="none"/>
                <w:vertAlign w:val="baseline"/>
              </w:rPr>
            </w:pPr>
          </w:p>
        </w:tc>
      </w:tr>
      <w:tr w14:paraId="7749BC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14:paraId="0A1C5EDB">
            <w:pPr>
              <w:pStyle w:val="80"/>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4"/>
                <w:highlight w:val="none"/>
                <w:vertAlign w:val="baseline"/>
                <w:lang w:val="en-US" w:eastAsia="zh-CN"/>
              </w:rPr>
            </w:pPr>
            <w:r>
              <w:rPr>
                <w:rFonts w:hint="eastAsia" w:ascii="宋体" w:hAnsi="宋体" w:cs="宋体"/>
                <w:color w:val="auto"/>
                <w:sz w:val="24"/>
                <w:highlight w:val="none"/>
                <w:vertAlign w:val="baseline"/>
                <w:lang w:val="en-US" w:eastAsia="zh-CN"/>
              </w:rPr>
              <w:t>2</w:t>
            </w:r>
          </w:p>
        </w:tc>
        <w:tc>
          <w:tcPr>
            <w:tcW w:w="1420" w:type="dxa"/>
            <w:vAlign w:val="center"/>
          </w:tcPr>
          <w:p w14:paraId="00098B3E">
            <w:pPr>
              <w:pStyle w:val="80"/>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4"/>
                <w:highlight w:val="none"/>
                <w:vertAlign w:val="baseline"/>
              </w:rPr>
            </w:pPr>
          </w:p>
        </w:tc>
        <w:tc>
          <w:tcPr>
            <w:tcW w:w="1420" w:type="dxa"/>
            <w:vAlign w:val="center"/>
          </w:tcPr>
          <w:p w14:paraId="4D801DB3">
            <w:pPr>
              <w:pStyle w:val="80"/>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4"/>
                <w:highlight w:val="none"/>
                <w:vertAlign w:val="baseline"/>
              </w:rPr>
            </w:pPr>
          </w:p>
        </w:tc>
        <w:tc>
          <w:tcPr>
            <w:tcW w:w="1420" w:type="dxa"/>
            <w:vAlign w:val="center"/>
          </w:tcPr>
          <w:p w14:paraId="78C48A44">
            <w:pPr>
              <w:pStyle w:val="80"/>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4"/>
                <w:highlight w:val="none"/>
                <w:vertAlign w:val="baseline"/>
              </w:rPr>
            </w:pPr>
          </w:p>
        </w:tc>
        <w:tc>
          <w:tcPr>
            <w:tcW w:w="1421" w:type="dxa"/>
            <w:vAlign w:val="center"/>
          </w:tcPr>
          <w:p w14:paraId="1A7516C2">
            <w:pPr>
              <w:pStyle w:val="80"/>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4"/>
                <w:highlight w:val="none"/>
                <w:vertAlign w:val="baseline"/>
              </w:rPr>
            </w:pPr>
          </w:p>
        </w:tc>
        <w:tc>
          <w:tcPr>
            <w:tcW w:w="1421" w:type="dxa"/>
            <w:vAlign w:val="center"/>
          </w:tcPr>
          <w:p w14:paraId="0E90D59A">
            <w:pPr>
              <w:pStyle w:val="80"/>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4"/>
                <w:highlight w:val="none"/>
                <w:vertAlign w:val="baseline"/>
              </w:rPr>
            </w:pPr>
          </w:p>
        </w:tc>
      </w:tr>
      <w:tr w14:paraId="0BF211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14:paraId="2794F5B0">
            <w:pPr>
              <w:pStyle w:val="80"/>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4"/>
                <w:highlight w:val="none"/>
                <w:vertAlign w:val="baseline"/>
                <w:lang w:val="en-US" w:eastAsia="zh-CN"/>
              </w:rPr>
            </w:pPr>
            <w:r>
              <w:rPr>
                <w:rFonts w:hint="eastAsia" w:ascii="宋体" w:hAnsi="宋体" w:cs="宋体"/>
                <w:color w:val="auto"/>
                <w:sz w:val="24"/>
                <w:highlight w:val="none"/>
                <w:vertAlign w:val="baseline"/>
                <w:lang w:val="en-US" w:eastAsia="zh-CN"/>
              </w:rPr>
              <w:t>3</w:t>
            </w:r>
          </w:p>
        </w:tc>
        <w:tc>
          <w:tcPr>
            <w:tcW w:w="1420" w:type="dxa"/>
            <w:vAlign w:val="center"/>
          </w:tcPr>
          <w:p w14:paraId="0DFE0C42">
            <w:pPr>
              <w:pStyle w:val="80"/>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4"/>
                <w:highlight w:val="none"/>
                <w:vertAlign w:val="baseline"/>
              </w:rPr>
            </w:pPr>
          </w:p>
        </w:tc>
        <w:tc>
          <w:tcPr>
            <w:tcW w:w="1420" w:type="dxa"/>
            <w:vAlign w:val="center"/>
          </w:tcPr>
          <w:p w14:paraId="429EBDA3">
            <w:pPr>
              <w:pStyle w:val="80"/>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4"/>
                <w:highlight w:val="none"/>
                <w:vertAlign w:val="baseline"/>
              </w:rPr>
            </w:pPr>
          </w:p>
        </w:tc>
        <w:tc>
          <w:tcPr>
            <w:tcW w:w="1420" w:type="dxa"/>
            <w:vAlign w:val="center"/>
          </w:tcPr>
          <w:p w14:paraId="348199EB">
            <w:pPr>
              <w:pStyle w:val="80"/>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4"/>
                <w:highlight w:val="none"/>
                <w:vertAlign w:val="baseline"/>
              </w:rPr>
            </w:pPr>
          </w:p>
        </w:tc>
        <w:tc>
          <w:tcPr>
            <w:tcW w:w="1421" w:type="dxa"/>
            <w:vAlign w:val="center"/>
          </w:tcPr>
          <w:p w14:paraId="64E4F21B">
            <w:pPr>
              <w:pStyle w:val="80"/>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4"/>
                <w:highlight w:val="none"/>
                <w:vertAlign w:val="baseline"/>
              </w:rPr>
            </w:pPr>
          </w:p>
        </w:tc>
        <w:tc>
          <w:tcPr>
            <w:tcW w:w="1421" w:type="dxa"/>
            <w:vAlign w:val="center"/>
          </w:tcPr>
          <w:p w14:paraId="79096479">
            <w:pPr>
              <w:pStyle w:val="80"/>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4"/>
                <w:highlight w:val="none"/>
                <w:vertAlign w:val="baseline"/>
              </w:rPr>
            </w:pPr>
          </w:p>
        </w:tc>
      </w:tr>
      <w:tr w14:paraId="51E75D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14:paraId="55D13889">
            <w:pPr>
              <w:pStyle w:val="80"/>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4"/>
                <w:highlight w:val="none"/>
                <w:vertAlign w:val="baseline"/>
                <w:lang w:val="en-US" w:eastAsia="zh-CN"/>
              </w:rPr>
            </w:pPr>
            <w:r>
              <w:rPr>
                <w:rFonts w:hint="eastAsia" w:ascii="宋体" w:hAnsi="宋体" w:cs="宋体"/>
                <w:color w:val="auto"/>
                <w:sz w:val="24"/>
                <w:highlight w:val="none"/>
                <w:vertAlign w:val="baseline"/>
                <w:lang w:val="en-US" w:eastAsia="zh-CN"/>
              </w:rPr>
              <w:t>4</w:t>
            </w:r>
          </w:p>
        </w:tc>
        <w:tc>
          <w:tcPr>
            <w:tcW w:w="1420" w:type="dxa"/>
            <w:vAlign w:val="center"/>
          </w:tcPr>
          <w:p w14:paraId="3366300A">
            <w:pPr>
              <w:pStyle w:val="80"/>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4"/>
                <w:highlight w:val="none"/>
                <w:vertAlign w:val="baseline"/>
              </w:rPr>
            </w:pPr>
          </w:p>
        </w:tc>
        <w:tc>
          <w:tcPr>
            <w:tcW w:w="1420" w:type="dxa"/>
            <w:vAlign w:val="center"/>
          </w:tcPr>
          <w:p w14:paraId="7D7B3FB6">
            <w:pPr>
              <w:pStyle w:val="80"/>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4"/>
                <w:highlight w:val="none"/>
                <w:vertAlign w:val="baseline"/>
              </w:rPr>
            </w:pPr>
          </w:p>
        </w:tc>
        <w:tc>
          <w:tcPr>
            <w:tcW w:w="1420" w:type="dxa"/>
            <w:vAlign w:val="center"/>
          </w:tcPr>
          <w:p w14:paraId="14A2E0A3">
            <w:pPr>
              <w:pStyle w:val="80"/>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4"/>
                <w:highlight w:val="none"/>
                <w:vertAlign w:val="baseline"/>
              </w:rPr>
            </w:pPr>
          </w:p>
        </w:tc>
        <w:tc>
          <w:tcPr>
            <w:tcW w:w="1421" w:type="dxa"/>
            <w:vAlign w:val="center"/>
          </w:tcPr>
          <w:p w14:paraId="5E76F3C0">
            <w:pPr>
              <w:pStyle w:val="80"/>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4"/>
                <w:highlight w:val="none"/>
                <w:vertAlign w:val="baseline"/>
              </w:rPr>
            </w:pPr>
          </w:p>
        </w:tc>
        <w:tc>
          <w:tcPr>
            <w:tcW w:w="1421" w:type="dxa"/>
            <w:vAlign w:val="center"/>
          </w:tcPr>
          <w:p w14:paraId="1FBECA22">
            <w:pPr>
              <w:pStyle w:val="80"/>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4"/>
                <w:highlight w:val="none"/>
                <w:vertAlign w:val="baseline"/>
              </w:rPr>
            </w:pPr>
          </w:p>
        </w:tc>
      </w:tr>
      <w:tr w14:paraId="120F99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14:paraId="4A027C36">
            <w:pPr>
              <w:pStyle w:val="80"/>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color w:val="auto"/>
                <w:sz w:val="24"/>
                <w:highlight w:val="none"/>
                <w:vertAlign w:val="baseline"/>
                <w:lang w:val="en-US" w:eastAsia="zh-CN"/>
              </w:rPr>
            </w:pPr>
            <w:r>
              <w:rPr>
                <w:rFonts w:hint="eastAsia" w:ascii="宋体" w:hAnsi="宋体" w:cs="宋体"/>
                <w:color w:val="auto"/>
                <w:sz w:val="24"/>
                <w:highlight w:val="none"/>
                <w:vertAlign w:val="baseline"/>
                <w:lang w:val="en-US" w:eastAsia="zh-CN"/>
              </w:rPr>
              <w:t>......</w:t>
            </w:r>
          </w:p>
        </w:tc>
        <w:tc>
          <w:tcPr>
            <w:tcW w:w="1420" w:type="dxa"/>
            <w:vAlign w:val="center"/>
          </w:tcPr>
          <w:p w14:paraId="0E01CDA5">
            <w:pPr>
              <w:pStyle w:val="80"/>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4"/>
                <w:highlight w:val="none"/>
                <w:vertAlign w:val="baseline"/>
              </w:rPr>
            </w:pPr>
          </w:p>
        </w:tc>
        <w:tc>
          <w:tcPr>
            <w:tcW w:w="1420" w:type="dxa"/>
            <w:vAlign w:val="center"/>
          </w:tcPr>
          <w:p w14:paraId="316BF21E">
            <w:pPr>
              <w:pStyle w:val="80"/>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4"/>
                <w:highlight w:val="none"/>
                <w:vertAlign w:val="baseline"/>
              </w:rPr>
            </w:pPr>
          </w:p>
        </w:tc>
        <w:tc>
          <w:tcPr>
            <w:tcW w:w="1420" w:type="dxa"/>
            <w:vAlign w:val="center"/>
          </w:tcPr>
          <w:p w14:paraId="0C7AF0B4">
            <w:pPr>
              <w:pStyle w:val="80"/>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4"/>
                <w:highlight w:val="none"/>
                <w:vertAlign w:val="baseline"/>
              </w:rPr>
            </w:pPr>
          </w:p>
        </w:tc>
        <w:tc>
          <w:tcPr>
            <w:tcW w:w="1421" w:type="dxa"/>
            <w:vAlign w:val="center"/>
          </w:tcPr>
          <w:p w14:paraId="16218889">
            <w:pPr>
              <w:pStyle w:val="80"/>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4"/>
                <w:highlight w:val="none"/>
                <w:vertAlign w:val="baseline"/>
              </w:rPr>
            </w:pPr>
          </w:p>
        </w:tc>
        <w:tc>
          <w:tcPr>
            <w:tcW w:w="1421" w:type="dxa"/>
            <w:vAlign w:val="center"/>
          </w:tcPr>
          <w:p w14:paraId="33A2DAFB">
            <w:pPr>
              <w:pStyle w:val="80"/>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4"/>
                <w:highlight w:val="none"/>
                <w:vertAlign w:val="baseline"/>
              </w:rPr>
            </w:pPr>
          </w:p>
        </w:tc>
      </w:tr>
      <w:tr w14:paraId="3276A5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gridSpan w:val="2"/>
            <w:vAlign w:val="center"/>
          </w:tcPr>
          <w:p w14:paraId="2ABBB4EC">
            <w:pPr>
              <w:pStyle w:val="80"/>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4"/>
                <w:highlight w:val="none"/>
                <w:vertAlign w:val="baseline"/>
              </w:rPr>
            </w:pPr>
            <w:r>
              <w:rPr>
                <w:rFonts w:hint="eastAsia" w:ascii="宋体" w:hAnsi="宋体" w:cs="宋体"/>
                <w:color w:val="auto"/>
                <w:sz w:val="24"/>
                <w:highlight w:val="none"/>
                <w:vertAlign w:val="baseline"/>
                <w:lang w:val="en-US" w:eastAsia="zh-CN"/>
              </w:rPr>
              <w:t>合计金额（小写）</w:t>
            </w:r>
          </w:p>
        </w:tc>
        <w:tc>
          <w:tcPr>
            <w:tcW w:w="5682" w:type="dxa"/>
            <w:gridSpan w:val="4"/>
            <w:vAlign w:val="center"/>
          </w:tcPr>
          <w:p w14:paraId="7963061A">
            <w:pPr>
              <w:pStyle w:val="80"/>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4"/>
                <w:highlight w:val="none"/>
                <w:vertAlign w:val="baseline"/>
              </w:rPr>
            </w:pPr>
          </w:p>
        </w:tc>
      </w:tr>
      <w:tr w14:paraId="2138BB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gridSpan w:val="2"/>
            <w:vAlign w:val="center"/>
          </w:tcPr>
          <w:p w14:paraId="5DED4F1C">
            <w:pPr>
              <w:pStyle w:val="80"/>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4"/>
                <w:highlight w:val="none"/>
                <w:vertAlign w:val="baseline"/>
              </w:rPr>
            </w:pPr>
            <w:r>
              <w:rPr>
                <w:rFonts w:hint="eastAsia" w:ascii="宋体" w:hAnsi="宋体" w:cs="宋体"/>
                <w:color w:val="auto"/>
                <w:sz w:val="24"/>
                <w:highlight w:val="none"/>
                <w:vertAlign w:val="baseline"/>
                <w:lang w:val="en-US" w:eastAsia="zh-CN"/>
              </w:rPr>
              <w:t>合计金额（大写）</w:t>
            </w:r>
          </w:p>
        </w:tc>
        <w:tc>
          <w:tcPr>
            <w:tcW w:w="5682" w:type="dxa"/>
            <w:gridSpan w:val="4"/>
            <w:vAlign w:val="center"/>
          </w:tcPr>
          <w:p w14:paraId="69A146C9">
            <w:pPr>
              <w:pStyle w:val="80"/>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4"/>
                <w:highlight w:val="none"/>
                <w:vertAlign w:val="baseline"/>
              </w:rPr>
            </w:pPr>
          </w:p>
        </w:tc>
      </w:tr>
      <w:tr w14:paraId="068426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gridSpan w:val="2"/>
            <w:vAlign w:val="center"/>
          </w:tcPr>
          <w:p w14:paraId="088599C8">
            <w:pPr>
              <w:pStyle w:val="80"/>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4"/>
                <w:highlight w:val="none"/>
                <w:vertAlign w:val="baseline"/>
              </w:rPr>
            </w:pPr>
            <w:r>
              <w:rPr>
                <w:rFonts w:hint="eastAsia" w:ascii="宋体" w:hAnsi="宋体" w:cs="宋体"/>
                <w:color w:val="auto"/>
                <w:sz w:val="24"/>
                <w:highlight w:val="none"/>
                <w:vertAlign w:val="baseline"/>
                <w:lang w:val="en-US" w:eastAsia="zh-CN"/>
              </w:rPr>
              <w:t>服务期限</w:t>
            </w:r>
          </w:p>
        </w:tc>
        <w:tc>
          <w:tcPr>
            <w:tcW w:w="5682" w:type="dxa"/>
            <w:gridSpan w:val="4"/>
            <w:vAlign w:val="center"/>
          </w:tcPr>
          <w:p w14:paraId="5D3DB497">
            <w:pPr>
              <w:pStyle w:val="80"/>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4"/>
                <w:highlight w:val="none"/>
                <w:vertAlign w:val="baseline"/>
              </w:rPr>
            </w:pPr>
          </w:p>
        </w:tc>
      </w:tr>
    </w:tbl>
    <w:p w14:paraId="13C0ED8E">
      <w:pPr>
        <w:pStyle w:val="80"/>
        <w:pageBreakBefore w:val="0"/>
        <w:kinsoku/>
        <w:wordWrap/>
        <w:overflowPunct/>
        <w:topLinePunct w:val="0"/>
        <w:bidi w:val="0"/>
        <w:spacing w:line="360" w:lineRule="auto"/>
        <w:rPr>
          <w:rFonts w:hint="eastAsia" w:ascii="宋体" w:hAnsi="宋体" w:eastAsia="宋体" w:cs="宋体"/>
          <w:color w:val="auto"/>
          <w:sz w:val="24"/>
          <w:highlight w:val="none"/>
        </w:rPr>
      </w:pPr>
    </w:p>
    <w:p w14:paraId="228953F5">
      <w:pPr>
        <w:pStyle w:val="80"/>
        <w:pageBreakBefore w:val="0"/>
        <w:kinsoku/>
        <w:wordWrap/>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说明：</w:t>
      </w:r>
      <w:r>
        <w:rPr>
          <w:rFonts w:hint="eastAsia" w:ascii="宋体" w:hAnsi="宋体" w:eastAsia="宋体" w:cs="宋体"/>
          <w:bCs/>
          <w:color w:val="auto"/>
          <w:sz w:val="24"/>
          <w:highlight w:val="none"/>
        </w:rPr>
        <w:t>投标人必须填写报价明细表，否则将导致投标被拒绝。</w:t>
      </w:r>
    </w:p>
    <w:p w14:paraId="08924B86">
      <w:pPr>
        <w:pStyle w:val="53"/>
        <w:pageBreakBefore w:val="0"/>
        <w:kinsoku/>
        <w:wordWrap/>
        <w:overflowPunct/>
        <w:topLinePunct w:val="0"/>
        <w:bidi w:val="0"/>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投标人法定代表人（</w:t>
      </w:r>
      <w:r>
        <w:rPr>
          <w:rFonts w:hint="eastAsia" w:ascii="宋体" w:hAnsi="宋体" w:eastAsia="宋体" w:cs="宋体"/>
          <w:color w:val="auto"/>
          <w:sz w:val="24"/>
          <w:szCs w:val="24"/>
          <w:highlight w:val="none"/>
          <w:lang w:eastAsia="zh-CN"/>
        </w:rPr>
        <w:t>签名或签章</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xml:space="preserve">                  </w:t>
      </w:r>
    </w:p>
    <w:p w14:paraId="140F43AC">
      <w:pPr>
        <w:pStyle w:val="53"/>
        <w:pageBreakBefore w:val="0"/>
        <w:kinsoku/>
        <w:wordWrap/>
        <w:overflowPunct/>
        <w:topLinePunct w:val="0"/>
        <w:bidi w:val="0"/>
        <w:adjustRightInd w:val="0"/>
        <w:snapToGrid w:val="0"/>
        <w:spacing w:line="360" w:lineRule="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投标人名称（盖章）：</w:t>
      </w:r>
      <w:r>
        <w:rPr>
          <w:rFonts w:hint="eastAsia" w:ascii="宋体" w:hAnsi="宋体" w:eastAsia="宋体" w:cs="宋体"/>
          <w:color w:val="auto"/>
          <w:sz w:val="24"/>
          <w:szCs w:val="24"/>
          <w:highlight w:val="none"/>
          <w:u w:val="single"/>
        </w:rPr>
        <w:t xml:space="preserve">                       </w:t>
      </w:r>
    </w:p>
    <w:p w14:paraId="5DA7A7A4">
      <w:pPr>
        <w:pStyle w:val="97"/>
        <w:pageBreakBefore w:val="0"/>
        <w:kinsoku/>
        <w:wordWrap/>
        <w:overflowPunct/>
        <w:topLinePunct w:val="0"/>
        <w:bidi w:val="0"/>
        <w:spacing w:line="360" w:lineRule="auto"/>
        <w:ind w:left="0" w:leftChars="0" w:firstLine="720" w:firstLineChars="300"/>
        <w:rPr>
          <w:rFonts w:hint="eastAsia" w:ascii="宋体" w:hAnsi="宋体" w:eastAsia="宋体" w:cs="宋体"/>
          <w:color w:val="auto"/>
          <w:highlight w:val="none"/>
        </w:rPr>
      </w:pP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p>
    <w:p w14:paraId="37BE1B29">
      <w:pPr>
        <w:pStyle w:val="97"/>
        <w:pageBreakBefore w:val="0"/>
        <w:kinsoku/>
        <w:wordWrap/>
        <w:overflowPunct/>
        <w:topLinePunct w:val="0"/>
        <w:bidi w:val="0"/>
        <w:spacing w:line="360" w:lineRule="auto"/>
        <w:ind w:left="0" w:leftChars="0" w:firstLine="720" w:firstLineChars="300"/>
        <w:rPr>
          <w:rFonts w:hint="eastAsia" w:ascii="宋体" w:hAnsi="宋体" w:eastAsia="宋体" w:cs="宋体"/>
          <w:color w:val="auto"/>
          <w:highlight w:val="none"/>
        </w:rPr>
      </w:pPr>
    </w:p>
    <w:p w14:paraId="5102A261">
      <w:pPr>
        <w:pStyle w:val="13"/>
        <w:adjustRightInd w:val="0"/>
        <w:snapToGrid w:val="0"/>
        <w:ind w:firstLine="24" w:firstLineChars="1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注: </w:t>
      </w:r>
    </w:p>
    <w:p w14:paraId="783B920E">
      <w:pPr>
        <w:pStyle w:val="13"/>
        <w:adjustRightInd w:val="0"/>
        <w:snapToGrid w:val="0"/>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1</w:t>
      </w:r>
      <w:r>
        <w:rPr>
          <w:rFonts w:hint="eastAsia" w:ascii="宋体" w:hAnsi="宋体" w:eastAsia="宋体" w:cs="宋体"/>
          <w:color w:val="auto"/>
          <w:sz w:val="24"/>
          <w:highlight w:val="none"/>
        </w:rPr>
        <w:t>.如果按单价计算的结果与总价不一致,以单价为准修正总价。</w:t>
      </w:r>
    </w:p>
    <w:p w14:paraId="44408552">
      <w:pPr>
        <w:pStyle w:val="13"/>
        <w:adjustRightInd w:val="0"/>
        <w:snapToGrid w:val="0"/>
        <w:ind w:firstLine="501" w:firstLineChars="209"/>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2</w:t>
      </w:r>
      <w:r>
        <w:rPr>
          <w:rFonts w:hint="eastAsia" w:ascii="宋体" w:hAnsi="宋体" w:eastAsia="宋体" w:cs="宋体"/>
          <w:color w:val="auto"/>
          <w:sz w:val="24"/>
          <w:highlight w:val="none"/>
        </w:rPr>
        <w:t>.如果不提供详细分项报价将视为没有实质性响应招标文件。</w:t>
      </w:r>
    </w:p>
    <w:p w14:paraId="2E5C9602">
      <w:pPr>
        <w:pStyle w:val="13"/>
        <w:adjustRightInd w:val="0"/>
        <w:snapToGrid w:val="0"/>
        <w:ind w:firstLine="24" w:firstLineChars="1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r>
        <w:rPr>
          <w:rFonts w:hint="eastAsia" w:ascii="宋体" w:hAnsi="宋体" w:eastAsia="宋体" w:cs="宋体"/>
          <w:color w:val="auto"/>
          <w:sz w:val="24"/>
          <w:highlight w:val="none"/>
          <w:lang w:val="en-US" w:eastAsia="zh-CN"/>
        </w:rPr>
        <w:t xml:space="preserve"> 3</w:t>
      </w:r>
      <w:r>
        <w:rPr>
          <w:rFonts w:hint="eastAsia" w:ascii="宋体" w:hAnsi="宋体" w:eastAsia="宋体" w:cs="宋体"/>
          <w:color w:val="auto"/>
          <w:sz w:val="24"/>
          <w:highlight w:val="none"/>
        </w:rPr>
        <w:t>.上述各项的详细分项报价，应另页描述。</w:t>
      </w:r>
    </w:p>
    <w:p w14:paraId="31D26E11">
      <w:pPr>
        <w:pStyle w:val="13"/>
        <w:adjustRightInd w:val="0"/>
        <w:snapToGrid w:val="0"/>
        <w:ind w:firstLine="501" w:firstLineChars="209"/>
        <w:rPr>
          <w:rFonts w:hint="eastAsia" w:ascii="宋体" w:hAnsi="宋体" w:eastAsia="宋体" w:cs="宋体"/>
          <w:color w:val="auto"/>
          <w:highlight w:val="none"/>
        </w:rPr>
        <w:sectPr>
          <w:pgSz w:w="11906" w:h="16838"/>
          <w:pgMar w:top="1440" w:right="1800" w:bottom="1440" w:left="1800" w:header="851" w:footer="992" w:gutter="0"/>
          <w:pgNumType w:fmt="decimal"/>
          <w:cols w:space="720" w:num="1"/>
        </w:sectPr>
      </w:pPr>
      <w:r>
        <w:rPr>
          <w:rFonts w:hint="eastAsia" w:ascii="宋体" w:hAnsi="宋体" w:eastAsia="宋体" w:cs="宋体"/>
          <w:color w:val="auto"/>
          <w:sz w:val="24"/>
          <w:highlight w:val="none"/>
          <w:lang w:val="en-US" w:eastAsia="zh-CN"/>
        </w:rPr>
        <w:t>4</w:t>
      </w:r>
      <w:r>
        <w:rPr>
          <w:rFonts w:hint="eastAsia" w:ascii="宋体" w:hAnsi="宋体" w:eastAsia="宋体" w:cs="宋体"/>
          <w:color w:val="auto"/>
          <w:sz w:val="24"/>
          <w:highlight w:val="none"/>
        </w:rPr>
        <w:t>.如果开标一览表（报价表）内容与投标文件中明细表内容不一致的，以开标一览表（报价表）内容为准。</w:t>
      </w:r>
    </w:p>
    <w:p w14:paraId="0265495E">
      <w:pPr>
        <w:pStyle w:val="64"/>
        <w:outlineLvl w:val="2"/>
        <w:rPr>
          <w:rFonts w:hint="eastAsia" w:ascii="宋体" w:hAnsi="宋体" w:eastAsia="宋体" w:cs="宋体"/>
          <w:color w:val="auto"/>
          <w:highlight w:val="none"/>
        </w:rPr>
      </w:pPr>
      <w:bookmarkStart w:id="200" w:name="_Toc256000072"/>
      <w:bookmarkStart w:id="201" w:name="_Toc11629"/>
      <w:bookmarkStart w:id="202" w:name="_Toc5884"/>
      <w:r>
        <w:rPr>
          <w:rFonts w:hint="eastAsia" w:ascii="宋体" w:hAnsi="宋体" w:eastAsia="宋体" w:cs="宋体"/>
          <w:color w:val="auto"/>
          <w:highlight w:val="none"/>
        </w:rPr>
        <w:t>（三）</w:t>
      </w:r>
      <w:bookmarkEnd w:id="200"/>
      <w:bookmarkStart w:id="203" w:name="_Toc256000073"/>
      <w:r>
        <w:rPr>
          <w:rFonts w:hint="eastAsia" w:ascii="宋体" w:hAnsi="宋体" w:eastAsia="宋体" w:cs="宋体"/>
          <w:color w:val="auto"/>
          <w:highlight w:val="none"/>
        </w:rPr>
        <w:t>合同、商务条款偏离说明表</w:t>
      </w:r>
      <w:bookmarkEnd w:id="201"/>
      <w:bookmarkEnd w:id="202"/>
      <w:bookmarkEnd w:id="203"/>
    </w:p>
    <w:p w14:paraId="057EC931">
      <w:pPr>
        <w:pStyle w:val="73"/>
        <w:adjustRightInd w:val="0"/>
        <w:snapToGrid w:val="0"/>
        <w:spacing w:line="5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合同、商务响应偏离说明表</w:t>
      </w:r>
    </w:p>
    <w:p w14:paraId="7BA54D0A">
      <w:pPr>
        <w:pStyle w:val="73"/>
        <w:adjustRightInd w:val="0"/>
        <w:snapToGrid w:val="0"/>
        <w:spacing w:line="5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采购项目编号：</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p>
    <w:p w14:paraId="5FC48080">
      <w:pPr>
        <w:pStyle w:val="73"/>
        <w:adjustRightInd w:val="0"/>
        <w:snapToGrid w:val="0"/>
        <w:spacing w:line="500" w:lineRule="exac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采购项目名称：</w:t>
      </w:r>
      <w:r>
        <w:rPr>
          <w:rFonts w:hint="eastAsia" w:ascii="宋体" w:hAnsi="宋体" w:eastAsia="宋体" w:cs="宋体"/>
          <w:color w:val="auto"/>
          <w:sz w:val="24"/>
          <w:szCs w:val="24"/>
          <w:highlight w:val="none"/>
          <w:u w:val="single"/>
        </w:rPr>
        <w:t xml:space="preserve">                              </w:t>
      </w:r>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5"/>
        <w:gridCol w:w="2712"/>
        <w:gridCol w:w="2589"/>
        <w:gridCol w:w="2702"/>
      </w:tblGrid>
      <w:tr w14:paraId="6A8B13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trPr>
        <w:tc>
          <w:tcPr>
            <w:tcW w:w="525" w:type="dxa"/>
            <w:tcBorders>
              <w:top w:val="single" w:color="auto" w:sz="4" w:space="0"/>
              <w:left w:val="single" w:color="auto" w:sz="4" w:space="0"/>
              <w:bottom w:val="single" w:color="auto" w:sz="4" w:space="0"/>
              <w:right w:val="single" w:color="auto" w:sz="4" w:space="0"/>
            </w:tcBorders>
            <w:vAlign w:val="center"/>
          </w:tcPr>
          <w:p w14:paraId="627BF73C">
            <w:pPr>
              <w:pStyle w:val="73"/>
              <w:spacing w:line="5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2712" w:type="dxa"/>
            <w:tcBorders>
              <w:top w:val="single" w:color="auto" w:sz="4" w:space="0"/>
              <w:left w:val="single" w:color="auto" w:sz="4" w:space="0"/>
              <w:bottom w:val="single" w:color="auto" w:sz="4" w:space="0"/>
              <w:right w:val="single" w:color="auto" w:sz="4" w:space="0"/>
            </w:tcBorders>
            <w:vAlign w:val="center"/>
          </w:tcPr>
          <w:p w14:paraId="32749FEC">
            <w:pPr>
              <w:pStyle w:val="73"/>
              <w:spacing w:line="5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磋商文件要求部分</w:t>
            </w:r>
          </w:p>
        </w:tc>
        <w:tc>
          <w:tcPr>
            <w:tcW w:w="2589" w:type="dxa"/>
            <w:tcBorders>
              <w:top w:val="single" w:color="auto" w:sz="4" w:space="0"/>
              <w:left w:val="single" w:color="auto" w:sz="4" w:space="0"/>
              <w:bottom w:val="single" w:color="auto" w:sz="4" w:space="0"/>
              <w:right w:val="single" w:color="auto" w:sz="4" w:space="0"/>
            </w:tcBorders>
            <w:vAlign w:val="center"/>
          </w:tcPr>
          <w:p w14:paraId="24E11737">
            <w:pPr>
              <w:pStyle w:val="73"/>
              <w:spacing w:line="5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投标服务</w:t>
            </w:r>
          </w:p>
          <w:p w14:paraId="366F830C">
            <w:pPr>
              <w:pStyle w:val="73"/>
              <w:spacing w:line="5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响应部分</w:t>
            </w:r>
          </w:p>
        </w:tc>
        <w:tc>
          <w:tcPr>
            <w:tcW w:w="2702" w:type="dxa"/>
            <w:tcBorders>
              <w:top w:val="single" w:color="auto" w:sz="4" w:space="0"/>
              <w:left w:val="single" w:color="auto" w:sz="4" w:space="0"/>
              <w:bottom w:val="single" w:color="auto" w:sz="4" w:space="0"/>
              <w:right w:val="single" w:color="auto" w:sz="4" w:space="0"/>
            </w:tcBorders>
            <w:vAlign w:val="center"/>
          </w:tcPr>
          <w:p w14:paraId="6F7FA271">
            <w:pPr>
              <w:pStyle w:val="73"/>
              <w:spacing w:line="5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偏离说明</w:t>
            </w:r>
          </w:p>
        </w:tc>
      </w:tr>
      <w:tr w14:paraId="0D2F7E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525" w:type="dxa"/>
            <w:tcBorders>
              <w:top w:val="single" w:color="auto" w:sz="4" w:space="0"/>
              <w:left w:val="single" w:color="auto" w:sz="4" w:space="0"/>
              <w:bottom w:val="single" w:color="auto" w:sz="4" w:space="0"/>
              <w:right w:val="single" w:color="auto" w:sz="4" w:space="0"/>
            </w:tcBorders>
            <w:vAlign w:val="center"/>
          </w:tcPr>
          <w:p w14:paraId="25DAE00F">
            <w:pPr>
              <w:pStyle w:val="73"/>
              <w:spacing w:line="5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2712" w:type="dxa"/>
            <w:tcBorders>
              <w:top w:val="single" w:color="auto" w:sz="4" w:space="0"/>
              <w:left w:val="single" w:color="auto" w:sz="4" w:space="0"/>
              <w:bottom w:val="single" w:color="auto" w:sz="4" w:space="0"/>
              <w:right w:val="single" w:color="auto" w:sz="4" w:space="0"/>
            </w:tcBorders>
            <w:vAlign w:val="center"/>
          </w:tcPr>
          <w:p w14:paraId="7805A6C2">
            <w:pPr>
              <w:pStyle w:val="73"/>
              <w:spacing w:line="500" w:lineRule="exact"/>
              <w:rPr>
                <w:rFonts w:hint="eastAsia" w:ascii="宋体" w:hAnsi="宋体" w:eastAsia="宋体" w:cs="宋体"/>
                <w:color w:val="auto"/>
                <w:sz w:val="24"/>
                <w:szCs w:val="24"/>
                <w:highlight w:val="none"/>
              </w:rPr>
            </w:pPr>
          </w:p>
        </w:tc>
        <w:tc>
          <w:tcPr>
            <w:tcW w:w="2589" w:type="dxa"/>
            <w:tcBorders>
              <w:top w:val="single" w:color="auto" w:sz="4" w:space="0"/>
              <w:left w:val="single" w:color="auto" w:sz="4" w:space="0"/>
              <w:bottom w:val="single" w:color="auto" w:sz="4" w:space="0"/>
              <w:right w:val="single" w:color="auto" w:sz="4" w:space="0"/>
            </w:tcBorders>
            <w:vAlign w:val="center"/>
          </w:tcPr>
          <w:p w14:paraId="3D3AF26B">
            <w:pPr>
              <w:pStyle w:val="73"/>
              <w:spacing w:line="500" w:lineRule="exact"/>
              <w:rPr>
                <w:rFonts w:hint="eastAsia" w:ascii="宋体" w:hAnsi="宋体" w:eastAsia="宋体" w:cs="宋体"/>
                <w:color w:val="auto"/>
                <w:sz w:val="24"/>
                <w:szCs w:val="24"/>
                <w:highlight w:val="none"/>
              </w:rPr>
            </w:pPr>
          </w:p>
        </w:tc>
        <w:tc>
          <w:tcPr>
            <w:tcW w:w="2702" w:type="dxa"/>
            <w:tcBorders>
              <w:top w:val="single" w:color="auto" w:sz="4" w:space="0"/>
              <w:left w:val="single" w:color="auto" w:sz="4" w:space="0"/>
              <w:bottom w:val="single" w:color="auto" w:sz="4" w:space="0"/>
              <w:right w:val="single" w:color="auto" w:sz="4" w:space="0"/>
            </w:tcBorders>
            <w:vAlign w:val="center"/>
          </w:tcPr>
          <w:p w14:paraId="1F1C302B">
            <w:pPr>
              <w:pStyle w:val="73"/>
              <w:spacing w:line="500" w:lineRule="exact"/>
              <w:rPr>
                <w:rFonts w:hint="eastAsia" w:ascii="宋体" w:hAnsi="宋体" w:eastAsia="宋体" w:cs="宋体"/>
                <w:color w:val="auto"/>
                <w:sz w:val="24"/>
                <w:szCs w:val="24"/>
                <w:highlight w:val="none"/>
              </w:rPr>
            </w:pPr>
          </w:p>
        </w:tc>
      </w:tr>
      <w:tr w14:paraId="421A84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525" w:type="dxa"/>
            <w:tcBorders>
              <w:top w:val="single" w:color="auto" w:sz="4" w:space="0"/>
              <w:left w:val="single" w:color="auto" w:sz="4" w:space="0"/>
              <w:bottom w:val="single" w:color="auto" w:sz="4" w:space="0"/>
              <w:right w:val="single" w:color="auto" w:sz="4" w:space="0"/>
            </w:tcBorders>
            <w:vAlign w:val="center"/>
          </w:tcPr>
          <w:p w14:paraId="73F73484">
            <w:pPr>
              <w:pStyle w:val="73"/>
              <w:spacing w:line="5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2712" w:type="dxa"/>
            <w:tcBorders>
              <w:top w:val="single" w:color="auto" w:sz="4" w:space="0"/>
              <w:left w:val="single" w:color="auto" w:sz="4" w:space="0"/>
              <w:bottom w:val="single" w:color="auto" w:sz="4" w:space="0"/>
              <w:right w:val="single" w:color="auto" w:sz="4" w:space="0"/>
            </w:tcBorders>
            <w:vAlign w:val="center"/>
          </w:tcPr>
          <w:p w14:paraId="6CCA5A00">
            <w:pPr>
              <w:pStyle w:val="73"/>
              <w:spacing w:line="500" w:lineRule="exact"/>
              <w:rPr>
                <w:rFonts w:hint="eastAsia" w:ascii="宋体" w:hAnsi="宋体" w:eastAsia="宋体" w:cs="宋体"/>
                <w:color w:val="auto"/>
                <w:sz w:val="24"/>
                <w:szCs w:val="24"/>
                <w:highlight w:val="none"/>
              </w:rPr>
            </w:pPr>
          </w:p>
        </w:tc>
        <w:tc>
          <w:tcPr>
            <w:tcW w:w="2589" w:type="dxa"/>
            <w:tcBorders>
              <w:top w:val="single" w:color="auto" w:sz="4" w:space="0"/>
              <w:left w:val="single" w:color="auto" w:sz="4" w:space="0"/>
              <w:bottom w:val="single" w:color="auto" w:sz="4" w:space="0"/>
              <w:right w:val="single" w:color="auto" w:sz="4" w:space="0"/>
            </w:tcBorders>
            <w:vAlign w:val="center"/>
          </w:tcPr>
          <w:p w14:paraId="53BB9990">
            <w:pPr>
              <w:pStyle w:val="73"/>
              <w:spacing w:line="500" w:lineRule="exact"/>
              <w:rPr>
                <w:rFonts w:hint="eastAsia" w:ascii="宋体" w:hAnsi="宋体" w:eastAsia="宋体" w:cs="宋体"/>
                <w:color w:val="auto"/>
                <w:sz w:val="24"/>
                <w:szCs w:val="24"/>
                <w:highlight w:val="none"/>
              </w:rPr>
            </w:pPr>
          </w:p>
        </w:tc>
        <w:tc>
          <w:tcPr>
            <w:tcW w:w="2702" w:type="dxa"/>
            <w:tcBorders>
              <w:top w:val="single" w:color="auto" w:sz="4" w:space="0"/>
              <w:left w:val="single" w:color="auto" w:sz="4" w:space="0"/>
              <w:bottom w:val="single" w:color="auto" w:sz="4" w:space="0"/>
              <w:right w:val="single" w:color="auto" w:sz="4" w:space="0"/>
            </w:tcBorders>
            <w:vAlign w:val="center"/>
          </w:tcPr>
          <w:p w14:paraId="59FAAAB9">
            <w:pPr>
              <w:pStyle w:val="73"/>
              <w:spacing w:line="500" w:lineRule="exact"/>
              <w:rPr>
                <w:rFonts w:hint="eastAsia" w:ascii="宋体" w:hAnsi="宋体" w:eastAsia="宋体" w:cs="宋体"/>
                <w:color w:val="auto"/>
                <w:sz w:val="24"/>
                <w:szCs w:val="24"/>
                <w:highlight w:val="none"/>
              </w:rPr>
            </w:pPr>
          </w:p>
        </w:tc>
      </w:tr>
      <w:tr w14:paraId="76C4D4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525" w:type="dxa"/>
            <w:tcBorders>
              <w:top w:val="single" w:color="auto" w:sz="4" w:space="0"/>
              <w:left w:val="single" w:color="auto" w:sz="4" w:space="0"/>
              <w:bottom w:val="single" w:color="auto" w:sz="4" w:space="0"/>
              <w:right w:val="single" w:color="auto" w:sz="4" w:space="0"/>
            </w:tcBorders>
            <w:vAlign w:val="center"/>
          </w:tcPr>
          <w:p w14:paraId="3643BBCF">
            <w:pPr>
              <w:pStyle w:val="73"/>
              <w:spacing w:line="5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2712" w:type="dxa"/>
            <w:tcBorders>
              <w:top w:val="single" w:color="auto" w:sz="4" w:space="0"/>
              <w:left w:val="single" w:color="auto" w:sz="4" w:space="0"/>
              <w:bottom w:val="single" w:color="auto" w:sz="4" w:space="0"/>
              <w:right w:val="single" w:color="auto" w:sz="4" w:space="0"/>
            </w:tcBorders>
            <w:vAlign w:val="center"/>
          </w:tcPr>
          <w:p w14:paraId="6F1661C0">
            <w:pPr>
              <w:pStyle w:val="73"/>
              <w:spacing w:line="500" w:lineRule="exact"/>
              <w:rPr>
                <w:rFonts w:hint="eastAsia" w:ascii="宋体" w:hAnsi="宋体" w:eastAsia="宋体" w:cs="宋体"/>
                <w:color w:val="auto"/>
                <w:sz w:val="24"/>
                <w:szCs w:val="24"/>
                <w:highlight w:val="none"/>
              </w:rPr>
            </w:pPr>
          </w:p>
        </w:tc>
        <w:tc>
          <w:tcPr>
            <w:tcW w:w="2589" w:type="dxa"/>
            <w:tcBorders>
              <w:top w:val="single" w:color="auto" w:sz="4" w:space="0"/>
              <w:left w:val="single" w:color="auto" w:sz="4" w:space="0"/>
              <w:bottom w:val="single" w:color="auto" w:sz="4" w:space="0"/>
              <w:right w:val="single" w:color="auto" w:sz="4" w:space="0"/>
            </w:tcBorders>
            <w:vAlign w:val="center"/>
          </w:tcPr>
          <w:p w14:paraId="014E6F60">
            <w:pPr>
              <w:pStyle w:val="73"/>
              <w:spacing w:line="500" w:lineRule="exact"/>
              <w:rPr>
                <w:rFonts w:hint="eastAsia" w:ascii="宋体" w:hAnsi="宋体" w:eastAsia="宋体" w:cs="宋体"/>
                <w:color w:val="auto"/>
                <w:sz w:val="24"/>
                <w:szCs w:val="24"/>
                <w:highlight w:val="none"/>
              </w:rPr>
            </w:pPr>
          </w:p>
        </w:tc>
        <w:tc>
          <w:tcPr>
            <w:tcW w:w="2702" w:type="dxa"/>
            <w:tcBorders>
              <w:top w:val="single" w:color="auto" w:sz="4" w:space="0"/>
              <w:left w:val="single" w:color="auto" w:sz="4" w:space="0"/>
              <w:bottom w:val="single" w:color="auto" w:sz="4" w:space="0"/>
              <w:right w:val="single" w:color="auto" w:sz="4" w:space="0"/>
            </w:tcBorders>
            <w:vAlign w:val="center"/>
          </w:tcPr>
          <w:p w14:paraId="5529373A">
            <w:pPr>
              <w:pStyle w:val="73"/>
              <w:spacing w:line="500" w:lineRule="exact"/>
              <w:rPr>
                <w:rFonts w:hint="eastAsia" w:ascii="宋体" w:hAnsi="宋体" w:eastAsia="宋体" w:cs="宋体"/>
                <w:color w:val="auto"/>
                <w:sz w:val="24"/>
                <w:szCs w:val="24"/>
                <w:highlight w:val="none"/>
              </w:rPr>
            </w:pPr>
          </w:p>
        </w:tc>
      </w:tr>
      <w:tr w14:paraId="6FCED4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525" w:type="dxa"/>
            <w:tcBorders>
              <w:top w:val="single" w:color="auto" w:sz="4" w:space="0"/>
              <w:left w:val="single" w:color="auto" w:sz="4" w:space="0"/>
              <w:bottom w:val="single" w:color="auto" w:sz="4" w:space="0"/>
              <w:right w:val="single" w:color="auto" w:sz="4" w:space="0"/>
            </w:tcBorders>
            <w:vAlign w:val="center"/>
          </w:tcPr>
          <w:p w14:paraId="25F6F096">
            <w:pPr>
              <w:pStyle w:val="73"/>
              <w:spacing w:line="5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p>
        </w:tc>
        <w:tc>
          <w:tcPr>
            <w:tcW w:w="2712" w:type="dxa"/>
            <w:tcBorders>
              <w:top w:val="single" w:color="auto" w:sz="4" w:space="0"/>
              <w:left w:val="single" w:color="auto" w:sz="4" w:space="0"/>
              <w:bottom w:val="single" w:color="auto" w:sz="4" w:space="0"/>
              <w:right w:val="single" w:color="auto" w:sz="4" w:space="0"/>
            </w:tcBorders>
            <w:vAlign w:val="center"/>
          </w:tcPr>
          <w:p w14:paraId="2CF18FE1">
            <w:pPr>
              <w:pStyle w:val="73"/>
              <w:spacing w:line="500" w:lineRule="exact"/>
              <w:rPr>
                <w:rFonts w:hint="eastAsia" w:ascii="宋体" w:hAnsi="宋体" w:eastAsia="宋体" w:cs="宋体"/>
                <w:color w:val="auto"/>
                <w:sz w:val="24"/>
                <w:szCs w:val="24"/>
                <w:highlight w:val="none"/>
              </w:rPr>
            </w:pPr>
          </w:p>
        </w:tc>
        <w:tc>
          <w:tcPr>
            <w:tcW w:w="2589" w:type="dxa"/>
            <w:tcBorders>
              <w:top w:val="single" w:color="auto" w:sz="4" w:space="0"/>
              <w:left w:val="single" w:color="auto" w:sz="4" w:space="0"/>
              <w:bottom w:val="single" w:color="auto" w:sz="4" w:space="0"/>
              <w:right w:val="single" w:color="auto" w:sz="4" w:space="0"/>
            </w:tcBorders>
            <w:vAlign w:val="center"/>
          </w:tcPr>
          <w:p w14:paraId="72250868">
            <w:pPr>
              <w:pStyle w:val="73"/>
              <w:spacing w:line="500" w:lineRule="exact"/>
              <w:rPr>
                <w:rFonts w:hint="eastAsia" w:ascii="宋体" w:hAnsi="宋体" w:eastAsia="宋体" w:cs="宋体"/>
                <w:color w:val="auto"/>
                <w:sz w:val="24"/>
                <w:szCs w:val="24"/>
                <w:highlight w:val="none"/>
              </w:rPr>
            </w:pPr>
          </w:p>
        </w:tc>
        <w:tc>
          <w:tcPr>
            <w:tcW w:w="2702" w:type="dxa"/>
            <w:tcBorders>
              <w:top w:val="single" w:color="auto" w:sz="4" w:space="0"/>
              <w:left w:val="single" w:color="auto" w:sz="4" w:space="0"/>
              <w:bottom w:val="single" w:color="auto" w:sz="4" w:space="0"/>
              <w:right w:val="single" w:color="auto" w:sz="4" w:space="0"/>
            </w:tcBorders>
            <w:vAlign w:val="center"/>
          </w:tcPr>
          <w:p w14:paraId="1692B781">
            <w:pPr>
              <w:pStyle w:val="73"/>
              <w:spacing w:line="500" w:lineRule="exact"/>
              <w:rPr>
                <w:rFonts w:hint="eastAsia" w:ascii="宋体" w:hAnsi="宋体" w:eastAsia="宋体" w:cs="宋体"/>
                <w:color w:val="auto"/>
                <w:sz w:val="24"/>
                <w:szCs w:val="24"/>
                <w:highlight w:val="none"/>
              </w:rPr>
            </w:pPr>
          </w:p>
        </w:tc>
      </w:tr>
      <w:tr w14:paraId="181F45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525" w:type="dxa"/>
            <w:tcBorders>
              <w:top w:val="single" w:color="auto" w:sz="4" w:space="0"/>
              <w:left w:val="single" w:color="auto" w:sz="4" w:space="0"/>
              <w:bottom w:val="single" w:color="auto" w:sz="4" w:space="0"/>
              <w:right w:val="single" w:color="auto" w:sz="4" w:space="0"/>
            </w:tcBorders>
            <w:vAlign w:val="center"/>
          </w:tcPr>
          <w:p w14:paraId="1C209249">
            <w:pPr>
              <w:pStyle w:val="73"/>
              <w:spacing w:line="5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p>
        </w:tc>
        <w:tc>
          <w:tcPr>
            <w:tcW w:w="2712" w:type="dxa"/>
            <w:tcBorders>
              <w:top w:val="single" w:color="auto" w:sz="4" w:space="0"/>
              <w:left w:val="single" w:color="auto" w:sz="4" w:space="0"/>
              <w:bottom w:val="single" w:color="auto" w:sz="4" w:space="0"/>
              <w:right w:val="single" w:color="auto" w:sz="4" w:space="0"/>
            </w:tcBorders>
            <w:vAlign w:val="center"/>
          </w:tcPr>
          <w:p w14:paraId="1CE2B78E">
            <w:pPr>
              <w:pStyle w:val="73"/>
              <w:spacing w:line="500" w:lineRule="exact"/>
              <w:rPr>
                <w:rFonts w:hint="eastAsia" w:ascii="宋体" w:hAnsi="宋体" w:eastAsia="宋体" w:cs="宋体"/>
                <w:color w:val="auto"/>
                <w:sz w:val="24"/>
                <w:szCs w:val="24"/>
                <w:highlight w:val="none"/>
              </w:rPr>
            </w:pPr>
          </w:p>
        </w:tc>
        <w:tc>
          <w:tcPr>
            <w:tcW w:w="2589" w:type="dxa"/>
            <w:tcBorders>
              <w:top w:val="single" w:color="auto" w:sz="4" w:space="0"/>
              <w:left w:val="single" w:color="auto" w:sz="4" w:space="0"/>
              <w:bottom w:val="single" w:color="auto" w:sz="4" w:space="0"/>
              <w:right w:val="single" w:color="auto" w:sz="4" w:space="0"/>
            </w:tcBorders>
            <w:vAlign w:val="center"/>
          </w:tcPr>
          <w:p w14:paraId="44F6190A">
            <w:pPr>
              <w:pStyle w:val="73"/>
              <w:spacing w:line="500" w:lineRule="exact"/>
              <w:rPr>
                <w:rFonts w:hint="eastAsia" w:ascii="宋体" w:hAnsi="宋体" w:eastAsia="宋体" w:cs="宋体"/>
                <w:color w:val="auto"/>
                <w:sz w:val="24"/>
                <w:szCs w:val="24"/>
                <w:highlight w:val="none"/>
              </w:rPr>
            </w:pPr>
          </w:p>
        </w:tc>
        <w:tc>
          <w:tcPr>
            <w:tcW w:w="2702" w:type="dxa"/>
            <w:tcBorders>
              <w:top w:val="single" w:color="auto" w:sz="4" w:space="0"/>
              <w:left w:val="single" w:color="auto" w:sz="4" w:space="0"/>
              <w:bottom w:val="single" w:color="auto" w:sz="4" w:space="0"/>
              <w:right w:val="single" w:color="auto" w:sz="4" w:space="0"/>
            </w:tcBorders>
            <w:vAlign w:val="center"/>
          </w:tcPr>
          <w:p w14:paraId="7449247D">
            <w:pPr>
              <w:pStyle w:val="73"/>
              <w:spacing w:line="500" w:lineRule="exact"/>
              <w:rPr>
                <w:rFonts w:hint="eastAsia" w:ascii="宋体" w:hAnsi="宋体" w:eastAsia="宋体" w:cs="宋体"/>
                <w:color w:val="auto"/>
                <w:sz w:val="24"/>
                <w:szCs w:val="24"/>
                <w:highlight w:val="none"/>
              </w:rPr>
            </w:pPr>
          </w:p>
        </w:tc>
      </w:tr>
      <w:tr w14:paraId="268D10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525" w:type="dxa"/>
            <w:tcBorders>
              <w:top w:val="single" w:color="auto" w:sz="4" w:space="0"/>
              <w:left w:val="single" w:color="auto" w:sz="4" w:space="0"/>
              <w:bottom w:val="single" w:color="auto" w:sz="4" w:space="0"/>
              <w:right w:val="single" w:color="auto" w:sz="4" w:space="0"/>
            </w:tcBorders>
            <w:vAlign w:val="center"/>
          </w:tcPr>
          <w:p w14:paraId="791918AB">
            <w:pPr>
              <w:pStyle w:val="73"/>
              <w:spacing w:line="5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w:t>
            </w:r>
          </w:p>
        </w:tc>
        <w:tc>
          <w:tcPr>
            <w:tcW w:w="2712" w:type="dxa"/>
            <w:tcBorders>
              <w:top w:val="single" w:color="auto" w:sz="4" w:space="0"/>
              <w:left w:val="single" w:color="auto" w:sz="4" w:space="0"/>
              <w:bottom w:val="single" w:color="auto" w:sz="4" w:space="0"/>
              <w:right w:val="single" w:color="auto" w:sz="4" w:space="0"/>
            </w:tcBorders>
            <w:vAlign w:val="center"/>
          </w:tcPr>
          <w:p w14:paraId="568E9D8E">
            <w:pPr>
              <w:pStyle w:val="73"/>
              <w:spacing w:line="500" w:lineRule="exact"/>
              <w:rPr>
                <w:rFonts w:hint="eastAsia" w:ascii="宋体" w:hAnsi="宋体" w:eastAsia="宋体" w:cs="宋体"/>
                <w:color w:val="auto"/>
                <w:sz w:val="24"/>
                <w:szCs w:val="24"/>
                <w:highlight w:val="none"/>
              </w:rPr>
            </w:pPr>
          </w:p>
        </w:tc>
        <w:tc>
          <w:tcPr>
            <w:tcW w:w="2589" w:type="dxa"/>
            <w:tcBorders>
              <w:top w:val="single" w:color="auto" w:sz="4" w:space="0"/>
              <w:left w:val="single" w:color="auto" w:sz="4" w:space="0"/>
              <w:bottom w:val="single" w:color="auto" w:sz="4" w:space="0"/>
              <w:right w:val="single" w:color="auto" w:sz="4" w:space="0"/>
            </w:tcBorders>
            <w:vAlign w:val="center"/>
          </w:tcPr>
          <w:p w14:paraId="08A939F7">
            <w:pPr>
              <w:pStyle w:val="73"/>
              <w:spacing w:line="500" w:lineRule="exact"/>
              <w:rPr>
                <w:rFonts w:hint="eastAsia" w:ascii="宋体" w:hAnsi="宋体" w:eastAsia="宋体" w:cs="宋体"/>
                <w:color w:val="auto"/>
                <w:sz w:val="24"/>
                <w:szCs w:val="24"/>
                <w:highlight w:val="none"/>
              </w:rPr>
            </w:pPr>
          </w:p>
        </w:tc>
        <w:tc>
          <w:tcPr>
            <w:tcW w:w="2702" w:type="dxa"/>
            <w:tcBorders>
              <w:top w:val="single" w:color="auto" w:sz="4" w:space="0"/>
              <w:left w:val="single" w:color="auto" w:sz="4" w:space="0"/>
              <w:bottom w:val="single" w:color="auto" w:sz="4" w:space="0"/>
              <w:right w:val="single" w:color="auto" w:sz="4" w:space="0"/>
            </w:tcBorders>
            <w:vAlign w:val="center"/>
          </w:tcPr>
          <w:p w14:paraId="66F9E43E">
            <w:pPr>
              <w:pStyle w:val="73"/>
              <w:spacing w:line="500" w:lineRule="exact"/>
              <w:rPr>
                <w:rFonts w:hint="eastAsia" w:ascii="宋体" w:hAnsi="宋体" w:eastAsia="宋体" w:cs="宋体"/>
                <w:color w:val="auto"/>
                <w:sz w:val="24"/>
                <w:szCs w:val="24"/>
                <w:highlight w:val="none"/>
              </w:rPr>
            </w:pPr>
          </w:p>
        </w:tc>
      </w:tr>
      <w:tr w14:paraId="50B1D0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525" w:type="dxa"/>
            <w:tcBorders>
              <w:top w:val="single" w:color="auto" w:sz="4" w:space="0"/>
              <w:left w:val="single" w:color="auto" w:sz="4" w:space="0"/>
              <w:bottom w:val="single" w:color="auto" w:sz="4" w:space="0"/>
              <w:right w:val="single" w:color="auto" w:sz="4" w:space="0"/>
            </w:tcBorders>
            <w:vAlign w:val="center"/>
          </w:tcPr>
          <w:p w14:paraId="32E505AF">
            <w:pPr>
              <w:pStyle w:val="73"/>
              <w:spacing w:line="5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w:t>
            </w:r>
          </w:p>
        </w:tc>
        <w:tc>
          <w:tcPr>
            <w:tcW w:w="2712" w:type="dxa"/>
            <w:tcBorders>
              <w:top w:val="single" w:color="auto" w:sz="4" w:space="0"/>
              <w:left w:val="single" w:color="auto" w:sz="4" w:space="0"/>
              <w:bottom w:val="single" w:color="auto" w:sz="4" w:space="0"/>
              <w:right w:val="single" w:color="auto" w:sz="4" w:space="0"/>
            </w:tcBorders>
            <w:vAlign w:val="center"/>
          </w:tcPr>
          <w:p w14:paraId="27046CFB">
            <w:pPr>
              <w:pStyle w:val="73"/>
              <w:spacing w:line="500" w:lineRule="exact"/>
              <w:rPr>
                <w:rFonts w:hint="eastAsia" w:ascii="宋体" w:hAnsi="宋体" w:eastAsia="宋体" w:cs="宋体"/>
                <w:color w:val="auto"/>
                <w:sz w:val="24"/>
                <w:szCs w:val="24"/>
                <w:highlight w:val="none"/>
              </w:rPr>
            </w:pPr>
          </w:p>
        </w:tc>
        <w:tc>
          <w:tcPr>
            <w:tcW w:w="2589" w:type="dxa"/>
            <w:tcBorders>
              <w:top w:val="single" w:color="auto" w:sz="4" w:space="0"/>
              <w:left w:val="single" w:color="auto" w:sz="4" w:space="0"/>
              <w:bottom w:val="single" w:color="auto" w:sz="4" w:space="0"/>
              <w:right w:val="single" w:color="auto" w:sz="4" w:space="0"/>
            </w:tcBorders>
            <w:vAlign w:val="center"/>
          </w:tcPr>
          <w:p w14:paraId="649FF381">
            <w:pPr>
              <w:pStyle w:val="73"/>
              <w:spacing w:line="500" w:lineRule="exact"/>
              <w:rPr>
                <w:rFonts w:hint="eastAsia" w:ascii="宋体" w:hAnsi="宋体" w:eastAsia="宋体" w:cs="宋体"/>
                <w:color w:val="auto"/>
                <w:sz w:val="24"/>
                <w:szCs w:val="24"/>
                <w:highlight w:val="none"/>
              </w:rPr>
            </w:pPr>
          </w:p>
        </w:tc>
        <w:tc>
          <w:tcPr>
            <w:tcW w:w="2702" w:type="dxa"/>
            <w:tcBorders>
              <w:top w:val="single" w:color="auto" w:sz="4" w:space="0"/>
              <w:left w:val="single" w:color="auto" w:sz="4" w:space="0"/>
              <w:bottom w:val="single" w:color="auto" w:sz="4" w:space="0"/>
              <w:right w:val="single" w:color="auto" w:sz="4" w:space="0"/>
            </w:tcBorders>
            <w:vAlign w:val="center"/>
          </w:tcPr>
          <w:p w14:paraId="754E2931">
            <w:pPr>
              <w:pStyle w:val="73"/>
              <w:spacing w:line="500" w:lineRule="exact"/>
              <w:rPr>
                <w:rFonts w:hint="eastAsia" w:ascii="宋体" w:hAnsi="宋体" w:eastAsia="宋体" w:cs="宋体"/>
                <w:color w:val="auto"/>
                <w:sz w:val="24"/>
                <w:szCs w:val="24"/>
                <w:highlight w:val="none"/>
              </w:rPr>
            </w:pPr>
          </w:p>
        </w:tc>
      </w:tr>
      <w:tr w14:paraId="351C8E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525" w:type="dxa"/>
            <w:tcBorders>
              <w:top w:val="single" w:color="auto" w:sz="4" w:space="0"/>
              <w:left w:val="single" w:color="auto" w:sz="4" w:space="0"/>
              <w:bottom w:val="single" w:color="auto" w:sz="4" w:space="0"/>
              <w:right w:val="single" w:color="auto" w:sz="4" w:space="0"/>
            </w:tcBorders>
            <w:vAlign w:val="center"/>
          </w:tcPr>
          <w:p w14:paraId="18583A9C">
            <w:pPr>
              <w:pStyle w:val="73"/>
              <w:spacing w:line="5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w:t>
            </w:r>
          </w:p>
        </w:tc>
        <w:tc>
          <w:tcPr>
            <w:tcW w:w="2712" w:type="dxa"/>
            <w:tcBorders>
              <w:top w:val="single" w:color="auto" w:sz="4" w:space="0"/>
              <w:left w:val="single" w:color="auto" w:sz="4" w:space="0"/>
              <w:bottom w:val="single" w:color="auto" w:sz="4" w:space="0"/>
              <w:right w:val="single" w:color="auto" w:sz="4" w:space="0"/>
            </w:tcBorders>
            <w:vAlign w:val="center"/>
          </w:tcPr>
          <w:p w14:paraId="09A155DA">
            <w:pPr>
              <w:pStyle w:val="73"/>
              <w:spacing w:line="500" w:lineRule="exact"/>
              <w:rPr>
                <w:rFonts w:hint="eastAsia" w:ascii="宋体" w:hAnsi="宋体" w:eastAsia="宋体" w:cs="宋体"/>
                <w:color w:val="auto"/>
                <w:sz w:val="24"/>
                <w:szCs w:val="24"/>
                <w:highlight w:val="none"/>
              </w:rPr>
            </w:pPr>
          </w:p>
        </w:tc>
        <w:tc>
          <w:tcPr>
            <w:tcW w:w="2589" w:type="dxa"/>
            <w:tcBorders>
              <w:top w:val="single" w:color="auto" w:sz="4" w:space="0"/>
              <w:left w:val="single" w:color="auto" w:sz="4" w:space="0"/>
              <w:bottom w:val="single" w:color="auto" w:sz="4" w:space="0"/>
              <w:right w:val="single" w:color="auto" w:sz="4" w:space="0"/>
            </w:tcBorders>
            <w:vAlign w:val="center"/>
          </w:tcPr>
          <w:p w14:paraId="5CA62489">
            <w:pPr>
              <w:pStyle w:val="73"/>
              <w:spacing w:line="500" w:lineRule="exact"/>
              <w:rPr>
                <w:rFonts w:hint="eastAsia" w:ascii="宋体" w:hAnsi="宋体" w:eastAsia="宋体" w:cs="宋体"/>
                <w:color w:val="auto"/>
                <w:sz w:val="24"/>
                <w:szCs w:val="24"/>
                <w:highlight w:val="none"/>
              </w:rPr>
            </w:pPr>
          </w:p>
        </w:tc>
        <w:tc>
          <w:tcPr>
            <w:tcW w:w="2702" w:type="dxa"/>
            <w:tcBorders>
              <w:top w:val="single" w:color="auto" w:sz="4" w:space="0"/>
              <w:left w:val="single" w:color="auto" w:sz="4" w:space="0"/>
              <w:bottom w:val="single" w:color="auto" w:sz="4" w:space="0"/>
              <w:right w:val="single" w:color="auto" w:sz="4" w:space="0"/>
            </w:tcBorders>
            <w:vAlign w:val="center"/>
          </w:tcPr>
          <w:p w14:paraId="7771402A">
            <w:pPr>
              <w:pStyle w:val="73"/>
              <w:spacing w:line="500" w:lineRule="exact"/>
              <w:rPr>
                <w:rFonts w:hint="eastAsia" w:ascii="宋体" w:hAnsi="宋体" w:eastAsia="宋体" w:cs="宋体"/>
                <w:color w:val="auto"/>
                <w:sz w:val="24"/>
                <w:szCs w:val="24"/>
                <w:highlight w:val="none"/>
              </w:rPr>
            </w:pPr>
          </w:p>
        </w:tc>
      </w:tr>
      <w:tr w14:paraId="01100E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525" w:type="dxa"/>
            <w:tcBorders>
              <w:top w:val="single" w:color="auto" w:sz="4" w:space="0"/>
              <w:left w:val="single" w:color="auto" w:sz="4" w:space="0"/>
              <w:bottom w:val="single" w:color="auto" w:sz="4" w:space="0"/>
              <w:right w:val="single" w:color="auto" w:sz="4" w:space="0"/>
            </w:tcBorders>
            <w:vAlign w:val="center"/>
          </w:tcPr>
          <w:p w14:paraId="387816C6">
            <w:pPr>
              <w:pStyle w:val="73"/>
              <w:spacing w:line="5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w:t>
            </w:r>
          </w:p>
        </w:tc>
        <w:tc>
          <w:tcPr>
            <w:tcW w:w="2712" w:type="dxa"/>
            <w:tcBorders>
              <w:top w:val="single" w:color="auto" w:sz="4" w:space="0"/>
              <w:left w:val="single" w:color="auto" w:sz="4" w:space="0"/>
              <w:bottom w:val="single" w:color="auto" w:sz="4" w:space="0"/>
              <w:right w:val="single" w:color="auto" w:sz="4" w:space="0"/>
            </w:tcBorders>
            <w:vAlign w:val="center"/>
          </w:tcPr>
          <w:p w14:paraId="54EECE05">
            <w:pPr>
              <w:pStyle w:val="73"/>
              <w:spacing w:line="500" w:lineRule="exact"/>
              <w:rPr>
                <w:rFonts w:hint="eastAsia" w:ascii="宋体" w:hAnsi="宋体" w:eastAsia="宋体" w:cs="宋体"/>
                <w:color w:val="auto"/>
                <w:sz w:val="24"/>
                <w:szCs w:val="24"/>
                <w:highlight w:val="none"/>
              </w:rPr>
            </w:pPr>
          </w:p>
        </w:tc>
        <w:tc>
          <w:tcPr>
            <w:tcW w:w="2589" w:type="dxa"/>
            <w:tcBorders>
              <w:top w:val="single" w:color="auto" w:sz="4" w:space="0"/>
              <w:left w:val="single" w:color="auto" w:sz="4" w:space="0"/>
              <w:bottom w:val="single" w:color="auto" w:sz="4" w:space="0"/>
              <w:right w:val="single" w:color="auto" w:sz="4" w:space="0"/>
            </w:tcBorders>
            <w:vAlign w:val="center"/>
          </w:tcPr>
          <w:p w14:paraId="0553725D">
            <w:pPr>
              <w:pStyle w:val="73"/>
              <w:spacing w:line="500" w:lineRule="exact"/>
              <w:rPr>
                <w:rFonts w:hint="eastAsia" w:ascii="宋体" w:hAnsi="宋体" w:eastAsia="宋体" w:cs="宋体"/>
                <w:color w:val="auto"/>
                <w:sz w:val="24"/>
                <w:szCs w:val="24"/>
                <w:highlight w:val="none"/>
              </w:rPr>
            </w:pPr>
          </w:p>
        </w:tc>
        <w:tc>
          <w:tcPr>
            <w:tcW w:w="2702" w:type="dxa"/>
            <w:tcBorders>
              <w:top w:val="single" w:color="auto" w:sz="4" w:space="0"/>
              <w:left w:val="single" w:color="auto" w:sz="4" w:space="0"/>
              <w:bottom w:val="single" w:color="auto" w:sz="4" w:space="0"/>
              <w:right w:val="single" w:color="auto" w:sz="4" w:space="0"/>
            </w:tcBorders>
            <w:vAlign w:val="center"/>
          </w:tcPr>
          <w:p w14:paraId="77F3ABC6">
            <w:pPr>
              <w:pStyle w:val="73"/>
              <w:spacing w:line="500" w:lineRule="exact"/>
              <w:rPr>
                <w:rFonts w:hint="eastAsia" w:ascii="宋体" w:hAnsi="宋体" w:eastAsia="宋体" w:cs="宋体"/>
                <w:color w:val="auto"/>
                <w:sz w:val="24"/>
                <w:szCs w:val="24"/>
                <w:highlight w:val="none"/>
              </w:rPr>
            </w:pPr>
          </w:p>
        </w:tc>
      </w:tr>
      <w:tr w14:paraId="6E80E7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525" w:type="dxa"/>
            <w:tcBorders>
              <w:top w:val="single" w:color="auto" w:sz="4" w:space="0"/>
              <w:left w:val="single" w:color="auto" w:sz="4" w:space="0"/>
              <w:bottom w:val="single" w:color="auto" w:sz="4" w:space="0"/>
              <w:right w:val="single" w:color="auto" w:sz="4" w:space="0"/>
            </w:tcBorders>
            <w:vAlign w:val="center"/>
          </w:tcPr>
          <w:p w14:paraId="1DE9C6A6">
            <w:pPr>
              <w:pStyle w:val="73"/>
              <w:spacing w:line="5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tc>
        <w:tc>
          <w:tcPr>
            <w:tcW w:w="2712" w:type="dxa"/>
            <w:tcBorders>
              <w:top w:val="single" w:color="auto" w:sz="4" w:space="0"/>
              <w:left w:val="single" w:color="auto" w:sz="4" w:space="0"/>
              <w:bottom w:val="single" w:color="auto" w:sz="4" w:space="0"/>
              <w:right w:val="single" w:color="auto" w:sz="4" w:space="0"/>
            </w:tcBorders>
            <w:vAlign w:val="center"/>
          </w:tcPr>
          <w:p w14:paraId="1CF19FB8">
            <w:pPr>
              <w:pStyle w:val="73"/>
              <w:spacing w:line="500" w:lineRule="exact"/>
              <w:rPr>
                <w:rFonts w:hint="eastAsia" w:ascii="宋体" w:hAnsi="宋体" w:eastAsia="宋体" w:cs="宋体"/>
                <w:color w:val="auto"/>
                <w:sz w:val="24"/>
                <w:szCs w:val="24"/>
                <w:highlight w:val="none"/>
              </w:rPr>
            </w:pPr>
          </w:p>
        </w:tc>
        <w:tc>
          <w:tcPr>
            <w:tcW w:w="2589" w:type="dxa"/>
            <w:tcBorders>
              <w:top w:val="single" w:color="auto" w:sz="4" w:space="0"/>
              <w:left w:val="single" w:color="auto" w:sz="4" w:space="0"/>
              <w:bottom w:val="single" w:color="auto" w:sz="4" w:space="0"/>
              <w:right w:val="single" w:color="auto" w:sz="4" w:space="0"/>
            </w:tcBorders>
            <w:vAlign w:val="center"/>
          </w:tcPr>
          <w:p w14:paraId="17B054AB">
            <w:pPr>
              <w:pStyle w:val="73"/>
              <w:spacing w:line="500" w:lineRule="exact"/>
              <w:rPr>
                <w:rFonts w:hint="eastAsia" w:ascii="宋体" w:hAnsi="宋体" w:eastAsia="宋体" w:cs="宋体"/>
                <w:color w:val="auto"/>
                <w:sz w:val="24"/>
                <w:szCs w:val="24"/>
                <w:highlight w:val="none"/>
              </w:rPr>
            </w:pPr>
          </w:p>
        </w:tc>
        <w:tc>
          <w:tcPr>
            <w:tcW w:w="2702" w:type="dxa"/>
            <w:tcBorders>
              <w:top w:val="single" w:color="auto" w:sz="4" w:space="0"/>
              <w:left w:val="single" w:color="auto" w:sz="4" w:space="0"/>
              <w:bottom w:val="single" w:color="auto" w:sz="4" w:space="0"/>
              <w:right w:val="single" w:color="auto" w:sz="4" w:space="0"/>
            </w:tcBorders>
            <w:vAlign w:val="center"/>
          </w:tcPr>
          <w:p w14:paraId="3A422794">
            <w:pPr>
              <w:pStyle w:val="73"/>
              <w:spacing w:line="500" w:lineRule="exact"/>
              <w:rPr>
                <w:rFonts w:hint="eastAsia" w:ascii="宋体" w:hAnsi="宋体" w:eastAsia="宋体" w:cs="宋体"/>
                <w:color w:val="auto"/>
                <w:sz w:val="24"/>
                <w:szCs w:val="24"/>
                <w:highlight w:val="none"/>
              </w:rPr>
            </w:pPr>
          </w:p>
        </w:tc>
      </w:tr>
    </w:tbl>
    <w:p w14:paraId="40FDA7B2">
      <w:pPr>
        <w:pStyle w:val="73"/>
        <w:adjustRightInd w:val="0"/>
        <w:snapToGrid w:val="0"/>
        <w:spacing w:line="500" w:lineRule="exact"/>
        <w:rPr>
          <w:rFonts w:hint="eastAsia" w:ascii="宋体" w:hAnsi="宋体" w:eastAsia="宋体" w:cs="宋体"/>
          <w:color w:val="auto"/>
          <w:sz w:val="24"/>
          <w:szCs w:val="24"/>
          <w:highlight w:val="none"/>
        </w:rPr>
      </w:pPr>
    </w:p>
    <w:p w14:paraId="175003A2">
      <w:pPr>
        <w:pStyle w:val="73"/>
        <w:adjustRightInd w:val="0"/>
        <w:snapToGrid w:val="0"/>
        <w:spacing w:line="5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法定代表人（单位负责人）或其委托代理人（签字或电子签章）：</w:t>
      </w:r>
      <w:r>
        <w:rPr>
          <w:rFonts w:hint="eastAsia" w:ascii="宋体" w:hAnsi="宋体" w:eastAsia="宋体" w:cs="宋体"/>
          <w:color w:val="auto"/>
          <w:sz w:val="24"/>
          <w:szCs w:val="24"/>
          <w:highlight w:val="none"/>
          <w:u w:val="single"/>
        </w:rPr>
        <w:t xml:space="preserve">                  </w:t>
      </w:r>
    </w:p>
    <w:p w14:paraId="030A3C51">
      <w:pPr>
        <w:pStyle w:val="73"/>
        <w:adjustRightInd w:val="0"/>
        <w:snapToGrid w:val="0"/>
        <w:spacing w:line="500" w:lineRule="exac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供应商名称（签章）：</w:t>
      </w:r>
      <w:r>
        <w:rPr>
          <w:rFonts w:hint="eastAsia" w:ascii="宋体" w:hAnsi="宋体" w:eastAsia="宋体" w:cs="宋体"/>
          <w:color w:val="auto"/>
          <w:sz w:val="24"/>
          <w:szCs w:val="24"/>
          <w:highlight w:val="none"/>
          <w:u w:val="single"/>
        </w:rPr>
        <w:t xml:space="preserve">                       </w:t>
      </w:r>
    </w:p>
    <w:p w14:paraId="4F9FB65A">
      <w:pPr>
        <w:pStyle w:val="73"/>
        <w:spacing w:line="5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日</w:t>
      </w:r>
    </w:p>
    <w:p w14:paraId="16DCB43B">
      <w:pPr>
        <w:pStyle w:val="74"/>
        <w:spacing w:after="0" w:line="360" w:lineRule="auto"/>
        <w:rPr>
          <w:rFonts w:hint="eastAsia" w:ascii="宋体" w:hAnsi="宋体" w:eastAsia="宋体" w:cs="宋体"/>
          <w:color w:val="auto"/>
          <w:sz w:val="24"/>
          <w:highlight w:val="none"/>
        </w:rPr>
      </w:pPr>
    </w:p>
    <w:p w14:paraId="19912AA1">
      <w:pPr>
        <w:pStyle w:val="74"/>
        <w:spacing w:after="0" w:line="360" w:lineRule="auto"/>
        <w:rPr>
          <w:rFonts w:hint="eastAsia" w:ascii="宋体" w:hAnsi="宋体" w:eastAsia="宋体" w:cs="宋体"/>
          <w:color w:val="auto"/>
          <w:sz w:val="24"/>
          <w:highlight w:val="none"/>
        </w:rPr>
      </w:pPr>
    </w:p>
    <w:p w14:paraId="70B50EC5">
      <w:pPr>
        <w:pStyle w:val="64"/>
        <w:outlineLvl w:val="2"/>
        <w:rPr>
          <w:rFonts w:hint="eastAsia" w:ascii="宋体" w:hAnsi="宋体" w:eastAsia="宋体" w:cs="宋体"/>
          <w:color w:val="auto"/>
          <w:highlight w:val="none"/>
        </w:rPr>
      </w:pPr>
      <w:bookmarkStart w:id="204" w:name="_Toc3742"/>
      <w:bookmarkStart w:id="205" w:name="_Toc17807"/>
      <w:r>
        <w:rPr>
          <w:rFonts w:hint="eastAsia" w:ascii="宋体" w:hAnsi="宋体" w:eastAsia="宋体" w:cs="宋体"/>
          <w:color w:val="auto"/>
          <w:highlight w:val="none"/>
        </w:rPr>
        <w:t>（四）公司资质</w:t>
      </w:r>
      <w:bookmarkEnd w:id="204"/>
      <w:bookmarkEnd w:id="205"/>
    </w:p>
    <w:p w14:paraId="4C77AA54">
      <w:pPr>
        <w:autoSpaceDE w:val="0"/>
        <w:autoSpaceDN w:val="0"/>
        <w:adjustRightInd w:val="0"/>
        <w:spacing w:line="440" w:lineRule="exact"/>
        <w:ind w:firstLine="480" w:firstLineChars="200"/>
        <w:rPr>
          <w:rFonts w:hint="eastAsia" w:ascii="宋体" w:hAnsi="宋体" w:eastAsia="宋体" w:cs="宋体"/>
          <w:color w:val="auto"/>
          <w:sz w:val="24"/>
          <w:highlight w:val="none"/>
        </w:rPr>
        <w:sectPr>
          <w:pgSz w:w="11906" w:h="16838"/>
          <w:pgMar w:top="1440" w:right="1797" w:bottom="1440" w:left="1797" w:header="851" w:footer="992" w:gutter="0"/>
          <w:pgNumType w:fmt="decimal"/>
          <w:cols w:space="720" w:num="1"/>
          <w:titlePg/>
          <w:docGrid w:type="lines" w:linePitch="312" w:charSpace="0"/>
        </w:sectPr>
      </w:pPr>
      <w:r>
        <w:rPr>
          <w:rFonts w:hint="eastAsia" w:ascii="宋体" w:hAnsi="宋体" w:eastAsia="宋体" w:cs="宋体"/>
          <w:color w:val="auto"/>
          <w:sz w:val="24"/>
          <w:highlight w:val="none"/>
        </w:rPr>
        <w:t>建议按照评审标准提供相应资料</w:t>
      </w:r>
    </w:p>
    <w:p w14:paraId="35B07776">
      <w:pPr>
        <w:pStyle w:val="64"/>
        <w:ind w:firstLine="321" w:firstLineChars="100"/>
        <w:outlineLvl w:val="2"/>
        <w:rPr>
          <w:rFonts w:hint="eastAsia" w:ascii="宋体" w:hAnsi="宋体" w:eastAsia="宋体" w:cs="宋体"/>
          <w:color w:val="auto"/>
          <w:highlight w:val="none"/>
        </w:rPr>
      </w:pPr>
      <w:bookmarkStart w:id="206" w:name="_Toc13064"/>
      <w:bookmarkStart w:id="207" w:name="_Toc8777"/>
      <w:r>
        <w:rPr>
          <w:rFonts w:hint="eastAsia" w:ascii="宋体" w:hAnsi="宋体" w:eastAsia="宋体" w:cs="宋体"/>
          <w:color w:val="auto"/>
          <w:highlight w:val="none"/>
          <w:lang w:val="en-US" w:eastAsia="zh-CN"/>
        </w:rPr>
        <w:t xml:space="preserve"> </w:t>
      </w:r>
      <w:r>
        <w:rPr>
          <w:rFonts w:hint="eastAsia" w:ascii="宋体" w:hAnsi="宋体" w:eastAsia="宋体" w:cs="宋体"/>
          <w:color w:val="auto"/>
          <w:highlight w:val="none"/>
        </w:rPr>
        <w:t>(五)</w:t>
      </w:r>
      <w:r>
        <w:rPr>
          <w:rFonts w:hint="eastAsia" w:ascii="宋体" w:hAnsi="宋体" w:eastAsia="宋体" w:cs="宋体"/>
          <w:color w:val="auto"/>
          <w:highlight w:val="none"/>
          <w:lang w:val="en-US" w:eastAsia="zh-CN"/>
        </w:rPr>
        <w:t xml:space="preserve"> </w:t>
      </w:r>
      <w:bookmarkEnd w:id="206"/>
      <w:bookmarkEnd w:id="207"/>
      <w:r>
        <w:rPr>
          <w:rFonts w:hint="eastAsia" w:ascii="宋体" w:hAnsi="宋体" w:eastAsia="宋体" w:cs="宋体"/>
          <w:color w:val="auto"/>
          <w:highlight w:val="none"/>
          <w:lang w:val="en-US" w:eastAsia="zh-CN"/>
        </w:rPr>
        <w:t>项目负责人简历表及拟投入本项目主要成员表</w:t>
      </w:r>
    </w:p>
    <w:p w14:paraId="289C8804">
      <w:pPr>
        <w:pStyle w:val="73"/>
        <w:spacing w:line="500" w:lineRule="exact"/>
        <w:rPr>
          <w:rFonts w:hint="eastAsia" w:ascii="宋体" w:hAnsi="宋体" w:eastAsia="宋体" w:cs="宋体"/>
          <w:color w:val="auto"/>
          <w:highlight w:val="none"/>
          <w:lang w:val="en-US" w:eastAsia="zh-CN"/>
        </w:rPr>
      </w:pPr>
      <w:r>
        <w:rPr>
          <w:rFonts w:hint="eastAsia" w:ascii="宋体" w:hAnsi="宋体" w:eastAsia="宋体" w:cs="宋体"/>
          <w:b/>
          <w:bCs/>
          <w:color w:val="000000"/>
          <w:sz w:val="24"/>
          <w:szCs w:val="24"/>
          <w:highlight w:val="none"/>
          <w:lang w:val="en-US" w:eastAsia="zh-CN"/>
        </w:rPr>
        <w:t>1、</w:t>
      </w:r>
      <w:r>
        <w:rPr>
          <w:rFonts w:hint="eastAsia" w:ascii="宋体" w:hAnsi="宋体" w:eastAsia="宋体" w:cs="宋体"/>
          <w:b/>
          <w:bCs/>
          <w:color w:val="000000"/>
          <w:sz w:val="24"/>
          <w:szCs w:val="24"/>
          <w:highlight w:val="none"/>
        </w:rPr>
        <w:t>项目负责人简历表</w:t>
      </w: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21"/>
        <w:gridCol w:w="1421"/>
        <w:gridCol w:w="5"/>
        <w:gridCol w:w="1416"/>
        <w:gridCol w:w="1421"/>
        <w:gridCol w:w="1422"/>
        <w:gridCol w:w="1422"/>
      </w:tblGrid>
      <w:tr w14:paraId="6F5E56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1" w:type="dxa"/>
            <w:vAlign w:val="center"/>
          </w:tcPr>
          <w:p w14:paraId="621D548E">
            <w:pPr>
              <w:pStyle w:val="7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1"/>
                <w:szCs w:val="21"/>
                <w:highlight w:val="none"/>
                <w:vertAlign w:val="baseline"/>
              </w:rPr>
            </w:pPr>
            <w:r>
              <w:rPr>
                <w:rFonts w:hint="eastAsia" w:ascii="宋体" w:hAnsi="宋体" w:eastAsia="宋体" w:cs="宋体"/>
                <w:b w:val="0"/>
                <w:bCs w:val="0"/>
                <w:color w:val="000000"/>
                <w:sz w:val="21"/>
                <w:szCs w:val="21"/>
                <w:highlight w:val="none"/>
              </w:rPr>
              <w:t>姓名</w:t>
            </w:r>
          </w:p>
        </w:tc>
        <w:tc>
          <w:tcPr>
            <w:tcW w:w="1426" w:type="dxa"/>
            <w:gridSpan w:val="2"/>
            <w:vAlign w:val="center"/>
          </w:tcPr>
          <w:p w14:paraId="39C3C8E7">
            <w:pPr>
              <w:pStyle w:val="7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1"/>
                <w:szCs w:val="21"/>
                <w:highlight w:val="none"/>
                <w:vertAlign w:val="baseline"/>
              </w:rPr>
            </w:pPr>
          </w:p>
        </w:tc>
        <w:tc>
          <w:tcPr>
            <w:tcW w:w="1416" w:type="dxa"/>
            <w:vAlign w:val="center"/>
          </w:tcPr>
          <w:p w14:paraId="3E8176AD">
            <w:pPr>
              <w:pStyle w:val="7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1"/>
                <w:szCs w:val="21"/>
                <w:highlight w:val="none"/>
                <w:vertAlign w:val="baseline"/>
              </w:rPr>
            </w:pPr>
            <w:r>
              <w:rPr>
                <w:rFonts w:hint="eastAsia" w:ascii="宋体" w:hAnsi="宋体" w:eastAsia="宋体" w:cs="宋体"/>
                <w:b w:val="0"/>
                <w:bCs w:val="0"/>
                <w:color w:val="000000"/>
                <w:sz w:val="21"/>
                <w:szCs w:val="21"/>
                <w:highlight w:val="none"/>
              </w:rPr>
              <w:t>年龄</w:t>
            </w:r>
          </w:p>
        </w:tc>
        <w:tc>
          <w:tcPr>
            <w:tcW w:w="1421" w:type="dxa"/>
            <w:vAlign w:val="center"/>
          </w:tcPr>
          <w:p w14:paraId="71F6A621">
            <w:pPr>
              <w:pStyle w:val="7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1"/>
                <w:szCs w:val="21"/>
                <w:highlight w:val="none"/>
                <w:vertAlign w:val="baseline"/>
              </w:rPr>
            </w:pPr>
          </w:p>
        </w:tc>
        <w:tc>
          <w:tcPr>
            <w:tcW w:w="1422" w:type="dxa"/>
            <w:vAlign w:val="center"/>
          </w:tcPr>
          <w:p w14:paraId="251E2C34">
            <w:pPr>
              <w:pStyle w:val="7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1"/>
                <w:szCs w:val="21"/>
                <w:highlight w:val="none"/>
                <w:vertAlign w:val="baseline"/>
              </w:rPr>
            </w:pPr>
            <w:r>
              <w:rPr>
                <w:rFonts w:hint="eastAsia" w:ascii="宋体" w:hAnsi="宋体" w:eastAsia="宋体" w:cs="宋体"/>
                <w:b w:val="0"/>
                <w:bCs w:val="0"/>
                <w:color w:val="000000"/>
                <w:sz w:val="21"/>
                <w:szCs w:val="21"/>
                <w:highlight w:val="none"/>
              </w:rPr>
              <w:t>身份证号码</w:t>
            </w:r>
          </w:p>
        </w:tc>
        <w:tc>
          <w:tcPr>
            <w:tcW w:w="1422" w:type="dxa"/>
            <w:vAlign w:val="center"/>
          </w:tcPr>
          <w:p w14:paraId="7C9A719F">
            <w:pPr>
              <w:pStyle w:val="7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1"/>
                <w:szCs w:val="21"/>
                <w:highlight w:val="none"/>
                <w:vertAlign w:val="baseline"/>
              </w:rPr>
            </w:pPr>
          </w:p>
        </w:tc>
      </w:tr>
      <w:tr w14:paraId="6726E8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1" w:type="dxa"/>
            <w:vAlign w:val="center"/>
          </w:tcPr>
          <w:p w14:paraId="43AD0E66">
            <w:pPr>
              <w:pStyle w:val="7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1"/>
                <w:szCs w:val="21"/>
                <w:highlight w:val="none"/>
                <w:vertAlign w:val="baseline"/>
              </w:rPr>
            </w:pPr>
            <w:r>
              <w:rPr>
                <w:rFonts w:hint="eastAsia" w:ascii="宋体" w:hAnsi="宋体" w:eastAsia="宋体" w:cs="宋体"/>
                <w:color w:val="auto"/>
                <w:sz w:val="21"/>
                <w:szCs w:val="21"/>
                <w:highlight w:val="none"/>
                <w:vertAlign w:val="baseline"/>
              </w:rPr>
              <w:t>毕业学校</w:t>
            </w:r>
          </w:p>
        </w:tc>
        <w:tc>
          <w:tcPr>
            <w:tcW w:w="4263" w:type="dxa"/>
            <w:gridSpan w:val="4"/>
            <w:vAlign w:val="center"/>
          </w:tcPr>
          <w:p w14:paraId="07502CCB">
            <w:pPr>
              <w:pStyle w:val="7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1"/>
                <w:szCs w:val="21"/>
                <w:highlight w:val="none"/>
                <w:vertAlign w:val="baseline"/>
              </w:rPr>
            </w:pPr>
          </w:p>
        </w:tc>
        <w:tc>
          <w:tcPr>
            <w:tcW w:w="1422" w:type="dxa"/>
            <w:vAlign w:val="center"/>
          </w:tcPr>
          <w:p w14:paraId="113BCA32">
            <w:pPr>
              <w:pStyle w:val="7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1"/>
                <w:szCs w:val="21"/>
                <w:highlight w:val="none"/>
                <w:vertAlign w:val="baseline"/>
              </w:rPr>
            </w:pPr>
            <w:r>
              <w:rPr>
                <w:rFonts w:hint="eastAsia" w:ascii="宋体" w:hAnsi="宋体" w:eastAsia="宋体" w:cs="宋体"/>
                <w:b w:val="0"/>
                <w:bCs w:val="0"/>
                <w:color w:val="000000"/>
                <w:sz w:val="21"/>
                <w:szCs w:val="21"/>
                <w:highlight w:val="none"/>
              </w:rPr>
              <w:t>专业</w:t>
            </w:r>
          </w:p>
        </w:tc>
        <w:tc>
          <w:tcPr>
            <w:tcW w:w="1422" w:type="dxa"/>
            <w:vAlign w:val="center"/>
          </w:tcPr>
          <w:p w14:paraId="5D7774C8">
            <w:pPr>
              <w:pStyle w:val="7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1"/>
                <w:szCs w:val="21"/>
                <w:highlight w:val="none"/>
                <w:vertAlign w:val="baseline"/>
              </w:rPr>
            </w:pPr>
          </w:p>
        </w:tc>
      </w:tr>
      <w:tr w14:paraId="3BDDD6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1" w:type="dxa"/>
            <w:vAlign w:val="center"/>
          </w:tcPr>
          <w:p w14:paraId="51CB2629">
            <w:pPr>
              <w:pStyle w:val="7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1"/>
                <w:szCs w:val="21"/>
                <w:highlight w:val="none"/>
                <w:vertAlign w:val="baseline"/>
              </w:rPr>
            </w:pPr>
            <w:r>
              <w:rPr>
                <w:rFonts w:hint="eastAsia" w:ascii="宋体" w:hAnsi="宋体" w:eastAsia="宋体" w:cs="宋体"/>
                <w:b w:val="0"/>
                <w:bCs w:val="0"/>
                <w:color w:val="000000"/>
                <w:sz w:val="21"/>
                <w:szCs w:val="21"/>
                <w:highlight w:val="none"/>
              </w:rPr>
              <w:t>学位</w:t>
            </w:r>
          </w:p>
        </w:tc>
        <w:tc>
          <w:tcPr>
            <w:tcW w:w="1421" w:type="dxa"/>
            <w:vAlign w:val="center"/>
          </w:tcPr>
          <w:p w14:paraId="074A314C">
            <w:pPr>
              <w:pStyle w:val="7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1"/>
                <w:szCs w:val="21"/>
                <w:highlight w:val="none"/>
                <w:vertAlign w:val="baseline"/>
              </w:rPr>
            </w:pPr>
          </w:p>
        </w:tc>
        <w:tc>
          <w:tcPr>
            <w:tcW w:w="1421" w:type="dxa"/>
            <w:gridSpan w:val="2"/>
            <w:vAlign w:val="center"/>
          </w:tcPr>
          <w:p w14:paraId="5EB2B7B6">
            <w:pPr>
              <w:pStyle w:val="7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1"/>
                <w:szCs w:val="21"/>
                <w:highlight w:val="none"/>
                <w:vertAlign w:val="baseline"/>
              </w:rPr>
            </w:pPr>
            <w:r>
              <w:rPr>
                <w:rFonts w:hint="eastAsia" w:ascii="宋体" w:hAnsi="宋体" w:eastAsia="宋体" w:cs="宋体"/>
                <w:b w:val="0"/>
                <w:bCs w:val="0"/>
                <w:color w:val="000000"/>
                <w:sz w:val="21"/>
                <w:szCs w:val="21"/>
                <w:highlight w:val="none"/>
              </w:rPr>
              <w:t>职称</w:t>
            </w:r>
          </w:p>
        </w:tc>
        <w:tc>
          <w:tcPr>
            <w:tcW w:w="1421" w:type="dxa"/>
            <w:vAlign w:val="center"/>
          </w:tcPr>
          <w:p w14:paraId="38164C25">
            <w:pPr>
              <w:pStyle w:val="7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1"/>
                <w:szCs w:val="21"/>
                <w:highlight w:val="none"/>
                <w:vertAlign w:val="baseline"/>
              </w:rPr>
            </w:pPr>
          </w:p>
        </w:tc>
        <w:tc>
          <w:tcPr>
            <w:tcW w:w="1422" w:type="dxa"/>
            <w:vAlign w:val="center"/>
          </w:tcPr>
          <w:p w14:paraId="453EC009">
            <w:pPr>
              <w:pStyle w:val="7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1"/>
                <w:szCs w:val="21"/>
                <w:highlight w:val="none"/>
                <w:vertAlign w:val="baseline"/>
              </w:rPr>
            </w:pPr>
            <w:r>
              <w:rPr>
                <w:rFonts w:hint="eastAsia" w:ascii="宋体" w:hAnsi="宋体" w:eastAsia="宋体" w:cs="宋体"/>
                <w:b w:val="0"/>
                <w:bCs w:val="0"/>
                <w:color w:val="000000"/>
                <w:sz w:val="21"/>
                <w:szCs w:val="21"/>
                <w:highlight w:val="none"/>
              </w:rPr>
              <w:t>职务</w:t>
            </w:r>
          </w:p>
        </w:tc>
        <w:tc>
          <w:tcPr>
            <w:tcW w:w="1422" w:type="dxa"/>
            <w:vAlign w:val="center"/>
          </w:tcPr>
          <w:p w14:paraId="4990FDD2">
            <w:pPr>
              <w:pStyle w:val="7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1"/>
                <w:szCs w:val="21"/>
                <w:highlight w:val="none"/>
                <w:vertAlign w:val="baseline"/>
              </w:rPr>
            </w:pPr>
          </w:p>
        </w:tc>
      </w:tr>
      <w:tr w14:paraId="077A85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1" w:type="dxa"/>
            <w:vAlign w:val="center"/>
          </w:tcPr>
          <w:p w14:paraId="713E3BE4">
            <w:pPr>
              <w:pStyle w:val="7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1"/>
                <w:szCs w:val="21"/>
                <w:highlight w:val="none"/>
                <w:vertAlign w:val="baseline"/>
              </w:rPr>
            </w:pPr>
            <w:r>
              <w:rPr>
                <w:rFonts w:hint="eastAsia" w:ascii="宋体" w:hAnsi="宋体" w:eastAsia="宋体" w:cs="宋体"/>
                <w:b w:val="0"/>
                <w:bCs w:val="0"/>
                <w:color w:val="000000"/>
                <w:sz w:val="21"/>
                <w:szCs w:val="21"/>
                <w:highlight w:val="none"/>
              </w:rPr>
              <w:t>现所在机 构或部门</w:t>
            </w:r>
          </w:p>
        </w:tc>
        <w:tc>
          <w:tcPr>
            <w:tcW w:w="4263" w:type="dxa"/>
            <w:gridSpan w:val="4"/>
            <w:vAlign w:val="center"/>
          </w:tcPr>
          <w:p w14:paraId="1C16D4FB">
            <w:pPr>
              <w:pStyle w:val="7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1"/>
                <w:szCs w:val="21"/>
                <w:highlight w:val="none"/>
                <w:vertAlign w:val="baseline"/>
              </w:rPr>
            </w:pPr>
          </w:p>
        </w:tc>
        <w:tc>
          <w:tcPr>
            <w:tcW w:w="1422" w:type="dxa"/>
            <w:vAlign w:val="center"/>
          </w:tcPr>
          <w:p w14:paraId="0463A523">
            <w:pPr>
              <w:pStyle w:val="7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1"/>
                <w:szCs w:val="21"/>
                <w:highlight w:val="none"/>
                <w:vertAlign w:val="baseline"/>
              </w:rPr>
            </w:pPr>
            <w:r>
              <w:rPr>
                <w:rFonts w:hint="eastAsia" w:ascii="宋体" w:hAnsi="宋体" w:eastAsia="宋体" w:cs="宋体"/>
                <w:b w:val="0"/>
                <w:bCs w:val="0"/>
                <w:color w:val="000000"/>
                <w:sz w:val="21"/>
                <w:szCs w:val="21"/>
                <w:highlight w:val="none"/>
              </w:rPr>
              <w:t>服务时间</w:t>
            </w:r>
          </w:p>
        </w:tc>
        <w:tc>
          <w:tcPr>
            <w:tcW w:w="1422" w:type="dxa"/>
            <w:vAlign w:val="center"/>
          </w:tcPr>
          <w:p w14:paraId="0C35812E">
            <w:pPr>
              <w:pStyle w:val="7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1"/>
                <w:szCs w:val="21"/>
                <w:highlight w:val="none"/>
                <w:vertAlign w:val="baseline"/>
              </w:rPr>
            </w:pPr>
          </w:p>
        </w:tc>
      </w:tr>
      <w:tr w14:paraId="5FFA82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trPr>
        <w:tc>
          <w:tcPr>
            <w:tcW w:w="1421" w:type="dxa"/>
            <w:vAlign w:val="center"/>
          </w:tcPr>
          <w:p w14:paraId="43D5FBD4">
            <w:pPr>
              <w:pStyle w:val="7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1"/>
                <w:szCs w:val="21"/>
                <w:highlight w:val="none"/>
                <w:vertAlign w:val="baseline"/>
              </w:rPr>
            </w:pPr>
            <w:r>
              <w:rPr>
                <w:rFonts w:hint="eastAsia" w:ascii="宋体" w:hAnsi="宋体" w:eastAsia="宋体" w:cs="宋体"/>
                <w:b w:val="0"/>
                <w:bCs w:val="0"/>
                <w:color w:val="000000"/>
                <w:sz w:val="21"/>
                <w:szCs w:val="21"/>
                <w:highlight w:val="none"/>
              </w:rPr>
              <w:t>主要经历</w:t>
            </w:r>
          </w:p>
        </w:tc>
        <w:tc>
          <w:tcPr>
            <w:tcW w:w="7107" w:type="dxa"/>
            <w:gridSpan w:val="6"/>
            <w:vAlign w:val="center"/>
          </w:tcPr>
          <w:p w14:paraId="617DD18D">
            <w:pPr>
              <w:pStyle w:val="7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1"/>
                <w:szCs w:val="21"/>
                <w:highlight w:val="none"/>
                <w:vertAlign w:val="baseline"/>
              </w:rPr>
            </w:pPr>
          </w:p>
        </w:tc>
      </w:tr>
      <w:tr w14:paraId="3F7F9A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1" w:type="dxa"/>
            <w:vAlign w:val="center"/>
          </w:tcPr>
          <w:p w14:paraId="497DB02D">
            <w:pPr>
              <w:pStyle w:val="7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1"/>
                <w:szCs w:val="21"/>
                <w:highlight w:val="none"/>
                <w:vertAlign w:val="baseline"/>
              </w:rPr>
            </w:pPr>
            <w:r>
              <w:rPr>
                <w:rFonts w:hint="eastAsia" w:ascii="宋体" w:hAnsi="宋体" w:eastAsia="宋体" w:cs="宋体"/>
                <w:b w:val="0"/>
                <w:bCs w:val="0"/>
                <w:color w:val="000000"/>
                <w:sz w:val="21"/>
                <w:szCs w:val="21"/>
                <w:highlight w:val="none"/>
              </w:rPr>
              <w:t>日期</w:t>
            </w:r>
          </w:p>
        </w:tc>
        <w:tc>
          <w:tcPr>
            <w:tcW w:w="2842" w:type="dxa"/>
            <w:gridSpan w:val="3"/>
            <w:vAlign w:val="center"/>
          </w:tcPr>
          <w:p w14:paraId="1D0B39D3">
            <w:pPr>
              <w:pStyle w:val="7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1"/>
                <w:szCs w:val="21"/>
                <w:highlight w:val="none"/>
                <w:vertAlign w:val="baseline"/>
              </w:rPr>
            </w:pPr>
            <w:r>
              <w:rPr>
                <w:rFonts w:hint="eastAsia" w:ascii="宋体" w:hAnsi="宋体" w:eastAsia="宋体" w:cs="宋体"/>
                <w:b w:val="0"/>
                <w:bCs w:val="0"/>
                <w:color w:val="000000"/>
                <w:sz w:val="21"/>
                <w:szCs w:val="21"/>
                <w:highlight w:val="none"/>
              </w:rPr>
              <w:t>参加过的项目名称</w:t>
            </w:r>
          </w:p>
        </w:tc>
        <w:tc>
          <w:tcPr>
            <w:tcW w:w="2843" w:type="dxa"/>
            <w:gridSpan w:val="2"/>
            <w:vAlign w:val="center"/>
          </w:tcPr>
          <w:p w14:paraId="561CF964">
            <w:pPr>
              <w:pStyle w:val="7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1"/>
                <w:szCs w:val="21"/>
                <w:highlight w:val="none"/>
                <w:vertAlign w:val="baseline"/>
              </w:rPr>
            </w:pPr>
            <w:r>
              <w:rPr>
                <w:rFonts w:hint="eastAsia" w:ascii="宋体" w:hAnsi="宋体" w:eastAsia="宋体" w:cs="宋体"/>
                <w:b w:val="0"/>
                <w:bCs w:val="0"/>
                <w:color w:val="000000"/>
                <w:sz w:val="21"/>
                <w:szCs w:val="21"/>
                <w:highlight w:val="none"/>
              </w:rPr>
              <w:t>担任何职务</w:t>
            </w:r>
          </w:p>
        </w:tc>
        <w:tc>
          <w:tcPr>
            <w:tcW w:w="1422" w:type="dxa"/>
            <w:vAlign w:val="center"/>
          </w:tcPr>
          <w:p w14:paraId="6F3E1A20">
            <w:pPr>
              <w:pStyle w:val="7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1"/>
                <w:szCs w:val="21"/>
                <w:highlight w:val="none"/>
                <w:vertAlign w:val="baseline"/>
              </w:rPr>
            </w:pPr>
            <w:r>
              <w:rPr>
                <w:rFonts w:hint="eastAsia" w:ascii="宋体" w:hAnsi="宋体" w:eastAsia="宋体" w:cs="宋体"/>
                <w:b w:val="0"/>
                <w:bCs w:val="0"/>
                <w:color w:val="000000"/>
                <w:sz w:val="21"/>
                <w:szCs w:val="21"/>
                <w:highlight w:val="none"/>
              </w:rPr>
              <w:t>备注</w:t>
            </w:r>
          </w:p>
        </w:tc>
      </w:tr>
      <w:tr w14:paraId="2602CD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1" w:type="dxa"/>
            <w:vAlign w:val="center"/>
          </w:tcPr>
          <w:p w14:paraId="6CDBFE88">
            <w:pPr>
              <w:pStyle w:val="7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1"/>
                <w:szCs w:val="21"/>
                <w:highlight w:val="none"/>
                <w:vertAlign w:val="baseline"/>
              </w:rPr>
            </w:pPr>
          </w:p>
        </w:tc>
        <w:tc>
          <w:tcPr>
            <w:tcW w:w="1421" w:type="dxa"/>
            <w:vAlign w:val="center"/>
          </w:tcPr>
          <w:p w14:paraId="50DC6481">
            <w:pPr>
              <w:pStyle w:val="7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1"/>
                <w:szCs w:val="21"/>
                <w:highlight w:val="none"/>
                <w:vertAlign w:val="baseline"/>
              </w:rPr>
            </w:pPr>
          </w:p>
        </w:tc>
        <w:tc>
          <w:tcPr>
            <w:tcW w:w="1421" w:type="dxa"/>
            <w:gridSpan w:val="2"/>
            <w:vAlign w:val="center"/>
          </w:tcPr>
          <w:p w14:paraId="2FB6CBD8">
            <w:pPr>
              <w:pStyle w:val="7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1"/>
                <w:szCs w:val="21"/>
                <w:highlight w:val="none"/>
                <w:vertAlign w:val="baseline"/>
              </w:rPr>
            </w:pPr>
          </w:p>
        </w:tc>
        <w:tc>
          <w:tcPr>
            <w:tcW w:w="1421" w:type="dxa"/>
            <w:vAlign w:val="center"/>
          </w:tcPr>
          <w:p w14:paraId="6CF3C27D">
            <w:pPr>
              <w:pStyle w:val="7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1"/>
                <w:szCs w:val="21"/>
                <w:highlight w:val="none"/>
                <w:vertAlign w:val="baseline"/>
              </w:rPr>
            </w:pPr>
          </w:p>
        </w:tc>
        <w:tc>
          <w:tcPr>
            <w:tcW w:w="1422" w:type="dxa"/>
            <w:vAlign w:val="center"/>
          </w:tcPr>
          <w:p w14:paraId="43DDFA75">
            <w:pPr>
              <w:pStyle w:val="7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1"/>
                <w:szCs w:val="21"/>
                <w:highlight w:val="none"/>
                <w:vertAlign w:val="baseline"/>
              </w:rPr>
            </w:pPr>
          </w:p>
        </w:tc>
        <w:tc>
          <w:tcPr>
            <w:tcW w:w="1422" w:type="dxa"/>
            <w:vAlign w:val="center"/>
          </w:tcPr>
          <w:p w14:paraId="672511A3">
            <w:pPr>
              <w:pStyle w:val="7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1"/>
                <w:szCs w:val="21"/>
                <w:highlight w:val="none"/>
                <w:vertAlign w:val="baseline"/>
              </w:rPr>
            </w:pPr>
          </w:p>
        </w:tc>
      </w:tr>
      <w:tr w14:paraId="050B5B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1" w:type="dxa"/>
            <w:vAlign w:val="center"/>
          </w:tcPr>
          <w:p w14:paraId="1970CB67">
            <w:pPr>
              <w:pStyle w:val="7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1"/>
                <w:szCs w:val="21"/>
                <w:highlight w:val="none"/>
                <w:vertAlign w:val="baseline"/>
              </w:rPr>
            </w:pPr>
          </w:p>
        </w:tc>
        <w:tc>
          <w:tcPr>
            <w:tcW w:w="1421" w:type="dxa"/>
            <w:vAlign w:val="center"/>
          </w:tcPr>
          <w:p w14:paraId="60B9201E">
            <w:pPr>
              <w:pStyle w:val="7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1"/>
                <w:szCs w:val="21"/>
                <w:highlight w:val="none"/>
                <w:vertAlign w:val="baseline"/>
              </w:rPr>
            </w:pPr>
          </w:p>
        </w:tc>
        <w:tc>
          <w:tcPr>
            <w:tcW w:w="1421" w:type="dxa"/>
            <w:gridSpan w:val="2"/>
            <w:vAlign w:val="center"/>
          </w:tcPr>
          <w:p w14:paraId="64443F8D">
            <w:pPr>
              <w:pStyle w:val="7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1"/>
                <w:szCs w:val="21"/>
                <w:highlight w:val="none"/>
                <w:vertAlign w:val="baseline"/>
              </w:rPr>
            </w:pPr>
          </w:p>
        </w:tc>
        <w:tc>
          <w:tcPr>
            <w:tcW w:w="1421" w:type="dxa"/>
            <w:vAlign w:val="center"/>
          </w:tcPr>
          <w:p w14:paraId="2FF25CA3">
            <w:pPr>
              <w:pStyle w:val="7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1"/>
                <w:szCs w:val="21"/>
                <w:highlight w:val="none"/>
                <w:vertAlign w:val="baseline"/>
              </w:rPr>
            </w:pPr>
          </w:p>
        </w:tc>
        <w:tc>
          <w:tcPr>
            <w:tcW w:w="1422" w:type="dxa"/>
            <w:vAlign w:val="center"/>
          </w:tcPr>
          <w:p w14:paraId="60F6886F">
            <w:pPr>
              <w:pStyle w:val="7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1"/>
                <w:szCs w:val="21"/>
                <w:highlight w:val="none"/>
                <w:vertAlign w:val="baseline"/>
              </w:rPr>
            </w:pPr>
          </w:p>
        </w:tc>
        <w:tc>
          <w:tcPr>
            <w:tcW w:w="1422" w:type="dxa"/>
            <w:vAlign w:val="center"/>
          </w:tcPr>
          <w:p w14:paraId="356C26A1">
            <w:pPr>
              <w:pStyle w:val="7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1"/>
                <w:szCs w:val="21"/>
                <w:highlight w:val="none"/>
                <w:vertAlign w:val="baseline"/>
              </w:rPr>
            </w:pPr>
          </w:p>
        </w:tc>
      </w:tr>
      <w:tr w14:paraId="797BB7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1" w:type="dxa"/>
            <w:vAlign w:val="center"/>
          </w:tcPr>
          <w:p w14:paraId="6819FF95">
            <w:pPr>
              <w:pStyle w:val="7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1"/>
                <w:szCs w:val="21"/>
                <w:highlight w:val="none"/>
                <w:vertAlign w:val="baseline"/>
              </w:rPr>
            </w:pPr>
          </w:p>
        </w:tc>
        <w:tc>
          <w:tcPr>
            <w:tcW w:w="1421" w:type="dxa"/>
            <w:vAlign w:val="center"/>
          </w:tcPr>
          <w:p w14:paraId="1BC4DDD5">
            <w:pPr>
              <w:pStyle w:val="7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1"/>
                <w:szCs w:val="21"/>
                <w:highlight w:val="none"/>
                <w:vertAlign w:val="baseline"/>
              </w:rPr>
            </w:pPr>
          </w:p>
        </w:tc>
        <w:tc>
          <w:tcPr>
            <w:tcW w:w="1421" w:type="dxa"/>
            <w:gridSpan w:val="2"/>
            <w:vAlign w:val="center"/>
          </w:tcPr>
          <w:p w14:paraId="7CA53EE7">
            <w:pPr>
              <w:pStyle w:val="7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1"/>
                <w:szCs w:val="21"/>
                <w:highlight w:val="none"/>
                <w:vertAlign w:val="baseline"/>
              </w:rPr>
            </w:pPr>
          </w:p>
        </w:tc>
        <w:tc>
          <w:tcPr>
            <w:tcW w:w="1421" w:type="dxa"/>
            <w:vAlign w:val="center"/>
          </w:tcPr>
          <w:p w14:paraId="6CF0C68C">
            <w:pPr>
              <w:pStyle w:val="7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1"/>
                <w:szCs w:val="21"/>
                <w:highlight w:val="none"/>
                <w:vertAlign w:val="baseline"/>
              </w:rPr>
            </w:pPr>
          </w:p>
        </w:tc>
        <w:tc>
          <w:tcPr>
            <w:tcW w:w="1422" w:type="dxa"/>
            <w:vAlign w:val="center"/>
          </w:tcPr>
          <w:p w14:paraId="1D317B41">
            <w:pPr>
              <w:pStyle w:val="7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1"/>
                <w:szCs w:val="21"/>
                <w:highlight w:val="none"/>
                <w:vertAlign w:val="baseline"/>
              </w:rPr>
            </w:pPr>
          </w:p>
        </w:tc>
        <w:tc>
          <w:tcPr>
            <w:tcW w:w="1422" w:type="dxa"/>
            <w:vAlign w:val="center"/>
          </w:tcPr>
          <w:p w14:paraId="5C9E5B60">
            <w:pPr>
              <w:pStyle w:val="7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1"/>
                <w:szCs w:val="21"/>
                <w:highlight w:val="none"/>
                <w:vertAlign w:val="baseline"/>
              </w:rPr>
            </w:pPr>
          </w:p>
        </w:tc>
      </w:tr>
    </w:tbl>
    <w:p w14:paraId="29979A48">
      <w:pPr>
        <w:pStyle w:val="73"/>
        <w:spacing w:line="500" w:lineRule="exact"/>
        <w:rPr>
          <w:rFonts w:hint="eastAsia" w:ascii="宋体" w:hAnsi="宋体" w:eastAsia="宋体" w:cs="宋体"/>
          <w:color w:val="auto"/>
          <w:highlight w:val="none"/>
        </w:rPr>
      </w:pPr>
    </w:p>
    <w:p w14:paraId="5C97E259">
      <w:pPr>
        <w:pStyle w:val="73"/>
        <w:spacing w:line="500" w:lineRule="exact"/>
        <w:rPr>
          <w:rFonts w:hint="eastAsia" w:ascii="宋体" w:hAnsi="宋体" w:eastAsia="宋体" w:cs="宋体"/>
          <w:color w:val="auto"/>
          <w:highlight w:val="none"/>
          <w:lang w:val="en-US" w:eastAsia="zh-CN"/>
        </w:rPr>
      </w:pPr>
      <w:r>
        <w:rPr>
          <w:rFonts w:hint="eastAsia" w:ascii="宋体" w:hAnsi="宋体" w:eastAsia="宋体" w:cs="宋体"/>
          <w:b/>
          <w:bCs/>
          <w:color w:val="000000"/>
          <w:sz w:val="24"/>
          <w:szCs w:val="24"/>
          <w:highlight w:val="none"/>
          <w:lang w:val="en-US" w:eastAsia="zh-CN"/>
        </w:rPr>
        <w:t>1、拟投入本项目的主要成员表</w:t>
      </w:r>
    </w:p>
    <w:tbl>
      <w:tblPr>
        <w:tblStyle w:val="26"/>
        <w:tblW w:w="88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3"/>
        <w:gridCol w:w="2019"/>
        <w:gridCol w:w="1421"/>
        <w:gridCol w:w="1421"/>
        <w:gridCol w:w="1422"/>
        <w:gridCol w:w="1744"/>
      </w:tblGrid>
      <w:tr w14:paraId="5C8ABD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3" w:type="dxa"/>
            <w:vAlign w:val="center"/>
          </w:tcPr>
          <w:p w14:paraId="20FE73D6">
            <w:pPr>
              <w:pStyle w:val="7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cs="宋体"/>
                <w:color w:val="auto"/>
                <w:sz w:val="21"/>
                <w:szCs w:val="21"/>
                <w:highlight w:val="none"/>
                <w:vertAlign w:val="baseline"/>
                <w:lang w:val="en-US" w:eastAsia="zh-CN"/>
              </w:rPr>
              <w:t>序号</w:t>
            </w:r>
          </w:p>
        </w:tc>
        <w:tc>
          <w:tcPr>
            <w:tcW w:w="2019" w:type="dxa"/>
            <w:vAlign w:val="center"/>
          </w:tcPr>
          <w:p w14:paraId="253990AB">
            <w:pPr>
              <w:pStyle w:val="7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1"/>
                <w:szCs w:val="21"/>
                <w:highlight w:val="none"/>
                <w:vertAlign w:val="baseline"/>
              </w:rPr>
            </w:pPr>
            <w:r>
              <w:rPr>
                <w:rFonts w:hint="eastAsia" w:ascii="宋体" w:hAnsi="宋体" w:eastAsia="宋体" w:cs="宋体"/>
                <w:b w:val="0"/>
                <w:bCs w:val="0"/>
                <w:color w:val="000000"/>
                <w:sz w:val="20"/>
                <w:szCs w:val="20"/>
                <w:highlight w:val="none"/>
              </w:rPr>
              <w:t>姓名</w:t>
            </w:r>
          </w:p>
        </w:tc>
        <w:tc>
          <w:tcPr>
            <w:tcW w:w="1421" w:type="dxa"/>
            <w:vAlign w:val="center"/>
          </w:tcPr>
          <w:p w14:paraId="6B6C5B9A">
            <w:pPr>
              <w:pStyle w:val="7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1"/>
                <w:szCs w:val="21"/>
                <w:highlight w:val="none"/>
                <w:vertAlign w:val="baseline"/>
              </w:rPr>
            </w:pPr>
            <w:r>
              <w:rPr>
                <w:rFonts w:hint="eastAsia" w:ascii="宋体" w:hAnsi="宋体" w:eastAsia="宋体" w:cs="宋体"/>
                <w:b w:val="0"/>
                <w:bCs w:val="0"/>
                <w:color w:val="000000"/>
                <w:sz w:val="20"/>
                <w:szCs w:val="20"/>
                <w:highlight w:val="none"/>
              </w:rPr>
              <w:t>性别</w:t>
            </w:r>
          </w:p>
        </w:tc>
        <w:tc>
          <w:tcPr>
            <w:tcW w:w="1421" w:type="dxa"/>
            <w:vAlign w:val="center"/>
          </w:tcPr>
          <w:p w14:paraId="0FCE9FE1">
            <w:pPr>
              <w:pStyle w:val="7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1"/>
                <w:szCs w:val="21"/>
                <w:highlight w:val="none"/>
                <w:vertAlign w:val="baseline"/>
              </w:rPr>
            </w:pPr>
            <w:r>
              <w:rPr>
                <w:rFonts w:hint="eastAsia" w:ascii="宋体" w:hAnsi="宋体" w:eastAsia="宋体" w:cs="宋体"/>
                <w:b w:val="0"/>
                <w:bCs w:val="0"/>
                <w:color w:val="000000"/>
                <w:sz w:val="20"/>
                <w:szCs w:val="20"/>
                <w:highlight w:val="none"/>
              </w:rPr>
              <w:t>职称</w:t>
            </w:r>
          </w:p>
        </w:tc>
        <w:tc>
          <w:tcPr>
            <w:tcW w:w="1422" w:type="dxa"/>
            <w:vAlign w:val="center"/>
          </w:tcPr>
          <w:p w14:paraId="2B6D3FCE">
            <w:pPr>
              <w:pStyle w:val="7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color w:val="auto"/>
                <w:sz w:val="21"/>
                <w:szCs w:val="21"/>
                <w:highlight w:val="none"/>
                <w:vertAlign w:val="baseline"/>
                <w:lang w:val="en-US" w:eastAsia="zh-CN"/>
              </w:rPr>
            </w:pPr>
            <w:r>
              <w:rPr>
                <w:rFonts w:hint="eastAsia" w:ascii="宋体" w:hAnsi="宋体" w:cs="宋体"/>
                <w:color w:val="auto"/>
                <w:sz w:val="21"/>
                <w:szCs w:val="21"/>
                <w:highlight w:val="none"/>
                <w:vertAlign w:val="baseline"/>
                <w:lang w:val="en-US" w:eastAsia="zh-CN"/>
              </w:rPr>
              <w:t>岗位</w:t>
            </w:r>
          </w:p>
        </w:tc>
        <w:tc>
          <w:tcPr>
            <w:tcW w:w="1744" w:type="dxa"/>
            <w:vAlign w:val="center"/>
          </w:tcPr>
          <w:p w14:paraId="52F83588">
            <w:pPr>
              <w:pStyle w:val="7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1"/>
                <w:szCs w:val="21"/>
                <w:highlight w:val="none"/>
                <w:vertAlign w:val="baseline"/>
              </w:rPr>
            </w:pPr>
            <w:r>
              <w:rPr>
                <w:rFonts w:hint="eastAsia" w:ascii="宋体" w:hAnsi="宋体" w:eastAsia="宋体" w:cs="宋体"/>
                <w:b w:val="0"/>
                <w:bCs w:val="0"/>
                <w:color w:val="000000"/>
                <w:sz w:val="20"/>
                <w:szCs w:val="20"/>
                <w:highlight w:val="none"/>
              </w:rPr>
              <w:t>从事该岗位时间</w:t>
            </w:r>
          </w:p>
        </w:tc>
      </w:tr>
      <w:tr w14:paraId="5677DC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3" w:type="dxa"/>
            <w:vAlign w:val="center"/>
          </w:tcPr>
          <w:p w14:paraId="66CB2FB5">
            <w:pPr>
              <w:pStyle w:val="7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1"/>
                <w:szCs w:val="21"/>
                <w:highlight w:val="none"/>
                <w:vertAlign w:val="baseline"/>
              </w:rPr>
            </w:pPr>
          </w:p>
        </w:tc>
        <w:tc>
          <w:tcPr>
            <w:tcW w:w="2019" w:type="dxa"/>
            <w:vAlign w:val="center"/>
          </w:tcPr>
          <w:p w14:paraId="1941079F">
            <w:pPr>
              <w:pStyle w:val="7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1"/>
                <w:szCs w:val="21"/>
                <w:highlight w:val="none"/>
                <w:vertAlign w:val="baseline"/>
              </w:rPr>
            </w:pPr>
          </w:p>
        </w:tc>
        <w:tc>
          <w:tcPr>
            <w:tcW w:w="1421" w:type="dxa"/>
            <w:vAlign w:val="center"/>
          </w:tcPr>
          <w:p w14:paraId="19A73869">
            <w:pPr>
              <w:pStyle w:val="7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1"/>
                <w:szCs w:val="21"/>
                <w:highlight w:val="none"/>
                <w:vertAlign w:val="baseline"/>
              </w:rPr>
            </w:pPr>
          </w:p>
        </w:tc>
        <w:tc>
          <w:tcPr>
            <w:tcW w:w="1421" w:type="dxa"/>
            <w:vAlign w:val="center"/>
          </w:tcPr>
          <w:p w14:paraId="212A5E98">
            <w:pPr>
              <w:pStyle w:val="7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1"/>
                <w:szCs w:val="21"/>
                <w:highlight w:val="none"/>
                <w:vertAlign w:val="baseline"/>
              </w:rPr>
            </w:pPr>
          </w:p>
        </w:tc>
        <w:tc>
          <w:tcPr>
            <w:tcW w:w="1422" w:type="dxa"/>
            <w:vAlign w:val="center"/>
          </w:tcPr>
          <w:p w14:paraId="4EB2A15A">
            <w:pPr>
              <w:pStyle w:val="7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1"/>
                <w:szCs w:val="21"/>
                <w:highlight w:val="none"/>
                <w:vertAlign w:val="baseline"/>
              </w:rPr>
            </w:pPr>
          </w:p>
        </w:tc>
        <w:tc>
          <w:tcPr>
            <w:tcW w:w="1744" w:type="dxa"/>
            <w:vAlign w:val="center"/>
          </w:tcPr>
          <w:p w14:paraId="63A97E2D">
            <w:pPr>
              <w:pStyle w:val="7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1"/>
                <w:szCs w:val="21"/>
                <w:highlight w:val="none"/>
                <w:vertAlign w:val="baseline"/>
              </w:rPr>
            </w:pPr>
          </w:p>
        </w:tc>
      </w:tr>
      <w:tr w14:paraId="0E3C67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3" w:type="dxa"/>
            <w:vAlign w:val="center"/>
          </w:tcPr>
          <w:p w14:paraId="1E9A3D63">
            <w:pPr>
              <w:pStyle w:val="7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1"/>
                <w:szCs w:val="21"/>
                <w:highlight w:val="none"/>
                <w:vertAlign w:val="baseline"/>
              </w:rPr>
            </w:pPr>
          </w:p>
        </w:tc>
        <w:tc>
          <w:tcPr>
            <w:tcW w:w="2019" w:type="dxa"/>
            <w:vAlign w:val="center"/>
          </w:tcPr>
          <w:p w14:paraId="4EA7CC03">
            <w:pPr>
              <w:pStyle w:val="7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1"/>
                <w:szCs w:val="21"/>
                <w:highlight w:val="none"/>
                <w:vertAlign w:val="baseline"/>
              </w:rPr>
            </w:pPr>
          </w:p>
        </w:tc>
        <w:tc>
          <w:tcPr>
            <w:tcW w:w="1421" w:type="dxa"/>
            <w:vAlign w:val="center"/>
          </w:tcPr>
          <w:p w14:paraId="1240FC2F">
            <w:pPr>
              <w:pStyle w:val="7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1"/>
                <w:szCs w:val="21"/>
                <w:highlight w:val="none"/>
                <w:vertAlign w:val="baseline"/>
              </w:rPr>
            </w:pPr>
          </w:p>
        </w:tc>
        <w:tc>
          <w:tcPr>
            <w:tcW w:w="1421" w:type="dxa"/>
            <w:vAlign w:val="center"/>
          </w:tcPr>
          <w:p w14:paraId="1360A230">
            <w:pPr>
              <w:pStyle w:val="7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1"/>
                <w:szCs w:val="21"/>
                <w:highlight w:val="none"/>
                <w:vertAlign w:val="baseline"/>
              </w:rPr>
            </w:pPr>
          </w:p>
        </w:tc>
        <w:tc>
          <w:tcPr>
            <w:tcW w:w="1422" w:type="dxa"/>
            <w:vAlign w:val="center"/>
          </w:tcPr>
          <w:p w14:paraId="7899D206">
            <w:pPr>
              <w:pStyle w:val="7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1"/>
                <w:szCs w:val="21"/>
                <w:highlight w:val="none"/>
                <w:vertAlign w:val="baseline"/>
              </w:rPr>
            </w:pPr>
          </w:p>
        </w:tc>
        <w:tc>
          <w:tcPr>
            <w:tcW w:w="1744" w:type="dxa"/>
            <w:vAlign w:val="center"/>
          </w:tcPr>
          <w:p w14:paraId="51319F20">
            <w:pPr>
              <w:pStyle w:val="7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1"/>
                <w:szCs w:val="21"/>
                <w:highlight w:val="none"/>
                <w:vertAlign w:val="baseline"/>
              </w:rPr>
            </w:pPr>
          </w:p>
        </w:tc>
      </w:tr>
      <w:tr w14:paraId="0D176C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3" w:type="dxa"/>
            <w:vAlign w:val="center"/>
          </w:tcPr>
          <w:p w14:paraId="168EEECE">
            <w:pPr>
              <w:pStyle w:val="7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1"/>
                <w:szCs w:val="21"/>
                <w:highlight w:val="none"/>
                <w:vertAlign w:val="baseline"/>
              </w:rPr>
            </w:pPr>
          </w:p>
        </w:tc>
        <w:tc>
          <w:tcPr>
            <w:tcW w:w="2019" w:type="dxa"/>
            <w:vAlign w:val="center"/>
          </w:tcPr>
          <w:p w14:paraId="4257BE0C">
            <w:pPr>
              <w:pStyle w:val="7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1"/>
                <w:szCs w:val="21"/>
                <w:highlight w:val="none"/>
                <w:vertAlign w:val="baseline"/>
              </w:rPr>
            </w:pPr>
          </w:p>
        </w:tc>
        <w:tc>
          <w:tcPr>
            <w:tcW w:w="1421" w:type="dxa"/>
            <w:vAlign w:val="center"/>
          </w:tcPr>
          <w:p w14:paraId="0390548C">
            <w:pPr>
              <w:pStyle w:val="7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1"/>
                <w:szCs w:val="21"/>
                <w:highlight w:val="none"/>
                <w:vertAlign w:val="baseline"/>
              </w:rPr>
            </w:pPr>
          </w:p>
        </w:tc>
        <w:tc>
          <w:tcPr>
            <w:tcW w:w="1421" w:type="dxa"/>
            <w:vAlign w:val="center"/>
          </w:tcPr>
          <w:p w14:paraId="23CCCA02">
            <w:pPr>
              <w:pStyle w:val="7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1"/>
                <w:szCs w:val="21"/>
                <w:highlight w:val="none"/>
                <w:vertAlign w:val="baseline"/>
              </w:rPr>
            </w:pPr>
          </w:p>
        </w:tc>
        <w:tc>
          <w:tcPr>
            <w:tcW w:w="1422" w:type="dxa"/>
            <w:vAlign w:val="center"/>
          </w:tcPr>
          <w:p w14:paraId="06A397C3">
            <w:pPr>
              <w:pStyle w:val="7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1"/>
                <w:szCs w:val="21"/>
                <w:highlight w:val="none"/>
                <w:vertAlign w:val="baseline"/>
              </w:rPr>
            </w:pPr>
          </w:p>
        </w:tc>
        <w:tc>
          <w:tcPr>
            <w:tcW w:w="1744" w:type="dxa"/>
            <w:vAlign w:val="center"/>
          </w:tcPr>
          <w:p w14:paraId="1E1F27E1">
            <w:pPr>
              <w:pStyle w:val="7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1"/>
                <w:szCs w:val="21"/>
                <w:highlight w:val="none"/>
                <w:vertAlign w:val="baseline"/>
              </w:rPr>
            </w:pPr>
          </w:p>
        </w:tc>
      </w:tr>
      <w:tr w14:paraId="321928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3" w:type="dxa"/>
            <w:vAlign w:val="center"/>
          </w:tcPr>
          <w:p w14:paraId="1DDF14AB">
            <w:pPr>
              <w:pStyle w:val="7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1"/>
                <w:szCs w:val="21"/>
                <w:highlight w:val="none"/>
                <w:vertAlign w:val="baseline"/>
              </w:rPr>
            </w:pPr>
          </w:p>
        </w:tc>
        <w:tc>
          <w:tcPr>
            <w:tcW w:w="2019" w:type="dxa"/>
            <w:vAlign w:val="center"/>
          </w:tcPr>
          <w:p w14:paraId="02032D1A">
            <w:pPr>
              <w:pStyle w:val="7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1"/>
                <w:szCs w:val="21"/>
                <w:highlight w:val="none"/>
                <w:vertAlign w:val="baseline"/>
              </w:rPr>
            </w:pPr>
          </w:p>
        </w:tc>
        <w:tc>
          <w:tcPr>
            <w:tcW w:w="1421" w:type="dxa"/>
            <w:vAlign w:val="center"/>
          </w:tcPr>
          <w:p w14:paraId="44A8BC8D">
            <w:pPr>
              <w:pStyle w:val="7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1"/>
                <w:szCs w:val="21"/>
                <w:highlight w:val="none"/>
                <w:vertAlign w:val="baseline"/>
              </w:rPr>
            </w:pPr>
          </w:p>
        </w:tc>
        <w:tc>
          <w:tcPr>
            <w:tcW w:w="1421" w:type="dxa"/>
            <w:vAlign w:val="center"/>
          </w:tcPr>
          <w:p w14:paraId="291384C6">
            <w:pPr>
              <w:pStyle w:val="7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1"/>
                <w:szCs w:val="21"/>
                <w:highlight w:val="none"/>
                <w:vertAlign w:val="baseline"/>
              </w:rPr>
            </w:pPr>
          </w:p>
        </w:tc>
        <w:tc>
          <w:tcPr>
            <w:tcW w:w="1422" w:type="dxa"/>
            <w:vAlign w:val="center"/>
          </w:tcPr>
          <w:p w14:paraId="63DD613A">
            <w:pPr>
              <w:pStyle w:val="7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1"/>
                <w:szCs w:val="21"/>
                <w:highlight w:val="none"/>
                <w:vertAlign w:val="baseline"/>
              </w:rPr>
            </w:pPr>
          </w:p>
        </w:tc>
        <w:tc>
          <w:tcPr>
            <w:tcW w:w="1744" w:type="dxa"/>
            <w:vAlign w:val="center"/>
          </w:tcPr>
          <w:p w14:paraId="3331E2D9">
            <w:pPr>
              <w:pStyle w:val="7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1"/>
                <w:szCs w:val="21"/>
                <w:highlight w:val="none"/>
                <w:vertAlign w:val="baseline"/>
              </w:rPr>
            </w:pPr>
          </w:p>
        </w:tc>
      </w:tr>
      <w:tr w14:paraId="411DA6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3" w:type="dxa"/>
            <w:vAlign w:val="center"/>
          </w:tcPr>
          <w:p w14:paraId="06E4952B">
            <w:pPr>
              <w:pStyle w:val="7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1"/>
                <w:szCs w:val="21"/>
                <w:highlight w:val="none"/>
                <w:vertAlign w:val="baseline"/>
              </w:rPr>
            </w:pPr>
          </w:p>
        </w:tc>
        <w:tc>
          <w:tcPr>
            <w:tcW w:w="2019" w:type="dxa"/>
            <w:vAlign w:val="center"/>
          </w:tcPr>
          <w:p w14:paraId="503471E4">
            <w:pPr>
              <w:pStyle w:val="7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1"/>
                <w:szCs w:val="21"/>
                <w:highlight w:val="none"/>
                <w:vertAlign w:val="baseline"/>
              </w:rPr>
            </w:pPr>
          </w:p>
        </w:tc>
        <w:tc>
          <w:tcPr>
            <w:tcW w:w="1421" w:type="dxa"/>
            <w:vAlign w:val="center"/>
          </w:tcPr>
          <w:p w14:paraId="3A576111">
            <w:pPr>
              <w:pStyle w:val="7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1"/>
                <w:szCs w:val="21"/>
                <w:highlight w:val="none"/>
                <w:vertAlign w:val="baseline"/>
              </w:rPr>
            </w:pPr>
          </w:p>
        </w:tc>
        <w:tc>
          <w:tcPr>
            <w:tcW w:w="1421" w:type="dxa"/>
            <w:vAlign w:val="center"/>
          </w:tcPr>
          <w:p w14:paraId="1AC16C55">
            <w:pPr>
              <w:pStyle w:val="7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1"/>
                <w:szCs w:val="21"/>
                <w:highlight w:val="none"/>
                <w:vertAlign w:val="baseline"/>
              </w:rPr>
            </w:pPr>
          </w:p>
        </w:tc>
        <w:tc>
          <w:tcPr>
            <w:tcW w:w="1422" w:type="dxa"/>
            <w:vAlign w:val="center"/>
          </w:tcPr>
          <w:p w14:paraId="1DD85B1B">
            <w:pPr>
              <w:pStyle w:val="7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1"/>
                <w:szCs w:val="21"/>
                <w:highlight w:val="none"/>
                <w:vertAlign w:val="baseline"/>
              </w:rPr>
            </w:pPr>
          </w:p>
        </w:tc>
        <w:tc>
          <w:tcPr>
            <w:tcW w:w="1744" w:type="dxa"/>
            <w:vAlign w:val="center"/>
          </w:tcPr>
          <w:p w14:paraId="18FAF906">
            <w:pPr>
              <w:pStyle w:val="7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1"/>
                <w:szCs w:val="21"/>
                <w:highlight w:val="none"/>
                <w:vertAlign w:val="baseline"/>
              </w:rPr>
            </w:pPr>
          </w:p>
        </w:tc>
      </w:tr>
    </w:tbl>
    <w:p w14:paraId="3F4E66AD">
      <w:pPr>
        <w:pStyle w:val="73"/>
        <w:spacing w:line="500" w:lineRule="exact"/>
        <w:rPr>
          <w:rFonts w:hint="eastAsia" w:ascii="宋体" w:hAnsi="宋体" w:eastAsia="宋体" w:cs="宋体"/>
          <w:color w:val="auto"/>
          <w:highlight w:val="none"/>
        </w:rPr>
      </w:pPr>
    </w:p>
    <w:p w14:paraId="49ABAACF">
      <w:pPr>
        <w:pStyle w:val="73"/>
        <w:spacing w:line="500" w:lineRule="exact"/>
        <w:rPr>
          <w:rFonts w:hint="eastAsia" w:ascii="宋体" w:hAnsi="宋体" w:eastAsia="宋体" w:cs="宋体"/>
          <w:color w:val="auto"/>
          <w:highlight w:val="none"/>
        </w:rPr>
      </w:pPr>
    </w:p>
    <w:p w14:paraId="7538DF6F">
      <w:pPr>
        <w:pStyle w:val="73"/>
        <w:spacing w:line="500" w:lineRule="exact"/>
        <w:rPr>
          <w:rFonts w:hint="eastAsia" w:ascii="宋体" w:hAnsi="宋体" w:eastAsia="宋体" w:cs="宋体"/>
          <w:color w:val="auto"/>
          <w:highlight w:val="none"/>
          <w:lang w:eastAsia="zh-CN"/>
        </w:rPr>
      </w:pPr>
      <w:r>
        <w:rPr>
          <w:rFonts w:hint="eastAsia" w:ascii="宋体" w:hAnsi="宋体" w:eastAsia="宋体" w:cs="宋体"/>
          <w:color w:val="auto"/>
          <w:highlight w:val="none"/>
        </w:rPr>
        <w:t>人员基本信息、资质证书、人员业绩等内容</w:t>
      </w:r>
      <w:r>
        <w:rPr>
          <w:rFonts w:hint="eastAsia" w:ascii="宋体" w:hAnsi="宋体" w:cs="宋体"/>
          <w:color w:val="auto"/>
          <w:highlight w:val="none"/>
          <w:lang w:eastAsia="zh-CN"/>
        </w:rPr>
        <w:t>。</w:t>
      </w:r>
    </w:p>
    <w:p w14:paraId="6F33D307">
      <w:pPr>
        <w:pStyle w:val="73"/>
        <w:spacing w:line="500" w:lineRule="exact"/>
        <w:rPr>
          <w:rFonts w:hint="eastAsia" w:ascii="宋体" w:hAnsi="宋体" w:eastAsia="宋体" w:cs="宋体"/>
          <w:color w:val="auto"/>
          <w:highlight w:val="none"/>
        </w:rPr>
      </w:pPr>
      <w:r>
        <w:rPr>
          <w:rFonts w:hint="eastAsia" w:ascii="宋体" w:hAnsi="宋体" w:eastAsia="宋体" w:cs="宋体"/>
          <w:color w:val="auto"/>
          <w:highlight w:val="none"/>
        </w:rPr>
        <w:t>（建议按照评审标准提供相应资料）。</w:t>
      </w:r>
    </w:p>
    <w:p w14:paraId="27989AB5">
      <w:pPr>
        <w:pStyle w:val="76"/>
        <w:outlineLvl w:val="1"/>
        <w:rPr>
          <w:rFonts w:hint="eastAsia" w:ascii="宋体" w:hAnsi="宋体" w:eastAsia="宋体" w:cs="宋体"/>
          <w:color w:val="auto"/>
          <w:highlight w:val="none"/>
        </w:rPr>
        <w:sectPr>
          <w:pgSz w:w="11906" w:h="16838"/>
          <w:pgMar w:top="1440" w:right="1797" w:bottom="1440" w:left="1797" w:header="851" w:footer="992" w:gutter="0"/>
          <w:pgNumType w:fmt="decimal"/>
          <w:cols w:space="720" w:num="1"/>
          <w:titlePg/>
          <w:docGrid w:type="lines" w:linePitch="312" w:charSpace="0"/>
        </w:sectPr>
      </w:pPr>
    </w:p>
    <w:p w14:paraId="3018E778">
      <w:pPr>
        <w:pStyle w:val="64"/>
        <w:ind w:firstLine="321" w:firstLineChars="100"/>
        <w:outlineLvl w:val="2"/>
        <w:rPr>
          <w:rFonts w:hint="eastAsia" w:ascii="宋体" w:hAnsi="宋体" w:eastAsia="宋体" w:cs="宋体"/>
          <w:color w:val="auto"/>
          <w:highlight w:val="none"/>
        </w:rPr>
      </w:pPr>
      <w:bookmarkStart w:id="208" w:name="_Toc25548"/>
      <w:bookmarkStart w:id="209" w:name="_Toc20772"/>
      <w:r>
        <w:rPr>
          <w:rFonts w:hint="eastAsia" w:ascii="宋体" w:hAnsi="宋体" w:eastAsia="宋体" w:cs="宋体"/>
          <w:color w:val="auto"/>
          <w:highlight w:val="none"/>
        </w:rPr>
        <w:t>（六）财务状况</w:t>
      </w:r>
      <w:bookmarkEnd w:id="208"/>
      <w:bookmarkEnd w:id="209"/>
    </w:p>
    <w:p w14:paraId="199B62D4">
      <w:pPr>
        <w:autoSpaceDE w:val="0"/>
        <w:autoSpaceDN w:val="0"/>
        <w:adjustRightInd w:val="0"/>
        <w:spacing w:line="440" w:lineRule="exact"/>
        <w:ind w:firstLine="480" w:firstLineChars="200"/>
        <w:rPr>
          <w:rFonts w:hint="eastAsia" w:ascii="宋体" w:hAnsi="宋体" w:eastAsia="宋体" w:cs="宋体"/>
          <w:color w:val="auto"/>
          <w:sz w:val="24"/>
          <w:highlight w:val="none"/>
        </w:rPr>
        <w:sectPr>
          <w:pgSz w:w="11906" w:h="16838"/>
          <w:pgMar w:top="1440" w:right="1797" w:bottom="1440" w:left="1797" w:header="851" w:footer="992" w:gutter="0"/>
          <w:pgNumType w:fmt="decimal"/>
          <w:cols w:space="720" w:num="1"/>
          <w:titlePg/>
          <w:docGrid w:type="lines" w:linePitch="312" w:charSpace="0"/>
        </w:sectPr>
      </w:pPr>
      <w:r>
        <w:rPr>
          <w:rFonts w:hint="eastAsia" w:ascii="宋体" w:hAnsi="宋体" w:eastAsia="宋体" w:cs="宋体"/>
          <w:color w:val="auto"/>
          <w:sz w:val="24"/>
          <w:highlight w:val="none"/>
        </w:rPr>
        <w:t>（建议按照评审标准提供相应资料）</w:t>
      </w:r>
    </w:p>
    <w:p w14:paraId="76C5AAFB">
      <w:pPr>
        <w:pStyle w:val="64"/>
        <w:ind w:firstLine="321" w:firstLineChars="100"/>
        <w:outlineLvl w:val="2"/>
        <w:rPr>
          <w:rFonts w:hint="eastAsia" w:ascii="宋体" w:hAnsi="宋体" w:eastAsia="宋体" w:cs="宋体"/>
          <w:color w:val="auto"/>
          <w:highlight w:val="none"/>
        </w:rPr>
      </w:pPr>
      <w:bookmarkStart w:id="210" w:name="_Toc6185"/>
      <w:bookmarkStart w:id="211" w:name="_Toc30633"/>
      <w:r>
        <w:rPr>
          <w:rFonts w:hint="eastAsia" w:ascii="宋体" w:hAnsi="宋体" w:eastAsia="宋体" w:cs="宋体"/>
          <w:color w:val="auto"/>
          <w:highlight w:val="none"/>
        </w:rPr>
        <w:t>（七）近年同类项目业绩</w:t>
      </w:r>
      <w:bookmarkEnd w:id="210"/>
      <w:bookmarkEnd w:id="211"/>
    </w:p>
    <w:p w14:paraId="23AD1739">
      <w:pPr>
        <w:pStyle w:val="53"/>
        <w:adjustRightInd w:val="0"/>
        <w:snapToGrid w:val="0"/>
        <w:spacing w:line="5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附：类似项目业绩表（</w:t>
      </w:r>
      <w:r>
        <w:rPr>
          <w:rFonts w:hint="eastAsia" w:ascii="宋体" w:hAnsi="宋体" w:eastAsia="宋体" w:cs="宋体"/>
          <w:color w:val="auto"/>
          <w:sz w:val="24"/>
          <w:highlight w:val="none"/>
        </w:rPr>
        <w:t>建议按照评审标准提供相应资料</w:t>
      </w:r>
      <w:r>
        <w:rPr>
          <w:rFonts w:hint="eastAsia" w:ascii="宋体" w:hAnsi="宋体" w:eastAsia="宋体" w:cs="宋体"/>
          <w:color w:val="auto"/>
          <w:sz w:val="24"/>
          <w:szCs w:val="24"/>
          <w:highlight w:val="none"/>
        </w:rPr>
        <w:t>）</w:t>
      </w:r>
    </w:p>
    <w:p w14:paraId="4FF78209">
      <w:pPr>
        <w:pStyle w:val="53"/>
        <w:adjustRightInd w:val="0"/>
        <w:snapToGrid w:val="0"/>
        <w:spacing w:line="5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采购项目编号：</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p>
    <w:p w14:paraId="5B1E2ADC">
      <w:pPr>
        <w:pStyle w:val="53"/>
        <w:adjustRightInd w:val="0"/>
        <w:snapToGrid w:val="0"/>
        <w:spacing w:line="500" w:lineRule="exac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采购项目名称：</w:t>
      </w:r>
      <w:r>
        <w:rPr>
          <w:rFonts w:hint="eastAsia" w:ascii="宋体" w:hAnsi="宋体" w:eastAsia="宋体" w:cs="宋体"/>
          <w:color w:val="auto"/>
          <w:sz w:val="24"/>
          <w:szCs w:val="24"/>
          <w:highlight w:val="none"/>
          <w:u w:val="single"/>
        </w:rPr>
        <w:t xml:space="preserve">                              </w:t>
      </w:r>
    </w:p>
    <w:tbl>
      <w:tblPr>
        <w:tblStyle w:val="2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08"/>
        <w:gridCol w:w="7200"/>
      </w:tblGrid>
      <w:tr w14:paraId="799D84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1908" w:type="dxa"/>
            <w:vAlign w:val="center"/>
          </w:tcPr>
          <w:p w14:paraId="734DC798">
            <w:pPr>
              <w:pStyle w:val="53"/>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项目名称</w:t>
            </w:r>
          </w:p>
        </w:tc>
        <w:tc>
          <w:tcPr>
            <w:tcW w:w="7200" w:type="dxa"/>
          </w:tcPr>
          <w:p w14:paraId="702F32EC">
            <w:pPr>
              <w:pStyle w:val="53"/>
              <w:tabs>
                <w:tab w:val="left" w:pos="2265"/>
              </w:tabs>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ab/>
            </w:r>
          </w:p>
        </w:tc>
      </w:tr>
      <w:tr w14:paraId="3B1669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1908" w:type="dxa"/>
            <w:vAlign w:val="center"/>
          </w:tcPr>
          <w:p w14:paraId="6D4E3CEF">
            <w:pPr>
              <w:pStyle w:val="53"/>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项目单位名称</w:t>
            </w:r>
          </w:p>
        </w:tc>
        <w:tc>
          <w:tcPr>
            <w:tcW w:w="7200" w:type="dxa"/>
          </w:tcPr>
          <w:p w14:paraId="048394DD">
            <w:pPr>
              <w:pStyle w:val="53"/>
              <w:jc w:val="center"/>
              <w:rPr>
                <w:rFonts w:hint="eastAsia" w:ascii="宋体" w:hAnsi="宋体" w:eastAsia="宋体" w:cs="宋体"/>
                <w:color w:val="auto"/>
                <w:sz w:val="24"/>
                <w:szCs w:val="24"/>
                <w:highlight w:val="none"/>
              </w:rPr>
            </w:pPr>
          </w:p>
        </w:tc>
      </w:tr>
      <w:tr w14:paraId="589969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1908" w:type="dxa"/>
            <w:vAlign w:val="center"/>
          </w:tcPr>
          <w:p w14:paraId="1F9D61EC">
            <w:pPr>
              <w:pStyle w:val="53"/>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项目单位联系人姓名及联系方式</w:t>
            </w:r>
          </w:p>
        </w:tc>
        <w:tc>
          <w:tcPr>
            <w:tcW w:w="7200" w:type="dxa"/>
          </w:tcPr>
          <w:p w14:paraId="2F82C97D">
            <w:pPr>
              <w:pStyle w:val="53"/>
              <w:jc w:val="center"/>
              <w:rPr>
                <w:rFonts w:hint="eastAsia" w:ascii="宋体" w:hAnsi="宋体" w:eastAsia="宋体" w:cs="宋体"/>
                <w:color w:val="auto"/>
                <w:sz w:val="24"/>
                <w:szCs w:val="24"/>
                <w:highlight w:val="none"/>
              </w:rPr>
            </w:pPr>
          </w:p>
        </w:tc>
      </w:tr>
      <w:tr w14:paraId="228793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908" w:type="dxa"/>
            <w:vAlign w:val="center"/>
          </w:tcPr>
          <w:p w14:paraId="57A1E606">
            <w:pPr>
              <w:pStyle w:val="53"/>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合同金额</w:t>
            </w:r>
          </w:p>
        </w:tc>
        <w:tc>
          <w:tcPr>
            <w:tcW w:w="7200" w:type="dxa"/>
          </w:tcPr>
          <w:p w14:paraId="6D16F6C2">
            <w:pPr>
              <w:pStyle w:val="53"/>
              <w:jc w:val="center"/>
              <w:rPr>
                <w:rFonts w:hint="eastAsia" w:ascii="宋体" w:hAnsi="宋体" w:eastAsia="宋体" w:cs="宋体"/>
                <w:color w:val="auto"/>
                <w:sz w:val="24"/>
                <w:szCs w:val="24"/>
                <w:highlight w:val="none"/>
              </w:rPr>
            </w:pPr>
          </w:p>
        </w:tc>
      </w:tr>
      <w:tr w14:paraId="2156E8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1908" w:type="dxa"/>
            <w:vAlign w:val="center"/>
          </w:tcPr>
          <w:p w14:paraId="57382A3B">
            <w:pPr>
              <w:pStyle w:val="53"/>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项目负责人</w:t>
            </w:r>
          </w:p>
          <w:p w14:paraId="4AE6D25B">
            <w:pPr>
              <w:pStyle w:val="53"/>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姓名</w:t>
            </w:r>
          </w:p>
        </w:tc>
        <w:tc>
          <w:tcPr>
            <w:tcW w:w="7200" w:type="dxa"/>
          </w:tcPr>
          <w:p w14:paraId="0FA9E174">
            <w:pPr>
              <w:pStyle w:val="53"/>
              <w:jc w:val="center"/>
              <w:rPr>
                <w:rFonts w:hint="eastAsia" w:ascii="宋体" w:hAnsi="宋体" w:eastAsia="宋体" w:cs="宋体"/>
                <w:color w:val="auto"/>
                <w:sz w:val="24"/>
                <w:szCs w:val="24"/>
                <w:highlight w:val="none"/>
              </w:rPr>
            </w:pPr>
          </w:p>
        </w:tc>
      </w:tr>
      <w:tr w14:paraId="2809CE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1908" w:type="dxa"/>
            <w:vAlign w:val="center"/>
          </w:tcPr>
          <w:p w14:paraId="65E8CA48">
            <w:pPr>
              <w:pStyle w:val="53"/>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项目实施时间</w:t>
            </w:r>
          </w:p>
        </w:tc>
        <w:tc>
          <w:tcPr>
            <w:tcW w:w="7200" w:type="dxa"/>
          </w:tcPr>
          <w:p w14:paraId="0085CB98">
            <w:pPr>
              <w:pStyle w:val="53"/>
              <w:jc w:val="center"/>
              <w:rPr>
                <w:rFonts w:hint="eastAsia" w:ascii="宋体" w:hAnsi="宋体" w:eastAsia="宋体" w:cs="宋体"/>
                <w:color w:val="auto"/>
                <w:sz w:val="24"/>
                <w:szCs w:val="24"/>
                <w:highlight w:val="none"/>
              </w:rPr>
            </w:pPr>
          </w:p>
        </w:tc>
      </w:tr>
      <w:tr w14:paraId="126745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8" w:hRule="atLeast"/>
          <w:jc w:val="center"/>
        </w:trPr>
        <w:tc>
          <w:tcPr>
            <w:tcW w:w="1908" w:type="dxa"/>
            <w:vAlign w:val="center"/>
          </w:tcPr>
          <w:p w14:paraId="387AF9C0">
            <w:pPr>
              <w:pStyle w:val="53"/>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项目内容说明</w:t>
            </w:r>
          </w:p>
        </w:tc>
        <w:tc>
          <w:tcPr>
            <w:tcW w:w="7200" w:type="dxa"/>
          </w:tcPr>
          <w:p w14:paraId="211F9EE8">
            <w:pPr>
              <w:pStyle w:val="53"/>
              <w:jc w:val="center"/>
              <w:rPr>
                <w:rFonts w:hint="eastAsia" w:ascii="宋体" w:hAnsi="宋体" w:eastAsia="宋体" w:cs="宋体"/>
                <w:color w:val="auto"/>
                <w:sz w:val="24"/>
                <w:szCs w:val="24"/>
                <w:highlight w:val="none"/>
              </w:rPr>
            </w:pPr>
          </w:p>
        </w:tc>
      </w:tr>
    </w:tbl>
    <w:p w14:paraId="388F895A">
      <w:pPr>
        <w:pStyle w:val="53"/>
        <w:autoSpaceDE w:val="0"/>
        <w:autoSpaceDN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说明：1．每个合同须单独附表，并附上相关证明材料，否则专家在评审时将不予采信；</w:t>
      </w:r>
    </w:p>
    <w:p w14:paraId="0F062861">
      <w:pPr>
        <w:pStyle w:val="53"/>
        <w:spacing w:line="360" w:lineRule="auto"/>
        <w:ind w:firstLine="720" w:firstLineChars="3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2．项目内容请简单说明所承担的具体工作内容；</w:t>
      </w:r>
    </w:p>
    <w:p w14:paraId="710B1C76">
      <w:pPr>
        <w:pStyle w:val="53"/>
        <w:adjustRightInd w:val="0"/>
        <w:snapToGrid w:val="0"/>
        <w:spacing w:line="5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法定代表人（单位负责人）或其委托代理人（签字或电子签章）：</w:t>
      </w:r>
      <w:r>
        <w:rPr>
          <w:rFonts w:hint="eastAsia" w:ascii="宋体" w:hAnsi="宋体" w:eastAsia="宋体" w:cs="宋体"/>
          <w:color w:val="auto"/>
          <w:sz w:val="24"/>
          <w:szCs w:val="24"/>
          <w:highlight w:val="none"/>
          <w:u w:val="single"/>
        </w:rPr>
        <w:t xml:space="preserve">                  </w:t>
      </w:r>
    </w:p>
    <w:p w14:paraId="13016DA3">
      <w:pPr>
        <w:pStyle w:val="53"/>
        <w:adjustRightInd w:val="0"/>
        <w:snapToGrid w:val="0"/>
        <w:spacing w:line="500" w:lineRule="exac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供应商名称（签章）：</w:t>
      </w:r>
      <w:r>
        <w:rPr>
          <w:rFonts w:hint="eastAsia" w:ascii="宋体" w:hAnsi="宋体" w:eastAsia="宋体" w:cs="宋体"/>
          <w:color w:val="auto"/>
          <w:sz w:val="24"/>
          <w:szCs w:val="24"/>
          <w:highlight w:val="none"/>
          <w:u w:val="single"/>
        </w:rPr>
        <w:t xml:space="preserve">                       </w:t>
      </w:r>
    </w:p>
    <w:p w14:paraId="1B71F908">
      <w:pPr>
        <w:pStyle w:val="53"/>
        <w:spacing w:line="500" w:lineRule="exact"/>
        <w:rPr>
          <w:rFonts w:hint="eastAsia" w:ascii="宋体" w:hAnsi="宋体" w:eastAsia="宋体" w:cs="宋体"/>
          <w:color w:val="auto"/>
          <w:highlight w:val="none"/>
        </w:rPr>
      </w:pP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日</w:t>
      </w:r>
    </w:p>
    <w:p w14:paraId="76F708DE">
      <w:pPr>
        <w:pStyle w:val="49"/>
        <w:outlineLvl w:val="2"/>
        <w:rPr>
          <w:rFonts w:hint="eastAsia" w:ascii="宋体" w:hAnsi="宋体" w:eastAsia="宋体" w:cs="宋体"/>
          <w:color w:val="auto"/>
          <w:highlight w:val="none"/>
        </w:rPr>
        <w:sectPr>
          <w:pgSz w:w="11906" w:h="16838"/>
          <w:pgMar w:top="1440" w:right="1797" w:bottom="1440" w:left="1797" w:header="851" w:footer="992" w:gutter="0"/>
          <w:pgNumType w:fmt="decimal"/>
          <w:cols w:space="720" w:num="1"/>
          <w:titlePg/>
          <w:docGrid w:type="lines" w:linePitch="312" w:charSpace="0"/>
        </w:sectPr>
      </w:pPr>
      <w:bookmarkStart w:id="212" w:name="_Toc256000075"/>
    </w:p>
    <w:p w14:paraId="044BC65E">
      <w:pPr>
        <w:pStyle w:val="49"/>
        <w:outlineLvl w:val="2"/>
        <w:rPr>
          <w:rFonts w:hint="eastAsia" w:ascii="宋体" w:hAnsi="宋体" w:eastAsia="宋体" w:cs="宋体"/>
          <w:color w:val="auto"/>
          <w:highlight w:val="none"/>
        </w:rPr>
      </w:pPr>
      <w:bookmarkStart w:id="213" w:name="_Toc8269"/>
      <w:bookmarkStart w:id="214" w:name="_Toc2309"/>
      <w:r>
        <w:rPr>
          <w:rFonts w:hint="eastAsia" w:ascii="宋体" w:hAnsi="宋体" w:eastAsia="宋体" w:cs="宋体"/>
          <w:color w:val="auto"/>
          <w:highlight w:val="none"/>
        </w:rPr>
        <w:t>（八）中小微企业、残疾人福利性单位、监狱企业声明函（如有）</w:t>
      </w:r>
      <w:bookmarkEnd w:id="213"/>
      <w:bookmarkEnd w:id="214"/>
    </w:p>
    <w:p w14:paraId="13BF5709">
      <w:pPr>
        <w:pStyle w:val="21"/>
        <w:shd w:val="clear" w:color="auto" w:fill="FFFFFF"/>
        <w:spacing w:line="360" w:lineRule="auto"/>
        <w:jc w:val="center"/>
        <w:rPr>
          <w:rFonts w:hint="eastAsia" w:ascii="宋体" w:hAnsi="宋体" w:eastAsia="宋体" w:cs="宋体"/>
          <w:b/>
          <w:color w:val="auto"/>
          <w:sz w:val="28"/>
          <w:szCs w:val="28"/>
          <w:highlight w:val="none"/>
          <w:shd w:val="clear" w:color="auto" w:fill="FFFFFF"/>
        </w:rPr>
      </w:pPr>
      <w:r>
        <w:rPr>
          <w:rFonts w:hint="eastAsia" w:ascii="宋体" w:hAnsi="宋体" w:eastAsia="宋体" w:cs="宋体"/>
          <w:b/>
          <w:color w:val="auto"/>
          <w:sz w:val="28"/>
          <w:szCs w:val="28"/>
          <w:highlight w:val="none"/>
          <w:shd w:val="clear" w:color="auto" w:fill="FFFFFF"/>
        </w:rPr>
        <w:t>1、中小企业声明函</w:t>
      </w:r>
    </w:p>
    <w:p w14:paraId="31926CD4">
      <w:pPr>
        <w:spacing w:before="145" w:beforeLines="50" w:after="145" w:afterLines="50" w:line="30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本公司（联合体）郑重声明，根据《政府采购促进中小企业发展管理办法》（财库﹝2020﹞46 号）的规定，本公司（联合体）参加（</w:t>
      </w:r>
      <w:r>
        <w:rPr>
          <w:rFonts w:hint="eastAsia" w:ascii="宋体" w:hAnsi="宋体" w:eastAsia="宋体" w:cs="宋体"/>
          <w:bCs/>
          <w:i/>
          <w:iCs/>
          <w:color w:val="auto"/>
          <w:sz w:val="24"/>
          <w:szCs w:val="24"/>
          <w:highlight w:val="none"/>
          <w:u w:val="single"/>
        </w:rPr>
        <w:t>单位名称</w:t>
      </w:r>
      <w:r>
        <w:rPr>
          <w:rFonts w:hint="eastAsia" w:ascii="宋体" w:hAnsi="宋体" w:eastAsia="宋体" w:cs="宋体"/>
          <w:bCs/>
          <w:color w:val="auto"/>
          <w:sz w:val="24"/>
          <w:szCs w:val="24"/>
          <w:highlight w:val="none"/>
        </w:rPr>
        <w:t>）的（</w:t>
      </w:r>
      <w:r>
        <w:rPr>
          <w:rFonts w:hint="eastAsia" w:ascii="宋体" w:hAnsi="宋体" w:eastAsia="宋体" w:cs="宋体"/>
          <w:bCs/>
          <w:i/>
          <w:iCs/>
          <w:color w:val="auto"/>
          <w:sz w:val="24"/>
          <w:szCs w:val="24"/>
          <w:highlight w:val="none"/>
          <w:u w:val="single"/>
        </w:rPr>
        <w:t>项目名称</w:t>
      </w:r>
      <w:r>
        <w:rPr>
          <w:rFonts w:hint="eastAsia" w:ascii="宋体" w:hAnsi="宋体" w:eastAsia="宋体" w:cs="宋体"/>
          <w:bCs/>
          <w:color w:val="auto"/>
          <w:sz w:val="24"/>
          <w:szCs w:val="24"/>
          <w:highlight w:val="none"/>
        </w:rPr>
        <w:t>）采购活动，工程的施工单位全部为符合政策要求的中小企业（或者：服务全部由符合政策要求的中小企业承接）。相关企业（含联合体中的中小企业、签订分包意向协议的中小企业）的具体情况如下：</w:t>
      </w:r>
    </w:p>
    <w:p w14:paraId="3E4B8AA3">
      <w:pPr>
        <w:spacing w:before="145" w:beforeLines="50" w:after="145" w:afterLines="50" w:line="30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 （</w:t>
      </w:r>
      <w:r>
        <w:rPr>
          <w:rFonts w:hint="eastAsia" w:ascii="宋体" w:hAnsi="宋体" w:eastAsia="宋体" w:cs="宋体"/>
          <w:bCs/>
          <w:i/>
          <w:iCs/>
          <w:color w:val="auto"/>
          <w:sz w:val="24"/>
          <w:szCs w:val="24"/>
          <w:highlight w:val="none"/>
          <w:u w:val="single"/>
        </w:rPr>
        <w:t>标的名称</w:t>
      </w:r>
      <w:r>
        <w:rPr>
          <w:rFonts w:hint="eastAsia" w:ascii="宋体" w:hAnsi="宋体" w:eastAsia="宋体" w:cs="宋体"/>
          <w:bCs/>
          <w:color w:val="auto"/>
          <w:sz w:val="24"/>
          <w:szCs w:val="24"/>
          <w:highlight w:val="none"/>
        </w:rPr>
        <w:t>） ，属于</w:t>
      </w:r>
      <w:r>
        <w:rPr>
          <w:rFonts w:hint="eastAsia" w:ascii="宋体" w:hAnsi="宋体" w:eastAsia="宋体" w:cs="宋体"/>
          <w:bCs/>
          <w:color w:val="auto"/>
          <w:sz w:val="24"/>
          <w:szCs w:val="24"/>
          <w:highlight w:val="none"/>
          <w:u w:val="single"/>
        </w:rPr>
        <w:t>（</w:t>
      </w:r>
      <w:r>
        <w:rPr>
          <w:rFonts w:hint="eastAsia" w:ascii="宋体" w:hAnsi="宋体" w:eastAsia="宋体" w:cs="宋体"/>
          <w:bCs/>
          <w:color w:val="auto"/>
          <w:sz w:val="24"/>
          <w:szCs w:val="24"/>
          <w:highlight w:val="none"/>
          <w:u w:val="single"/>
          <w:lang w:val="en-US" w:eastAsia="zh-CN"/>
        </w:rPr>
        <w:t>采购文件中所明确的行业</w:t>
      </w:r>
      <w:r>
        <w:rPr>
          <w:rFonts w:hint="eastAsia" w:ascii="宋体" w:hAnsi="宋体" w:eastAsia="宋体" w:cs="宋体"/>
          <w:bCs/>
          <w:color w:val="auto"/>
          <w:sz w:val="24"/>
          <w:szCs w:val="24"/>
          <w:highlight w:val="none"/>
          <w:u w:val="single"/>
        </w:rPr>
        <w:t>）</w:t>
      </w:r>
      <w:r>
        <w:rPr>
          <w:rFonts w:hint="eastAsia" w:ascii="宋体" w:hAnsi="宋体" w:eastAsia="宋体" w:cs="宋体"/>
          <w:bCs/>
          <w:color w:val="auto"/>
          <w:sz w:val="24"/>
          <w:szCs w:val="24"/>
          <w:highlight w:val="none"/>
        </w:rPr>
        <w:t>；承建（承接）企业为（</w:t>
      </w:r>
      <w:r>
        <w:rPr>
          <w:rFonts w:hint="eastAsia" w:ascii="宋体" w:hAnsi="宋体" w:eastAsia="宋体" w:cs="宋体"/>
          <w:bCs/>
          <w:i/>
          <w:iCs/>
          <w:color w:val="auto"/>
          <w:sz w:val="24"/>
          <w:szCs w:val="24"/>
          <w:highlight w:val="none"/>
          <w:u w:val="single"/>
        </w:rPr>
        <w:t>企业名称</w:t>
      </w:r>
      <w:r>
        <w:rPr>
          <w:rFonts w:hint="eastAsia" w:ascii="宋体" w:hAnsi="宋体" w:eastAsia="宋体" w:cs="宋体"/>
          <w:bCs/>
          <w:color w:val="auto"/>
          <w:sz w:val="24"/>
          <w:szCs w:val="24"/>
          <w:highlight w:val="none"/>
        </w:rPr>
        <w:t>），从业人员</w:t>
      </w:r>
      <w:r>
        <w:rPr>
          <w:rFonts w:hint="eastAsia" w:ascii="宋体" w:hAnsi="宋体" w:eastAsia="宋体" w:cs="宋体"/>
          <w:bCs/>
          <w:color w:val="auto"/>
          <w:sz w:val="24"/>
          <w:szCs w:val="24"/>
          <w:highlight w:val="none"/>
          <w:u w:val="single"/>
          <w:lang w:val="en-US" w:eastAsia="zh-CN"/>
        </w:rPr>
        <w:t xml:space="preserve">     </w:t>
      </w:r>
      <w:r>
        <w:rPr>
          <w:rFonts w:hint="eastAsia" w:ascii="宋体" w:hAnsi="宋体" w:eastAsia="宋体" w:cs="宋体"/>
          <w:bCs/>
          <w:color w:val="auto"/>
          <w:sz w:val="24"/>
          <w:szCs w:val="24"/>
          <w:highlight w:val="none"/>
        </w:rPr>
        <w:t>人，营业收入为</w:t>
      </w:r>
      <w:r>
        <w:rPr>
          <w:rFonts w:hint="eastAsia" w:ascii="宋体" w:hAnsi="宋体" w:eastAsia="宋体" w:cs="宋体"/>
          <w:bCs/>
          <w:color w:val="auto"/>
          <w:sz w:val="24"/>
          <w:szCs w:val="24"/>
          <w:highlight w:val="none"/>
          <w:u w:val="single"/>
          <w:lang w:val="en-US" w:eastAsia="zh-CN"/>
        </w:rPr>
        <w:t xml:space="preserve">     </w:t>
      </w:r>
      <w:r>
        <w:rPr>
          <w:rFonts w:hint="eastAsia" w:ascii="宋体" w:hAnsi="宋体" w:eastAsia="宋体" w:cs="宋体"/>
          <w:bCs/>
          <w:color w:val="auto"/>
          <w:sz w:val="24"/>
          <w:szCs w:val="24"/>
          <w:highlight w:val="none"/>
        </w:rPr>
        <w:t>万元，资产总额为</w:t>
      </w:r>
      <w:r>
        <w:rPr>
          <w:rFonts w:hint="eastAsia" w:ascii="宋体" w:hAnsi="宋体" w:eastAsia="宋体" w:cs="宋体"/>
          <w:bCs/>
          <w:color w:val="auto"/>
          <w:sz w:val="24"/>
          <w:szCs w:val="24"/>
          <w:highlight w:val="none"/>
          <w:u w:val="single"/>
          <w:lang w:val="en-US" w:eastAsia="zh-CN"/>
        </w:rPr>
        <w:t xml:space="preserve">     </w:t>
      </w:r>
      <w:r>
        <w:rPr>
          <w:rFonts w:hint="eastAsia" w:ascii="宋体" w:hAnsi="宋体" w:eastAsia="宋体" w:cs="宋体"/>
          <w:bCs/>
          <w:color w:val="auto"/>
          <w:sz w:val="24"/>
          <w:szCs w:val="24"/>
          <w:highlight w:val="none"/>
        </w:rPr>
        <w:t>万元，属于（</w:t>
      </w:r>
      <w:r>
        <w:rPr>
          <w:rFonts w:hint="eastAsia" w:ascii="宋体" w:hAnsi="宋体" w:eastAsia="宋体" w:cs="宋体"/>
          <w:bCs/>
          <w:i/>
          <w:iCs/>
          <w:color w:val="auto"/>
          <w:sz w:val="24"/>
          <w:szCs w:val="24"/>
          <w:highlight w:val="none"/>
          <w:u w:val="single"/>
        </w:rPr>
        <w:t>中型企业、小型企业、微型企业</w:t>
      </w:r>
      <w:r>
        <w:rPr>
          <w:rFonts w:hint="eastAsia" w:ascii="宋体" w:hAnsi="宋体" w:eastAsia="宋体" w:cs="宋体"/>
          <w:bCs/>
          <w:color w:val="auto"/>
          <w:sz w:val="24"/>
          <w:szCs w:val="24"/>
          <w:highlight w:val="none"/>
        </w:rPr>
        <w:t>）；</w:t>
      </w:r>
    </w:p>
    <w:p w14:paraId="2ABD0C62">
      <w:pPr>
        <w:spacing w:before="145" w:beforeLines="50" w:after="145" w:afterLines="50" w:line="30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 （</w:t>
      </w:r>
      <w:r>
        <w:rPr>
          <w:rFonts w:hint="eastAsia" w:ascii="宋体" w:hAnsi="宋体" w:eastAsia="宋体" w:cs="宋体"/>
          <w:bCs/>
          <w:i/>
          <w:iCs/>
          <w:color w:val="auto"/>
          <w:sz w:val="24"/>
          <w:szCs w:val="24"/>
          <w:highlight w:val="none"/>
          <w:u w:val="single"/>
        </w:rPr>
        <w:t>标的名称</w:t>
      </w:r>
      <w:r>
        <w:rPr>
          <w:rFonts w:hint="eastAsia" w:ascii="宋体" w:hAnsi="宋体" w:eastAsia="宋体" w:cs="宋体"/>
          <w:bCs/>
          <w:color w:val="auto"/>
          <w:sz w:val="24"/>
          <w:szCs w:val="24"/>
          <w:highlight w:val="none"/>
        </w:rPr>
        <w:t>） ，属于</w:t>
      </w:r>
      <w:r>
        <w:rPr>
          <w:rFonts w:hint="eastAsia" w:ascii="宋体" w:hAnsi="宋体" w:eastAsia="宋体" w:cs="宋体"/>
          <w:bCs/>
          <w:color w:val="auto"/>
          <w:sz w:val="24"/>
          <w:szCs w:val="24"/>
          <w:highlight w:val="none"/>
          <w:u w:val="single"/>
        </w:rPr>
        <w:t>（</w:t>
      </w:r>
      <w:r>
        <w:rPr>
          <w:rFonts w:hint="eastAsia" w:ascii="宋体" w:hAnsi="宋体" w:eastAsia="宋体" w:cs="宋体"/>
          <w:bCs/>
          <w:color w:val="auto"/>
          <w:sz w:val="24"/>
          <w:szCs w:val="24"/>
          <w:highlight w:val="none"/>
          <w:u w:val="single"/>
          <w:lang w:val="en-US" w:eastAsia="zh-CN"/>
        </w:rPr>
        <w:t>采购文件中所明确的行业</w:t>
      </w:r>
      <w:r>
        <w:rPr>
          <w:rFonts w:hint="eastAsia" w:ascii="宋体" w:hAnsi="宋体" w:eastAsia="宋体" w:cs="宋体"/>
          <w:bCs/>
          <w:color w:val="auto"/>
          <w:sz w:val="24"/>
          <w:szCs w:val="24"/>
          <w:highlight w:val="none"/>
          <w:u w:val="single"/>
        </w:rPr>
        <w:t>）</w:t>
      </w:r>
      <w:r>
        <w:rPr>
          <w:rFonts w:hint="eastAsia" w:ascii="宋体" w:hAnsi="宋体" w:eastAsia="宋体" w:cs="宋体"/>
          <w:bCs/>
          <w:color w:val="auto"/>
          <w:sz w:val="24"/>
          <w:szCs w:val="24"/>
          <w:highlight w:val="none"/>
        </w:rPr>
        <w:t>；承建（承接）企业为（</w:t>
      </w:r>
      <w:r>
        <w:rPr>
          <w:rFonts w:hint="eastAsia" w:ascii="宋体" w:hAnsi="宋体" w:eastAsia="宋体" w:cs="宋体"/>
          <w:bCs/>
          <w:i/>
          <w:iCs/>
          <w:color w:val="auto"/>
          <w:sz w:val="24"/>
          <w:szCs w:val="24"/>
          <w:highlight w:val="none"/>
          <w:u w:val="single"/>
        </w:rPr>
        <w:t>企业名称</w:t>
      </w:r>
      <w:r>
        <w:rPr>
          <w:rFonts w:hint="eastAsia" w:ascii="宋体" w:hAnsi="宋体" w:eastAsia="宋体" w:cs="宋体"/>
          <w:bCs/>
          <w:color w:val="auto"/>
          <w:sz w:val="24"/>
          <w:szCs w:val="24"/>
          <w:highlight w:val="none"/>
        </w:rPr>
        <w:t>），从业人员</w:t>
      </w:r>
      <w:r>
        <w:rPr>
          <w:rFonts w:hint="eastAsia" w:ascii="宋体" w:hAnsi="宋体" w:eastAsia="宋体" w:cs="宋体"/>
          <w:bCs/>
          <w:color w:val="auto"/>
          <w:sz w:val="24"/>
          <w:szCs w:val="24"/>
          <w:highlight w:val="none"/>
          <w:u w:val="single"/>
          <w:lang w:val="en-US" w:eastAsia="zh-CN"/>
        </w:rPr>
        <w:t xml:space="preserve">     </w:t>
      </w:r>
      <w:r>
        <w:rPr>
          <w:rFonts w:hint="eastAsia" w:ascii="宋体" w:hAnsi="宋体" w:eastAsia="宋体" w:cs="宋体"/>
          <w:bCs/>
          <w:color w:val="auto"/>
          <w:sz w:val="24"/>
          <w:szCs w:val="24"/>
          <w:highlight w:val="none"/>
        </w:rPr>
        <w:t>人，营业收入为</w:t>
      </w:r>
      <w:r>
        <w:rPr>
          <w:rFonts w:hint="eastAsia" w:ascii="宋体" w:hAnsi="宋体" w:eastAsia="宋体" w:cs="宋体"/>
          <w:bCs/>
          <w:color w:val="auto"/>
          <w:sz w:val="24"/>
          <w:szCs w:val="24"/>
          <w:highlight w:val="none"/>
          <w:u w:val="single"/>
          <w:lang w:val="en-US" w:eastAsia="zh-CN"/>
        </w:rPr>
        <w:t xml:space="preserve">     </w:t>
      </w:r>
      <w:r>
        <w:rPr>
          <w:rFonts w:hint="eastAsia" w:ascii="宋体" w:hAnsi="宋体" w:eastAsia="宋体" w:cs="宋体"/>
          <w:bCs/>
          <w:color w:val="auto"/>
          <w:sz w:val="24"/>
          <w:szCs w:val="24"/>
          <w:highlight w:val="none"/>
        </w:rPr>
        <w:t>万元，资产总额为</w:t>
      </w:r>
      <w:r>
        <w:rPr>
          <w:rFonts w:hint="eastAsia" w:ascii="宋体" w:hAnsi="宋体" w:eastAsia="宋体" w:cs="宋体"/>
          <w:bCs/>
          <w:color w:val="auto"/>
          <w:sz w:val="24"/>
          <w:szCs w:val="24"/>
          <w:highlight w:val="none"/>
          <w:u w:val="single"/>
          <w:lang w:val="en-US" w:eastAsia="zh-CN"/>
        </w:rPr>
        <w:t xml:space="preserve">     </w:t>
      </w:r>
      <w:r>
        <w:rPr>
          <w:rFonts w:hint="eastAsia" w:ascii="宋体" w:hAnsi="宋体" w:eastAsia="宋体" w:cs="宋体"/>
          <w:bCs/>
          <w:color w:val="auto"/>
          <w:sz w:val="24"/>
          <w:szCs w:val="24"/>
          <w:highlight w:val="none"/>
        </w:rPr>
        <w:t>万元，属于（</w:t>
      </w:r>
      <w:r>
        <w:rPr>
          <w:rFonts w:hint="eastAsia" w:ascii="宋体" w:hAnsi="宋体" w:eastAsia="宋体" w:cs="宋体"/>
          <w:bCs/>
          <w:i/>
          <w:iCs/>
          <w:color w:val="auto"/>
          <w:sz w:val="24"/>
          <w:szCs w:val="24"/>
          <w:highlight w:val="none"/>
          <w:u w:val="single"/>
        </w:rPr>
        <w:t>中型企业、小型企业、微型企业</w:t>
      </w:r>
      <w:r>
        <w:rPr>
          <w:rFonts w:hint="eastAsia" w:ascii="宋体" w:hAnsi="宋体" w:eastAsia="宋体" w:cs="宋体"/>
          <w:bCs/>
          <w:color w:val="auto"/>
          <w:sz w:val="24"/>
          <w:szCs w:val="24"/>
          <w:highlight w:val="none"/>
        </w:rPr>
        <w:t>）；</w:t>
      </w:r>
    </w:p>
    <w:p w14:paraId="1374E5DD">
      <w:pPr>
        <w:spacing w:before="145" w:beforeLines="50" w:after="145" w:afterLines="50" w:line="30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w:t>
      </w:r>
    </w:p>
    <w:p w14:paraId="7EFC99E8">
      <w:pPr>
        <w:spacing w:before="145" w:beforeLines="50" w:after="145" w:afterLines="50" w:line="30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以上企业，不属于大企业的分支机构，不存在控股股东为大企业的情形，也不存在与大企业的负责人为同一人的情形。</w:t>
      </w:r>
    </w:p>
    <w:p w14:paraId="093BD4C4">
      <w:pPr>
        <w:spacing w:before="145" w:beforeLines="50" w:after="145" w:afterLines="50" w:line="30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本企业对上述声明内容的真实性负责。如有虚假，将依法承担相应责任。</w:t>
      </w:r>
    </w:p>
    <w:p w14:paraId="278997C6">
      <w:pPr>
        <w:spacing w:before="145" w:beforeLines="50" w:after="145" w:afterLines="50" w:line="300" w:lineRule="auto"/>
        <w:rPr>
          <w:rFonts w:hint="eastAsia" w:ascii="宋体" w:hAnsi="宋体" w:eastAsia="宋体" w:cs="宋体"/>
          <w:bCs/>
          <w:color w:val="auto"/>
          <w:sz w:val="24"/>
          <w:szCs w:val="24"/>
          <w:highlight w:val="none"/>
        </w:rPr>
      </w:pPr>
    </w:p>
    <w:p w14:paraId="102741CF">
      <w:pPr>
        <w:spacing w:before="145" w:beforeLines="50" w:after="145" w:afterLines="50" w:line="300" w:lineRule="auto"/>
        <w:rPr>
          <w:rFonts w:hint="eastAsia" w:ascii="宋体" w:hAnsi="宋体" w:eastAsia="宋体" w:cs="宋体"/>
          <w:bCs/>
          <w:color w:val="auto"/>
          <w:sz w:val="24"/>
          <w:szCs w:val="24"/>
          <w:highlight w:val="none"/>
        </w:rPr>
      </w:pPr>
    </w:p>
    <w:p w14:paraId="3CE220A6">
      <w:pPr>
        <w:spacing w:before="145" w:beforeLines="50" w:after="145" w:afterLines="50" w:line="300" w:lineRule="auto"/>
        <w:ind w:firstLine="4320" w:firstLineChars="18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企业名称（盖章）：</w:t>
      </w:r>
    </w:p>
    <w:p w14:paraId="2C5B6B1D">
      <w:pPr>
        <w:spacing w:before="145" w:beforeLines="50" w:after="145" w:afterLines="50" w:line="300" w:lineRule="auto"/>
        <w:ind w:firstLine="4320" w:firstLineChars="18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日期：</w:t>
      </w:r>
    </w:p>
    <w:p w14:paraId="3227FA56">
      <w:pPr>
        <w:pStyle w:val="21"/>
        <w:shd w:val="clear" w:color="auto" w:fill="auto"/>
        <w:spacing w:line="360" w:lineRule="auto"/>
        <w:ind w:right="1785" w:firstLine="5760" w:firstLineChars="2400"/>
        <w:rPr>
          <w:rFonts w:hint="eastAsia" w:ascii="宋体" w:hAnsi="宋体" w:eastAsia="宋体" w:cs="宋体"/>
          <w:bCs/>
          <w:color w:val="auto"/>
          <w:highlight w:val="none"/>
          <w:shd w:val="clear" w:color="auto" w:fill="FFFFFF"/>
        </w:rPr>
      </w:pPr>
      <w:r>
        <w:rPr>
          <w:rFonts w:hint="eastAsia" w:ascii="宋体" w:hAnsi="宋体" w:eastAsia="宋体" w:cs="宋体"/>
          <w:bCs/>
          <w:color w:val="auto"/>
          <w:highlight w:val="none"/>
          <w:shd w:val="clear" w:color="auto" w:fill="FFFFFF"/>
        </w:rPr>
        <w:t xml:space="preserve">            </w:t>
      </w:r>
    </w:p>
    <w:p w14:paraId="2CF8F86D">
      <w:pPr>
        <w:pStyle w:val="21"/>
        <w:shd w:val="clear" w:color="auto" w:fill="auto"/>
        <w:spacing w:line="360" w:lineRule="auto"/>
        <w:ind w:firstLine="480" w:firstLineChars="200"/>
        <w:rPr>
          <w:rFonts w:hint="eastAsia" w:ascii="宋体" w:hAnsi="宋体" w:eastAsia="宋体" w:cs="宋体"/>
          <w:bCs/>
          <w:color w:val="auto"/>
          <w:highlight w:val="none"/>
          <w:shd w:val="clear" w:color="auto" w:fill="FFFFFF"/>
        </w:rPr>
      </w:pPr>
    </w:p>
    <w:p w14:paraId="351F6982">
      <w:pPr>
        <w:pStyle w:val="21"/>
        <w:shd w:val="clear" w:color="auto" w:fill="auto"/>
        <w:spacing w:line="360" w:lineRule="auto"/>
        <w:ind w:firstLine="480" w:firstLineChars="200"/>
        <w:rPr>
          <w:rFonts w:hint="eastAsia" w:ascii="宋体" w:hAnsi="宋体" w:eastAsia="宋体" w:cs="宋体"/>
          <w:bCs/>
          <w:color w:val="auto"/>
          <w:highlight w:val="none"/>
          <w:shd w:val="clear" w:color="auto" w:fill="FFFFFF"/>
        </w:rPr>
      </w:pPr>
      <w:r>
        <w:rPr>
          <w:rFonts w:hint="eastAsia" w:ascii="宋体" w:hAnsi="宋体" w:eastAsia="宋体" w:cs="宋体"/>
          <w:bCs/>
          <w:color w:val="auto"/>
          <w:highlight w:val="none"/>
          <w:shd w:val="clear" w:color="auto" w:fill="FFFFFF"/>
        </w:rPr>
        <w:t>注：从业人员、营业收入、资产总额填报上一年度数据，无上一年度数据的新成立企业可不填报。</w:t>
      </w:r>
    </w:p>
    <w:p w14:paraId="6FC83476">
      <w:pPr>
        <w:pStyle w:val="77"/>
        <w:shd w:val="clear" w:color="auto" w:fill="auto"/>
        <w:adjustRightInd w:val="0"/>
        <w:snapToGrid w:val="0"/>
        <w:spacing w:line="360" w:lineRule="auto"/>
        <w:ind w:firstLine="600" w:firstLineChars="2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说明：1、填写前请认真阅读</w:t>
      </w:r>
      <w:r>
        <w:rPr>
          <w:rFonts w:hint="eastAsia" w:ascii="宋体" w:hAnsi="宋体" w:eastAsia="宋体" w:cs="宋体"/>
          <w:color w:val="auto"/>
          <w:spacing w:val="6"/>
          <w:kern w:val="0"/>
          <w:sz w:val="24"/>
          <w:szCs w:val="24"/>
          <w:highlight w:val="none"/>
        </w:rPr>
        <w:t>《工业和信息化部、国家统计局、国家发展和改革委员会、财政部关于印发中小企业划型标准规定的通知》（工信部联企业</w:t>
      </w:r>
      <w:r>
        <w:rPr>
          <w:rFonts w:hint="eastAsia" w:ascii="宋体" w:hAnsi="宋体" w:eastAsia="宋体" w:cs="宋体"/>
          <w:color w:val="auto"/>
          <w:spacing w:val="6"/>
          <w:sz w:val="24"/>
          <w:szCs w:val="24"/>
          <w:highlight w:val="none"/>
        </w:rPr>
        <w:t>〔2011〕</w:t>
      </w:r>
      <w:r>
        <w:rPr>
          <w:rFonts w:hint="eastAsia" w:ascii="宋体" w:hAnsi="宋体" w:eastAsia="宋体" w:cs="宋体"/>
          <w:color w:val="auto"/>
          <w:spacing w:val="6"/>
          <w:kern w:val="0"/>
          <w:sz w:val="24"/>
          <w:szCs w:val="24"/>
          <w:highlight w:val="none"/>
        </w:rPr>
        <w:t>300号）和</w:t>
      </w:r>
      <w:r>
        <w:rPr>
          <w:rFonts w:hint="eastAsia" w:ascii="宋体" w:hAnsi="宋体" w:eastAsia="宋体" w:cs="宋体"/>
          <w:color w:val="auto"/>
          <w:spacing w:val="6"/>
          <w:sz w:val="24"/>
          <w:szCs w:val="24"/>
          <w:highlight w:val="none"/>
        </w:rPr>
        <w:t>财政部、工业和信息化部《关于印发&lt;政府采购促进中小企业发展管理办法&gt;的通知》（财库〔2020〕46号）</w:t>
      </w:r>
      <w:r>
        <w:rPr>
          <w:rFonts w:hint="eastAsia" w:ascii="宋体" w:hAnsi="宋体" w:eastAsia="宋体" w:cs="宋体"/>
          <w:color w:val="auto"/>
          <w:sz w:val="24"/>
          <w:szCs w:val="24"/>
          <w:highlight w:val="none"/>
        </w:rPr>
        <w:t>相关规定。</w:t>
      </w:r>
    </w:p>
    <w:p w14:paraId="1DB6751F">
      <w:pPr>
        <w:pStyle w:val="77"/>
        <w:shd w:val="clear" w:color="auto" w:fill="auto"/>
        <w:adjustRightInd w:val="0"/>
        <w:snapToGrid w:val="0"/>
        <w:spacing w:line="360" w:lineRule="auto"/>
        <w:ind w:firstLine="600" w:firstLineChars="2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2、中小企业部分提供其他中小企业制造货物的应另附说明，并与后面的报价一栏表保持一致。</w:t>
      </w:r>
    </w:p>
    <w:p w14:paraId="728BFEC6">
      <w:pPr>
        <w:pStyle w:val="77"/>
        <w:shd w:val="clear" w:color="auto" w:fill="auto"/>
        <w:adjustRightInd w:val="0"/>
        <w:snapToGrid w:val="0"/>
        <w:spacing w:line="360" w:lineRule="auto"/>
        <w:ind w:firstLine="600" w:firstLineChars="2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3、未按上述要求提供、填写的，评审时不予以考虑。</w:t>
      </w:r>
    </w:p>
    <w:p w14:paraId="5E6FEFA0">
      <w:pPr>
        <w:pStyle w:val="77"/>
        <w:adjustRightInd w:val="0"/>
        <w:snapToGrid w:val="0"/>
        <w:spacing w:line="360" w:lineRule="auto"/>
        <w:ind w:firstLine="600" w:firstLineChars="250"/>
        <w:rPr>
          <w:rFonts w:hint="eastAsia" w:ascii="宋体" w:hAnsi="宋体" w:eastAsia="宋体" w:cs="宋体"/>
          <w:color w:val="auto"/>
          <w:sz w:val="24"/>
          <w:szCs w:val="24"/>
          <w:highlight w:val="none"/>
        </w:rPr>
      </w:pPr>
    </w:p>
    <w:p w14:paraId="169D01E8">
      <w:pPr>
        <w:pStyle w:val="78"/>
        <w:spacing w:line="360" w:lineRule="auto"/>
        <w:ind w:firstLine="6000" w:firstLineChars="2500"/>
        <w:jc w:val="right"/>
        <w:rPr>
          <w:rFonts w:hint="eastAsia" w:ascii="宋体" w:hAnsi="宋体" w:eastAsia="宋体" w:cs="宋体"/>
          <w:color w:val="auto"/>
          <w:sz w:val="24"/>
          <w:highlight w:val="none"/>
        </w:rPr>
      </w:pPr>
    </w:p>
    <w:p w14:paraId="1842A795">
      <w:pPr>
        <w:pStyle w:val="77"/>
        <w:spacing w:line="440" w:lineRule="exact"/>
        <w:ind w:firstLine="420"/>
        <w:jc w:val="center"/>
        <w:rPr>
          <w:rFonts w:hint="eastAsia" w:ascii="宋体" w:hAnsi="宋体" w:eastAsia="宋体" w:cs="宋体"/>
          <w:b/>
          <w:bCs/>
          <w:color w:val="auto"/>
          <w:spacing w:val="6"/>
          <w:kern w:val="0"/>
          <w:sz w:val="28"/>
          <w:szCs w:val="28"/>
          <w:highlight w:val="none"/>
        </w:rPr>
        <w:sectPr>
          <w:pgSz w:w="11906" w:h="16838"/>
          <w:pgMar w:top="1440" w:right="1797" w:bottom="1440" w:left="1797" w:header="851" w:footer="992" w:gutter="0"/>
          <w:pgNumType w:fmt="decimal"/>
          <w:cols w:space="720" w:num="1"/>
          <w:titlePg/>
          <w:docGrid w:type="lines" w:linePitch="312" w:charSpace="0"/>
        </w:sectPr>
      </w:pPr>
    </w:p>
    <w:p w14:paraId="1E368A22">
      <w:pPr>
        <w:pStyle w:val="77"/>
        <w:spacing w:line="440" w:lineRule="exact"/>
        <w:ind w:firstLine="420"/>
        <w:jc w:val="center"/>
        <w:rPr>
          <w:rFonts w:hint="eastAsia" w:ascii="宋体" w:hAnsi="宋体" w:eastAsia="宋体" w:cs="宋体"/>
          <w:b/>
          <w:bCs/>
          <w:color w:val="auto"/>
          <w:spacing w:val="6"/>
          <w:kern w:val="0"/>
          <w:sz w:val="28"/>
          <w:szCs w:val="28"/>
          <w:highlight w:val="none"/>
        </w:rPr>
      </w:pPr>
      <w:r>
        <w:rPr>
          <w:rFonts w:hint="eastAsia" w:ascii="宋体" w:hAnsi="宋体" w:eastAsia="宋体" w:cs="宋体"/>
          <w:b/>
          <w:bCs/>
          <w:color w:val="auto"/>
          <w:spacing w:val="6"/>
          <w:kern w:val="0"/>
          <w:sz w:val="28"/>
          <w:szCs w:val="28"/>
          <w:highlight w:val="none"/>
        </w:rPr>
        <w:t>2、残疾人福利性单位声明函</w:t>
      </w:r>
    </w:p>
    <w:p w14:paraId="1D735669">
      <w:pPr>
        <w:pStyle w:val="78"/>
        <w:spacing w:line="588" w:lineRule="exact"/>
        <w:rPr>
          <w:rFonts w:hint="eastAsia" w:ascii="宋体" w:hAnsi="宋体" w:eastAsia="宋体" w:cs="宋体"/>
          <w:b/>
          <w:color w:val="auto"/>
          <w:spacing w:val="6"/>
          <w:sz w:val="30"/>
          <w:szCs w:val="30"/>
          <w:highlight w:val="none"/>
        </w:rPr>
      </w:pPr>
    </w:p>
    <w:p w14:paraId="4DFE1D65">
      <w:pPr>
        <w:pStyle w:val="78"/>
        <w:widowControl/>
        <w:adjustRightInd w:val="0"/>
        <w:snapToGrid w:val="0"/>
        <w:spacing w:before="156" w:beforeLines="50" w:line="360" w:lineRule="auto"/>
        <w:ind w:firstLine="504" w:firstLineChars="200"/>
        <w:jc w:val="left"/>
        <w:rPr>
          <w:rFonts w:hint="eastAsia" w:ascii="宋体" w:hAnsi="宋体" w:eastAsia="宋体" w:cs="宋体"/>
          <w:color w:val="auto"/>
          <w:spacing w:val="6"/>
          <w:kern w:val="0"/>
          <w:sz w:val="24"/>
          <w:highlight w:val="none"/>
        </w:rPr>
      </w:pPr>
      <w:r>
        <w:rPr>
          <w:rFonts w:hint="eastAsia" w:ascii="宋体" w:hAnsi="宋体" w:eastAsia="宋体" w:cs="宋体"/>
          <w:color w:val="auto"/>
          <w:spacing w:val="6"/>
          <w:kern w:val="0"/>
          <w:sz w:val="24"/>
          <w:highlight w:val="none"/>
        </w:rPr>
        <w:t>本单位郑重声明，根据《财政部 民政部 中国残疾人联合会关于促进残疾人就业政府采购政策的通知》（财库〔2017〕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7F6F556F">
      <w:pPr>
        <w:pStyle w:val="78"/>
        <w:widowControl/>
        <w:adjustRightInd w:val="0"/>
        <w:snapToGrid w:val="0"/>
        <w:spacing w:before="156" w:beforeLines="50" w:line="360" w:lineRule="auto"/>
        <w:ind w:firstLine="504" w:firstLineChars="200"/>
        <w:jc w:val="left"/>
        <w:rPr>
          <w:rFonts w:hint="eastAsia" w:ascii="宋体" w:hAnsi="宋体" w:eastAsia="宋体" w:cs="宋体"/>
          <w:color w:val="auto"/>
          <w:spacing w:val="6"/>
          <w:kern w:val="0"/>
          <w:sz w:val="24"/>
          <w:highlight w:val="none"/>
        </w:rPr>
      </w:pPr>
      <w:r>
        <w:rPr>
          <w:rFonts w:hint="eastAsia" w:ascii="宋体" w:hAnsi="宋体" w:eastAsia="宋体" w:cs="宋体"/>
          <w:color w:val="auto"/>
          <w:spacing w:val="6"/>
          <w:kern w:val="0"/>
          <w:sz w:val="24"/>
          <w:highlight w:val="none"/>
        </w:rPr>
        <w:t>本单位对上述声明的真实性负责。如有虚假，将依法承担相应责任。</w:t>
      </w:r>
    </w:p>
    <w:p w14:paraId="15B3B104">
      <w:pPr>
        <w:pStyle w:val="78"/>
        <w:spacing w:line="588" w:lineRule="exact"/>
        <w:ind w:firstLine="504" w:firstLineChars="200"/>
        <w:rPr>
          <w:rFonts w:hint="eastAsia" w:ascii="宋体" w:hAnsi="宋体" w:eastAsia="宋体" w:cs="宋体"/>
          <w:color w:val="auto"/>
          <w:spacing w:val="6"/>
          <w:sz w:val="24"/>
          <w:highlight w:val="none"/>
        </w:rPr>
      </w:pPr>
    </w:p>
    <w:p w14:paraId="7298162F">
      <w:pPr>
        <w:pStyle w:val="78"/>
        <w:widowControl/>
        <w:adjustRightInd w:val="0"/>
        <w:snapToGrid w:val="0"/>
        <w:spacing w:line="360" w:lineRule="auto"/>
        <w:rPr>
          <w:rFonts w:hint="eastAsia" w:ascii="宋体" w:hAnsi="宋体" w:eastAsia="宋体" w:cs="宋体"/>
          <w:color w:val="auto"/>
          <w:spacing w:val="6"/>
          <w:sz w:val="24"/>
          <w:highlight w:val="none"/>
        </w:rPr>
      </w:pPr>
    </w:p>
    <w:p w14:paraId="26BD684B">
      <w:pPr>
        <w:pStyle w:val="78"/>
        <w:widowControl/>
        <w:adjustRightInd w:val="0"/>
        <w:snapToGrid w:val="0"/>
        <w:spacing w:line="360" w:lineRule="auto"/>
        <w:ind w:firstLine="1386" w:firstLineChars="550"/>
        <w:rPr>
          <w:rFonts w:hint="eastAsia" w:ascii="宋体" w:hAnsi="宋体" w:eastAsia="宋体" w:cs="宋体"/>
          <w:color w:val="auto"/>
          <w:spacing w:val="6"/>
          <w:kern w:val="0"/>
          <w:sz w:val="24"/>
          <w:highlight w:val="none"/>
        </w:rPr>
      </w:pPr>
      <w:r>
        <w:rPr>
          <w:rFonts w:hint="eastAsia" w:ascii="宋体" w:hAnsi="宋体" w:eastAsia="宋体" w:cs="宋体"/>
          <w:color w:val="auto"/>
          <w:spacing w:val="6"/>
          <w:kern w:val="0"/>
          <w:sz w:val="24"/>
          <w:highlight w:val="none"/>
        </w:rPr>
        <w:t xml:space="preserve">供应商名称（盖单位章）： </w:t>
      </w:r>
    </w:p>
    <w:p w14:paraId="1B8C827A">
      <w:pPr>
        <w:pStyle w:val="78"/>
        <w:spacing w:line="360" w:lineRule="auto"/>
        <w:ind w:right="504" w:firstLine="3654" w:firstLineChars="1450"/>
        <w:rPr>
          <w:rFonts w:hint="eastAsia" w:ascii="宋体" w:hAnsi="宋体" w:eastAsia="宋体" w:cs="宋体"/>
          <w:color w:val="auto"/>
          <w:sz w:val="24"/>
          <w:highlight w:val="none"/>
        </w:rPr>
      </w:pPr>
      <w:r>
        <w:rPr>
          <w:rFonts w:hint="eastAsia" w:ascii="宋体" w:hAnsi="宋体" w:eastAsia="宋体" w:cs="宋体"/>
          <w:color w:val="auto"/>
          <w:spacing w:val="6"/>
          <w:kern w:val="0"/>
          <w:sz w:val="24"/>
          <w:highlight w:val="none"/>
        </w:rPr>
        <w:t>日期：</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年</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日</w:t>
      </w:r>
    </w:p>
    <w:p w14:paraId="3F5BD984">
      <w:pPr>
        <w:pStyle w:val="77"/>
        <w:adjustRightInd w:val="0"/>
        <w:snapToGrid w:val="0"/>
        <w:spacing w:line="360" w:lineRule="auto"/>
        <w:ind w:right="24"/>
        <w:rPr>
          <w:rFonts w:hint="eastAsia" w:ascii="宋体" w:hAnsi="宋体" w:eastAsia="宋体" w:cs="宋体"/>
          <w:b/>
          <w:color w:val="auto"/>
          <w:highlight w:val="none"/>
        </w:rPr>
      </w:pPr>
    </w:p>
    <w:p w14:paraId="5664116A">
      <w:pPr>
        <w:pStyle w:val="77"/>
        <w:spacing w:line="440" w:lineRule="exact"/>
        <w:ind w:firstLine="420"/>
        <w:jc w:val="center"/>
        <w:rPr>
          <w:rFonts w:hint="eastAsia" w:ascii="宋体" w:hAnsi="宋体" w:eastAsia="宋体" w:cs="宋体"/>
          <w:b/>
          <w:color w:val="auto"/>
          <w:highlight w:val="none"/>
        </w:rPr>
      </w:pPr>
    </w:p>
    <w:p w14:paraId="256BC922">
      <w:pPr>
        <w:pStyle w:val="77"/>
        <w:spacing w:line="440" w:lineRule="exact"/>
        <w:ind w:firstLine="420"/>
        <w:jc w:val="center"/>
        <w:rPr>
          <w:rFonts w:hint="eastAsia" w:ascii="宋体" w:hAnsi="宋体" w:eastAsia="宋体" w:cs="宋体"/>
          <w:b/>
          <w:bCs/>
          <w:color w:val="auto"/>
          <w:spacing w:val="6"/>
          <w:kern w:val="0"/>
          <w:sz w:val="28"/>
          <w:szCs w:val="28"/>
          <w:highlight w:val="none"/>
        </w:rPr>
        <w:sectPr>
          <w:pgSz w:w="11906" w:h="16838"/>
          <w:pgMar w:top="1440" w:right="1797" w:bottom="1440" w:left="1797" w:header="851" w:footer="992" w:gutter="0"/>
          <w:pgNumType w:fmt="decimal"/>
          <w:cols w:space="720" w:num="1"/>
          <w:titlePg/>
          <w:docGrid w:type="lines" w:linePitch="312" w:charSpace="0"/>
        </w:sectPr>
      </w:pPr>
    </w:p>
    <w:p w14:paraId="385DE49D">
      <w:pPr>
        <w:pStyle w:val="77"/>
        <w:spacing w:line="440" w:lineRule="exact"/>
        <w:ind w:firstLine="420"/>
        <w:jc w:val="center"/>
        <w:rPr>
          <w:rFonts w:hint="eastAsia" w:ascii="宋体" w:hAnsi="宋体" w:eastAsia="宋体" w:cs="宋体"/>
          <w:b/>
          <w:color w:val="auto"/>
          <w:sz w:val="28"/>
          <w:szCs w:val="28"/>
          <w:highlight w:val="none"/>
        </w:rPr>
      </w:pPr>
      <w:r>
        <w:rPr>
          <w:rFonts w:hint="eastAsia" w:ascii="宋体" w:hAnsi="宋体" w:eastAsia="宋体" w:cs="宋体"/>
          <w:b/>
          <w:bCs/>
          <w:color w:val="auto"/>
          <w:spacing w:val="6"/>
          <w:kern w:val="0"/>
          <w:sz w:val="28"/>
          <w:szCs w:val="28"/>
          <w:highlight w:val="none"/>
        </w:rPr>
        <w:t>3、监狱企业证明材料</w:t>
      </w:r>
    </w:p>
    <w:p w14:paraId="10251153">
      <w:pPr>
        <w:pStyle w:val="77"/>
        <w:spacing w:line="440" w:lineRule="exact"/>
        <w:ind w:firstLine="420"/>
        <w:rPr>
          <w:rFonts w:hint="eastAsia" w:ascii="宋体" w:hAnsi="宋体" w:eastAsia="宋体" w:cs="宋体"/>
          <w:b/>
          <w:color w:val="auto"/>
          <w:highlight w:val="none"/>
        </w:rPr>
      </w:pPr>
    </w:p>
    <w:p w14:paraId="23FF275F">
      <w:pPr>
        <w:pStyle w:val="77"/>
        <w:spacing w:line="440" w:lineRule="exact"/>
        <w:ind w:firstLine="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1.如属于监狱企业，需提供由省级以上监狱管理局、戒毒管理局（含新疆生产建设兵团）出具的属于监狱企业的证明文件；</w:t>
      </w:r>
    </w:p>
    <w:p w14:paraId="0A764514">
      <w:pPr>
        <w:pStyle w:val="77"/>
        <w:spacing w:line="440" w:lineRule="exact"/>
        <w:ind w:firstLine="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2.证明材料加盖供应商公章。</w:t>
      </w:r>
    </w:p>
    <w:p w14:paraId="3058821B">
      <w:pPr>
        <w:pStyle w:val="49"/>
        <w:outlineLvl w:val="2"/>
        <w:rPr>
          <w:rFonts w:hint="eastAsia" w:ascii="宋体" w:hAnsi="宋体" w:eastAsia="宋体" w:cs="宋体"/>
          <w:color w:val="auto"/>
          <w:highlight w:val="none"/>
        </w:rPr>
        <w:sectPr>
          <w:pgSz w:w="11906" w:h="16838"/>
          <w:pgMar w:top="1440" w:right="1797" w:bottom="1440" w:left="1797" w:header="851" w:footer="992" w:gutter="0"/>
          <w:pgNumType w:fmt="decimal"/>
          <w:cols w:space="720" w:num="1"/>
          <w:titlePg/>
          <w:docGrid w:type="lines" w:linePitch="312" w:charSpace="0"/>
        </w:sectPr>
      </w:pPr>
    </w:p>
    <w:p w14:paraId="161982A0">
      <w:pPr>
        <w:pStyle w:val="49"/>
        <w:outlineLvl w:val="2"/>
        <w:rPr>
          <w:rFonts w:hint="eastAsia" w:ascii="宋体" w:hAnsi="宋体" w:eastAsia="宋体" w:cs="宋体"/>
          <w:color w:val="auto"/>
          <w:highlight w:val="none"/>
        </w:rPr>
      </w:pPr>
      <w:bookmarkStart w:id="215" w:name="_Toc10368"/>
      <w:bookmarkStart w:id="216" w:name="_Toc28611"/>
      <w:r>
        <w:rPr>
          <w:rFonts w:hint="eastAsia" w:ascii="宋体" w:hAnsi="宋体" w:eastAsia="宋体" w:cs="宋体"/>
          <w:color w:val="auto"/>
          <w:highlight w:val="none"/>
        </w:rPr>
        <w:t>（九）节能、环保产品明细表（如有）</w:t>
      </w:r>
      <w:bookmarkEnd w:id="215"/>
      <w:bookmarkEnd w:id="216"/>
    </w:p>
    <w:p w14:paraId="189C0FC3">
      <w:pPr>
        <w:pStyle w:val="77"/>
        <w:spacing w:line="440" w:lineRule="exact"/>
        <w:ind w:firstLine="420"/>
        <w:rPr>
          <w:rFonts w:hint="eastAsia" w:ascii="宋体" w:hAnsi="宋体" w:eastAsia="宋体" w:cs="宋体"/>
          <w:color w:val="auto"/>
          <w:highlight w:val="none"/>
        </w:rPr>
      </w:pPr>
    </w:p>
    <w:p w14:paraId="0F130CBF">
      <w:pPr>
        <w:pStyle w:val="77"/>
        <w:spacing w:line="440" w:lineRule="exact"/>
        <w:ind w:firstLine="420"/>
        <w:rPr>
          <w:rFonts w:hint="eastAsia" w:ascii="宋体" w:hAnsi="宋体" w:eastAsia="宋体" w:cs="宋体"/>
          <w:color w:val="auto"/>
          <w:highlight w:val="none"/>
        </w:rPr>
      </w:pPr>
    </w:p>
    <w:p w14:paraId="6431F360">
      <w:pPr>
        <w:pStyle w:val="77"/>
        <w:spacing w:line="440" w:lineRule="exact"/>
        <w:ind w:firstLine="420"/>
        <w:rPr>
          <w:rFonts w:hint="eastAsia" w:ascii="宋体" w:hAnsi="宋体" w:eastAsia="宋体" w:cs="宋体"/>
          <w:color w:val="auto"/>
          <w:highlight w:val="none"/>
        </w:rPr>
        <w:sectPr>
          <w:pgSz w:w="11906" w:h="16838"/>
          <w:pgMar w:top="1440" w:right="1797" w:bottom="1440" w:left="1797" w:header="851" w:footer="992" w:gutter="0"/>
          <w:pgNumType w:fmt="decimal"/>
          <w:cols w:space="720" w:num="1"/>
          <w:titlePg/>
          <w:docGrid w:type="lines" w:linePitch="312" w:charSpace="0"/>
        </w:sectPr>
      </w:pPr>
      <w:r>
        <w:rPr>
          <w:rFonts w:hint="eastAsia" w:ascii="宋体" w:hAnsi="宋体" w:eastAsia="宋体" w:cs="宋体"/>
          <w:color w:val="auto"/>
          <w:highlight w:val="none"/>
        </w:rPr>
        <w:t>格式自拟</w:t>
      </w:r>
    </w:p>
    <w:p w14:paraId="265535CB">
      <w:pPr>
        <w:pStyle w:val="49"/>
        <w:outlineLvl w:val="2"/>
        <w:rPr>
          <w:rFonts w:hint="eastAsia" w:ascii="宋体" w:hAnsi="宋体" w:eastAsia="宋体" w:cs="宋体"/>
          <w:color w:val="auto"/>
          <w:highlight w:val="none"/>
        </w:rPr>
      </w:pPr>
      <w:bookmarkStart w:id="217" w:name="_Toc9733"/>
      <w:bookmarkStart w:id="218" w:name="_Toc17785"/>
      <w:r>
        <w:rPr>
          <w:rFonts w:hint="eastAsia" w:ascii="宋体" w:hAnsi="宋体" w:eastAsia="宋体" w:cs="宋体"/>
          <w:color w:val="auto"/>
          <w:highlight w:val="none"/>
        </w:rPr>
        <w:t>（十）供应商认为有必要提供的其他商务资料</w:t>
      </w:r>
      <w:bookmarkEnd w:id="217"/>
      <w:bookmarkEnd w:id="218"/>
    </w:p>
    <w:p w14:paraId="6263F96F">
      <w:pPr>
        <w:pStyle w:val="21"/>
        <w:shd w:val="clear" w:color="auto" w:fill="FFFFFF"/>
        <w:spacing w:line="360" w:lineRule="auto"/>
        <w:ind w:firstLine="480" w:firstLineChars="200"/>
        <w:rPr>
          <w:rFonts w:hint="eastAsia" w:ascii="宋体" w:hAnsi="宋体" w:eastAsia="宋体" w:cs="宋体"/>
          <w:color w:val="auto"/>
          <w:highlight w:val="none"/>
        </w:rPr>
      </w:pPr>
    </w:p>
    <w:p w14:paraId="2F06CF4A">
      <w:pPr>
        <w:pStyle w:val="21"/>
        <w:shd w:val="clear" w:color="auto" w:fill="FFFFFF"/>
        <w:spacing w:line="360" w:lineRule="auto"/>
        <w:ind w:firstLine="480" w:firstLineChars="200"/>
        <w:rPr>
          <w:rFonts w:hint="eastAsia" w:ascii="宋体" w:hAnsi="宋体" w:eastAsia="宋体" w:cs="宋体"/>
          <w:color w:val="auto"/>
          <w:highlight w:val="none"/>
        </w:rPr>
      </w:pPr>
    </w:p>
    <w:p w14:paraId="6A4F0615">
      <w:pPr>
        <w:pStyle w:val="21"/>
        <w:shd w:val="clear" w:color="auto" w:fill="FFFFFF"/>
        <w:spacing w:line="360" w:lineRule="auto"/>
        <w:ind w:firstLine="480" w:firstLineChars="200"/>
        <w:rPr>
          <w:rFonts w:hint="eastAsia" w:ascii="宋体" w:hAnsi="宋体" w:eastAsia="宋体" w:cs="宋体"/>
          <w:color w:val="auto"/>
          <w:highlight w:val="none"/>
        </w:rPr>
        <w:sectPr>
          <w:pgSz w:w="11906" w:h="16838"/>
          <w:pgMar w:top="1440" w:right="1797" w:bottom="1440" w:left="1797" w:header="851" w:footer="992" w:gutter="0"/>
          <w:pgNumType w:fmt="decimal"/>
          <w:cols w:space="720" w:num="1"/>
          <w:titlePg/>
          <w:docGrid w:type="lines" w:linePitch="312" w:charSpace="0"/>
        </w:sectPr>
      </w:pPr>
      <w:r>
        <w:rPr>
          <w:rFonts w:hint="eastAsia" w:ascii="宋体" w:hAnsi="宋体" w:eastAsia="宋体" w:cs="宋体"/>
          <w:color w:val="auto"/>
          <w:highlight w:val="none"/>
        </w:rPr>
        <w:t>格式自拟</w:t>
      </w:r>
    </w:p>
    <w:p w14:paraId="7209CED8">
      <w:pPr>
        <w:pStyle w:val="63"/>
        <w:outlineLvl w:val="1"/>
        <w:rPr>
          <w:rFonts w:hint="eastAsia" w:ascii="宋体" w:hAnsi="宋体" w:eastAsia="宋体" w:cs="宋体"/>
          <w:color w:val="auto"/>
          <w:highlight w:val="none"/>
        </w:rPr>
      </w:pPr>
      <w:bookmarkStart w:id="219" w:name="_Toc21249"/>
      <w:bookmarkStart w:id="220" w:name="_Toc18309"/>
      <w:r>
        <w:rPr>
          <w:rFonts w:hint="eastAsia" w:ascii="宋体" w:hAnsi="宋体" w:eastAsia="宋体" w:cs="宋体"/>
          <w:color w:val="auto"/>
          <w:highlight w:val="none"/>
        </w:rPr>
        <w:t>四、技术文件</w:t>
      </w:r>
      <w:bookmarkEnd w:id="219"/>
      <w:bookmarkEnd w:id="220"/>
    </w:p>
    <w:p w14:paraId="36AD65D5">
      <w:pPr>
        <w:pStyle w:val="49"/>
        <w:outlineLvl w:val="2"/>
        <w:rPr>
          <w:rFonts w:hint="eastAsia" w:ascii="宋体" w:hAnsi="宋体" w:eastAsia="宋体" w:cs="宋体"/>
          <w:color w:val="auto"/>
          <w:highlight w:val="none"/>
        </w:rPr>
      </w:pPr>
      <w:bookmarkStart w:id="221" w:name="_Toc2410"/>
      <w:bookmarkStart w:id="222" w:name="_Toc28471"/>
      <w:r>
        <w:rPr>
          <w:rFonts w:hint="eastAsia" w:ascii="宋体" w:hAnsi="宋体" w:eastAsia="宋体" w:cs="宋体"/>
          <w:color w:val="auto"/>
          <w:highlight w:val="none"/>
        </w:rPr>
        <w:t>（一）</w:t>
      </w:r>
      <w:bookmarkEnd w:id="212"/>
      <w:bookmarkStart w:id="223" w:name="_Hlk78746225"/>
      <w:r>
        <w:rPr>
          <w:rFonts w:hint="eastAsia" w:ascii="宋体" w:hAnsi="宋体" w:eastAsia="宋体" w:cs="宋体"/>
          <w:color w:val="auto"/>
          <w:highlight w:val="none"/>
        </w:rPr>
        <w:t>供应商自行编写的服务方案及相关文件</w:t>
      </w:r>
      <w:bookmarkEnd w:id="221"/>
      <w:bookmarkEnd w:id="222"/>
      <w:bookmarkEnd w:id="223"/>
    </w:p>
    <w:p w14:paraId="71F31F89">
      <w:pPr>
        <w:pStyle w:val="79"/>
        <w:spacing w:line="360" w:lineRule="auto"/>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包括但不限于以下内容、</w:t>
      </w:r>
      <w:r>
        <w:rPr>
          <w:rFonts w:hint="eastAsia" w:ascii="宋体" w:hAnsi="宋体" w:eastAsia="宋体" w:cs="宋体"/>
          <w:b/>
          <w:color w:val="auto"/>
          <w:sz w:val="24"/>
          <w:highlight w:val="none"/>
          <w:u w:val="single"/>
        </w:rPr>
        <w:t>建议按照评审标准提供相应资料</w:t>
      </w:r>
    </w:p>
    <w:p w14:paraId="36D8D44C">
      <w:pPr>
        <w:pStyle w:val="79"/>
        <w:spacing w:line="360" w:lineRule="auto"/>
        <w:rPr>
          <w:rFonts w:hint="eastAsia" w:ascii="宋体" w:hAnsi="宋体" w:eastAsia="宋体" w:cs="宋体"/>
          <w:bCs/>
          <w:color w:val="auto"/>
          <w:sz w:val="24"/>
          <w:highlight w:val="none"/>
          <w:lang w:val="en-US" w:eastAsia="zh-CN"/>
        </w:rPr>
      </w:pPr>
      <w:r>
        <w:rPr>
          <w:rFonts w:hint="eastAsia" w:ascii="宋体" w:hAnsi="宋体" w:cs="宋体"/>
          <w:bCs/>
          <w:color w:val="auto"/>
          <w:sz w:val="24"/>
          <w:highlight w:val="none"/>
          <w:lang w:val="en-US" w:eastAsia="zh-CN"/>
        </w:rPr>
        <w:t>1、</w:t>
      </w:r>
      <w:r>
        <w:rPr>
          <w:rFonts w:hint="eastAsia" w:ascii="宋体" w:hAnsi="宋体" w:eastAsia="宋体" w:cs="宋体"/>
          <w:bCs/>
          <w:color w:val="auto"/>
          <w:sz w:val="24"/>
          <w:highlight w:val="none"/>
        </w:rPr>
        <w:t>针对本项目的</w:t>
      </w:r>
      <w:r>
        <w:rPr>
          <w:rFonts w:hint="eastAsia" w:ascii="宋体" w:hAnsi="宋体" w:eastAsia="宋体" w:cs="宋体"/>
          <w:bCs/>
          <w:color w:val="auto"/>
          <w:sz w:val="24"/>
          <w:highlight w:val="none"/>
          <w:lang w:val="en-US" w:eastAsia="zh-CN"/>
        </w:rPr>
        <w:t>项目实施方案</w:t>
      </w:r>
    </w:p>
    <w:p w14:paraId="14B62E43">
      <w:pPr>
        <w:pStyle w:val="79"/>
        <w:spacing w:line="360" w:lineRule="auto"/>
        <w:rPr>
          <w:rFonts w:hint="eastAsia" w:ascii="宋体" w:hAnsi="宋体" w:eastAsia="宋体" w:cs="宋体"/>
          <w:bCs/>
          <w:color w:val="auto"/>
          <w:sz w:val="24"/>
          <w:highlight w:val="none"/>
          <w:lang w:val="en-US" w:eastAsia="zh-CN"/>
        </w:rPr>
      </w:pPr>
      <w:r>
        <w:rPr>
          <w:rFonts w:hint="eastAsia" w:ascii="宋体" w:hAnsi="宋体" w:eastAsia="宋体" w:cs="宋体"/>
          <w:bCs/>
          <w:color w:val="auto"/>
          <w:sz w:val="24"/>
          <w:highlight w:val="none"/>
          <w:lang w:val="en-US" w:eastAsia="zh-CN"/>
        </w:rPr>
        <w:t>①浇水排水、修剪、施肥、松土除草、清理树坑、扶植、死亡苗木更换、翻地播种、冬季防寒措施等；</w:t>
      </w:r>
    </w:p>
    <w:p w14:paraId="290A3E3F">
      <w:pPr>
        <w:pStyle w:val="79"/>
        <w:spacing w:line="360" w:lineRule="auto"/>
        <w:rPr>
          <w:rFonts w:hint="eastAsia" w:ascii="宋体" w:hAnsi="宋体" w:eastAsia="宋体" w:cs="宋体"/>
          <w:bCs/>
          <w:color w:val="auto"/>
          <w:sz w:val="24"/>
          <w:highlight w:val="none"/>
          <w:lang w:val="en-US" w:eastAsia="zh-CN"/>
        </w:rPr>
      </w:pPr>
      <w:r>
        <w:rPr>
          <w:rFonts w:hint="eastAsia" w:ascii="宋体" w:hAnsi="宋体" w:eastAsia="宋体" w:cs="宋体"/>
          <w:bCs/>
          <w:color w:val="auto"/>
          <w:sz w:val="24"/>
          <w:highlight w:val="none"/>
          <w:lang w:val="en-US" w:eastAsia="zh-CN"/>
        </w:rPr>
        <w:t>②病虫害防治、树木涂白；</w:t>
      </w:r>
    </w:p>
    <w:p w14:paraId="6A063544">
      <w:pPr>
        <w:pStyle w:val="79"/>
        <w:spacing w:line="360" w:lineRule="auto"/>
        <w:rPr>
          <w:rFonts w:hint="eastAsia" w:ascii="宋体" w:hAnsi="宋体" w:eastAsia="宋体" w:cs="宋体"/>
          <w:bCs/>
          <w:color w:val="auto"/>
          <w:sz w:val="24"/>
          <w:highlight w:val="none"/>
          <w:lang w:val="en-US" w:eastAsia="zh-CN"/>
        </w:rPr>
      </w:pPr>
      <w:r>
        <w:rPr>
          <w:rFonts w:hint="eastAsia" w:ascii="宋体" w:hAnsi="宋体" w:eastAsia="宋体" w:cs="宋体"/>
          <w:bCs/>
          <w:color w:val="auto"/>
          <w:sz w:val="24"/>
          <w:highlight w:val="none"/>
          <w:lang w:val="en-US" w:eastAsia="zh-CN"/>
        </w:rPr>
        <w:t>③乔木、灌木、花卉、地被、绿篱、草坪的养护；</w:t>
      </w:r>
    </w:p>
    <w:p w14:paraId="51DAA9F4">
      <w:pPr>
        <w:pStyle w:val="79"/>
        <w:spacing w:line="360" w:lineRule="auto"/>
        <w:rPr>
          <w:rFonts w:hint="eastAsia" w:ascii="宋体" w:hAnsi="宋体" w:eastAsia="宋体" w:cs="宋体"/>
          <w:bCs/>
          <w:color w:val="auto"/>
          <w:sz w:val="24"/>
          <w:highlight w:val="none"/>
          <w:lang w:val="en-US" w:eastAsia="zh-CN"/>
        </w:rPr>
      </w:pPr>
      <w:r>
        <w:rPr>
          <w:rFonts w:hint="eastAsia" w:ascii="宋体" w:hAnsi="宋体" w:eastAsia="宋体" w:cs="宋体"/>
          <w:bCs/>
          <w:color w:val="auto"/>
          <w:sz w:val="24"/>
          <w:highlight w:val="none"/>
          <w:lang w:val="en-US" w:eastAsia="zh-CN"/>
        </w:rPr>
        <w:t>④清除死树枯枝、清理枯枝落叶、清运绿化垃圾的方案；</w:t>
      </w:r>
    </w:p>
    <w:p w14:paraId="2DD9E205">
      <w:pPr>
        <w:pStyle w:val="79"/>
        <w:spacing w:line="360" w:lineRule="auto"/>
        <w:rPr>
          <w:rFonts w:hint="default" w:ascii="宋体" w:hAnsi="宋体" w:eastAsia="宋体" w:cs="宋体"/>
          <w:bCs/>
          <w:color w:val="auto"/>
          <w:sz w:val="24"/>
          <w:highlight w:val="none"/>
          <w:lang w:val="en-US" w:eastAsia="zh-CN"/>
        </w:rPr>
      </w:pPr>
      <w:r>
        <w:rPr>
          <w:rFonts w:hint="eastAsia" w:ascii="宋体" w:hAnsi="宋体" w:eastAsia="宋体" w:cs="宋体"/>
          <w:bCs/>
          <w:color w:val="auto"/>
          <w:sz w:val="24"/>
          <w:highlight w:val="none"/>
          <w:lang w:val="en-US" w:eastAsia="zh-CN"/>
        </w:rPr>
        <w:t>⑤编制养护日志及建立植物档案库方案</w:t>
      </w:r>
      <w:r>
        <w:rPr>
          <w:rFonts w:hint="eastAsia" w:ascii="宋体" w:hAnsi="宋体" w:cs="宋体"/>
          <w:bCs/>
          <w:color w:val="auto"/>
          <w:sz w:val="24"/>
          <w:highlight w:val="none"/>
          <w:lang w:val="en-US" w:eastAsia="zh-CN"/>
        </w:rPr>
        <w:t>；</w:t>
      </w:r>
    </w:p>
    <w:p w14:paraId="3221CD27">
      <w:pPr>
        <w:pStyle w:val="79"/>
        <w:spacing w:line="360" w:lineRule="auto"/>
        <w:rPr>
          <w:rFonts w:hint="eastAsia" w:ascii="宋体" w:hAnsi="宋体" w:eastAsia="宋体" w:cs="宋体"/>
          <w:bCs/>
          <w:color w:val="auto"/>
          <w:sz w:val="24"/>
          <w:highlight w:val="none"/>
        </w:rPr>
      </w:pPr>
      <w:r>
        <w:rPr>
          <w:rFonts w:hint="eastAsia" w:ascii="宋体" w:hAnsi="宋体" w:eastAsia="宋体" w:cs="宋体"/>
          <w:bCs/>
          <w:color w:val="auto"/>
          <w:sz w:val="24"/>
          <w:highlight w:val="none"/>
          <w:lang w:val="en-US" w:eastAsia="zh-CN"/>
        </w:rPr>
        <w:t>⑥安全施工作业方案等</w:t>
      </w:r>
      <w:r>
        <w:rPr>
          <w:rFonts w:hint="eastAsia" w:ascii="宋体" w:hAnsi="宋体" w:cs="宋体"/>
          <w:bCs/>
          <w:color w:val="auto"/>
          <w:sz w:val="24"/>
          <w:highlight w:val="none"/>
          <w:lang w:val="en-US" w:eastAsia="zh-CN"/>
        </w:rPr>
        <w:t>。</w:t>
      </w:r>
    </w:p>
    <w:p w14:paraId="125E992E">
      <w:pPr>
        <w:pStyle w:val="79"/>
        <w:spacing w:line="360" w:lineRule="auto"/>
        <w:rPr>
          <w:rFonts w:hint="eastAsia" w:ascii="宋体" w:hAnsi="宋体" w:cs="宋体"/>
          <w:bCs/>
          <w:color w:val="auto"/>
          <w:sz w:val="24"/>
          <w:highlight w:val="none"/>
          <w:lang w:val="en-US" w:eastAsia="zh-CN"/>
        </w:rPr>
      </w:pPr>
      <w:r>
        <w:rPr>
          <w:rFonts w:hint="eastAsia" w:ascii="宋体" w:hAnsi="宋体" w:cs="宋体"/>
          <w:bCs/>
          <w:color w:val="auto"/>
          <w:sz w:val="24"/>
          <w:highlight w:val="none"/>
          <w:lang w:val="en-US" w:eastAsia="zh-CN"/>
        </w:rPr>
        <w:t>2、作业管理制度方案</w:t>
      </w:r>
    </w:p>
    <w:p w14:paraId="2217A807">
      <w:pPr>
        <w:pStyle w:val="79"/>
        <w:spacing w:line="360" w:lineRule="auto"/>
        <w:rPr>
          <w:rFonts w:hint="eastAsia" w:ascii="宋体" w:hAnsi="宋体" w:cs="宋体"/>
          <w:bCs/>
          <w:color w:val="auto"/>
          <w:sz w:val="24"/>
          <w:highlight w:val="none"/>
          <w:lang w:val="en-US" w:eastAsia="zh-CN"/>
        </w:rPr>
      </w:pPr>
      <w:r>
        <w:rPr>
          <w:rFonts w:hint="eastAsia" w:ascii="宋体" w:hAnsi="宋体" w:cs="宋体"/>
          <w:bCs/>
          <w:color w:val="auto"/>
          <w:sz w:val="24"/>
          <w:highlight w:val="none"/>
          <w:lang w:val="en-US" w:eastAsia="zh-CN"/>
        </w:rPr>
        <w:t>①对人员的管理与培训方案；</w:t>
      </w:r>
    </w:p>
    <w:p w14:paraId="2F0A0AE3">
      <w:pPr>
        <w:pStyle w:val="79"/>
        <w:spacing w:line="360" w:lineRule="auto"/>
        <w:rPr>
          <w:rFonts w:hint="eastAsia" w:ascii="宋体" w:hAnsi="宋体" w:cs="宋体"/>
          <w:bCs/>
          <w:color w:val="auto"/>
          <w:sz w:val="24"/>
          <w:highlight w:val="none"/>
          <w:lang w:val="en-US" w:eastAsia="zh-CN"/>
        </w:rPr>
      </w:pPr>
      <w:r>
        <w:rPr>
          <w:rFonts w:hint="eastAsia" w:ascii="宋体" w:hAnsi="宋体" w:cs="宋体"/>
          <w:bCs/>
          <w:color w:val="auto"/>
          <w:sz w:val="24"/>
          <w:highlight w:val="none"/>
          <w:lang w:val="en-US" w:eastAsia="zh-CN"/>
        </w:rPr>
        <w:t>②对机具的管理；</w:t>
      </w:r>
    </w:p>
    <w:p w14:paraId="6B24FA91">
      <w:pPr>
        <w:pStyle w:val="79"/>
        <w:spacing w:line="360" w:lineRule="auto"/>
        <w:rPr>
          <w:rFonts w:hint="eastAsia" w:ascii="宋体" w:hAnsi="宋体" w:cs="宋体"/>
          <w:bCs/>
          <w:color w:val="auto"/>
          <w:sz w:val="24"/>
          <w:highlight w:val="none"/>
          <w:lang w:val="en-US" w:eastAsia="zh-CN"/>
        </w:rPr>
      </w:pPr>
      <w:r>
        <w:rPr>
          <w:rFonts w:hint="eastAsia" w:ascii="宋体" w:hAnsi="宋体" w:cs="宋体"/>
          <w:bCs/>
          <w:color w:val="auto"/>
          <w:sz w:val="24"/>
          <w:highlight w:val="none"/>
          <w:lang w:val="en-US" w:eastAsia="zh-CN"/>
        </w:rPr>
        <w:t>③针对各项维护内容的巡查措施；</w:t>
      </w:r>
    </w:p>
    <w:p w14:paraId="7D7E1A94">
      <w:pPr>
        <w:pStyle w:val="79"/>
        <w:spacing w:line="360" w:lineRule="auto"/>
        <w:rPr>
          <w:rFonts w:hint="eastAsia" w:ascii="宋体" w:hAnsi="宋体" w:cs="宋体"/>
          <w:bCs/>
          <w:color w:val="auto"/>
          <w:sz w:val="24"/>
          <w:highlight w:val="none"/>
          <w:lang w:val="en-US" w:eastAsia="zh-CN"/>
        </w:rPr>
      </w:pPr>
      <w:r>
        <w:rPr>
          <w:rFonts w:hint="eastAsia" w:ascii="宋体" w:hAnsi="宋体" w:cs="宋体"/>
          <w:bCs/>
          <w:color w:val="auto"/>
          <w:sz w:val="24"/>
          <w:highlight w:val="none"/>
          <w:lang w:val="en-US" w:eastAsia="zh-CN"/>
        </w:rPr>
        <w:t>④巡查岗位职责及巡查流程；</w:t>
      </w:r>
    </w:p>
    <w:p w14:paraId="78453A1A">
      <w:pPr>
        <w:pStyle w:val="79"/>
        <w:spacing w:line="360" w:lineRule="auto"/>
        <w:rPr>
          <w:rFonts w:hint="eastAsia" w:ascii="宋体" w:hAnsi="宋体" w:cs="宋体"/>
          <w:bCs/>
          <w:color w:val="auto"/>
          <w:sz w:val="24"/>
          <w:highlight w:val="none"/>
          <w:lang w:val="en-US" w:eastAsia="zh-CN"/>
        </w:rPr>
      </w:pPr>
      <w:r>
        <w:rPr>
          <w:rFonts w:hint="eastAsia" w:ascii="宋体" w:hAnsi="宋体" w:cs="宋体"/>
          <w:bCs/>
          <w:color w:val="auto"/>
          <w:sz w:val="24"/>
          <w:highlight w:val="none"/>
          <w:lang w:val="en-US" w:eastAsia="zh-CN"/>
        </w:rPr>
        <w:t>⑤发现问题、上报及处置机制等。</w:t>
      </w:r>
    </w:p>
    <w:p w14:paraId="2F7A1521">
      <w:pPr>
        <w:pStyle w:val="79"/>
        <w:spacing w:line="360" w:lineRule="auto"/>
        <w:rPr>
          <w:rFonts w:hint="eastAsia" w:ascii="宋体" w:hAnsi="宋体" w:cs="宋体"/>
          <w:bCs/>
          <w:color w:val="auto"/>
          <w:sz w:val="24"/>
          <w:highlight w:val="none"/>
          <w:lang w:val="en-US" w:eastAsia="zh-CN"/>
        </w:rPr>
      </w:pPr>
      <w:r>
        <w:rPr>
          <w:rFonts w:hint="eastAsia" w:ascii="宋体" w:hAnsi="宋体" w:cs="宋体"/>
          <w:bCs/>
          <w:color w:val="auto"/>
          <w:sz w:val="24"/>
          <w:highlight w:val="none"/>
          <w:lang w:val="en-US" w:eastAsia="zh-CN"/>
        </w:rPr>
        <w:t>3、质量控制方案</w:t>
      </w:r>
    </w:p>
    <w:p w14:paraId="29FC7112">
      <w:pPr>
        <w:pStyle w:val="79"/>
        <w:spacing w:line="360" w:lineRule="auto"/>
        <w:rPr>
          <w:rFonts w:hint="eastAsia" w:ascii="宋体" w:hAnsi="宋体" w:cs="宋体"/>
          <w:bCs/>
          <w:color w:val="auto"/>
          <w:sz w:val="24"/>
          <w:highlight w:val="none"/>
          <w:lang w:val="en-US" w:eastAsia="zh-CN"/>
        </w:rPr>
      </w:pPr>
      <w:r>
        <w:rPr>
          <w:rFonts w:hint="eastAsia" w:ascii="宋体" w:hAnsi="宋体" w:cs="宋体"/>
          <w:bCs/>
          <w:color w:val="auto"/>
          <w:sz w:val="24"/>
          <w:highlight w:val="none"/>
          <w:lang w:val="en-US" w:eastAsia="zh-CN"/>
        </w:rPr>
        <w:t>①质量控制目标；</w:t>
      </w:r>
    </w:p>
    <w:p w14:paraId="6B44C563">
      <w:pPr>
        <w:pStyle w:val="79"/>
        <w:spacing w:line="360" w:lineRule="auto"/>
        <w:rPr>
          <w:rFonts w:hint="eastAsia" w:ascii="宋体" w:hAnsi="宋体" w:cs="宋体"/>
          <w:bCs/>
          <w:color w:val="auto"/>
          <w:sz w:val="24"/>
          <w:highlight w:val="none"/>
          <w:lang w:val="en-US" w:eastAsia="zh-CN"/>
        </w:rPr>
      </w:pPr>
      <w:r>
        <w:rPr>
          <w:rFonts w:hint="eastAsia" w:ascii="宋体" w:hAnsi="宋体" w:cs="宋体"/>
          <w:bCs/>
          <w:color w:val="auto"/>
          <w:sz w:val="24"/>
          <w:highlight w:val="none"/>
          <w:lang w:val="en-US" w:eastAsia="zh-CN"/>
        </w:rPr>
        <w:t>②绿化管护质量控制措施等。</w:t>
      </w:r>
    </w:p>
    <w:p w14:paraId="4B60E710">
      <w:pPr>
        <w:pStyle w:val="79"/>
        <w:spacing w:line="360" w:lineRule="auto"/>
        <w:rPr>
          <w:rFonts w:hint="eastAsia" w:ascii="宋体" w:hAnsi="宋体" w:eastAsia="宋体" w:cs="宋体"/>
          <w:bCs/>
          <w:color w:val="auto"/>
          <w:sz w:val="24"/>
          <w:highlight w:val="none"/>
        </w:rPr>
      </w:pPr>
      <w:r>
        <w:rPr>
          <w:rFonts w:hint="eastAsia" w:ascii="宋体" w:hAnsi="宋体" w:cs="宋体"/>
          <w:bCs/>
          <w:color w:val="auto"/>
          <w:sz w:val="24"/>
          <w:highlight w:val="none"/>
          <w:lang w:val="en-US" w:eastAsia="zh-CN"/>
        </w:rPr>
        <w:t>4、</w:t>
      </w:r>
      <w:r>
        <w:rPr>
          <w:rFonts w:hint="eastAsia" w:ascii="宋体" w:hAnsi="宋体" w:eastAsia="宋体" w:cs="宋体"/>
          <w:bCs/>
          <w:color w:val="auto"/>
          <w:sz w:val="24"/>
          <w:highlight w:val="none"/>
          <w:lang w:val="en-GB" w:eastAsia="zh-CN"/>
        </w:rPr>
        <w:t>本地化服务</w:t>
      </w:r>
      <w:r>
        <w:rPr>
          <w:rFonts w:hint="eastAsia" w:ascii="宋体" w:hAnsi="宋体" w:cs="宋体"/>
          <w:bCs/>
          <w:color w:val="auto"/>
          <w:sz w:val="24"/>
          <w:highlight w:val="none"/>
          <w:lang w:val="en-GB" w:eastAsia="zh-CN"/>
        </w:rPr>
        <w:t>（</w:t>
      </w:r>
      <w:r>
        <w:rPr>
          <w:rFonts w:hint="eastAsia" w:ascii="宋体" w:hAnsi="宋体" w:cs="宋体"/>
          <w:bCs/>
          <w:color w:val="auto"/>
          <w:sz w:val="24"/>
          <w:highlight w:val="none"/>
          <w:lang w:val="en-US" w:eastAsia="zh-CN"/>
        </w:rPr>
        <w:t>证明资料或承诺</w:t>
      </w:r>
      <w:r>
        <w:rPr>
          <w:rFonts w:hint="eastAsia" w:ascii="宋体" w:hAnsi="宋体" w:cs="宋体"/>
          <w:bCs/>
          <w:color w:val="auto"/>
          <w:sz w:val="24"/>
          <w:highlight w:val="none"/>
          <w:lang w:val="en-GB" w:eastAsia="zh-CN"/>
        </w:rPr>
        <w:t>）</w:t>
      </w:r>
      <w:r>
        <w:rPr>
          <w:rFonts w:hint="eastAsia" w:ascii="宋体" w:hAnsi="宋体" w:eastAsia="宋体" w:cs="宋体"/>
          <w:bCs/>
          <w:color w:val="auto"/>
          <w:sz w:val="24"/>
          <w:highlight w:val="none"/>
        </w:rPr>
        <w:t>；</w:t>
      </w:r>
    </w:p>
    <w:p w14:paraId="740B336F">
      <w:pPr>
        <w:pStyle w:val="79"/>
        <w:spacing w:line="360" w:lineRule="auto"/>
        <w:rPr>
          <w:rFonts w:hint="eastAsia" w:ascii="宋体" w:hAnsi="宋体" w:eastAsia="宋体" w:cs="宋体"/>
          <w:bCs/>
          <w:color w:val="auto"/>
          <w:sz w:val="24"/>
          <w:highlight w:val="none"/>
        </w:rPr>
      </w:pPr>
      <w:r>
        <w:rPr>
          <w:rFonts w:hint="eastAsia" w:ascii="宋体" w:hAnsi="宋体" w:cs="宋体"/>
          <w:bCs/>
          <w:color w:val="auto"/>
          <w:sz w:val="24"/>
          <w:highlight w:val="none"/>
          <w:lang w:val="en-US" w:eastAsia="zh-CN"/>
        </w:rPr>
        <w:t>5、</w:t>
      </w:r>
      <w:r>
        <w:rPr>
          <w:rFonts w:hint="eastAsia" w:ascii="宋体" w:hAnsi="宋体" w:eastAsia="宋体" w:cs="宋体"/>
          <w:bCs/>
          <w:color w:val="auto"/>
          <w:sz w:val="24"/>
          <w:highlight w:val="none"/>
          <w:lang w:val="en-GB" w:eastAsia="zh-CN"/>
        </w:rPr>
        <w:t>服务承诺</w:t>
      </w:r>
      <w:r>
        <w:rPr>
          <w:rFonts w:hint="eastAsia" w:ascii="宋体" w:hAnsi="宋体" w:eastAsia="宋体" w:cs="宋体"/>
          <w:bCs/>
          <w:color w:val="auto"/>
          <w:sz w:val="24"/>
          <w:highlight w:val="none"/>
        </w:rPr>
        <w:t>；</w:t>
      </w:r>
    </w:p>
    <w:p w14:paraId="1360C026">
      <w:pPr>
        <w:pStyle w:val="80"/>
        <w:spacing w:line="360" w:lineRule="auto"/>
        <w:rPr>
          <w:rFonts w:hint="eastAsia" w:ascii="宋体" w:hAnsi="宋体" w:eastAsia="宋体" w:cs="宋体"/>
          <w:color w:val="auto"/>
          <w:sz w:val="24"/>
          <w:highlight w:val="none"/>
        </w:rPr>
      </w:pPr>
      <w:r>
        <w:rPr>
          <w:rFonts w:hint="eastAsia" w:ascii="宋体" w:hAnsi="宋体" w:cs="宋体"/>
          <w:bCs/>
          <w:color w:val="auto"/>
          <w:sz w:val="24"/>
          <w:highlight w:val="none"/>
          <w:lang w:val="en-US" w:eastAsia="zh-CN"/>
        </w:rPr>
        <w:t>6、</w:t>
      </w:r>
      <w:r>
        <w:rPr>
          <w:rFonts w:hint="eastAsia" w:ascii="宋体" w:hAnsi="宋体" w:eastAsia="宋体" w:cs="宋体"/>
          <w:bCs/>
          <w:color w:val="auto"/>
          <w:sz w:val="24"/>
          <w:highlight w:val="none"/>
          <w:lang w:val="en-GB" w:eastAsia="zh-CN"/>
        </w:rPr>
        <w:t>应急保障</w:t>
      </w:r>
      <w:r>
        <w:rPr>
          <w:rFonts w:hint="eastAsia" w:ascii="宋体" w:hAnsi="宋体" w:cs="宋体"/>
          <w:bCs/>
          <w:color w:val="auto"/>
          <w:sz w:val="24"/>
          <w:highlight w:val="none"/>
          <w:lang w:val="en-GB" w:eastAsia="zh-CN"/>
        </w:rPr>
        <w:t>。</w:t>
      </w:r>
    </w:p>
    <w:p w14:paraId="03476F30">
      <w:pPr>
        <w:pStyle w:val="79"/>
        <w:spacing w:line="360" w:lineRule="auto"/>
        <w:rPr>
          <w:rFonts w:hint="eastAsia" w:ascii="宋体" w:hAnsi="宋体" w:eastAsia="宋体" w:cs="宋体"/>
          <w:bCs/>
          <w:color w:val="auto"/>
          <w:sz w:val="24"/>
          <w:highlight w:val="none"/>
        </w:rPr>
      </w:pPr>
    </w:p>
    <w:p w14:paraId="69597B18">
      <w:pPr>
        <w:pStyle w:val="79"/>
        <w:spacing w:line="360" w:lineRule="auto"/>
        <w:rPr>
          <w:rFonts w:hint="eastAsia" w:ascii="宋体" w:hAnsi="宋体" w:eastAsia="宋体" w:cs="宋体"/>
          <w:bCs/>
          <w:color w:val="auto"/>
          <w:sz w:val="24"/>
          <w:highlight w:val="none"/>
        </w:rPr>
        <w:sectPr>
          <w:pgSz w:w="11906" w:h="16838"/>
          <w:pgMar w:top="1440" w:right="1106" w:bottom="1440" w:left="1800" w:header="851" w:footer="752" w:gutter="0"/>
          <w:pgNumType w:fmt="decimal"/>
          <w:cols w:space="720" w:num="1"/>
          <w:docGrid w:type="lines" w:linePitch="312" w:charSpace="0"/>
        </w:sectPr>
      </w:pPr>
    </w:p>
    <w:p w14:paraId="79D2720C">
      <w:pPr>
        <w:pStyle w:val="49"/>
        <w:outlineLvl w:val="2"/>
        <w:rPr>
          <w:rFonts w:hint="eastAsia" w:ascii="宋体" w:hAnsi="宋体" w:eastAsia="宋体" w:cs="宋体"/>
          <w:color w:val="auto"/>
          <w:highlight w:val="none"/>
        </w:rPr>
      </w:pPr>
      <w:bookmarkStart w:id="224" w:name="_Toc14789"/>
      <w:bookmarkStart w:id="225" w:name="_Toc13009"/>
      <w:r>
        <w:rPr>
          <w:rFonts w:hint="eastAsia" w:ascii="宋体" w:hAnsi="宋体" w:eastAsia="宋体" w:cs="宋体"/>
          <w:color w:val="auto"/>
          <w:highlight w:val="none"/>
        </w:rPr>
        <w:t>（二）</w:t>
      </w:r>
      <w:bookmarkStart w:id="226" w:name="_Hlk78746508"/>
      <w:r>
        <w:rPr>
          <w:rFonts w:hint="eastAsia" w:ascii="宋体" w:hAnsi="宋体" w:eastAsia="宋体" w:cs="宋体"/>
          <w:color w:val="auto"/>
          <w:highlight w:val="none"/>
        </w:rPr>
        <w:t>技术规范偏离表</w:t>
      </w:r>
      <w:bookmarkEnd w:id="226"/>
      <w:r>
        <w:rPr>
          <w:rFonts w:hint="eastAsia" w:ascii="宋体" w:hAnsi="宋体" w:eastAsia="宋体" w:cs="宋体"/>
          <w:color w:val="auto"/>
          <w:highlight w:val="none"/>
        </w:rPr>
        <w:t>；</w:t>
      </w:r>
      <w:bookmarkEnd w:id="224"/>
      <w:bookmarkEnd w:id="225"/>
    </w:p>
    <w:p w14:paraId="2FFC7DD9">
      <w:pPr>
        <w:pStyle w:val="81"/>
        <w:spacing w:line="360" w:lineRule="auto"/>
        <w:ind w:left="0" w:leftChars="0"/>
        <w:rPr>
          <w:rFonts w:hint="eastAsia" w:ascii="宋体" w:hAnsi="宋体" w:eastAsia="宋体" w:cs="宋体"/>
          <w:color w:val="auto"/>
          <w:highlight w:val="none"/>
        </w:rPr>
      </w:pPr>
      <w:r>
        <w:rPr>
          <w:rFonts w:hint="eastAsia" w:ascii="宋体" w:hAnsi="宋体" w:eastAsia="宋体" w:cs="宋体"/>
          <w:color w:val="auto"/>
          <w:highlight w:val="none"/>
        </w:rPr>
        <w:t>项目编号：</w:t>
      </w:r>
      <w:r>
        <w:rPr>
          <w:rFonts w:hint="eastAsia" w:ascii="宋体" w:hAnsi="宋体" w:eastAsia="宋体" w:cs="宋体"/>
          <w:color w:val="auto"/>
          <w:highlight w:val="none"/>
          <w:u w:val="single"/>
        </w:rPr>
        <w:t xml:space="preserve">                     </w:t>
      </w:r>
    </w:p>
    <w:tbl>
      <w:tblPr>
        <w:tblStyle w:val="2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5"/>
        <w:gridCol w:w="2101"/>
        <w:gridCol w:w="1021"/>
        <w:gridCol w:w="1707"/>
        <w:gridCol w:w="1337"/>
        <w:gridCol w:w="1337"/>
        <w:gridCol w:w="977"/>
      </w:tblGrid>
      <w:tr w14:paraId="63FE5F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jc w:val="center"/>
        </w:trPr>
        <w:tc>
          <w:tcPr>
            <w:tcW w:w="955" w:type="dxa"/>
            <w:tcBorders>
              <w:top w:val="single" w:color="auto" w:sz="12" w:space="0"/>
              <w:left w:val="single" w:color="auto" w:sz="12" w:space="0"/>
            </w:tcBorders>
            <w:vAlign w:val="center"/>
          </w:tcPr>
          <w:p w14:paraId="287EF4CD">
            <w:pPr>
              <w:pStyle w:val="79"/>
              <w:tabs>
                <w:tab w:val="left" w:pos="1337"/>
              </w:tabs>
              <w:spacing w:line="360" w:lineRule="auto"/>
              <w:jc w:val="center"/>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序号</w:t>
            </w:r>
          </w:p>
        </w:tc>
        <w:tc>
          <w:tcPr>
            <w:tcW w:w="2101" w:type="dxa"/>
            <w:tcBorders>
              <w:top w:val="single" w:color="auto" w:sz="12" w:space="0"/>
            </w:tcBorders>
            <w:vAlign w:val="center"/>
          </w:tcPr>
          <w:p w14:paraId="68BE6DF8">
            <w:pPr>
              <w:pStyle w:val="79"/>
              <w:tabs>
                <w:tab w:val="left" w:pos="1337"/>
              </w:tabs>
              <w:spacing w:line="360" w:lineRule="auto"/>
              <w:jc w:val="center"/>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服务名称及编号</w:t>
            </w:r>
          </w:p>
        </w:tc>
        <w:tc>
          <w:tcPr>
            <w:tcW w:w="1021" w:type="dxa"/>
            <w:tcBorders>
              <w:top w:val="single" w:color="auto" w:sz="12" w:space="0"/>
            </w:tcBorders>
            <w:vAlign w:val="center"/>
          </w:tcPr>
          <w:p w14:paraId="2EF46585">
            <w:pPr>
              <w:pStyle w:val="79"/>
              <w:tabs>
                <w:tab w:val="left" w:pos="1337"/>
              </w:tabs>
              <w:spacing w:line="360" w:lineRule="auto"/>
              <w:jc w:val="center"/>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数量</w:t>
            </w:r>
          </w:p>
        </w:tc>
        <w:tc>
          <w:tcPr>
            <w:tcW w:w="1707" w:type="dxa"/>
            <w:tcBorders>
              <w:top w:val="single" w:color="auto" w:sz="12" w:space="0"/>
            </w:tcBorders>
            <w:vAlign w:val="center"/>
          </w:tcPr>
          <w:p w14:paraId="0887BF80">
            <w:pPr>
              <w:pStyle w:val="79"/>
              <w:tabs>
                <w:tab w:val="left" w:pos="1337"/>
              </w:tabs>
              <w:spacing w:line="360" w:lineRule="auto"/>
              <w:jc w:val="center"/>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磋商文件技术规范、要求</w:t>
            </w:r>
          </w:p>
        </w:tc>
        <w:tc>
          <w:tcPr>
            <w:tcW w:w="1337" w:type="dxa"/>
            <w:tcBorders>
              <w:top w:val="single" w:color="auto" w:sz="12" w:space="0"/>
            </w:tcBorders>
            <w:vAlign w:val="center"/>
          </w:tcPr>
          <w:p w14:paraId="61907103">
            <w:pPr>
              <w:pStyle w:val="79"/>
              <w:tabs>
                <w:tab w:val="left" w:pos="1337"/>
              </w:tabs>
              <w:spacing w:line="360" w:lineRule="auto"/>
              <w:jc w:val="center"/>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响应文件对应规范</w:t>
            </w:r>
          </w:p>
        </w:tc>
        <w:tc>
          <w:tcPr>
            <w:tcW w:w="1337" w:type="dxa"/>
            <w:tcBorders>
              <w:top w:val="single" w:color="auto" w:sz="12" w:space="0"/>
            </w:tcBorders>
            <w:vAlign w:val="center"/>
          </w:tcPr>
          <w:p w14:paraId="09DDDB3B">
            <w:pPr>
              <w:pStyle w:val="79"/>
              <w:tabs>
                <w:tab w:val="left" w:pos="1337"/>
              </w:tabs>
              <w:spacing w:line="360" w:lineRule="auto"/>
              <w:jc w:val="center"/>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偏差</w:t>
            </w:r>
          </w:p>
        </w:tc>
        <w:tc>
          <w:tcPr>
            <w:tcW w:w="977" w:type="dxa"/>
            <w:tcBorders>
              <w:top w:val="single" w:color="auto" w:sz="12" w:space="0"/>
              <w:right w:val="single" w:color="auto" w:sz="12" w:space="0"/>
            </w:tcBorders>
            <w:vAlign w:val="center"/>
          </w:tcPr>
          <w:p w14:paraId="76DE9D5C">
            <w:pPr>
              <w:pStyle w:val="79"/>
              <w:tabs>
                <w:tab w:val="left" w:pos="1337"/>
              </w:tabs>
              <w:spacing w:line="360" w:lineRule="auto"/>
              <w:jc w:val="center"/>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备注</w:t>
            </w:r>
          </w:p>
        </w:tc>
      </w:tr>
      <w:tr w14:paraId="399297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955" w:type="dxa"/>
            <w:tcBorders>
              <w:left w:val="single" w:color="auto" w:sz="12" w:space="0"/>
            </w:tcBorders>
            <w:vAlign w:val="center"/>
          </w:tcPr>
          <w:p w14:paraId="55D2DC68">
            <w:pPr>
              <w:pStyle w:val="79"/>
              <w:tabs>
                <w:tab w:val="left" w:pos="1337"/>
              </w:tabs>
              <w:spacing w:line="360" w:lineRule="auto"/>
              <w:jc w:val="center"/>
              <w:rPr>
                <w:rFonts w:hint="eastAsia" w:ascii="宋体" w:hAnsi="宋体" w:eastAsia="宋体" w:cs="宋体"/>
                <w:color w:val="auto"/>
                <w:sz w:val="24"/>
                <w:highlight w:val="none"/>
              </w:rPr>
            </w:pPr>
          </w:p>
        </w:tc>
        <w:tc>
          <w:tcPr>
            <w:tcW w:w="2101" w:type="dxa"/>
            <w:vAlign w:val="center"/>
          </w:tcPr>
          <w:p w14:paraId="46286615">
            <w:pPr>
              <w:pStyle w:val="79"/>
              <w:tabs>
                <w:tab w:val="left" w:pos="1337"/>
              </w:tabs>
              <w:spacing w:line="360" w:lineRule="auto"/>
              <w:jc w:val="center"/>
              <w:rPr>
                <w:rFonts w:hint="eastAsia" w:ascii="宋体" w:hAnsi="宋体" w:eastAsia="宋体" w:cs="宋体"/>
                <w:color w:val="auto"/>
                <w:sz w:val="24"/>
                <w:highlight w:val="none"/>
              </w:rPr>
            </w:pPr>
          </w:p>
        </w:tc>
        <w:tc>
          <w:tcPr>
            <w:tcW w:w="1021" w:type="dxa"/>
            <w:vAlign w:val="center"/>
          </w:tcPr>
          <w:p w14:paraId="0705A875">
            <w:pPr>
              <w:pStyle w:val="79"/>
              <w:tabs>
                <w:tab w:val="left" w:pos="1337"/>
              </w:tabs>
              <w:spacing w:line="360" w:lineRule="auto"/>
              <w:jc w:val="center"/>
              <w:rPr>
                <w:rFonts w:hint="eastAsia" w:ascii="宋体" w:hAnsi="宋体" w:eastAsia="宋体" w:cs="宋体"/>
                <w:color w:val="auto"/>
                <w:sz w:val="24"/>
                <w:highlight w:val="none"/>
              </w:rPr>
            </w:pPr>
          </w:p>
        </w:tc>
        <w:tc>
          <w:tcPr>
            <w:tcW w:w="1707" w:type="dxa"/>
            <w:vAlign w:val="center"/>
          </w:tcPr>
          <w:p w14:paraId="30432E50">
            <w:pPr>
              <w:pStyle w:val="79"/>
              <w:tabs>
                <w:tab w:val="left" w:pos="1337"/>
              </w:tabs>
              <w:spacing w:line="360" w:lineRule="auto"/>
              <w:jc w:val="center"/>
              <w:rPr>
                <w:rFonts w:hint="eastAsia" w:ascii="宋体" w:hAnsi="宋体" w:eastAsia="宋体" w:cs="宋体"/>
                <w:color w:val="auto"/>
                <w:sz w:val="24"/>
                <w:highlight w:val="none"/>
              </w:rPr>
            </w:pPr>
          </w:p>
        </w:tc>
        <w:tc>
          <w:tcPr>
            <w:tcW w:w="1337" w:type="dxa"/>
            <w:vAlign w:val="center"/>
          </w:tcPr>
          <w:p w14:paraId="0F4B9104">
            <w:pPr>
              <w:pStyle w:val="79"/>
              <w:tabs>
                <w:tab w:val="left" w:pos="1337"/>
              </w:tabs>
              <w:spacing w:line="360" w:lineRule="auto"/>
              <w:jc w:val="center"/>
              <w:rPr>
                <w:rFonts w:hint="eastAsia" w:ascii="宋体" w:hAnsi="宋体" w:eastAsia="宋体" w:cs="宋体"/>
                <w:color w:val="auto"/>
                <w:sz w:val="24"/>
                <w:highlight w:val="none"/>
              </w:rPr>
            </w:pPr>
          </w:p>
        </w:tc>
        <w:tc>
          <w:tcPr>
            <w:tcW w:w="1337" w:type="dxa"/>
            <w:vAlign w:val="center"/>
          </w:tcPr>
          <w:p w14:paraId="32988340">
            <w:pPr>
              <w:pStyle w:val="79"/>
              <w:tabs>
                <w:tab w:val="left" w:pos="1337"/>
              </w:tabs>
              <w:spacing w:line="360" w:lineRule="auto"/>
              <w:jc w:val="center"/>
              <w:rPr>
                <w:rFonts w:hint="eastAsia" w:ascii="宋体" w:hAnsi="宋体" w:eastAsia="宋体" w:cs="宋体"/>
                <w:color w:val="auto"/>
                <w:sz w:val="24"/>
                <w:highlight w:val="none"/>
              </w:rPr>
            </w:pPr>
          </w:p>
        </w:tc>
        <w:tc>
          <w:tcPr>
            <w:tcW w:w="977" w:type="dxa"/>
            <w:tcBorders>
              <w:right w:val="single" w:color="auto" w:sz="12" w:space="0"/>
            </w:tcBorders>
            <w:vAlign w:val="center"/>
          </w:tcPr>
          <w:p w14:paraId="0282E654">
            <w:pPr>
              <w:pStyle w:val="79"/>
              <w:tabs>
                <w:tab w:val="left" w:pos="1337"/>
              </w:tabs>
              <w:spacing w:line="360" w:lineRule="auto"/>
              <w:jc w:val="center"/>
              <w:rPr>
                <w:rFonts w:hint="eastAsia" w:ascii="宋体" w:hAnsi="宋体" w:eastAsia="宋体" w:cs="宋体"/>
                <w:color w:val="auto"/>
                <w:sz w:val="24"/>
                <w:highlight w:val="none"/>
              </w:rPr>
            </w:pPr>
          </w:p>
        </w:tc>
      </w:tr>
      <w:tr w14:paraId="3AB19A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955" w:type="dxa"/>
            <w:tcBorders>
              <w:left w:val="single" w:color="auto" w:sz="12" w:space="0"/>
            </w:tcBorders>
            <w:vAlign w:val="center"/>
          </w:tcPr>
          <w:p w14:paraId="1711DE8B">
            <w:pPr>
              <w:pStyle w:val="79"/>
              <w:tabs>
                <w:tab w:val="left" w:pos="1337"/>
              </w:tabs>
              <w:spacing w:line="360" w:lineRule="auto"/>
              <w:jc w:val="center"/>
              <w:rPr>
                <w:rFonts w:hint="eastAsia" w:ascii="宋体" w:hAnsi="宋体" w:eastAsia="宋体" w:cs="宋体"/>
                <w:color w:val="auto"/>
                <w:sz w:val="24"/>
                <w:highlight w:val="none"/>
              </w:rPr>
            </w:pPr>
          </w:p>
        </w:tc>
        <w:tc>
          <w:tcPr>
            <w:tcW w:w="2101" w:type="dxa"/>
            <w:vAlign w:val="center"/>
          </w:tcPr>
          <w:p w14:paraId="6867C273">
            <w:pPr>
              <w:pStyle w:val="79"/>
              <w:tabs>
                <w:tab w:val="left" w:pos="1337"/>
              </w:tabs>
              <w:spacing w:line="360" w:lineRule="auto"/>
              <w:jc w:val="center"/>
              <w:rPr>
                <w:rFonts w:hint="eastAsia" w:ascii="宋体" w:hAnsi="宋体" w:eastAsia="宋体" w:cs="宋体"/>
                <w:color w:val="auto"/>
                <w:sz w:val="24"/>
                <w:highlight w:val="none"/>
              </w:rPr>
            </w:pPr>
          </w:p>
        </w:tc>
        <w:tc>
          <w:tcPr>
            <w:tcW w:w="1021" w:type="dxa"/>
            <w:vAlign w:val="center"/>
          </w:tcPr>
          <w:p w14:paraId="0B883AC4">
            <w:pPr>
              <w:pStyle w:val="79"/>
              <w:tabs>
                <w:tab w:val="left" w:pos="1337"/>
              </w:tabs>
              <w:spacing w:line="360" w:lineRule="auto"/>
              <w:jc w:val="center"/>
              <w:rPr>
                <w:rFonts w:hint="eastAsia" w:ascii="宋体" w:hAnsi="宋体" w:eastAsia="宋体" w:cs="宋体"/>
                <w:color w:val="auto"/>
                <w:sz w:val="24"/>
                <w:highlight w:val="none"/>
              </w:rPr>
            </w:pPr>
          </w:p>
        </w:tc>
        <w:tc>
          <w:tcPr>
            <w:tcW w:w="1707" w:type="dxa"/>
            <w:vAlign w:val="center"/>
          </w:tcPr>
          <w:p w14:paraId="21E553B1">
            <w:pPr>
              <w:pStyle w:val="79"/>
              <w:tabs>
                <w:tab w:val="left" w:pos="1337"/>
              </w:tabs>
              <w:spacing w:line="360" w:lineRule="auto"/>
              <w:jc w:val="center"/>
              <w:rPr>
                <w:rFonts w:hint="eastAsia" w:ascii="宋体" w:hAnsi="宋体" w:eastAsia="宋体" w:cs="宋体"/>
                <w:color w:val="auto"/>
                <w:sz w:val="24"/>
                <w:highlight w:val="none"/>
              </w:rPr>
            </w:pPr>
          </w:p>
        </w:tc>
        <w:tc>
          <w:tcPr>
            <w:tcW w:w="1337" w:type="dxa"/>
            <w:vAlign w:val="center"/>
          </w:tcPr>
          <w:p w14:paraId="18B1F7C4">
            <w:pPr>
              <w:pStyle w:val="79"/>
              <w:tabs>
                <w:tab w:val="left" w:pos="1337"/>
              </w:tabs>
              <w:spacing w:line="360" w:lineRule="auto"/>
              <w:jc w:val="center"/>
              <w:rPr>
                <w:rFonts w:hint="eastAsia" w:ascii="宋体" w:hAnsi="宋体" w:eastAsia="宋体" w:cs="宋体"/>
                <w:color w:val="auto"/>
                <w:sz w:val="24"/>
                <w:highlight w:val="none"/>
              </w:rPr>
            </w:pPr>
          </w:p>
        </w:tc>
        <w:tc>
          <w:tcPr>
            <w:tcW w:w="1337" w:type="dxa"/>
            <w:vAlign w:val="center"/>
          </w:tcPr>
          <w:p w14:paraId="0FE31918">
            <w:pPr>
              <w:pStyle w:val="79"/>
              <w:tabs>
                <w:tab w:val="left" w:pos="1337"/>
              </w:tabs>
              <w:spacing w:line="360" w:lineRule="auto"/>
              <w:jc w:val="center"/>
              <w:rPr>
                <w:rFonts w:hint="eastAsia" w:ascii="宋体" w:hAnsi="宋体" w:eastAsia="宋体" w:cs="宋体"/>
                <w:color w:val="auto"/>
                <w:sz w:val="24"/>
                <w:highlight w:val="none"/>
              </w:rPr>
            </w:pPr>
          </w:p>
        </w:tc>
        <w:tc>
          <w:tcPr>
            <w:tcW w:w="977" w:type="dxa"/>
            <w:tcBorders>
              <w:right w:val="single" w:color="auto" w:sz="12" w:space="0"/>
            </w:tcBorders>
            <w:vAlign w:val="center"/>
          </w:tcPr>
          <w:p w14:paraId="54E5530B">
            <w:pPr>
              <w:pStyle w:val="79"/>
              <w:tabs>
                <w:tab w:val="left" w:pos="1337"/>
              </w:tabs>
              <w:spacing w:line="360" w:lineRule="auto"/>
              <w:jc w:val="center"/>
              <w:rPr>
                <w:rFonts w:hint="eastAsia" w:ascii="宋体" w:hAnsi="宋体" w:eastAsia="宋体" w:cs="宋体"/>
                <w:color w:val="auto"/>
                <w:sz w:val="24"/>
                <w:highlight w:val="none"/>
              </w:rPr>
            </w:pPr>
          </w:p>
        </w:tc>
      </w:tr>
      <w:tr w14:paraId="1B84C0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955" w:type="dxa"/>
            <w:tcBorders>
              <w:left w:val="single" w:color="auto" w:sz="12" w:space="0"/>
              <w:bottom w:val="single" w:color="auto" w:sz="12" w:space="0"/>
            </w:tcBorders>
            <w:vAlign w:val="center"/>
          </w:tcPr>
          <w:p w14:paraId="061A00C4">
            <w:pPr>
              <w:pStyle w:val="79"/>
              <w:tabs>
                <w:tab w:val="left" w:pos="1337"/>
              </w:tabs>
              <w:spacing w:line="360" w:lineRule="auto"/>
              <w:jc w:val="center"/>
              <w:rPr>
                <w:rFonts w:hint="eastAsia" w:ascii="宋体" w:hAnsi="宋体" w:eastAsia="宋体" w:cs="宋体"/>
                <w:color w:val="auto"/>
                <w:sz w:val="24"/>
                <w:highlight w:val="none"/>
              </w:rPr>
            </w:pPr>
          </w:p>
        </w:tc>
        <w:tc>
          <w:tcPr>
            <w:tcW w:w="2101" w:type="dxa"/>
            <w:tcBorders>
              <w:bottom w:val="single" w:color="auto" w:sz="12" w:space="0"/>
            </w:tcBorders>
            <w:vAlign w:val="center"/>
          </w:tcPr>
          <w:p w14:paraId="07A62A92">
            <w:pPr>
              <w:pStyle w:val="79"/>
              <w:tabs>
                <w:tab w:val="left" w:pos="1337"/>
              </w:tabs>
              <w:spacing w:line="360" w:lineRule="auto"/>
              <w:jc w:val="center"/>
              <w:rPr>
                <w:rFonts w:hint="eastAsia" w:ascii="宋体" w:hAnsi="宋体" w:eastAsia="宋体" w:cs="宋体"/>
                <w:color w:val="auto"/>
                <w:sz w:val="24"/>
                <w:highlight w:val="none"/>
              </w:rPr>
            </w:pPr>
          </w:p>
        </w:tc>
        <w:tc>
          <w:tcPr>
            <w:tcW w:w="1021" w:type="dxa"/>
            <w:tcBorders>
              <w:bottom w:val="single" w:color="auto" w:sz="12" w:space="0"/>
            </w:tcBorders>
            <w:vAlign w:val="center"/>
          </w:tcPr>
          <w:p w14:paraId="4B2B0A9D">
            <w:pPr>
              <w:pStyle w:val="79"/>
              <w:tabs>
                <w:tab w:val="left" w:pos="1337"/>
              </w:tabs>
              <w:spacing w:line="360" w:lineRule="auto"/>
              <w:jc w:val="center"/>
              <w:rPr>
                <w:rFonts w:hint="eastAsia" w:ascii="宋体" w:hAnsi="宋体" w:eastAsia="宋体" w:cs="宋体"/>
                <w:color w:val="auto"/>
                <w:sz w:val="24"/>
                <w:highlight w:val="none"/>
              </w:rPr>
            </w:pPr>
          </w:p>
        </w:tc>
        <w:tc>
          <w:tcPr>
            <w:tcW w:w="1707" w:type="dxa"/>
            <w:tcBorders>
              <w:bottom w:val="single" w:color="auto" w:sz="12" w:space="0"/>
            </w:tcBorders>
            <w:vAlign w:val="center"/>
          </w:tcPr>
          <w:p w14:paraId="7536DC64">
            <w:pPr>
              <w:pStyle w:val="79"/>
              <w:tabs>
                <w:tab w:val="left" w:pos="1337"/>
              </w:tabs>
              <w:spacing w:line="360" w:lineRule="auto"/>
              <w:jc w:val="center"/>
              <w:rPr>
                <w:rFonts w:hint="eastAsia" w:ascii="宋体" w:hAnsi="宋体" w:eastAsia="宋体" w:cs="宋体"/>
                <w:color w:val="auto"/>
                <w:sz w:val="24"/>
                <w:highlight w:val="none"/>
              </w:rPr>
            </w:pPr>
          </w:p>
        </w:tc>
        <w:tc>
          <w:tcPr>
            <w:tcW w:w="1337" w:type="dxa"/>
            <w:tcBorders>
              <w:bottom w:val="single" w:color="auto" w:sz="12" w:space="0"/>
            </w:tcBorders>
            <w:vAlign w:val="center"/>
          </w:tcPr>
          <w:p w14:paraId="69573B37">
            <w:pPr>
              <w:pStyle w:val="79"/>
              <w:tabs>
                <w:tab w:val="left" w:pos="1337"/>
              </w:tabs>
              <w:spacing w:line="360" w:lineRule="auto"/>
              <w:jc w:val="center"/>
              <w:rPr>
                <w:rFonts w:hint="eastAsia" w:ascii="宋体" w:hAnsi="宋体" w:eastAsia="宋体" w:cs="宋体"/>
                <w:color w:val="auto"/>
                <w:sz w:val="24"/>
                <w:highlight w:val="none"/>
              </w:rPr>
            </w:pPr>
          </w:p>
        </w:tc>
        <w:tc>
          <w:tcPr>
            <w:tcW w:w="1337" w:type="dxa"/>
            <w:tcBorders>
              <w:bottom w:val="single" w:color="auto" w:sz="12" w:space="0"/>
            </w:tcBorders>
            <w:vAlign w:val="center"/>
          </w:tcPr>
          <w:p w14:paraId="222FCE1F">
            <w:pPr>
              <w:pStyle w:val="79"/>
              <w:tabs>
                <w:tab w:val="left" w:pos="1337"/>
              </w:tabs>
              <w:spacing w:line="360" w:lineRule="auto"/>
              <w:jc w:val="center"/>
              <w:rPr>
                <w:rFonts w:hint="eastAsia" w:ascii="宋体" w:hAnsi="宋体" w:eastAsia="宋体" w:cs="宋体"/>
                <w:color w:val="auto"/>
                <w:sz w:val="24"/>
                <w:highlight w:val="none"/>
              </w:rPr>
            </w:pPr>
          </w:p>
        </w:tc>
        <w:tc>
          <w:tcPr>
            <w:tcW w:w="977" w:type="dxa"/>
            <w:tcBorders>
              <w:bottom w:val="single" w:color="auto" w:sz="12" w:space="0"/>
              <w:right w:val="single" w:color="auto" w:sz="12" w:space="0"/>
            </w:tcBorders>
            <w:vAlign w:val="center"/>
          </w:tcPr>
          <w:p w14:paraId="0FCA57F1">
            <w:pPr>
              <w:pStyle w:val="79"/>
              <w:tabs>
                <w:tab w:val="left" w:pos="1337"/>
              </w:tabs>
              <w:spacing w:line="360" w:lineRule="auto"/>
              <w:jc w:val="center"/>
              <w:rPr>
                <w:rFonts w:hint="eastAsia" w:ascii="宋体" w:hAnsi="宋体" w:eastAsia="宋体" w:cs="宋体"/>
                <w:color w:val="auto"/>
                <w:sz w:val="24"/>
                <w:highlight w:val="none"/>
              </w:rPr>
            </w:pPr>
          </w:p>
        </w:tc>
      </w:tr>
    </w:tbl>
    <w:p w14:paraId="5D1CC61B">
      <w:pPr>
        <w:pStyle w:val="79"/>
        <w:spacing w:line="360" w:lineRule="auto"/>
        <w:ind w:left="2"/>
        <w:rPr>
          <w:rFonts w:hint="eastAsia" w:ascii="宋体" w:hAnsi="宋体" w:eastAsia="宋体" w:cs="宋体"/>
          <w:color w:val="auto"/>
          <w:sz w:val="24"/>
          <w:highlight w:val="none"/>
        </w:rPr>
      </w:pPr>
      <w:r>
        <w:rPr>
          <w:rFonts w:hint="eastAsia" w:ascii="宋体" w:hAnsi="宋体" w:eastAsia="宋体" w:cs="宋体"/>
          <w:color w:val="auto"/>
          <w:sz w:val="24"/>
          <w:highlight w:val="none"/>
        </w:rPr>
        <w:t>说明：</w:t>
      </w:r>
    </w:p>
    <w:p w14:paraId="6B4C27B9">
      <w:pPr>
        <w:pStyle w:val="79"/>
        <w:spacing w:line="360" w:lineRule="auto"/>
        <w:ind w:left="2"/>
        <w:rPr>
          <w:rFonts w:hint="eastAsia" w:ascii="宋体" w:hAnsi="宋体" w:eastAsia="宋体" w:cs="宋体"/>
          <w:color w:val="auto"/>
          <w:sz w:val="24"/>
          <w:highlight w:val="none"/>
        </w:rPr>
      </w:pPr>
      <w:r>
        <w:rPr>
          <w:rFonts w:hint="eastAsia" w:ascii="宋体" w:hAnsi="宋体" w:eastAsia="宋体" w:cs="宋体"/>
          <w:color w:val="auto"/>
          <w:sz w:val="24"/>
          <w:highlight w:val="none"/>
        </w:rPr>
        <w:t>1.有偏离的技术条款须在该表中逐一列明，并在“</w:t>
      </w:r>
      <w:r>
        <w:rPr>
          <w:rFonts w:hint="eastAsia" w:ascii="宋体" w:hAnsi="宋体" w:eastAsia="宋体" w:cs="宋体"/>
          <w:bCs/>
          <w:color w:val="auto"/>
          <w:sz w:val="24"/>
          <w:highlight w:val="none"/>
        </w:rPr>
        <w:t>响应文件对应规范</w:t>
      </w:r>
      <w:r>
        <w:rPr>
          <w:rFonts w:hint="eastAsia" w:ascii="宋体" w:hAnsi="宋体" w:eastAsia="宋体" w:cs="宋体"/>
          <w:color w:val="auto"/>
          <w:sz w:val="24"/>
          <w:highlight w:val="none"/>
        </w:rPr>
        <w:t>”栏填写具体应答内容， 在“</w:t>
      </w:r>
      <w:r>
        <w:rPr>
          <w:rFonts w:hint="eastAsia" w:ascii="宋体" w:hAnsi="宋体" w:eastAsia="宋体" w:cs="宋体"/>
          <w:bCs/>
          <w:color w:val="auto"/>
          <w:sz w:val="24"/>
          <w:highlight w:val="none"/>
        </w:rPr>
        <w:t>偏差</w:t>
      </w:r>
      <w:r>
        <w:rPr>
          <w:rFonts w:hint="eastAsia" w:ascii="宋体" w:hAnsi="宋体" w:eastAsia="宋体" w:cs="宋体"/>
          <w:color w:val="auto"/>
          <w:sz w:val="24"/>
          <w:highlight w:val="none"/>
        </w:rPr>
        <w:t>”中说明偏离具体情形。若无偏离请在“</w:t>
      </w:r>
      <w:r>
        <w:rPr>
          <w:rFonts w:hint="eastAsia" w:ascii="宋体" w:hAnsi="宋体" w:eastAsia="宋体" w:cs="宋体"/>
          <w:bCs/>
          <w:color w:val="auto"/>
          <w:sz w:val="24"/>
          <w:highlight w:val="none"/>
        </w:rPr>
        <w:t>响应文件对应规范</w:t>
      </w:r>
      <w:r>
        <w:rPr>
          <w:rFonts w:hint="eastAsia" w:ascii="宋体" w:hAnsi="宋体" w:eastAsia="宋体" w:cs="宋体"/>
          <w:color w:val="auto"/>
          <w:sz w:val="24"/>
          <w:highlight w:val="none"/>
        </w:rPr>
        <w:t>”中填写“无偏离”。</w:t>
      </w:r>
    </w:p>
    <w:p w14:paraId="5E9295CA">
      <w:pPr>
        <w:pStyle w:val="79"/>
        <w:spacing w:line="360" w:lineRule="auto"/>
        <w:ind w:left="2"/>
        <w:rPr>
          <w:rFonts w:hint="eastAsia" w:ascii="宋体" w:hAnsi="宋体" w:eastAsia="宋体" w:cs="宋体"/>
          <w:color w:val="auto"/>
          <w:sz w:val="24"/>
          <w:highlight w:val="none"/>
        </w:rPr>
      </w:pPr>
      <w:r>
        <w:rPr>
          <w:rFonts w:hint="eastAsia" w:ascii="宋体" w:hAnsi="宋体" w:eastAsia="宋体" w:cs="宋体"/>
          <w:color w:val="auto"/>
          <w:sz w:val="24"/>
          <w:highlight w:val="none"/>
        </w:rPr>
        <w:t>2.未声明部分将被视为已接受</w:t>
      </w:r>
      <w:r>
        <w:rPr>
          <w:rFonts w:hint="eastAsia" w:ascii="宋体" w:hAnsi="宋体" w:eastAsia="宋体" w:cs="宋体"/>
          <w:color w:val="auto"/>
          <w:sz w:val="24"/>
          <w:highlight w:val="none"/>
          <w:lang w:eastAsia="zh-CN"/>
        </w:rPr>
        <w:t>磋商文件</w:t>
      </w:r>
      <w:r>
        <w:rPr>
          <w:rFonts w:hint="eastAsia" w:ascii="宋体" w:hAnsi="宋体" w:eastAsia="宋体" w:cs="宋体"/>
          <w:color w:val="auto"/>
          <w:sz w:val="24"/>
          <w:highlight w:val="none"/>
        </w:rPr>
        <w:t>要求，签约时未经采购人同意不得改变。</w:t>
      </w:r>
    </w:p>
    <w:p w14:paraId="5982A302">
      <w:pPr>
        <w:pStyle w:val="79"/>
        <w:spacing w:line="360" w:lineRule="auto"/>
        <w:ind w:left="2"/>
        <w:rPr>
          <w:rFonts w:hint="eastAsia" w:ascii="宋体" w:hAnsi="宋体" w:eastAsia="宋体" w:cs="宋体"/>
          <w:color w:val="auto"/>
          <w:sz w:val="24"/>
          <w:highlight w:val="none"/>
        </w:rPr>
      </w:pPr>
      <w:r>
        <w:rPr>
          <w:rFonts w:hint="eastAsia" w:ascii="宋体" w:hAnsi="宋体" w:eastAsia="宋体" w:cs="宋体"/>
          <w:color w:val="auto"/>
          <w:sz w:val="24"/>
          <w:highlight w:val="none"/>
        </w:rPr>
        <w:t>3.</w:t>
      </w:r>
      <w:r>
        <w:rPr>
          <w:rFonts w:hint="eastAsia" w:ascii="宋体" w:hAnsi="宋体" w:eastAsia="宋体" w:cs="宋体"/>
          <w:color w:val="auto"/>
          <w:sz w:val="24"/>
          <w:highlight w:val="none"/>
          <w:lang w:val="en-US" w:eastAsia="zh-CN"/>
        </w:rPr>
        <w:t>供应商</w:t>
      </w:r>
      <w:r>
        <w:rPr>
          <w:rFonts w:hint="eastAsia" w:ascii="宋体" w:hAnsi="宋体" w:eastAsia="宋体" w:cs="宋体"/>
          <w:color w:val="auto"/>
          <w:sz w:val="24"/>
          <w:highlight w:val="none"/>
        </w:rPr>
        <w:t>可根据其投标内容进一步细化上述表格，并可增添其它表格或说明以便进一步明确投标内容。</w:t>
      </w:r>
    </w:p>
    <w:p w14:paraId="4753DAE4">
      <w:pPr>
        <w:pStyle w:val="82"/>
        <w:spacing w:before="0" w:after="0" w:line="360" w:lineRule="auto"/>
        <w:ind w:right="960"/>
        <w:jc w:val="righ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供应商名称：</w:t>
      </w:r>
    </w:p>
    <w:p w14:paraId="4723B64F">
      <w:pPr>
        <w:pStyle w:val="82"/>
        <w:spacing w:before="0" w:after="0" w:line="360" w:lineRule="auto"/>
        <w:ind w:right="17"/>
        <w:jc w:val="righ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年  月  日</w:t>
      </w:r>
    </w:p>
    <w:p w14:paraId="3585FA7A">
      <w:pPr>
        <w:pStyle w:val="83"/>
        <w:outlineLvl w:val="2"/>
        <w:rPr>
          <w:rFonts w:hint="eastAsia" w:ascii="宋体" w:hAnsi="宋体" w:eastAsia="宋体" w:cs="宋体"/>
          <w:color w:val="auto"/>
          <w:sz w:val="24"/>
          <w:highlight w:val="none"/>
        </w:rPr>
      </w:pPr>
      <w:r>
        <w:rPr>
          <w:rFonts w:hint="eastAsia" w:ascii="宋体" w:hAnsi="宋体" w:eastAsia="宋体" w:cs="宋体"/>
          <w:color w:val="auto"/>
          <w:highlight w:val="none"/>
        </w:rPr>
        <w:br w:type="page"/>
      </w:r>
      <w:bookmarkStart w:id="227" w:name="_Toc8825"/>
      <w:bookmarkStart w:id="228" w:name="_Toc21446"/>
      <w:r>
        <w:rPr>
          <w:rFonts w:hint="eastAsia" w:ascii="宋体" w:hAnsi="宋体" w:eastAsia="宋体" w:cs="宋体"/>
          <w:color w:val="auto"/>
          <w:highlight w:val="none"/>
        </w:rPr>
        <w:t>（三）</w:t>
      </w:r>
      <w:bookmarkStart w:id="229" w:name="_Hlk78746520"/>
      <w:r>
        <w:rPr>
          <w:rFonts w:hint="eastAsia" w:ascii="宋体" w:hAnsi="宋体" w:eastAsia="宋体" w:cs="宋体"/>
          <w:color w:val="auto"/>
          <w:highlight w:val="none"/>
        </w:rPr>
        <w:t>供应商认为有必要提供的其他技术内容</w:t>
      </w:r>
      <w:bookmarkEnd w:id="227"/>
      <w:bookmarkEnd w:id="228"/>
      <w:r>
        <w:rPr>
          <w:rFonts w:hint="eastAsia" w:ascii="宋体" w:hAnsi="宋体" w:eastAsia="宋体" w:cs="宋体"/>
          <w:color w:val="auto"/>
          <w:sz w:val="24"/>
          <w:highlight w:val="none"/>
        </w:rPr>
        <w:t xml:space="preserve"> </w:t>
      </w:r>
    </w:p>
    <w:bookmarkEnd w:id="229"/>
    <w:p w14:paraId="6CDC9796">
      <w:pPr>
        <w:pStyle w:val="8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格式内容自拟</w:t>
      </w:r>
    </w:p>
    <w:p w14:paraId="20CFDD3D">
      <w:pPr>
        <w:pStyle w:val="63"/>
        <w:outlineLvl w:val="1"/>
        <w:rPr>
          <w:rFonts w:hint="eastAsia" w:ascii="宋体" w:hAnsi="宋体" w:eastAsia="宋体" w:cs="宋体"/>
          <w:color w:val="auto"/>
          <w:sz w:val="24"/>
          <w:highlight w:val="none"/>
        </w:rPr>
      </w:pPr>
      <w:r>
        <w:rPr>
          <w:rFonts w:hint="eastAsia" w:ascii="宋体" w:hAnsi="宋体" w:eastAsia="宋体" w:cs="宋体"/>
          <w:color w:val="auto"/>
          <w:sz w:val="24"/>
          <w:highlight w:val="none"/>
        </w:rPr>
        <w:br w:type="page"/>
      </w:r>
      <w:bookmarkStart w:id="230" w:name="_Toc6685"/>
      <w:bookmarkStart w:id="231" w:name="_Toc23924"/>
      <w:r>
        <w:rPr>
          <w:rFonts w:hint="eastAsia" w:ascii="宋体" w:hAnsi="宋体" w:eastAsia="宋体" w:cs="宋体"/>
          <w:color w:val="auto"/>
          <w:highlight w:val="none"/>
        </w:rPr>
        <w:t>五、其他资料</w:t>
      </w:r>
      <w:bookmarkEnd w:id="230"/>
      <w:bookmarkEnd w:id="231"/>
    </w:p>
    <w:p w14:paraId="585C44FB">
      <w:pPr>
        <w:pStyle w:val="8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供应商认为有必要提供的其他资料，格式自拟</w:t>
      </w:r>
    </w:p>
    <w:p w14:paraId="76CB8708">
      <w:pPr>
        <w:rPr>
          <w:rFonts w:hint="eastAsia" w:ascii="宋体" w:hAnsi="宋体" w:eastAsia="宋体" w:cs="宋体"/>
          <w:color w:val="auto"/>
          <w:highlight w:val="none"/>
        </w:rPr>
      </w:pPr>
    </w:p>
    <w:p w14:paraId="2C3D5EFD">
      <w:pPr>
        <w:rPr>
          <w:rFonts w:hint="eastAsia" w:ascii="宋体" w:hAnsi="宋体" w:eastAsia="宋体" w:cs="宋体"/>
          <w:color w:val="auto"/>
          <w:highlight w:val="none"/>
        </w:rPr>
      </w:pPr>
    </w:p>
    <w:p w14:paraId="6EC062F9">
      <w:pPr>
        <w:rPr>
          <w:rFonts w:hint="eastAsia" w:ascii="宋体" w:hAnsi="宋体" w:eastAsia="宋体" w:cs="宋体"/>
          <w:color w:val="auto"/>
          <w:highlight w:val="none"/>
        </w:rPr>
      </w:pPr>
    </w:p>
    <w:sectPr>
      <w:pgSz w:w="11906" w:h="16838"/>
      <w:pgMar w:top="1440" w:right="1106" w:bottom="1440" w:left="1800" w:header="851" w:footer="75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宋体;SimSun">
    <w:altName w:val="宋体"/>
    <w:panose1 w:val="00000000000000000000"/>
    <w:charset w:val="86"/>
    <w:family w:val="roman"/>
    <w:pitch w:val="default"/>
    <w:sig w:usb0="00000000" w:usb1="00000000" w:usb2="00000010" w:usb3="00000000" w:csb0="00040000" w:csb1="00000000"/>
    <w:embedRegular r:id="rId1" w:fontKey="{B3A7E51D-69E3-419B-9F59-B12E0B4BDBCC}"/>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auto"/>
    <w:pitch w:val="default"/>
    <w:sig w:usb0="00000001" w:usb1="080E0000" w:usb2="00000000" w:usb3="00000000" w:csb0="00040000" w:csb1="00000000"/>
    <w:embedRegular r:id="rId2" w:fontKey="{C6E934A3-E4DF-4324-8251-4709322617CE}"/>
  </w:font>
  <w:font w:name="黑体;SimHei">
    <w:altName w:val="黑体"/>
    <w:panose1 w:val="00000000000000000000"/>
    <w:charset w:val="86"/>
    <w:family w:val="roman"/>
    <w:pitch w:val="default"/>
    <w:sig w:usb0="00000000" w:usb1="00000000" w:usb2="00000010" w:usb3="00000000" w:csb0="00040000" w:csb1="00000000"/>
  </w:font>
  <w:font w:name="Segoe UI">
    <w:panose1 w:val="020B0502040204020203"/>
    <w:charset w:val="00"/>
    <w:family w:val="auto"/>
    <w:pitch w:val="default"/>
    <w:sig w:usb0="E4002EFF" w:usb1="C000E47F" w:usb2="00000009" w:usb3="00000000" w:csb0="200001FF" w:csb1="00000000"/>
    <w:embedRegular r:id="rId3" w:fontKey="{46B9E077-D24F-41F6-8B24-19A5AD4FF81B}"/>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9BD5A3">
    <w:pPr>
      <w:pStyle w:val="1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474EDD">
    <w:pPr>
      <w:pStyle w:val="14"/>
      <w:tabs>
        <w:tab w:val="clear" w:pos="4153"/>
        <w:tab w:val="clear" w:pos="8306"/>
      </w:tabs>
    </w:pPr>
    <w: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097" name="文本框 1"/>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3B365CBE">
                          <w:pPr>
                            <w:pStyle w:val="14"/>
                          </w:pPr>
                          <w:r>
                            <w:fldChar w:fldCharType="begin"/>
                          </w:r>
                          <w:r>
                            <w:instrText xml:space="preserve"> PAGE  \* MERGEFORMAT </w:instrText>
                          </w:r>
                          <w:r>
                            <w:fldChar w:fldCharType="separate"/>
                          </w:r>
                          <w:r>
                            <w:t>- 1 -</w:t>
                          </w:r>
                          <w:r>
                            <w:fldChar w:fldCharType="end"/>
                          </w:r>
                        </w:p>
                      </w:txbxContent>
                    </wps:txbx>
                    <wps:bodyPr wrap="none" lIns="0" tIns="0" rIns="0" bIns="0" upright="0">
                      <a:spAutoFit/>
                    </wps:bodyPr>
                  </wps:wsp>
                </a:graphicData>
              </a:graphic>
            </wp:anchor>
          </w:drawing>
        </mc:Choice>
        <mc:Fallback>
          <w:pict>
            <v:rect id="文本框 1"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LGdxC3DAQAAhwMAAA4AAABkcnMvZTJvRG9jLnhtbK1TzY7TMBC+I/EO&#10;lu80aYWgRE1XSNUiJAQrLfsAruM0lvynGbdJXwDegBMX7jxXn4Oxk3TRctkDF2fGM/lmvm/Gm5vB&#10;GnZSgNq7mi8XJWfKSd9od6j5w9fbV2vOMArXCOOdqvlZIb/Zvnyx6UOlVr7zplHACMRh1YeadzGG&#10;qihQdsoKXPigHAVbD1ZEcuFQNCB6QremWJXlm6L30ATwUiHS7W4M8gkRngPo21ZLtfPyaJWLIyoo&#10;IyJRwk4H5NvcbdsqGb+0LarITM2JacwnFSF7n85iuxHVAUTotJxaEM9p4QknK7SjoleonYiCHUH/&#10;A2W1BI++jQvpbTESyYoQi2X5RJv7TgSVuZDUGK6i4/+DlZ9Pd8B0U/PX5bu3nDlhaeaXH98vP39f&#10;fn1jy6RQH7CixPtwB5OHZCa6Qws2fYkIG7Kq56uqaohM0uVyvVqvSxJcUmx2CKd4/D0Axg/KW5aM&#10;mgONLaspTp8wjqlzSqpmXDqdv9XGjNF0U6Q2x8aSFYf9MHW7982ZWPY05po72mrOzEdHKqaNmA2Y&#10;jf1sHAPoQ5dXJtXD8P4YqWZuKFUYYafCNJ9MadqltAB/+znr8f1s/wB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C5dblS0AAAAAUBAAAPAAAAAAAAAAEAIAAAACIAAABkcnMvZG93bnJldi54bWxQSwEC&#10;FAAUAAAACACHTuJAsZ3ELcMBAACHAwAADgAAAAAAAAABACAAAAAfAQAAZHJzL2Uyb0RvYy54bWxQ&#10;SwUGAAAAAAYABgBZAQAAVAUAAAAA&#10;">
              <v:fill on="f" focussize="0,0"/>
              <v:stroke on="f"/>
              <v:imagedata o:title=""/>
              <o:lock v:ext="edit" aspectratio="f"/>
              <v:textbox inset="0mm,0mm,0mm,0mm" style="mso-fit-shape-to-text:t;">
                <w:txbxContent>
                  <w:p w14:paraId="3B365CBE">
                    <w:pPr>
                      <w:pStyle w:val="14"/>
                    </w:pPr>
                    <w:r>
                      <w:fldChar w:fldCharType="begin"/>
                    </w:r>
                    <w:r>
                      <w:instrText xml:space="preserve"> PAGE  \* MERGEFORMAT </w:instrText>
                    </w:r>
                    <w:r>
                      <w:fldChar w:fldCharType="separate"/>
                    </w:r>
                    <w:r>
                      <w:t>- 1 -</w:t>
                    </w:r>
                    <w:r>
                      <w:fldChar w:fldCharType="end"/>
                    </w:r>
                  </w:p>
                </w:txbxContent>
              </v:textbox>
            </v:rect>
          </w:pict>
        </mc:Fallback>
      </mc:AlternateContent>
    </w:r>
    <w:r>
      <w:tab/>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61700A">
    <w:pPr>
      <w:pStyle w:val="15"/>
      <w:pBdr>
        <w:top w:val="none" w:color="auto" w:sz="0" w:space="0"/>
        <w:left w:val="none" w:color="auto" w:sz="0" w:space="0"/>
        <w:bottom w:val="none" w:color="auto" w:sz="0" w:space="1"/>
        <w:right w:val="none" w:color="auto" w:sz="0" w:space="0"/>
        <w:between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4453EC">
    <w:pPr>
      <w:pStyle w:val="15"/>
      <w:pBdr>
        <w:bottom w:val="none" w:color="auto" w:sz="0" w:space="0"/>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3AE6EF9"/>
    <w:multiLevelType w:val="singleLevel"/>
    <w:tmpl w:val="83AE6EF9"/>
    <w:lvl w:ilvl="0" w:tentative="0">
      <w:start w:val="1"/>
      <w:numFmt w:val="chineseCounting"/>
      <w:suff w:val="nothing"/>
      <w:lvlText w:val="（%1）"/>
      <w:lvlJc w:val="left"/>
      <w:pPr>
        <w:ind w:left="0" w:firstLine="420"/>
      </w:pPr>
      <w:rPr>
        <w:rFonts w:hint="eastAsia"/>
      </w:rPr>
    </w:lvl>
  </w:abstractNum>
  <w:abstractNum w:abstractNumId="1">
    <w:nsid w:val="EFE83AF4"/>
    <w:multiLevelType w:val="singleLevel"/>
    <w:tmpl w:val="EFE83AF4"/>
    <w:lvl w:ilvl="0" w:tentative="0">
      <w:start w:val="1"/>
      <w:numFmt w:val="decimal"/>
      <w:suff w:val="nothing"/>
      <w:lvlText w:val="（%1）"/>
      <w:lvlJc w:val="left"/>
    </w:lvl>
  </w:abstractNum>
  <w:abstractNum w:abstractNumId="2">
    <w:nsid w:val="00000000"/>
    <w:multiLevelType w:val="singleLevel"/>
    <w:tmpl w:val="00000000"/>
    <w:lvl w:ilvl="0" w:tentative="0">
      <w:start w:val="1"/>
      <w:numFmt w:val="decimal"/>
      <w:suff w:val="nothing"/>
      <w:lvlText w:val="%1、"/>
      <w:lvlJc w:val="left"/>
    </w:lvl>
  </w:abstractNum>
  <w:abstractNum w:abstractNumId="3">
    <w:nsid w:val="00000001"/>
    <w:multiLevelType w:val="singleLevel"/>
    <w:tmpl w:val="00000001"/>
    <w:lvl w:ilvl="0" w:tentative="0">
      <w:start w:val="1"/>
      <w:numFmt w:val="decimal"/>
      <w:suff w:val="nothing"/>
      <w:lvlText w:val="%1、"/>
      <w:lvlJc w:val="left"/>
    </w:lvl>
  </w:abstractNum>
  <w:abstractNum w:abstractNumId="4">
    <w:nsid w:val="00000003"/>
    <w:multiLevelType w:val="singleLevel"/>
    <w:tmpl w:val="00000003"/>
    <w:lvl w:ilvl="0" w:tentative="0">
      <w:start w:val="2"/>
      <w:numFmt w:val="chineseCounting"/>
      <w:suff w:val="space"/>
      <w:lvlText w:val="第%1章"/>
      <w:lvlJc w:val="left"/>
      <w:rPr>
        <w:rFonts w:hint="eastAsia"/>
      </w:rPr>
    </w:lvl>
  </w:abstractNum>
  <w:abstractNum w:abstractNumId="5">
    <w:nsid w:val="00000004"/>
    <w:multiLevelType w:val="multilevel"/>
    <w:tmpl w:val="00000004"/>
    <w:lvl w:ilvl="0" w:tentative="0">
      <w:start w:val="1"/>
      <w:numFmt w:val="none"/>
      <w:suff w:val="nothing"/>
      <w:lvlText w:val=""/>
      <w:lvlJc w:val="left"/>
    </w:lvl>
    <w:lvl w:ilvl="1" w:tentative="0">
      <w:start w:val="1"/>
      <w:numFmt w:val="none"/>
      <w:pStyle w:val="44"/>
      <w:suff w:val="nothing"/>
      <w:lvlText w:val=""/>
      <w:lvlJc w:val="left"/>
    </w:lvl>
    <w:lvl w:ilvl="2" w:tentative="0">
      <w:start w:val="1"/>
      <w:numFmt w:val="none"/>
      <w:suff w:val="nothing"/>
      <w:lvlText w:val=""/>
      <w:lvlJc w:val="left"/>
    </w:lvl>
    <w:lvl w:ilvl="3" w:tentative="0">
      <w:start w:val="1"/>
      <w:numFmt w:val="none"/>
      <w:suff w:val="nothing"/>
      <w:lvlText w:val=""/>
      <w:lvlJc w:val="left"/>
    </w:lvl>
    <w:lvl w:ilvl="4" w:tentative="0">
      <w:start w:val="1"/>
      <w:numFmt w:val="none"/>
      <w:suff w:val="nothing"/>
      <w:lvlText w:val=""/>
      <w:lvlJc w:val="left"/>
    </w:lvl>
    <w:lvl w:ilvl="5" w:tentative="0">
      <w:start w:val="1"/>
      <w:numFmt w:val="none"/>
      <w:suff w:val="nothing"/>
      <w:lvlText w:val=""/>
      <w:lvlJc w:val="left"/>
    </w:lvl>
    <w:lvl w:ilvl="6" w:tentative="0">
      <w:start w:val="1"/>
      <w:numFmt w:val="none"/>
      <w:suff w:val="nothing"/>
      <w:lvlText w:val=""/>
      <w:lvlJc w:val="left"/>
    </w:lvl>
    <w:lvl w:ilvl="7" w:tentative="0">
      <w:start w:val="1"/>
      <w:numFmt w:val="none"/>
      <w:suff w:val="nothing"/>
      <w:lvlText w:val=""/>
      <w:lvlJc w:val="left"/>
    </w:lvl>
    <w:lvl w:ilvl="8" w:tentative="0">
      <w:start w:val="1"/>
      <w:numFmt w:val="none"/>
      <w:suff w:val="nothing"/>
      <w:lvlText w:val=""/>
      <w:lvlJc w:val="left"/>
    </w:lvl>
  </w:abstractNum>
  <w:abstractNum w:abstractNumId="6">
    <w:nsid w:val="00000006"/>
    <w:multiLevelType w:val="singleLevel"/>
    <w:tmpl w:val="00000006"/>
    <w:lvl w:ilvl="0" w:tentative="0">
      <w:start w:val="1"/>
      <w:numFmt w:val="chineseCounting"/>
      <w:suff w:val="space"/>
      <w:lvlText w:val="第%1章"/>
      <w:lvlJc w:val="left"/>
      <w:rPr>
        <w:rFonts w:hint="eastAsia"/>
      </w:rPr>
    </w:lvl>
  </w:abstractNum>
  <w:abstractNum w:abstractNumId="7">
    <w:nsid w:val="27ACFBCD"/>
    <w:multiLevelType w:val="singleLevel"/>
    <w:tmpl w:val="27ACFBCD"/>
    <w:lvl w:ilvl="0" w:tentative="0">
      <w:start w:val="1"/>
      <w:numFmt w:val="decimal"/>
      <w:pStyle w:val="17"/>
      <w:lvlText w:val="%1."/>
      <w:lvlJc w:val="left"/>
      <w:pPr>
        <w:tabs>
          <w:tab w:val="left" w:pos="2040"/>
        </w:tabs>
        <w:ind w:left="2040" w:hanging="360"/>
      </w:pPr>
    </w:lvl>
  </w:abstractNum>
  <w:abstractNum w:abstractNumId="8">
    <w:nsid w:val="656D6133"/>
    <w:multiLevelType w:val="multilevel"/>
    <w:tmpl w:val="656D6133"/>
    <w:lvl w:ilvl="0" w:tentative="0">
      <w:start w:val="1"/>
      <w:numFmt w:val="chineseCountingThousand"/>
      <w:suff w:val="nothing"/>
      <w:lvlText w:val="第%1部分"/>
      <w:lvlJc w:val="center"/>
      <w:pPr>
        <w:ind w:left="0" w:firstLine="288"/>
      </w:pPr>
      <w:rPr>
        <w:rFonts w:hint="eastAsia"/>
        <w:sz w:val="28"/>
        <w:szCs w:val="28"/>
      </w:rPr>
    </w:lvl>
    <w:lvl w:ilvl="1" w:tentative="0">
      <w:start w:val="1"/>
      <w:numFmt w:val="chineseCountingThousand"/>
      <w:suff w:val="nothing"/>
      <w:lvlText w:val="%2、"/>
      <w:lvlJc w:val="left"/>
      <w:pPr>
        <w:ind w:left="0" w:firstLine="0"/>
      </w:pPr>
      <w:rPr>
        <w:rFonts w:hint="eastAsia" w:ascii="宋体" w:hAnsi="宋体" w:eastAsia="宋体"/>
        <w:sz w:val="24"/>
        <w:szCs w:val="24"/>
        <w:lang w:val="en-US"/>
      </w:rPr>
    </w:lvl>
    <w:lvl w:ilvl="2" w:tentative="0">
      <w:start w:val="1"/>
      <w:numFmt w:val="chineseCountingThousand"/>
      <w:suff w:val="nothing"/>
      <w:lvlText w:val="(%3)"/>
      <w:lvlJc w:val="left"/>
      <w:pPr>
        <w:ind w:left="1560" w:firstLine="0"/>
      </w:pPr>
      <w:rPr>
        <w:rFonts w:hint="default" w:ascii="Times New Roman" w:hAnsi="Times New Roman" w:eastAsia="宋体"/>
        <w:b/>
        <w:i w:val="0"/>
        <w:spacing w:val="0"/>
        <w:w w:val="100"/>
        <w:position w:val="0"/>
        <w:sz w:val="21"/>
        <w:szCs w:val="21"/>
      </w:rPr>
    </w:lvl>
    <w:lvl w:ilvl="3" w:tentative="0">
      <w:start w:val="1"/>
      <w:numFmt w:val="decimal"/>
      <w:suff w:val="nothing"/>
      <w:lvlText w:val="%4、"/>
      <w:lvlJc w:val="left"/>
      <w:pPr>
        <w:ind w:left="0" w:firstLine="0"/>
      </w:pPr>
      <w:rPr>
        <w:rFonts w:hint="eastAsia"/>
      </w:rPr>
    </w:lvl>
    <w:lvl w:ilvl="4" w:tentative="0">
      <w:start w:val="1"/>
      <w:numFmt w:val="upperLetter"/>
      <w:suff w:val="nothing"/>
      <w:lvlText w:val="%5、"/>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pStyle w:val="6"/>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abstractNum w:abstractNumId="9">
    <w:nsid w:val="6831E40C"/>
    <w:multiLevelType w:val="singleLevel"/>
    <w:tmpl w:val="6831E40C"/>
    <w:lvl w:ilvl="0" w:tentative="0">
      <w:start w:val="1"/>
      <w:numFmt w:val="chineseCounting"/>
      <w:suff w:val="space"/>
      <w:lvlText w:val="第%1条"/>
      <w:lvlJc w:val="left"/>
      <w:rPr>
        <w:rFonts w:hint="eastAsia"/>
      </w:rPr>
    </w:lvl>
  </w:abstractNum>
  <w:num w:numId="1">
    <w:abstractNumId w:val="8"/>
  </w:num>
  <w:num w:numId="2">
    <w:abstractNumId w:val="7"/>
  </w:num>
  <w:num w:numId="3">
    <w:abstractNumId w:val="5"/>
  </w:num>
  <w:num w:numId="4">
    <w:abstractNumId w:val="6"/>
  </w:num>
  <w:num w:numId="5">
    <w:abstractNumId w:val="4"/>
  </w:num>
  <w:num w:numId="6">
    <w:abstractNumId w:val="2"/>
  </w:num>
  <w:num w:numId="7">
    <w:abstractNumId w:val="9"/>
  </w:num>
  <w:num w:numId="8">
    <w:abstractNumId w:val="1"/>
  </w:num>
  <w:num w:numId="9">
    <w:abstractNumId w:val="3"/>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c2OWNjOTM4YTlhMWVkOTM5ODVkODkzZGRkNDZmMWUifQ=="/>
    <w:docVar w:name="KSO_WPS_MARK_KEY" w:val="246805ec-886c-46b9-8de4-929f9bfe2483"/>
  </w:docVars>
  <w:rsids>
    <w:rsidRoot w:val="00000000"/>
    <w:rsid w:val="00C10135"/>
    <w:rsid w:val="0100390C"/>
    <w:rsid w:val="010949BE"/>
    <w:rsid w:val="0135660B"/>
    <w:rsid w:val="01DF6EA0"/>
    <w:rsid w:val="02D432A2"/>
    <w:rsid w:val="02F0575A"/>
    <w:rsid w:val="0325612E"/>
    <w:rsid w:val="036451EC"/>
    <w:rsid w:val="03763AA5"/>
    <w:rsid w:val="039426B9"/>
    <w:rsid w:val="039F53AB"/>
    <w:rsid w:val="03A37061"/>
    <w:rsid w:val="046E6DDE"/>
    <w:rsid w:val="05133589"/>
    <w:rsid w:val="055D0409"/>
    <w:rsid w:val="0570558B"/>
    <w:rsid w:val="05772566"/>
    <w:rsid w:val="0578687F"/>
    <w:rsid w:val="058D187B"/>
    <w:rsid w:val="061677AC"/>
    <w:rsid w:val="06C7174C"/>
    <w:rsid w:val="06CB201E"/>
    <w:rsid w:val="06CF7C57"/>
    <w:rsid w:val="06E11AE9"/>
    <w:rsid w:val="07077788"/>
    <w:rsid w:val="072B44B8"/>
    <w:rsid w:val="072C24DE"/>
    <w:rsid w:val="07962E3E"/>
    <w:rsid w:val="07B0770E"/>
    <w:rsid w:val="08452DE5"/>
    <w:rsid w:val="096D58B6"/>
    <w:rsid w:val="0A9C4AC2"/>
    <w:rsid w:val="0AC627CC"/>
    <w:rsid w:val="0AF42053"/>
    <w:rsid w:val="0B1964C2"/>
    <w:rsid w:val="0B87701C"/>
    <w:rsid w:val="0B9477BF"/>
    <w:rsid w:val="0C40570C"/>
    <w:rsid w:val="0C4259F6"/>
    <w:rsid w:val="0C5965C6"/>
    <w:rsid w:val="0C9002E4"/>
    <w:rsid w:val="0D4234FE"/>
    <w:rsid w:val="0D4B16DA"/>
    <w:rsid w:val="0D8B666F"/>
    <w:rsid w:val="0E434661"/>
    <w:rsid w:val="0E6D3691"/>
    <w:rsid w:val="0F341CA6"/>
    <w:rsid w:val="0F8C3249"/>
    <w:rsid w:val="0FD64B42"/>
    <w:rsid w:val="10185A5F"/>
    <w:rsid w:val="103A6895"/>
    <w:rsid w:val="11194576"/>
    <w:rsid w:val="112433B6"/>
    <w:rsid w:val="113A2E92"/>
    <w:rsid w:val="11CB6B2B"/>
    <w:rsid w:val="125E1695"/>
    <w:rsid w:val="12680B18"/>
    <w:rsid w:val="130E43F8"/>
    <w:rsid w:val="134674D9"/>
    <w:rsid w:val="135C2D35"/>
    <w:rsid w:val="13715932"/>
    <w:rsid w:val="139D0128"/>
    <w:rsid w:val="13BA0AF5"/>
    <w:rsid w:val="13E250F3"/>
    <w:rsid w:val="14292753"/>
    <w:rsid w:val="14380D71"/>
    <w:rsid w:val="159A0742"/>
    <w:rsid w:val="1699418F"/>
    <w:rsid w:val="16C3120C"/>
    <w:rsid w:val="177D685B"/>
    <w:rsid w:val="17DF5C01"/>
    <w:rsid w:val="189B2069"/>
    <w:rsid w:val="18F65D34"/>
    <w:rsid w:val="196906DE"/>
    <w:rsid w:val="1A9B5937"/>
    <w:rsid w:val="1B414DF5"/>
    <w:rsid w:val="1B5C578B"/>
    <w:rsid w:val="1B9E5DA3"/>
    <w:rsid w:val="1CFA00EC"/>
    <w:rsid w:val="1D074CAE"/>
    <w:rsid w:val="1DAC637A"/>
    <w:rsid w:val="1E064DFE"/>
    <w:rsid w:val="1EEB10CB"/>
    <w:rsid w:val="1F0C1276"/>
    <w:rsid w:val="1F455BC7"/>
    <w:rsid w:val="1F8A19A8"/>
    <w:rsid w:val="204153E9"/>
    <w:rsid w:val="206A3FBA"/>
    <w:rsid w:val="21715D2F"/>
    <w:rsid w:val="21EB1F78"/>
    <w:rsid w:val="21FC3824"/>
    <w:rsid w:val="22AA7274"/>
    <w:rsid w:val="23166B67"/>
    <w:rsid w:val="23C141CE"/>
    <w:rsid w:val="24057A5F"/>
    <w:rsid w:val="245931AF"/>
    <w:rsid w:val="24771887"/>
    <w:rsid w:val="25F767DC"/>
    <w:rsid w:val="264A6D7B"/>
    <w:rsid w:val="267B53C1"/>
    <w:rsid w:val="26AC0B02"/>
    <w:rsid w:val="271F0387"/>
    <w:rsid w:val="28183292"/>
    <w:rsid w:val="28926599"/>
    <w:rsid w:val="28B562BD"/>
    <w:rsid w:val="28CA1E12"/>
    <w:rsid w:val="292D2DC8"/>
    <w:rsid w:val="2A6159F7"/>
    <w:rsid w:val="2A6601A2"/>
    <w:rsid w:val="2A796019"/>
    <w:rsid w:val="2AD0584D"/>
    <w:rsid w:val="2B3F2A32"/>
    <w:rsid w:val="2B746BF8"/>
    <w:rsid w:val="2B852D4D"/>
    <w:rsid w:val="2BAE5BDD"/>
    <w:rsid w:val="2BBB7E42"/>
    <w:rsid w:val="2BF14E6B"/>
    <w:rsid w:val="2C4E2DD5"/>
    <w:rsid w:val="2C6E531E"/>
    <w:rsid w:val="2C930262"/>
    <w:rsid w:val="2CBA592E"/>
    <w:rsid w:val="2CF972DD"/>
    <w:rsid w:val="2D504B9E"/>
    <w:rsid w:val="2DC378EB"/>
    <w:rsid w:val="2DCC2C44"/>
    <w:rsid w:val="2E36630F"/>
    <w:rsid w:val="2EC8468F"/>
    <w:rsid w:val="2F197408"/>
    <w:rsid w:val="2F43516E"/>
    <w:rsid w:val="2F921402"/>
    <w:rsid w:val="2FE74D81"/>
    <w:rsid w:val="304072AD"/>
    <w:rsid w:val="307F3A14"/>
    <w:rsid w:val="30B56F17"/>
    <w:rsid w:val="30DF243B"/>
    <w:rsid w:val="30E215FF"/>
    <w:rsid w:val="30E36492"/>
    <w:rsid w:val="313C50A4"/>
    <w:rsid w:val="32056724"/>
    <w:rsid w:val="32A73FA5"/>
    <w:rsid w:val="336F512B"/>
    <w:rsid w:val="349778D8"/>
    <w:rsid w:val="352C3A93"/>
    <w:rsid w:val="35985A6C"/>
    <w:rsid w:val="360F3BBE"/>
    <w:rsid w:val="364F647B"/>
    <w:rsid w:val="365E2D9E"/>
    <w:rsid w:val="365E3AB0"/>
    <w:rsid w:val="367E3385"/>
    <w:rsid w:val="36BD4B2C"/>
    <w:rsid w:val="3809025F"/>
    <w:rsid w:val="383E029A"/>
    <w:rsid w:val="392E47B3"/>
    <w:rsid w:val="39882115"/>
    <w:rsid w:val="3A085004"/>
    <w:rsid w:val="3A287454"/>
    <w:rsid w:val="3A3F02FA"/>
    <w:rsid w:val="3A5B0916"/>
    <w:rsid w:val="3A6502A6"/>
    <w:rsid w:val="3AC32CD9"/>
    <w:rsid w:val="3B4C6D41"/>
    <w:rsid w:val="3BB529FA"/>
    <w:rsid w:val="3C5A63E5"/>
    <w:rsid w:val="3D2608AE"/>
    <w:rsid w:val="3DAC5CA6"/>
    <w:rsid w:val="3DE15EEB"/>
    <w:rsid w:val="3E3B8660"/>
    <w:rsid w:val="3E6E6C0B"/>
    <w:rsid w:val="3EE86715"/>
    <w:rsid w:val="3EF90CCE"/>
    <w:rsid w:val="3F7C45C1"/>
    <w:rsid w:val="3FFDEA7B"/>
    <w:rsid w:val="40355211"/>
    <w:rsid w:val="40A71C96"/>
    <w:rsid w:val="40D06208"/>
    <w:rsid w:val="41675108"/>
    <w:rsid w:val="416C4358"/>
    <w:rsid w:val="41797EEB"/>
    <w:rsid w:val="41F94E0C"/>
    <w:rsid w:val="41FB544E"/>
    <w:rsid w:val="42A17DA3"/>
    <w:rsid w:val="43300E14"/>
    <w:rsid w:val="436620F0"/>
    <w:rsid w:val="43702349"/>
    <w:rsid w:val="439928BC"/>
    <w:rsid w:val="43A02C80"/>
    <w:rsid w:val="44286FC3"/>
    <w:rsid w:val="443B2247"/>
    <w:rsid w:val="44770A59"/>
    <w:rsid w:val="44F950C6"/>
    <w:rsid w:val="45594B20"/>
    <w:rsid w:val="45717F01"/>
    <w:rsid w:val="459F6155"/>
    <w:rsid w:val="46437FDB"/>
    <w:rsid w:val="46473D91"/>
    <w:rsid w:val="46E36306"/>
    <w:rsid w:val="476C09AB"/>
    <w:rsid w:val="47AB1AB1"/>
    <w:rsid w:val="482E1962"/>
    <w:rsid w:val="490448E2"/>
    <w:rsid w:val="4958405A"/>
    <w:rsid w:val="49677FD5"/>
    <w:rsid w:val="496F6A33"/>
    <w:rsid w:val="49755123"/>
    <w:rsid w:val="498D1081"/>
    <w:rsid w:val="4A946440"/>
    <w:rsid w:val="4AEC002A"/>
    <w:rsid w:val="4AFC16B8"/>
    <w:rsid w:val="4B291855"/>
    <w:rsid w:val="4B483D6B"/>
    <w:rsid w:val="4BAA27F0"/>
    <w:rsid w:val="4BCF146D"/>
    <w:rsid w:val="4C1C1CF5"/>
    <w:rsid w:val="4C465518"/>
    <w:rsid w:val="4CC93D4A"/>
    <w:rsid w:val="4DCD360C"/>
    <w:rsid w:val="4ED17C62"/>
    <w:rsid w:val="4F155D56"/>
    <w:rsid w:val="4F216F70"/>
    <w:rsid w:val="4FD91FBE"/>
    <w:rsid w:val="50407AEF"/>
    <w:rsid w:val="505446A7"/>
    <w:rsid w:val="50740CF9"/>
    <w:rsid w:val="508C2093"/>
    <w:rsid w:val="51B0525C"/>
    <w:rsid w:val="5372618D"/>
    <w:rsid w:val="53A30B09"/>
    <w:rsid w:val="53FD2F8D"/>
    <w:rsid w:val="544F6E15"/>
    <w:rsid w:val="54841990"/>
    <w:rsid w:val="54D73AF9"/>
    <w:rsid w:val="55443FF4"/>
    <w:rsid w:val="55766E6E"/>
    <w:rsid w:val="558772CD"/>
    <w:rsid w:val="55A439DB"/>
    <w:rsid w:val="56BB2BDD"/>
    <w:rsid w:val="590649DE"/>
    <w:rsid w:val="59E16B55"/>
    <w:rsid w:val="5AAE0E58"/>
    <w:rsid w:val="5AC16E62"/>
    <w:rsid w:val="5BCC5A39"/>
    <w:rsid w:val="5C2C1C27"/>
    <w:rsid w:val="5D944335"/>
    <w:rsid w:val="5DE90BFC"/>
    <w:rsid w:val="5E3D6C59"/>
    <w:rsid w:val="5E945A64"/>
    <w:rsid w:val="5EB427B5"/>
    <w:rsid w:val="5EE61D0A"/>
    <w:rsid w:val="5F6EEB2E"/>
    <w:rsid w:val="5FD62856"/>
    <w:rsid w:val="5FE234EB"/>
    <w:rsid w:val="607B393B"/>
    <w:rsid w:val="60A26EBA"/>
    <w:rsid w:val="61232419"/>
    <w:rsid w:val="61332AA2"/>
    <w:rsid w:val="619D030E"/>
    <w:rsid w:val="619E34A5"/>
    <w:rsid w:val="61DF202D"/>
    <w:rsid w:val="625B643D"/>
    <w:rsid w:val="62961018"/>
    <w:rsid w:val="62B80AC5"/>
    <w:rsid w:val="62E55633"/>
    <w:rsid w:val="62F27F5B"/>
    <w:rsid w:val="632D70E9"/>
    <w:rsid w:val="63692337"/>
    <w:rsid w:val="64083E04"/>
    <w:rsid w:val="646B2897"/>
    <w:rsid w:val="659A2E95"/>
    <w:rsid w:val="659C2113"/>
    <w:rsid w:val="66097AB2"/>
    <w:rsid w:val="67CE2AB3"/>
    <w:rsid w:val="67DE5980"/>
    <w:rsid w:val="681A7B2C"/>
    <w:rsid w:val="687A5583"/>
    <w:rsid w:val="68A25C7C"/>
    <w:rsid w:val="68FF36CC"/>
    <w:rsid w:val="692E389B"/>
    <w:rsid w:val="69514B90"/>
    <w:rsid w:val="697B0A9F"/>
    <w:rsid w:val="69807E63"/>
    <w:rsid w:val="699C326F"/>
    <w:rsid w:val="69A63B4C"/>
    <w:rsid w:val="69AE2C22"/>
    <w:rsid w:val="69B35DA2"/>
    <w:rsid w:val="6AA658CB"/>
    <w:rsid w:val="6AC96361"/>
    <w:rsid w:val="6B381047"/>
    <w:rsid w:val="6BAD2A66"/>
    <w:rsid w:val="6BDEACFD"/>
    <w:rsid w:val="6C3D028D"/>
    <w:rsid w:val="6C9570A3"/>
    <w:rsid w:val="6D5A3E51"/>
    <w:rsid w:val="6DD8667D"/>
    <w:rsid w:val="6DFC3295"/>
    <w:rsid w:val="6E1D3ED3"/>
    <w:rsid w:val="6E9945C7"/>
    <w:rsid w:val="6F8045B1"/>
    <w:rsid w:val="6F8B1D1D"/>
    <w:rsid w:val="6F9D4FF4"/>
    <w:rsid w:val="6FDF5C40"/>
    <w:rsid w:val="700D2CA9"/>
    <w:rsid w:val="701F1686"/>
    <w:rsid w:val="70A22DB5"/>
    <w:rsid w:val="70B47650"/>
    <w:rsid w:val="70BF676C"/>
    <w:rsid w:val="7100685D"/>
    <w:rsid w:val="71901F57"/>
    <w:rsid w:val="71950224"/>
    <w:rsid w:val="71C254BD"/>
    <w:rsid w:val="71D743EC"/>
    <w:rsid w:val="720E5BA6"/>
    <w:rsid w:val="72542645"/>
    <w:rsid w:val="72897D89"/>
    <w:rsid w:val="72B15C4F"/>
    <w:rsid w:val="733A1FE4"/>
    <w:rsid w:val="73685DD0"/>
    <w:rsid w:val="73820E1F"/>
    <w:rsid w:val="73AF405B"/>
    <w:rsid w:val="74C963E8"/>
    <w:rsid w:val="75C16645"/>
    <w:rsid w:val="75D35882"/>
    <w:rsid w:val="75F810D9"/>
    <w:rsid w:val="76405E0D"/>
    <w:rsid w:val="77BD2282"/>
    <w:rsid w:val="77E87EC7"/>
    <w:rsid w:val="77FBD999"/>
    <w:rsid w:val="78E01AB5"/>
    <w:rsid w:val="78EA2BAF"/>
    <w:rsid w:val="795450A1"/>
    <w:rsid w:val="79814453"/>
    <w:rsid w:val="79865022"/>
    <w:rsid w:val="79A61220"/>
    <w:rsid w:val="79E104AA"/>
    <w:rsid w:val="7ABB0CFB"/>
    <w:rsid w:val="7B870735"/>
    <w:rsid w:val="7C00291F"/>
    <w:rsid w:val="7C0D1BD9"/>
    <w:rsid w:val="7DA106DF"/>
    <w:rsid w:val="7E1D3B0D"/>
    <w:rsid w:val="7E401FAB"/>
    <w:rsid w:val="7EE20F8A"/>
    <w:rsid w:val="7EF24F07"/>
    <w:rsid w:val="BFFF76E1"/>
    <w:rsid w:val="EF73B802"/>
    <w:rsid w:val="F6E6CAD1"/>
    <w:rsid w:val="FE6CB105"/>
    <w:rsid w:val="FFFF78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nhideWhenUsed="0" w:uiPriority="0" w:semiHidden="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iPriority="99"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qFormat="1"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suppressAutoHyphens/>
      <w:jc w:val="both"/>
    </w:pPr>
    <w:rPr>
      <w:rFonts w:ascii="Times New Roman" w:hAnsi="Times New Roman" w:eastAsia="宋体;SimSun" w:cs="Times New Roman"/>
      <w:kern w:val="2"/>
      <w:sz w:val="21"/>
      <w:szCs w:val="21"/>
      <w:lang w:val="en-US" w:eastAsia="zh-CN" w:bidi="ar-SA"/>
    </w:rPr>
  </w:style>
  <w:style w:type="paragraph" w:styleId="2">
    <w:name w:val="heading 1"/>
    <w:basedOn w:val="1"/>
    <w:next w:val="1"/>
    <w:autoRedefine/>
    <w:qFormat/>
    <w:uiPriority w:val="0"/>
    <w:pPr>
      <w:keepNext/>
      <w:keepLines/>
      <w:suppressAutoHyphens w:val="0"/>
      <w:spacing w:before="340" w:after="330" w:line="578" w:lineRule="auto"/>
      <w:outlineLvl w:val="0"/>
    </w:pPr>
    <w:rPr>
      <w:rFonts w:eastAsia="宋体"/>
      <w:bCs/>
      <w:kern w:val="44"/>
      <w:sz w:val="44"/>
      <w:szCs w:val="44"/>
    </w:rPr>
  </w:style>
  <w:style w:type="paragraph" w:styleId="3">
    <w:name w:val="heading 2"/>
    <w:basedOn w:val="1"/>
    <w:next w:val="1"/>
    <w:link w:val="47"/>
    <w:autoRedefine/>
    <w:qFormat/>
    <w:uiPriority w:val="0"/>
    <w:pPr>
      <w:keepNext/>
      <w:keepLines/>
      <w:spacing w:before="260" w:beforeAutospacing="0" w:after="260" w:afterAutospacing="0" w:line="413" w:lineRule="auto"/>
      <w:outlineLvl w:val="1"/>
    </w:pPr>
    <w:rPr>
      <w:rFonts w:ascii="Arial" w:hAnsi="Arial" w:eastAsia="黑体"/>
      <w:b/>
      <w:sz w:val="32"/>
    </w:rPr>
  </w:style>
  <w:style w:type="paragraph" w:styleId="4">
    <w:name w:val="heading 3"/>
    <w:basedOn w:val="1"/>
    <w:next w:val="1"/>
    <w:autoRedefine/>
    <w:qFormat/>
    <w:uiPriority w:val="0"/>
    <w:pPr>
      <w:keepNext/>
      <w:keepLines/>
      <w:autoSpaceDE w:val="0"/>
      <w:autoSpaceDN w:val="0"/>
      <w:adjustRightInd w:val="0"/>
      <w:spacing w:before="360" w:after="120"/>
      <w:jc w:val="left"/>
      <w:outlineLvl w:val="2"/>
    </w:pPr>
    <w:rPr>
      <w:rFonts w:ascii="宋体"/>
      <w:b/>
      <w:kern w:val="0"/>
      <w:sz w:val="24"/>
      <w:u w:val="single"/>
    </w:rPr>
  </w:style>
  <w:style w:type="paragraph" w:styleId="5">
    <w:name w:val="heading 4"/>
    <w:basedOn w:val="1"/>
    <w:next w:val="1"/>
    <w:autoRedefine/>
    <w:qFormat/>
    <w:uiPriority w:val="0"/>
    <w:pPr>
      <w:keepNext/>
      <w:keepLines/>
      <w:spacing w:before="280" w:after="290" w:line="376" w:lineRule="auto"/>
      <w:outlineLvl w:val="3"/>
    </w:pPr>
    <w:rPr>
      <w:rFonts w:ascii="Arial" w:hAnsi="Arial" w:eastAsia="黑体"/>
      <w:b/>
      <w:bCs/>
      <w:sz w:val="28"/>
      <w:szCs w:val="28"/>
    </w:rPr>
  </w:style>
  <w:style w:type="paragraph" w:styleId="6">
    <w:name w:val="heading 7"/>
    <w:basedOn w:val="1"/>
    <w:next w:val="1"/>
    <w:qFormat/>
    <w:uiPriority w:val="0"/>
    <w:pPr>
      <w:keepNext/>
      <w:keepLines/>
      <w:numPr>
        <w:ilvl w:val="6"/>
        <w:numId w:val="1"/>
      </w:numPr>
      <w:adjustRightInd w:val="0"/>
      <w:spacing w:before="240" w:after="64" w:line="320" w:lineRule="atLeast"/>
      <w:jc w:val="left"/>
      <w:textAlignment w:val="baseline"/>
      <w:outlineLvl w:val="6"/>
    </w:pPr>
    <w:rPr>
      <w:b/>
      <w:bCs/>
      <w:kern w:val="0"/>
      <w:sz w:val="24"/>
    </w:rPr>
  </w:style>
  <w:style w:type="character" w:default="1" w:styleId="27">
    <w:name w:val="Default Paragraph Font"/>
    <w:autoRedefine/>
    <w:qFormat/>
    <w:uiPriority w:val="0"/>
  </w:style>
  <w:style w:type="table" w:default="1" w:styleId="25">
    <w:name w:val="Normal Table"/>
    <w:autoRedefine/>
    <w:qFormat/>
    <w:uiPriority w:val="0"/>
    <w:tblPr>
      <w:tblCellMar>
        <w:top w:w="0" w:type="dxa"/>
        <w:left w:w="108" w:type="dxa"/>
        <w:bottom w:w="0" w:type="dxa"/>
        <w:right w:w="108" w:type="dxa"/>
      </w:tblCellMar>
    </w:tblPr>
  </w:style>
  <w:style w:type="paragraph" w:styleId="7">
    <w:name w:val="Normal Indent"/>
    <w:basedOn w:val="1"/>
    <w:next w:val="1"/>
    <w:autoRedefine/>
    <w:qFormat/>
    <w:uiPriority w:val="0"/>
    <w:pPr>
      <w:autoSpaceDE w:val="0"/>
      <w:autoSpaceDN w:val="0"/>
      <w:adjustRightInd w:val="0"/>
      <w:ind w:firstLine="420"/>
      <w:jc w:val="left"/>
      <w:textAlignment w:val="baseline"/>
    </w:pPr>
    <w:rPr>
      <w:rFonts w:ascii="宋体"/>
      <w:kern w:val="0"/>
      <w:sz w:val="34"/>
      <w:szCs w:val="20"/>
    </w:rPr>
  </w:style>
  <w:style w:type="paragraph" w:styleId="8">
    <w:name w:val="toa heading"/>
    <w:basedOn w:val="1"/>
    <w:next w:val="1"/>
    <w:autoRedefine/>
    <w:qFormat/>
    <w:uiPriority w:val="0"/>
    <w:pPr>
      <w:spacing w:before="120"/>
    </w:pPr>
    <w:rPr>
      <w:rFonts w:ascii="Cambria" w:hAnsi="Cambria"/>
      <w:sz w:val="24"/>
    </w:rPr>
  </w:style>
  <w:style w:type="paragraph" w:styleId="9">
    <w:name w:val="annotation text"/>
    <w:basedOn w:val="1"/>
    <w:autoRedefine/>
    <w:qFormat/>
    <w:uiPriority w:val="0"/>
    <w:pPr>
      <w:jc w:val="left"/>
    </w:pPr>
  </w:style>
  <w:style w:type="paragraph" w:styleId="10">
    <w:name w:val="Body Text"/>
    <w:basedOn w:val="1"/>
    <w:next w:val="1"/>
    <w:autoRedefine/>
    <w:qFormat/>
    <w:uiPriority w:val="0"/>
    <w:pPr>
      <w:spacing w:after="120"/>
    </w:pPr>
  </w:style>
  <w:style w:type="paragraph" w:styleId="11">
    <w:name w:val="Body Text Indent"/>
    <w:basedOn w:val="1"/>
    <w:next w:val="1"/>
    <w:autoRedefine/>
    <w:qFormat/>
    <w:uiPriority w:val="0"/>
    <w:pPr>
      <w:spacing w:line="360" w:lineRule="auto"/>
      <w:ind w:firstLine="570"/>
    </w:pPr>
    <w:rPr>
      <w:sz w:val="24"/>
      <w:szCs w:val="24"/>
    </w:rPr>
  </w:style>
  <w:style w:type="paragraph" w:styleId="12">
    <w:name w:val="toc 3"/>
    <w:basedOn w:val="1"/>
    <w:next w:val="1"/>
    <w:qFormat/>
    <w:uiPriority w:val="0"/>
    <w:pPr>
      <w:ind w:left="840" w:leftChars="400"/>
    </w:pPr>
  </w:style>
  <w:style w:type="paragraph" w:styleId="13">
    <w:name w:val="Plain Text"/>
    <w:basedOn w:val="1"/>
    <w:autoRedefine/>
    <w:qFormat/>
    <w:uiPriority w:val="0"/>
    <w:rPr>
      <w:rFonts w:ascii="宋体;SimSun" w:hAnsi="宋体;SimSun" w:cs="宋体;SimSun"/>
    </w:rPr>
  </w:style>
  <w:style w:type="paragraph" w:styleId="14">
    <w:name w:val="footer"/>
    <w:basedOn w:val="1"/>
    <w:qFormat/>
    <w:uiPriority w:val="99"/>
    <w:pPr>
      <w:tabs>
        <w:tab w:val="center" w:pos="4153"/>
        <w:tab w:val="right" w:pos="8306"/>
      </w:tabs>
      <w:snapToGrid w:val="0"/>
      <w:jc w:val="left"/>
    </w:pPr>
    <w:rPr>
      <w:sz w:val="18"/>
      <w:szCs w:val="18"/>
    </w:rPr>
  </w:style>
  <w:style w:type="paragraph" w:styleId="1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6">
    <w:name w:val="toc 1"/>
    <w:basedOn w:val="1"/>
    <w:next w:val="1"/>
    <w:autoRedefine/>
    <w:qFormat/>
    <w:uiPriority w:val="0"/>
  </w:style>
  <w:style w:type="paragraph" w:styleId="17">
    <w:name w:val="List Number 5"/>
    <w:basedOn w:val="1"/>
    <w:qFormat/>
    <w:uiPriority w:val="0"/>
    <w:pPr>
      <w:numPr>
        <w:ilvl w:val="0"/>
        <w:numId w:val="2"/>
      </w:numPr>
    </w:pPr>
  </w:style>
  <w:style w:type="paragraph" w:styleId="18">
    <w:name w:val="footnote text"/>
    <w:basedOn w:val="1"/>
    <w:next w:val="10"/>
    <w:unhideWhenUsed/>
    <w:qFormat/>
    <w:uiPriority w:val="99"/>
    <w:pPr>
      <w:snapToGrid w:val="0"/>
      <w:jc w:val="left"/>
    </w:pPr>
    <w:rPr>
      <w:sz w:val="18"/>
      <w:szCs w:val="18"/>
    </w:rPr>
  </w:style>
  <w:style w:type="paragraph" w:styleId="19">
    <w:name w:val="toc 2"/>
    <w:basedOn w:val="1"/>
    <w:next w:val="1"/>
    <w:qFormat/>
    <w:uiPriority w:val="0"/>
    <w:pPr>
      <w:ind w:left="420" w:leftChars="200"/>
    </w:pPr>
  </w:style>
  <w:style w:type="paragraph" w:styleId="20">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21">
    <w:name w:val="Normal (Web)"/>
    <w:basedOn w:val="1"/>
    <w:qFormat/>
    <w:uiPriority w:val="0"/>
    <w:pPr>
      <w:spacing w:before="280" w:after="280"/>
      <w:jc w:val="left"/>
    </w:pPr>
    <w:rPr>
      <w:kern w:val="0"/>
      <w:sz w:val="24"/>
      <w:szCs w:val="24"/>
    </w:rPr>
  </w:style>
  <w:style w:type="paragraph" w:styleId="22">
    <w:name w:val="Title"/>
    <w:basedOn w:val="1"/>
    <w:next w:val="1"/>
    <w:qFormat/>
    <w:uiPriority w:val="0"/>
  </w:style>
  <w:style w:type="paragraph" w:styleId="23">
    <w:name w:val="Body Text First Indent"/>
    <w:basedOn w:val="10"/>
    <w:next w:val="1"/>
    <w:autoRedefine/>
    <w:qFormat/>
    <w:uiPriority w:val="0"/>
    <w:pPr>
      <w:ind w:firstLine="420"/>
    </w:pPr>
  </w:style>
  <w:style w:type="paragraph" w:styleId="24">
    <w:name w:val="Body Text First Indent 2"/>
    <w:basedOn w:val="11"/>
    <w:unhideWhenUsed/>
    <w:qFormat/>
    <w:uiPriority w:val="99"/>
    <w:pPr>
      <w:ind w:firstLine="420" w:firstLineChars="200"/>
    </w:pPr>
  </w:style>
  <w:style w:type="table" w:styleId="26">
    <w:name w:val="Table Grid"/>
    <w:basedOn w:val="25"/>
    <w:qFormat/>
    <w:uiPriority w:val="39"/>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8">
    <w:name w:val="Strong"/>
    <w:basedOn w:val="27"/>
    <w:qFormat/>
    <w:uiPriority w:val="0"/>
    <w:rPr>
      <w:b/>
    </w:rPr>
  </w:style>
  <w:style w:type="character" w:styleId="29">
    <w:name w:val="page number"/>
    <w:basedOn w:val="27"/>
    <w:qFormat/>
    <w:uiPriority w:val="0"/>
  </w:style>
  <w:style w:type="character" w:styleId="30">
    <w:name w:val="Hyperlink"/>
    <w:basedOn w:val="27"/>
    <w:qFormat/>
    <w:uiPriority w:val="0"/>
    <w:rPr>
      <w:color w:val="0000FF"/>
      <w:u w:val="single"/>
    </w:rPr>
  </w:style>
  <w:style w:type="paragraph" w:customStyle="1" w:styleId="31">
    <w:name w:val="_Style 3"/>
    <w:qFormat/>
    <w:uiPriority w:val="0"/>
    <w:rPr>
      <w:rFonts w:ascii="Times New Roman" w:hAnsi="Times New Roman" w:eastAsia="宋体" w:cs="Times New Roman"/>
      <w:sz w:val="22"/>
      <w:szCs w:val="22"/>
      <w:lang w:val="en-US" w:eastAsia="zh-CN" w:bidi="ar-SA"/>
    </w:rPr>
  </w:style>
  <w:style w:type="paragraph" w:customStyle="1" w:styleId="32">
    <w:name w:val="正文首行缩进 21"/>
    <w:basedOn w:val="11"/>
    <w:next w:val="13"/>
    <w:unhideWhenUsed/>
    <w:qFormat/>
    <w:uiPriority w:val="99"/>
    <w:pPr>
      <w:ind w:firstLine="420" w:firstLineChars="200"/>
    </w:pPr>
  </w:style>
  <w:style w:type="paragraph" w:customStyle="1" w:styleId="33">
    <w:name w:val="样式1"/>
    <w:basedOn w:val="1"/>
    <w:next w:val="5"/>
    <w:qFormat/>
    <w:uiPriority w:val="0"/>
    <w:pPr>
      <w:ind w:firstLine="420"/>
    </w:pPr>
    <w:rPr>
      <w:rFonts w:ascii="宋体" w:hAnsi="宋体"/>
      <w:szCs w:val="21"/>
    </w:rPr>
  </w:style>
  <w:style w:type="paragraph" w:customStyle="1" w:styleId="34">
    <w:name w:val="style4"/>
    <w:basedOn w:val="1"/>
    <w:next w:val="35"/>
    <w:autoRedefine/>
    <w:qFormat/>
    <w:uiPriority w:val="0"/>
    <w:pPr>
      <w:widowControl/>
      <w:spacing w:before="280" w:after="280"/>
    </w:pPr>
    <w:rPr>
      <w:rFonts w:ascii="宋体"/>
      <w:sz w:val="18"/>
    </w:rPr>
  </w:style>
  <w:style w:type="paragraph" w:customStyle="1" w:styleId="35">
    <w:name w:val="2"/>
    <w:next w:val="1"/>
    <w:qFormat/>
    <w:uiPriority w:val="0"/>
    <w:pPr>
      <w:widowControl w:val="0"/>
      <w:jc w:val="both"/>
    </w:pPr>
    <w:rPr>
      <w:rFonts w:ascii="Calibri" w:hAnsi="Calibri" w:eastAsia="宋体" w:cs="Times New Roman"/>
      <w:sz w:val="21"/>
      <w:szCs w:val="22"/>
      <w:lang w:val="en-US" w:eastAsia="zh-CN" w:bidi="ar-SA"/>
    </w:rPr>
  </w:style>
  <w:style w:type="paragraph" w:customStyle="1" w:styleId="36">
    <w:name w:val="正"/>
    <w:basedOn w:val="37"/>
    <w:qFormat/>
    <w:uiPriority w:val="0"/>
    <w:pPr>
      <w:tabs>
        <w:tab w:val="left" w:pos="-120"/>
      </w:tabs>
      <w:spacing w:line="560" w:lineRule="exact"/>
      <w:ind w:firstLine="600"/>
      <w:textAlignment w:val="baseline"/>
    </w:pPr>
    <w:rPr>
      <w:rFonts w:ascii="仿宋_GB2312" w:hAnsi="仿宋_GB2312" w:eastAsia="仿宋_GB2312" w:cs="仿宋_GB2312"/>
      <w:color w:val="000000"/>
      <w:spacing w:val="20"/>
      <w:kern w:val="0"/>
    </w:rPr>
  </w:style>
  <w:style w:type="paragraph" w:customStyle="1" w:styleId="37">
    <w:name w:val="正文_1"/>
    <w:qFormat/>
    <w:uiPriority w:val="0"/>
    <w:pPr>
      <w:widowControl w:val="0"/>
      <w:suppressAutoHyphens/>
      <w:jc w:val="both"/>
    </w:pPr>
    <w:rPr>
      <w:rFonts w:ascii="Calibri" w:hAnsi="Calibri" w:eastAsia="宋体;SimSun" w:cs="Calibri"/>
      <w:kern w:val="2"/>
      <w:sz w:val="21"/>
      <w:szCs w:val="21"/>
      <w:lang w:val="en-US" w:eastAsia="zh-CN" w:bidi="ar-SA"/>
    </w:rPr>
  </w:style>
  <w:style w:type="paragraph" w:customStyle="1" w:styleId="38">
    <w:name w:val="TOC 21"/>
    <w:basedOn w:val="1"/>
    <w:next w:val="1"/>
    <w:qFormat/>
    <w:uiPriority w:val="0"/>
    <w:pPr>
      <w:ind w:left="420"/>
    </w:pPr>
  </w:style>
  <w:style w:type="character" w:customStyle="1" w:styleId="39">
    <w:name w:val="标题 2 字符"/>
    <w:link w:val="3"/>
    <w:qFormat/>
    <w:uiPriority w:val="0"/>
    <w:rPr>
      <w:rFonts w:ascii="Arial" w:hAnsi="Arial" w:eastAsia="黑体"/>
      <w:b/>
      <w:sz w:val="32"/>
    </w:rPr>
  </w:style>
  <w:style w:type="paragraph" w:customStyle="1" w:styleId="40">
    <w:name w:val="List Paragraph_b291becb-3792-4fdf-bc34-a5dd9e608fde"/>
    <w:basedOn w:val="1"/>
    <w:qFormat/>
    <w:uiPriority w:val="0"/>
    <w:pPr>
      <w:suppressAutoHyphens w:val="0"/>
      <w:spacing w:after="120"/>
      <w:ind w:firstLine="420" w:firstLineChars="200"/>
    </w:pPr>
    <w:rPr>
      <w:rFonts w:eastAsia="宋体"/>
      <w:szCs w:val="24"/>
    </w:rPr>
  </w:style>
  <w:style w:type="paragraph" w:customStyle="1" w:styleId="41">
    <w:name w:val="正文缩进2格"/>
    <w:basedOn w:val="1"/>
    <w:qFormat/>
    <w:uiPriority w:val="99"/>
    <w:pPr>
      <w:spacing w:line="600" w:lineRule="exact"/>
      <w:ind w:firstLine="639" w:firstLineChars="206"/>
    </w:pPr>
    <w:rPr>
      <w:rFonts w:hint="default" w:hAnsi="宋体" w:eastAsia="Times New Roman"/>
      <w:sz w:val="31"/>
      <w:szCs w:val="24"/>
    </w:rPr>
  </w:style>
  <w:style w:type="paragraph" w:customStyle="1" w:styleId="42">
    <w:name w:val="正文_1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43">
    <w:name w:val="Default Text"/>
    <w:qFormat/>
    <w:uiPriority w:val="0"/>
    <w:pPr>
      <w:widowControl w:val="0"/>
      <w:suppressAutoHyphens/>
      <w:autoSpaceDE w:val="0"/>
    </w:pPr>
    <w:rPr>
      <w:rFonts w:ascii="Times New Roman" w:hAnsi="Times New Roman" w:eastAsia="宋体;SimSun" w:cs="Times New Roman"/>
      <w:color w:val="000000"/>
      <w:sz w:val="24"/>
      <w:szCs w:val="24"/>
      <w:lang w:val="en-US" w:eastAsia="zh-CN" w:bidi="ar-SA"/>
    </w:rPr>
  </w:style>
  <w:style w:type="paragraph" w:customStyle="1" w:styleId="44">
    <w:name w:val="Heading 21"/>
    <w:basedOn w:val="1"/>
    <w:next w:val="1"/>
    <w:qFormat/>
    <w:uiPriority w:val="0"/>
    <w:pPr>
      <w:widowControl/>
      <w:numPr>
        <w:ilvl w:val="1"/>
        <w:numId w:val="3"/>
      </w:numPr>
      <w:spacing w:before="280" w:after="280"/>
      <w:jc w:val="left"/>
      <w:outlineLvl w:val="1"/>
    </w:pPr>
    <w:rPr>
      <w:rFonts w:ascii="宋体;SimSun" w:hAnsi="宋体;SimSun" w:cs="宋体;SimSun"/>
      <w:b/>
      <w:bCs/>
      <w:kern w:val="0"/>
      <w:sz w:val="36"/>
      <w:szCs w:val="36"/>
    </w:rPr>
  </w:style>
  <w:style w:type="paragraph" w:customStyle="1" w:styleId="45">
    <w:name w:val="正文_1_0"/>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46">
    <w:name w:val="Normal_3"/>
    <w:autoRedefine/>
    <w:qFormat/>
    <w:uiPriority w:val="0"/>
    <w:rPr>
      <w:rFonts w:ascii="黑体" w:hAnsi="黑体" w:eastAsia="黑体" w:cs="Times New Roman"/>
      <w:b/>
      <w:sz w:val="32"/>
      <w:szCs w:val="24"/>
      <w:lang w:val="en-US" w:eastAsia="zh-CN" w:bidi="ar-SA"/>
    </w:rPr>
  </w:style>
  <w:style w:type="character" w:customStyle="1" w:styleId="47">
    <w:name w:val="标题 2 Char"/>
    <w:link w:val="3"/>
    <w:autoRedefine/>
    <w:qFormat/>
    <w:uiPriority w:val="0"/>
    <w:rPr>
      <w:rFonts w:ascii="Arial" w:hAnsi="Arial" w:eastAsia="黑体"/>
      <w:b/>
      <w:sz w:val="32"/>
    </w:rPr>
  </w:style>
  <w:style w:type="paragraph" w:customStyle="1" w:styleId="48">
    <w:name w:val="正文_0_0_0"/>
    <w:qFormat/>
    <w:uiPriority w:val="0"/>
    <w:pPr>
      <w:widowControl w:val="0"/>
      <w:jc w:val="both"/>
    </w:pPr>
    <w:rPr>
      <w:rFonts w:ascii="Calibri" w:hAnsi="Calibri" w:eastAsia="宋体" w:cs="Times New Roman"/>
      <w:kern w:val="2"/>
      <w:sz w:val="28"/>
      <w:szCs w:val="22"/>
      <w:lang w:val="en-US" w:eastAsia="zh-CN" w:bidi="ar-SA"/>
    </w:rPr>
  </w:style>
  <w:style w:type="paragraph" w:customStyle="1" w:styleId="49">
    <w:name w:val="Normal_17"/>
    <w:qFormat/>
    <w:uiPriority w:val="0"/>
    <w:rPr>
      <w:rFonts w:ascii="黑体" w:hAnsi="黑体" w:eastAsia="黑体" w:cs="Times New Roman"/>
      <w:b/>
      <w:sz w:val="32"/>
      <w:szCs w:val="24"/>
      <w:lang w:val="en-US" w:eastAsia="zh-CN" w:bidi="ar-SA"/>
    </w:rPr>
  </w:style>
  <w:style w:type="paragraph" w:customStyle="1" w:styleId="50">
    <w:name w:val="正文文本_1_0"/>
    <w:basedOn w:val="51"/>
    <w:autoRedefine/>
    <w:qFormat/>
    <w:uiPriority w:val="0"/>
    <w:pPr>
      <w:spacing w:after="120"/>
    </w:pPr>
    <w:rPr>
      <w:szCs w:val="22"/>
    </w:rPr>
  </w:style>
  <w:style w:type="paragraph" w:customStyle="1" w:styleId="51">
    <w:name w:val="正文_0_2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52">
    <w:name w:val="Table Paragraph"/>
    <w:basedOn w:val="51"/>
    <w:qFormat/>
    <w:uiPriority w:val="0"/>
    <w:pPr>
      <w:jc w:val="left"/>
    </w:pPr>
    <w:rPr>
      <w:kern w:val="0"/>
      <w:sz w:val="22"/>
      <w:szCs w:val="22"/>
      <w:lang w:eastAsia="en-US"/>
    </w:rPr>
  </w:style>
  <w:style w:type="paragraph" w:customStyle="1" w:styleId="53">
    <w:name w:val="正文_0_0_1"/>
    <w:qFormat/>
    <w:uiPriority w:val="0"/>
    <w:pPr>
      <w:widowControl w:val="0"/>
      <w:jc w:val="both"/>
    </w:pPr>
    <w:rPr>
      <w:rFonts w:ascii="Calibri" w:hAnsi="Calibri" w:eastAsia="宋体" w:cs="Times New Roman"/>
      <w:kern w:val="2"/>
      <w:sz w:val="28"/>
      <w:szCs w:val="22"/>
      <w:lang w:val="en-US" w:eastAsia="zh-CN" w:bidi="ar-SA"/>
    </w:rPr>
  </w:style>
  <w:style w:type="paragraph" w:customStyle="1" w:styleId="54">
    <w:name w:val="正文_0_1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55">
    <w:name w:val="正文_1_1_0"/>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56">
    <w:name w:val="正文_2_1"/>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57">
    <w:name w:val="正文_0_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8">
    <w:name w:val="正文文本_0"/>
    <w:basedOn w:val="42"/>
    <w:autoRedefine/>
    <w:qFormat/>
    <w:uiPriority w:val="0"/>
    <w:pPr>
      <w:spacing w:after="120"/>
    </w:pPr>
    <w:rPr>
      <w:rFonts w:ascii="Times New Roman" w:hAnsi="Times New Roman"/>
      <w:szCs w:val="24"/>
    </w:rPr>
  </w:style>
  <w:style w:type="paragraph" w:customStyle="1" w:styleId="59">
    <w:name w:val="Normal_4"/>
    <w:qFormat/>
    <w:uiPriority w:val="0"/>
    <w:rPr>
      <w:rFonts w:ascii="黑体" w:hAnsi="黑体" w:eastAsia="黑体" w:cs="Times New Roman"/>
      <w:b/>
      <w:sz w:val="32"/>
      <w:szCs w:val="24"/>
      <w:lang w:val="en-US" w:eastAsia="zh-CN" w:bidi="ar-SA"/>
    </w:rPr>
  </w:style>
  <w:style w:type="paragraph" w:customStyle="1" w:styleId="60">
    <w:name w:val="Normal_5"/>
    <w:qFormat/>
    <w:uiPriority w:val="0"/>
    <w:rPr>
      <w:rFonts w:ascii="黑体" w:hAnsi="黑体" w:eastAsia="黑体" w:cs="Times New Roman"/>
      <w:b/>
      <w:sz w:val="32"/>
      <w:szCs w:val="24"/>
      <w:lang w:val="en-US" w:eastAsia="zh-CN" w:bidi="ar-SA"/>
    </w:rPr>
  </w:style>
  <w:style w:type="paragraph" w:customStyle="1" w:styleId="61">
    <w:name w:val="Normal_6"/>
    <w:qFormat/>
    <w:uiPriority w:val="0"/>
    <w:rPr>
      <w:rFonts w:ascii="黑体" w:hAnsi="黑体" w:eastAsia="黑体" w:cs="Times New Roman"/>
      <w:b/>
      <w:sz w:val="32"/>
      <w:szCs w:val="24"/>
      <w:lang w:val="en-US" w:eastAsia="zh-CN" w:bidi="ar-SA"/>
    </w:rPr>
  </w:style>
  <w:style w:type="paragraph" w:customStyle="1" w:styleId="62">
    <w:name w:val="Normal_7"/>
    <w:autoRedefine/>
    <w:qFormat/>
    <w:uiPriority w:val="0"/>
    <w:pPr>
      <w:suppressAutoHyphens/>
    </w:pPr>
    <w:rPr>
      <w:rFonts w:ascii="黑体;SimHei" w:hAnsi="黑体;SimHei" w:eastAsia="黑体;SimHei" w:cs="黑体;SimHei"/>
      <w:b/>
      <w:bCs/>
      <w:sz w:val="32"/>
      <w:szCs w:val="32"/>
      <w:lang w:val="en-US" w:eastAsia="zh-CN" w:bidi="ar-SA"/>
    </w:rPr>
  </w:style>
  <w:style w:type="paragraph" w:customStyle="1" w:styleId="63">
    <w:name w:val="Normal_8"/>
    <w:qFormat/>
    <w:uiPriority w:val="0"/>
    <w:rPr>
      <w:rFonts w:ascii="黑体" w:hAnsi="黑体" w:eastAsia="黑体" w:cs="Times New Roman"/>
      <w:b/>
      <w:sz w:val="32"/>
      <w:szCs w:val="24"/>
      <w:lang w:val="en-US" w:eastAsia="zh-CN" w:bidi="ar-SA"/>
    </w:rPr>
  </w:style>
  <w:style w:type="paragraph" w:customStyle="1" w:styleId="64">
    <w:name w:val="Normal_14"/>
    <w:qFormat/>
    <w:uiPriority w:val="0"/>
    <w:rPr>
      <w:rFonts w:ascii="黑体" w:hAnsi="黑体" w:eastAsia="黑体" w:cs="Times New Roman"/>
      <w:b/>
      <w:sz w:val="32"/>
      <w:szCs w:val="24"/>
      <w:lang w:val="en-US" w:eastAsia="zh-CN" w:bidi="ar-SA"/>
    </w:rPr>
  </w:style>
  <w:style w:type="paragraph" w:customStyle="1" w:styleId="65">
    <w:name w:val="正文_0_0_0_0"/>
    <w:autoRedefine/>
    <w:qFormat/>
    <w:uiPriority w:val="0"/>
    <w:pPr>
      <w:widowControl w:val="0"/>
      <w:jc w:val="both"/>
    </w:pPr>
    <w:rPr>
      <w:rFonts w:ascii="Calibri" w:hAnsi="Calibri" w:eastAsia="宋体" w:cs="Times New Roman"/>
      <w:kern w:val="2"/>
      <w:sz w:val="28"/>
      <w:szCs w:val="22"/>
      <w:lang w:val="en-US" w:eastAsia="zh-CN" w:bidi="ar-SA"/>
    </w:rPr>
  </w:style>
  <w:style w:type="paragraph" w:customStyle="1" w:styleId="66">
    <w:name w:val="标题 3_0_0"/>
    <w:basedOn w:val="65"/>
    <w:next w:val="65"/>
    <w:autoRedefine/>
    <w:qFormat/>
    <w:uiPriority w:val="0"/>
    <w:pPr>
      <w:autoSpaceDE w:val="0"/>
      <w:autoSpaceDN w:val="0"/>
      <w:adjustRightInd w:val="0"/>
      <w:spacing w:line="500" w:lineRule="exact"/>
      <w:jc w:val="center"/>
      <w:outlineLvl w:val="2"/>
    </w:pPr>
    <w:rPr>
      <w:rFonts w:ascii="宋体" w:hAnsi="宋体" w:eastAsia="宋体"/>
      <w:b/>
      <w:szCs w:val="28"/>
    </w:rPr>
  </w:style>
  <w:style w:type="paragraph" w:customStyle="1" w:styleId="67">
    <w:name w:val="Normal_10"/>
    <w:qFormat/>
    <w:uiPriority w:val="0"/>
    <w:rPr>
      <w:rFonts w:ascii="黑体" w:hAnsi="黑体" w:eastAsia="黑体" w:cs="Times New Roman"/>
      <w:b/>
      <w:sz w:val="32"/>
      <w:szCs w:val="24"/>
      <w:lang w:val="en-US" w:eastAsia="zh-CN" w:bidi="ar-SA"/>
    </w:rPr>
  </w:style>
  <w:style w:type="paragraph" w:customStyle="1" w:styleId="68">
    <w:name w:val="正文_4_0"/>
    <w:qFormat/>
    <w:uiPriority w:val="0"/>
    <w:pPr>
      <w:widowControl w:val="0"/>
      <w:suppressAutoHyphens/>
      <w:jc w:val="both"/>
    </w:pPr>
    <w:rPr>
      <w:rFonts w:ascii="Calibri" w:hAnsi="Calibri" w:eastAsia="宋体;SimSun" w:cs="Calibri"/>
      <w:kern w:val="2"/>
      <w:sz w:val="21"/>
      <w:szCs w:val="21"/>
      <w:lang w:val="en-US" w:eastAsia="zh-CN" w:bidi="ar-SA"/>
    </w:rPr>
  </w:style>
  <w:style w:type="paragraph" w:customStyle="1" w:styleId="69">
    <w:name w:val="Normal_11"/>
    <w:qFormat/>
    <w:uiPriority w:val="0"/>
    <w:rPr>
      <w:rFonts w:ascii="黑体" w:hAnsi="黑体" w:eastAsia="黑体" w:cs="Times New Roman"/>
      <w:b/>
      <w:sz w:val="32"/>
      <w:szCs w:val="24"/>
      <w:lang w:val="en-US" w:eastAsia="zh-CN" w:bidi="ar-SA"/>
    </w:rPr>
  </w:style>
  <w:style w:type="paragraph" w:customStyle="1" w:styleId="70">
    <w:name w:val="Normal_13"/>
    <w:autoRedefine/>
    <w:qFormat/>
    <w:uiPriority w:val="0"/>
    <w:rPr>
      <w:rFonts w:ascii="黑体" w:hAnsi="黑体" w:eastAsia="黑体" w:cs="Times New Roman"/>
      <w:b/>
      <w:sz w:val="32"/>
      <w:szCs w:val="24"/>
      <w:lang w:val="en-US" w:eastAsia="zh-CN" w:bidi="ar-SA"/>
    </w:rPr>
  </w:style>
  <w:style w:type="paragraph" w:customStyle="1" w:styleId="71">
    <w:name w:val="正文文本缩进_1_0"/>
    <w:basedOn w:val="72"/>
    <w:autoRedefine/>
    <w:qFormat/>
    <w:uiPriority w:val="99"/>
    <w:pPr>
      <w:spacing w:after="120"/>
      <w:ind w:left="420" w:leftChars="200"/>
    </w:pPr>
    <w:rPr>
      <w:rFonts w:ascii="Calibri" w:hAnsi="Calibri" w:eastAsia="宋体"/>
    </w:rPr>
  </w:style>
  <w:style w:type="paragraph" w:customStyle="1" w:styleId="72">
    <w:name w:val="正文_7"/>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3">
    <w:name w:val="正文_0_0_2"/>
    <w:qFormat/>
    <w:uiPriority w:val="0"/>
    <w:pPr>
      <w:widowControl w:val="0"/>
      <w:jc w:val="both"/>
    </w:pPr>
    <w:rPr>
      <w:rFonts w:ascii="Calibri" w:hAnsi="Calibri" w:eastAsia="宋体" w:cs="Times New Roman"/>
      <w:kern w:val="2"/>
      <w:sz w:val="28"/>
      <w:szCs w:val="22"/>
      <w:lang w:val="en-US" w:eastAsia="zh-CN" w:bidi="ar-SA"/>
    </w:rPr>
  </w:style>
  <w:style w:type="paragraph" w:customStyle="1" w:styleId="74">
    <w:name w:val="正文文本_4"/>
    <w:basedOn w:val="75"/>
    <w:autoRedefine/>
    <w:qFormat/>
    <w:uiPriority w:val="0"/>
    <w:pPr>
      <w:spacing w:after="120"/>
    </w:pPr>
    <w:rPr>
      <w:rFonts w:ascii="Times New Roman" w:hAnsi="Times New Roman" w:eastAsia="宋体"/>
      <w:szCs w:val="24"/>
    </w:rPr>
  </w:style>
  <w:style w:type="paragraph" w:customStyle="1" w:styleId="75">
    <w:name w:val="正文_9"/>
    <w:qFormat/>
    <w:uiPriority w:val="0"/>
    <w:pPr>
      <w:widowControl w:val="0"/>
      <w:jc w:val="both"/>
    </w:pPr>
    <w:rPr>
      <w:rFonts w:ascii="Calibri" w:hAnsi="Calibri" w:eastAsia="宋体" w:cs="Times New Roman"/>
      <w:kern w:val="2"/>
      <w:sz w:val="21"/>
      <w:szCs w:val="22"/>
      <w:lang w:val="en-US" w:eastAsia="zh-CN" w:bidi="ar-SA"/>
    </w:rPr>
  </w:style>
  <w:style w:type="paragraph" w:customStyle="1" w:styleId="76">
    <w:name w:val="Normal_16"/>
    <w:autoRedefine/>
    <w:qFormat/>
    <w:uiPriority w:val="0"/>
    <w:rPr>
      <w:rFonts w:ascii="黑体" w:hAnsi="黑体" w:eastAsia="黑体" w:cs="Times New Roman"/>
      <w:b/>
      <w:sz w:val="32"/>
      <w:szCs w:val="24"/>
      <w:lang w:val="en-US" w:eastAsia="zh-CN" w:bidi="ar-SA"/>
    </w:rPr>
  </w:style>
  <w:style w:type="paragraph" w:customStyle="1" w:styleId="77">
    <w:name w:val="正文_1_1_0_0"/>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78">
    <w:name w:val="正文_4_0_0_0"/>
    <w:autoRedefine/>
    <w:qFormat/>
    <w:uiPriority w:val="0"/>
    <w:pPr>
      <w:widowControl w:val="0"/>
      <w:jc w:val="both"/>
    </w:pPr>
    <w:rPr>
      <w:rFonts w:ascii="Calibri" w:hAnsi="Calibri" w:eastAsia="宋体" w:cs="Times New Roman"/>
      <w:kern w:val="2"/>
      <w:sz w:val="21"/>
      <w:szCs w:val="24"/>
      <w:lang w:val="en-US" w:eastAsia="zh-CN" w:bidi="ar-SA"/>
    </w:rPr>
  </w:style>
  <w:style w:type="paragraph" w:customStyle="1" w:styleId="79">
    <w:name w:val="正文_10"/>
    <w:qFormat/>
    <w:uiPriority w:val="0"/>
    <w:pPr>
      <w:widowControl w:val="0"/>
      <w:jc w:val="both"/>
    </w:pPr>
    <w:rPr>
      <w:rFonts w:ascii="Calibri" w:hAnsi="Calibri" w:eastAsia="宋体" w:cs="Times New Roman"/>
      <w:kern w:val="2"/>
      <w:sz w:val="21"/>
      <w:szCs w:val="22"/>
      <w:lang w:val="en-US" w:eastAsia="zh-CN" w:bidi="ar-SA"/>
    </w:rPr>
  </w:style>
  <w:style w:type="paragraph" w:customStyle="1" w:styleId="80">
    <w:name w:val="正文_11"/>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81">
    <w:name w:val="正文文本缩进_2_0"/>
    <w:basedOn w:val="79"/>
    <w:autoRedefine/>
    <w:qFormat/>
    <w:uiPriority w:val="99"/>
    <w:pPr>
      <w:spacing w:after="120"/>
      <w:ind w:left="420" w:leftChars="200"/>
    </w:pPr>
    <w:rPr>
      <w:rFonts w:ascii="Calibri" w:hAnsi="Calibri" w:eastAsia="宋体"/>
    </w:rPr>
  </w:style>
  <w:style w:type="paragraph" w:customStyle="1" w:styleId="82">
    <w:name w:val="题注_0"/>
    <w:basedOn w:val="79"/>
    <w:next w:val="79"/>
    <w:qFormat/>
    <w:uiPriority w:val="0"/>
    <w:pPr>
      <w:spacing w:before="152" w:after="160"/>
    </w:pPr>
    <w:rPr>
      <w:rFonts w:ascii="Arial" w:hAnsi="Arial" w:eastAsia="黑体" w:cs="Arial"/>
      <w:sz w:val="20"/>
      <w:szCs w:val="20"/>
    </w:rPr>
  </w:style>
  <w:style w:type="paragraph" w:customStyle="1" w:styleId="83">
    <w:name w:val="Normal_19"/>
    <w:qFormat/>
    <w:uiPriority w:val="0"/>
    <w:rPr>
      <w:rFonts w:ascii="黑体" w:hAnsi="黑体" w:eastAsia="黑体" w:cs="Times New Roman"/>
      <w:b/>
      <w:sz w:val="32"/>
      <w:szCs w:val="24"/>
      <w:lang w:val="en-US" w:eastAsia="zh-CN" w:bidi="ar-SA"/>
    </w:rPr>
  </w:style>
  <w:style w:type="paragraph" w:customStyle="1" w:styleId="84">
    <w:name w:val="LO-Normal"/>
    <w:qFormat/>
    <w:uiPriority w:val="0"/>
    <w:pPr>
      <w:suppressAutoHyphens/>
    </w:pPr>
    <w:rPr>
      <w:rFonts w:ascii="Times New Roman" w:hAnsi="Times New Roman" w:eastAsia="宋体" w:cs="Times New Roman"/>
      <w:sz w:val="24"/>
      <w:szCs w:val="24"/>
      <w:lang w:val="en-US" w:eastAsia="zh-CN" w:bidi="ar-SA"/>
    </w:rPr>
  </w:style>
  <w:style w:type="paragraph" w:customStyle="1" w:styleId="85">
    <w:name w:val="Normal_36b807a6-4032-40ed-9e09-eb01aeaa7f6f"/>
    <w:qFormat/>
    <w:uiPriority w:val="0"/>
    <w:rPr>
      <w:rFonts w:ascii="Times New Roman" w:hAnsi="Times New Roman" w:eastAsia="Times New Roman" w:cs="Times New Roman"/>
      <w:sz w:val="24"/>
      <w:szCs w:val="24"/>
      <w:lang w:val="en-US" w:eastAsia="zh-CN" w:bidi="ar-SA"/>
    </w:rPr>
  </w:style>
  <w:style w:type="paragraph" w:customStyle="1" w:styleId="86">
    <w:name w:val="FootnoteText"/>
    <w:basedOn w:val="1"/>
    <w:autoRedefine/>
    <w:qFormat/>
    <w:uiPriority w:val="0"/>
    <w:pPr>
      <w:snapToGrid w:val="0"/>
      <w:jc w:val="left"/>
    </w:pPr>
    <w:rPr>
      <w:sz w:val="18"/>
    </w:rPr>
  </w:style>
  <w:style w:type="paragraph" w:customStyle="1" w:styleId="87">
    <w:name w:val="正文1"/>
    <w:autoRedefine/>
    <w:qFormat/>
    <w:uiPriority w:val="0"/>
    <w:pPr>
      <w:widowControl w:val="0"/>
      <w:jc w:val="both"/>
    </w:pPr>
    <w:rPr>
      <w:rFonts w:ascii="Calibri" w:hAnsi="Calibri" w:eastAsia="宋体" w:cs="Times New Roman"/>
      <w:lang w:val="en-US" w:eastAsia="zh-CN" w:bidi="ar-SA"/>
    </w:rPr>
  </w:style>
  <w:style w:type="paragraph" w:customStyle="1" w:styleId="88">
    <w:name w:val="Normal"/>
    <w:qFormat/>
    <w:uiPriority w:val="0"/>
    <w:pPr>
      <w:widowControl w:val="0"/>
      <w:jc w:val="both"/>
    </w:pPr>
    <w:rPr>
      <w:rFonts w:ascii="Times New Roman" w:hAnsi="Times New Roman" w:eastAsia="Times New Roman" w:cs="Times New Roman"/>
      <w:lang w:val="en-US" w:eastAsia="zh-CN" w:bidi="ar-SA"/>
    </w:rPr>
  </w:style>
  <w:style w:type="paragraph" w:customStyle="1" w:styleId="89">
    <w:name w:val="正文_2"/>
    <w:qFormat/>
    <w:uiPriority w:val="0"/>
    <w:pPr>
      <w:widowControl w:val="0"/>
      <w:jc w:val="both"/>
    </w:pPr>
    <w:rPr>
      <w:rFonts w:ascii="Calibri" w:hAnsi="Calibri" w:eastAsia="宋体" w:cs="Times New Roman"/>
      <w:lang w:val="en-US" w:eastAsia="zh-CN" w:bidi="ar-SA"/>
    </w:rPr>
  </w:style>
  <w:style w:type="character" w:customStyle="1" w:styleId="90">
    <w:name w:val="apple-style-span"/>
    <w:basedOn w:val="27"/>
    <w:qFormat/>
    <w:uiPriority w:val="0"/>
  </w:style>
  <w:style w:type="paragraph" w:customStyle="1" w:styleId="91">
    <w:name w:val="Normal_0"/>
    <w:autoRedefine/>
    <w:qFormat/>
    <w:uiPriority w:val="0"/>
    <w:rPr>
      <w:rFonts w:ascii="黑体" w:hAnsi="黑体" w:eastAsia="黑体" w:cs="Times New Roman"/>
      <w:b/>
      <w:sz w:val="32"/>
      <w:szCs w:val="24"/>
      <w:lang w:val="en-US" w:eastAsia="zh-CN" w:bidi="ar-SA"/>
    </w:rPr>
  </w:style>
  <w:style w:type="paragraph" w:customStyle="1" w:styleId="92">
    <w:name w:val="缺省文本"/>
    <w:autoRedefine/>
    <w:qFormat/>
    <w:uiPriority w:val="0"/>
    <w:pPr>
      <w:widowControl w:val="0"/>
      <w:autoSpaceDE w:val="0"/>
      <w:autoSpaceDN w:val="0"/>
      <w:adjustRightInd w:val="0"/>
    </w:pPr>
    <w:rPr>
      <w:rFonts w:ascii="Times New Roman" w:hAnsi="Times New Roman" w:eastAsia="宋体" w:cs="Times New Roman"/>
      <w:color w:val="000000"/>
      <w:lang w:val="en-US" w:eastAsia="zh-CN" w:bidi="ar-SA"/>
    </w:rPr>
  </w:style>
  <w:style w:type="character" w:customStyle="1" w:styleId="93">
    <w:name w:val="font11"/>
    <w:basedOn w:val="27"/>
    <w:autoRedefine/>
    <w:qFormat/>
    <w:uiPriority w:val="0"/>
    <w:rPr>
      <w:rFonts w:hint="eastAsia" w:ascii="宋体" w:hAnsi="宋体" w:eastAsia="宋体" w:cs="宋体"/>
      <w:color w:val="000000"/>
      <w:sz w:val="21"/>
      <w:szCs w:val="21"/>
      <w:u w:val="none"/>
    </w:rPr>
  </w:style>
  <w:style w:type="character" w:customStyle="1" w:styleId="94">
    <w:name w:val="font21"/>
    <w:basedOn w:val="27"/>
    <w:autoRedefine/>
    <w:qFormat/>
    <w:uiPriority w:val="0"/>
    <w:rPr>
      <w:rFonts w:hint="default" w:ascii="Times New Roman" w:hAnsi="Times New Roman" w:cs="Times New Roman"/>
      <w:color w:val="000000"/>
      <w:sz w:val="21"/>
      <w:szCs w:val="21"/>
      <w:u w:val="none"/>
    </w:rPr>
  </w:style>
  <w:style w:type="paragraph" w:customStyle="1" w:styleId="95">
    <w:name w:val="正文_9_0"/>
    <w:qFormat/>
    <w:uiPriority w:val="0"/>
    <w:pPr>
      <w:widowControl w:val="0"/>
      <w:jc w:val="both"/>
    </w:pPr>
    <w:rPr>
      <w:rFonts w:ascii="Calibri" w:hAnsi="Calibri" w:eastAsia="宋体" w:cs="Times New Roman"/>
      <w:kern w:val="2"/>
      <w:sz w:val="21"/>
      <w:szCs w:val="24"/>
      <w:lang w:val="en-US" w:eastAsia="zh-CN" w:bidi="ar-SA"/>
    </w:rPr>
  </w:style>
  <w:style w:type="paragraph" w:customStyle="1" w:styleId="96">
    <w:name w:val="正文文本缩进_1_1"/>
    <w:basedOn w:val="80"/>
    <w:autoRedefine/>
    <w:qFormat/>
    <w:uiPriority w:val="0"/>
    <w:pPr>
      <w:spacing w:line="500" w:lineRule="exact"/>
      <w:ind w:left="1588" w:leftChars="832" w:firstLine="433" w:firstLineChars="196"/>
    </w:pPr>
    <w:rPr>
      <w:kern w:val="0"/>
      <w:sz w:val="24"/>
    </w:rPr>
  </w:style>
  <w:style w:type="paragraph" w:customStyle="1" w:styleId="97">
    <w:name w:val="正文文本缩进_0_1"/>
    <w:basedOn w:val="79"/>
    <w:autoRedefine/>
    <w:qFormat/>
    <w:uiPriority w:val="0"/>
    <w:pPr>
      <w:spacing w:line="500" w:lineRule="exact"/>
      <w:ind w:left="1588" w:leftChars="832" w:firstLine="433" w:firstLineChars="196"/>
    </w:pPr>
    <w:rPr>
      <w:kern w:val="0"/>
      <w:sz w:val="24"/>
    </w:rPr>
  </w:style>
  <w:style w:type="paragraph" w:customStyle="1" w:styleId="98">
    <w:name w:val="表格文字2"/>
    <w:basedOn w:val="87"/>
    <w:qFormat/>
    <w:uiPriority w:val="99"/>
    <w:pPr>
      <w:spacing w:before="25" w:after="25"/>
      <w:jc w:val="left"/>
    </w:pPr>
    <w:rPr>
      <w:bCs/>
      <w:spacing w:val="10"/>
      <w:kern w:val="0"/>
    </w:rPr>
  </w:style>
  <w:style w:type="paragraph" w:styleId="99">
    <w:name w:val="List Paragraph"/>
    <w:basedOn w:val="1"/>
    <w:unhideWhenUsed/>
    <w:qFormat/>
    <w:uiPriority w:val="99"/>
    <w:pPr>
      <w:ind w:firstLine="420" w:firstLineChars="200"/>
    </w:pPr>
  </w:style>
  <w:style w:type="paragraph" w:customStyle="1" w:styleId="100">
    <w:name w:val="TOC 标题1"/>
    <w:basedOn w:val="2"/>
    <w:next w:val="1"/>
    <w:qFormat/>
    <w:uiPriority w:val="0"/>
    <w:pPr>
      <w:outlineLvl w:val="9"/>
    </w:pPr>
    <w:rPr>
      <w:rFonts w:ascii="Calibri" w:hAnsi="Calibri"/>
    </w:rPr>
  </w:style>
  <w:style w:type="character" w:customStyle="1" w:styleId="101">
    <w:name w:val="页码1"/>
    <w:basedOn w:val="27"/>
    <w:qFormat/>
    <w:uiPriority w:val="0"/>
    <w:rPr>
      <w:rFonts w:cs="Times New Roman"/>
    </w:rPr>
  </w:style>
  <w:style w:type="character" w:customStyle="1" w:styleId="102">
    <w:name w:val="font131"/>
    <w:basedOn w:val="27"/>
    <w:qFormat/>
    <w:uiPriority w:val="0"/>
    <w:rPr>
      <w:rFonts w:hint="eastAsia" w:ascii="宋体" w:hAnsi="宋体" w:eastAsia="宋体" w:cs="宋体"/>
      <w:color w:val="000000"/>
      <w:sz w:val="20"/>
      <w:szCs w:val="20"/>
      <w:u w:val="none"/>
    </w:rPr>
  </w:style>
  <w:style w:type="character" w:customStyle="1" w:styleId="103">
    <w:name w:val="NormalCharacter"/>
    <w:qFormat/>
    <w:uiPriority w:val="0"/>
    <w:rPr>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88</Pages>
  <Words>4062</Words>
  <Characters>4722</Characters>
  <Paragraphs>1469</Paragraphs>
  <TotalTime>5</TotalTime>
  <ScaleCrop>false</ScaleCrop>
  <LinksUpToDate>false</LinksUpToDate>
  <CharactersWithSpaces>4791</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2023-04-25T01:34:00Z</dcterms:created>
  <dc:creator>师翠婷</dc:creator>
  <cp:lastModifiedBy>程建军</cp:lastModifiedBy>
  <cp:lastPrinted>2025-04-01T01:47:00Z</cp:lastPrinted>
  <dcterms:modified xsi:type="dcterms:W3CDTF">2025-04-08T09:54:31Z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08FBA847FB054A91846ADCB3E1472512_13</vt:lpwstr>
  </property>
  <property fmtid="{D5CDD505-2E9C-101B-9397-08002B2CF9AE}" pid="4" name="KSOTemplateDocerSaveRecord">
    <vt:lpwstr>eyJoZGlkIjoiN2M3NGVmYTkxODhkMTgzMWVkZWM0NjJiM2NlNmUyODQiLCJ1c2VySWQiOiIyMDMxNjIxNzkifQ==</vt:lpwstr>
  </property>
</Properties>
</file>