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2E529">
      <w:pPr>
        <w:rPr>
          <w:rFonts w:hint="eastAsia" w:ascii="仿宋_GB2312" w:hAnsi="仿宋_GB2312" w:eastAsia="仿宋_GB2312" w:cs="仿宋_GB2312"/>
          <w:highlight w:val="none"/>
          <w:lang w:eastAsia="zh-CN"/>
        </w:rPr>
      </w:pPr>
    </w:p>
    <w:p w14:paraId="5F010D34">
      <w:pPr>
        <w:rPr>
          <w:rFonts w:hint="eastAsia" w:ascii="仿宋_GB2312" w:hAnsi="仿宋_GB2312" w:eastAsia="仿宋_GB2312" w:cs="仿宋_GB2312"/>
          <w:highlight w:val="none"/>
        </w:rPr>
      </w:pPr>
    </w:p>
    <w:p w14:paraId="66819EE5">
      <w:pPr>
        <w:tabs>
          <w:tab w:val="left" w:pos="5196"/>
        </w:tabs>
        <w:jc w:val="left"/>
        <w:rPr>
          <w:rFonts w:hint="eastAsia" w:ascii="仿宋_GB2312" w:hAnsi="仿宋_GB2312" w:eastAsia="仿宋_GB2312" w:cs="仿宋_GB2312"/>
          <w:sz w:val="36"/>
          <w:szCs w:val="36"/>
          <w:highlight w:val="none"/>
          <w:lang w:eastAsia="zh-CN"/>
        </w:rPr>
      </w:pPr>
      <w:r>
        <w:rPr>
          <w:rFonts w:hint="eastAsia" w:ascii="仿宋_GB2312" w:hAnsi="仿宋_GB2312" w:eastAsia="仿宋_GB2312" w:cs="仿宋_GB2312"/>
          <w:sz w:val="36"/>
          <w:szCs w:val="36"/>
          <w:highlight w:val="none"/>
          <w:lang w:eastAsia="zh-CN"/>
        </w:rPr>
        <w:tab/>
      </w:r>
    </w:p>
    <w:p w14:paraId="675245DA">
      <w:pPr>
        <w:jc w:val="center"/>
        <w:rPr>
          <w:rFonts w:hint="eastAsia" w:ascii="仿宋_GB2312" w:hAnsi="仿宋_GB2312" w:eastAsia="仿宋_GB2312" w:cs="仿宋_GB2312"/>
          <w:sz w:val="32"/>
          <w:szCs w:val="32"/>
          <w:highlight w:val="none"/>
        </w:rPr>
        <w:sectPr>
          <w:footerReference r:id="rId3" w:type="default"/>
          <w:pgSz w:w="11906" w:h="16838"/>
          <w:pgMar w:top="1440" w:right="1800" w:bottom="1440" w:left="1800" w:header="851" w:footer="992" w:gutter="0"/>
          <w:pgNumType w:fmt="numberInDash"/>
          <w:cols w:space="0" w:num="1"/>
          <w:rtlGutter w:val="0"/>
          <w:docGrid w:type="lines" w:linePitch="387" w:charSpace="0"/>
        </w:sectPr>
      </w:pPr>
      <w:r>
        <w:rPr>
          <w:rFonts w:hint="eastAsia" w:eastAsiaTheme="minorEastAsia"/>
          <w:highlight w:val="none"/>
          <w:lang w:eastAsia="zh-CN"/>
        </w:rPr>
        <w:drawing>
          <wp:anchor distT="0" distB="0" distL="114300" distR="114300" simplePos="0" relativeHeight="251666432" behindDoc="0" locked="0" layoutInCell="1" allowOverlap="1">
            <wp:simplePos x="0" y="0"/>
            <wp:positionH relativeFrom="column">
              <wp:posOffset>2733675</wp:posOffset>
            </wp:positionH>
            <wp:positionV relativeFrom="page">
              <wp:posOffset>7335520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9"/>
                    <a:srcRect l="22113" t="29394" r="21666" b="28715"/>
                    <a:stretch>
                      <a:fillRect/>
                    </a:stretch>
                  </pic:blipFill>
                  <pic:spPr>
                    <a:xfrm>
                      <a:off x="0" y="0"/>
                      <a:ext cx="1417320" cy="1410970"/>
                    </a:xfrm>
                    <a:prstGeom prst="rect">
                      <a:avLst/>
                    </a:prstGeom>
                  </pic:spPr>
                </pic:pic>
              </a:graphicData>
            </a:graphic>
          </wp:anchor>
        </w:drawing>
      </w: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4384;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E49B0">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新疆师范大学2025年数字图书信息资源和共享平台</w:t>
                            </w:r>
                          </w:p>
                          <w:p w14:paraId="252D321E">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建设-阅读推广项目（二次）</w:t>
                            </w:r>
                          </w:p>
                          <w:p w14:paraId="71CA888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（项目编号：SJX-2025-128-02）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2336;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5F1E49B0">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新疆师范大学2025年数字图书信息资源和共享平台</w:t>
                      </w:r>
                    </w:p>
                    <w:p w14:paraId="252D321E">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建设-阅读推广项目（二次）</w:t>
                      </w:r>
                    </w:p>
                    <w:p w14:paraId="71CA888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（项目编号：SJX-2025-128-02）</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74354">
                            <w:pPr>
                              <w:pStyle w:val="2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3360;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3A74354">
                      <w:pPr>
                        <w:pStyle w:val="2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sz w:val="21"/>
          <w:highlight w:val="none"/>
        </w:rPr>
        <mc:AlternateContent>
          <mc:Choice Requires="wps">
            <w:drawing>
              <wp:anchor distT="0" distB="0" distL="114300" distR="114300" simplePos="0" relativeHeight="251665408"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D1D55">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采购人：新疆师范大学（盖章）</w:t>
                            </w:r>
                          </w:p>
                          <w:p w14:paraId="2C8B64FE">
                            <w:pPr>
                              <w:jc w:val="left"/>
                              <w:rPr>
                                <w:rFonts w:hint="eastAsia" w:ascii="微软雅黑" w:hAnsi="微软雅黑" w:eastAsia="微软雅黑" w:cs="微软雅黑"/>
                                <w:b/>
                                <w:bCs/>
                                <w:color w:val="237085"/>
                                <w:sz w:val="32"/>
                                <w:szCs w:val="32"/>
                                <w:highlight w:val="none"/>
                                <w:lang w:val="en-US" w:eastAsia="zh-CN"/>
                              </w:rPr>
                            </w:pPr>
                          </w:p>
                          <w:p w14:paraId="02AD3F01">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51E28BEC">
                            <w:pPr>
                              <w:jc w:val="center"/>
                              <w:rPr>
                                <w:rFonts w:hint="eastAsia" w:ascii="微软雅黑" w:hAnsi="微软雅黑" w:eastAsia="微软雅黑" w:cs="微软雅黑"/>
                                <w:b/>
                                <w:bCs/>
                                <w:color w:val="237085"/>
                                <w:sz w:val="32"/>
                                <w:szCs w:val="32"/>
                                <w:lang w:val="en-US" w:eastAsia="zh-CN"/>
                              </w:rPr>
                            </w:pPr>
                          </w:p>
                          <w:p w14:paraId="6F4E8E27">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日期：2025年04月08日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5408;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19D1D55">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采购人：新疆师范大学（盖章）</w:t>
                      </w:r>
                    </w:p>
                    <w:p w14:paraId="2C8B64FE">
                      <w:pPr>
                        <w:jc w:val="left"/>
                        <w:rPr>
                          <w:rFonts w:hint="eastAsia" w:ascii="微软雅黑" w:hAnsi="微软雅黑" w:eastAsia="微软雅黑" w:cs="微软雅黑"/>
                          <w:b/>
                          <w:bCs/>
                          <w:color w:val="237085"/>
                          <w:sz w:val="32"/>
                          <w:szCs w:val="32"/>
                          <w:highlight w:val="none"/>
                          <w:lang w:val="en-US" w:eastAsia="zh-CN"/>
                        </w:rPr>
                      </w:pPr>
                    </w:p>
                    <w:p w14:paraId="02AD3F01">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51E28BEC">
                      <w:pPr>
                        <w:jc w:val="center"/>
                        <w:rPr>
                          <w:rFonts w:hint="eastAsia" w:ascii="微软雅黑" w:hAnsi="微软雅黑" w:eastAsia="微软雅黑" w:cs="微软雅黑"/>
                          <w:b/>
                          <w:bCs/>
                          <w:color w:val="237085"/>
                          <w:sz w:val="32"/>
                          <w:szCs w:val="32"/>
                          <w:lang w:val="en-US" w:eastAsia="zh-CN"/>
                        </w:rPr>
                      </w:pPr>
                    </w:p>
                    <w:p w14:paraId="6F4E8E27">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日期：2025年04月08日</w:t>
                      </w:r>
                    </w:p>
                  </w:txbxContent>
                </v:textbox>
              </v:shape>
            </w:pict>
          </mc:Fallback>
        </mc:AlternateContent>
      </w:r>
      <w:r>
        <w:rPr>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7769225" cy="10739755"/>
                    </a:xfrm>
                    <a:prstGeom prst="rect">
                      <a:avLst/>
                    </a:prstGeom>
                    <a:noFill/>
                    <a:ln>
                      <a:noFill/>
                    </a:ln>
                  </pic:spPr>
                </pic:pic>
              </a:graphicData>
            </a:graphic>
          </wp:anchor>
        </w:drawing>
      </w:r>
    </w:p>
    <w:p w14:paraId="5320D878">
      <w:pPr>
        <w:pStyle w:val="28"/>
        <w:rPr>
          <w:rFonts w:hint="eastAsia"/>
          <w:highlight w:val="none"/>
        </w:rPr>
      </w:pPr>
    </w:p>
    <w:tbl>
      <w:tblPr>
        <w:tblStyle w:val="29"/>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2E21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noWrap w:val="0"/>
            <w:vAlign w:val="top"/>
          </w:tcPr>
          <w:p w14:paraId="31090C98">
            <w:pPr>
              <w:spacing w:line="360" w:lineRule="auto"/>
              <w:ind w:right="36" w:rightChars="15"/>
              <w:jc w:val="center"/>
              <w:rPr>
                <w:rFonts w:hint="eastAsia" w:ascii="仿宋" w:hAnsi="仿宋" w:eastAsia="仿宋" w:cs="Arial"/>
                <w:b/>
                <w:bCs/>
                <w:sz w:val="32"/>
                <w:szCs w:val="32"/>
                <w:highlight w:val="none"/>
              </w:rPr>
            </w:pPr>
          </w:p>
          <w:p w14:paraId="7CB18898">
            <w:pPr>
              <w:spacing w:line="360" w:lineRule="auto"/>
              <w:ind w:right="36" w:rightChars="15"/>
              <w:jc w:val="center"/>
              <w:rPr>
                <w:rFonts w:hint="eastAsia" w:ascii="仿宋" w:hAnsi="仿宋" w:eastAsia="仿宋" w:cs="Arial"/>
                <w:b/>
                <w:bCs/>
                <w:sz w:val="32"/>
                <w:szCs w:val="32"/>
                <w:highlight w:val="none"/>
              </w:rPr>
            </w:pPr>
          </w:p>
          <w:p w14:paraId="76151E14">
            <w:pPr>
              <w:spacing w:line="360" w:lineRule="auto"/>
              <w:ind w:right="36" w:rightChars="15"/>
              <w:jc w:val="center"/>
              <w:rPr>
                <w:rFonts w:hint="eastAsia" w:ascii="仿宋" w:hAnsi="仿宋" w:eastAsia="仿宋" w:cs="Arial"/>
                <w:b/>
                <w:bCs/>
                <w:sz w:val="32"/>
                <w:szCs w:val="32"/>
                <w:highlight w:val="none"/>
              </w:rPr>
            </w:pPr>
            <w:r>
              <w:rPr>
                <w:rFonts w:hint="eastAsia" w:ascii="仿宋" w:hAnsi="仿宋" w:eastAsia="仿宋" w:cs="Arial"/>
                <w:b/>
                <w:bCs/>
                <w:sz w:val="32"/>
                <w:szCs w:val="32"/>
                <w:highlight w:val="none"/>
              </w:rPr>
              <w:t>采购文件确认</w:t>
            </w:r>
            <w:r>
              <w:rPr>
                <w:rFonts w:hint="eastAsia" w:ascii="仿宋" w:hAnsi="仿宋" w:eastAsia="仿宋" w:cs="Arial"/>
                <w:b/>
                <w:bCs/>
                <w:sz w:val="32"/>
                <w:szCs w:val="32"/>
                <w:highlight w:val="none"/>
                <w:lang w:val="en-US" w:eastAsia="zh-CN"/>
              </w:rPr>
              <w:t>表</w:t>
            </w:r>
          </w:p>
          <w:p w14:paraId="525E77B1">
            <w:pPr>
              <w:spacing w:line="360" w:lineRule="auto"/>
              <w:ind w:firstLine="720" w:firstLineChars="300"/>
              <w:jc w:val="both"/>
              <w:rPr>
                <w:rFonts w:hint="eastAsia" w:ascii="仿宋" w:hAnsi="仿宋" w:eastAsia="仿宋" w:cs="Arial"/>
                <w:sz w:val="24"/>
                <w:szCs w:val="24"/>
                <w:highlight w:val="none"/>
                <w:lang w:val="en-US" w:eastAsia="zh-CN"/>
              </w:rPr>
            </w:pPr>
          </w:p>
          <w:p w14:paraId="79FE2BA5">
            <w:pPr>
              <w:spacing w:line="360" w:lineRule="auto"/>
              <w:jc w:val="both"/>
              <w:rPr>
                <w:rFonts w:hint="default" w:ascii="仿宋" w:hAnsi="仿宋" w:eastAsia="仿宋" w:cs="Arial"/>
                <w:sz w:val="28"/>
                <w:szCs w:val="28"/>
                <w:highlight w:val="none"/>
                <w:lang w:val="en-US" w:eastAsia="zh-CN"/>
              </w:rPr>
            </w:pPr>
            <w:r>
              <w:rPr>
                <w:rFonts w:hint="eastAsia" w:ascii="仿宋" w:hAnsi="仿宋" w:eastAsia="仿宋" w:cs="Arial"/>
                <w:sz w:val="28"/>
                <w:szCs w:val="28"/>
                <w:highlight w:val="none"/>
                <w:lang w:val="en-US" w:eastAsia="zh-CN"/>
              </w:rPr>
              <w:t>新疆世纪星工程咨询有限公司：</w:t>
            </w:r>
          </w:p>
          <w:p w14:paraId="6A6A873C">
            <w:pPr>
              <w:spacing w:line="360" w:lineRule="auto"/>
              <w:ind w:firstLine="840" w:firstLineChars="300"/>
              <w:jc w:val="both"/>
              <w:rPr>
                <w:rFonts w:hint="eastAsia" w:ascii="仿宋" w:hAnsi="仿宋" w:eastAsia="仿宋" w:cs="Arial"/>
                <w:sz w:val="28"/>
                <w:szCs w:val="28"/>
                <w:highlight w:val="none"/>
                <w:lang w:val="en-US" w:eastAsia="zh-CN"/>
              </w:rPr>
            </w:pPr>
            <w:r>
              <w:rPr>
                <w:rFonts w:hint="eastAsia" w:ascii="仿宋" w:hAnsi="仿宋" w:eastAsia="仿宋" w:cs="Arial"/>
                <w:sz w:val="28"/>
                <w:szCs w:val="28"/>
                <w:highlight w:val="none"/>
                <w:u w:val="single"/>
                <w:lang w:val="en-US" w:eastAsia="zh-CN"/>
              </w:rPr>
              <w:t>（新疆师范大学2025年数字图书信息资源和共享平台建设-阅读推广项目（二次））（项目编号：SJX-2025-128-02）</w:t>
            </w:r>
            <w:r>
              <w:rPr>
                <w:rFonts w:hint="eastAsia" w:ascii="仿宋" w:hAnsi="仿宋" w:eastAsia="仿宋" w:cs="Arial"/>
                <w:sz w:val="28"/>
                <w:szCs w:val="28"/>
                <w:highlight w:val="none"/>
                <w:lang w:val="en-US" w:eastAsia="zh-CN"/>
              </w:rPr>
              <w:t>采购文件，经我单位审核符合我单位提出的采购要求，同意对外发布。</w:t>
            </w:r>
          </w:p>
          <w:p w14:paraId="6DECB883">
            <w:pPr>
              <w:spacing w:line="360" w:lineRule="auto"/>
              <w:jc w:val="both"/>
              <w:rPr>
                <w:rFonts w:hint="eastAsia" w:ascii="仿宋" w:hAnsi="仿宋" w:eastAsia="仿宋" w:cs="Arial"/>
                <w:sz w:val="28"/>
                <w:szCs w:val="28"/>
                <w:highlight w:val="none"/>
              </w:rPr>
            </w:pPr>
          </w:p>
          <w:p w14:paraId="7B831E1C">
            <w:pPr>
              <w:spacing w:line="360" w:lineRule="auto"/>
              <w:ind w:right="240"/>
              <w:jc w:val="both"/>
              <w:rPr>
                <w:rFonts w:hint="eastAsia" w:ascii="仿宋" w:hAnsi="仿宋" w:eastAsia="仿宋" w:cs="Arial"/>
                <w:sz w:val="28"/>
                <w:szCs w:val="28"/>
                <w:highlight w:val="none"/>
              </w:rPr>
            </w:pPr>
          </w:p>
          <w:p w14:paraId="09FC0BAA">
            <w:pPr>
              <w:spacing w:line="360" w:lineRule="auto"/>
              <w:ind w:right="240"/>
              <w:jc w:val="both"/>
              <w:rPr>
                <w:rFonts w:hint="eastAsia" w:ascii="仿宋" w:hAnsi="仿宋" w:eastAsia="仿宋" w:cs="Arial"/>
                <w:sz w:val="28"/>
                <w:szCs w:val="28"/>
                <w:highlight w:val="none"/>
              </w:rPr>
            </w:pPr>
          </w:p>
          <w:p w14:paraId="104B9D4E">
            <w:pPr>
              <w:spacing w:line="360" w:lineRule="auto"/>
              <w:ind w:right="840"/>
              <w:jc w:val="both"/>
              <w:rPr>
                <w:rFonts w:ascii="仿宋" w:hAnsi="仿宋" w:eastAsia="仿宋" w:cs="Arial"/>
                <w:sz w:val="28"/>
                <w:szCs w:val="28"/>
                <w:highlight w:val="none"/>
                <w:u w:val="single"/>
              </w:rPr>
            </w:pPr>
            <w:r>
              <w:rPr>
                <w:rFonts w:hint="eastAsia" w:ascii="仿宋" w:hAnsi="仿宋" w:eastAsia="仿宋" w:cs="Times New Roman"/>
                <w:sz w:val="28"/>
                <w:szCs w:val="28"/>
                <w:highlight w:val="none"/>
              </w:rPr>
              <w:t xml:space="preserve">  </w:t>
            </w:r>
            <w:r>
              <w:rPr>
                <w:rFonts w:hint="eastAsia" w:ascii="仿宋" w:hAnsi="仿宋" w:eastAsia="仿宋" w:cs="Times New Roman"/>
                <w:sz w:val="28"/>
                <w:szCs w:val="28"/>
                <w:highlight w:val="none"/>
                <w:lang w:val="en-US" w:eastAsia="zh-CN"/>
              </w:rPr>
              <w:t xml:space="preserve">                             采购人：</w:t>
            </w:r>
            <w:r>
              <w:rPr>
                <w:rFonts w:hint="eastAsia" w:ascii="仿宋" w:hAnsi="仿宋" w:eastAsia="仿宋" w:cs="Times New Roman"/>
                <w:sz w:val="28"/>
                <w:szCs w:val="28"/>
                <w:highlight w:val="none"/>
                <w:u w:val="single"/>
                <w:lang w:val="en-US" w:eastAsia="zh-CN"/>
              </w:rPr>
              <w:t xml:space="preserve">        </w:t>
            </w:r>
            <w:r>
              <w:rPr>
                <w:rFonts w:hint="eastAsia" w:ascii="仿宋" w:hAnsi="仿宋" w:eastAsia="仿宋" w:cs="Arial"/>
                <w:sz w:val="28"/>
                <w:szCs w:val="28"/>
                <w:highlight w:val="none"/>
                <w:u w:val="single"/>
              </w:rPr>
              <w:t>（盖章）</w:t>
            </w:r>
          </w:p>
          <w:p w14:paraId="33BB362E">
            <w:pPr>
              <w:spacing w:line="360" w:lineRule="auto"/>
              <w:ind w:right="960"/>
              <w:jc w:val="both"/>
              <w:rPr>
                <w:rFonts w:ascii="仿宋" w:hAnsi="仿宋" w:eastAsia="仿宋" w:cs="Times New Roman"/>
                <w:b/>
                <w:sz w:val="40"/>
                <w:szCs w:val="32"/>
                <w:highlight w:val="none"/>
              </w:rPr>
            </w:pPr>
            <w:r>
              <w:rPr>
                <w:rFonts w:hint="eastAsia" w:ascii="仿宋" w:hAnsi="仿宋" w:eastAsia="仿宋" w:cs="Arial"/>
                <w:sz w:val="28"/>
                <w:szCs w:val="28"/>
                <w:highlight w:val="none"/>
              </w:rPr>
              <w:t xml:space="preserve">                                   </w:t>
            </w:r>
            <w:r>
              <w:rPr>
                <w:rFonts w:hint="eastAsia" w:ascii="仿宋" w:hAnsi="仿宋" w:eastAsia="仿宋" w:cs="Arial"/>
                <w:sz w:val="28"/>
                <w:szCs w:val="28"/>
                <w:highlight w:val="none"/>
                <w:lang w:val="en-US" w:eastAsia="zh-CN"/>
              </w:rPr>
              <w:t xml:space="preserve">   2025</w:t>
            </w:r>
            <w:r>
              <w:rPr>
                <w:rFonts w:hint="eastAsia" w:ascii="仿宋" w:hAnsi="仿宋" w:eastAsia="仿宋" w:cs="Arial"/>
                <w:sz w:val="28"/>
                <w:szCs w:val="28"/>
                <w:highlight w:val="none"/>
              </w:rPr>
              <w:t>年</w:t>
            </w:r>
            <w:r>
              <w:rPr>
                <w:rFonts w:hint="eastAsia" w:ascii="仿宋" w:hAnsi="仿宋" w:eastAsia="仿宋" w:cs="Arial"/>
                <w:sz w:val="28"/>
                <w:szCs w:val="28"/>
                <w:highlight w:val="none"/>
                <w:lang w:val="en-US" w:eastAsia="zh-CN"/>
              </w:rPr>
              <w:t>04</w:t>
            </w:r>
            <w:r>
              <w:rPr>
                <w:rFonts w:hint="eastAsia" w:ascii="仿宋" w:hAnsi="仿宋" w:eastAsia="仿宋" w:cs="Arial"/>
                <w:sz w:val="28"/>
                <w:szCs w:val="28"/>
                <w:highlight w:val="none"/>
              </w:rPr>
              <w:t>月</w:t>
            </w:r>
            <w:r>
              <w:rPr>
                <w:rFonts w:hint="eastAsia" w:ascii="仿宋" w:hAnsi="仿宋" w:eastAsia="仿宋" w:cs="Arial"/>
                <w:sz w:val="28"/>
                <w:szCs w:val="28"/>
                <w:highlight w:val="none"/>
                <w:lang w:val="en-US" w:eastAsia="zh-CN"/>
              </w:rPr>
              <w:t>08</w:t>
            </w:r>
            <w:r>
              <w:rPr>
                <w:rFonts w:hint="eastAsia" w:ascii="仿宋" w:hAnsi="仿宋" w:eastAsia="仿宋" w:cs="Arial"/>
                <w:sz w:val="28"/>
                <w:szCs w:val="28"/>
                <w:highlight w:val="none"/>
              </w:rPr>
              <w:t>日</w:t>
            </w:r>
          </w:p>
        </w:tc>
      </w:tr>
    </w:tbl>
    <w:p w14:paraId="0868CFB3">
      <w:pPr>
        <w:jc w:val="center"/>
        <w:rPr>
          <w:rFonts w:hint="eastAsia" w:ascii="仿宋_GB2312" w:hAnsi="仿宋_GB2312" w:eastAsia="仿宋_GB2312" w:cs="仿宋_GB2312"/>
          <w:sz w:val="32"/>
          <w:szCs w:val="32"/>
          <w:highlight w:val="none"/>
          <w:lang w:val="en-US" w:eastAsia="zh-CN"/>
        </w:rPr>
        <w:sectPr>
          <w:headerReference r:id="rId4" w:type="default"/>
          <w:pgSz w:w="11906" w:h="16838"/>
          <w:pgMar w:top="1440" w:right="1800" w:bottom="1440" w:left="1800" w:header="851" w:footer="992" w:gutter="0"/>
          <w:pgNumType w:fmt="numberInDash"/>
          <w:cols w:space="0" w:num="1"/>
          <w:rtlGutter w:val="0"/>
          <w:docGrid w:type="lines" w:linePitch="387" w:charSpace="0"/>
        </w:sectPr>
      </w:pPr>
    </w:p>
    <w:p w14:paraId="58CA8F65">
      <w:pPr>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目 录</w:t>
      </w:r>
    </w:p>
    <w:p w14:paraId="379A859C">
      <w:pPr>
        <w:jc w:val="both"/>
        <w:rPr>
          <w:rFonts w:hint="eastAsia" w:ascii="仿宋_GB2312" w:hAnsi="仿宋_GB2312" w:eastAsia="仿宋_GB2312" w:cs="仿宋_GB2312"/>
          <w:sz w:val="24"/>
          <w:szCs w:val="24"/>
          <w:highlight w:val="none"/>
          <w:lang w:val="en-US" w:eastAsia="zh-CN"/>
        </w:rPr>
      </w:pPr>
    </w:p>
    <w:sdt>
      <w:sdtPr>
        <w:rPr>
          <w:rFonts w:ascii="宋体" w:hAnsi="宋体" w:eastAsia="宋体" w:cs="Times New Roman"/>
          <w:kern w:val="2"/>
          <w:sz w:val="21"/>
          <w:szCs w:val="24"/>
          <w:highlight w:val="none"/>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kern w:val="2"/>
          <w:sz w:val="21"/>
          <w:szCs w:val="24"/>
          <w:highlight w:val="none"/>
          <w:lang w:val="en-US" w:eastAsia="zh-CN" w:bidi="ar-SA"/>
        </w:rPr>
      </w:sdtEndPr>
      <w:sdtContent>
        <w:p w14:paraId="7C5F51E6">
          <w:pPr>
            <w:jc w:val="both"/>
            <w:rPr>
              <w:rFonts w:hint="eastAsia" w:ascii="仿宋" w:hAnsi="仿宋" w:eastAsia="仿宋" w:cs="仿宋"/>
              <w:b/>
              <w:kern w:val="2"/>
              <w:sz w:val="24"/>
              <w:szCs w:val="24"/>
              <w:highlight w:val="none"/>
              <w:lang w:val="en-US" w:eastAsia="zh-CN" w:bidi="ar-SA"/>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TOC \o "1-2" \h \u </w:instrText>
          </w:r>
          <w:r>
            <w:rPr>
              <w:rFonts w:hint="eastAsia" w:ascii="仿宋" w:hAnsi="仿宋" w:eastAsia="仿宋" w:cs="仿宋"/>
              <w:sz w:val="24"/>
              <w:szCs w:val="24"/>
              <w:highlight w:val="none"/>
              <w:lang w:val="en-US" w:eastAsia="zh-CN"/>
            </w:rPr>
            <w:fldChar w:fldCharType="separate"/>
          </w:r>
        </w:p>
        <w:p w14:paraId="4E3035F3">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_Toc24832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rPr>
            <w:t xml:space="preserve">第一章 </w:t>
          </w:r>
          <w:r>
            <w:rPr>
              <w:rFonts w:hint="eastAsia" w:ascii="仿宋" w:hAnsi="仿宋" w:eastAsia="仿宋" w:cs="仿宋"/>
              <w:szCs w:val="32"/>
              <w:highlight w:val="none"/>
              <w:lang w:val="en-US" w:eastAsia="zh-CN"/>
            </w:rPr>
            <w:t>竞争性磋商</w:t>
          </w:r>
          <w:r>
            <w:rPr>
              <w:rFonts w:hint="eastAsia" w:ascii="仿宋" w:hAnsi="仿宋" w:eastAsia="仿宋" w:cs="仿宋"/>
              <w:szCs w:val="32"/>
              <w:highlight w:val="none"/>
            </w:rPr>
            <w:t>公告</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_Toc24832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A59917E">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_Toc15783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一、 项目基本情况</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_Toc15783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4D9B0B4">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_Toc22187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二、 申请人的资格要求：</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_Toc22187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5D3A027">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_Toc24234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三、 获取采购文件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_Toc24234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ECDFB29">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_Toc28094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四、 响应文件提交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_Toc28094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FF8E694">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_Toc10942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 xml:space="preserve">五、 </w:t>
          </w:r>
          <w:r>
            <w:rPr>
              <w:rFonts w:hint="eastAsia" w:ascii="仿宋" w:hAnsi="仿宋" w:eastAsia="仿宋" w:cs="仿宋"/>
              <w:bCs/>
              <w:szCs w:val="24"/>
              <w:highlight w:val="none"/>
              <w:lang w:val="en-US" w:eastAsia="zh-CN"/>
            </w:rPr>
            <w:t>响应文件开启</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_Toc10942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2DF71DF">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_Toc22200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六、 公告期限</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_Toc22200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EED1BB3">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_Toc1229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七、 其他补充事宜</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_Toc1229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51EA353">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_Toc5047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八、 对本次采购提出询问，请按以下方式联系</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_Toc5047 \h </w:instrText>
          </w:r>
          <w:r>
            <w:rPr>
              <w:rFonts w:hint="eastAsia" w:ascii="仿宋" w:hAnsi="仿宋" w:eastAsia="仿宋" w:cs="仿宋"/>
              <w:highlight w:val="none"/>
            </w:rPr>
            <w:fldChar w:fldCharType="separate"/>
          </w:r>
          <w:r>
            <w:rPr>
              <w:rFonts w:hint="eastAsia" w:ascii="仿宋" w:hAnsi="仿宋" w:eastAsia="仿宋" w:cs="仿宋"/>
              <w:highlight w:val="none"/>
            </w:rPr>
            <w:t>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F3F63F9">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_Toc19946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第二章 供应商须知前附表</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_Toc19946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0B132A5">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_Toc4905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第三章 供应商须知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_Toc4905 \h </w:instrText>
          </w:r>
          <w:r>
            <w:rPr>
              <w:rFonts w:hint="eastAsia" w:ascii="仿宋" w:hAnsi="仿宋" w:eastAsia="仿宋" w:cs="仿宋"/>
              <w:highlight w:val="none"/>
            </w:rPr>
            <w:fldChar w:fldCharType="separate"/>
          </w:r>
          <w:r>
            <w:rPr>
              <w:rFonts w:hint="eastAsia" w:ascii="仿宋" w:hAnsi="仿宋" w:eastAsia="仿宋" w:cs="仿宋"/>
              <w:highlight w:val="none"/>
            </w:rPr>
            <w:t>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70A28E0">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_Toc11730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一、 说 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_Toc11730 \h </w:instrText>
          </w:r>
          <w:r>
            <w:rPr>
              <w:rFonts w:hint="eastAsia" w:ascii="仿宋" w:hAnsi="仿宋" w:eastAsia="仿宋" w:cs="仿宋"/>
              <w:highlight w:val="none"/>
            </w:rPr>
            <w:fldChar w:fldCharType="separate"/>
          </w:r>
          <w:r>
            <w:rPr>
              <w:rFonts w:hint="eastAsia" w:ascii="仿宋" w:hAnsi="仿宋" w:eastAsia="仿宋" w:cs="仿宋"/>
              <w:highlight w:val="none"/>
            </w:rPr>
            <w:t>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F451E0D">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_Toc3286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二、 采购文件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_Toc3286 \h </w:instrText>
          </w:r>
          <w:r>
            <w:rPr>
              <w:rFonts w:hint="eastAsia" w:ascii="仿宋" w:hAnsi="仿宋" w:eastAsia="仿宋" w:cs="仿宋"/>
              <w:highlight w:val="none"/>
            </w:rPr>
            <w:fldChar w:fldCharType="separate"/>
          </w:r>
          <w:r>
            <w:rPr>
              <w:rFonts w:hint="eastAsia" w:ascii="仿宋" w:hAnsi="仿宋" w:eastAsia="仿宋" w:cs="仿宋"/>
              <w:highlight w:val="none"/>
            </w:rPr>
            <w:t>15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89F3933">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_Toc22592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三、 响应文件的编制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_Toc22592 \h </w:instrText>
          </w:r>
          <w:r>
            <w:rPr>
              <w:rFonts w:hint="eastAsia" w:ascii="仿宋" w:hAnsi="仿宋" w:eastAsia="仿宋" w:cs="仿宋"/>
              <w:highlight w:val="none"/>
            </w:rPr>
            <w:fldChar w:fldCharType="separate"/>
          </w:r>
          <w:r>
            <w:rPr>
              <w:rFonts w:hint="eastAsia" w:ascii="仿宋" w:hAnsi="仿宋" w:eastAsia="仿宋" w:cs="仿宋"/>
              <w:highlight w:val="none"/>
            </w:rPr>
            <w:t>17</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0CC1D5D">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_Toc7253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四、 响应文件的提交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_Toc7253 \h </w:instrText>
          </w:r>
          <w:r>
            <w:rPr>
              <w:rFonts w:hint="eastAsia" w:ascii="仿宋" w:hAnsi="仿宋" w:eastAsia="仿宋" w:cs="仿宋"/>
              <w:highlight w:val="none"/>
            </w:rPr>
            <w:fldChar w:fldCharType="separate"/>
          </w:r>
          <w:r>
            <w:rPr>
              <w:rFonts w:hint="eastAsia" w:ascii="仿宋" w:hAnsi="仿宋" w:eastAsia="仿宋" w:cs="仿宋"/>
              <w:highlight w:val="none"/>
            </w:rPr>
            <w:t>20</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4765CBE">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_Toc32267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五、 开标及评标</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_Toc32267 \h </w:instrText>
          </w:r>
          <w:r>
            <w:rPr>
              <w:rFonts w:hint="eastAsia" w:ascii="仿宋" w:hAnsi="仿宋" w:eastAsia="仿宋" w:cs="仿宋"/>
              <w:highlight w:val="none"/>
            </w:rPr>
            <w:fldChar w:fldCharType="separate"/>
          </w:r>
          <w:r>
            <w:rPr>
              <w:rFonts w:hint="eastAsia" w:ascii="仿宋" w:hAnsi="仿宋" w:eastAsia="仿宋" w:cs="仿宋"/>
              <w:highlight w:val="none"/>
            </w:rPr>
            <w:t>21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41D64D6">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_Toc11319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六、 确定成交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_Toc11319 \h </w:instrText>
          </w:r>
          <w:r>
            <w:rPr>
              <w:rFonts w:hint="eastAsia" w:ascii="仿宋" w:hAnsi="仿宋" w:eastAsia="仿宋" w:cs="仿宋"/>
              <w:highlight w:val="none"/>
            </w:rPr>
            <w:fldChar w:fldCharType="separate"/>
          </w:r>
          <w:r>
            <w:rPr>
              <w:rFonts w:hint="eastAsia" w:ascii="仿宋" w:hAnsi="仿宋" w:eastAsia="仿宋" w:cs="仿宋"/>
              <w:highlight w:val="none"/>
            </w:rPr>
            <w:t>23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5DF7C7D8">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_Toc20533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第四章 政府采购合同</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_Toc20533 \h </w:instrText>
          </w:r>
          <w:r>
            <w:rPr>
              <w:rFonts w:hint="eastAsia" w:ascii="仿宋" w:hAnsi="仿宋" w:eastAsia="仿宋" w:cs="仿宋"/>
              <w:highlight w:val="none"/>
            </w:rPr>
            <w:fldChar w:fldCharType="separate"/>
          </w:r>
          <w:r>
            <w:rPr>
              <w:rFonts w:hint="eastAsia" w:ascii="仿宋" w:hAnsi="仿宋" w:eastAsia="仿宋" w:cs="仿宋"/>
              <w:highlight w:val="none"/>
            </w:rPr>
            <w:t>28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577F36C">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_Toc8038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第五章 采购需求</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_Toc8038 \h </w:instrText>
          </w:r>
          <w:r>
            <w:rPr>
              <w:rFonts w:hint="eastAsia" w:ascii="仿宋" w:hAnsi="仿宋" w:eastAsia="仿宋" w:cs="仿宋"/>
              <w:highlight w:val="none"/>
            </w:rPr>
            <w:fldChar w:fldCharType="separate"/>
          </w:r>
          <w:r>
            <w:rPr>
              <w:rFonts w:hint="eastAsia" w:ascii="仿宋" w:hAnsi="仿宋" w:eastAsia="仿宋" w:cs="仿宋"/>
              <w:highlight w:val="none"/>
            </w:rPr>
            <w:t>36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4F13A57">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_Toc27718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第六章 评标程序、评标方法和评标标准</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_Toc27718 \h </w:instrText>
          </w:r>
          <w:r>
            <w:rPr>
              <w:rFonts w:hint="eastAsia" w:ascii="仿宋" w:hAnsi="仿宋" w:eastAsia="仿宋" w:cs="仿宋"/>
              <w:highlight w:val="none"/>
            </w:rPr>
            <w:fldChar w:fldCharType="separate"/>
          </w:r>
          <w:r>
            <w:rPr>
              <w:rFonts w:hint="eastAsia" w:ascii="仿宋" w:hAnsi="仿宋" w:eastAsia="仿宋" w:cs="仿宋"/>
              <w:highlight w:val="none"/>
            </w:rPr>
            <w:t>41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F8FC049">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_Toc21122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1. 评标方法</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_Toc21122 \h </w:instrText>
          </w:r>
          <w:r>
            <w:rPr>
              <w:rFonts w:hint="eastAsia" w:ascii="仿宋" w:hAnsi="仿宋" w:eastAsia="仿宋" w:cs="仿宋"/>
              <w:highlight w:val="none"/>
            </w:rPr>
            <w:fldChar w:fldCharType="separate"/>
          </w:r>
          <w:r>
            <w:rPr>
              <w:rFonts w:hint="eastAsia" w:ascii="仿宋" w:hAnsi="仿宋" w:eastAsia="仿宋" w:cs="仿宋"/>
              <w:highlight w:val="none"/>
            </w:rPr>
            <w:t>41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8BBB5BD">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_Toc1193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2. 评标原则</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_Toc1193 \h </w:instrText>
          </w:r>
          <w:r>
            <w:rPr>
              <w:rFonts w:hint="eastAsia" w:ascii="仿宋" w:hAnsi="仿宋" w:eastAsia="仿宋" w:cs="仿宋"/>
              <w:highlight w:val="none"/>
            </w:rPr>
            <w:fldChar w:fldCharType="separate"/>
          </w:r>
          <w:r>
            <w:rPr>
              <w:rFonts w:hint="eastAsia" w:ascii="仿宋" w:hAnsi="仿宋" w:eastAsia="仿宋" w:cs="仿宋"/>
              <w:highlight w:val="none"/>
            </w:rPr>
            <w:t>41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E692ED4">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_Toc7505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3. 资格审查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_Toc7505 \h </w:instrText>
          </w:r>
          <w:r>
            <w:rPr>
              <w:rFonts w:hint="eastAsia" w:ascii="仿宋" w:hAnsi="仿宋" w:eastAsia="仿宋" w:cs="仿宋"/>
              <w:highlight w:val="none"/>
            </w:rPr>
            <w:fldChar w:fldCharType="separate"/>
          </w:r>
          <w:r>
            <w:rPr>
              <w:rFonts w:hint="eastAsia" w:ascii="仿宋" w:hAnsi="仿宋" w:eastAsia="仿宋" w:cs="仿宋"/>
              <w:highlight w:val="none"/>
            </w:rPr>
            <w:t>41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43707DA">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_Toc27889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highlight w:val="none"/>
              <w:lang w:val="en-US" w:eastAsia="zh-CN"/>
            </w:rPr>
            <w:t xml:space="preserve">4. </w:t>
          </w:r>
          <w:r>
            <w:rPr>
              <w:rFonts w:hint="eastAsia" w:ascii="仿宋" w:hAnsi="仿宋" w:eastAsia="仿宋" w:cs="仿宋"/>
              <w:bCs/>
              <w:szCs w:val="24"/>
              <w:highlight w:val="none"/>
              <w:lang w:val="en-US" w:eastAsia="zh-CN"/>
            </w:rPr>
            <w:t>符合性审查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_Toc27889 \h </w:instrText>
          </w:r>
          <w:r>
            <w:rPr>
              <w:rFonts w:hint="eastAsia" w:ascii="仿宋" w:hAnsi="仿宋" w:eastAsia="仿宋" w:cs="仿宋"/>
              <w:highlight w:val="none"/>
            </w:rPr>
            <w:fldChar w:fldCharType="separate"/>
          </w:r>
          <w:r>
            <w:rPr>
              <w:rFonts w:hint="eastAsia" w:ascii="仿宋" w:hAnsi="仿宋" w:eastAsia="仿宋" w:cs="仿宋"/>
              <w:highlight w:val="none"/>
            </w:rPr>
            <w:t>43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54C60B73">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_Toc31864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5. 响应文件澄清</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_Toc31864 \h </w:instrText>
          </w:r>
          <w:r>
            <w:rPr>
              <w:rFonts w:hint="eastAsia" w:ascii="仿宋" w:hAnsi="仿宋" w:eastAsia="仿宋" w:cs="仿宋"/>
              <w:highlight w:val="none"/>
            </w:rPr>
            <w:fldChar w:fldCharType="separate"/>
          </w:r>
          <w:r>
            <w:rPr>
              <w:rFonts w:hint="eastAsia" w:ascii="仿宋" w:hAnsi="仿宋" w:eastAsia="仿宋" w:cs="仿宋"/>
              <w:highlight w:val="none"/>
            </w:rPr>
            <w:t>44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3184998">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_Toc12580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24"/>
              <w:highlight w:val="none"/>
              <w:lang w:val="en-US" w:eastAsia="zh-CN"/>
            </w:rPr>
            <w:t xml:space="preserve">7. </w:t>
          </w:r>
          <w:r>
            <w:rPr>
              <w:rFonts w:hint="eastAsia" w:ascii="仿宋" w:hAnsi="仿宋" w:eastAsia="仿宋" w:cs="仿宋"/>
              <w:bCs/>
              <w:szCs w:val="24"/>
              <w:highlight w:val="none"/>
              <w:lang w:val="en-US" w:eastAsia="zh-CN"/>
            </w:rPr>
            <w:t>磋商</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_Toc12580 \h </w:instrText>
          </w:r>
          <w:r>
            <w:rPr>
              <w:rFonts w:hint="eastAsia" w:ascii="仿宋" w:hAnsi="仿宋" w:eastAsia="仿宋" w:cs="仿宋"/>
              <w:highlight w:val="none"/>
            </w:rPr>
            <w:fldChar w:fldCharType="separate"/>
          </w:r>
          <w:r>
            <w:rPr>
              <w:rFonts w:hint="eastAsia" w:ascii="仿宋" w:hAnsi="仿宋" w:eastAsia="仿宋" w:cs="仿宋"/>
              <w:highlight w:val="none"/>
            </w:rPr>
            <w:t>45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6ED12A9">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_Toc3596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8. 最后报价</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_Toc3596 \h </w:instrText>
          </w:r>
          <w:r>
            <w:rPr>
              <w:rFonts w:hint="eastAsia" w:ascii="仿宋" w:hAnsi="仿宋" w:eastAsia="仿宋" w:cs="仿宋"/>
              <w:highlight w:val="none"/>
            </w:rPr>
            <w:fldChar w:fldCharType="separate"/>
          </w:r>
          <w:r>
            <w:rPr>
              <w:rFonts w:hint="eastAsia" w:ascii="仿宋" w:hAnsi="仿宋" w:eastAsia="仿宋" w:cs="仿宋"/>
              <w:highlight w:val="none"/>
            </w:rPr>
            <w:t>45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A64A26E">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_Toc22657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9. 详细评审</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_Toc22657 \h </w:instrText>
          </w:r>
          <w:r>
            <w:rPr>
              <w:rFonts w:hint="eastAsia" w:ascii="仿宋" w:hAnsi="仿宋" w:eastAsia="仿宋" w:cs="仿宋"/>
              <w:highlight w:val="none"/>
            </w:rPr>
            <w:fldChar w:fldCharType="separate"/>
          </w:r>
          <w:r>
            <w:rPr>
              <w:rFonts w:hint="eastAsia" w:ascii="仿宋" w:hAnsi="仿宋" w:eastAsia="仿宋" w:cs="仿宋"/>
              <w:highlight w:val="none"/>
            </w:rPr>
            <w:t>46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CE29799">
          <w:pPr>
            <w:pStyle w:val="22"/>
            <w:tabs>
              <w:tab w:val="right" w:leader="dot" w:pos="8306"/>
            </w:tabs>
            <w:rPr>
              <w:rFonts w:hint="eastAsia" w:ascii="仿宋_GB2312" w:hAnsi="仿宋_GB2312" w:eastAsia="仿宋_GB2312" w:cs="仿宋_GB2312"/>
              <w:sz w:val="24"/>
              <w:szCs w:val="24"/>
              <w:highlight w:val="none"/>
              <w:lang w:val="en-US" w:eastAsia="zh-CN"/>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_Toc8139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32"/>
              <w:highlight w:val="none"/>
              <w:lang w:val="en-US" w:eastAsia="zh-CN"/>
            </w:rPr>
            <w:t>第七章 响应文件格式</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_Toc8139 \h </w:instrText>
          </w:r>
          <w:r>
            <w:rPr>
              <w:rFonts w:hint="eastAsia" w:ascii="仿宋" w:hAnsi="仿宋" w:eastAsia="仿宋" w:cs="仿宋"/>
              <w:highlight w:val="none"/>
            </w:rPr>
            <w:fldChar w:fldCharType="separate"/>
          </w:r>
          <w:r>
            <w:rPr>
              <w:rFonts w:hint="eastAsia" w:ascii="仿宋" w:hAnsi="仿宋" w:eastAsia="仿宋" w:cs="仿宋"/>
              <w:highlight w:val="none"/>
            </w:rPr>
            <w:t>51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r>
            <w:rPr>
              <w:rFonts w:hint="eastAsia" w:ascii="仿宋" w:hAnsi="仿宋" w:eastAsia="仿宋" w:cs="仿宋"/>
              <w:b/>
              <w:szCs w:val="24"/>
              <w:highlight w:val="none"/>
              <w:lang w:val="en-US" w:eastAsia="zh-CN"/>
            </w:rPr>
            <w:fldChar w:fldCharType="end"/>
          </w:r>
        </w:p>
      </w:sdtContent>
    </w:sdt>
    <w:p w14:paraId="6429EB53">
      <w:pPr>
        <w:pStyle w:val="3"/>
        <w:numPr>
          <w:ilvl w:val="0"/>
          <w:numId w:val="1"/>
        </w:numPr>
        <w:bidi w:val="0"/>
        <w:jc w:val="center"/>
        <w:rPr>
          <w:rFonts w:hint="eastAsia" w:ascii="仿宋_GB2312" w:hAnsi="仿宋_GB2312" w:eastAsia="仿宋_GB2312" w:cs="仿宋_GB2312"/>
          <w:sz w:val="32"/>
          <w:szCs w:val="32"/>
          <w:highlight w:val="none"/>
        </w:rPr>
        <w:sectPr>
          <w:footerReference r:id="rId5" w:type="default"/>
          <w:pgSz w:w="11906" w:h="16838"/>
          <w:pgMar w:top="1440" w:right="1800" w:bottom="1440" w:left="1800" w:header="851" w:footer="992" w:gutter="0"/>
          <w:pgNumType w:fmt="numberInDash"/>
          <w:cols w:space="0" w:num="1"/>
          <w:rtlGutter w:val="0"/>
          <w:docGrid w:type="lines" w:linePitch="387" w:charSpace="0"/>
        </w:sectPr>
      </w:pPr>
    </w:p>
    <w:p w14:paraId="45151997">
      <w:pPr>
        <w:pStyle w:val="3"/>
        <w:numPr>
          <w:ilvl w:val="0"/>
          <w:numId w:val="1"/>
        </w:numPr>
        <w:bidi w:val="0"/>
        <w:jc w:val="center"/>
        <w:rPr>
          <w:rFonts w:hint="eastAsia" w:ascii="仿宋" w:hAnsi="仿宋" w:eastAsia="仿宋" w:cs="仿宋"/>
          <w:sz w:val="32"/>
          <w:szCs w:val="32"/>
          <w:highlight w:val="none"/>
        </w:rPr>
      </w:pPr>
      <w:bookmarkStart w:id="0" w:name="_Toc24832"/>
      <w:r>
        <w:rPr>
          <w:rFonts w:hint="eastAsia" w:ascii="仿宋" w:hAnsi="仿宋" w:eastAsia="仿宋" w:cs="仿宋"/>
          <w:sz w:val="32"/>
          <w:szCs w:val="32"/>
          <w:highlight w:val="none"/>
          <w:lang w:val="en-US" w:eastAsia="zh-CN"/>
        </w:rPr>
        <w:t>采购</w:t>
      </w:r>
      <w:r>
        <w:rPr>
          <w:rFonts w:hint="eastAsia" w:ascii="仿宋" w:hAnsi="仿宋" w:eastAsia="仿宋" w:cs="仿宋"/>
          <w:sz w:val="32"/>
          <w:szCs w:val="32"/>
          <w:highlight w:val="none"/>
        </w:rPr>
        <w:t>公告</w:t>
      </w:r>
      <w:bookmarkEnd w:id="0"/>
    </w:p>
    <w:p w14:paraId="6FA5C761">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bookmarkStart w:id="1" w:name="_Toc15783"/>
      <w:r>
        <w:rPr>
          <w:rFonts w:hint="eastAsia" w:ascii="仿宋" w:hAnsi="仿宋" w:eastAsia="仿宋" w:cs="仿宋"/>
          <w:b/>
          <w:bCs/>
          <w:sz w:val="24"/>
          <w:szCs w:val="24"/>
          <w:highlight w:val="none"/>
        </w:rPr>
        <w:t>项目基本情况</w:t>
      </w:r>
      <w:bookmarkEnd w:id="1"/>
    </w:p>
    <w:p w14:paraId="1B349A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val="en-US" w:eastAsia="zh-CN"/>
        </w:rPr>
        <w:t>SJX-2025-128-02</w:t>
      </w:r>
    </w:p>
    <w:p w14:paraId="3A0325A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val="en-US" w:eastAsia="zh-CN"/>
        </w:rPr>
        <w:t>新疆师范大学2025年数字图书信息资源和共享平台建设-阅读推广项目（二次）</w:t>
      </w:r>
    </w:p>
    <w:p w14:paraId="577FD99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采购方式：</w:t>
      </w:r>
      <w:r>
        <w:rPr>
          <w:rFonts w:hint="eastAsia" w:ascii="仿宋" w:hAnsi="仿宋" w:eastAsia="仿宋" w:cs="仿宋"/>
          <w:sz w:val="24"/>
          <w:szCs w:val="24"/>
          <w:highlight w:val="none"/>
          <w:lang w:val="en-US" w:eastAsia="zh-CN"/>
        </w:rPr>
        <w:t>竞争性磋商</w:t>
      </w:r>
    </w:p>
    <w:p w14:paraId="3DDE2B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301000</w:t>
      </w:r>
    </w:p>
    <w:p w14:paraId="01182C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最高限价（元）：</w:t>
      </w:r>
      <w:r>
        <w:rPr>
          <w:rFonts w:hint="eastAsia" w:ascii="仿宋" w:hAnsi="仿宋" w:eastAsia="仿宋" w:cs="仿宋"/>
          <w:sz w:val="24"/>
          <w:szCs w:val="24"/>
          <w:highlight w:val="none"/>
          <w:lang w:val="en-US" w:eastAsia="zh-CN"/>
        </w:rPr>
        <w:t>301000</w:t>
      </w:r>
    </w:p>
    <w:p w14:paraId="2300EB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rPr>
      </w:pPr>
      <w:r>
        <w:rPr>
          <w:rFonts w:hint="eastAsia" w:ascii="仿宋" w:hAnsi="仿宋" w:eastAsia="仿宋" w:cs="仿宋"/>
          <w:sz w:val="24"/>
          <w:szCs w:val="24"/>
          <w:highlight w:val="none"/>
        </w:rPr>
        <w:t>采购需求：</w:t>
      </w:r>
      <w:r>
        <w:rPr>
          <w:rFonts w:hint="eastAsia" w:ascii="仿宋" w:hAnsi="仿宋" w:eastAsia="仿宋" w:cs="仿宋"/>
          <w:sz w:val="24"/>
          <w:szCs w:val="24"/>
          <w:highlight w:val="none"/>
          <w:lang w:val="en-US" w:eastAsia="zh-CN"/>
        </w:rPr>
        <w:t>新疆师范大学2025年数字图书信息资源和共享平台建设-阅读推广项目，详见磋商文件采购需求。</w:t>
      </w:r>
    </w:p>
    <w:p w14:paraId="078D6B2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p>
    <w:p w14:paraId="7E8689D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标项名称:</w:t>
      </w:r>
      <w:r>
        <w:rPr>
          <w:rFonts w:hint="eastAsia" w:ascii="仿宋" w:hAnsi="仿宋" w:eastAsia="仿宋" w:cs="仿宋"/>
          <w:sz w:val="24"/>
          <w:szCs w:val="24"/>
          <w:highlight w:val="none"/>
          <w:lang w:val="en-US" w:eastAsia="zh-CN"/>
        </w:rPr>
        <w:t>新疆师范大学2025年数字图书信息资源和共享平台建设-阅读推广项目（二次）</w:t>
      </w:r>
    </w:p>
    <w:p w14:paraId="6E2E942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数量:</w:t>
      </w:r>
      <w:r>
        <w:rPr>
          <w:rFonts w:hint="eastAsia" w:ascii="仿宋" w:hAnsi="仿宋" w:eastAsia="仿宋" w:cs="仿宋"/>
          <w:sz w:val="24"/>
          <w:szCs w:val="24"/>
          <w:highlight w:val="none"/>
          <w:lang w:val="en-US" w:eastAsia="zh-CN"/>
        </w:rPr>
        <w:t>1项</w:t>
      </w:r>
    </w:p>
    <w:p w14:paraId="16C24C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301000</w:t>
      </w:r>
    </w:p>
    <w:p w14:paraId="0D1248B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简要规格描述或项目基本概况介绍、用途：</w:t>
      </w:r>
      <w:r>
        <w:rPr>
          <w:rFonts w:hint="eastAsia" w:ascii="仿宋" w:hAnsi="仿宋" w:eastAsia="仿宋" w:cs="仿宋"/>
          <w:sz w:val="24"/>
          <w:szCs w:val="24"/>
          <w:highlight w:val="none"/>
          <w:lang w:val="en-US" w:eastAsia="zh-CN"/>
        </w:rPr>
        <w:t>新疆师范大学2025年数字图书信息资源和共享平台建设-阅读推广服务，详见磋商文件采购需求。</w:t>
      </w:r>
    </w:p>
    <w:p w14:paraId="3D9761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备注：</w:t>
      </w:r>
      <w:r>
        <w:rPr>
          <w:rFonts w:hint="eastAsia" w:ascii="仿宋" w:hAnsi="仿宋" w:eastAsia="仿宋" w:cs="仿宋"/>
          <w:sz w:val="24"/>
          <w:szCs w:val="24"/>
          <w:highlight w:val="none"/>
          <w:lang w:val="en-US" w:eastAsia="zh-CN"/>
        </w:rPr>
        <w:t>/</w:t>
      </w:r>
    </w:p>
    <w:p w14:paraId="12BFEB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合同履约期限：202</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 xml:space="preserve"> 年 10 月 15 日至 202</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 xml:space="preserve"> 年 10 月 14</w:t>
      </w:r>
      <w:r>
        <w:rPr>
          <w:rFonts w:hint="eastAsia" w:ascii="仿宋" w:hAnsi="仿宋" w:eastAsia="仿宋" w:cs="仿宋"/>
          <w:sz w:val="24"/>
          <w:szCs w:val="24"/>
          <w:highlight w:val="none"/>
          <w:lang w:val="en-US" w:eastAsia="zh-CN"/>
        </w:rPr>
        <w:t>日</w:t>
      </w:r>
      <w:r>
        <w:rPr>
          <w:rFonts w:hint="eastAsia" w:ascii="仿宋" w:hAnsi="仿宋" w:eastAsia="仿宋" w:cs="仿宋"/>
          <w:sz w:val="24"/>
          <w:szCs w:val="24"/>
          <w:highlight w:val="none"/>
        </w:rPr>
        <w:t xml:space="preserve"> </w:t>
      </w:r>
    </w:p>
    <w:p w14:paraId="2F89CA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本项目（否）接受联合体投标。</w:t>
      </w:r>
    </w:p>
    <w:p w14:paraId="51C3F3B8">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2" w:name="_Toc22187"/>
      <w:r>
        <w:rPr>
          <w:rFonts w:hint="eastAsia" w:ascii="仿宋" w:hAnsi="仿宋" w:eastAsia="仿宋" w:cs="仿宋"/>
          <w:b/>
          <w:bCs/>
          <w:sz w:val="24"/>
          <w:szCs w:val="24"/>
          <w:highlight w:val="none"/>
        </w:rPr>
        <w:t>申请人的资格要求：</w:t>
      </w:r>
      <w:bookmarkEnd w:id="2"/>
    </w:p>
    <w:p w14:paraId="4E76EE9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1.满足《中华人民共和国政府采购法》第二十二条规定；</w:t>
      </w:r>
    </w:p>
    <w:p w14:paraId="1F2F03D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yellow"/>
          <w:lang w:val="en-US" w:eastAsia="zh-CN"/>
        </w:rPr>
      </w:pPr>
      <w:r>
        <w:rPr>
          <w:rFonts w:hint="eastAsia" w:ascii="仿宋" w:hAnsi="仿宋" w:eastAsia="仿宋" w:cs="仿宋"/>
          <w:b w:val="0"/>
          <w:bCs w:val="0"/>
          <w:sz w:val="24"/>
          <w:szCs w:val="24"/>
          <w:highlight w:val="none"/>
          <w:lang w:val="en-US" w:eastAsia="zh-CN"/>
        </w:rPr>
        <w:t>2.落实政府采购政策需满足的资格要求：本项目专门面向中小企业，服务的承接商应符合《政府采购促进中小企业发展管理办法》(财库〔2020〕46号) 第四条规定的情形，且应当提供《政府采购促进中小企业发展管理办法》(财库〔2020〕46号)规定的《中小企业声明函》</w:t>
      </w:r>
    </w:p>
    <w:p w14:paraId="5554052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val="en-US" w:eastAsia="zh-CN"/>
        </w:rPr>
        <w:t>3.本项目的特定资格要求：/</w:t>
      </w:r>
    </w:p>
    <w:p w14:paraId="0354E1DA">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3" w:name="_Toc24234"/>
      <w:r>
        <w:rPr>
          <w:rFonts w:hint="eastAsia" w:ascii="仿宋" w:hAnsi="仿宋" w:eastAsia="仿宋" w:cs="仿宋"/>
          <w:b/>
          <w:bCs/>
          <w:sz w:val="24"/>
          <w:szCs w:val="24"/>
          <w:highlight w:val="none"/>
          <w:lang w:val="en-US" w:eastAsia="zh-CN"/>
        </w:rPr>
        <w:t>获取采购文件</w:t>
      </w:r>
      <w:bookmarkEnd w:id="3"/>
    </w:p>
    <w:p w14:paraId="7CDA68B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时间：2025年04月08 日至2025年04月15日，每天上午00:00至14:00，下午14:00至23:59（北京时间，法定节假日除外）</w:t>
      </w:r>
    </w:p>
    <w:p w14:paraId="288A8B0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地点：政采云平台（https://www.zcygov.cn/）</w:t>
      </w:r>
    </w:p>
    <w:p w14:paraId="526CB51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方式：供应商登录政采云平台https://www.zcygov.cn/在线申请获取采购文件（进入“项目采购”应用，在获取采购文件菜单中选择项目，申请获取采购文件）本次招标不提供纸质版采购文件。</w:t>
      </w:r>
    </w:p>
    <w:p w14:paraId="73A58B2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val="en-US" w:eastAsia="zh-CN"/>
        </w:rPr>
        <w:t xml:space="preserve">售价（元）：0元 </w:t>
      </w:r>
    </w:p>
    <w:p w14:paraId="4FCF697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4" w:name="_Toc28094"/>
      <w:r>
        <w:rPr>
          <w:rFonts w:hint="eastAsia" w:ascii="仿宋" w:hAnsi="仿宋" w:eastAsia="仿宋" w:cs="仿宋"/>
          <w:b/>
          <w:bCs/>
          <w:sz w:val="24"/>
          <w:szCs w:val="24"/>
          <w:highlight w:val="none"/>
          <w:lang w:val="en-US" w:eastAsia="zh-CN"/>
        </w:rPr>
        <w:t>响应文件提交</w:t>
      </w:r>
      <w:bookmarkEnd w:id="4"/>
      <w:r>
        <w:rPr>
          <w:rFonts w:hint="eastAsia" w:ascii="仿宋" w:hAnsi="仿宋" w:eastAsia="仿宋" w:cs="仿宋"/>
          <w:b/>
          <w:bCs/>
          <w:sz w:val="24"/>
          <w:szCs w:val="24"/>
          <w:highlight w:val="none"/>
          <w:lang w:val="en-US" w:eastAsia="zh-CN"/>
        </w:rPr>
        <w:t xml:space="preserve"> </w:t>
      </w:r>
    </w:p>
    <w:p w14:paraId="351CEC0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截止时间：2025年 04月21日 11:00（北京时间）</w:t>
      </w:r>
    </w:p>
    <w:p w14:paraId="7250841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地    点：政采云平台（https://www.zcygov.cn/），本项目采用不见面开标，加密的电子投标文件在投标截止时间前在政采云平台上传。</w:t>
      </w:r>
    </w:p>
    <w:p w14:paraId="37F43137">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5" w:name="_Toc10942"/>
      <w:r>
        <w:rPr>
          <w:rFonts w:hint="eastAsia" w:ascii="仿宋" w:hAnsi="仿宋" w:eastAsia="仿宋" w:cs="仿宋"/>
          <w:b/>
          <w:bCs/>
          <w:sz w:val="24"/>
          <w:szCs w:val="24"/>
          <w:highlight w:val="none"/>
          <w:lang w:val="en-US" w:eastAsia="zh-CN"/>
        </w:rPr>
        <w:t>响应文件开启</w:t>
      </w:r>
      <w:bookmarkEnd w:id="5"/>
    </w:p>
    <w:p w14:paraId="701C254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开标时间：2025年 04月 21 日 11:00（北京时间）</w:t>
      </w:r>
    </w:p>
    <w:p w14:paraId="3CFF461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开标地点：政采云平台（https://www.zcygov.cn/）不见面开标系统</w:t>
      </w:r>
    </w:p>
    <w:p w14:paraId="1B7635C8">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6" w:name="_Toc22200"/>
      <w:r>
        <w:rPr>
          <w:rFonts w:hint="eastAsia" w:ascii="仿宋" w:hAnsi="仿宋" w:eastAsia="仿宋" w:cs="仿宋"/>
          <w:b/>
          <w:bCs/>
          <w:sz w:val="24"/>
          <w:szCs w:val="24"/>
          <w:highlight w:val="none"/>
          <w:lang w:val="en-US" w:eastAsia="zh-CN"/>
        </w:rPr>
        <w:t>公告期限</w:t>
      </w:r>
      <w:bookmarkEnd w:id="6"/>
      <w:r>
        <w:rPr>
          <w:rFonts w:hint="eastAsia" w:ascii="仿宋" w:hAnsi="仿宋" w:eastAsia="仿宋" w:cs="仿宋"/>
          <w:b/>
          <w:bCs/>
          <w:sz w:val="24"/>
          <w:szCs w:val="24"/>
          <w:highlight w:val="none"/>
          <w:lang w:val="en-US" w:eastAsia="zh-CN"/>
        </w:rPr>
        <w:t xml:space="preserve"> </w:t>
      </w:r>
    </w:p>
    <w:p w14:paraId="3138C19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自本公告发布之日起</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个工作日。</w:t>
      </w:r>
    </w:p>
    <w:p w14:paraId="1ABA47A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7" w:name="_Toc1229"/>
      <w:r>
        <w:rPr>
          <w:rFonts w:hint="eastAsia" w:ascii="仿宋" w:hAnsi="仿宋" w:eastAsia="仿宋" w:cs="仿宋"/>
          <w:b/>
          <w:bCs/>
          <w:sz w:val="24"/>
          <w:szCs w:val="24"/>
          <w:highlight w:val="none"/>
          <w:lang w:val="en-US" w:eastAsia="zh-CN"/>
        </w:rPr>
        <w:t>其他补充事宜</w:t>
      </w:r>
      <w:bookmarkEnd w:id="7"/>
      <w:r>
        <w:rPr>
          <w:rFonts w:hint="eastAsia" w:ascii="仿宋" w:hAnsi="仿宋" w:eastAsia="仿宋" w:cs="仿宋"/>
          <w:b/>
          <w:bCs/>
          <w:sz w:val="24"/>
          <w:szCs w:val="24"/>
          <w:highlight w:val="none"/>
          <w:lang w:val="en-US" w:eastAsia="zh-CN"/>
        </w:rPr>
        <w:t xml:space="preserve"> </w:t>
      </w:r>
    </w:p>
    <w:p w14:paraId="5115F74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1、单位负责人为同一人或者存在直接控股、管理关系的不同投标人，不得参加同一包号投标或者未划分包号的同一招标项目投标。 </w:t>
      </w:r>
    </w:p>
    <w:p w14:paraId="655C080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2、为采购项目提供整体设计、规范编制或者项目管理、监理、检测等服务的供应商，不得再参加该采购项目的其他采购活动。</w:t>
      </w:r>
    </w:p>
    <w:p w14:paraId="00EA2B5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3、被“信用中国”网站列入失信被执行人和重大税收违法案件当事人名单的、被 “中国政府采购网”网站列入政府采购严重违法失信行为记录名单（处罚期限尚未届满的）的供应商，不得参与本项目的政府采购活动。</w:t>
      </w:r>
    </w:p>
    <w:p w14:paraId="1D46619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、关于本项目所有公告、公示在</w:t>
      </w:r>
      <w:r>
        <w:rPr>
          <w:rFonts w:hint="eastAsia" w:ascii="仿宋" w:hAnsi="仿宋" w:eastAsia="仿宋" w:cs="仿宋"/>
          <w:b/>
          <w:bCs/>
          <w:sz w:val="24"/>
          <w:szCs w:val="24"/>
          <w:highlight w:val="none"/>
        </w:rPr>
        <w:t>新疆政府采购网</w:t>
      </w:r>
      <w:r>
        <w:rPr>
          <w:rFonts w:hint="eastAsia" w:ascii="仿宋" w:hAnsi="仿宋" w:eastAsia="仿宋" w:cs="仿宋"/>
          <w:b w:val="0"/>
          <w:bCs w:val="0"/>
          <w:sz w:val="24"/>
          <w:szCs w:val="24"/>
          <w:highlight w:val="none"/>
        </w:rPr>
        <w:t>发布。</w:t>
      </w:r>
    </w:p>
    <w:p w14:paraId="507D02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、请</w:t>
      </w:r>
      <w:r>
        <w:rPr>
          <w:rFonts w:hint="eastAsia" w:ascii="仿宋" w:hAnsi="仿宋" w:eastAsia="仿宋" w:cs="仿宋"/>
          <w:b w:val="0"/>
          <w:bCs w:val="0"/>
          <w:sz w:val="24"/>
          <w:szCs w:val="24"/>
          <w:highlight w:val="none"/>
          <w:lang w:eastAsia="zh-CN"/>
        </w:rPr>
        <w:t>磋商</w:t>
      </w:r>
      <w:r>
        <w:rPr>
          <w:rFonts w:hint="eastAsia" w:ascii="仿宋" w:hAnsi="仿宋" w:eastAsia="仿宋" w:cs="仿宋"/>
          <w:b w:val="0"/>
          <w:bCs w:val="0"/>
          <w:sz w:val="24"/>
          <w:szCs w:val="24"/>
          <w:highlight w:val="none"/>
        </w:rPr>
        <w:t>供应商随时关注本项目的澄清、答疑、变更事项。</w:t>
      </w:r>
    </w:p>
    <w:p w14:paraId="658CAB6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、本项目实行电子招投标，供应商须登录政采云平台申请获取招标文件，并通过政采云电子投标客户端制作响应文件，同时自行承担与投标有关的一切费用。</w:t>
      </w:r>
    </w:p>
    <w:p w14:paraId="5CEFB6C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、各供应商应在开标前确保成为新疆政府采购网正式注册入库供应商，并完成CA数字证书申领。因未注册入库、未办理CA数字证书等原因造成无法投标或投标失败等后果由供应商自行承担。</w:t>
      </w:r>
    </w:p>
    <w:p w14:paraId="7636771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、有意向参与电子开评标的供应商，可访问新疆数字证书认证中心官方网站（https://www.xjca.com.cn/）或下载“新疆政务通”APP自行进行申领。如需咨询，请联系新疆CA服务热线0991-2819290。</w:t>
      </w:r>
    </w:p>
    <w:p w14:paraId="1BAAD5D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8" w:name="_Toc5047"/>
      <w:r>
        <w:rPr>
          <w:rFonts w:hint="eastAsia" w:ascii="仿宋" w:hAnsi="仿宋" w:eastAsia="仿宋" w:cs="仿宋"/>
          <w:b/>
          <w:bCs/>
          <w:sz w:val="24"/>
          <w:szCs w:val="24"/>
          <w:highlight w:val="none"/>
        </w:rPr>
        <w:t>对本次采购提出询问，请按以下方式联系</w:t>
      </w:r>
      <w:bookmarkEnd w:id="8"/>
    </w:p>
    <w:p w14:paraId="56854E5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2B376D7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称：新疆师范大学</w:t>
      </w:r>
    </w:p>
    <w:p w14:paraId="1AF17A4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址：新疆维吾尔自治区乌鲁木齐市水磨沟区观园路100号</w:t>
      </w:r>
    </w:p>
    <w:p w14:paraId="50D3E4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联系方式：王老师  0991-4112288</w:t>
      </w:r>
    </w:p>
    <w:p w14:paraId="72FEB19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266B32C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14:paraId="2C7453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14:paraId="51ECCD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32D9441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64397B7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项目联系人：李梦媛、李航、杜萍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范艳娥</w:t>
      </w:r>
    </w:p>
    <w:p w14:paraId="575333A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 话：0991-3678303</w:t>
      </w:r>
    </w:p>
    <w:p w14:paraId="4F2035F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60729E4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103F7460">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C5230F8">
      <w:pPr>
        <w:pStyle w:val="3"/>
        <w:numPr>
          <w:ilvl w:val="0"/>
          <w:numId w:val="3"/>
        </w:numPr>
        <w:bidi w:val="0"/>
        <w:jc w:val="center"/>
        <w:rPr>
          <w:rFonts w:hint="eastAsia" w:ascii="仿宋" w:hAnsi="仿宋" w:eastAsia="仿宋" w:cs="仿宋"/>
          <w:sz w:val="32"/>
          <w:szCs w:val="32"/>
          <w:highlight w:val="none"/>
          <w:lang w:val="en-US" w:eastAsia="zh-CN"/>
        </w:rPr>
      </w:pPr>
      <w:bookmarkStart w:id="9" w:name="_Toc19946"/>
      <w:r>
        <w:rPr>
          <w:rFonts w:hint="eastAsia" w:ascii="仿宋" w:hAnsi="仿宋" w:eastAsia="仿宋" w:cs="仿宋"/>
          <w:sz w:val="32"/>
          <w:szCs w:val="32"/>
          <w:highlight w:val="none"/>
          <w:lang w:val="en-US" w:eastAsia="zh-CN"/>
        </w:rPr>
        <w:t>供应商须知前附表</w:t>
      </w:r>
      <w:bookmarkEnd w:id="9"/>
    </w:p>
    <w:p w14:paraId="1D25BBF1">
      <w:pPr>
        <w:rPr>
          <w:rFonts w:hint="eastAsia" w:ascii="仿宋" w:hAnsi="仿宋" w:eastAsia="仿宋" w:cs="仿宋"/>
          <w:sz w:val="24"/>
          <w:szCs w:val="24"/>
          <w:highlight w:val="none"/>
          <w:lang w:val="en-US" w:eastAsia="zh-CN"/>
        </w:rPr>
      </w:pPr>
    </w:p>
    <w:p w14:paraId="2DCA2E1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本表是本采购项目的具体资料，是对供应商须知的具体补充和修改，如有矛盾，均以本资料表为准。标记“☑”的选项意为适用于本项目，标记“□”的选项意为不适用于本项目。</w:t>
      </w:r>
    </w:p>
    <w:p w14:paraId="4335EDB2">
      <w:pPr>
        <w:pStyle w:val="12"/>
        <w:rPr>
          <w:rFonts w:hint="eastAsia" w:ascii="仿宋" w:hAnsi="仿宋" w:eastAsia="仿宋" w:cs="仿宋"/>
          <w:highlight w:val="none"/>
          <w:lang w:val="en-US" w:eastAsia="zh-CN"/>
        </w:rPr>
      </w:pP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098E16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66FA54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highlight w:val="none"/>
                <w:vertAlign w:val="baseline"/>
              </w:rPr>
            </w:pPr>
            <w:r>
              <w:rPr>
                <w:rFonts w:hint="eastAsia" w:ascii="仿宋" w:hAnsi="仿宋" w:eastAsia="仿宋" w:cs="仿宋"/>
                <w:b/>
                <w:bCs/>
                <w:sz w:val="24"/>
                <w:szCs w:val="24"/>
                <w:highlight w:val="none"/>
                <w:vertAlign w:val="baseline"/>
                <w:lang w:val="en-US" w:eastAsia="zh-CN"/>
              </w:rPr>
              <w:t>条款号</w:t>
            </w:r>
          </w:p>
        </w:tc>
        <w:tc>
          <w:tcPr>
            <w:tcW w:w="6652" w:type="dxa"/>
            <w:tcBorders>
              <w:tl2br w:val="nil"/>
              <w:tr2bl w:val="nil"/>
            </w:tcBorders>
          </w:tcPr>
          <w:p w14:paraId="6E6F8D4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highlight w:val="none"/>
                <w:vertAlign w:val="baseline"/>
              </w:rPr>
            </w:pPr>
            <w:r>
              <w:rPr>
                <w:rFonts w:hint="eastAsia" w:ascii="仿宋" w:hAnsi="仿宋" w:eastAsia="仿宋" w:cs="仿宋"/>
                <w:b/>
                <w:bCs/>
                <w:sz w:val="24"/>
                <w:szCs w:val="24"/>
                <w:highlight w:val="none"/>
                <w:vertAlign w:val="baseline"/>
                <w:lang w:val="en-US" w:eastAsia="zh-CN"/>
              </w:rPr>
              <w:t>内容</w:t>
            </w:r>
          </w:p>
        </w:tc>
      </w:tr>
      <w:tr w14:paraId="371911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7DED64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w:t>
            </w:r>
          </w:p>
        </w:tc>
        <w:tc>
          <w:tcPr>
            <w:tcW w:w="6652" w:type="dxa"/>
            <w:tcBorders>
              <w:tl2br w:val="nil"/>
              <w:tr2bl w:val="nil"/>
            </w:tcBorders>
            <w:vAlign w:val="center"/>
          </w:tcPr>
          <w:p w14:paraId="77D8383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采购人：新疆师范大学</w:t>
            </w:r>
          </w:p>
          <w:p w14:paraId="40F63F1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地  址：新疆维吾尔自治区乌鲁木齐市水磨沟区观园路100号 </w:t>
            </w:r>
          </w:p>
          <w:p w14:paraId="71A44F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电  话：王老师  0991-4112288</w:t>
            </w:r>
          </w:p>
        </w:tc>
      </w:tr>
      <w:tr w14:paraId="405BF5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B1D7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1.2</w:t>
            </w:r>
          </w:p>
        </w:tc>
        <w:tc>
          <w:tcPr>
            <w:tcW w:w="6652" w:type="dxa"/>
            <w:tcBorders>
              <w:tl2br w:val="nil"/>
              <w:tr2bl w:val="nil"/>
            </w:tcBorders>
            <w:vAlign w:val="center"/>
          </w:tcPr>
          <w:p w14:paraId="57D656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采购代理机构：新疆世纪星工程咨询有限公司 </w:t>
            </w:r>
          </w:p>
          <w:p w14:paraId="4CDBAB4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地址：乌鲁木齐经济技术开发区二期黄山街一品九点阳光德港大厦B座20楼 </w:t>
            </w:r>
          </w:p>
          <w:p w14:paraId="742C13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业务联系人：李梦媛        电话：0991-3678303 </w:t>
            </w:r>
          </w:p>
          <w:p w14:paraId="0EBD0A5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电子邮箱：415485763@qq.com</w:t>
            </w:r>
          </w:p>
        </w:tc>
      </w:tr>
      <w:tr w14:paraId="1F2CB6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3EE8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1.3.3</w:t>
            </w:r>
          </w:p>
        </w:tc>
        <w:tc>
          <w:tcPr>
            <w:tcW w:w="6652" w:type="dxa"/>
            <w:tcBorders>
              <w:tl2br w:val="nil"/>
              <w:tr2bl w:val="nil"/>
            </w:tcBorders>
            <w:vAlign w:val="center"/>
          </w:tcPr>
          <w:p w14:paraId="4FEE125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rPr>
              <w:t>合格</w:t>
            </w:r>
            <w:r>
              <w:rPr>
                <w:rFonts w:hint="eastAsia" w:ascii="仿宋" w:hAnsi="仿宋" w:eastAsia="仿宋" w:cs="仿宋"/>
                <w:sz w:val="24"/>
                <w:szCs w:val="24"/>
                <w:highlight w:val="none"/>
                <w:vertAlign w:val="baseline"/>
                <w:lang w:val="en-US" w:eastAsia="zh-CN"/>
              </w:rPr>
              <w:t>供应商</w:t>
            </w:r>
            <w:r>
              <w:rPr>
                <w:rFonts w:hint="eastAsia" w:ascii="仿宋" w:hAnsi="仿宋" w:eastAsia="仿宋" w:cs="仿宋"/>
                <w:sz w:val="24"/>
                <w:szCs w:val="24"/>
                <w:highlight w:val="none"/>
                <w:vertAlign w:val="baseline"/>
              </w:rPr>
              <w:t>的其他资格要求：</w:t>
            </w:r>
            <w:r>
              <w:rPr>
                <w:rFonts w:hint="eastAsia" w:ascii="仿宋" w:hAnsi="仿宋" w:eastAsia="仿宋" w:cs="仿宋"/>
                <w:sz w:val="24"/>
                <w:szCs w:val="24"/>
                <w:highlight w:val="none"/>
                <w:vertAlign w:val="baseline"/>
                <w:lang w:val="en-US" w:eastAsia="zh-CN"/>
              </w:rPr>
              <w:t>无</w:t>
            </w:r>
          </w:p>
        </w:tc>
      </w:tr>
      <w:tr w14:paraId="228D4D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77C5F9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1.4</w:t>
            </w:r>
          </w:p>
        </w:tc>
        <w:tc>
          <w:tcPr>
            <w:tcW w:w="6652" w:type="dxa"/>
            <w:tcBorders>
              <w:tl2br w:val="nil"/>
              <w:tr2bl w:val="nil"/>
            </w:tcBorders>
            <w:vAlign w:val="center"/>
          </w:tcPr>
          <w:p w14:paraId="1DC6BF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是否允许采购进口产品：否</w:t>
            </w:r>
          </w:p>
        </w:tc>
      </w:tr>
      <w:tr w14:paraId="075970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584A8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1.5.1</w:t>
            </w:r>
          </w:p>
        </w:tc>
        <w:tc>
          <w:tcPr>
            <w:tcW w:w="6652" w:type="dxa"/>
            <w:tcBorders>
              <w:tl2br w:val="nil"/>
              <w:tr2bl w:val="nil"/>
            </w:tcBorders>
            <w:vAlign w:val="center"/>
          </w:tcPr>
          <w:p w14:paraId="634566A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本项目采购标的对应的中小企业划分标准所属行业：</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905"/>
              <w:gridCol w:w="2983"/>
            </w:tblGrid>
            <w:tr w14:paraId="64CD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14:paraId="017E422E">
                  <w:pPr>
                    <w:pStyle w:val="12"/>
                    <w:ind w:left="0" w:leftChars="0" w:firstLine="0" w:firstLineChars="0"/>
                    <w:jc w:val="center"/>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val="en-US" w:eastAsia="zh-CN"/>
                    </w:rPr>
                    <w:t>包号</w:t>
                  </w:r>
                </w:p>
              </w:tc>
              <w:tc>
                <w:tcPr>
                  <w:tcW w:w="1905" w:type="dxa"/>
                </w:tcPr>
                <w:p w14:paraId="4F323CFD">
                  <w:pPr>
                    <w:pStyle w:val="12"/>
                    <w:ind w:left="0" w:leftChars="0" w:firstLine="0" w:firstLineChars="0"/>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标的名称</w:t>
                  </w:r>
                </w:p>
              </w:tc>
              <w:tc>
                <w:tcPr>
                  <w:tcW w:w="2983" w:type="dxa"/>
                </w:tcPr>
                <w:p w14:paraId="009E42AF">
                  <w:pPr>
                    <w:pStyle w:val="12"/>
                    <w:ind w:left="0" w:leftChars="0" w:firstLine="0" w:firstLineChars="0"/>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中小企业划分标准所属行业</w:t>
                  </w:r>
                </w:p>
              </w:tc>
            </w:tr>
            <w:tr w14:paraId="6DDB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14:paraId="719EFEDC">
                  <w:pPr>
                    <w:pStyle w:val="12"/>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905" w:type="dxa"/>
                </w:tcPr>
                <w:p w14:paraId="232037EC">
                  <w:pPr>
                    <w:pStyle w:val="12"/>
                    <w:ind w:left="0" w:leftChars="0" w:firstLine="0" w:firstLineChars="0"/>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新疆师范大学2025年数字图书信息资源和共享平台建设-阅读推广项目</w:t>
                  </w:r>
                </w:p>
              </w:tc>
              <w:tc>
                <w:tcPr>
                  <w:tcW w:w="2983" w:type="dxa"/>
                </w:tcPr>
                <w:p w14:paraId="21A1F019">
                  <w:pPr>
                    <w:pStyle w:val="12"/>
                    <w:ind w:left="0" w:leftChars="0" w:firstLine="0" w:firstLine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其他未列明行业</w:t>
                  </w:r>
                </w:p>
              </w:tc>
            </w:tr>
          </w:tbl>
          <w:p w14:paraId="6A13B0CE">
            <w:pPr>
              <w:pStyle w:val="12"/>
              <w:ind w:left="0" w:leftChars="0" w:firstLine="0" w:firstLineChars="0"/>
              <w:rPr>
                <w:rFonts w:hint="eastAsia" w:ascii="仿宋" w:hAnsi="仿宋" w:eastAsia="仿宋" w:cs="仿宋"/>
                <w:highlight w:val="none"/>
              </w:rPr>
            </w:pPr>
          </w:p>
        </w:tc>
      </w:tr>
      <w:tr w14:paraId="46865F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65D85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1.5.2</w:t>
            </w:r>
          </w:p>
        </w:tc>
        <w:tc>
          <w:tcPr>
            <w:tcW w:w="6652" w:type="dxa"/>
            <w:tcBorders>
              <w:tl2br w:val="nil"/>
              <w:tr2bl w:val="nil"/>
            </w:tcBorders>
            <w:vAlign w:val="center"/>
          </w:tcPr>
          <w:p w14:paraId="742DBFD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□本项目不专门面向中小企业预留采购份额。</w:t>
            </w:r>
          </w:p>
          <w:p w14:paraId="5EB0E6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 xml:space="preserve">☑本项目专门面向☑中小□小微企业 采购。即: </w:t>
            </w:r>
            <w:r>
              <w:rPr>
                <w:rFonts w:hint="eastAsia" w:ascii="仿宋" w:hAnsi="仿宋" w:eastAsia="仿宋" w:cs="仿宋"/>
                <w:sz w:val="24"/>
                <w:szCs w:val="24"/>
                <w:highlight w:val="none"/>
                <w:u w:val="single"/>
                <w:vertAlign w:val="baseline"/>
                <w:lang w:val="en-US" w:eastAsia="zh-CN"/>
              </w:rPr>
              <w:t>提供的服务全部由符合政策要求的☑中小/□小微企业承接。</w:t>
            </w:r>
          </w:p>
          <w:p w14:paraId="2B21830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
                <w:b/>
                <w:bCs/>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704D33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BA128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1.11</w:t>
            </w:r>
          </w:p>
        </w:tc>
        <w:tc>
          <w:tcPr>
            <w:tcW w:w="6652" w:type="dxa"/>
            <w:tcBorders>
              <w:tl2br w:val="nil"/>
              <w:tr2bl w:val="nil"/>
            </w:tcBorders>
            <w:vAlign w:val="center"/>
          </w:tcPr>
          <w:p w14:paraId="7E4C28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是否允许联合体参加</w:t>
            </w:r>
            <w:r>
              <w:rPr>
                <w:rFonts w:hint="eastAsia" w:ascii="仿宋" w:hAnsi="仿宋" w:eastAsia="仿宋" w:cs="仿宋"/>
                <w:sz w:val="24"/>
                <w:szCs w:val="24"/>
                <w:highlight w:val="none"/>
                <w:vertAlign w:val="baseline"/>
                <w:lang w:eastAsia="zh-CN"/>
              </w:rPr>
              <w:t>磋商</w:t>
            </w:r>
            <w:r>
              <w:rPr>
                <w:rFonts w:hint="eastAsia" w:ascii="仿宋" w:hAnsi="仿宋" w:eastAsia="仿宋" w:cs="仿宋"/>
                <w:sz w:val="24"/>
                <w:szCs w:val="24"/>
                <w:highlight w:val="none"/>
                <w:vertAlign w:val="baseline"/>
              </w:rPr>
              <w:t>：否</w:t>
            </w:r>
          </w:p>
          <w:p w14:paraId="6235CC6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联合体的其他资格要求：无</w:t>
            </w:r>
          </w:p>
        </w:tc>
      </w:tr>
      <w:tr w14:paraId="0325FD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214145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w:t>
            </w:r>
          </w:p>
        </w:tc>
        <w:tc>
          <w:tcPr>
            <w:tcW w:w="6652" w:type="dxa"/>
            <w:tcBorders>
              <w:tl2br w:val="nil"/>
              <w:tr2bl w:val="nil"/>
            </w:tcBorders>
            <w:vAlign w:val="center"/>
          </w:tcPr>
          <w:p w14:paraId="5B5EE18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项目预算金额：30.10万元</w:t>
            </w:r>
          </w:p>
          <w:p w14:paraId="16F230F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最高限价：30.10万元</w:t>
            </w:r>
          </w:p>
        </w:tc>
      </w:tr>
      <w:tr w14:paraId="646C87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A3B8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5.4</w:t>
            </w:r>
          </w:p>
        </w:tc>
        <w:tc>
          <w:tcPr>
            <w:tcW w:w="6652" w:type="dxa"/>
            <w:tcBorders>
              <w:tl2br w:val="nil"/>
              <w:tr2bl w:val="nil"/>
            </w:tcBorders>
            <w:vAlign w:val="center"/>
          </w:tcPr>
          <w:p w14:paraId="061CB80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是否组织现场考察或者召开答疑会：否 </w:t>
            </w:r>
          </w:p>
          <w:p w14:paraId="75B559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组织现场考察或者召开答疑会相关要求：/</w:t>
            </w:r>
          </w:p>
        </w:tc>
      </w:tr>
      <w:tr w14:paraId="25F2CE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3B5974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 xml:space="preserve">5.7 </w:t>
            </w:r>
          </w:p>
        </w:tc>
        <w:tc>
          <w:tcPr>
            <w:tcW w:w="6652" w:type="dxa"/>
            <w:tcBorders>
              <w:tl2br w:val="nil"/>
              <w:tr2bl w:val="nil"/>
            </w:tcBorders>
            <w:vAlign w:val="center"/>
          </w:tcPr>
          <w:p w14:paraId="7E2A9F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是否需要提供样品：否 </w:t>
            </w:r>
          </w:p>
          <w:p w14:paraId="69E5E55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提供样品要求包括：（样品的制作标准和要求、接收及退还，样品检测报告，检测机构、检测内容等内容）</w:t>
            </w:r>
          </w:p>
        </w:tc>
      </w:tr>
      <w:tr w14:paraId="14A21B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0AEF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 xml:space="preserve">7.1 </w:t>
            </w:r>
          </w:p>
        </w:tc>
        <w:tc>
          <w:tcPr>
            <w:tcW w:w="6652" w:type="dxa"/>
            <w:tcBorders>
              <w:tl2br w:val="nil"/>
              <w:tr2bl w:val="nil"/>
            </w:tcBorders>
            <w:vAlign w:val="center"/>
          </w:tcPr>
          <w:p w14:paraId="092F2F6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如</w:t>
            </w:r>
            <w:r>
              <w:rPr>
                <w:rFonts w:hint="eastAsia" w:ascii="仿宋" w:hAnsi="仿宋" w:eastAsia="仿宋" w:cs="仿宋"/>
                <w:sz w:val="24"/>
                <w:szCs w:val="24"/>
                <w:highlight w:val="none"/>
                <w:vertAlign w:val="baseline"/>
                <w:lang w:val="en-US" w:eastAsia="zh-CN"/>
              </w:rPr>
              <w:t>供应商</w:t>
            </w:r>
            <w:r>
              <w:rPr>
                <w:rFonts w:hint="eastAsia" w:ascii="仿宋" w:hAnsi="仿宋" w:eastAsia="仿宋" w:cs="仿宋"/>
                <w:sz w:val="24"/>
                <w:szCs w:val="24"/>
                <w:highlight w:val="none"/>
                <w:vertAlign w:val="baseline"/>
              </w:rPr>
              <w:t>对</w:t>
            </w:r>
            <w:r>
              <w:rPr>
                <w:rFonts w:hint="eastAsia" w:ascii="仿宋" w:hAnsi="仿宋" w:eastAsia="仿宋" w:cs="仿宋"/>
                <w:b/>
                <w:bCs/>
                <w:sz w:val="24"/>
                <w:szCs w:val="24"/>
                <w:highlight w:val="none"/>
                <w:vertAlign w:val="baseline"/>
              </w:rPr>
              <w:t>多</w:t>
            </w:r>
            <w:r>
              <w:rPr>
                <w:rFonts w:hint="eastAsia" w:ascii="仿宋" w:hAnsi="仿宋" w:eastAsia="仿宋" w:cs="仿宋"/>
                <w:sz w:val="24"/>
                <w:szCs w:val="24"/>
                <w:highlight w:val="none"/>
                <w:vertAlign w:val="baseline"/>
              </w:rPr>
              <w:t>个包进行</w:t>
            </w:r>
            <w:r>
              <w:rPr>
                <w:rFonts w:hint="eastAsia" w:ascii="仿宋" w:hAnsi="仿宋" w:eastAsia="仿宋" w:cs="仿宋"/>
                <w:sz w:val="24"/>
                <w:szCs w:val="24"/>
                <w:highlight w:val="none"/>
                <w:vertAlign w:val="baseline"/>
                <w:lang w:val="en-US" w:eastAsia="zh-CN"/>
              </w:rPr>
              <w:t>磋商响应</w:t>
            </w:r>
            <w:r>
              <w:rPr>
                <w:rFonts w:hint="eastAsia" w:ascii="仿宋" w:hAnsi="仿宋" w:eastAsia="仿宋" w:cs="仿宋"/>
                <w:sz w:val="24"/>
                <w:szCs w:val="24"/>
                <w:highlight w:val="none"/>
                <w:vertAlign w:val="baseline"/>
              </w:rPr>
              <w:t>，可以</w:t>
            </w:r>
            <w:r>
              <w:rPr>
                <w:rFonts w:hint="eastAsia" w:ascii="仿宋" w:hAnsi="仿宋" w:eastAsia="仿宋" w:cs="仿宋"/>
                <w:sz w:val="24"/>
                <w:szCs w:val="24"/>
                <w:highlight w:val="none"/>
                <w:vertAlign w:val="baseline"/>
                <w:lang w:val="en-US" w:eastAsia="zh-CN"/>
              </w:rPr>
              <w:t>成交</w:t>
            </w:r>
            <w:r>
              <w:rPr>
                <w:rFonts w:hint="eastAsia" w:ascii="仿宋" w:hAnsi="仿宋" w:eastAsia="仿宋" w:cs="仿宋"/>
                <w:b/>
                <w:bCs/>
                <w:sz w:val="24"/>
                <w:szCs w:val="24"/>
                <w:highlight w:val="none"/>
                <w:u w:val="single"/>
                <w:vertAlign w:val="baseline"/>
                <w:lang w:val="en-US" w:eastAsia="zh-CN"/>
              </w:rPr>
              <w:t>一</w:t>
            </w:r>
            <w:r>
              <w:rPr>
                <w:rFonts w:hint="eastAsia" w:ascii="仿宋" w:hAnsi="仿宋" w:eastAsia="仿宋" w:cs="仿宋"/>
                <w:sz w:val="24"/>
                <w:szCs w:val="24"/>
                <w:highlight w:val="none"/>
                <w:vertAlign w:val="baseline"/>
              </w:rPr>
              <w:t>包</w:t>
            </w:r>
          </w:p>
          <w:p w14:paraId="3BC001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（本项目不适用）</w:t>
            </w:r>
          </w:p>
        </w:tc>
      </w:tr>
      <w:tr w14:paraId="039727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CC77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c>
          <w:tcPr>
            <w:tcW w:w="6652" w:type="dxa"/>
            <w:tcBorders>
              <w:tl2br w:val="nil"/>
              <w:tr2bl w:val="nil"/>
            </w:tcBorders>
            <w:vAlign w:val="center"/>
          </w:tcPr>
          <w:p w14:paraId="79BC375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保证金形式：支票、汇票、本票、网上银行支付等政府采购法律法规中要求的非现金形式</w:t>
            </w:r>
          </w:p>
          <w:p w14:paraId="007F17C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rPr>
              <w:t>保证金数额：</w:t>
            </w:r>
            <w:r>
              <w:rPr>
                <w:rFonts w:hint="eastAsia" w:ascii="仿宋" w:hAnsi="仿宋" w:eastAsia="仿宋" w:cs="仿宋"/>
                <w:sz w:val="24"/>
                <w:szCs w:val="24"/>
                <w:highlight w:val="none"/>
                <w:vertAlign w:val="baseline"/>
                <w:lang w:val="en-US" w:eastAsia="zh-CN"/>
              </w:rPr>
              <w:t>6020</w:t>
            </w:r>
            <w:r>
              <w:rPr>
                <w:rFonts w:hint="eastAsia" w:ascii="仿宋" w:hAnsi="仿宋" w:eastAsia="仿宋" w:cs="仿宋"/>
                <w:sz w:val="24"/>
                <w:szCs w:val="24"/>
                <w:highlight w:val="none"/>
                <w:vertAlign w:val="baseline"/>
              </w:rPr>
              <w:t xml:space="preserve">元 </w:t>
            </w:r>
            <w:r>
              <w:rPr>
                <w:rFonts w:hint="eastAsia" w:ascii="仿宋" w:hAnsi="仿宋" w:eastAsia="仿宋" w:cs="仿宋"/>
                <w:sz w:val="24"/>
                <w:szCs w:val="24"/>
                <w:highlight w:val="none"/>
                <w:vertAlign w:val="baseline"/>
                <w:lang w:val="en-US" w:eastAsia="zh-CN"/>
              </w:rPr>
              <w:t>(人民币陆仟零贰拾圆整）</w:t>
            </w:r>
          </w:p>
          <w:p w14:paraId="15E260EA">
            <w:pPr>
              <w:spacing w:line="500" w:lineRule="exact"/>
              <w:rPr>
                <w:rFonts w:hint="eastAsia" w:ascii="仿宋" w:hAnsi="仿宋" w:eastAsia="仿宋" w:cs="仿宋"/>
                <w:sz w:val="24"/>
                <w:highlight w:val="none"/>
              </w:rPr>
            </w:pPr>
            <w:r>
              <w:rPr>
                <w:rFonts w:hint="eastAsia" w:ascii="仿宋" w:hAnsi="仿宋" w:eastAsia="仿宋" w:cs="仿宋"/>
                <w:sz w:val="24"/>
                <w:highlight w:val="none"/>
              </w:rPr>
              <w:t>如采用网上银行方式，采购代理机构账号信息如下：</w:t>
            </w:r>
          </w:p>
          <w:p w14:paraId="4257B7B2">
            <w:pPr>
              <w:spacing w:line="500" w:lineRule="exact"/>
              <w:rPr>
                <w:rFonts w:hint="eastAsia" w:ascii="仿宋" w:hAnsi="仿宋" w:eastAsia="仿宋" w:cs="仿宋"/>
                <w:sz w:val="24"/>
                <w:highlight w:val="none"/>
              </w:rPr>
            </w:pPr>
            <w:r>
              <w:rPr>
                <w:rFonts w:hint="eastAsia" w:ascii="仿宋" w:hAnsi="仿宋" w:eastAsia="仿宋" w:cs="仿宋"/>
                <w:sz w:val="24"/>
                <w:highlight w:val="none"/>
              </w:rPr>
              <w:t>保证金收款人：新疆世纪星工程咨询有限公司</w:t>
            </w:r>
          </w:p>
          <w:p w14:paraId="4D447DD8">
            <w:pPr>
              <w:spacing w:line="500" w:lineRule="exact"/>
              <w:rPr>
                <w:rFonts w:hint="eastAsia" w:ascii="仿宋" w:hAnsi="仿宋" w:eastAsia="仿宋" w:cs="仿宋"/>
                <w:sz w:val="24"/>
                <w:highlight w:val="none"/>
              </w:rPr>
            </w:pPr>
            <w:r>
              <w:rPr>
                <w:rFonts w:hint="eastAsia" w:ascii="仿宋" w:hAnsi="仿宋" w:eastAsia="仿宋" w:cs="仿宋"/>
                <w:sz w:val="24"/>
                <w:highlight w:val="none"/>
              </w:rPr>
              <w:t>保证金收款账号：512090100100073085</w:t>
            </w:r>
          </w:p>
          <w:p w14:paraId="7E735F9C">
            <w:pPr>
              <w:spacing w:line="500" w:lineRule="exact"/>
              <w:rPr>
                <w:rFonts w:hint="eastAsia" w:ascii="仿宋" w:hAnsi="仿宋" w:eastAsia="仿宋" w:cs="仿宋"/>
                <w:sz w:val="24"/>
                <w:highlight w:val="none"/>
              </w:rPr>
            </w:pPr>
            <w:r>
              <w:rPr>
                <w:rFonts w:hint="eastAsia" w:ascii="仿宋" w:hAnsi="仿宋" w:eastAsia="仿宋" w:cs="仿宋"/>
                <w:sz w:val="24"/>
                <w:highlight w:val="none"/>
              </w:rPr>
              <w:t>保证收款银行及行号: 兴业银行乌鲁木齐分行营业部309881002010</w:t>
            </w:r>
          </w:p>
          <w:p w14:paraId="34F7527B">
            <w:pPr>
              <w:spacing w:line="500" w:lineRule="exact"/>
              <w:rPr>
                <w:rFonts w:hint="eastAsia" w:ascii="仿宋" w:hAnsi="仿宋" w:eastAsia="仿宋" w:cs="仿宋"/>
                <w:sz w:val="24"/>
                <w:highlight w:val="none"/>
              </w:rPr>
            </w:pPr>
            <w:r>
              <w:rPr>
                <w:rFonts w:hint="eastAsia" w:ascii="仿宋" w:hAnsi="仿宋" w:eastAsia="仿宋" w:cs="仿宋"/>
                <w:sz w:val="24"/>
                <w:highlight w:val="none"/>
              </w:rPr>
              <w:t>投标保证金到账（保函提交）截止时间同投标截止时间。</w:t>
            </w:r>
          </w:p>
          <w:p w14:paraId="2EE3300A">
            <w:pPr>
              <w:spacing w:line="500" w:lineRule="exact"/>
              <w:rPr>
                <w:rFonts w:hint="eastAsia" w:ascii="仿宋" w:hAnsi="仿宋" w:eastAsia="仿宋" w:cs="仿宋"/>
                <w:sz w:val="24"/>
                <w:highlight w:val="none"/>
              </w:rPr>
            </w:pPr>
            <w:r>
              <w:rPr>
                <w:rFonts w:hint="eastAsia" w:ascii="仿宋" w:hAnsi="仿宋" w:eastAsia="仿宋" w:cs="仿宋"/>
                <w:sz w:val="24"/>
                <w:highlight w:val="none"/>
              </w:rPr>
              <w:t>以支票、汇票、本票、网上银行支付等形式提交投标保证金的，应在投标截止时间前到账；</w:t>
            </w:r>
          </w:p>
          <w:p w14:paraId="2E69FE0F">
            <w:pPr>
              <w:spacing w:line="500" w:lineRule="exact"/>
              <w:rPr>
                <w:rFonts w:hint="eastAsia" w:ascii="仿宋" w:hAnsi="仿宋" w:eastAsia="仿宋" w:cs="仿宋"/>
                <w:sz w:val="24"/>
                <w:highlight w:val="none"/>
              </w:rPr>
            </w:pPr>
            <w:r>
              <w:rPr>
                <w:rFonts w:hint="eastAsia" w:ascii="仿宋" w:hAnsi="仿宋" w:eastAsia="仿宋" w:cs="仿宋"/>
                <w:sz w:val="24"/>
                <w:highlight w:val="none"/>
              </w:rPr>
              <w:t>由于到账时间晚于投标截止时间的，或者票据错误、印鉴不清等原因导致不能到账的，其投标无效。</w:t>
            </w:r>
          </w:p>
          <w:p w14:paraId="2D9F852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highlight w:val="none"/>
              </w:rPr>
              <w:t>投标保证金有效期与投标有效期一致。</w:t>
            </w:r>
          </w:p>
        </w:tc>
      </w:tr>
      <w:tr w14:paraId="27F731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E0F23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11.1</w:t>
            </w:r>
          </w:p>
        </w:tc>
        <w:tc>
          <w:tcPr>
            <w:tcW w:w="6652" w:type="dxa"/>
            <w:tcBorders>
              <w:tl2br w:val="nil"/>
              <w:tr2bl w:val="nil"/>
            </w:tcBorders>
            <w:vAlign w:val="center"/>
          </w:tcPr>
          <w:p w14:paraId="4ECCE26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vertAlign w:val="baseline"/>
              </w:rPr>
            </w:pPr>
            <w:r>
              <w:rPr>
                <w:rFonts w:hint="eastAsia" w:ascii="仿宋" w:hAnsi="仿宋" w:eastAsia="仿宋" w:cs="仿宋"/>
                <w:b w:val="0"/>
                <w:bCs w:val="0"/>
                <w:sz w:val="24"/>
                <w:szCs w:val="24"/>
                <w:highlight w:val="none"/>
                <w:vertAlign w:val="baseline"/>
                <w:lang w:val="en-US" w:eastAsia="zh-CN"/>
              </w:rPr>
              <w:t>响应文件</w:t>
            </w:r>
            <w:r>
              <w:rPr>
                <w:rFonts w:hint="eastAsia" w:ascii="仿宋" w:hAnsi="仿宋" w:eastAsia="仿宋" w:cs="仿宋"/>
                <w:b w:val="0"/>
                <w:bCs w:val="0"/>
                <w:sz w:val="24"/>
                <w:szCs w:val="24"/>
                <w:highlight w:val="none"/>
                <w:vertAlign w:val="baseline"/>
              </w:rPr>
              <w:t>有效期：90 日历日</w:t>
            </w:r>
          </w:p>
        </w:tc>
      </w:tr>
      <w:tr w14:paraId="51EDE6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9CE9E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13.1</w:t>
            </w:r>
          </w:p>
        </w:tc>
        <w:tc>
          <w:tcPr>
            <w:tcW w:w="6652" w:type="dxa"/>
            <w:tcBorders>
              <w:tl2br w:val="nil"/>
              <w:tr2bl w:val="nil"/>
            </w:tcBorders>
            <w:vAlign w:val="center"/>
          </w:tcPr>
          <w:p w14:paraId="655FBF8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响应截止时间：2025 年04月21 日 11:00（北京时间）</w:t>
            </w:r>
          </w:p>
        </w:tc>
      </w:tr>
      <w:tr w14:paraId="2EDD9A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C6E6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14.1</w:t>
            </w:r>
          </w:p>
        </w:tc>
        <w:tc>
          <w:tcPr>
            <w:tcW w:w="6652" w:type="dxa"/>
            <w:tcBorders>
              <w:tl2br w:val="nil"/>
              <w:tr2bl w:val="nil"/>
            </w:tcBorders>
            <w:vAlign w:val="center"/>
          </w:tcPr>
          <w:p w14:paraId="401CA1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开标时间：同响应截止时间 </w:t>
            </w:r>
          </w:p>
          <w:p w14:paraId="278D6E1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开标地点：政采云平台（https://www.zcygov.cn/）不见面开标系统</w:t>
            </w:r>
          </w:p>
        </w:tc>
      </w:tr>
      <w:tr w14:paraId="1E25CD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4" w:space="0"/>
              <w:tl2br w:val="nil"/>
              <w:tr2bl w:val="nil"/>
            </w:tcBorders>
            <w:vAlign w:val="center"/>
          </w:tcPr>
          <w:p w14:paraId="034053A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6AE76F2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采购人是否委托评标委员会直接确定中标人：否 </w:t>
            </w:r>
          </w:p>
        </w:tc>
      </w:tr>
      <w:tr w14:paraId="58360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4" w:space="0"/>
              <w:tl2br w:val="nil"/>
              <w:tr2bl w:val="nil"/>
            </w:tcBorders>
            <w:vAlign w:val="center"/>
          </w:tcPr>
          <w:p w14:paraId="42A1B1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30A2B5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项目是否允许分包：</w:t>
            </w:r>
          </w:p>
          <w:p w14:paraId="54A235F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☑不允许</w:t>
            </w:r>
          </w:p>
          <w:p w14:paraId="6E591B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□允许，具体要求：</w:t>
            </w:r>
          </w:p>
          <w:p w14:paraId="1A285C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（1）可以分包履行的具体内容：</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p w14:paraId="3151282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（2）允许分包的金额或者比例：</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p w14:paraId="368FDE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（3）其他要求：</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tc>
      </w:tr>
      <w:tr w14:paraId="0608E5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59CF4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22.1</w:t>
            </w:r>
          </w:p>
        </w:tc>
        <w:tc>
          <w:tcPr>
            <w:tcW w:w="6652" w:type="dxa"/>
            <w:tcBorders>
              <w:tl2br w:val="nil"/>
              <w:tr2bl w:val="nil"/>
            </w:tcBorders>
            <w:vAlign w:val="center"/>
          </w:tcPr>
          <w:p w14:paraId="45C75B9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提交履约保证金的时间：/ </w:t>
            </w:r>
          </w:p>
          <w:p w14:paraId="562C7C2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履约保证金金额：/ </w:t>
            </w:r>
          </w:p>
          <w:p w14:paraId="48E96D5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履约保证金形式：/</w:t>
            </w:r>
          </w:p>
        </w:tc>
      </w:tr>
      <w:tr w14:paraId="3FB5B8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4" w:space="0"/>
              <w:tl2br w:val="nil"/>
              <w:tr2bl w:val="nil"/>
            </w:tcBorders>
            <w:vAlign w:val="center"/>
          </w:tcPr>
          <w:p w14:paraId="1B92BA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2FD92E0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是否由成交人缴纳招标代理费：是 </w:t>
            </w:r>
          </w:p>
          <w:p w14:paraId="46CE8D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招标代理费：参照原国家计委计价格【2002】1980 号文的计算方法收取。  </w:t>
            </w:r>
          </w:p>
          <w:p w14:paraId="1ACF1A1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支付形式：支票、电汇等形式 </w:t>
            </w:r>
          </w:p>
          <w:p w14:paraId="79FB356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支付时间：领取成交通知书的同时</w:t>
            </w:r>
          </w:p>
        </w:tc>
      </w:tr>
      <w:tr w14:paraId="1E98E9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4" w:space="0"/>
              <w:tl2br w:val="nil"/>
              <w:tr2bl w:val="nil"/>
            </w:tcBorders>
            <w:vAlign w:val="center"/>
          </w:tcPr>
          <w:p w14:paraId="3AD9D8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2AB5CB2F">
            <w:pPr>
              <w:spacing w:line="500" w:lineRule="exact"/>
              <w:rPr>
                <w:rFonts w:hint="eastAsia" w:ascii="仿宋" w:hAnsi="仿宋" w:eastAsia="仿宋" w:cs="仿宋"/>
                <w:sz w:val="24"/>
                <w:highlight w:val="none"/>
              </w:rPr>
            </w:pPr>
            <w:r>
              <w:rPr>
                <w:rFonts w:hint="eastAsia" w:ascii="仿宋" w:hAnsi="仿宋" w:eastAsia="仿宋" w:cs="仿宋"/>
                <w:sz w:val="24"/>
                <w:highlight w:val="none"/>
              </w:rPr>
              <w:t>接收询问和质疑的联系方式：</w:t>
            </w:r>
          </w:p>
          <w:p w14:paraId="152F593F">
            <w:pPr>
              <w:spacing w:line="500" w:lineRule="exact"/>
              <w:rPr>
                <w:rFonts w:hint="eastAsia" w:ascii="仿宋" w:hAnsi="仿宋" w:eastAsia="仿宋" w:cs="仿宋"/>
                <w:sz w:val="24"/>
                <w:highlight w:val="none"/>
              </w:rPr>
            </w:pPr>
            <w:r>
              <w:rPr>
                <w:rFonts w:hint="eastAsia" w:ascii="仿宋" w:hAnsi="仿宋" w:eastAsia="仿宋" w:cs="仿宋"/>
                <w:sz w:val="24"/>
                <w:highlight w:val="none"/>
              </w:rPr>
              <w:t>1、询问</w:t>
            </w:r>
          </w:p>
          <w:p w14:paraId="42FEA30A">
            <w:pPr>
              <w:spacing w:line="500" w:lineRule="exact"/>
              <w:rPr>
                <w:rFonts w:hint="eastAsia" w:ascii="仿宋" w:hAnsi="仿宋" w:eastAsia="仿宋" w:cs="仿宋"/>
                <w:sz w:val="24"/>
                <w:highlight w:val="none"/>
              </w:rPr>
            </w:pPr>
            <w:r>
              <w:rPr>
                <w:rFonts w:hint="eastAsia" w:ascii="仿宋" w:hAnsi="仿宋" w:eastAsia="仿宋" w:cs="仿宋"/>
                <w:sz w:val="24"/>
                <w:highlight w:val="none"/>
              </w:rPr>
              <w:t>联系部门、联系电话、通讯地址：见第一章《</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公告》中的采购代理机构信息和项目联系方式。</w:t>
            </w:r>
          </w:p>
          <w:p w14:paraId="27919C81">
            <w:pPr>
              <w:spacing w:line="500" w:lineRule="exact"/>
              <w:rPr>
                <w:rFonts w:hint="eastAsia" w:ascii="仿宋" w:hAnsi="仿宋" w:eastAsia="仿宋" w:cs="仿宋"/>
                <w:sz w:val="24"/>
                <w:highlight w:val="none"/>
              </w:rPr>
            </w:pPr>
            <w:r>
              <w:rPr>
                <w:rFonts w:hint="eastAsia" w:ascii="仿宋" w:hAnsi="仿宋" w:eastAsia="仿宋" w:cs="仿宋"/>
                <w:sz w:val="24"/>
                <w:highlight w:val="none"/>
              </w:rPr>
              <w:t>2、质疑</w:t>
            </w:r>
          </w:p>
          <w:p w14:paraId="5EE66151">
            <w:pPr>
              <w:spacing w:line="500" w:lineRule="exact"/>
              <w:rPr>
                <w:rFonts w:hint="eastAsia" w:ascii="仿宋" w:hAnsi="仿宋" w:eastAsia="仿宋" w:cs="仿宋"/>
                <w:sz w:val="24"/>
                <w:highlight w:val="none"/>
              </w:rPr>
            </w:pPr>
            <w:r>
              <w:rPr>
                <w:rFonts w:hint="eastAsia" w:ascii="仿宋" w:hAnsi="仿宋" w:eastAsia="仿宋" w:cs="仿宋"/>
                <w:sz w:val="24"/>
                <w:highlight w:val="none"/>
              </w:rPr>
              <w:t>联系部门：新疆世纪星工程咨询有限公司招标部</w:t>
            </w:r>
          </w:p>
          <w:p w14:paraId="7E8D4C31">
            <w:pPr>
              <w:spacing w:line="500" w:lineRule="exact"/>
              <w:rPr>
                <w:rFonts w:hint="eastAsia" w:ascii="仿宋" w:hAnsi="仿宋" w:eastAsia="仿宋" w:cs="仿宋"/>
                <w:sz w:val="24"/>
                <w:highlight w:val="none"/>
              </w:rPr>
            </w:pPr>
            <w:r>
              <w:rPr>
                <w:rFonts w:hint="eastAsia" w:ascii="仿宋" w:hAnsi="仿宋" w:eastAsia="仿宋" w:cs="仿宋"/>
                <w:sz w:val="24"/>
                <w:highlight w:val="none"/>
              </w:rPr>
              <w:t>联系人、联系电话：李梦媛</w:t>
            </w:r>
            <w:r>
              <w:rPr>
                <w:rFonts w:hint="eastAsia" w:ascii="仿宋" w:hAnsi="仿宋" w:eastAsia="仿宋" w:cs="仿宋"/>
                <w:sz w:val="24"/>
                <w:highlight w:val="none"/>
                <w:lang w:val="en-US" w:eastAsia="zh-CN"/>
              </w:rPr>
              <w:t xml:space="preserve"> </w:t>
            </w:r>
            <w:bookmarkStart w:id="118" w:name="_GoBack"/>
            <w:bookmarkEnd w:id="118"/>
            <w:r>
              <w:rPr>
                <w:rFonts w:hint="eastAsia" w:ascii="仿宋" w:hAnsi="仿宋" w:eastAsia="仿宋" w:cs="仿宋"/>
                <w:sz w:val="24"/>
                <w:highlight w:val="none"/>
              </w:rPr>
              <w:t xml:space="preserve">    0991-3678303</w:t>
            </w:r>
          </w:p>
          <w:p w14:paraId="7A757E0A">
            <w:pPr>
              <w:spacing w:line="500" w:lineRule="exact"/>
              <w:rPr>
                <w:rFonts w:hint="eastAsia" w:ascii="仿宋" w:hAnsi="仿宋" w:eastAsia="仿宋" w:cs="仿宋"/>
                <w:sz w:val="24"/>
                <w:highlight w:val="none"/>
              </w:rPr>
            </w:pPr>
            <w:r>
              <w:rPr>
                <w:rFonts w:hint="eastAsia" w:ascii="仿宋" w:hAnsi="仿宋" w:eastAsia="仿宋" w:cs="仿宋"/>
                <w:sz w:val="24"/>
                <w:highlight w:val="none"/>
              </w:rPr>
              <w:t>通讯地址：乌鲁木齐经济技术开发区二期黄山街一品九点阳光德港大厦B座20楼</w:t>
            </w:r>
          </w:p>
          <w:p w14:paraId="64574D7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bCs/>
                <w:sz w:val="24"/>
                <w:highlight w:val="none"/>
              </w:rPr>
              <w:t>其他要求：质疑书、授权委托书及报名成功截图PDF扫描件发送至代理机构邮箱，以上资料原件邮寄或送至代理机构。</w:t>
            </w:r>
          </w:p>
        </w:tc>
      </w:tr>
      <w:tr w14:paraId="2C94AB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135F60A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适用于本供应商须知的额外增加的变动：</w:t>
            </w:r>
          </w:p>
        </w:tc>
      </w:tr>
      <w:tr w14:paraId="61C69E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5476605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34228B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核心产品：（本项目不适用）</w:t>
            </w:r>
          </w:p>
          <w:p w14:paraId="57E3AF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□本项目</w:t>
            </w:r>
            <w:r>
              <w:rPr>
                <w:rFonts w:hint="eastAsia" w:ascii="仿宋" w:hAnsi="仿宋" w:eastAsia="仿宋" w:cs="仿宋"/>
                <w:b w:val="0"/>
                <w:bCs w:val="0"/>
                <w:sz w:val="24"/>
                <w:szCs w:val="24"/>
                <w:highlight w:val="none"/>
                <w:u w:val="single"/>
                <w:vertAlign w:val="baseline"/>
                <w:lang w:val="en-US" w:eastAsia="zh-CN"/>
              </w:rPr>
              <w:t>标项一</w:t>
            </w:r>
            <w:r>
              <w:rPr>
                <w:rFonts w:hint="eastAsia" w:ascii="仿宋" w:hAnsi="仿宋" w:eastAsia="仿宋" w:cs="仿宋"/>
                <w:b w:val="0"/>
                <w:bCs w:val="0"/>
                <w:sz w:val="24"/>
                <w:szCs w:val="24"/>
                <w:highlight w:val="none"/>
                <w:vertAlign w:val="baseline"/>
                <w:lang w:val="en-US" w:eastAsia="zh-CN"/>
              </w:rPr>
              <w:t>为单一产品采购项目。</w:t>
            </w:r>
          </w:p>
          <w:p w14:paraId="4EA0A56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□本项目</w:t>
            </w:r>
            <w:r>
              <w:rPr>
                <w:rFonts w:hint="eastAsia" w:ascii="仿宋" w:hAnsi="仿宋" w:eastAsia="仿宋" w:cs="仿宋"/>
                <w:b w:val="0"/>
                <w:bCs w:val="0"/>
                <w:sz w:val="24"/>
                <w:szCs w:val="24"/>
                <w:highlight w:val="none"/>
                <w:u w:val="single"/>
                <w:vertAlign w:val="baseline"/>
                <w:lang w:val="en-US" w:eastAsia="zh-CN"/>
              </w:rPr>
              <w:t>标项一</w:t>
            </w:r>
            <w:r>
              <w:rPr>
                <w:rFonts w:hint="eastAsia" w:ascii="仿宋" w:hAnsi="仿宋" w:eastAsia="仿宋" w:cs="仿宋"/>
                <w:b w:val="0"/>
                <w:bCs w:val="0"/>
                <w:sz w:val="24"/>
                <w:szCs w:val="24"/>
                <w:highlight w:val="none"/>
                <w:vertAlign w:val="baseline"/>
                <w:lang w:val="en-US" w:eastAsia="zh-CN"/>
              </w:rPr>
              <w:t>为非单一产品采购项目，核心产品为：</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 xml:space="preserve"> 。</w:t>
            </w:r>
          </w:p>
          <w:p w14:paraId="782BFB8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注：若不单独标明核心产品则所有产品均被视为核心产品</w:t>
            </w:r>
          </w:p>
        </w:tc>
      </w:tr>
      <w:tr w14:paraId="0758C9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4E5B51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24C04D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评标方法：综合评分法</w:t>
            </w:r>
          </w:p>
        </w:tc>
      </w:tr>
      <w:tr w14:paraId="2A2A1E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AA391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p>
        </w:tc>
        <w:tc>
          <w:tcPr>
            <w:tcW w:w="6652" w:type="dxa"/>
            <w:tcBorders>
              <w:top w:val="single" w:color="auto" w:sz="4" w:space="0"/>
              <w:tl2br w:val="nil"/>
              <w:tr2bl w:val="nil"/>
            </w:tcBorders>
            <w:vAlign w:val="center"/>
          </w:tcPr>
          <w:p w14:paraId="506602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项目属性：服务</w:t>
            </w:r>
          </w:p>
        </w:tc>
      </w:tr>
      <w:tr w14:paraId="3C1B9C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39C9A2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适用于本供应商须知的额外增加的变动：</w:t>
            </w:r>
          </w:p>
          <w:p w14:paraId="49D4CF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1、关于本项目所有公告、公示在新疆政府采购网发布。</w:t>
            </w:r>
          </w:p>
          <w:p w14:paraId="03AE969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2、请参加磋商供应商随时关注本项目的澄清、答疑、变更事项。</w:t>
            </w:r>
          </w:p>
          <w:p w14:paraId="0D7B512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3、本项目实行电子招投标，供应商须登录政采云平台申请获取招标文件，并通过政采云电子投标客户端制作响应文件，同时自行承担与投标有关的一切费用。</w:t>
            </w:r>
          </w:p>
          <w:p w14:paraId="7E528A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9AE38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25B31CB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2380D6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022407B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b/>
                <w:bCs/>
                <w:highlight w:val="none"/>
                <w:lang w:val="en-US" w:eastAsia="zh-CN"/>
              </w:rPr>
              <w:t>8、供应商在开标前须提前配置好电脑浏览器（建议使用360浏览器或谷歌浏览器），开标时请使用制作加密电子响应文件的CA锁进行解密及报价确认。本项目投标文件解密时间定为30分钟，如供应商因自身原因导致在规定的时间无法正常解密，视为开标后撤销其投标文件，投标保证金招标人有权不予退还。</w:t>
            </w:r>
          </w:p>
        </w:tc>
      </w:tr>
    </w:tbl>
    <w:p w14:paraId="02742A2C">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3C0C639A">
      <w:pPr>
        <w:pStyle w:val="3"/>
        <w:numPr>
          <w:ilvl w:val="0"/>
          <w:numId w:val="4"/>
        </w:numPr>
        <w:bidi w:val="0"/>
        <w:jc w:val="center"/>
        <w:rPr>
          <w:rFonts w:hint="eastAsia" w:ascii="仿宋" w:hAnsi="仿宋" w:eastAsia="仿宋" w:cs="仿宋"/>
          <w:sz w:val="32"/>
          <w:szCs w:val="32"/>
          <w:highlight w:val="none"/>
          <w:lang w:val="en-US" w:eastAsia="zh-CN"/>
        </w:rPr>
      </w:pPr>
      <w:bookmarkStart w:id="10" w:name="_Toc4905"/>
      <w:r>
        <w:rPr>
          <w:rFonts w:hint="eastAsia" w:ascii="仿宋" w:hAnsi="仿宋" w:eastAsia="仿宋" w:cs="仿宋"/>
          <w:sz w:val="32"/>
          <w:szCs w:val="32"/>
          <w:highlight w:val="none"/>
          <w:lang w:val="en-US" w:eastAsia="zh-CN"/>
        </w:rPr>
        <w:t>供应商须知</w:t>
      </w:r>
      <w:bookmarkEnd w:id="10"/>
    </w:p>
    <w:p w14:paraId="0F9AF31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sz w:val="32"/>
          <w:szCs w:val="32"/>
          <w:highlight w:val="none"/>
          <w:lang w:val="en-US" w:eastAsia="zh-CN"/>
        </w:rPr>
      </w:pPr>
    </w:p>
    <w:p w14:paraId="50639A88">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center"/>
        <w:textAlignment w:val="auto"/>
        <w:outlineLvl w:val="1"/>
        <w:rPr>
          <w:rFonts w:hint="eastAsia" w:ascii="仿宋" w:hAnsi="仿宋" w:eastAsia="仿宋" w:cs="仿宋"/>
          <w:b/>
          <w:bCs/>
          <w:sz w:val="24"/>
          <w:szCs w:val="24"/>
          <w:highlight w:val="none"/>
        </w:rPr>
      </w:pPr>
      <w:bookmarkStart w:id="11" w:name="_Toc11730"/>
      <w:r>
        <w:rPr>
          <w:rFonts w:hint="eastAsia" w:ascii="仿宋" w:hAnsi="仿宋" w:eastAsia="仿宋" w:cs="仿宋"/>
          <w:b/>
          <w:bCs/>
          <w:sz w:val="24"/>
          <w:szCs w:val="24"/>
          <w:highlight w:val="none"/>
        </w:rPr>
        <w:t>说 明</w:t>
      </w:r>
      <w:bookmarkEnd w:id="11"/>
    </w:p>
    <w:p w14:paraId="4069026A">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采购人、采购代理机构及供应商</w:t>
      </w:r>
    </w:p>
    <w:p w14:paraId="4E08BF8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采购人：是指依法进行政府采购的国家机构、事业单位、团体组织。</w:t>
      </w:r>
    </w:p>
    <w:p w14:paraId="5C370ADA">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采购代理机构：本次招标的采购代理机构为新疆世纪星工程咨询有限公司。</w:t>
      </w:r>
    </w:p>
    <w:p w14:paraId="4CD20A4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供应商：是指向采购人提供货物、工程或者服务的法人、其他组织或者自然人。</w:t>
      </w:r>
    </w:p>
    <w:p w14:paraId="3A612BA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供应商须满足以下条件：</w:t>
      </w:r>
    </w:p>
    <w:p w14:paraId="3496E908">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C115D2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以采购文件规定的方式获得了本项目的采购文件。</w:t>
      </w:r>
    </w:p>
    <w:p w14:paraId="0D8A1FD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符合</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中规定的其他资格要求。</w:t>
      </w:r>
    </w:p>
    <w:p w14:paraId="66F3D14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中未写明允许采购进口产品，如供应商所投产品为进口产品，其响应文件将作为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 xml:space="preserve">被拒绝。 </w:t>
      </w:r>
    </w:p>
    <w:p w14:paraId="78C5E18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中小企业、监狱企业及残疾人福利性单位。</w:t>
      </w:r>
    </w:p>
    <w:p w14:paraId="1F05B28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采购标的对应的中小企业划分标准所属行业见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5D0FCBE7">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。本项目是否面向中小企业采购预留份额、措施及比例见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，未达到上述比例的响应文件将被认定为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。承接企业如为监狱企业或残疾人福利性单位的，视同为小型、微型企业。</w:t>
      </w:r>
    </w:p>
    <w:p w14:paraId="1C76486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4BBF285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供应商提供的货物、工程或者服务符合下列情形的，享受中小企业扶持政策：</w:t>
      </w:r>
    </w:p>
    <w:p w14:paraId="771C75FB">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在货物采购项目中，货物由中小企业制造，即货物由中小企业生产且使用该中小企业商号或者注册商标；</w:t>
      </w:r>
    </w:p>
    <w:p w14:paraId="709FD63F">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在工程采购项目中，工程由中小企业承建，即工程施工单位为中小企业；</w:t>
      </w:r>
    </w:p>
    <w:p w14:paraId="6FF22B65">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28180EB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19E6B33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7E45463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C5BD20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257F1A67">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安置的残疾人占本单位在职职工人数的比例不低于25%（含25%），并且安置的残疾人人数不少于10人（含10人）； </w:t>
      </w:r>
    </w:p>
    <w:p w14:paraId="46E2537E">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依法与安置的每位残疾人签订了一年以上（含一年）的劳动合同或服务协议；</w:t>
      </w:r>
    </w:p>
    <w:p w14:paraId="0B23B3CF">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为安置的每位残疾人按月足额缴纳了基本养老保险、基本医疗保险、失业保险、工伤保险和生育保险等社会保险费；</w:t>
      </w:r>
    </w:p>
    <w:p w14:paraId="214D4998">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43EFB034">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9C4ADCD">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43B63E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享受中小企业扶持政策获得政府采购合同的，小微企业不得将合同分包给大中型企业，中型企业不得将合同分包给大型企业。</w:t>
      </w:r>
    </w:p>
    <w:p w14:paraId="2280066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w:t>
      </w:r>
    </w:p>
    <w:p w14:paraId="4CC2379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9D9AF0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14845BF7">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12B8C5D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17DE9AA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支持乡村产业振兴管理</w:t>
      </w:r>
    </w:p>
    <w:p w14:paraId="7310631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1624157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正版软件</w:t>
      </w:r>
    </w:p>
    <w:p w14:paraId="36BA36DF">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4A163F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7578BD4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供应商信用记录</w:t>
      </w:r>
    </w:p>
    <w:p w14:paraId="07E83A0F">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6C2E38A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采购需求标准</w:t>
      </w:r>
    </w:p>
    <w:p w14:paraId="239AD8A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sz w:val="24"/>
          <w:szCs w:val="24"/>
          <w:highlight w:val="none"/>
          <w:lang w:val="en-US" w:eastAsia="zh-CN"/>
        </w:rPr>
        <w:t>商品包装、快递包装政府采购需求标准（试行）</w:t>
      </w:r>
    </w:p>
    <w:p w14:paraId="700401C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15EEFA9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绿色数据中心政府采购需求标准（试行）</w:t>
      </w:r>
    </w:p>
    <w:p w14:paraId="237EE4E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6B796E91">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其他采购需求标准</w:t>
      </w:r>
    </w:p>
    <w:p w14:paraId="649B3D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0A9AF5B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中允许联合体投标，对联合体规定如下：</w:t>
      </w:r>
    </w:p>
    <w:p w14:paraId="0415A56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两个以上供应商可以组成一个联合体，以一个供应商的身份参加采购活动。</w:t>
      </w:r>
    </w:p>
    <w:p w14:paraId="198F1F8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7F698EC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采购人根据采购项目对供应商的特殊要求，联合体中至少应当有一方符合相关规定。</w:t>
      </w:r>
    </w:p>
    <w:p w14:paraId="6C2BDEA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FEED97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64D2DE4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联合体中有同类资质的供应商按照联合体分工承担相同工作的，按照资质等级较低的供应商确定资质等级。</w:t>
      </w:r>
    </w:p>
    <w:p w14:paraId="3BBF97B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对联合体投标的其他资格要求见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60CF8D7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单位负责人为同一人或者存在直接控股、管理关系的不同供应商，其响应文件将被认定为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 xml:space="preserve">。 </w:t>
      </w:r>
    </w:p>
    <w:p w14:paraId="6689781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为本项目提供整体设计、规范编制或者项目管理、监理、检测等服务的供应商，其响应文件将被认定为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3B27602D">
      <w:pPr>
        <w:keepNext w:val="0"/>
        <w:keepLines w:val="0"/>
        <w:pageBreakBefore w:val="0"/>
        <w:widowControl w:val="0"/>
        <w:numPr>
          <w:ilvl w:val="0"/>
          <w:numId w:val="1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资金来源 </w:t>
      </w:r>
    </w:p>
    <w:p w14:paraId="6CE5A227">
      <w:pPr>
        <w:keepNext w:val="0"/>
        <w:keepLines w:val="0"/>
        <w:pageBreakBefore w:val="0"/>
        <w:widowControl w:val="0"/>
        <w:numPr>
          <w:ilvl w:val="1"/>
          <w:numId w:val="10"/>
        </w:numPr>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4052DB8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项目预算金额和最高限价见</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w:t>
      </w:r>
    </w:p>
    <w:p w14:paraId="71BA9E3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供应商最后报价超过采购文件规定的预算金额或者最高限价的，其响应文件将被认定为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sz w:val="24"/>
          <w:szCs w:val="24"/>
          <w:highlight w:val="none"/>
          <w:lang w:val="en-US" w:eastAsia="zh-CN"/>
        </w:rPr>
        <w:t>。</w:t>
      </w:r>
    </w:p>
    <w:p w14:paraId="58F24EC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费用</w:t>
      </w:r>
    </w:p>
    <w:p w14:paraId="5A239C5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749E4B67">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适用法律</w:t>
      </w:r>
    </w:p>
    <w:p w14:paraId="2409236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67FCAC0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sz w:val="24"/>
          <w:szCs w:val="24"/>
          <w:highlight w:val="none"/>
          <w:lang w:val="en-US" w:eastAsia="zh-CN"/>
        </w:rPr>
      </w:pPr>
    </w:p>
    <w:p w14:paraId="08820F77">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2" w:name="_Toc3286"/>
      <w:r>
        <w:rPr>
          <w:rFonts w:hint="eastAsia" w:ascii="仿宋" w:hAnsi="仿宋" w:eastAsia="仿宋" w:cs="仿宋"/>
          <w:b/>
          <w:bCs/>
          <w:sz w:val="24"/>
          <w:szCs w:val="24"/>
          <w:highlight w:val="none"/>
          <w:lang w:val="en-US" w:eastAsia="zh-CN"/>
        </w:rPr>
        <w:t>采购文件</w:t>
      </w:r>
      <w:bookmarkEnd w:id="12"/>
    </w:p>
    <w:p w14:paraId="4E8B00A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采购文件构成</w:t>
      </w:r>
    </w:p>
    <w:p w14:paraId="75DA11C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采购文件包括以下部分：</w:t>
      </w:r>
    </w:p>
    <w:p w14:paraId="5780DF5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第一章 竞争性磋商公告 </w:t>
      </w:r>
    </w:p>
    <w:p w14:paraId="3A8D33A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第二章 供应商须知前附表 </w:t>
      </w:r>
    </w:p>
    <w:p w14:paraId="28E8BF4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第三章 供应商须知</w:t>
      </w:r>
    </w:p>
    <w:p w14:paraId="6EC67BD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第四章 政府采购合同 </w:t>
      </w:r>
    </w:p>
    <w:p w14:paraId="36D28C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第五章 采购需求 </w:t>
      </w:r>
    </w:p>
    <w:p w14:paraId="2019D9F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第六章 评标程序、评标方法和评标标准</w:t>
      </w:r>
    </w:p>
    <w:p w14:paraId="3972F9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第七章 响应文件格式   </w:t>
      </w:r>
    </w:p>
    <w:p w14:paraId="697DD42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 w:hAnsi="仿宋" w:eastAsia="仿宋" w:cs="仿宋"/>
          <w:b/>
          <w:bCs/>
          <w:sz w:val="24"/>
          <w:szCs w:val="24"/>
          <w:highlight w:val="none"/>
          <w:lang w:val="en-US" w:eastAsia="zh-CN"/>
        </w:rPr>
        <w:t>响应无效。</w:t>
      </w:r>
    </w:p>
    <w:p w14:paraId="678D5A4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729E4F1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现场考察或者答疑会及相关事项见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0B41E14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64B2331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供应商自行承担踏勘现场发生的责任、风险和自身费用。</w:t>
      </w:r>
    </w:p>
    <w:p w14:paraId="7DED075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，对样品的评审方法及评审标准见采购文件第六章《评标程序、评标方法和评标标准》。</w:t>
      </w:r>
    </w:p>
    <w:p w14:paraId="0C2A1E9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采购文件规定供应商提交样品的，样品属于响应文件的组成部分。样品的生产、运输、安装、保全等一切费用由供应商自理。</w:t>
      </w:r>
    </w:p>
    <w:p w14:paraId="4116E71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B1A60D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对采购文件的澄清或修改</w:t>
      </w:r>
    </w:p>
    <w:p w14:paraId="18E4B0B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08584A0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52AD45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7D44009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57E9902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如更正公告有重新发布电子采购文件的，供应商应登录电子招投标平台下载最新发布的电子采购文件制作响应文件。</w:t>
      </w:r>
    </w:p>
    <w:p w14:paraId="2B6D5CC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14C7358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6A69D560">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3" w:name="_Toc22592"/>
      <w:r>
        <w:rPr>
          <w:rFonts w:hint="eastAsia" w:ascii="仿宋" w:hAnsi="仿宋" w:eastAsia="仿宋" w:cs="仿宋"/>
          <w:b/>
          <w:bCs/>
          <w:sz w:val="24"/>
          <w:szCs w:val="24"/>
          <w:highlight w:val="none"/>
          <w:lang w:val="en-US" w:eastAsia="zh-CN"/>
        </w:rPr>
        <w:t>响应文件的编制</w:t>
      </w:r>
      <w:bookmarkEnd w:id="13"/>
    </w:p>
    <w:p w14:paraId="2716B0A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响应范围、响应文件中计量单位的使用及磋商语言</w:t>
      </w:r>
    </w:p>
    <w:p w14:paraId="659A171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供应商可对采购文件中一个或几个分包进行响应，除非在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 xml:space="preserve">中另有规定。 </w:t>
      </w:r>
    </w:p>
    <w:p w14:paraId="5E007E1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1684C4B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无论采购文件中是否要求，供应商所投货物或服务或工程均应符合国家强制性标准。</w:t>
      </w:r>
    </w:p>
    <w:p w14:paraId="5EA41D1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除采购文件有特殊要求外，本项目磋商所使用的计量单位，应采用中华人民共和国法定计量单位。</w:t>
      </w:r>
    </w:p>
    <w:p w14:paraId="7B3DCAB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373305C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响应文件构成</w:t>
      </w:r>
    </w:p>
    <w:p w14:paraId="04005F1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75A6F71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第五章《采购需求》及第六章《评标程序、评标方法和评标标准》中涉及的证明文件。</w:t>
      </w:r>
    </w:p>
    <w:p w14:paraId="62826EF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3953717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供应商认为应附的其他材料。</w:t>
      </w:r>
    </w:p>
    <w:p w14:paraId="60FCBEE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4F8F430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响应报价</w:t>
      </w:r>
    </w:p>
    <w:p w14:paraId="33694F2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所有响应均以人民币报价。</w:t>
      </w:r>
    </w:p>
    <w:p w14:paraId="3B9A121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 w:hAnsi="仿宋" w:eastAsia="仿宋" w:cs="仿宋"/>
          <w:b/>
          <w:bCs/>
          <w:sz w:val="24"/>
          <w:szCs w:val="24"/>
          <w:highlight w:val="none"/>
          <w:lang w:val="en-US" w:eastAsia="zh-CN"/>
        </w:rPr>
        <w:t>响应文件被拒绝</w:t>
      </w:r>
      <w:r>
        <w:rPr>
          <w:rFonts w:hint="eastAsia" w:ascii="仿宋" w:hAnsi="仿宋" w:eastAsia="仿宋" w:cs="仿宋"/>
          <w:b w:val="0"/>
          <w:bCs w:val="0"/>
          <w:sz w:val="24"/>
          <w:szCs w:val="24"/>
          <w:highlight w:val="none"/>
          <w:lang w:val="en-US" w:eastAsia="zh-CN"/>
        </w:rPr>
        <w:t>。</w:t>
      </w:r>
    </w:p>
    <w:p w14:paraId="5575642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1E1C5AF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058CD471">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磋商保证金</w:t>
      </w:r>
    </w:p>
    <w:p w14:paraId="04EFCA5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中规定的金额及要求交纳保证金，并作为其响应文件的一部分。</w:t>
      </w:r>
    </w:p>
    <w:p w14:paraId="0958620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交纳保证金的形式除</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58BD358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2CE95C5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。电子保函与纸质保函具有同样效力。</w:t>
      </w:r>
    </w:p>
    <w:p w14:paraId="280268D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保证金（保函）有效期同响应文件有效期。</w:t>
      </w:r>
    </w:p>
    <w:p w14:paraId="40D2C46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联合体磋商的，可以由联合体中的一方或者共同提交保证金，以一方名义提交磋商保证金（保函）的，对联合体各方均具有约束力。</w:t>
      </w:r>
    </w:p>
    <w:p w14:paraId="6EEBC58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0EA79FD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49B0AD3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成交人的磋商保证金，自采购合同签订之日起 5 个工作日内退还中标人。 </w:t>
      </w:r>
    </w:p>
    <w:p w14:paraId="33CE8F3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未成交人的磋商保证金，自成交通知书发出之日起 5 个工作日内退还未成交人。</w:t>
      </w:r>
    </w:p>
    <w:p w14:paraId="61030FF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终止采购活动的项目已经收取磋商保证金的，自终止采购活动后 5 个工作日内退还已收取的磋商保证金。</w:t>
      </w:r>
    </w:p>
    <w:p w14:paraId="0FD8745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有下列情形之一的，采购人或采购代理机构可以不予退还磋商保证金：</w:t>
      </w:r>
    </w:p>
    <w:p w14:paraId="58E07469">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在响应文件有效期内，供应商撤回响应文件的； </w:t>
      </w:r>
    </w:p>
    <w:p w14:paraId="5D9BEE69">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成交人不按本采购文件的规定与采购人签订合同的； </w:t>
      </w:r>
    </w:p>
    <w:p w14:paraId="4BDD7A22">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成交人不按本采购文件的规定提交履约保证金的； </w:t>
      </w:r>
    </w:p>
    <w:p w14:paraId="18185B4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成交人不按本采购文件的规定缴纳招标代理服务费的； </w:t>
      </w:r>
    </w:p>
    <w:p w14:paraId="3D23FC8A">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存在的串通投标情形的； </w:t>
      </w:r>
    </w:p>
    <w:p w14:paraId="071D24BB">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存在向采购人、代理机构或评标专家行贿事实的； </w:t>
      </w:r>
    </w:p>
    <w:p w14:paraId="6AE3745B">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法律、法规规定的其它情况。</w:t>
      </w:r>
    </w:p>
    <w:p w14:paraId="5EDB5BC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响应文件有效期</w:t>
      </w:r>
    </w:p>
    <w:p w14:paraId="5397B9A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中规定的响应文件有效期内保持有效，响应文件有效期少于采购文件规定期限的，其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5AEDCDF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36360529">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响应文件的制作</w:t>
      </w:r>
    </w:p>
    <w:p w14:paraId="6D468EA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0E3C54C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584BD56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如有对多个采购包响应的，要对每个采购包独立制作电子响应文件。</w:t>
      </w:r>
    </w:p>
    <w:p w14:paraId="296F522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供应商须对采购文件的对应要求给予唯一的实质性响应，否则将视为不响应。</w:t>
      </w:r>
    </w:p>
    <w:p w14:paraId="27C6BDD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采购文件中，凡标有“★”的地方均为实质性响应条款，供应商若有一项带“★”的条款未响应或不满足，将按响应无效处理。</w:t>
      </w:r>
    </w:p>
    <w:p w14:paraId="3ED470C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6D5DAC52">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4" w:name="_Toc7253"/>
      <w:r>
        <w:rPr>
          <w:rFonts w:hint="eastAsia" w:ascii="仿宋" w:hAnsi="仿宋" w:eastAsia="仿宋" w:cs="仿宋"/>
          <w:b/>
          <w:bCs/>
          <w:sz w:val="24"/>
          <w:szCs w:val="24"/>
          <w:highlight w:val="none"/>
          <w:lang w:val="en-US" w:eastAsia="zh-CN"/>
        </w:rPr>
        <w:t>响应文件的提交</w:t>
      </w:r>
      <w:bookmarkEnd w:id="14"/>
    </w:p>
    <w:p w14:paraId="0ED5A65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响应文件的提交</w:t>
      </w:r>
    </w:p>
    <w:p w14:paraId="736C2F0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476E338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代理机构对因不可抗力事件造成的响应文件的损坏、丢失的，不承担责任。</w:t>
      </w:r>
    </w:p>
    <w:p w14:paraId="50383CF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出现下述情形之一，属于未成功提交响应文件，按</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38A2526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至提交响应文件截止时，响应文件未完整上传的。 </w:t>
      </w:r>
    </w:p>
    <w:p w14:paraId="64201964">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6AB2827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响应文件损坏或格式不正确的。</w:t>
      </w:r>
    </w:p>
    <w:p w14:paraId="1F2C1C0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响应文件的修改、撤回与撤销</w:t>
      </w:r>
    </w:p>
    <w:p w14:paraId="09BCBB8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083A39E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在提交响应文件截止时间后，供应商不得补充、修改和更换响应文件。</w:t>
      </w:r>
    </w:p>
    <w:p w14:paraId="3EF6159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74F323D6">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5" w:name="_Toc32267"/>
      <w:r>
        <w:rPr>
          <w:rFonts w:hint="eastAsia" w:ascii="仿宋" w:hAnsi="仿宋" w:eastAsia="仿宋" w:cs="仿宋"/>
          <w:b/>
          <w:bCs/>
          <w:sz w:val="24"/>
          <w:szCs w:val="24"/>
          <w:highlight w:val="none"/>
          <w:lang w:val="en-US" w:eastAsia="zh-CN"/>
        </w:rPr>
        <w:t>开标及评标</w:t>
      </w:r>
      <w:bookmarkEnd w:id="15"/>
    </w:p>
    <w:p w14:paraId="0EF0CC4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开标</w:t>
      </w:r>
    </w:p>
    <w:p w14:paraId="170F072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采购人和采购代理机构将按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中规定的开标时间和地点组织公开开标并邀请所有供应商代表参加。开标为远程电子开标。</w:t>
      </w:r>
    </w:p>
    <w:p w14:paraId="449EEB6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采用远程电子开标的：</w:t>
      </w:r>
    </w:p>
    <w:p w14:paraId="07F67543">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供应商的法定代表人或其授权代表应当按照本采购文件载明的时间和模式等要求参加开标。在</w:t>
      </w:r>
      <w:r>
        <w:rPr>
          <w:rFonts w:hint="eastAsia" w:ascii="仿宋" w:hAnsi="仿宋" w:eastAsia="仿宋" w:cs="仿宋"/>
          <w:b/>
          <w:bCs/>
          <w:sz w:val="24"/>
          <w:szCs w:val="24"/>
          <w:highlight w:val="none"/>
          <w:lang w:val="en-US" w:eastAsia="zh-CN"/>
        </w:rPr>
        <w:t>响应截止时间前30分钟</w:t>
      </w:r>
      <w:r>
        <w:rPr>
          <w:rFonts w:hint="eastAsia" w:ascii="仿宋" w:hAnsi="仿宋" w:eastAsia="仿宋" w:cs="仿宋"/>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1CE9F6B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14:paraId="434EB30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。如供应商无法在代理规定的时间内完成备用电子响应文件的上传，响应文件将被拒绝，作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62E28D2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1A234CC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响应截止时间后，供应商不足3家的，不得开标。同时，本次采购活动结束。</w:t>
      </w:r>
    </w:p>
    <w:p w14:paraId="2ED5CF8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开标时出现下列情况的，视为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6BE0293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因供应商自身原因，未在规定时间内完成电子响应文件解密的；</w:t>
      </w:r>
    </w:p>
    <w:p w14:paraId="37D290A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2FF94F9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采购人或采购代理机构将对开标过程进行记录，由参加开标的各供应商代表和相关工作人员签字确认。</w:t>
      </w:r>
    </w:p>
    <w:p w14:paraId="5781D9F9">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w:t>
      </w:r>
    </w:p>
    <w:p w14:paraId="54506EF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磋商小组依据法律法规和采购文件中规定的内容，对供应商及其投标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0F7A7BC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资格审查要求详见第六章《评标程序、评标方法和评标标准》。</w:t>
      </w:r>
    </w:p>
    <w:p w14:paraId="64C019F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75B7285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磋商小组</w:t>
      </w:r>
    </w:p>
    <w:p w14:paraId="1F360CD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磋商小组根据政府采购有关规定和本次采购项目的特点进行组建，并负责具体评标事务，独立履行职责。 </w:t>
      </w:r>
    </w:p>
    <w:p w14:paraId="3229774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70FFB26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评标程序、评标方法和评标标准</w:t>
      </w:r>
    </w:p>
    <w:p w14:paraId="78EBB19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详见第六章《评标程序、评标方法和评标标准》</w:t>
      </w:r>
    </w:p>
    <w:p w14:paraId="49F0F8B1">
      <w:pPr>
        <w:pStyle w:val="5"/>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17.2 一般条款允许负偏离项数详见投标人须知前附表及《评标程序、评标方法和评标标准》</w:t>
      </w:r>
    </w:p>
    <w:p w14:paraId="1A69327E">
      <w:pPr>
        <w:pStyle w:val="2"/>
        <w:rPr>
          <w:rFonts w:hint="eastAsia" w:ascii="仿宋" w:hAnsi="仿宋" w:eastAsia="仿宋" w:cs="仿宋"/>
          <w:highlight w:val="none"/>
          <w:lang w:val="en-US" w:eastAsia="zh-CN"/>
        </w:rPr>
      </w:pPr>
    </w:p>
    <w:p w14:paraId="31A3E19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4AA891B2">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6" w:name="_Toc11319"/>
      <w:r>
        <w:rPr>
          <w:rFonts w:hint="eastAsia" w:ascii="仿宋" w:hAnsi="仿宋" w:eastAsia="仿宋" w:cs="仿宋"/>
          <w:b/>
          <w:bCs/>
          <w:sz w:val="24"/>
          <w:szCs w:val="24"/>
          <w:highlight w:val="none"/>
          <w:lang w:val="en-US" w:eastAsia="zh-CN"/>
        </w:rPr>
        <w:t>确定成交</w:t>
      </w:r>
      <w:bookmarkEnd w:id="16"/>
    </w:p>
    <w:p w14:paraId="1C08F71C">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确定成交人</w:t>
      </w:r>
    </w:p>
    <w:p w14:paraId="195058A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24F82AC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成交公告与成交通知书</w:t>
      </w:r>
    </w:p>
    <w:p w14:paraId="51FEC05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3D2ADFE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成交通知书对采购人和成交供应商均具有法律效力。成交通知书发出后，成交供应商放弃成交项目的，应当依法承担法律责任。</w:t>
      </w:r>
    </w:p>
    <w:p w14:paraId="6CF2F4D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废标</w:t>
      </w:r>
    </w:p>
    <w:p w14:paraId="6DEF1E0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19.1在采购活动中，出现下列情形之一的，应予废标：</w:t>
      </w:r>
    </w:p>
    <w:p w14:paraId="2A43B8AB">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1B3503CF">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出现影响采购公正的违法、违规行为的；</w:t>
      </w:r>
    </w:p>
    <w:p w14:paraId="5CB4C27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供应商的报价均超过了采购预算，采购人不能支付的；</w:t>
      </w:r>
    </w:p>
    <w:p w14:paraId="0DA071E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因重大变故，采购任务取消的。</w:t>
      </w:r>
    </w:p>
    <w:p w14:paraId="7BBDA40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废标后，采购人将废标理由通知所有供应商。</w:t>
      </w:r>
    </w:p>
    <w:p w14:paraId="07E866C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签订合同</w:t>
      </w:r>
    </w:p>
    <w:p w14:paraId="5DB5FC1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71F8539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1CE359B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联合体成交的，联合体各方应当共同与采购人签订合同，就成交项目向采购人承担连带责任。 </w:t>
      </w:r>
    </w:p>
    <w:p w14:paraId="6617F92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14:paraId="776E2AB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履约保证金</w:t>
      </w:r>
    </w:p>
    <w:p w14:paraId="3CD6742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成交人应按照</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规定的金额、形式和时间向采购人缴纳履约保证金。</w:t>
      </w:r>
    </w:p>
    <w:p w14:paraId="60E65AD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经采购人同意，成交人也可以自愿采用其他履约保证金的提供方式。</w:t>
      </w:r>
    </w:p>
    <w:p w14:paraId="3944FD7C">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77826D0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代理服务费</w:t>
      </w:r>
    </w:p>
    <w:p w14:paraId="7E2032E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收费对象、收费标准及缴纳时间见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。由成交人支付的，成交人须一次性向采购代理机构缴纳代理费，响应报价应包含代理费用。</w:t>
      </w:r>
    </w:p>
    <w:p w14:paraId="15900947">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询问与质疑</w:t>
      </w:r>
    </w:p>
    <w:p w14:paraId="1B23EE4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询问</w:t>
      </w:r>
    </w:p>
    <w:p w14:paraId="67ABCF6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中“采购人、采购代理机构的名称、地址和联系方式”。</w:t>
      </w:r>
    </w:p>
    <w:p w14:paraId="68F1762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w:t>
      </w:r>
    </w:p>
    <w:p w14:paraId="05FD4161">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231B4F9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供应商应知其权益受到损害之日是指：</w:t>
      </w:r>
    </w:p>
    <w:p w14:paraId="76F50C8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（1）对采购文件提出质疑的，为获取采购文件之日或者采购文件获取期限届满之日；</w:t>
      </w:r>
    </w:p>
    <w:p w14:paraId="1A9CF65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（2）对采购过程提出质疑的，为各采购程序环节结束之日；</w:t>
      </w:r>
    </w:p>
    <w:p w14:paraId="536BAC5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（3）对成交结果提出质疑的，为成交结果公告期限届满之日。</w:t>
      </w:r>
    </w:p>
    <w:p w14:paraId="5C03EEE5">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7A59D6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79E020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质疑函应当包括下列内容： </w:t>
      </w:r>
    </w:p>
    <w:p w14:paraId="58E0A4B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（1）投标人名称、地址、邮编、联系人及联系电话； </w:t>
      </w:r>
    </w:p>
    <w:p w14:paraId="18B299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（2）质疑项目的名称、编号； </w:t>
      </w:r>
    </w:p>
    <w:p w14:paraId="51F5A47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（3）具体、明确的质疑事项和与质疑事项相关的请求； </w:t>
      </w:r>
    </w:p>
    <w:p w14:paraId="30421C3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（4）事实依据； </w:t>
      </w:r>
    </w:p>
    <w:p w14:paraId="330B52B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（5）必要的法律依据； </w:t>
      </w:r>
    </w:p>
    <w:p w14:paraId="34959C4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（6）提出质疑的日期。</w:t>
      </w:r>
    </w:p>
    <w:p w14:paraId="037216D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312F6E5">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AA5D50C">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其他</w:t>
      </w:r>
    </w:p>
    <w:p w14:paraId="18B52CE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163E053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5126E0C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适用于本供应商须知的额外增加的变动详见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26D8893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60FCF06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6809F62A">
      <w:pP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br w:type="page"/>
      </w:r>
    </w:p>
    <w:p w14:paraId="7930A1D6">
      <w:pPr>
        <w:pStyle w:val="3"/>
        <w:numPr>
          <w:ilvl w:val="0"/>
          <w:numId w:val="4"/>
        </w:numPr>
        <w:bidi w:val="0"/>
        <w:jc w:val="center"/>
        <w:rPr>
          <w:rFonts w:hint="eastAsia" w:ascii="仿宋" w:hAnsi="仿宋" w:eastAsia="仿宋" w:cs="仿宋"/>
          <w:sz w:val="32"/>
          <w:szCs w:val="32"/>
          <w:highlight w:val="none"/>
          <w:lang w:val="en-US" w:eastAsia="zh-CN"/>
        </w:rPr>
      </w:pPr>
      <w:bookmarkStart w:id="17" w:name="_Toc20533"/>
      <w:r>
        <w:rPr>
          <w:rFonts w:hint="eastAsia" w:ascii="仿宋" w:hAnsi="仿宋" w:eastAsia="仿宋" w:cs="仿宋"/>
          <w:sz w:val="32"/>
          <w:szCs w:val="32"/>
          <w:highlight w:val="none"/>
          <w:lang w:val="en-US" w:eastAsia="zh-CN"/>
        </w:rPr>
        <w:t>政府采购合同</w:t>
      </w:r>
      <w:bookmarkEnd w:id="17"/>
    </w:p>
    <w:p w14:paraId="76D9FB91">
      <w:pPr>
        <w:spacing w:line="600" w:lineRule="exact"/>
        <w:rPr>
          <w:rFonts w:hint="eastAsia" w:ascii="仿宋" w:hAnsi="仿宋" w:eastAsia="仿宋" w:cs="仿宋"/>
          <w:color w:val="auto"/>
          <w:sz w:val="24"/>
          <w:szCs w:val="24"/>
          <w:highlight w:val="none"/>
        </w:rPr>
      </w:pPr>
      <w:r>
        <w:rPr>
          <w:rFonts w:hint="eastAsia" w:ascii="仿宋" w:hAnsi="仿宋" w:eastAsia="仿宋" w:cs="仿宋"/>
          <w:b/>
          <w:color w:val="auto"/>
          <w:sz w:val="24"/>
          <w:highlight w:val="none"/>
        </w:rPr>
        <w:t>此合同书仅作为签订正式合同时的参考</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实际已签订为准。</w:t>
      </w:r>
    </w:p>
    <w:p w14:paraId="1B893AF9">
      <w:pPr>
        <w:rPr>
          <w:rFonts w:hint="eastAsia" w:ascii="仿宋" w:hAnsi="仿宋" w:eastAsia="仿宋" w:cs="仿宋"/>
          <w:highlight w:val="none"/>
        </w:rPr>
      </w:pPr>
      <w:r>
        <w:rPr>
          <w:rFonts w:hint="eastAsia" w:ascii="仿宋" w:hAnsi="仿宋" w:eastAsia="仿宋" w:cs="仿宋"/>
          <w:color w:val="auto"/>
          <w:highlight w:val="none"/>
        </w:rPr>
        <w:br w:type="page"/>
      </w:r>
    </w:p>
    <w:p w14:paraId="43450E83">
      <w:pPr>
        <w:pStyle w:val="40"/>
        <w:spacing w:line="440" w:lineRule="exact"/>
        <w:ind w:firstLine="480"/>
        <w:jc w:val="left"/>
        <w:rPr>
          <w:rFonts w:ascii="仿宋" w:hAnsi="仿宋" w:eastAsia="仿宋" w:cs="仿宋"/>
          <w:bCs/>
          <w:sz w:val="24"/>
          <w:highlight w:val="none"/>
        </w:rPr>
      </w:pPr>
      <w:r>
        <w:rPr>
          <w:rFonts w:hint="eastAsia" w:ascii="仿宋" w:hAnsi="仿宋" w:eastAsia="仿宋" w:cs="仿宋"/>
          <w:bCs/>
          <w:sz w:val="24"/>
          <w:highlight w:val="none"/>
        </w:rPr>
        <w:t>（根据《政府采购法》和《中华人民共和国民法典》。采购人和供应商之间的权利和义务，应当按照平等的原则以合同方式约定。</w:t>
      </w:r>
      <w:r>
        <w:rPr>
          <w:rFonts w:hint="eastAsia" w:ascii="仿宋" w:hAnsi="仿宋" w:eastAsia="仿宋" w:cs="仿宋"/>
          <w:b/>
          <w:sz w:val="24"/>
          <w:highlight w:val="none"/>
        </w:rPr>
        <w:t>此合同书仅作为签订正式合同时的参考。</w:t>
      </w:r>
      <w:r>
        <w:rPr>
          <w:rFonts w:hint="eastAsia" w:ascii="仿宋" w:hAnsi="仿宋" w:eastAsia="仿宋" w:cs="仿宋"/>
          <w:bCs/>
          <w:sz w:val="24"/>
          <w:highlight w:val="none"/>
        </w:rPr>
        <w:t>）</w:t>
      </w:r>
    </w:p>
    <w:p w14:paraId="790DC5BB">
      <w:pPr>
        <w:pStyle w:val="40"/>
        <w:spacing w:line="440" w:lineRule="exact"/>
        <w:ind w:firstLine="482"/>
        <w:jc w:val="left"/>
        <w:rPr>
          <w:rFonts w:ascii="仿宋" w:hAnsi="仿宋" w:eastAsia="仿宋" w:cs="仿宋"/>
          <w:b/>
          <w:sz w:val="24"/>
          <w:highlight w:val="none"/>
        </w:rPr>
      </w:pPr>
      <w:r>
        <w:rPr>
          <w:rFonts w:hint="eastAsia" w:ascii="仿宋" w:hAnsi="仿宋" w:eastAsia="仿宋" w:cs="仿宋"/>
          <w:b/>
          <w:sz w:val="24"/>
          <w:highlight w:val="none"/>
        </w:rPr>
        <w:t>1. 合同文件</w:t>
      </w:r>
    </w:p>
    <w:p w14:paraId="63A931A4">
      <w:pPr>
        <w:pStyle w:val="40"/>
        <w:spacing w:line="440" w:lineRule="exact"/>
        <w:ind w:firstLine="480"/>
        <w:jc w:val="left"/>
        <w:rPr>
          <w:rFonts w:ascii="仿宋" w:hAnsi="仿宋" w:eastAsia="仿宋" w:cs="仿宋"/>
          <w:bCs/>
          <w:sz w:val="24"/>
          <w:highlight w:val="none"/>
        </w:rPr>
      </w:pPr>
      <w:r>
        <w:rPr>
          <w:rFonts w:hint="eastAsia" w:ascii="仿宋" w:hAnsi="仿宋" w:eastAsia="仿宋" w:cs="仿宋"/>
          <w:bCs/>
          <w:sz w:val="24"/>
          <w:highlight w:val="none"/>
        </w:rPr>
        <w:t>本合同所附下列文件是构成本合同不可分割的部分：</w:t>
      </w:r>
    </w:p>
    <w:p w14:paraId="4AF47300">
      <w:pPr>
        <w:pStyle w:val="40"/>
        <w:spacing w:line="440" w:lineRule="exact"/>
        <w:ind w:left="560" w:firstLine="0" w:firstLineChars="0"/>
        <w:jc w:val="left"/>
        <w:rPr>
          <w:rFonts w:ascii="仿宋" w:hAnsi="仿宋" w:eastAsia="仿宋" w:cs="仿宋"/>
          <w:bCs/>
          <w:sz w:val="24"/>
          <w:highlight w:val="none"/>
        </w:rPr>
      </w:pPr>
      <w:r>
        <w:rPr>
          <w:rFonts w:hint="eastAsia" w:ascii="仿宋" w:hAnsi="仿宋" w:eastAsia="仿宋" w:cs="仿宋"/>
          <w:bCs/>
          <w:sz w:val="24"/>
          <w:highlight w:val="none"/>
        </w:rPr>
        <w:t>(1)采购文件</w:t>
      </w:r>
    </w:p>
    <w:p w14:paraId="69635004">
      <w:pPr>
        <w:pStyle w:val="40"/>
        <w:spacing w:line="440" w:lineRule="exact"/>
        <w:ind w:left="560" w:firstLine="0" w:firstLineChars="0"/>
        <w:jc w:val="left"/>
        <w:rPr>
          <w:rFonts w:ascii="仿宋" w:hAnsi="仿宋" w:eastAsia="仿宋" w:cs="仿宋"/>
          <w:bCs/>
          <w:sz w:val="24"/>
          <w:highlight w:val="none"/>
        </w:rPr>
      </w:pPr>
      <w:r>
        <w:rPr>
          <w:rFonts w:hint="eastAsia" w:ascii="仿宋" w:hAnsi="仿宋" w:eastAsia="仿宋" w:cs="仿宋"/>
          <w:bCs/>
          <w:sz w:val="24"/>
          <w:highlight w:val="none"/>
        </w:rPr>
        <w:t>(2)合同条款</w:t>
      </w:r>
    </w:p>
    <w:p w14:paraId="20DCC716">
      <w:pPr>
        <w:pStyle w:val="40"/>
        <w:spacing w:line="440" w:lineRule="exact"/>
        <w:ind w:left="560" w:firstLine="0" w:firstLineChars="0"/>
        <w:jc w:val="left"/>
        <w:rPr>
          <w:rFonts w:ascii="仿宋" w:hAnsi="仿宋" w:eastAsia="仿宋" w:cs="仿宋"/>
          <w:bCs/>
          <w:sz w:val="24"/>
          <w:highlight w:val="none"/>
        </w:rPr>
      </w:pPr>
      <w:r>
        <w:rPr>
          <w:rFonts w:hint="eastAsia" w:ascii="仿宋" w:hAnsi="仿宋" w:eastAsia="仿宋" w:cs="仿宋"/>
          <w:bCs/>
          <w:sz w:val="24"/>
          <w:highlight w:val="none"/>
        </w:rPr>
        <w:t>(3)成交供应商提交的响应文件</w:t>
      </w:r>
    </w:p>
    <w:p w14:paraId="3D9C9F63">
      <w:pPr>
        <w:pStyle w:val="40"/>
        <w:spacing w:line="440" w:lineRule="exact"/>
        <w:ind w:left="560" w:firstLine="0" w:firstLineChars="0"/>
        <w:jc w:val="left"/>
        <w:rPr>
          <w:rFonts w:ascii="仿宋" w:hAnsi="仿宋" w:eastAsia="仿宋" w:cs="仿宋"/>
          <w:bCs/>
          <w:sz w:val="24"/>
          <w:highlight w:val="none"/>
        </w:rPr>
      </w:pPr>
      <w:r>
        <w:rPr>
          <w:rFonts w:hint="eastAsia" w:ascii="仿宋" w:hAnsi="仿宋" w:eastAsia="仿宋" w:cs="仿宋"/>
          <w:bCs/>
          <w:sz w:val="24"/>
          <w:highlight w:val="none"/>
        </w:rPr>
        <w:t>(4)技术规格（包括图纸，如果有的话）</w:t>
      </w:r>
    </w:p>
    <w:p w14:paraId="08A6EBEA">
      <w:pPr>
        <w:pStyle w:val="40"/>
        <w:spacing w:line="440" w:lineRule="exact"/>
        <w:ind w:left="560" w:firstLine="0" w:firstLineChars="0"/>
        <w:jc w:val="left"/>
        <w:rPr>
          <w:rFonts w:ascii="仿宋" w:hAnsi="仿宋" w:eastAsia="仿宋" w:cs="仿宋"/>
          <w:bCs/>
          <w:sz w:val="24"/>
          <w:highlight w:val="none"/>
        </w:rPr>
      </w:pPr>
      <w:r>
        <w:rPr>
          <w:rFonts w:hint="eastAsia" w:ascii="仿宋" w:hAnsi="仿宋" w:eastAsia="仿宋" w:cs="仿宋"/>
          <w:bCs/>
          <w:sz w:val="24"/>
          <w:highlight w:val="none"/>
        </w:rPr>
        <w:t>(5)中标/成交通知书</w:t>
      </w:r>
    </w:p>
    <w:p w14:paraId="060F54F5">
      <w:pPr>
        <w:pStyle w:val="40"/>
        <w:spacing w:line="440" w:lineRule="exact"/>
        <w:ind w:firstLine="482"/>
        <w:jc w:val="left"/>
        <w:rPr>
          <w:rFonts w:ascii="仿宋" w:hAnsi="仿宋" w:eastAsia="仿宋" w:cs="仿宋"/>
          <w:b/>
          <w:sz w:val="24"/>
          <w:highlight w:val="none"/>
        </w:rPr>
      </w:pPr>
      <w:r>
        <w:rPr>
          <w:rFonts w:hint="eastAsia" w:ascii="仿宋" w:hAnsi="仿宋" w:eastAsia="仿宋" w:cs="仿宋"/>
          <w:b/>
          <w:sz w:val="24"/>
          <w:highlight w:val="none"/>
        </w:rPr>
        <w:t>2．合同范围和条件</w:t>
      </w:r>
    </w:p>
    <w:p w14:paraId="1B44DE7F">
      <w:pPr>
        <w:pStyle w:val="40"/>
        <w:spacing w:line="440" w:lineRule="exact"/>
        <w:ind w:firstLine="480"/>
        <w:jc w:val="left"/>
        <w:rPr>
          <w:rFonts w:ascii="仿宋" w:hAnsi="仿宋" w:eastAsia="仿宋" w:cs="仿宋"/>
          <w:bCs/>
          <w:sz w:val="24"/>
          <w:highlight w:val="none"/>
        </w:rPr>
      </w:pPr>
      <w:r>
        <w:rPr>
          <w:rFonts w:hint="eastAsia" w:ascii="仿宋" w:hAnsi="仿宋" w:eastAsia="仿宋" w:cs="仿宋"/>
          <w:bCs/>
          <w:sz w:val="24"/>
          <w:highlight w:val="none"/>
        </w:rPr>
        <w:t>本合同的范围和条件与上述文件的规定相一致。</w:t>
      </w:r>
    </w:p>
    <w:p w14:paraId="70459C4A">
      <w:pPr>
        <w:pStyle w:val="40"/>
        <w:spacing w:line="440" w:lineRule="exact"/>
        <w:ind w:firstLine="482"/>
        <w:jc w:val="left"/>
        <w:rPr>
          <w:rFonts w:ascii="仿宋" w:hAnsi="仿宋" w:eastAsia="仿宋" w:cs="仿宋"/>
          <w:b/>
          <w:sz w:val="24"/>
          <w:highlight w:val="none"/>
        </w:rPr>
      </w:pPr>
      <w:r>
        <w:rPr>
          <w:rFonts w:hint="eastAsia" w:ascii="仿宋" w:hAnsi="仿宋" w:eastAsia="仿宋" w:cs="仿宋"/>
          <w:b/>
          <w:sz w:val="24"/>
          <w:highlight w:val="none"/>
        </w:rPr>
        <w:t>3．货物及数量</w:t>
      </w:r>
    </w:p>
    <w:p w14:paraId="1814164D">
      <w:pPr>
        <w:pStyle w:val="40"/>
        <w:spacing w:line="440" w:lineRule="exact"/>
        <w:ind w:firstLine="480"/>
        <w:jc w:val="left"/>
        <w:rPr>
          <w:rFonts w:ascii="仿宋" w:hAnsi="仿宋" w:eastAsia="仿宋" w:cs="仿宋"/>
          <w:bCs/>
          <w:sz w:val="24"/>
          <w:highlight w:val="none"/>
        </w:rPr>
      </w:pPr>
      <w:r>
        <w:rPr>
          <w:rFonts w:hint="eastAsia" w:ascii="仿宋" w:hAnsi="仿宋" w:eastAsia="仿宋" w:cs="仿宋"/>
          <w:bCs/>
          <w:sz w:val="24"/>
          <w:highlight w:val="none"/>
        </w:rPr>
        <w:t>本合同所提供的货物数量/服务详见采购文件“第五章</w:t>
      </w:r>
      <w:r>
        <w:rPr>
          <w:rFonts w:hint="eastAsia" w:ascii="仿宋" w:hAnsi="仿宋" w:eastAsia="仿宋" w:cs="仿宋"/>
          <w:sz w:val="24"/>
          <w:highlight w:val="none"/>
        </w:rPr>
        <w:t>采购需求</w:t>
      </w:r>
      <w:r>
        <w:rPr>
          <w:rFonts w:hint="eastAsia" w:ascii="仿宋" w:hAnsi="仿宋" w:eastAsia="仿宋" w:cs="仿宋"/>
          <w:bCs/>
          <w:sz w:val="24"/>
          <w:highlight w:val="none"/>
        </w:rPr>
        <w:t>”。</w:t>
      </w:r>
    </w:p>
    <w:p w14:paraId="32575B76">
      <w:pPr>
        <w:pStyle w:val="40"/>
        <w:spacing w:line="440" w:lineRule="exact"/>
        <w:ind w:firstLine="482"/>
        <w:jc w:val="left"/>
        <w:rPr>
          <w:rFonts w:ascii="仿宋" w:hAnsi="仿宋" w:eastAsia="仿宋" w:cs="仿宋"/>
          <w:b/>
          <w:sz w:val="24"/>
          <w:highlight w:val="none"/>
        </w:rPr>
      </w:pPr>
      <w:r>
        <w:rPr>
          <w:rFonts w:hint="eastAsia" w:ascii="仿宋" w:hAnsi="仿宋" w:eastAsia="仿宋" w:cs="仿宋"/>
          <w:b/>
          <w:sz w:val="24"/>
          <w:highlight w:val="none"/>
        </w:rPr>
        <w:t>4．合同金额</w:t>
      </w:r>
    </w:p>
    <w:p w14:paraId="1249BA28">
      <w:pPr>
        <w:pStyle w:val="40"/>
        <w:spacing w:line="440" w:lineRule="exact"/>
        <w:ind w:firstLine="480"/>
        <w:jc w:val="left"/>
        <w:rPr>
          <w:rFonts w:ascii="仿宋" w:hAnsi="仿宋" w:eastAsia="仿宋" w:cs="仿宋"/>
          <w:bCs/>
          <w:sz w:val="24"/>
          <w:highlight w:val="none"/>
        </w:rPr>
      </w:pPr>
      <w:r>
        <w:rPr>
          <w:rFonts w:hint="eastAsia" w:ascii="仿宋" w:hAnsi="仿宋" w:eastAsia="仿宋" w:cs="仿宋"/>
          <w:bCs/>
          <w:sz w:val="24"/>
          <w:highlight w:val="none"/>
        </w:rPr>
        <w:t>合同总金额为元人民币，分项价格见响应文件按报价明细表。</w:t>
      </w:r>
    </w:p>
    <w:p w14:paraId="1BCCABA7">
      <w:pPr>
        <w:pStyle w:val="40"/>
        <w:spacing w:line="440" w:lineRule="exact"/>
        <w:ind w:firstLine="482"/>
        <w:jc w:val="left"/>
        <w:rPr>
          <w:rFonts w:ascii="仿宋" w:hAnsi="仿宋" w:eastAsia="仿宋" w:cs="仿宋"/>
          <w:b/>
          <w:sz w:val="24"/>
          <w:highlight w:val="none"/>
        </w:rPr>
      </w:pPr>
      <w:r>
        <w:rPr>
          <w:rFonts w:hint="eastAsia" w:ascii="仿宋" w:hAnsi="仿宋" w:eastAsia="仿宋" w:cs="仿宋"/>
          <w:b/>
          <w:sz w:val="24"/>
          <w:highlight w:val="none"/>
        </w:rPr>
        <w:t>5．合同生效及支付条件和方式</w:t>
      </w:r>
    </w:p>
    <w:p w14:paraId="7C8066B2">
      <w:pPr>
        <w:pStyle w:val="40"/>
        <w:spacing w:line="440" w:lineRule="exact"/>
        <w:ind w:firstLine="482"/>
        <w:jc w:val="left"/>
        <w:rPr>
          <w:rFonts w:ascii="仿宋" w:hAnsi="仿宋" w:eastAsia="仿宋" w:cs="仿宋"/>
          <w:b/>
          <w:sz w:val="24"/>
          <w:highlight w:val="none"/>
        </w:rPr>
      </w:pPr>
      <w:r>
        <w:rPr>
          <w:rFonts w:hint="eastAsia" w:ascii="仿宋" w:hAnsi="仿宋" w:eastAsia="仿宋" w:cs="仿宋"/>
          <w:b/>
          <w:sz w:val="24"/>
          <w:highlight w:val="none"/>
        </w:rPr>
        <w:t>6．交货时间和交货地点</w:t>
      </w:r>
    </w:p>
    <w:p w14:paraId="0941C782">
      <w:pPr>
        <w:pStyle w:val="40"/>
        <w:spacing w:line="440" w:lineRule="exact"/>
        <w:ind w:firstLine="480"/>
        <w:jc w:val="left"/>
        <w:rPr>
          <w:rFonts w:ascii="仿宋" w:hAnsi="仿宋" w:eastAsia="仿宋" w:cs="仿宋"/>
          <w:bCs/>
          <w:sz w:val="24"/>
          <w:highlight w:val="none"/>
        </w:rPr>
      </w:pPr>
      <w:r>
        <w:rPr>
          <w:rFonts w:hint="eastAsia" w:ascii="仿宋" w:hAnsi="仿宋" w:eastAsia="仿宋" w:cs="仿宋"/>
          <w:bCs/>
          <w:sz w:val="24"/>
          <w:highlight w:val="none"/>
        </w:rPr>
        <w:t xml:space="preserve">本合同货物的交货时间和交货地点按采购文件“第四章 </w:t>
      </w:r>
      <w:r>
        <w:rPr>
          <w:rFonts w:hint="eastAsia" w:ascii="仿宋" w:hAnsi="仿宋" w:eastAsia="仿宋" w:cs="仿宋"/>
          <w:sz w:val="24"/>
          <w:highlight w:val="none"/>
        </w:rPr>
        <w:t>采购需求</w:t>
      </w:r>
      <w:r>
        <w:rPr>
          <w:rFonts w:hint="eastAsia" w:ascii="仿宋" w:hAnsi="仿宋" w:eastAsia="仿宋" w:cs="仿宋"/>
          <w:bCs/>
          <w:sz w:val="24"/>
          <w:highlight w:val="none"/>
        </w:rPr>
        <w:t>”执行。</w:t>
      </w:r>
    </w:p>
    <w:p w14:paraId="7CCA58DD">
      <w:pPr>
        <w:pStyle w:val="41"/>
        <w:autoSpaceDE w:val="0"/>
        <w:autoSpaceDN w:val="0"/>
        <w:adjustRightInd w:val="0"/>
        <w:spacing w:line="50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采购人（盖章）：</w:t>
      </w:r>
      <w:r>
        <w:rPr>
          <w:rFonts w:hint="eastAsia" w:ascii="仿宋" w:hAnsi="仿宋" w:eastAsia="仿宋" w:cs="仿宋"/>
          <w:kern w:val="0"/>
          <w:sz w:val="24"/>
          <w:highlight w:val="none"/>
        </w:rPr>
        <w:tab/>
      </w:r>
      <w:r>
        <w:rPr>
          <w:rFonts w:hint="eastAsia" w:ascii="仿宋" w:hAnsi="仿宋" w:eastAsia="仿宋" w:cs="仿宋"/>
          <w:kern w:val="0"/>
          <w:sz w:val="24"/>
          <w:highlight w:val="none"/>
        </w:rPr>
        <w:t>供　　方（盖章）：</w:t>
      </w:r>
    </w:p>
    <w:p w14:paraId="36E6EB75">
      <w:pPr>
        <w:pStyle w:val="41"/>
        <w:autoSpaceDE w:val="0"/>
        <w:autoSpaceDN w:val="0"/>
        <w:adjustRightInd w:val="0"/>
        <w:spacing w:line="50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单位地址：</w:t>
      </w:r>
      <w:r>
        <w:rPr>
          <w:rFonts w:hint="eastAsia" w:ascii="仿宋" w:hAnsi="仿宋" w:eastAsia="仿宋" w:cs="仿宋"/>
          <w:kern w:val="0"/>
          <w:sz w:val="24"/>
          <w:highlight w:val="none"/>
        </w:rPr>
        <w:tab/>
      </w:r>
      <w:r>
        <w:rPr>
          <w:rFonts w:hint="eastAsia" w:ascii="仿宋" w:hAnsi="仿宋" w:eastAsia="仿宋" w:cs="仿宋"/>
          <w:kern w:val="0"/>
          <w:sz w:val="24"/>
          <w:highlight w:val="none"/>
        </w:rPr>
        <w:t xml:space="preserve">                         单位地址：</w:t>
      </w:r>
    </w:p>
    <w:p w14:paraId="5B5AD88D">
      <w:pPr>
        <w:pStyle w:val="41"/>
        <w:autoSpaceDE w:val="0"/>
        <w:autoSpaceDN w:val="0"/>
        <w:adjustRightInd w:val="0"/>
        <w:spacing w:line="50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法人代表授权人(签字)：</w:t>
      </w:r>
      <w:r>
        <w:rPr>
          <w:rFonts w:hint="eastAsia" w:ascii="仿宋" w:hAnsi="仿宋" w:eastAsia="仿宋" w:cs="仿宋"/>
          <w:kern w:val="0"/>
          <w:sz w:val="24"/>
          <w:highlight w:val="none"/>
        </w:rPr>
        <w:tab/>
      </w:r>
      <w:r>
        <w:rPr>
          <w:rFonts w:hint="eastAsia" w:ascii="仿宋" w:hAnsi="仿宋" w:eastAsia="仿宋" w:cs="仿宋"/>
          <w:kern w:val="0"/>
          <w:sz w:val="24"/>
          <w:highlight w:val="none"/>
        </w:rPr>
        <w:t xml:space="preserve">              法人代表授权人(签字)：</w:t>
      </w:r>
    </w:p>
    <w:p w14:paraId="06F9468D">
      <w:pPr>
        <w:pStyle w:val="41"/>
        <w:autoSpaceDE w:val="0"/>
        <w:autoSpaceDN w:val="0"/>
        <w:adjustRightInd w:val="0"/>
        <w:spacing w:line="50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联 系 人：</w:t>
      </w:r>
      <w:r>
        <w:rPr>
          <w:rFonts w:hint="eastAsia" w:ascii="仿宋" w:hAnsi="仿宋" w:eastAsia="仿宋" w:cs="仿宋"/>
          <w:kern w:val="0"/>
          <w:sz w:val="24"/>
          <w:highlight w:val="none"/>
        </w:rPr>
        <w:tab/>
      </w:r>
      <w:r>
        <w:rPr>
          <w:rFonts w:hint="eastAsia" w:ascii="仿宋" w:hAnsi="仿宋" w:eastAsia="仿宋" w:cs="仿宋"/>
          <w:kern w:val="0"/>
          <w:sz w:val="24"/>
          <w:highlight w:val="none"/>
        </w:rPr>
        <w:t xml:space="preserve">                         联 系 人：</w:t>
      </w:r>
    </w:p>
    <w:p w14:paraId="751F9045">
      <w:pPr>
        <w:pStyle w:val="41"/>
        <w:autoSpaceDE w:val="0"/>
        <w:autoSpaceDN w:val="0"/>
        <w:adjustRightInd w:val="0"/>
        <w:spacing w:line="50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电　　话：</w:t>
      </w:r>
      <w:r>
        <w:rPr>
          <w:rFonts w:hint="eastAsia" w:ascii="仿宋" w:hAnsi="仿宋" w:eastAsia="仿宋" w:cs="仿宋"/>
          <w:kern w:val="0"/>
          <w:sz w:val="24"/>
          <w:highlight w:val="none"/>
        </w:rPr>
        <w:tab/>
      </w:r>
      <w:r>
        <w:rPr>
          <w:rFonts w:hint="eastAsia" w:ascii="仿宋" w:hAnsi="仿宋" w:eastAsia="仿宋" w:cs="仿宋"/>
          <w:kern w:val="0"/>
          <w:sz w:val="24"/>
          <w:highlight w:val="none"/>
        </w:rPr>
        <w:t xml:space="preserve">                        电　　话：</w:t>
      </w:r>
    </w:p>
    <w:p w14:paraId="117ED54B">
      <w:pPr>
        <w:pStyle w:val="41"/>
        <w:autoSpaceDE w:val="0"/>
        <w:autoSpaceDN w:val="0"/>
        <w:adjustRightInd w:val="0"/>
        <w:spacing w:line="50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传　　真：</w:t>
      </w:r>
      <w:r>
        <w:rPr>
          <w:rFonts w:hint="eastAsia" w:ascii="仿宋" w:hAnsi="仿宋" w:eastAsia="仿宋" w:cs="仿宋"/>
          <w:kern w:val="0"/>
          <w:sz w:val="24"/>
          <w:highlight w:val="none"/>
        </w:rPr>
        <w:tab/>
      </w:r>
      <w:r>
        <w:rPr>
          <w:rFonts w:hint="eastAsia" w:ascii="仿宋" w:hAnsi="仿宋" w:eastAsia="仿宋" w:cs="仿宋"/>
          <w:kern w:val="0"/>
          <w:sz w:val="24"/>
          <w:highlight w:val="none"/>
        </w:rPr>
        <w:t xml:space="preserve">                        传　　真：</w:t>
      </w:r>
    </w:p>
    <w:p w14:paraId="617D0AA9">
      <w:pPr>
        <w:pStyle w:val="41"/>
        <w:autoSpaceDE w:val="0"/>
        <w:autoSpaceDN w:val="0"/>
        <w:adjustRightInd w:val="0"/>
        <w:spacing w:line="50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邮政编码：</w:t>
      </w:r>
      <w:r>
        <w:rPr>
          <w:rFonts w:hint="eastAsia" w:ascii="仿宋" w:hAnsi="仿宋" w:eastAsia="仿宋" w:cs="仿宋"/>
          <w:kern w:val="0"/>
          <w:sz w:val="24"/>
          <w:highlight w:val="none"/>
        </w:rPr>
        <w:tab/>
      </w:r>
      <w:r>
        <w:rPr>
          <w:rFonts w:hint="eastAsia" w:ascii="仿宋" w:hAnsi="仿宋" w:eastAsia="仿宋" w:cs="仿宋"/>
          <w:kern w:val="0"/>
          <w:sz w:val="24"/>
          <w:highlight w:val="none"/>
        </w:rPr>
        <w:t xml:space="preserve">                       邮政编码：</w:t>
      </w:r>
    </w:p>
    <w:p w14:paraId="2D492E1A">
      <w:pPr>
        <w:pStyle w:val="41"/>
        <w:autoSpaceDE w:val="0"/>
        <w:autoSpaceDN w:val="0"/>
        <w:adjustRightInd w:val="0"/>
        <w:spacing w:line="50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开户银行：</w:t>
      </w:r>
      <w:r>
        <w:rPr>
          <w:rFonts w:hint="eastAsia" w:ascii="仿宋" w:hAnsi="仿宋" w:eastAsia="仿宋" w:cs="仿宋"/>
          <w:kern w:val="0"/>
          <w:sz w:val="24"/>
          <w:highlight w:val="none"/>
        </w:rPr>
        <w:tab/>
      </w:r>
      <w:r>
        <w:rPr>
          <w:rFonts w:hint="eastAsia" w:ascii="仿宋" w:hAnsi="仿宋" w:eastAsia="仿宋" w:cs="仿宋"/>
          <w:kern w:val="0"/>
          <w:sz w:val="24"/>
          <w:highlight w:val="none"/>
        </w:rPr>
        <w:t xml:space="preserve">                        开户银行：</w:t>
      </w:r>
    </w:p>
    <w:p w14:paraId="1B4998F3">
      <w:pPr>
        <w:pStyle w:val="41"/>
        <w:autoSpaceDE w:val="0"/>
        <w:autoSpaceDN w:val="0"/>
        <w:adjustRightInd w:val="0"/>
        <w:spacing w:line="50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帐　　号：</w:t>
      </w:r>
      <w:r>
        <w:rPr>
          <w:rFonts w:hint="eastAsia" w:ascii="仿宋" w:hAnsi="仿宋" w:eastAsia="仿宋" w:cs="仿宋"/>
          <w:kern w:val="0"/>
          <w:sz w:val="24"/>
          <w:highlight w:val="none"/>
        </w:rPr>
        <w:tab/>
      </w:r>
      <w:r>
        <w:rPr>
          <w:rFonts w:hint="eastAsia" w:ascii="仿宋" w:hAnsi="仿宋" w:eastAsia="仿宋" w:cs="仿宋"/>
          <w:kern w:val="0"/>
          <w:sz w:val="24"/>
          <w:highlight w:val="none"/>
        </w:rPr>
        <w:t>帐　　号：</w:t>
      </w:r>
    </w:p>
    <w:p w14:paraId="2D572B89">
      <w:pPr>
        <w:pStyle w:val="41"/>
        <w:spacing w:line="500" w:lineRule="exact"/>
        <w:jc w:val="center"/>
        <w:rPr>
          <w:rFonts w:ascii="仿宋" w:hAnsi="仿宋" w:eastAsia="仿宋" w:cs="仿宋"/>
          <w:b/>
          <w:kern w:val="0"/>
          <w:sz w:val="24"/>
          <w:highlight w:val="none"/>
        </w:rPr>
      </w:pPr>
      <w:bookmarkStart w:id="18" w:name="_Hlk450145418"/>
      <w:r>
        <w:rPr>
          <w:rFonts w:hint="eastAsia" w:ascii="仿宋" w:hAnsi="仿宋" w:eastAsia="仿宋" w:cs="仿宋"/>
          <w:b/>
          <w:spacing w:val="120"/>
          <w:kern w:val="0"/>
          <w:sz w:val="24"/>
          <w:highlight w:val="none"/>
        </w:rPr>
        <w:t>合同条</w:t>
      </w:r>
      <w:r>
        <w:rPr>
          <w:rFonts w:hint="eastAsia" w:ascii="仿宋" w:hAnsi="仿宋" w:eastAsia="仿宋" w:cs="仿宋"/>
          <w:b/>
          <w:kern w:val="0"/>
          <w:sz w:val="24"/>
          <w:highlight w:val="none"/>
        </w:rPr>
        <w:t>款</w:t>
      </w:r>
    </w:p>
    <w:p w14:paraId="6D41C284">
      <w:pPr>
        <w:pStyle w:val="41"/>
        <w:spacing w:line="500" w:lineRule="exact"/>
        <w:jc w:val="left"/>
        <w:rPr>
          <w:rFonts w:ascii="仿宋" w:hAnsi="仿宋" w:eastAsia="仿宋" w:cs="仿宋"/>
          <w:b/>
          <w:sz w:val="24"/>
          <w:highlight w:val="none"/>
        </w:rPr>
      </w:pPr>
      <w:r>
        <w:rPr>
          <w:rFonts w:hint="eastAsia" w:ascii="仿宋" w:hAnsi="仿宋" w:eastAsia="仿宋" w:cs="仿宋"/>
          <w:b/>
          <w:sz w:val="24"/>
          <w:highlight w:val="none"/>
        </w:rPr>
        <w:t>1．有关概念</w:t>
      </w:r>
    </w:p>
    <w:p w14:paraId="36616B75">
      <w:pPr>
        <w:pStyle w:val="41"/>
        <w:spacing w:line="500" w:lineRule="exact"/>
        <w:jc w:val="left"/>
        <w:rPr>
          <w:rFonts w:ascii="仿宋" w:hAnsi="仿宋" w:eastAsia="仿宋" w:cs="仿宋"/>
          <w:bCs/>
          <w:sz w:val="24"/>
          <w:highlight w:val="none"/>
        </w:rPr>
      </w:pPr>
      <w:r>
        <w:rPr>
          <w:rFonts w:hint="eastAsia" w:ascii="仿宋" w:hAnsi="仿宋" w:eastAsia="仿宋" w:cs="仿宋"/>
          <w:bCs/>
          <w:sz w:val="24"/>
          <w:highlight w:val="none"/>
        </w:rPr>
        <w:t>本合同下列术语应解释为：</w:t>
      </w:r>
    </w:p>
    <w:p w14:paraId="2135D983">
      <w:pPr>
        <w:pStyle w:val="41"/>
        <w:spacing w:line="500" w:lineRule="exact"/>
        <w:ind w:left="485" w:hanging="484" w:hangingChars="202"/>
        <w:jc w:val="left"/>
        <w:rPr>
          <w:rFonts w:ascii="仿宋" w:hAnsi="仿宋" w:eastAsia="仿宋" w:cs="仿宋"/>
          <w:bCs/>
          <w:sz w:val="24"/>
          <w:highlight w:val="none"/>
        </w:rPr>
      </w:pPr>
      <w:r>
        <w:rPr>
          <w:rFonts w:hint="eastAsia" w:ascii="仿宋" w:hAnsi="仿宋" w:eastAsia="仿宋" w:cs="仿宋"/>
          <w:sz w:val="24"/>
          <w:highlight w:val="none"/>
        </w:rPr>
        <w:t>1.1</w:t>
      </w:r>
      <w:r>
        <w:rPr>
          <w:rFonts w:hint="eastAsia" w:ascii="仿宋" w:hAnsi="仿宋" w:eastAsia="仿宋" w:cs="仿宋"/>
          <w:bCs/>
          <w:sz w:val="24"/>
          <w:highlight w:val="none"/>
        </w:rPr>
        <w:t>“合同”，系指买供双方签署的、合同格式中载明的买供双方所达成的协议，包括所有的附件、附录和上述文件所提到的构成合同的所有文件。</w:t>
      </w:r>
    </w:p>
    <w:p w14:paraId="0FD09717">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1.2“合同价”，系指根据合同规定供方在正确地履行合同义务后采购人应支付给供方的价格。</w:t>
      </w:r>
    </w:p>
    <w:p w14:paraId="08F1715B">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1.3“货物”，系指供方根据合同规定须向采购人提供的各种形态和种类的物品，包括产品、设备、配件等。</w:t>
      </w:r>
    </w:p>
    <w:p w14:paraId="611FA1FB">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1.4“服务”，系指伴随本项目产生的，根据合同规定由供方承担的与供货有关的辅助服务，例如安装、调试、技术援助、培训、售后服务等以及合同中规定供方应承担的所有其它类似义务。</w:t>
      </w:r>
    </w:p>
    <w:p w14:paraId="4962A6F1">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1.5“采购人”，系指采购文件中所述购买货物和服务的单位。</w:t>
      </w:r>
    </w:p>
    <w:p w14:paraId="11434A0D">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1.6“供方”，系指采购文件中所述提供货物和服务的公司或实体，亦即中标人。</w:t>
      </w:r>
    </w:p>
    <w:p w14:paraId="69FAE834">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1.7“天”，系日历天数。</w:t>
      </w:r>
    </w:p>
    <w:p w14:paraId="5E3FA62A">
      <w:pPr>
        <w:pStyle w:val="41"/>
        <w:spacing w:line="500" w:lineRule="exact"/>
        <w:jc w:val="left"/>
        <w:rPr>
          <w:rFonts w:ascii="仿宋" w:hAnsi="仿宋" w:eastAsia="仿宋" w:cs="仿宋"/>
          <w:b/>
          <w:sz w:val="24"/>
          <w:highlight w:val="none"/>
        </w:rPr>
      </w:pPr>
      <w:r>
        <w:rPr>
          <w:rFonts w:hint="eastAsia" w:ascii="仿宋" w:hAnsi="仿宋" w:eastAsia="仿宋" w:cs="仿宋"/>
          <w:b/>
          <w:sz w:val="24"/>
          <w:highlight w:val="none"/>
        </w:rPr>
        <w:t>2．技术规格</w:t>
      </w:r>
    </w:p>
    <w:p w14:paraId="51BD9FEA">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2.1交付货物的技术规格应与响应文件规定的技术规格以及所附的技术规格响应表相一致。</w:t>
      </w:r>
    </w:p>
    <w:p w14:paraId="77319328">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2.2除技术规格另有规定外，计量单位均使用中华人民共和国法定计量单位。</w:t>
      </w:r>
    </w:p>
    <w:p w14:paraId="48FA9921">
      <w:pPr>
        <w:pStyle w:val="41"/>
        <w:spacing w:line="500" w:lineRule="exact"/>
        <w:jc w:val="left"/>
        <w:rPr>
          <w:rFonts w:ascii="仿宋" w:hAnsi="仿宋" w:eastAsia="仿宋" w:cs="仿宋"/>
          <w:b/>
          <w:sz w:val="24"/>
          <w:highlight w:val="none"/>
        </w:rPr>
      </w:pPr>
      <w:r>
        <w:rPr>
          <w:rFonts w:hint="eastAsia" w:ascii="仿宋" w:hAnsi="仿宋" w:eastAsia="仿宋" w:cs="仿宋"/>
          <w:b/>
          <w:sz w:val="24"/>
          <w:highlight w:val="none"/>
        </w:rPr>
        <w:t>3．专利权</w:t>
      </w:r>
    </w:p>
    <w:p w14:paraId="5A921811">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3.1供方应保证采购人在使用该货物或其任何一部分时免受第三方提出侵犯其专利权、商标权或工业设计权的起诉。若由此出现侵权诉讼，由供方承担全部责任。</w:t>
      </w:r>
    </w:p>
    <w:p w14:paraId="37EE9846">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3.2供方按合同要求为采购人提交的设计方案，其所有权、使用权等所有权力均转为采购人所拥有，供方放弃拥有关于设计方案的所有权力。</w:t>
      </w:r>
    </w:p>
    <w:p w14:paraId="553BC52F">
      <w:pPr>
        <w:pStyle w:val="41"/>
        <w:spacing w:line="500" w:lineRule="exact"/>
        <w:jc w:val="left"/>
        <w:rPr>
          <w:rFonts w:ascii="仿宋" w:hAnsi="仿宋" w:eastAsia="仿宋" w:cs="仿宋"/>
          <w:b/>
          <w:sz w:val="24"/>
          <w:highlight w:val="none"/>
        </w:rPr>
      </w:pPr>
      <w:r>
        <w:rPr>
          <w:rFonts w:hint="eastAsia" w:ascii="仿宋" w:hAnsi="仿宋" w:eastAsia="仿宋" w:cs="仿宋"/>
          <w:b/>
          <w:sz w:val="24"/>
          <w:highlight w:val="none"/>
        </w:rPr>
        <w:t>4.包装要求</w:t>
      </w:r>
    </w:p>
    <w:p w14:paraId="66A1FB01">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4.1除合同另有规定外，供方提供的所有单独包装的货物都应具有原始的、完好的标准包装。如遇交付前已拆封货物，采购人有权拒绝接受或要求更换。</w:t>
      </w:r>
    </w:p>
    <w:p w14:paraId="64008E92">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4.2每个包装箱内的装箱清单、使用说明书、质量证书、保修卡及软件使用说明等所有资料均须齐全。</w:t>
      </w:r>
    </w:p>
    <w:p w14:paraId="009A1830">
      <w:pPr>
        <w:pStyle w:val="41"/>
        <w:spacing w:line="500" w:lineRule="exact"/>
        <w:jc w:val="left"/>
        <w:rPr>
          <w:rFonts w:ascii="仿宋" w:hAnsi="仿宋" w:eastAsia="仿宋" w:cs="仿宋"/>
          <w:b/>
          <w:sz w:val="24"/>
          <w:highlight w:val="none"/>
        </w:rPr>
      </w:pPr>
      <w:r>
        <w:rPr>
          <w:rFonts w:hint="eastAsia" w:ascii="仿宋" w:hAnsi="仿宋" w:eastAsia="仿宋" w:cs="仿宋"/>
          <w:b/>
          <w:sz w:val="24"/>
          <w:highlight w:val="none"/>
        </w:rPr>
        <w:t>5. 装运条件</w:t>
      </w:r>
    </w:p>
    <w:p w14:paraId="24858B0F">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5.1供方负责安排运输，运输费由供方承担。</w:t>
      </w:r>
    </w:p>
    <w:p w14:paraId="3681DC80">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5.2提单日期应视为实际交货日期。</w:t>
      </w:r>
    </w:p>
    <w:p w14:paraId="3E1383E2">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5.3供方装运的货物不得超过合同规定的数量或重量。否则，供方应对超运数量或重量而产生的一切后果负责。</w:t>
      </w:r>
    </w:p>
    <w:p w14:paraId="277C6730">
      <w:pPr>
        <w:pStyle w:val="41"/>
        <w:spacing w:line="500" w:lineRule="exact"/>
        <w:jc w:val="left"/>
        <w:rPr>
          <w:rFonts w:ascii="仿宋" w:hAnsi="仿宋" w:eastAsia="仿宋" w:cs="仿宋"/>
          <w:b/>
          <w:sz w:val="24"/>
          <w:highlight w:val="none"/>
        </w:rPr>
      </w:pPr>
      <w:r>
        <w:rPr>
          <w:rFonts w:hint="eastAsia" w:ascii="仿宋" w:hAnsi="仿宋" w:eastAsia="仿宋" w:cs="仿宋"/>
          <w:b/>
          <w:sz w:val="24"/>
          <w:highlight w:val="none"/>
        </w:rPr>
        <w:t>6. 付款</w:t>
      </w:r>
    </w:p>
    <w:p w14:paraId="743C20B5">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6.1本合同以人民币支付。</w:t>
      </w:r>
    </w:p>
    <w:p w14:paraId="79257E99">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6.2供方按照合同规定交货。交货后供方把下列单据提交给采购人,采购人按合同规定审核后办理付款手续：</w:t>
      </w:r>
    </w:p>
    <w:p w14:paraId="3FDF5CF7">
      <w:pPr>
        <w:pStyle w:val="41"/>
        <w:spacing w:line="500" w:lineRule="exact"/>
        <w:ind w:left="646" w:leftChars="269" w:firstLine="1"/>
        <w:jc w:val="left"/>
        <w:rPr>
          <w:rFonts w:ascii="仿宋" w:hAnsi="仿宋" w:eastAsia="仿宋" w:cs="仿宋"/>
          <w:sz w:val="24"/>
          <w:highlight w:val="none"/>
        </w:rPr>
      </w:pPr>
      <w:r>
        <w:rPr>
          <w:rFonts w:hint="eastAsia" w:ascii="仿宋" w:hAnsi="仿宋" w:eastAsia="仿宋" w:cs="仿宋"/>
          <w:sz w:val="24"/>
          <w:highlight w:val="none"/>
        </w:rPr>
        <w:t>（1）发票</w:t>
      </w:r>
    </w:p>
    <w:p w14:paraId="44F6DB57">
      <w:pPr>
        <w:pStyle w:val="41"/>
        <w:spacing w:line="500" w:lineRule="exact"/>
        <w:ind w:left="646" w:leftChars="269" w:firstLine="1"/>
        <w:jc w:val="left"/>
        <w:rPr>
          <w:rFonts w:ascii="仿宋" w:hAnsi="仿宋" w:eastAsia="仿宋" w:cs="仿宋"/>
          <w:sz w:val="24"/>
          <w:highlight w:val="none"/>
        </w:rPr>
      </w:pPr>
      <w:r>
        <w:rPr>
          <w:rFonts w:hint="eastAsia" w:ascii="仿宋" w:hAnsi="仿宋" w:eastAsia="仿宋" w:cs="仿宋"/>
          <w:sz w:val="24"/>
          <w:highlight w:val="none"/>
        </w:rPr>
        <w:t>（2）质量证书</w:t>
      </w:r>
    </w:p>
    <w:p w14:paraId="39CEA82B">
      <w:pPr>
        <w:pStyle w:val="41"/>
        <w:spacing w:line="500" w:lineRule="exact"/>
        <w:ind w:left="646" w:leftChars="269" w:firstLine="1"/>
        <w:jc w:val="left"/>
        <w:rPr>
          <w:rFonts w:ascii="仿宋" w:hAnsi="仿宋" w:eastAsia="仿宋" w:cs="仿宋"/>
          <w:sz w:val="24"/>
          <w:highlight w:val="none"/>
        </w:rPr>
      </w:pPr>
      <w:r>
        <w:rPr>
          <w:rFonts w:hint="eastAsia" w:ascii="仿宋" w:hAnsi="仿宋" w:eastAsia="仿宋" w:cs="仿宋"/>
          <w:sz w:val="24"/>
          <w:highlight w:val="none"/>
        </w:rPr>
        <w:t>（3）详细配置、数量清单</w:t>
      </w:r>
    </w:p>
    <w:p w14:paraId="5E5B37AB">
      <w:pPr>
        <w:pStyle w:val="41"/>
        <w:spacing w:line="500" w:lineRule="exact"/>
        <w:ind w:left="646" w:leftChars="269" w:firstLine="1"/>
        <w:jc w:val="left"/>
        <w:rPr>
          <w:rFonts w:ascii="仿宋" w:hAnsi="仿宋" w:eastAsia="仿宋" w:cs="仿宋"/>
          <w:sz w:val="24"/>
          <w:highlight w:val="none"/>
        </w:rPr>
      </w:pPr>
      <w:r>
        <w:rPr>
          <w:rFonts w:hint="eastAsia" w:ascii="仿宋" w:hAnsi="仿宋" w:eastAsia="仿宋" w:cs="仿宋"/>
          <w:sz w:val="24"/>
          <w:highlight w:val="none"/>
        </w:rPr>
        <w:t>（4）检验报告</w:t>
      </w:r>
    </w:p>
    <w:p w14:paraId="3904BC98">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6.3采购人按合同规定的合同生效及支付条件和方式安排付款。</w:t>
      </w:r>
    </w:p>
    <w:p w14:paraId="6031EFEA">
      <w:pPr>
        <w:pStyle w:val="41"/>
        <w:spacing w:line="500" w:lineRule="exact"/>
        <w:jc w:val="left"/>
        <w:rPr>
          <w:rFonts w:ascii="仿宋" w:hAnsi="仿宋" w:eastAsia="仿宋" w:cs="仿宋"/>
          <w:b/>
          <w:sz w:val="24"/>
          <w:highlight w:val="none"/>
        </w:rPr>
      </w:pPr>
      <w:r>
        <w:rPr>
          <w:rFonts w:hint="eastAsia" w:ascii="仿宋" w:hAnsi="仿宋" w:eastAsia="仿宋" w:cs="仿宋"/>
          <w:b/>
          <w:sz w:val="24"/>
          <w:highlight w:val="none"/>
        </w:rPr>
        <w:t>7．伴随服务</w:t>
      </w:r>
    </w:p>
    <w:p w14:paraId="2E380BDC">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7.1供方随同货物提交所供货物的技术资料。包括相应每套货物的中文技术文件，如：产品目录、操作手册、使用说明、维护手册或服务指南等。</w:t>
      </w:r>
    </w:p>
    <w:p w14:paraId="5CC6539E">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7.2供方应提供下列服务：</w:t>
      </w:r>
    </w:p>
    <w:p w14:paraId="09E60EE0">
      <w:pPr>
        <w:pStyle w:val="41"/>
        <w:spacing w:line="500" w:lineRule="exact"/>
        <w:ind w:left="646" w:leftChars="269" w:firstLine="1"/>
        <w:jc w:val="left"/>
        <w:rPr>
          <w:rFonts w:ascii="仿宋" w:hAnsi="仿宋" w:eastAsia="仿宋" w:cs="仿宋"/>
          <w:sz w:val="24"/>
          <w:highlight w:val="none"/>
        </w:rPr>
      </w:pPr>
      <w:r>
        <w:rPr>
          <w:rFonts w:hint="eastAsia" w:ascii="仿宋" w:hAnsi="仿宋" w:eastAsia="仿宋" w:cs="仿宋"/>
          <w:sz w:val="24"/>
          <w:highlight w:val="none"/>
        </w:rPr>
        <w:t>（1）货物的现场安装和启动监督；</w:t>
      </w:r>
    </w:p>
    <w:p w14:paraId="091053F4">
      <w:pPr>
        <w:pStyle w:val="41"/>
        <w:spacing w:line="500" w:lineRule="exact"/>
        <w:ind w:left="646" w:leftChars="269" w:firstLine="1"/>
        <w:jc w:val="left"/>
        <w:rPr>
          <w:rFonts w:ascii="仿宋" w:hAnsi="仿宋" w:eastAsia="仿宋" w:cs="仿宋"/>
          <w:sz w:val="24"/>
          <w:highlight w:val="none"/>
        </w:rPr>
      </w:pPr>
      <w:r>
        <w:rPr>
          <w:rFonts w:hint="eastAsia" w:ascii="仿宋" w:hAnsi="仿宋" w:eastAsia="仿宋" w:cs="仿宋"/>
          <w:sz w:val="24"/>
          <w:highlight w:val="none"/>
        </w:rPr>
        <w:t>（2）提供货物组装和维修所必须的工具；</w:t>
      </w:r>
    </w:p>
    <w:p w14:paraId="37BD6238">
      <w:pPr>
        <w:pStyle w:val="41"/>
        <w:spacing w:line="500" w:lineRule="exact"/>
        <w:ind w:left="646" w:leftChars="269" w:firstLine="1"/>
        <w:jc w:val="left"/>
        <w:rPr>
          <w:rFonts w:ascii="仿宋" w:hAnsi="仿宋" w:eastAsia="仿宋" w:cs="仿宋"/>
          <w:sz w:val="24"/>
          <w:highlight w:val="none"/>
        </w:rPr>
      </w:pPr>
      <w:r>
        <w:rPr>
          <w:rFonts w:hint="eastAsia" w:ascii="仿宋" w:hAnsi="仿宋" w:eastAsia="仿宋" w:cs="仿宋"/>
          <w:sz w:val="24"/>
          <w:highlight w:val="none"/>
        </w:rPr>
        <w:t>（3）在项目现场就货物的安装、启动、运行和维护，按采购人的要求提供技术培训。</w:t>
      </w:r>
    </w:p>
    <w:p w14:paraId="16426CA1">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7.3伴随服务的费用含在合同价中，不另行支付。</w:t>
      </w:r>
    </w:p>
    <w:p w14:paraId="0591E5F1">
      <w:pPr>
        <w:pStyle w:val="41"/>
        <w:spacing w:line="500" w:lineRule="exact"/>
        <w:jc w:val="left"/>
        <w:rPr>
          <w:rFonts w:ascii="仿宋" w:hAnsi="仿宋" w:eastAsia="仿宋" w:cs="仿宋"/>
          <w:b/>
          <w:sz w:val="24"/>
          <w:highlight w:val="none"/>
        </w:rPr>
      </w:pPr>
      <w:r>
        <w:rPr>
          <w:rFonts w:hint="eastAsia" w:ascii="仿宋" w:hAnsi="仿宋" w:eastAsia="仿宋" w:cs="仿宋"/>
          <w:bCs/>
          <w:sz w:val="24"/>
          <w:highlight w:val="none"/>
        </w:rPr>
        <w:t>8.</w:t>
      </w:r>
      <w:r>
        <w:rPr>
          <w:rFonts w:hint="eastAsia" w:ascii="仿宋" w:hAnsi="仿宋" w:eastAsia="仿宋" w:cs="仿宋"/>
          <w:b/>
          <w:sz w:val="24"/>
          <w:highlight w:val="none"/>
        </w:rPr>
        <w:t>备品备件</w:t>
      </w:r>
    </w:p>
    <w:p w14:paraId="07EADA43">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bCs/>
          <w:sz w:val="24"/>
          <w:highlight w:val="none"/>
        </w:rPr>
        <w:t>8.1</w:t>
      </w:r>
      <w:r>
        <w:rPr>
          <w:rFonts w:hint="eastAsia" w:ascii="仿宋" w:hAnsi="仿宋" w:eastAsia="仿宋" w:cs="仿宋"/>
          <w:sz w:val="24"/>
          <w:highlight w:val="none"/>
        </w:rPr>
        <w:t>供</w:t>
      </w:r>
      <w:r>
        <w:rPr>
          <w:rFonts w:hint="eastAsia" w:ascii="仿宋" w:hAnsi="仿宋" w:eastAsia="仿宋" w:cs="仿宋"/>
          <w:bCs/>
          <w:sz w:val="24"/>
          <w:highlight w:val="none"/>
        </w:rPr>
        <w:t>方可能被要</w:t>
      </w:r>
      <w:r>
        <w:rPr>
          <w:rFonts w:hint="eastAsia" w:ascii="仿宋" w:hAnsi="仿宋" w:eastAsia="仿宋" w:cs="仿宋"/>
          <w:sz w:val="24"/>
          <w:highlight w:val="none"/>
        </w:rPr>
        <w:t>求提供下列与备件有关的材料、通知和资料：</w:t>
      </w:r>
    </w:p>
    <w:p w14:paraId="7DEEEC86">
      <w:pPr>
        <w:pStyle w:val="41"/>
        <w:spacing w:line="500" w:lineRule="exact"/>
        <w:ind w:left="648" w:leftChars="270"/>
        <w:jc w:val="left"/>
        <w:rPr>
          <w:rFonts w:ascii="仿宋" w:hAnsi="仿宋" w:eastAsia="仿宋" w:cs="仿宋"/>
          <w:sz w:val="24"/>
          <w:highlight w:val="none"/>
        </w:rPr>
      </w:pPr>
      <w:r>
        <w:rPr>
          <w:rFonts w:hint="eastAsia" w:ascii="仿宋" w:hAnsi="仿宋" w:eastAsia="仿宋" w:cs="仿宋"/>
          <w:sz w:val="24"/>
          <w:highlight w:val="none"/>
        </w:rPr>
        <w:t>（1）采购方从供方选购备件，但前提条件是该选购并不能免除供方在合同保证期内所承担的义务；</w:t>
      </w:r>
    </w:p>
    <w:p w14:paraId="430E32A1">
      <w:pPr>
        <w:pStyle w:val="41"/>
        <w:spacing w:line="500" w:lineRule="exact"/>
        <w:ind w:left="648" w:leftChars="270"/>
        <w:jc w:val="left"/>
        <w:rPr>
          <w:rFonts w:ascii="仿宋" w:hAnsi="仿宋" w:eastAsia="仿宋" w:cs="仿宋"/>
          <w:sz w:val="24"/>
          <w:highlight w:val="none"/>
        </w:rPr>
      </w:pPr>
      <w:r>
        <w:rPr>
          <w:rFonts w:hint="eastAsia" w:ascii="仿宋" w:hAnsi="仿宋" w:eastAsia="仿宋" w:cs="仿宋"/>
          <w:sz w:val="24"/>
          <w:highlight w:val="none"/>
        </w:rPr>
        <w:t>（2）在备件停止生产的情况下，供方应事先将要停止生产的计划通知买方有足够的时间采购所需的备件；</w:t>
      </w:r>
    </w:p>
    <w:p w14:paraId="04CD1434">
      <w:pPr>
        <w:pStyle w:val="41"/>
        <w:spacing w:line="500" w:lineRule="exact"/>
        <w:ind w:left="648" w:leftChars="270"/>
        <w:jc w:val="left"/>
        <w:rPr>
          <w:rFonts w:ascii="仿宋" w:hAnsi="仿宋" w:eastAsia="仿宋" w:cs="仿宋"/>
          <w:sz w:val="24"/>
          <w:highlight w:val="none"/>
        </w:rPr>
      </w:pPr>
      <w:r>
        <w:rPr>
          <w:rFonts w:hint="eastAsia" w:ascii="仿宋" w:hAnsi="仿宋" w:eastAsia="仿宋" w:cs="仿宋"/>
          <w:sz w:val="24"/>
          <w:highlight w:val="none"/>
        </w:rPr>
        <w:t>（3）在备件停止生产后，如果采购方要求，供方应免费向采购方提供备件的蓝图、图纸和规格。</w:t>
      </w:r>
    </w:p>
    <w:p w14:paraId="52939943">
      <w:pPr>
        <w:pStyle w:val="41"/>
        <w:tabs>
          <w:tab w:val="left" w:pos="-540"/>
          <w:tab w:val="left" w:pos="0"/>
          <w:tab w:val="left" w:pos="420"/>
          <w:tab w:val="left" w:pos="840"/>
          <w:tab w:val="left" w:pos="1260"/>
          <w:tab w:val="left" w:pos="1680"/>
          <w:tab w:val="left" w:pos="2250"/>
        </w:tabs>
        <w:spacing w:line="500" w:lineRule="exact"/>
        <w:jc w:val="left"/>
        <w:rPr>
          <w:rFonts w:ascii="仿宋" w:hAnsi="仿宋" w:eastAsia="仿宋" w:cs="仿宋"/>
          <w:b/>
          <w:sz w:val="24"/>
          <w:highlight w:val="none"/>
        </w:rPr>
      </w:pPr>
      <w:r>
        <w:rPr>
          <w:rFonts w:hint="eastAsia" w:ascii="仿宋" w:hAnsi="仿宋" w:eastAsia="仿宋" w:cs="仿宋"/>
          <w:b/>
          <w:sz w:val="24"/>
          <w:highlight w:val="none"/>
        </w:rPr>
        <w:t>9、质量保证及售后服务</w:t>
      </w:r>
    </w:p>
    <w:p w14:paraId="5F8894D9">
      <w:pPr>
        <w:pStyle w:val="41"/>
        <w:tabs>
          <w:tab w:val="left" w:pos="-540"/>
          <w:tab w:val="left" w:pos="0"/>
          <w:tab w:val="left" w:pos="420"/>
          <w:tab w:val="left" w:pos="840"/>
          <w:tab w:val="left" w:pos="1260"/>
          <w:tab w:val="left" w:pos="1680"/>
          <w:tab w:val="left" w:pos="2250"/>
        </w:tabs>
        <w:spacing w:line="500" w:lineRule="exact"/>
        <w:jc w:val="left"/>
        <w:rPr>
          <w:rFonts w:ascii="仿宋" w:hAnsi="仿宋" w:eastAsia="仿宋" w:cs="仿宋"/>
          <w:b/>
          <w:sz w:val="24"/>
          <w:highlight w:val="none"/>
        </w:rPr>
      </w:pPr>
      <w:r>
        <w:rPr>
          <w:rFonts w:hint="eastAsia" w:ascii="仿宋" w:hAnsi="仿宋" w:eastAsia="仿宋" w:cs="仿宋"/>
          <w:b/>
          <w:sz w:val="24"/>
          <w:highlight w:val="none"/>
        </w:rPr>
        <w:t>（一）质量保证</w:t>
      </w:r>
    </w:p>
    <w:p w14:paraId="509A05B0">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9.1供方保证所提供的货物是全新的、未使用过的，是完全符合合同规定的质量、规格和性能要求的。保证货物在正常使用和保养条件下，在其使用寿命内具有满意的性能。在质保期内供方免费提供货物正常使用情况下发生故障的维修服务和更换配件服务。在供方或制造商承诺的货物质量保证期内，供方对由于设计工艺或材料的缺陷而产生的故障负责；货物无质保期的，供方在两年内对由于设计工艺或材料的缺陷而产生的故障负责。</w:t>
      </w:r>
    </w:p>
    <w:p w14:paraId="393A953A">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9.2在质保期内或货物无质保期的则在两年内，如果货物的数量、质量或规格与合同不符，或证实货物有缺陷的，采购人可尽快以书面形式向供方提出本保证下的索赔。</w:t>
      </w:r>
    </w:p>
    <w:p w14:paraId="77A54F38">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9.3供方在收到索赔通知后十日内须免费更换有缺陷的货物或部件。</w:t>
      </w:r>
    </w:p>
    <w:p w14:paraId="32CA03D6">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9.4供方在收到索赔通知后十日内没有弥补缺陷，采购人可采取必要的补救措施，其风险和费用将由供方承担，采购人根据合同规定向供方行使的其它权利不受影响。</w:t>
      </w:r>
    </w:p>
    <w:p w14:paraId="088DB194">
      <w:pPr>
        <w:pStyle w:val="41"/>
        <w:tabs>
          <w:tab w:val="left" w:pos="-540"/>
          <w:tab w:val="left" w:pos="0"/>
          <w:tab w:val="left" w:pos="420"/>
          <w:tab w:val="left" w:pos="840"/>
          <w:tab w:val="left" w:pos="1260"/>
          <w:tab w:val="left" w:pos="1680"/>
          <w:tab w:val="left" w:pos="2250"/>
        </w:tabs>
        <w:spacing w:line="500" w:lineRule="exact"/>
        <w:jc w:val="left"/>
        <w:rPr>
          <w:rFonts w:ascii="仿宋" w:hAnsi="仿宋" w:eastAsia="仿宋" w:cs="仿宋"/>
          <w:b/>
          <w:sz w:val="24"/>
          <w:highlight w:val="none"/>
        </w:rPr>
      </w:pPr>
      <w:r>
        <w:rPr>
          <w:rFonts w:hint="eastAsia" w:ascii="仿宋" w:hAnsi="仿宋" w:eastAsia="仿宋" w:cs="仿宋"/>
          <w:b/>
          <w:sz w:val="24"/>
          <w:highlight w:val="none"/>
        </w:rPr>
        <w:t>(二)质量保证期后服务</w:t>
      </w:r>
    </w:p>
    <w:p w14:paraId="518A5B7E">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9.5 质保期满后，若有零部件出现故障，经权威部门鉴定属于寿命异常问题（明显短于该零部件正常寿命时），则由供方负责免费更换及维修。</w:t>
      </w:r>
    </w:p>
    <w:p w14:paraId="42ACB03C">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9.6 质保期满后，应采购方要求，供方应按投标时的价格与采购方签订定期维修保养合同及提供采购方所需零配件，若投标时的价格高于市场价，则按市场价与与采购方签订定期维修保养合同及提供采购方所需零配件。</w:t>
      </w:r>
    </w:p>
    <w:p w14:paraId="0CDC9FF5">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9.7 乙方交货后，若设备发生故障，乙方应在甲方报修后24小时内到达。</w:t>
      </w:r>
    </w:p>
    <w:p w14:paraId="3A6E5D70">
      <w:pPr>
        <w:pStyle w:val="41"/>
        <w:spacing w:line="500" w:lineRule="exact"/>
        <w:jc w:val="left"/>
        <w:rPr>
          <w:rFonts w:ascii="仿宋" w:hAnsi="仿宋" w:eastAsia="仿宋" w:cs="仿宋"/>
          <w:b/>
          <w:sz w:val="24"/>
          <w:highlight w:val="none"/>
        </w:rPr>
      </w:pPr>
      <w:r>
        <w:rPr>
          <w:rFonts w:hint="eastAsia" w:ascii="仿宋" w:hAnsi="仿宋" w:eastAsia="仿宋" w:cs="仿宋"/>
          <w:b/>
          <w:sz w:val="24"/>
          <w:highlight w:val="none"/>
        </w:rPr>
        <w:t>10．检验</w:t>
      </w:r>
    </w:p>
    <w:p w14:paraId="42B7199B">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10.1在交货前，供方应对货物的质量、规格、性能、数量等进行详细全面的检验，并出具一份证明货物符合合同规定要求的检验报告。检验报告是付款必要的文件组成部分，但不作为对有关质量、规格、数量的最终检验。</w:t>
      </w:r>
    </w:p>
    <w:p w14:paraId="5E52482C">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10.2货物交付后，采购人申请有关部门对货物的质量、数量等进行检验并出具检验证书。</w:t>
      </w:r>
    </w:p>
    <w:p w14:paraId="7F55B5CD">
      <w:pPr>
        <w:pStyle w:val="41"/>
        <w:spacing w:line="500" w:lineRule="exact"/>
        <w:jc w:val="left"/>
        <w:rPr>
          <w:rFonts w:ascii="仿宋" w:hAnsi="仿宋" w:eastAsia="仿宋" w:cs="仿宋"/>
          <w:b/>
          <w:sz w:val="24"/>
          <w:highlight w:val="none"/>
        </w:rPr>
      </w:pPr>
      <w:r>
        <w:rPr>
          <w:rFonts w:hint="eastAsia" w:ascii="仿宋" w:hAnsi="仿宋" w:eastAsia="仿宋" w:cs="仿宋"/>
          <w:b/>
          <w:sz w:val="24"/>
          <w:highlight w:val="none"/>
        </w:rPr>
        <w:t>11．索赔</w:t>
      </w:r>
    </w:p>
    <w:p w14:paraId="2B352310">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bCs/>
          <w:sz w:val="24"/>
          <w:highlight w:val="none"/>
        </w:rPr>
        <w:t>1</w:t>
      </w:r>
      <w:r>
        <w:rPr>
          <w:rFonts w:hint="eastAsia" w:ascii="仿宋" w:hAnsi="仿宋" w:eastAsia="仿宋" w:cs="仿宋"/>
          <w:sz w:val="24"/>
          <w:highlight w:val="none"/>
        </w:rPr>
        <w:t>1.1采购人有权根据有关部门出具的检验证书向供方提出索赔。</w:t>
      </w:r>
    </w:p>
    <w:p w14:paraId="39550A6E">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11.2在合同条款第8条规定的质保期内，如果供方对差异负有责任而采购人提出索赔，供方应按照采购人的损失程度进行赔偿。</w:t>
      </w:r>
    </w:p>
    <w:p w14:paraId="0CB75616">
      <w:pPr>
        <w:pStyle w:val="40"/>
        <w:spacing w:line="500" w:lineRule="exact"/>
        <w:ind w:firstLine="0" w:firstLineChars="0"/>
        <w:jc w:val="left"/>
        <w:rPr>
          <w:rFonts w:ascii="仿宋" w:hAnsi="仿宋" w:eastAsia="仿宋" w:cs="仿宋"/>
          <w:b/>
          <w:sz w:val="24"/>
          <w:highlight w:val="none"/>
        </w:rPr>
      </w:pPr>
      <w:r>
        <w:rPr>
          <w:rFonts w:hint="eastAsia" w:ascii="仿宋" w:hAnsi="仿宋" w:eastAsia="仿宋" w:cs="仿宋"/>
          <w:b/>
          <w:sz w:val="24"/>
          <w:highlight w:val="none"/>
        </w:rPr>
        <w:t>12．</w:t>
      </w:r>
      <w:r>
        <w:rPr>
          <w:rFonts w:hint="eastAsia" w:ascii="仿宋" w:hAnsi="仿宋" w:eastAsia="仿宋" w:cs="仿宋"/>
          <w:sz w:val="24"/>
          <w:highlight w:val="none"/>
        </w:rPr>
        <w:t>供</w:t>
      </w:r>
      <w:r>
        <w:rPr>
          <w:rFonts w:hint="eastAsia" w:ascii="仿宋" w:hAnsi="仿宋" w:eastAsia="仿宋" w:cs="仿宋"/>
          <w:b/>
          <w:sz w:val="24"/>
          <w:highlight w:val="none"/>
        </w:rPr>
        <w:t>方履约延误</w:t>
      </w:r>
    </w:p>
    <w:p w14:paraId="28373457">
      <w:pPr>
        <w:pStyle w:val="41"/>
        <w:spacing w:line="500" w:lineRule="exact"/>
        <w:ind w:left="485" w:hanging="484" w:hangingChars="202"/>
        <w:jc w:val="left"/>
        <w:rPr>
          <w:rFonts w:ascii="仿宋" w:hAnsi="仿宋" w:eastAsia="仿宋" w:cs="仿宋"/>
          <w:bCs/>
          <w:sz w:val="24"/>
          <w:highlight w:val="none"/>
        </w:rPr>
      </w:pPr>
      <w:r>
        <w:rPr>
          <w:rFonts w:hint="eastAsia" w:ascii="仿宋" w:hAnsi="仿宋" w:eastAsia="仿宋" w:cs="仿宋"/>
          <w:bCs/>
          <w:sz w:val="24"/>
          <w:highlight w:val="none"/>
        </w:rPr>
        <w:t>12.1</w:t>
      </w:r>
      <w:r>
        <w:rPr>
          <w:rFonts w:hint="eastAsia" w:ascii="仿宋" w:hAnsi="仿宋" w:eastAsia="仿宋" w:cs="仿宋"/>
          <w:sz w:val="24"/>
          <w:highlight w:val="none"/>
        </w:rPr>
        <w:t>供</w:t>
      </w:r>
      <w:r>
        <w:rPr>
          <w:rFonts w:hint="eastAsia" w:ascii="仿宋" w:hAnsi="仿宋" w:eastAsia="仿宋" w:cs="仿宋"/>
          <w:bCs/>
          <w:sz w:val="24"/>
          <w:highlight w:val="none"/>
        </w:rPr>
        <w:t>方应</w:t>
      </w:r>
      <w:r>
        <w:rPr>
          <w:rFonts w:hint="eastAsia" w:ascii="仿宋" w:hAnsi="仿宋" w:eastAsia="仿宋" w:cs="仿宋"/>
          <w:sz w:val="24"/>
          <w:highlight w:val="none"/>
        </w:rPr>
        <w:t>按规定</w:t>
      </w:r>
      <w:r>
        <w:rPr>
          <w:rFonts w:hint="eastAsia" w:ascii="仿宋" w:hAnsi="仿宋" w:eastAsia="仿宋" w:cs="仿宋"/>
          <w:bCs/>
          <w:sz w:val="24"/>
          <w:highlight w:val="none"/>
        </w:rPr>
        <w:t>的时间交货和提供服务。</w:t>
      </w:r>
    </w:p>
    <w:p w14:paraId="5C6CDB2E">
      <w:pPr>
        <w:pStyle w:val="40"/>
        <w:spacing w:line="500" w:lineRule="exact"/>
        <w:ind w:left="617" w:hanging="616" w:hangingChars="257"/>
        <w:jc w:val="left"/>
        <w:rPr>
          <w:rFonts w:ascii="仿宋" w:hAnsi="仿宋" w:eastAsia="仿宋" w:cs="仿宋"/>
          <w:sz w:val="24"/>
          <w:highlight w:val="none"/>
        </w:rPr>
      </w:pPr>
      <w:r>
        <w:rPr>
          <w:rFonts w:hint="eastAsia" w:ascii="仿宋" w:hAnsi="仿宋" w:eastAsia="仿宋" w:cs="仿宋"/>
          <w:bCs/>
          <w:sz w:val="24"/>
          <w:highlight w:val="none"/>
        </w:rPr>
        <w:t>12.2如</w:t>
      </w:r>
      <w:r>
        <w:rPr>
          <w:rFonts w:hint="eastAsia" w:ascii="仿宋" w:hAnsi="仿宋" w:eastAsia="仿宋" w:cs="仿宋"/>
          <w:sz w:val="24"/>
          <w:highlight w:val="none"/>
        </w:rPr>
        <w:t>供方无正当理由而拖延交货，采购人将从货款中扣除误期赔偿费而不影响合同项下的其他补救方法，赔偿费按每周迟交货物交货价或未提供服务费用的百分之一（1%）计收，直至交货或提供服务为止。误期赔偿费的最高限额不超过误期货物或服务合同价的百分之五（5%）。一周按七（7）天计算，不足七（7）天按一周计算。一旦达到误期赔偿费的最高限额，采购人有权终止合同。</w:t>
      </w:r>
    </w:p>
    <w:p w14:paraId="19182079">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bCs/>
          <w:sz w:val="24"/>
          <w:highlight w:val="none"/>
        </w:rPr>
        <w:t>12.3在履行</w:t>
      </w:r>
      <w:r>
        <w:rPr>
          <w:rFonts w:hint="eastAsia" w:ascii="仿宋" w:hAnsi="仿宋" w:eastAsia="仿宋" w:cs="仿宋"/>
          <w:sz w:val="24"/>
          <w:highlight w:val="none"/>
        </w:rPr>
        <w:t>合同过程中，如果供方遇到可能妨碍按时交货和提供服务的情况时，应及时以书面形式将拖延的事实、可能拖延的期限和理由通知采购人。采购人在收到通知后，要尽快对情况进行评价，并确定是否通过修改合同酌情延长交货时间以及是否收取误期赔偿费。延期应通过修改合同的方式由双方认可。</w:t>
      </w:r>
    </w:p>
    <w:p w14:paraId="6AD5BB18">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12.4供方交付的货物不符合采购文件、响应文件和本合同规定的，采购方有权拒收，并且供方需向采购方支付本合同总价10%的违约金。</w:t>
      </w:r>
    </w:p>
    <w:p w14:paraId="674A0B56">
      <w:pPr>
        <w:pStyle w:val="40"/>
        <w:spacing w:line="500" w:lineRule="exact"/>
        <w:ind w:firstLine="0" w:firstLineChars="0"/>
        <w:jc w:val="left"/>
        <w:rPr>
          <w:rFonts w:ascii="仿宋" w:hAnsi="仿宋" w:eastAsia="仿宋" w:cs="仿宋"/>
          <w:b/>
          <w:sz w:val="24"/>
          <w:highlight w:val="none"/>
        </w:rPr>
      </w:pPr>
      <w:r>
        <w:rPr>
          <w:rFonts w:hint="eastAsia" w:ascii="仿宋" w:hAnsi="仿宋" w:eastAsia="仿宋" w:cs="仿宋"/>
          <w:b/>
          <w:sz w:val="24"/>
          <w:highlight w:val="none"/>
        </w:rPr>
        <w:t>13．不可抗力</w:t>
      </w:r>
    </w:p>
    <w:p w14:paraId="3F96FE34">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bCs/>
          <w:sz w:val="24"/>
          <w:highlight w:val="none"/>
        </w:rPr>
        <w:t>13.1如果双</w:t>
      </w:r>
      <w:r>
        <w:rPr>
          <w:rFonts w:hint="eastAsia" w:ascii="仿宋" w:hAnsi="仿宋" w:eastAsia="仿宋" w:cs="仿宋"/>
          <w:sz w:val="24"/>
          <w:highlight w:val="none"/>
        </w:rPr>
        <w:t>方任何一方由于经双方认可属于不可抗力的事故，致使影响合同履行时，履行合同的期限予以延长，延长的期限应相当于事故所影响的时间。不可抗力事件是指买供双方在缔结合同时所不能预见、并且它的发生及其后果是无法避免及无法克服的事件，比如战争、严重火灾、洪水、台风、地震等。</w:t>
      </w:r>
    </w:p>
    <w:p w14:paraId="3F2BB1D6">
      <w:pPr>
        <w:pStyle w:val="41"/>
        <w:spacing w:line="500" w:lineRule="exact"/>
        <w:ind w:left="485" w:hanging="484" w:hangingChars="202"/>
        <w:jc w:val="left"/>
        <w:rPr>
          <w:rFonts w:ascii="仿宋" w:hAnsi="仿宋" w:eastAsia="仿宋" w:cs="仿宋"/>
          <w:sz w:val="24"/>
          <w:highlight w:val="none"/>
        </w:rPr>
      </w:pPr>
      <w:r>
        <w:rPr>
          <w:rFonts w:hint="eastAsia" w:ascii="仿宋" w:hAnsi="仿宋" w:eastAsia="仿宋" w:cs="仿宋"/>
          <w:sz w:val="24"/>
          <w:highlight w:val="none"/>
        </w:rPr>
        <w:t>13.2受事故影响的一方应在不可抗力发生后尽快以传真、电报通知另一方，并在事故发生后14天内，将有关部门出具的证明文件用特快专递或挂号信寄给另一方。如果不可抗力影响时间延续90天以上时，双方可通过友好协商在合理的时间内达成进一步履行或解除合同的协议。</w:t>
      </w:r>
    </w:p>
    <w:p w14:paraId="6ED20966">
      <w:pPr>
        <w:pStyle w:val="40"/>
        <w:spacing w:line="500" w:lineRule="exact"/>
        <w:ind w:firstLine="0" w:firstLineChars="0"/>
        <w:jc w:val="left"/>
        <w:rPr>
          <w:rFonts w:ascii="仿宋" w:hAnsi="仿宋" w:eastAsia="仿宋" w:cs="仿宋"/>
          <w:b/>
          <w:sz w:val="24"/>
          <w:highlight w:val="none"/>
        </w:rPr>
      </w:pPr>
      <w:r>
        <w:rPr>
          <w:rFonts w:hint="eastAsia" w:ascii="仿宋" w:hAnsi="仿宋" w:eastAsia="仿宋" w:cs="仿宋"/>
          <w:b/>
          <w:sz w:val="24"/>
          <w:highlight w:val="none"/>
        </w:rPr>
        <w:t>14．税费</w:t>
      </w:r>
    </w:p>
    <w:p w14:paraId="6B4DE3E3">
      <w:pPr>
        <w:pStyle w:val="41"/>
        <w:spacing w:line="500" w:lineRule="exact"/>
        <w:ind w:left="485" w:hanging="484" w:hangingChars="202"/>
        <w:jc w:val="left"/>
        <w:rPr>
          <w:rFonts w:ascii="仿宋" w:hAnsi="仿宋" w:eastAsia="仿宋" w:cs="仿宋"/>
          <w:bCs/>
          <w:sz w:val="24"/>
          <w:highlight w:val="none"/>
        </w:rPr>
      </w:pPr>
      <w:r>
        <w:rPr>
          <w:rFonts w:hint="eastAsia" w:ascii="仿宋" w:hAnsi="仿宋" w:eastAsia="仿宋" w:cs="仿宋"/>
          <w:bCs/>
          <w:sz w:val="24"/>
          <w:highlight w:val="none"/>
        </w:rPr>
        <w:t>14.1政府根据现行税法对</w:t>
      </w:r>
      <w:r>
        <w:rPr>
          <w:rFonts w:hint="eastAsia" w:ascii="仿宋" w:hAnsi="仿宋" w:eastAsia="仿宋" w:cs="仿宋"/>
          <w:sz w:val="24"/>
          <w:highlight w:val="none"/>
        </w:rPr>
        <w:t>供</w:t>
      </w:r>
      <w:r>
        <w:rPr>
          <w:rFonts w:hint="eastAsia" w:ascii="仿宋" w:hAnsi="仿宋" w:eastAsia="仿宋" w:cs="仿宋"/>
          <w:bCs/>
          <w:sz w:val="24"/>
          <w:highlight w:val="none"/>
        </w:rPr>
        <w:t>方征收的与本合同有关的一切税费均由</w:t>
      </w:r>
      <w:r>
        <w:rPr>
          <w:rFonts w:hint="eastAsia" w:ascii="仿宋" w:hAnsi="仿宋" w:eastAsia="仿宋" w:cs="仿宋"/>
          <w:sz w:val="24"/>
          <w:highlight w:val="none"/>
        </w:rPr>
        <w:t>供</w:t>
      </w:r>
      <w:r>
        <w:rPr>
          <w:rFonts w:hint="eastAsia" w:ascii="仿宋" w:hAnsi="仿宋" w:eastAsia="仿宋" w:cs="仿宋"/>
          <w:bCs/>
          <w:sz w:val="24"/>
          <w:highlight w:val="none"/>
        </w:rPr>
        <w:t>方负担。</w:t>
      </w:r>
    </w:p>
    <w:p w14:paraId="266EDA6D">
      <w:pPr>
        <w:pStyle w:val="40"/>
        <w:spacing w:line="500" w:lineRule="exact"/>
        <w:ind w:firstLine="0" w:firstLineChars="0"/>
        <w:jc w:val="left"/>
        <w:rPr>
          <w:rFonts w:ascii="仿宋" w:hAnsi="仿宋" w:eastAsia="仿宋" w:cs="仿宋"/>
          <w:b/>
          <w:sz w:val="24"/>
          <w:highlight w:val="none"/>
        </w:rPr>
      </w:pPr>
      <w:r>
        <w:rPr>
          <w:rFonts w:hint="eastAsia" w:ascii="仿宋" w:hAnsi="仿宋" w:eastAsia="仿宋" w:cs="仿宋"/>
          <w:b/>
          <w:sz w:val="24"/>
          <w:highlight w:val="none"/>
        </w:rPr>
        <w:t>15．违约终止合同</w:t>
      </w:r>
    </w:p>
    <w:p w14:paraId="104721C1">
      <w:pPr>
        <w:pStyle w:val="40"/>
        <w:spacing w:line="500" w:lineRule="exact"/>
        <w:ind w:left="617" w:hanging="616" w:hangingChars="257"/>
        <w:jc w:val="left"/>
        <w:rPr>
          <w:rFonts w:ascii="仿宋" w:hAnsi="仿宋" w:eastAsia="仿宋" w:cs="仿宋"/>
          <w:bCs/>
          <w:sz w:val="24"/>
          <w:highlight w:val="none"/>
        </w:rPr>
      </w:pPr>
      <w:r>
        <w:rPr>
          <w:rFonts w:hint="eastAsia" w:ascii="仿宋" w:hAnsi="仿宋" w:eastAsia="仿宋" w:cs="仿宋"/>
          <w:bCs/>
          <w:sz w:val="24"/>
          <w:highlight w:val="none"/>
        </w:rPr>
        <w:t>15.1出现下</w:t>
      </w:r>
      <w:r>
        <w:rPr>
          <w:rFonts w:hint="eastAsia" w:ascii="仿宋" w:hAnsi="仿宋" w:eastAsia="仿宋" w:cs="仿宋"/>
          <w:sz w:val="24"/>
          <w:highlight w:val="none"/>
        </w:rPr>
        <w:t>列情况之一，采购人在对供方违约而采取的任何补救措施不受影响的情况下，可向供方发出终止部分或全部合同的书面通知书。</w:t>
      </w:r>
    </w:p>
    <w:p w14:paraId="6499496E">
      <w:pPr>
        <w:pStyle w:val="40"/>
        <w:tabs>
          <w:tab w:val="left" w:pos="3210"/>
        </w:tabs>
        <w:spacing w:line="500" w:lineRule="exact"/>
        <w:ind w:left="809" w:leftChars="337" w:firstLine="1" w:firstLineChars="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Cs/>
          <w:sz w:val="24"/>
          <w:highlight w:val="none"/>
        </w:rPr>
        <w:t>如果</w:t>
      </w:r>
      <w:r>
        <w:rPr>
          <w:rFonts w:hint="eastAsia" w:ascii="仿宋" w:hAnsi="仿宋" w:eastAsia="仿宋" w:cs="仿宋"/>
          <w:sz w:val="24"/>
          <w:highlight w:val="none"/>
        </w:rPr>
        <w:t>供方未能按合同规定的期限或采购人同意延长的限期内提供部分或全部货物（服务）、完成工程施工；</w:t>
      </w:r>
    </w:p>
    <w:p w14:paraId="2D7C78EC">
      <w:pPr>
        <w:pStyle w:val="40"/>
        <w:tabs>
          <w:tab w:val="left" w:pos="3210"/>
        </w:tabs>
        <w:spacing w:line="500" w:lineRule="exact"/>
        <w:ind w:left="809" w:leftChars="337" w:firstLine="1" w:firstLineChars="0"/>
        <w:jc w:val="left"/>
        <w:rPr>
          <w:rFonts w:ascii="仿宋" w:hAnsi="仿宋" w:eastAsia="仿宋" w:cs="仿宋"/>
          <w:sz w:val="24"/>
          <w:highlight w:val="none"/>
        </w:rPr>
      </w:pPr>
      <w:r>
        <w:rPr>
          <w:rFonts w:hint="eastAsia" w:ascii="仿宋" w:hAnsi="仿宋" w:eastAsia="仿宋" w:cs="仿宋"/>
          <w:sz w:val="24"/>
          <w:highlight w:val="none"/>
        </w:rPr>
        <w:t>（2）供方在收到采购人发出的违约通知后20天内，或经采购人书面认可延长的时间内未能纠正其过失；</w:t>
      </w:r>
    </w:p>
    <w:p w14:paraId="5D779F85">
      <w:pPr>
        <w:pStyle w:val="40"/>
        <w:tabs>
          <w:tab w:val="left" w:pos="3210"/>
        </w:tabs>
        <w:spacing w:line="500" w:lineRule="exact"/>
        <w:ind w:left="809" w:leftChars="337" w:firstLine="1" w:firstLineChars="0"/>
        <w:jc w:val="left"/>
        <w:rPr>
          <w:rFonts w:ascii="仿宋" w:hAnsi="仿宋" w:eastAsia="仿宋" w:cs="仿宋"/>
          <w:bCs/>
          <w:sz w:val="24"/>
          <w:highlight w:val="none"/>
        </w:rPr>
      </w:pPr>
      <w:r>
        <w:rPr>
          <w:rFonts w:hint="eastAsia" w:ascii="仿宋" w:hAnsi="仿宋" w:eastAsia="仿宋" w:cs="仿宋"/>
          <w:sz w:val="24"/>
          <w:highlight w:val="none"/>
        </w:rPr>
        <w:t>（3）如果供方未能履行合同规定</w:t>
      </w:r>
      <w:r>
        <w:rPr>
          <w:rFonts w:hint="eastAsia" w:ascii="仿宋" w:hAnsi="仿宋" w:eastAsia="仿宋" w:cs="仿宋"/>
          <w:bCs/>
          <w:sz w:val="24"/>
          <w:highlight w:val="none"/>
        </w:rPr>
        <w:t>的其它任何义务。</w:t>
      </w:r>
    </w:p>
    <w:p w14:paraId="41702CEB">
      <w:pPr>
        <w:pStyle w:val="40"/>
        <w:spacing w:line="500" w:lineRule="exact"/>
        <w:ind w:left="617" w:hanging="616" w:hangingChars="257"/>
        <w:jc w:val="left"/>
        <w:rPr>
          <w:rFonts w:ascii="仿宋" w:hAnsi="仿宋" w:eastAsia="仿宋" w:cs="仿宋"/>
          <w:sz w:val="24"/>
          <w:highlight w:val="none"/>
        </w:rPr>
      </w:pPr>
      <w:r>
        <w:rPr>
          <w:rFonts w:hint="eastAsia" w:ascii="仿宋" w:hAnsi="仿宋" w:eastAsia="仿宋" w:cs="仿宋"/>
          <w:bCs/>
          <w:sz w:val="24"/>
          <w:highlight w:val="none"/>
        </w:rPr>
        <w:t>15.2在采购人</w:t>
      </w:r>
      <w:r>
        <w:rPr>
          <w:rFonts w:hint="eastAsia" w:ascii="仿宋" w:hAnsi="仿宋" w:eastAsia="仿宋" w:cs="仿宋"/>
          <w:sz w:val="24"/>
          <w:highlight w:val="none"/>
        </w:rPr>
        <w:t>根据上述第15.1条规定，终止了全部或部分合同后，采购人可以依其认为适当的条件和方法购买类似未交的货物、服务或进行工程施工，供方应对采购人购买类似货物、服务或进行工程施工所超出的费用部分负责，并继续执行合同中未终止部分。</w:t>
      </w:r>
    </w:p>
    <w:p w14:paraId="44843D39">
      <w:pPr>
        <w:pStyle w:val="40"/>
        <w:spacing w:line="500" w:lineRule="exact"/>
        <w:ind w:firstLine="0" w:firstLineChars="0"/>
        <w:jc w:val="left"/>
        <w:rPr>
          <w:rFonts w:ascii="仿宋" w:hAnsi="仿宋" w:eastAsia="仿宋" w:cs="仿宋"/>
          <w:b/>
          <w:sz w:val="24"/>
          <w:highlight w:val="none"/>
        </w:rPr>
      </w:pPr>
      <w:r>
        <w:rPr>
          <w:rFonts w:hint="eastAsia" w:ascii="仿宋" w:hAnsi="仿宋" w:eastAsia="仿宋" w:cs="仿宋"/>
          <w:b/>
          <w:sz w:val="24"/>
          <w:highlight w:val="none"/>
        </w:rPr>
        <w:t>16．破产终止合同</w:t>
      </w:r>
    </w:p>
    <w:p w14:paraId="0B4311EA">
      <w:pPr>
        <w:pStyle w:val="40"/>
        <w:spacing w:line="500" w:lineRule="exact"/>
        <w:ind w:left="617" w:hanging="616" w:hangingChars="257"/>
        <w:jc w:val="left"/>
        <w:rPr>
          <w:rFonts w:ascii="仿宋" w:hAnsi="仿宋" w:eastAsia="仿宋" w:cs="仿宋"/>
          <w:bCs/>
          <w:sz w:val="24"/>
          <w:highlight w:val="none"/>
        </w:rPr>
      </w:pPr>
      <w:r>
        <w:rPr>
          <w:rFonts w:hint="eastAsia" w:ascii="仿宋" w:hAnsi="仿宋" w:eastAsia="仿宋" w:cs="仿宋"/>
          <w:bCs/>
          <w:sz w:val="24"/>
          <w:highlight w:val="none"/>
        </w:rPr>
        <w:t>16.1如果供</w:t>
      </w:r>
      <w:r>
        <w:rPr>
          <w:rFonts w:hint="eastAsia" w:ascii="仿宋" w:hAnsi="仿宋" w:eastAsia="仿宋" w:cs="仿宋"/>
          <w:sz w:val="24"/>
          <w:highlight w:val="none"/>
        </w:rPr>
        <w:t>方破产或无清偿能力时，采购人可在任何时候以书面形式通知供方终止合同而无须给供方补偿。终止该合同将不损害或影响采购人</w:t>
      </w:r>
      <w:r>
        <w:rPr>
          <w:rFonts w:hint="eastAsia" w:ascii="仿宋" w:hAnsi="仿宋" w:eastAsia="仿宋" w:cs="仿宋"/>
          <w:bCs/>
          <w:sz w:val="24"/>
          <w:highlight w:val="none"/>
        </w:rPr>
        <w:t>已经采取或将要采取的补救措施的权利。</w:t>
      </w:r>
    </w:p>
    <w:p w14:paraId="73B55D27">
      <w:pPr>
        <w:pStyle w:val="40"/>
        <w:spacing w:line="500" w:lineRule="exact"/>
        <w:ind w:firstLine="0" w:firstLineChars="0"/>
        <w:jc w:val="left"/>
        <w:rPr>
          <w:rFonts w:ascii="仿宋" w:hAnsi="仿宋" w:eastAsia="仿宋" w:cs="仿宋"/>
          <w:b/>
          <w:sz w:val="24"/>
          <w:highlight w:val="none"/>
        </w:rPr>
      </w:pPr>
      <w:r>
        <w:rPr>
          <w:rFonts w:hint="eastAsia" w:ascii="仿宋" w:hAnsi="仿宋" w:eastAsia="仿宋" w:cs="仿宋"/>
          <w:b/>
          <w:sz w:val="24"/>
          <w:highlight w:val="none"/>
        </w:rPr>
        <w:t>17．转让</w:t>
      </w:r>
    </w:p>
    <w:p w14:paraId="6704AF53">
      <w:pPr>
        <w:pStyle w:val="40"/>
        <w:spacing w:line="500" w:lineRule="exact"/>
        <w:ind w:left="617" w:hanging="616" w:hangingChars="257"/>
        <w:jc w:val="left"/>
        <w:rPr>
          <w:rFonts w:ascii="仿宋" w:hAnsi="仿宋" w:eastAsia="仿宋" w:cs="仿宋"/>
          <w:bCs/>
          <w:sz w:val="24"/>
          <w:highlight w:val="none"/>
        </w:rPr>
      </w:pPr>
      <w:r>
        <w:rPr>
          <w:rFonts w:hint="eastAsia" w:ascii="仿宋" w:hAnsi="仿宋" w:eastAsia="仿宋" w:cs="仿宋"/>
          <w:bCs/>
          <w:sz w:val="24"/>
          <w:highlight w:val="none"/>
        </w:rPr>
        <w:t>17.1除采</w:t>
      </w:r>
      <w:r>
        <w:rPr>
          <w:rFonts w:hint="eastAsia" w:ascii="仿宋" w:hAnsi="仿宋" w:eastAsia="仿宋" w:cs="仿宋"/>
          <w:sz w:val="24"/>
          <w:highlight w:val="none"/>
        </w:rPr>
        <w:t>购人事先书面同意外，供方不得部分转让或全部转让其应履行的合</w:t>
      </w:r>
      <w:r>
        <w:rPr>
          <w:rFonts w:hint="eastAsia" w:ascii="仿宋" w:hAnsi="仿宋" w:eastAsia="仿宋" w:cs="仿宋"/>
          <w:bCs/>
          <w:sz w:val="24"/>
          <w:highlight w:val="none"/>
        </w:rPr>
        <w:t>同义务。</w:t>
      </w:r>
    </w:p>
    <w:p w14:paraId="59CC9332">
      <w:pPr>
        <w:pStyle w:val="40"/>
        <w:spacing w:line="500" w:lineRule="exact"/>
        <w:ind w:firstLine="0" w:firstLineChars="0"/>
        <w:jc w:val="left"/>
        <w:rPr>
          <w:rFonts w:ascii="仿宋" w:hAnsi="仿宋" w:eastAsia="仿宋" w:cs="仿宋"/>
          <w:b/>
          <w:sz w:val="24"/>
          <w:highlight w:val="none"/>
        </w:rPr>
      </w:pPr>
      <w:r>
        <w:rPr>
          <w:rFonts w:hint="eastAsia" w:ascii="仿宋" w:hAnsi="仿宋" w:eastAsia="仿宋" w:cs="仿宋"/>
          <w:b/>
          <w:sz w:val="24"/>
          <w:highlight w:val="none"/>
        </w:rPr>
        <w:t>18．适用法律</w:t>
      </w:r>
    </w:p>
    <w:p w14:paraId="57AA191D">
      <w:pPr>
        <w:pStyle w:val="40"/>
        <w:spacing w:line="500" w:lineRule="exact"/>
        <w:ind w:firstLine="0" w:firstLineChars="0"/>
        <w:jc w:val="left"/>
        <w:rPr>
          <w:rFonts w:ascii="仿宋" w:hAnsi="仿宋" w:eastAsia="仿宋" w:cs="仿宋"/>
          <w:bCs/>
          <w:sz w:val="24"/>
          <w:highlight w:val="none"/>
        </w:rPr>
      </w:pPr>
      <w:r>
        <w:rPr>
          <w:rFonts w:hint="eastAsia" w:ascii="仿宋" w:hAnsi="仿宋" w:eastAsia="仿宋" w:cs="仿宋"/>
          <w:bCs/>
          <w:sz w:val="24"/>
          <w:highlight w:val="none"/>
        </w:rPr>
        <w:t>18.1本合同应按中华人民共和国的法律进行解释。</w:t>
      </w:r>
    </w:p>
    <w:p w14:paraId="5470B399">
      <w:pPr>
        <w:pStyle w:val="40"/>
        <w:spacing w:line="500" w:lineRule="exact"/>
        <w:ind w:firstLine="0" w:firstLineChars="0"/>
        <w:jc w:val="left"/>
        <w:rPr>
          <w:rFonts w:ascii="仿宋" w:hAnsi="仿宋" w:eastAsia="仿宋" w:cs="仿宋"/>
          <w:b/>
          <w:sz w:val="24"/>
          <w:highlight w:val="none"/>
        </w:rPr>
      </w:pPr>
      <w:r>
        <w:rPr>
          <w:rFonts w:hint="eastAsia" w:ascii="仿宋" w:hAnsi="仿宋" w:eastAsia="仿宋" w:cs="仿宋"/>
          <w:b/>
          <w:sz w:val="24"/>
          <w:highlight w:val="none"/>
        </w:rPr>
        <w:t>19．合同生效</w:t>
      </w:r>
    </w:p>
    <w:p w14:paraId="659BFA14">
      <w:pPr>
        <w:pStyle w:val="40"/>
        <w:spacing w:line="500" w:lineRule="exact"/>
        <w:ind w:firstLine="0" w:firstLineChars="0"/>
        <w:jc w:val="left"/>
        <w:rPr>
          <w:rFonts w:ascii="仿宋" w:hAnsi="仿宋" w:eastAsia="仿宋" w:cs="仿宋"/>
          <w:bCs/>
          <w:sz w:val="24"/>
          <w:highlight w:val="none"/>
        </w:rPr>
      </w:pPr>
      <w:r>
        <w:rPr>
          <w:rFonts w:hint="eastAsia" w:ascii="仿宋" w:hAnsi="仿宋" w:eastAsia="仿宋" w:cs="仿宋"/>
          <w:bCs/>
          <w:sz w:val="24"/>
          <w:highlight w:val="none"/>
        </w:rPr>
        <w:t>19.1合同在双方授权代表签字并盖章后生效。</w:t>
      </w:r>
    </w:p>
    <w:p w14:paraId="33215EAF">
      <w:pPr>
        <w:pStyle w:val="40"/>
        <w:spacing w:line="500" w:lineRule="exact"/>
        <w:ind w:left="617" w:hanging="616" w:hangingChars="257"/>
        <w:jc w:val="left"/>
        <w:rPr>
          <w:rFonts w:ascii="仿宋" w:hAnsi="仿宋" w:eastAsia="仿宋" w:cs="仿宋"/>
          <w:sz w:val="24"/>
          <w:highlight w:val="none"/>
        </w:rPr>
      </w:pPr>
      <w:r>
        <w:rPr>
          <w:rFonts w:hint="eastAsia" w:ascii="仿宋" w:hAnsi="仿宋" w:eastAsia="仿宋" w:cs="仿宋"/>
          <w:bCs/>
          <w:sz w:val="24"/>
          <w:highlight w:val="none"/>
        </w:rPr>
        <w:t>19.2本</w:t>
      </w:r>
      <w:r>
        <w:rPr>
          <w:rFonts w:hint="eastAsia" w:ascii="仿宋" w:hAnsi="仿宋" w:eastAsia="仿宋" w:cs="仿宋"/>
          <w:sz w:val="24"/>
          <w:highlight w:val="none"/>
        </w:rPr>
        <w:t>合同一式四份，以中文书写，采购人、供方、采购中心、政府采购监管部门各执一份。</w:t>
      </w:r>
    </w:p>
    <w:p w14:paraId="507E1535">
      <w:pPr>
        <w:pStyle w:val="40"/>
        <w:spacing w:line="500" w:lineRule="exact"/>
        <w:ind w:firstLine="0" w:firstLineChars="0"/>
        <w:jc w:val="left"/>
        <w:rPr>
          <w:rFonts w:ascii="仿宋" w:hAnsi="仿宋" w:eastAsia="仿宋" w:cs="仿宋"/>
          <w:b/>
          <w:sz w:val="24"/>
          <w:highlight w:val="none"/>
        </w:rPr>
      </w:pPr>
      <w:r>
        <w:rPr>
          <w:rFonts w:hint="eastAsia" w:ascii="仿宋" w:hAnsi="仿宋" w:eastAsia="仿宋" w:cs="仿宋"/>
          <w:b/>
          <w:sz w:val="24"/>
          <w:highlight w:val="none"/>
        </w:rPr>
        <w:t>20.  争议解决方式</w:t>
      </w:r>
    </w:p>
    <w:p w14:paraId="543A8BB9">
      <w:pPr>
        <w:pStyle w:val="40"/>
        <w:spacing w:line="500" w:lineRule="exact"/>
        <w:ind w:firstLine="0" w:firstLineChars="0"/>
        <w:jc w:val="left"/>
        <w:rPr>
          <w:rFonts w:ascii="仿宋" w:hAnsi="仿宋" w:eastAsia="仿宋" w:cs="仿宋"/>
          <w:bCs/>
          <w:sz w:val="24"/>
          <w:highlight w:val="none"/>
        </w:rPr>
      </w:pPr>
      <w:r>
        <w:rPr>
          <w:rFonts w:hint="eastAsia" w:ascii="仿宋" w:hAnsi="仿宋" w:eastAsia="仿宋" w:cs="仿宋"/>
          <w:bCs/>
          <w:sz w:val="24"/>
          <w:highlight w:val="none"/>
        </w:rPr>
        <w:t>20.1 合同</w:t>
      </w:r>
      <w:r>
        <w:rPr>
          <w:rFonts w:hint="eastAsia" w:ascii="仿宋" w:hAnsi="仿宋" w:eastAsia="仿宋" w:cs="仿宋"/>
          <w:sz w:val="24"/>
          <w:highlight w:val="none"/>
        </w:rPr>
        <w:t>实施或与合同有关的一切争议应通过双方协商解决。若协商不成，则向采购人所在地法院提起诉讼</w:t>
      </w:r>
      <w:r>
        <w:rPr>
          <w:rFonts w:hint="eastAsia" w:ascii="仿宋" w:hAnsi="仿宋" w:eastAsia="仿宋" w:cs="仿宋"/>
          <w:bCs/>
          <w:sz w:val="24"/>
          <w:highlight w:val="none"/>
        </w:rPr>
        <w:t>。</w:t>
      </w:r>
    </w:p>
    <w:p w14:paraId="70A72C53">
      <w:pPr>
        <w:pStyle w:val="40"/>
        <w:spacing w:line="500" w:lineRule="exact"/>
        <w:ind w:firstLine="0" w:firstLineChars="0"/>
        <w:jc w:val="left"/>
        <w:rPr>
          <w:rFonts w:ascii="仿宋" w:hAnsi="仿宋" w:eastAsia="仿宋" w:cs="仿宋"/>
          <w:b/>
          <w:sz w:val="24"/>
          <w:highlight w:val="none"/>
        </w:rPr>
      </w:pPr>
      <w:r>
        <w:rPr>
          <w:rFonts w:hint="eastAsia" w:ascii="仿宋" w:hAnsi="仿宋" w:eastAsia="仿宋" w:cs="仿宋"/>
          <w:b/>
          <w:sz w:val="24"/>
          <w:highlight w:val="none"/>
        </w:rPr>
        <w:t>21．合同修改</w:t>
      </w:r>
    </w:p>
    <w:p w14:paraId="4D1E85EE">
      <w:pPr>
        <w:rPr>
          <w:rFonts w:ascii="仿宋" w:hAnsi="仿宋" w:eastAsia="仿宋" w:cs="仿宋"/>
          <w:highlight w:val="none"/>
        </w:rPr>
      </w:pPr>
      <w:r>
        <w:rPr>
          <w:rFonts w:hint="eastAsia" w:ascii="仿宋" w:hAnsi="仿宋" w:eastAsia="仿宋" w:cs="仿宋"/>
          <w:highlight w:val="none"/>
        </w:rPr>
        <w:t>21.1除双方签署书面修改协议，并成为本合同不可分割的一部分的情况之外，本合同不得有任何变化或修改。</w:t>
      </w:r>
      <w:bookmarkEnd w:id="18"/>
    </w:p>
    <w:p w14:paraId="6382D8B3">
      <w:pPr>
        <w:rPr>
          <w:highlight w:val="none"/>
        </w:rPr>
      </w:pPr>
      <w:r>
        <w:rPr>
          <w:highlight w:val="none"/>
        </w:rPr>
        <w:br w:type="page"/>
      </w:r>
    </w:p>
    <w:p w14:paraId="0423DA09">
      <w:pPr>
        <w:pStyle w:val="3"/>
        <w:numPr>
          <w:ilvl w:val="0"/>
          <w:numId w:val="4"/>
        </w:numPr>
        <w:bidi w:val="0"/>
        <w:jc w:val="center"/>
        <w:rPr>
          <w:rFonts w:hint="eastAsia" w:ascii="仿宋_GB2312" w:hAnsi="仿宋_GB2312" w:eastAsia="仿宋_GB2312" w:cs="仿宋_GB2312"/>
          <w:sz w:val="32"/>
          <w:szCs w:val="32"/>
          <w:highlight w:val="none"/>
          <w:lang w:val="en-US" w:eastAsia="zh-CN"/>
        </w:rPr>
      </w:pPr>
      <w:bookmarkStart w:id="19" w:name="_Toc8038"/>
      <w:r>
        <w:rPr>
          <w:rFonts w:hint="eastAsia" w:ascii="仿宋_GB2312" w:hAnsi="仿宋_GB2312" w:eastAsia="仿宋_GB2312" w:cs="仿宋_GB2312"/>
          <w:sz w:val="32"/>
          <w:szCs w:val="32"/>
          <w:highlight w:val="none"/>
          <w:lang w:val="en-US" w:eastAsia="zh-CN"/>
        </w:rPr>
        <w:t>采购需求</w:t>
      </w:r>
      <w:bookmarkEnd w:id="19"/>
    </w:p>
    <w:p w14:paraId="1E9596DA">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本需求中标注“★”号条款的为实质性条款，供应商如不能对实质性条款进行响应出现偏离，均为无效条款，按无效响应处理。非“★”条款为一般条款未响应或不满足，将按评审标准中规定进行扣分。</w:t>
      </w:r>
    </w:p>
    <w:p w14:paraId="0192E54C">
      <w:pPr>
        <w:pStyle w:val="5"/>
        <w:rPr>
          <w:rFonts w:hint="eastAsia"/>
          <w:lang w:val="en-US" w:eastAsia="zh-CN"/>
        </w:rPr>
      </w:pPr>
    </w:p>
    <w:p w14:paraId="644F492F">
      <w:pPr>
        <w:pStyle w:val="2"/>
        <w:spacing w:line="360" w:lineRule="auto"/>
        <w:ind w:right="730" w:rightChars="304"/>
        <w:rPr>
          <w:rFonts w:ascii="仿宋" w:hAnsi="仿宋" w:eastAsia="仿宋" w:cs="仿宋"/>
          <w:b/>
          <w:bCs/>
          <w:color w:val="auto"/>
          <w:sz w:val="24"/>
          <w:highlight w:val="none"/>
        </w:rPr>
      </w:pPr>
      <w:r>
        <w:rPr>
          <w:rFonts w:hint="eastAsia" w:ascii="仿宋" w:hAnsi="仿宋" w:eastAsia="仿宋" w:cs="仿宋"/>
          <w:b/>
          <w:bCs/>
          <w:color w:val="auto"/>
          <w:sz w:val="24"/>
          <w:highlight w:val="none"/>
        </w:rPr>
        <w:t>一、采购需实现的目标，以及为落实政府采购政策需满足的要求：</w:t>
      </w:r>
    </w:p>
    <w:p w14:paraId="3D006C84">
      <w:pPr>
        <w:pStyle w:val="2"/>
        <w:spacing w:line="360" w:lineRule="auto"/>
        <w:ind w:right="730" w:rightChars="304"/>
        <w:rPr>
          <w:rFonts w:ascii="仿宋" w:hAnsi="仿宋" w:eastAsia="仿宋" w:cs="仿宋"/>
          <w:b/>
          <w:bCs/>
          <w:color w:val="auto"/>
          <w:sz w:val="24"/>
          <w:highlight w:val="none"/>
        </w:rPr>
      </w:pPr>
      <w:r>
        <w:rPr>
          <w:rFonts w:hint="eastAsia" w:ascii="仿宋" w:hAnsi="仿宋" w:eastAsia="仿宋" w:cs="仿宋"/>
          <w:b/>
          <w:bCs/>
          <w:color w:val="auto"/>
          <w:sz w:val="24"/>
          <w:highlight w:val="none"/>
        </w:rPr>
        <w:t xml:space="preserve">1、采购需实现的目标 </w:t>
      </w:r>
    </w:p>
    <w:p w14:paraId="2E21981F">
      <w:pPr>
        <w:pStyle w:val="2"/>
        <w:tabs>
          <w:tab w:val="right" w:pos="7920"/>
          <w:tab w:val="clear" w:pos="8306"/>
        </w:tabs>
        <w:spacing w:line="360" w:lineRule="auto"/>
        <w:ind w:right="629" w:rightChars="262" w:firstLine="480" w:firstLineChars="200"/>
        <w:jc w:val="both"/>
        <w:textAlignment w:val="baseline"/>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供应商应根据磋商文件所提出的服务</w:t>
      </w:r>
      <w:r>
        <w:rPr>
          <w:rFonts w:hint="eastAsia" w:ascii="仿宋" w:hAnsi="仿宋" w:eastAsia="仿宋" w:cs="仿宋"/>
          <w:color w:val="auto"/>
          <w:sz w:val="24"/>
          <w:szCs w:val="24"/>
          <w:highlight w:val="none"/>
          <w:lang w:val="en-US" w:eastAsia="zh-CN"/>
        </w:rPr>
        <w:t>及货物</w:t>
      </w:r>
      <w:r>
        <w:rPr>
          <w:rFonts w:hint="eastAsia" w:ascii="仿宋" w:hAnsi="仿宋" w:eastAsia="仿宋" w:cs="仿宋"/>
          <w:color w:val="auto"/>
          <w:sz w:val="24"/>
          <w:szCs w:val="24"/>
          <w:highlight w:val="none"/>
        </w:rPr>
        <w:t>要求，综合考虑选择</w:t>
      </w:r>
      <w:r>
        <w:rPr>
          <w:rFonts w:hint="eastAsia" w:ascii="仿宋" w:hAnsi="仿宋" w:eastAsia="仿宋" w:cs="仿宋"/>
          <w:color w:val="auto"/>
          <w:sz w:val="24"/>
          <w:szCs w:val="24"/>
          <w:highlight w:val="none"/>
          <w:lang w:val="en-US" w:eastAsia="zh-CN"/>
        </w:rPr>
        <w:t>人员团队</w:t>
      </w:r>
      <w:r>
        <w:rPr>
          <w:rFonts w:hint="eastAsia" w:ascii="仿宋" w:hAnsi="仿宋" w:eastAsia="仿宋" w:cs="仿宋"/>
          <w:color w:val="auto"/>
          <w:sz w:val="24"/>
          <w:szCs w:val="24"/>
          <w:highlight w:val="none"/>
        </w:rPr>
        <w:t>前来响应。供应商应以优良的服务和优惠的价格，充分显示自己的竞争实力。</w:t>
      </w:r>
    </w:p>
    <w:p w14:paraId="043F4FA0">
      <w:pPr>
        <w:pStyle w:val="2"/>
        <w:spacing w:line="360" w:lineRule="auto"/>
        <w:ind w:right="730" w:rightChars="304"/>
        <w:rPr>
          <w:rFonts w:ascii="仿宋" w:hAnsi="仿宋" w:eastAsia="仿宋" w:cs="仿宋"/>
          <w:b/>
          <w:bCs/>
          <w:color w:val="auto"/>
          <w:sz w:val="24"/>
          <w:highlight w:val="none"/>
        </w:rPr>
      </w:pPr>
      <w:r>
        <w:rPr>
          <w:rFonts w:hint="eastAsia" w:ascii="仿宋" w:hAnsi="仿宋" w:eastAsia="仿宋" w:cs="仿宋"/>
          <w:b/>
          <w:bCs/>
          <w:color w:val="auto"/>
          <w:sz w:val="24"/>
          <w:highlight w:val="none"/>
        </w:rPr>
        <w:t>2、为落实政府采购政策需满足的要求</w:t>
      </w:r>
    </w:p>
    <w:p w14:paraId="68461381">
      <w:pPr>
        <w:pStyle w:val="2"/>
        <w:spacing w:line="360" w:lineRule="auto"/>
        <w:ind w:right="730" w:rightChars="304"/>
        <w:rPr>
          <w:rFonts w:ascii="仿宋" w:hAnsi="仿宋" w:eastAsia="仿宋" w:cs="仿宋"/>
          <w:color w:val="auto"/>
          <w:sz w:val="24"/>
          <w:highlight w:val="none"/>
        </w:rPr>
      </w:pPr>
      <w:r>
        <w:rPr>
          <w:rFonts w:hint="eastAsia" w:ascii="仿宋" w:hAnsi="仿宋" w:eastAsia="仿宋" w:cs="仿宋"/>
          <w:b/>
          <w:bCs/>
          <w:color w:val="auto"/>
          <w:sz w:val="24"/>
          <w:highlight w:val="none"/>
        </w:rPr>
        <w:t>2.1 促进中小企业发展政策：</w:t>
      </w:r>
      <w:r>
        <w:rPr>
          <w:rFonts w:hint="eastAsia" w:ascii="仿宋" w:hAnsi="仿宋" w:eastAsia="仿宋" w:cs="仿宋"/>
          <w:color w:val="auto"/>
          <w:sz w:val="24"/>
          <w:highlight w:val="none"/>
        </w:rPr>
        <w:t>根据《政府采购促进中小企业发展管理办法》（财库﹝2020﹞46 号）文件规定，供应商应出具《政府采购促进中小企业发展管理办法》（财库﹝2020﹞46 号）文件要求的《中小企业声明函》给予证明，否则评标时不予认可。供应商应对提交的中小企业声明函的真实性负责，提交的中小企业声明函不真实的，应承担相应的法律责任。中标、</w:t>
      </w:r>
      <w:r>
        <w:rPr>
          <w:rFonts w:hint="eastAsia" w:ascii="仿宋" w:hAnsi="仿宋" w:eastAsia="仿宋" w:cs="仿宋"/>
          <w:color w:val="auto"/>
          <w:sz w:val="24"/>
          <w:highlight w:val="none"/>
          <w:lang w:val="en-US" w:eastAsia="zh-CN"/>
        </w:rPr>
        <w:t>成交</w:t>
      </w:r>
      <w:r>
        <w:rPr>
          <w:rFonts w:hint="eastAsia" w:ascii="仿宋" w:hAnsi="仿宋" w:eastAsia="仿宋" w:cs="仿宋"/>
          <w:color w:val="auto"/>
          <w:sz w:val="24"/>
          <w:highlight w:val="none"/>
        </w:rPr>
        <w:t>人为小型或微型企业的，采购代理机构将随中标结果同时公告其《中小企业声明函》，接受社会监督。</w:t>
      </w:r>
    </w:p>
    <w:p w14:paraId="07885C4B">
      <w:pPr>
        <w:pStyle w:val="2"/>
        <w:spacing w:line="360" w:lineRule="auto"/>
        <w:ind w:right="730" w:rightChars="304"/>
        <w:rPr>
          <w:rFonts w:ascii="仿宋" w:hAnsi="仿宋" w:eastAsia="仿宋" w:cs="仿宋"/>
          <w:color w:val="auto"/>
          <w:sz w:val="24"/>
          <w:highlight w:val="none"/>
        </w:rPr>
      </w:pPr>
      <w:r>
        <w:rPr>
          <w:rFonts w:hint="eastAsia" w:ascii="仿宋" w:hAnsi="仿宋" w:eastAsia="仿宋" w:cs="仿宋"/>
          <w:b/>
          <w:bCs/>
          <w:color w:val="auto"/>
          <w:sz w:val="24"/>
          <w:highlight w:val="none"/>
        </w:rPr>
        <w:t>2.2 监狱企业扶持政策：</w:t>
      </w:r>
      <w:r>
        <w:rPr>
          <w:rFonts w:hint="eastAsia" w:ascii="仿宋" w:hAnsi="仿宋" w:eastAsia="仿宋" w:cs="仿宋"/>
          <w:color w:val="auto"/>
          <w:sz w:val="24"/>
          <w:highlight w:val="none"/>
        </w:rPr>
        <w:t>供应商如为监狱企业将视同为小型或微型企业，且所投产品为监狱企业生产的，应提供由省级以上监狱管理局、戒毒管理局（含新疆生产建设兵团）出具的属于监狱企业的证明文件。供应商应对提交的属于监狱企业的证明文件的真实性负责，提交的监狱企业的证明文件不真实的，应承担相应的法律责任。</w:t>
      </w:r>
    </w:p>
    <w:p w14:paraId="430FF458">
      <w:pPr>
        <w:pStyle w:val="2"/>
        <w:spacing w:line="360" w:lineRule="auto"/>
        <w:ind w:right="730" w:rightChars="304"/>
        <w:rPr>
          <w:rFonts w:ascii="仿宋" w:hAnsi="仿宋" w:eastAsia="仿宋" w:cs="仿宋"/>
          <w:color w:val="auto"/>
          <w:sz w:val="24"/>
          <w:highlight w:val="none"/>
        </w:rPr>
      </w:pPr>
      <w:r>
        <w:rPr>
          <w:rFonts w:hint="eastAsia" w:ascii="仿宋" w:hAnsi="仿宋" w:eastAsia="仿宋" w:cs="仿宋"/>
          <w:b/>
          <w:bCs/>
          <w:color w:val="auto"/>
          <w:sz w:val="24"/>
          <w:highlight w:val="none"/>
        </w:rPr>
        <w:t>2.3 促进残疾人就业政府采购政策：</w:t>
      </w:r>
      <w:r>
        <w:rPr>
          <w:rFonts w:hint="eastAsia" w:ascii="仿宋" w:hAnsi="仿宋" w:eastAsia="仿宋" w:cs="仿宋"/>
          <w:color w:val="auto"/>
          <w:sz w:val="24"/>
          <w:highlight w:val="none"/>
        </w:rPr>
        <w:t>根据《三部门联合发布关于促进残疾人就业政府采购政策的通知》（财库〔2017〕141 号）规定，符合条件的残疾人福利性单位在参加本项目政府采购活动时，供应商应出具《三部门联合发布关于促进残疾人就业政府采购政策的通知》（财库〔2017〕141 号）要求的《残疾人福利性单位声明函》，否则评标时不予认可，供应商应对提交的残疾人福利性单位声明函的真实性承担法律责任。中标、成交供应商为残疾人福利性单位的，采购代理机构将随中标结果同时公告其《残疾人福利性单位声明函》，接受社会监督。残疾人福利性单位视同小型、微型企业。</w:t>
      </w:r>
    </w:p>
    <w:p w14:paraId="7F1A74E5">
      <w:pPr>
        <w:pStyle w:val="2"/>
        <w:spacing w:line="360" w:lineRule="auto"/>
        <w:ind w:right="730" w:rightChars="304"/>
        <w:rPr>
          <w:rFonts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rPr>
        <w:t>2.</w:t>
      </w:r>
      <w:r>
        <w:rPr>
          <w:rFonts w:hint="eastAsia" w:ascii="仿宋" w:hAnsi="仿宋" w:eastAsia="仿宋" w:cs="仿宋"/>
          <w:b/>
          <w:bCs/>
          <w:color w:val="auto"/>
          <w:sz w:val="24"/>
          <w:highlight w:val="none"/>
          <w:lang w:val="en-US" w:eastAsia="zh-CN"/>
        </w:rPr>
        <w:t xml:space="preserve">4 </w:t>
      </w:r>
      <w:r>
        <w:rPr>
          <w:rFonts w:hint="eastAsia" w:ascii="仿宋" w:hAnsi="仿宋" w:eastAsia="仿宋" w:cs="仿宋"/>
          <w:b/>
          <w:bCs/>
          <w:color w:val="auto"/>
          <w:sz w:val="24"/>
          <w:highlight w:val="none"/>
          <w:lang w:val="en-US"/>
        </w:rPr>
        <w:t>政府采购包装政策：</w:t>
      </w:r>
      <w:r>
        <w:rPr>
          <w:rFonts w:hint="eastAsia" w:ascii="仿宋" w:hAnsi="仿宋" w:eastAsia="仿宋" w:cs="仿宋"/>
          <w:color w:val="auto"/>
          <w:sz w:val="24"/>
          <w:highlight w:val="none"/>
          <w:lang w:val="en-US"/>
        </w:rPr>
        <w:t>本项目中如涉及商品包装和快递包装的，其包装需求标准应不低于《关于印发&lt;商品包装政府采购需求标准（试行）&gt;、&lt;快递包装政府采购需求标准（试行）&gt;的通知》（财办库〔2020〕123 号）规定的包装要求，采购人、中标/成交人双方签订合同及验收环节，应按上述包装要求执行。</w:t>
      </w:r>
    </w:p>
    <w:p w14:paraId="4EE8D9C2">
      <w:pPr>
        <w:pStyle w:val="2"/>
        <w:spacing w:line="360" w:lineRule="auto"/>
        <w:ind w:right="730" w:rightChars="304"/>
        <w:rPr>
          <w:rFonts w:ascii="仿宋" w:hAnsi="仿宋" w:eastAsia="仿宋" w:cs="仿宋"/>
          <w:b/>
          <w:bCs/>
          <w:color w:val="auto"/>
          <w:sz w:val="24"/>
          <w:highlight w:val="none"/>
        </w:rPr>
      </w:pPr>
      <w:r>
        <w:rPr>
          <w:rFonts w:hint="eastAsia" w:ascii="仿宋" w:hAnsi="仿宋" w:eastAsia="仿宋" w:cs="仿宋"/>
          <w:b/>
          <w:bCs/>
          <w:color w:val="auto"/>
          <w:sz w:val="24"/>
          <w:highlight w:val="none"/>
        </w:rPr>
        <w:t>二、采购标的需执行的国家相关标准、行业标准、地方标准或者其他标准、规范：</w:t>
      </w:r>
    </w:p>
    <w:p w14:paraId="155B4ADF">
      <w:pPr>
        <w:pStyle w:val="2"/>
        <w:spacing w:line="360" w:lineRule="auto"/>
        <w:ind w:right="730" w:rightChars="30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w:t>
      </w:r>
      <w:r>
        <w:rPr>
          <w:rFonts w:hint="eastAsia" w:ascii="仿宋" w:hAnsi="仿宋" w:eastAsia="仿宋" w:cs="仿宋"/>
          <w:color w:val="auto"/>
          <w:sz w:val="24"/>
          <w:highlight w:val="none"/>
          <w:lang w:val="en-US" w:eastAsia="zh-CN"/>
        </w:rPr>
        <w:t>货物及</w:t>
      </w:r>
      <w:r>
        <w:rPr>
          <w:rFonts w:hint="eastAsia" w:ascii="仿宋" w:hAnsi="仿宋" w:eastAsia="仿宋" w:cs="仿宋"/>
          <w:color w:val="auto"/>
          <w:sz w:val="24"/>
          <w:highlight w:val="none"/>
          <w:lang w:val="en-US"/>
        </w:rPr>
        <w:t>服务</w:t>
      </w:r>
      <w:r>
        <w:rPr>
          <w:rFonts w:hint="eastAsia" w:ascii="仿宋" w:hAnsi="仿宋" w:eastAsia="仿宋" w:cs="仿宋"/>
          <w:color w:val="auto"/>
          <w:sz w:val="24"/>
          <w:highlight w:val="none"/>
        </w:rPr>
        <w:t>应符合国家有关部门规定的相应技术法规及标准，如国家有关部门对投标</w:t>
      </w:r>
      <w:r>
        <w:rPr>
          <w:rFonts w:hint="eastAsia" w:ascii="仿宋" w:hAnsi="仿宋" w:eastAsia="仿宋" w:cs="仿宋"/>
          <w:color w:val="auto"/>
          <w:sz w:val="24"/>
          <w:highlight w:val="none"/>
          <w:lang w:val="en-US"/>
        </w:rPr>
        <w:t>服务</w:t>
      </w:r>
      <w:r>
        <w:rPr>
          <w:rFonts w:hint="eastAsia" w:ascii="仿宋" w:hAnsi="仿宋" w:eastAsia="仿宋" w:cs="仿宋"/>
          <w:color w:val="auto"/>
          <w:sz w:val="24"/>
          <w:highlight w:val="none"/>
        </w:rPr>
        <w:t>有强制性规定或要求的，投标</w:t>
      </w:r>
      <w:r>
        <w:rPr>
          <w:rFonts w:hint="eastAsia" w:ascii="仿宋" w:hAnsi="仿宋" w:eastAsia="仿宋" w:cs="仿宋"/>
          <w:color w:val="auto"/>
          <w:sz w:val="24"/>
          <w:highlight w:val="none"/>
          <w:lang w:val="en-US"/>
        </w:rPr>
        <w:t>服务</w:t>
      </w:r>
      <w:r>
        <w:rPr>
          <w:rFonts w:hint="eastAsia" w:ascii="仿宋" w:hAnsi="仿宋" w:eastAsia="仿宋" w:cs="仿宋"/>
          <w:color w:val="auto"/>
          <w:sz w:val="24"/>
          <w:highlight w:val="none"/>
        </w:rPr>
        <w:t>必须符合相应规定或要求。</w:t>
      </w:r>
    </w:p>
    <w:p w14:paraId="701E3C8F">
      <w:pPr>
        <w:numPr>
          <w:ilvl w:val="0"/>
          <w:numId w:val="11"/>
        </w:numP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采购项目交付或者实施的时间和地点及付款方式：</w:t>
      </w:r>
    </w:p>
    <w:p w14:paraId="570EE0A8">
      <w:pPr>
        <w:pStyle w:val="2"/>
        <w:spacing w:line="360" w:lineRule="auto"/>
        <w:jc w:val="both"/>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lang w:val="en-US"/>
        </w:rPr>
        <w:t xml:space="preserve"> </w:t>
      </w:r>
      <w:r>
        <w:rPr>
          <w:rFonts w:hint="eastAsia" w:ascii="仿宋" w:hAnsi="仿宋" w:eastAsia="仿宋" w:cs="仿宋"/>
          <w:b/>
          <w:bCs/>
          <w:color w:val="auto"/>
          <w:sz w:val="24"/>
          <w:szCs w:val="24"/>
          <w:highlight w:val="none"/>
        </w:rPr>
        <w:t>采购项目交付或者实施的时间和地点</w:t>
      </w:r>
    </w:p>
    <w:p w14:paraId="66DCE511">
      <w:pPr>
        <w:pStyle w:val="2"/>
        <w:spacing w:line="240" w:lineRule="auto"/>
        <w:jc w:val="both"/>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bidi="ar-SA"/>
        </w:rPr>
        <w:t>（1）采购项目（标的）</w:t>
      </w:r>
      <w:r>
        <w:rPr>
          <w:rFonts w:hint="eastAsia" w:ascii="仿宋" w:hAnsi="仿宋" w:eastAsia="仿宋" w:cs="仿宋"/>
          <w:color w:val="auto"/>
          <w:kern w:val="2"/>
          <w:sz w:val="24"/>
          <w:szCs w:val="24"/>
          <w:highlight w:val="none"/>
          <w:lang w:val="en-US" w:eastAsia="zh-CN" w:bidi="ar-SA"/>
        </w:rPr>
        <w:t>服务期限</w:t>
      </w:r>
      <w:r>
        <w:rPr>
          <w:rFonts w:hint="eastAsia" w:ascii="仿宋" w:hAnsi="仿宋" w:eastAsia="仿宋" w:cs="仿宋"/>
          <w:color w:val="auto"/>
          <w:kern w:val="2"/>
          <w:sz w:val="24"/>
          <w:szCs w:val="24"/>
          <w:highlight w:val="none"/>
          <w:lang w:val="en-US" w:bidi="ar-SA"/>
        </w:rPr>
        <w:t>：202</w:t>
      </w: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kern w:val="2"/>
          <w:sz w:val="24"/>
          <w:szCs w:val="24"/>
          <w:highlight w:val="none"/>
          <w:lang w:val="en-US" w:bidi="ar-SA"/>
        </w:rPr>
        <w:t>年10月15日至202</w:t>
      </w:r>
      <w:r>
        <w:rPr>
          <w:rFonts w:hint="eastAsia" w:ascii="仿宋" w:hAnsi="仿宋" w:eastAsia="仿宋" w:cs="仿宋"/>
          <w:color w:val="auto"/>
          <w:kern w:val="2"/>
          <w:sz w:val="24"/>
          <w:szCs w:val="24"/>
          <w:highlight w:val="none"/>
          <w:lang w:val="en-US" w:eastAsia="zh-CN" w:bidi="ar-SA"/>
        </w:rPr>
        <w:t>6</w:t>
      </w:r>
      <w:r>
        <w:rPr>
          <w:rFonts w:hint="eastAsia" w:ascii="仿宋" w:hAnsi="仿宋" w:eastAsia="仿宋" w:cs="仿宋"/>
          <w:color w:val="auto"/>
          <w:kern w:val="2"/>
          <w:sz w:val="24"/>
          <w:szCs w:val="24"/>
          <w:highlight w:val="none"/>
          <w:lang w:val="en-US" w:bidi="ar-SA"/>
        </w:rPr>
        <w:t>年10月14</w:t>
      </w:r>
      <w:r>
        <w:rPr>
          <w:rFonts w:hint="eastAsia" w:ascii="仿宋" w:hAnsi="仿宋" w:eastAsia="仿宋" w:cs="仿宋"/>
          <w:color w:val="auto"/>
          <w:kern w:val="2"/>
          <w:sz w:val="24"/>
          <w:szCs w:val="24"/>
          <w:highlight w:val="none"/>
          <w:lang w:val="en-US" w:eastAsia="zh-CN" w:bidi="ar-SA"/>
        </w:rPr>
        <w:t>日</w:t>
      </w:r>
      <w:r>
        <w:rPr>
          <w:rFonts w:hint="eastAsia" w:ascii="仿宋" w:hAnsi="仿宋" w:eastAsia="仿宋" w:cs="仿宋"/>
          <w:color w:val="auto"/>
          <w:kern w:val="2"/>
          <w:sz w:val="24"/>
          <w:szCs w:val="24"/>
          <w:highlight w:val="none"/>
          <w:lang w:val="en-US" w:bidi="ar-SA"/>
        </w:rPr>
        <w:t xml:space="preserve"> </w:t>
      </w:r>
    </w:p>
    <w:p w14:paraId="45158C6E">
      <w:pPr>
        <w:pStyle w:val="2"/>
        <w:spacing w:line="240" w:lineRule="auto"/>
        <w:jc w:val="both"/>
        <w:rPr>
          <w:rFonts w:ascii="仿宋" w:hAnsi="仿宋" w:eastAsia="仿宋" w:cs="仿宋"/>
          <w:color w:val="auto"/>
          <w:kern w:val="2"/>
          <w:sz w:val="24"/>
          <w:szCs w:val="24"/>
          <w:highlight w:val="none"/>
          <w:lang w:val="en-US" w:bidi="ar-SA"/>
        </w:rPr>
      </w:pPr>
      <w:r>
        <w:rPr>
          <w:rFonts w:hint="eastAsia" w:ascii="仿宋" w:hAnsi="仿宋" w:eastAsia="仿宋" w:cs="仿宋"/>
          <w:color w:val="auto"/>
          <w:kern w:val="2"/>
          <w:sz w:val="24"/>
          <w:szCs w:val="24"/>
          <w:highlight w:val="none"/>
          <w:lang w:val="en-US" w:bidi="ar-SA"/>
        </w:rPr>
        <w:t>（2）采购项目（标的）</w:t>
      </w:r>
      <w:r>
        <w:rPr>
          <w:rFonts w:hint="eastAsia" w:ascii="仿宋" w:hAnsi="仿宋" w:eastAsia="仿宋" w:cs="仿宋"/>
          <w:color w:val="auto"/>
          <w:kern w:val="2"/>
          <w:sz w:val="24"/>
          <w:szCs w:val="24"/>
          <w:highlight w:val="none"/>
          <w:lang w:val="en-US" w:eastAsia="zh-CN" w:bidi="ar-SA"/>
        </w:rPr>
        <w:t>服务</w:t>
      </w:r>
      <w:r>
        <w:rPr>
          <w:rFonts w:hint="eastAsia" w:ascii="仿宋" w:hAnsi="仿宋" w:eastAsia="仿宋" w:cs="仿宋"/>
          <w:color w:val="auto"/>
          <w:kern w:val="2"/>
          <w:sz w:val="24"/>
          <w:szCs w:val="24"/>
          <w:highlight w:val="none"/>
          <w:lang w:val="en-US" w:bidi="ar-SA"/>
        </w:rPr>
        <w:t>地点：</w:t>
      </w:r>
      <w:r>
        <w:rPr>
          <w:rFonts w:hint="eastAsia" w:ascii="仿宋" w:hAnsi="仿宋" w:eastAsia="仿宋" w:cs="仿宋"/>
          <w:color w:val="auto"/>
          <w:kern w:val="2"/>
          <w:sz w:val="24"/>
          <w:szCs w:val="24"/>
          <w:highlight w:val="none"/>
          <w:lang w:val="en-US" w:eastAsia="zh-CN" w:bidi="ar-SA"/>
        </w:rPr>
        <w:t>新疆师范大学</w:t>
      </w:r>
    </w:p>
    <w:p w14:paraId="744A04FF">
      <w:pPr>
        <w:spacing w:line="24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bidi="ar-SA"/>
        </w:rPr>
        <w:t>（3）合同履行期限：</w:t>
      </w:r>
      <w:r>
        <w:rPr>
          <w:rFonts w:hint="eastAsia" w:ascii="仿宋" w:hAnsi="仿宋" w:eastAsia="仿宋" w:cs="仿宋"/>
          <w:color w:val="auto"/>
          <w:kern w:val="2"/>
          <w:sz w:val="24"/>
          <w:szCs w:val="24"/>
          <w:highlight w:val="none"/>
          <w:lang w:val="en-US" w:eastAsia="zh-CN" w:bidi="ar-SA"/>
        </w:rPr>
        <w:t>2025</w:t>
      </w:r>
      <w:r>
        <w:rPr>
          <w:rFonts w:hint="eastAsia" w:ascii="仿宋" w:hAnsi="仿宋" w:eastAsia="仿宋" w:cs="仿宋"/>
          <w:color w:val="auto"/>
          <w:kern w:val="2"/>
          <w:sz w:val="24"/>
          <w:szCs w:val="24"/>
          <w:highlight w:val="none"/>
          <w:lang w:val="en-US" w:bidi="ar-SA"/>
        </w:rPr>
        <w:t>年</w:t>
      </w:r>
      <w:r>
        <w:rPr>
          <w:rFonts w:hint="eastAsia" w:ascii="仿宋" w:hAnsi="仿宋" w:eastAsia="仿宋" w:cs="仿宋"/>
          <w:color w:val="auto"/>
          <w:kern w:val="2"/>
          <w:sz w:val="24"/>
          <w:szCs w:val="24"/>
          <w:highlight w:val="none"/>
          <w:lang w:val="en-US" w:eastAsia="zh-CN" w:bidi="ar-SA"/>
        </w:rPr>
        <w:t>10</w:t>
      </w:r>
      <w:r>
        <w:rPr>
          <w:rFonts w:hint="eastAsia" w:ascii="仿宋" w:hAnsi="仿宋" w:eastAsia="仿宋" w:cs="仿宋"/>
          <w:color w:val="auto"/>
          <w:kern w:val="2"/>
          <w:sz w:val="24"/>
          <w:szCs w:val="24"/>
          <w:highlight w:val="none"/>
          <w:lang w:val="en-US" w:bidi="ar-SA"/>
        </w:rPr>
        <w:t>月</w:t>
      </w:r>
      <w:r>
        <w:rPr>
          <w:rFonts w:hint="eastAsia" w:ascii="仿宋" w:hAnsi="仿宋" w:eastAsia="仿宋" w:cs="仿宋"/>
          <w:color w:val="auto"/>
          <w:kern w:val="2"/>
          <w:sz w:val="24"/>
          <w:szCs w:val="24"/>
          <w:highlight w:val="none"/>
          <w:lang w:val="en-US" w:eastAsia="zh-CN" w:bidi="ar-SA"/>
        </w:rPr>
        <w:t>15</w:t>
      </w:r>
      <w:r>
        <w:rPr>
          <w:rFonts w:hint="eastAsia" w:ascii="仿宋" w:hAnsi="仿宋" w:eastAsia="仿宋" w:cs="仿宋"/>
          <w:color w:val="auto"/>
          <w:kern w:val="2"/>
          <w:sz w:val="24"/>
          <w:szCs w:val="24"/>
          <w:highlight w:val="none"/>
          <w:lang w:val="en-US" w:bidi="ar-SA"/>
        </w:rPr>
        <w:t>日至</w:t>
      </w:r>
      <w:r>
        <w:rPr>
          <w:rFonts w:hint="eastAsia" w:ascii="仿宋" w:hAnsi="仿宋" w:eastAsia="仿宋" w:cs="仿宋"/>
          <w:color w:val="auto"/>
          <w:kern w:val="2"/>
          <w:sz w:val="24"/>
          <w:szCs w:val="24"/>
          <w:highlight w:val="none"/>
          <w:lang w:val="en-US" w:eastAsia="zh-CN" w:bidi="ar-SA"/>
        </w:rPr>
        <w:t>2026</w:t>
      </w:r>
      <w:r>
        <w:rPr>
          <w:rFonts w:hint="eastAsia" w:ascii="仿宋" w:hAnsi="仿宋" w:eastAsia="仿宋" w:cs="仿宋"/>
          <w:color w:val="auto"/>
          <w:kern w:val="2"/>
          <w:sz w:val="24"/>
          <w:szCs w:val="24"/>
          <w:highlight w:val="none"/>
          <w:lang w:val="en-US" w:bidi="ar-SA"/>
        </w:rPr>
        <w:t>年</w:t>
      </w:r>
      <w:r>
        <w:rPr>
          <w:rFonts w:hint="eastAsia" w:ascii="仿宋" w:hAnsi="仿宋" w:eastAsia="仿宋" w:cs="仿宋"/>
          <w:color w:val="auto"/>
          <w:kern w:val="2"/>
          <w:sz w:val="24"/>
          <w:szCs w:val="24"/>
          <w:highlight w:val="none"/>
          <w:lang w:val="en-US" w:eastAsia="zh-CN" w:bidi="ar-SA"/>
        </w:rPr>
        <w:t>10</w:t>
      </w:r>
      <w:r>
        <w:rPr>
          <w:rFonts w:hint="eastAsia" w:ascii="仿宋" w:hAnsi="仿宋" w:eastAsia="仿宋" w:cs="仿宋"/>
          <w:color w:val="auto"/>
          <w:kern w:val="2"/>
          <w:sz w:val="24"/>
          <w:szCs w:val="24"/>
          <w:highlight w:val="none"/>
          <w:lang w:val="en-US" w:bidi="ar-SA"/>
        </w:rPr>
        <w:t>月</w:t>
      </w:r>
      <w:r>
        <w:rPr>
          <w:rFonts w:hint="eastAsia" w:ascii="仿宋" w:hAnsi="仿宋" w:eastAsia="仿宋" w:cs="仿宋"/>
          <w:color w:val="auto"/>
          <w:kern w:val="2"/>
          <w:sz w:val="24"/>
          <w:szCs w:val="24"/>
          <w:highlight w:val="none"/>
          <w:lang w:val="en-US" w:eastAsia="zh-CN" w:bidi="ar-SA"/>
        </w:rPr>
        <w:t>14日</w:t>
      </w:r>
      <w:r>
        <w:rPr>
          <w:rFonts w:hint="eastAsia" w:ascii="仿宋" w:hAnsi="仿宋" w:eastAsia="仿宋" w:cs="仿宋"/>
          <w:color w:val="auto"/>
          <w:kern w:val="2"/>
          <w:sz w:val="24"/>
          <w:szCs w:val="24"/>
          <w:highlight w:val="none"/>
          <w:lang w:val="en-US" w:bidi="ar-SA"/>
        </w:rPr>
        <w:t xml:space="preserve"> </w:t>
      </w:r>
    </w:p>
    <w:p w14:paraId="2257D60A">
      <w:pPr>
        <w:numPr>
          <w:ilvl w:val="0"/>
          <w:numId w:val="0"/>
        </w:numPr>
        <w:spacing w:line="240" w:lineRule="auto"/>
        <w:rPr>
          <w:rFonts w:hint="eastAsia" w:ascii="仿宋" w:hAnsi="仿宋" w:eastAsia="仿宋_GB2312"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en-US"/>
        </w:rPr>
        <w:t xml:space="preserve"> 付款方式</w:t>
      </w:r>
      <w:r>
        <w:rPr>
          <w:rFonts w:hint="eastAsia"/>
          <w:highlight w:val="none"/>
          <w:lang w:eastAsia="zh-CN"/>
        </w:rPr>
        <w:t>：</w:t>
      </w:r>
      <w:r>
        <w:rPr>
          <w:rFonts w:hint="eastAsia" w:ascii="仿宋" w:hAnsi="仿宋" w:eastAsia="仿宋" w:cs="仿宋"/>
          <w:color w:val="auto"/>
          <w:kern w:val="2"/>
          <w:sz w:val="24"/>
          <w:szCs w:val="24"/>
          <w:highlight w:val="none"/>
          <w:lang w:val="en-US" w:eastAsia="zh-CN" w:bidi="ar-SA"/>
        </w:rPr>
        <w:t>合同签订后预付 30%，剩余 70%根据合同履约进度分期支付。具体以合同签订为准。</w:t>
      </w:r>
    </w:p>
    <w:p w14:paraId="5756129A">
      <w:pPr>
        <w:spacing w:line="360" w:lineRule="auto"/>
        <w:rPr>
          <w:rFonts w:ascii="仿宋" w:hAnsi="仿宋" w:eastAsia="仿宋" w:cs="仿宋"/>
          <w:b/>
          <w:bCs/>
          <w:color w:val="auto"/>
          <w:sz w:val="24"/>
          <w:szCs w:val="24"/>
          <w:highlight w:val="none"/>
          <w:lang w:val="en-US"/>
        </w:rPr>
      </w:pPr>
      <w:r>
        <w:rPr>
          <w:rFonts w:hint="eastAsia" w:ascii="仿宋" w:hAnsi="仿宋" w:eastAsia="仿宋" w:cs="仿宋"/>
          <w:b/>
          <w:bCs/>
          <w:color w:val="auto"/>
          <w:sz w:val="24"/>
          <w:szCs w:val="24"/>
          <w:highlight w:val="none"/>
          <w:lang w:val="en-US"/>
        </w:rPr>
        <w:t>四、采购标的需满足的</w:t>
      </w:r>
      <w:r>
        <w:rPr>
          <w:rFonts w:hint="eastAsia" w:ascii="仿宋" w:hAnsi="仿宋" w:eastAsia="仿宋" w:cs="仿宋"/>
          <w:b/>
          <w:bCs/>
          <w:color w:val="auto"/>
          <w:sz w:val="24"/>
          <w:szCs w:val="24"/>
          <w:highlight w:val="none"/>
          <w:lang w:val="en-US" w:eastAsia="zh-CN"/>
        </w:rPr>
        <w:t>技术和商务</w:t>
      </w:r>
      <w:r>
        <w:rPr>
          <w:rFonts w:hint="eastAsia" w:ascii="仿宋" w:hAnsi="仿宋" w:eastAsia="仿宋" w:cs="仿宋"/>
          <w:b/>
          <w:bCs/>
          <w:color w:val="auto"/>
          <w:sz w:val="24"/>
          <w:szCs w:val="24"/>
          <w:highlight w:val="none"/>
          <w:lang w:val="en-US"/>
        </w:rPr>
        <w:t>要求</w:t>
      </w:r>
    </w:p>
    <w:tbl>
      <w:tblPr>
        <w:tblStyle w:val="29"/>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584"/>
        <w:gridCol w:w="6618"/>
      </w:tblGrid>
      <w:tr w14:paraId="7740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97" w:type="dxa"/>
            <w:shd w:val="clear" w:color="auto" w:fill="D8D8D8"/>
            <w:noWrap w:val="0"/>
            <w:vAlign w:val="center"/>
          </w:tcPr>
          <w:p w14:paraId="3803701A">
            <w:pPr>
              <w:bidi w:val="0"/>
              <w:jc w:val="center"/>
              <w:rPr>
                <w:rFonts w:hint="eastAsia" w:ascii="仿宋" w:hAnsi="仿宋" w:eastAsia="仿宋" w:cs="仿宋"/>
                <w:sz w:val="18"/>
                <w:szCs w:val="18"/>
              </w:rPr>
            </w:pPr>
            <w:r>
              <w:rPr>
                <w:rFonts w:hint="eastAsia" w:ascii="仿宋" w:hAnsi="仿宋" w:eastAsia="仿宋" w:cs="仿宋"/>
                <w:sz w:val="18"/>
                <w:szCs w:val="18"/>
              </w:rPr>
              <w:t>序号</w:t>
            </w:r>
          </w:p>
        </w:tc>
        <w:tc>
          <w:tcPr>
            <w:tcW w:w="1584" w:type="dxa"/>
            <w:shd w:val="clear" w:color="auto" w:fill="D8D8D8"/>
            <w:noWrap w:val="0"/>
            <w:vAlign w:val="center"/>
          </w:tcPr>
          <w:p w14:paraId="4B4FA94A">
            <w:pPr>
              <w:bidi w:val="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内容</w:t>
            </w:r>
          </w:p>
        </w:tc>
        <w:tc>
          <w:tcPr>
            <w:tcW w:w="6618" w:type="dxa"/>
            <w:shd w:val="clear" w:color="auto" w:fill="D8D8D8"/>
            <w:noWrap w:val="0"/>
            <w:vAlign w:val="top"/>
          </w:tcPr>
          <w:p w14:paraId="46749588">
            <w:pPr>
              <w:spacing w:line="360" w:lineRule="auto"/>
              <w:ind w:firstLine="0"/>
              <w:jc w:val="center"/>
              <w:rPr>
                <w:rFonts w:hint="eastAsia" w:ascii="仿宋" w:hAnsi="仿宋" w:eastAsia="仿宋" w:cs="仿宋"/>
                <w:b/>
                <w:sz w:val="18"/>
                <w:szCs w:val="18"/>
                <w:lang w:eastAsia="zh-CN"/>
              </w:rPr>
            </w:pPr>
            <w:r>
              <w:rPr>
                <w:rFonts w:hint="eastAsia" w:ascii="仿宋" w:hAnsi="仿宋" w:eastAsia="仿宋" w:cs="仿宋"/>
                <w:b/>
                <w:sz w:val="18"/>
                <w:szCs w:val="18"/>
                <w:lang w:eastAsia="zh-CN"/>
              </w:rPr>
              <w:t>具体</w:t>
            </w:r>
          </w:p>
        </w:tc>
      </w:tr>
      <w:tr w14:paraId="7F8E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697" w:type="dxa"/>
            <w:noWrap w:val="0"/>
            <w:vAlign w:val="center"/>
          </w:tcPr>
          <w:p w14:paraId="612B69F5">
            <w:pPr>
              <w:bidi w:val="0"/>
              <w:jc w:val="center"/>
              <w:rPr>
                <w:rFonts w:hint="eastAsia" w:ascii="仿宋" w:hAnsi="仿宋" w:eastAsia="仿宋" w:cs="仿宋"/>
                <w:sz w:val="18"/>
                <w:szCs w:val="18"/>
              </w:rPr>
            </w:pPr>
            <w:r>
              <w:rPr>
                <w:rFonts w:hint="eastAsia" w:ascii="仿宋" w:hAnsi="仿宋" w:eastAsia="仿宋" w:cs="仿宋"/>
                <w:sz w:val="18"/>
                <w:szCs w:val="18"/>
              </w:rPr>
              <w:t>1</w:t>
            </w:r>
          </w:p>
        </w:tc>
        <w:tc>
          <w:tcPr>
            <w:tcW w:w="1584" w:type="dxa"/>
            <w:noWrap w:val="0"/>
            <w:vAlign w:val="center"/>
          </w:tcPr>
          <w:p w14:paraId="3F552D84">
            <w:pPr>
              <w:bidi w:val="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基本要求</w:t>
            </w:r>
          </w:p>
        </w:tc>
        <w:tc>
          <w:tcPr>
            <w:tcW w:w="6618" w:type="dxa"/>
            <w:noWrap w:val="0"/>
            <w:vAlign w:val="top"/>
          </w:tcPr>
          <w:p w14:paraId="03A95C92">
            <w:pPr>
              <w:spacing w:line="360" w:lineRule="auto"/>
              <w:rPr>
                <w:rFonts w:hint="default" w:ascii="仿宋" w:hAnsi="仿宋" w:eastAsia="仿宋" w:cs="仿宋"/>
                <w:color w:val="auto"/>
                <w:sz w:val="18"/>
                <w:szCs w:val="18"/>
                <w:lang w:val="en-US"/>
              </w:rPr>
            </w:pPr>
            <w:r>
              <w:rPr>
                <w:rFonts w:hint="eastAsia" w:ascii="仿宋" w:hAnsi="仿宋" w:eastAsia="仿宋" w:cs="仿宋"/>
                <w:color w:val="auto"/>
              </w:rPr>
              <w:t>★</w:t>
            </w:r>
            <w:r>
              <w:rPr>
                <w:rFonts w:hint="eastAsia" w:ascii="仿宋" w:hAnsi="仿宋" w:eastAsia="仿宋" w:cs="仿宋"/>
                <w:color w:val="auto"/>
                <w:sz w:val="18"/>
                <w:szCs w:val="18"/>
              </w:rPr>
              <w:t>1、</w:t>
            </w:r>
            <w:r>
              <w:rPr>
                <w:rFonts w:hint="eastAsia" w:ascii="仿宋" w:hAnsi="仿宋" w:eastAsia="仿宋" w:cs="仿宋"/>
                <w:color w:val="auto"/>
                <w:sz w:val="18"/>
                <w:szCs w:val="18"/>
                <w:lang w:val="en-US" w:eastAsia="zh-CN"/>
              </w:rPr>
              <w:t>组织实施新疆师范大学图书馆全年的阅读推广活动不少于20场次。提供承诺或方案说明。</w:t>
            </w:r>
          </w:p>
          <w:p w14:paraId="405CEF93">
            <w:pPr>
              <w:spacing w:line="360" w:lineRule="auto"/>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2、组织拍摄制作图书馆内3-5分钟宣传片2次，馆内活动宣传所需的视频拍摄及制作10次，总时长不少于60分钟。</w:t>
            </w:r>
          </w:p>
        </w:tc>
      </w:tr>
      <w:tr w14:paraId="6A17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697" w:type="dxa"/>
            <w:noWrap w:val="0"/>
            <w:vAlign w:val="center"/>
          </w:tcPr>
          <w:p w14:paraId="3D1C812B">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1584" w:type="dxa"/>
            <w:noWrap w:val="0"/>
            <w:vAlign w:val="center"/>
          </w:tcPr>
          <w:p w14:paraId="7ECBAE1F">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推广内容</w:t>
            </w:r>
          </w:p>
        </w:tc>
        <w:tc>
          <w:tcPr>
            <w:tcW w:w="6618" w:type="dxa"/>
            <w:noWrap w:val="0"/>
            <w:vAlign w:val="top"/>
          </w:tcPr>
          <w:p w14:paraId="6747E9D9">
            <w:pPr>
              <w:spacing w:line="360" w:lineRule="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1.主要包含读书月、迎新季、毕业季、实习活动等。</w:t>
            </w:r>
          </w:p>
          <w:p w14:paraId="6A2712F2">
            <w:pPr>
              <w:spacing w:line="360" w:lineRule="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2.做好党建、新书推荐、好书推荐等宣传工作。</w:t>
            </w:r>
          </w:p>
          <w:p w14:paraId="39E843A5">
            <w:pPr>
              <w:spacing w:line="360" w:lineRule="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3.组织开展符合图书馆特色的竞技竞赛活动，开发具有馆藏特色、符合国情与时代特色的推广活动。</w:t>
            </w:r>
          </w:p>
          <w:p w14:paraId="7337E651">
            <w:pPr>
              <w:spacing w:line="360" w:lineRule="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4.开展真人图书馆、有深度的阅读指导、读书交流、阅读分享等专项活动。</w:t>
            </w:r>
          </w:p>
          <w:p w14:paraId="05E10E40">
            <w:pPr>
              <w:spacing w:line="360" w:lineRule="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5.联合其他疆内高校组织开展大型交流活动。</w:t>
            </w:r>
          </w:p>
        </w:tc>
      </w:tr>
      <w:tr w14:paraId="5C7B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2" w:hRule="atLeast"/>
        </w:trPr>
        <w:tc>
          <w:tcPr>
            <w:tcW w:w="697" w:type="dxa"/>
            <w:noWrap w:val="0"/>
            <w:vAlign w:val="center"/>
          </w:tcPr>
          <w:p w14:paraId="3B212A41">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w:t>
            </w:r>
          </w:p>
        </w:tc>
        <w:tc>
          <w:tcPr>
            <w:tcW w:w="1584" w:type="dxa"/>
            <w:noWrap w:val="0"/>
            <w:vAlign w:val="center"/>
          </w:tcPr>
          <w:p w14:paraId="5628C8BF">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文化氛围营造</w:t>
            </w:r>
          </w:p>
        </w:tc>
        <w:tc>
          <w:tcPr>
            <w:tcW w:w="6618" w:type="dxa"/>
            <w:noWrap w:val="0"/>
            <w:vAlign w:val="top"/>
          </w:tcPr>
          <w:p w14:paraId="67AB6A6F">
            <w:pPr>
              <w:pStyle w:val="26"/>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color w:val="auto"/>
                <w:sz w:val="18"/>
                <w:szCs w:val="18"/>
                <w:lang w:val="en-US" w:eastAsia="zh-CN"/>
              </w:rPr>
            </w:pPr>
            <w:r>
              <w:rPr>
                <w:rFonts w:hint="eastAsia" w:ascii="仿宋" w:hAnsi="仿宋" w:eastAsia="仿宋" w:cs="仿宋"/>
                <w:color w:val="auto"/>
              </w:rPr>
              <w:t>★</w:t>
            </w:r>
            <w:r>
              <w:rPr>
                <w:rFonts w:hint="eastAsia" w:ascii="仿宋" w:hAnsi="仿宋" w:eastAsia="仿宋" w:cs="仿宋"/>
                <w:color w:val="auto"/>
                <w:sz w:val="18"/>
                <w:szCs w:val="18"/>
                <w:lang w:val="en-US" w:eastAsia="zh-CN"/>
              </w:rPr>
              <w:t>1、打造“新师书房”主题阅读空间</w:t>
            </w:r>
          </w:p>
          <w:p w14:paraId="5C45BFA8">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打造兼具学术性与人文关怀的沉浸式阅读空间，延续图书馆整体文化风格，空间功能定位为“阅读·交流·共享”，通过软性设计强化文化内核，营造“知识殿堂”与“精神港湾”的双重氛围。</w:t>
            </w:r>
          </w:p>
          <w:p w14:paraId="6707950C">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对温泉校区三楼指定区域进行文化升级，以“新师书房”为核心主题，构建集阅读、交流、沙龙为一体的多功能文化空间。</w:t>
            </w:r>
          </w:p>
          <w:p w14:paraId="343D589D">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通过异形展架、休闲沙发、茶几等家具的合理布局，划分阅读区、交流区、沙龙区，满足读者多样化需求，提升空间功能性与美观性。注重环境舒适度与视觉美感，空间设计风格与图书馆整体保持一致，融入文化元素，营造宁静雅致的阅读氛围。</w:t>
            </w:r>
          </w:p>
          <w:p w14:paraId="615D82CC">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设置静音阅读区与开放阅读区，静音区以独立卡座为主，配备局部照明设备，打造专注阅读场景；提供自然采光与绿植点缀，增强空间通透感。</w:t>
            </w:r>
          </w:p>
          <w:p w14:paraId="689F96FA">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布局灵活可变的组合沙发与圆桌，支持小型学术沙龙、读书会、师生研讨等活动；墙面设置可擦写白板或电子屏，便于实时记录与展示讨论内容。配备多媒体智慧屏，支持线上线下混合式交流活动。</w:t>
            </w:r>
          </w:p>
          <w:p w14:paraId="2B73A8F5">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设计半围合式空间，用于举办讲座、作者见面会、文化分享等活动；背景墙采用定制文化墙，展示图书馆历史、名人语录或读者创作作品。</w:t>
            </w:r>
          </w:p>
          <w:p w14:paraId="7890EEBA">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设置互动展示角，陈列读者推荐书籍、活动照片墙、手写留言板等。</w:t>
            </w:r>
          </w:p>
          <w:p w14:paraId="62929F4A">
            <w:pPr>
              <w:pStyle w:val="26"/>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2、优化功能分区与空间体验</w:t>
            </w:r>
          </w:p>
          <w:p w14:paraId="58E76EAD">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重新规划现有区域，强化空间分区逻辑，明确阅读区（专注学习）、交流区（小组讨论）、沙龙区（文化活动）的功能定位。通过家具组合（如双人沙发、座椅、座墩等）及绿植、装饰摆件等细节设计，增强空间的亲和力与人文气息。</w:t>
            </w:r>
          </w:p>
          <w:p w14:paraId="4B36C06F">
            <w:pPr>
              <w:pStyle w:val="26"/>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3、照明与色彩氛围设计</w:t>
            </w:r>
          </w:p>
          <w:p w14:paraId="55668BE8">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采用分区智能照明系统，主光源以中性光提升阅读专注度，辅助光源使用暖色光增强环境温馨感。色彩搭配注重协调性与舒适度，选用柔和色调与图书馆整体风格呼应，避免视觉干扰，营造沉浸式阅读体验。</w:t>
            </w:r>
          </w:p>
          <w:p w14:paraId="1ED2B90C">
            <w:pPr>
              <w:pStyle w:val="26"/>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4、文化符号与互动设计</w:t>
            </w:r>
          </w:p>
          <w:p w14:paraId="0C7E22BC">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设置主题展柜展示馆藏特色书籍、本土文化作品或师生创作，凸显图书馆的文化底蕴与学术特色。预留灵活空间用于举办小型展览、读书分享会、真人图书馆等活动，鼓励读者参与文化互动，深化空间育人功能。</w:t>
            </w:r>
          </w:p>
          <w:p w14:paraId="70A78350">
            <w:pPr>
              <w:pStyle w:val="26"/>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color w:val="auto"/>
                <w:sz w:val="18"/>
                <w:szCs w:val="18"/>
                <w:lang w:val="en-US" w:eastAsia="zh-CN"/>
              </w:rPr>
            </w:pPr>
            <w:r>
              <w:rPr>
                <w:rFonts w:hint="eastAsia" w:ascii="仿宋" w:hAnsi="仿宋" w:eastAsia="仿宋" w:cs="仿宋"/>
                <w:color w:val="auto"/>
              </w:rPr>
              <w:t>★</w:t>
            </w:r>
            <w:r>
              <w:rPr>
                <w:rFonts w:hint="eastAsia" w:ascii="仿宋" w:hAnsi="仿宋" w:eastAsia="仿宋" w:cs="仿宋"/>
                <w:color w:val="auto"/>
                <w:sz w:val="18"/>
                <w:szCs w:val="18"/>
                <w:lang w:val="en-US" w:eastAsia="zh-CN"/>
              </w:rPr>
              <w:t>5、环境标识与导视系统</w:t>
            </w:r>
          </w:p>
          <w:p w14:paraId="4A96F60E">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导视牌设计简洁美观，内容清晰易懂，融入校园文化元素，形成与图书馆风格统一的视觉引导体系。增设温馨提示牌、借阅指南等标识，强化服务细节，提升读者使用便利性。</w:t>
            </w:r>
          </w:p>
          <w:p w14:paraId="5C2FEE60">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视觉风格统一：导视系统设计需与图书馆高度契合，采用简约典雅的线条造型，强化空间文化叙事。</w:t>
            </w:r>
          </w:p>
          <w:p w14:paraId="3CC9EF50">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动态信息交互：在导视牌中增设“文化信息模块”，如楼层导览旁嵌入“经典名著推荐”“馆藏珍本故事”等二维码，读者扫码即可获取深度文化内容，实现物理空间与数字资源的无缝链接。</w:t>
            </w:r>
          </w:p>
          <w:p w14:paraId="2232DD7D">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功能指引升级：基础导视（区域划分、路径指引）结合文化标识，通过诗意化命名增强空间意境。</w:t>
            </w:r>
          </w:p>
          <w:p w14:paraId="4DAA3FE8">
            <w:pPr>
              <w:pStyle w:val="26"/>
              <w:keepNext w:val="0"/>
              <w:keepLines w:val="0"/>
              <w:widowControl/>
              <w:numPr>
                <w:ilvl w:val="0"/>
                <w:numId w:val="0"/>
              </w:numPr>
              <w:suppressLineNumbers w:val="0"/>
              <w:spacing w:before="0" w:beforeAutospacing="0" w:after="0" w:afterAutospacing="0"/>
              <w:ind w:right="0" w:rightChars="0" w:firstLine="360" w:firstLineChars="20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活动联动展示：在楼梯转角、走廊墙面设置“活动预告墙”，采用可替换式亚克力插槽设计，动态展示读书月主题海报、真人图书馆嘉宾介绍、竞赛活动成果等内容，形成“行走的阅读推广窗口”。</w:t>
            </w:r>
          </w:p>
        </w:tc>
      </w:tr>
      <w:tr w14:paraId="1AAB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1" w:hRule="atLeast"/>
        </w:trPr>
        <w:tc>
          <w:tcPr>
            <w:tcW w:w="697" w:type="dxa"/>
            <w:noWrap w:val="0"/>
            <w:vAlign w:val="center"/>
          </w:tcPr>
          <w:p w14:paraId="7581ECDB">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1584" w:type="dxa"/>
            <w:noWrap w:val="0"/>
            <w:vAlign w:val="center"/>
          </w:tcPr>
          <w:p w14:paraId="4737D829">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活动效果</w:t>
            </w:r>
          </w:p>
        </w:tc>
        <w:tc>
          <w:tcPr>
            <w:tcW w:w="6618" w:type="dxa"/>
            <w:noWrap w:val="0"/>
            <w:vAlign w:val="top"/>
          </w:tcPr>
          <w:p w14:paraId="5C000D05">
            <w:pPr>
              <w:spacing w:line="360" w:lineRule="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1.需达到提高图书馆综合影响力为主要目标，通过宣传推广活动，逐步提升和发挥图书馆的使命和价值。</w:t>
            </w:r>
          </w:p>
          <w:p w14:paraId="5F77200C">
            <w:pPr>
              <w:spacing w:line="360" w:lineRule="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2.对本校的学科建设方面起到推动作用，营造新疆师范大学的学术研讨气氛，培育学术精神，增进学科多元化发展。</w:t>
            </w:r>
          </w:p>
          <w:p w14:paraId="177BD377">
            <w:pPr>
              <w:spacing w:line="360" w:lineRule="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3.充分发挥图书馆作用，利用图书馆育人，提高学生整体素质，加强建设意识，确立服务意识，强化指导意识，为学生营造浓厚的阅读氛围。</w:t>
            </w:r>
          </w:p>
        </w:tc>
      </w:tr>
      <w:tr w14:paraId="120E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697" w:type="dxa"/>
            <w:noWrap w:val="0"/>
            <w:vAlign w:val="center"/>
          </w:tcPr>
          <w:p w14:paraId="3D6803FB">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w:t>
            </w:r>
          </w:p>
        </w:tc>
        <w:tc>
          <w:tcPr>
            <w:tcW w:w="1584" w:type="dxa"/>
            <w:noWrap w:val="0"/>
            <w:vAlign w:val="center"/>
          </w:tcPr>
          <w:p w14:paraId="47AE749E">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传播渠道</w:t>
            </w:r>
          </w:p>
        </w:tc>
        <w:tc>
          <w:tcPr>
            <w:tcW w:w="6618" w:type="dxa"/>
            <w:noWrap w:val="0"/>
            <w:vAlign w:val="top"/>
          </w:tcPr>
          <w:p w14:paraId="6763A501">
            <w:pPr>
              <w:spacing w:line="360" w:lineRule="auto"/>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疆内主流媒体</w:t>
            </w:r>
            <w:r>
              <w:rPr>
                <w:rFonts w:hint="eastAsia" w:ascii="仿宋" w:hAnsi="仿宋" w:eastAsia="仿宋" w:cs="仿宋"/>
                <w:color w:val="auto"/>
                <w:sz w:val="18"/>
                <w:szCs w:val="18"/>
                <w:lang w:val="en-US" w:eastAsia="zh-CN"/>
              </w:rPr>
              <w:t>及抖音、微博、微信公众号等</w:t>
            </w:r>
            <w:r>
              <w:rPr>
                <w:rFonts w:hint="eastAsia" w:ascii="仿宋" w:hAnsi="仿宋" w:eastAsia="仿宋" w:cs="仿宋"/>
                <w:color w:val="auto"/>
                <w:sz w:val="18"/>
                <w:szCs w:val="18"/>
              </w:rPr>
              <w:t>多媒体发布</w:t>
            </w:r>
            <w:r>
              <w:rPr>
                <w:rFonts w:hint="eastAsia" w:ascii="仿宋" w:hAnsi="仿宋" w:eastAsia="仿宋" w:cs="仿宋"/>
                <w:color w:val="auto"/>
                <w:sz w:val="18"/>
                <w:szCs w:val="18"/>
                <w:lang w:val="en-US" w:eastAsia="zh-CN"/>
              </w:rPr>
              <w:t>与推广</w:t>
            </w:r>
            <w:r>
              <w:rPr>
                <w:rFonts w:hint="eastAsia" w:ascii="仿宋" w:hAnsi="仿宋" w:eastAsia="仿宋" w:cs="仿宋"/>
                <w:color w:val="auto"/>
                <w:sz w:val="18"/>
                <w:szCs w:val="18"/>
              </w:rPr>
              <w:t>。</w:t>
            </w:r>
          </w:p>
          <w:p w14:paraId="210A2BB6">
            <w:pPr>
              <w:spacing w:line="360" w:lineRule="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2.疆内高校之间的学术交流推广。</w:t>
            </w:r>
          </w:p>
        </w:tc>
      </w:tr>
      <w:tr w14:paraId="5806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97" w:type="dxa"/>
            <w:noWrap w:val="0"/>
            <w:vAlign w:val="center"/>
          </w:tcPr>
          <w:p w14:paraId="4DD2AA25">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w:t>
            </w:r>
          </w:p>
        </w:tc>
        <w:tc>
          <w:tcPr>
            <w:tcW w:w="1584" w:type="dxa"/>
            <w:noWrap w:val="0"/>
            <w:vAlign w:val="center"/>
          </w:tcPr>
          <w:p w14:paraId="4E497865">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推广成效</w:t>
            </w:r>
          </w:p>
        </w:tc>
        <w:tc>
          <w:tcPr>
            <w:tcW w:w="6618" w:type="dxa"/>
            <w:noWrap w:val="0"/>
            <w:vAlign w:val="top"/>
          </w:tcPr>
          <w:p w14:paraId="3BEEE7AD">
            <w:pPr>
              <w:spacing w:line="360" w:lineRule="auto"/>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1.校外主流电视电台媒体传播不少于3次</w:t>
            </w:r>
            <w:r>
              <w:rPr>
                <w:rFonts w:hint="eastAsia" w:ascii="仿宋" w:hAnsi="仿宋" w:eastAsia="仿宋" w:cs="仿宋"/>
                <w:color w:val="auto"/>
                <w:sz w:val="18"/>
                <w:szCs w:val="18"/>
              </w:rPr>
              <w:t>。</w:t>
            </w:r>
          </w:p>
        </w:tc>
      </w:tr>
      <w:tr w14:paraId="2DE0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697" w:type="dxa"/>
            <w:noWrap w:val="0"/>
            <w:vAlign w:val="center"/>
          </w:tcPr>
          <w:p w14:paraId="455499FE">
            <w:pPr>
              <w:bidi w:val="0"/>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7</w:t>
            </w:r>
          </w:p>
        </w:tc>
        <w:tc>
          <w:tcPr>
            <w:tcW w:w="1584" w:type="dxa"/>
            <w:noWrap w:val="0"/>
            <w:vAlign w:val="center"/>
          </w:tcPr>
          <w:p w14:paraId="0E12D869">
            <w:pPr>
              <w:bidi w:val="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方案要求</w:t>
            </w:r>
          </w:p>
        </w:tc>
        <w:tc>
          <w:tcPr>
            <w:tcW w:w="6618" w:type="dxa"/>
            <w:noWrap w:val="0"/>
            <w:vAlign w:val="top"/>
          </w:tcPr>
          <w:p w14:paraId="5C09DEF3">
            <w:pPr>
              <w:spacing w:line="360" w:lineRule="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1.需提供全年的活动策划方案，活动方案除提升图书馆的影响力外还需对本校的学科建设方面得以阐释。</w:t>
            </w:r>
          </w:p>
          <w:p w14:paraId="57DB3D9B">
            <w:pPr>
              <w:spacing w:line="360" w:lineRule="auto"/>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2.投标文件中提供不少于10个针对本校的活动方案。</w:t>
            </w:r>
          </w:p>
        </w:tc>
      </w:tr>
    </w:tbl>
    <w:p w14:paraId="1589CE26">
      <w:pPr>
        <w:pStyle w:val="2"/>
        <w:spacing w:line="360" w:lineRule="auto"/>
        <w:jc w:val="both"/>
        <w:textAlignment w:val="baseline"/>
        <w:rPr>
          <w:rFonts w:hint="eastAsia" w:ascii="仿宋" w:hAnsi="仿宋" w:eastAsia="仿宋" w:cs="仿宋"/>
          <w:b/>
          <w:bCs/>
          <w:sz w:val="24"/>
          <w:szCs w:val="24"/>
          <w:highlight w:val="none"/>
        </w:rPr>
      </w:pPr>
    </w:p>
    <w:p w14:paraId="4E7F3AD3">
      <w:pPr>
        <w:pStyle w:val="2"/>
        <w:spacing w:line="360" w:lineRule="auto"/>
        <w:jc w:val="both"/>
        <w:textAlignment w:val="baseline"/>
        <w:rPr>
          <w:rFonts w:ascii="仿宋" w:hAnsi="仿宋" w:eastAsia="仿宋" w:cs="仿宋"/>
          <w:b/>
          <w:bCs/>
          <w:sz w:val="24"/>
          <w:szCs w:val="24"/>
          <w:highlight w:val="none"/>
        </w:rPr>
      </w:pPr>
      <w:r>
        <w:rPr>
          <w:rFonts w:hint="eastAsia" w:ascii="仿宋" w:hAnsi="仿宋" w:eastAsia="仿宋" w:cs="仿宋"/>
          <w:b/>
          <w:bCs/>
          <w:sz w:val="24"/>
          <w:szCs w:val="24"/>
          <w:highlight w:val="none"/>
        </w:rPr>
        <w:t>五、</w:t>
      </w:r>
      <w:r>
        <w:rPr>
          <w:rFonts w:ascii="仿宋" w:hAnsi="仿宋" w:eastAsia="仿宋" w:cs="仿宋"/>
          <w:b/>
          <w:bCs/>
          <w:sz w:val="24"/>
          <w:szCs w:val="24"/>
          <w:highlight w:val="none"/>
        </w:rPr>
        <w:t>采购标的的其他要求</w:t>
      </w:r>
    </w:p>
    <w:p w14:paraId="42031954">
      <w:pPr>
        <w:pStyle w:val="16"/>
        <w:spacing w:line="360" w:lineRule="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1.服务费用构成：供应商所报价格为含税全包价，包括提供服务相关的人工、设备、保险、税费、验收、其他相关费用等所有完成本项目采购需求的全部费用。</w:t>
      </w:r>
    </w:p>
    <w:p w14:paraId="0E1859E8">
      <w:pPr>
        <w:pStyle w:val="16"/>
        <w:spacing w:line="360" w:lineRule="auto"/>
        <w:rPr>
          <w:rFonts w:hint="default"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2、响应供应商应根据本项目服务要求及评审内容，列明具体项目整体实施服务方案、活动策划方案、推广运行方案、团队人员等响应内容。</w:t>
      </w:r>
    </w:p>
    <w:p w14:paraId="63DA74F4">
      <w:pPr>
        <w:rPr>
          <w:rFonts w:hint="eastAsia" w:ascii="仿宋" w:hAnsi="仿宋" w:eastAsia="仿宋" w:cs="仿宋"/>
          <w:sz w:val="24"/>
          <w:highlight w:val="none"/>
          <w:lang w:val="en-US" w:eastAsia="zh-CN"/>
        </w:rPr>
      </w:pPr>
      <w:r>
        <w:rPr>
          <w:rFonts w:ascii="仿宋" w:hAnsi="仿宋" w:eastAsia="仿宋" w:cs="仿宋"/>
          <w:highlight w:val="none"/>
        </w:rPr>
        <w:br w:type="page"/>
      </w:r>
    </w:p>
    <w:p w14:paraId="3058B558">
      <w:pPr>
        <w:pStyle w:val="3"/>
        <w:numPr>
          <w:ilvl w:val="0"/>
          <w:numId w:val="4"/>
        </w:numPr>
        <w:bidi w:val="0"/>
        <w:jc w:val="center"/>
        <w:rPr>
          <w:rFonts w:hint="eastAsia" w:ascii="仿宋" w:hAnsi="仿宋" w:eastAsia="仿宋" w:cs="仿宋"/>
          <w:sz w:val="32"/>
          <w:szCs w:val="32"/>
          <w:highlight w:val="none"/>
          <w:lang w:val="en-US" w:eastAsia="zh-CN"/>
        </w:rPr>
      </w:pPr>
      <w:bookmarkStart w:id="20" w:name="_Toc27718"/>
      <w:r>
        <w:rPr>
          <w:rFonts w:hint="eastAsia" w:ascii="仿宋" w:hAnsi="仿宋" w:eastAsia="仿宋" w:cs="仿宋"/>
          <w:sz w:val="32"/>
          <w:szCs w:val="32"/>
          <w:highlight w:val="none"/>
          <w:lang w:val="en-US" w:eastAsia="zh-CN"/>
        </w:rPr>
        <w:t>评标程序、评标方法和评标标准</w:t>
      </w:r>
      <w:bookmarkEnd w:id="20"/>
    </w:p>
    <w:p w14:paraId="21B412D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32"/>
          <w:szCs w:val="32"/>
          <w:highlight w:val="none"/>
          <w:lang w:val="en-US" w:eastAsia="zh-CN"/>
        </w:rPr>
      </w:pPr>
    </w:p>
    <w:p w14:paraId="1EA0B189">
      <w:pPr>
        <w:keepNext w:val="0"/>
        <w:keepLines w:val="0"/>
        <w:pageBreakBefore w:val="0"/>
        <w:widowControl w:val="0"/>
        <w:numPr>
          <w:ilvl w:val="0"/>
          <w:numId w:val="12"/>
        </w:numP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lang w:val="en-US" w:eastAsia="zh-CN"/>
        </w:rPr>
      </w:pPr>
      <w:bookmarkStart w:id="21" w:name="_Toc21122"/>
      <w:r>
        <w:rPr>
          <w:rFonts w:hint="eastAsia" w:ascii="仿宋" w:hAnsi="仿宋" w:eastAsia="仿宋" w:cs="仿宋"/>
          <w:b/>
          <w:bCs/>
          <w:sz w:val="24"/>
          <w:szCs w:val="24"/>
          <w:highlight w:val="none"/>
          <w:lang w:val="en-US" w:eastAsia="zh-CN"/>
        </w:rPr>
        <w:t>评标方法</w:t>
      </w:r>
      <w:bookmarkEnd w:id="21"/>
      <w:r>
        <w:rPr>
          <w:rFonts w:hint="eastAsia" w:ascii="仿宋" w:hAnsi="仿宋" w:eastAsia="仿宋" w:cs="仿宋"/>
          <w:b/>
          <w:bCs/>
          <w:sz w:val="24"/>
          <w:szCs w:val="24"/>
          <w:highlight w:val="none"/>
          <w:lang w:val="en-US" w:eastAsia="zh-CN"/>
        </w:rPr>
        <w:t xml:space="preserve"> </w:t>
      </w:r>
    </w:p>
    <w:p w14:paraId="0985E1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45862A75">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2" w:name="_Toc1193"/>
      <w:r>
        <w:rPr>
          <w:rFonts w:hint="eastAsia" w:ascii="仿宋" w:hAnsi="仿宋" w:eastAsia="仿宋" w:cs="仿宋"/>
          <w:b/>
          <w:bCs/>
          <w:sz w:val="24"/>
          <w:szCs w:val="24"/>
          <w:highlight w:val="none"/>
          <w:lang w:val="en-US" w:eastAsia="zh-CN"/>
        </w:rPr>
        <w:t>评标原则</w:t>
      </w:r>
      <w:bookmarkEnd w:id="22"/>
    </w:p>
    <w:p w14:paraId="66D943B7">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评标活动遵循公平、公正、科学和择优的原则，以采购文件和响应文件为评标的基本依据，并按照采购文件规定的评标方法和评标标准进行评标。</w:t>
      </w:r>
    </w:p>
    <w:p w14:paraId="34709367">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5E084F4A">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3" w:name="_Toc7505"/>
      <w:r>
        <w:rPr>
          <w:rFonts w:hint="eastAsia" w:ascii="仿宋" w:hAnsi="仿宋" w:eastAsia="仿宋" w:cs="仿宋"/>
          <w:b/>
          <w:bCs/>
          <w:sz w:val="24"/>
          <w:szCs w:val="24"/>
          <w:highlight w:val="none"/>
          <w:lang w:val="en-US" w:eastAsia="zh-CN"/>
        </w:rPr>
        <w:t>资格审查</w:t>
      </w:r>
      <w:bookmarkEnd w:id="23"/>
    </w:p>
    <w:p w14:paraId="774C9EB9">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36EFEB9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资格审查要求</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7F74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40C6C7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序号</w:t>
            </w:r>
          </w:p>
        </w:tc>
        <w:tc>
          <w:tcPr>
            <w:tcW w:w="2536" w:type="dxa"/>
            <w:vAlign w:val="center"/>
          </w:tcPr>
          <w:p w14:paraId="42DD87B4">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30CD26C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审查内容</w:t>
            </w:r>
          </w:p>
        </w:tc>
      </w:tr>
      <w:tr w14:paraId="46A4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65FC5D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w:t>
            </w:r>
          </w:p>
        </w:tc>
        <w:tc>
          <w:tcPr>
            <w:tcW w:w="2536" w:type="dxa"/>
            <w:vAlign w:val="center"/>
          </w:tcPr>
          <w:p w14:paraId="7BC6A74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4C13D01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37D58E8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2431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81E04E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w:t>
            </w:r>
          </w:p>
        </w:tc>
        <w:tc>
          <w:tcPr>
            <w:tcW w:w="2536" w:type="dxa"/>
            <w:vAlign w:val="center"/>
          </w:tcPr>
          <w:p w14:paraId="0411444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79CDF614">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本单位上一年度由会计师事务所出具的财务审计报告（当上一年度审计报告未出来时（每年6月前），可提供前一年度审计报告），审计报告须包括资产负债表、利润表、现金流量表、所有者权益变动及其附注（复印件并加盖本单位公章）。如供应商无法提供上年度审计报告，则需提供开标日前三个月内银行出具的资信证明原件或复印件加盖公章。如供应商注册成立不足三个月的则提供承诺书（自拟）原件。</w:t>
            </w:r>
          </w:p>
        </w:tc>
      </w:tr>
      <w:tr w14:paraId="6A47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1D2A65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3</w:t>
            </w:r>
          </w:p>
        </w:tc>
        <w:tc>
          <w:tcPr>
            <w:tcW w:w="2536" w:type="dxa"/>
            <w:vAlign w:val="center"/>
          </w:tcPr>
          <w:p w14:paraId="5980BB3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2E4E42D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须提供具备履行合同所必需的设备和专业技术能力的书面声明原件</w:t>
            </w:r>
          </w:p>
        </w:tc>
      </w:tr>
      <w:tr w14:paraId="07C3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86A365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4</w:t>
            </w:r>
          </w:p>
        </w:tc>
        <w:tc>
          <w:tcPr>
            <w:tcW w:w="2536" w:type="dxa"/>
            <w:vAlign w:val="center"/>
          </w:tcPr>
          <w:p w14:paraId="1417A22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34DF4C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须提供响应文件递交截止日期之前六个月内任何一期的纳税记录（如供应商缴纳的增值税、所得税、印花税等我国现行税种中任意一项即可）或证明文件原件或复印件加盖公章（依法免税的应提供相应文件说明）</w:t>
            </w:r>
          </w:p>
          <w:p w14:paraId="2738552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须提供响应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2BB8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70CA83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5</w:t>
            </w:r>
          </w:p>
        </w:tc>
        <w:tc>
          <w:tcPr>
            <w:tcW w:w="2536" w:type="dxa"/>
            <w:vAlign w:val="center"/>
          </w:tcPr>
          <w:p w14:paraId="762F466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0BAECAD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须提供声明函原件</w:t>
            </w:r>
          </w:p>
        </w:tc>
      </w:tr>
      <w:tr w14:paraId="7CED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154597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6</w:t>
            </w:r>
          </w:p>
        </w:tc>
        <w:tc>
          <w:tcPr>
            <w:tcW w:w="2536" w:type="dxa"/>
            <w:vAlign w:val="center"/>
          </w:tcPr>
          <w:p w14:paraId="412AA74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供应商信用记录</w:t>
            </w:r>
          </w:p>
        </w:tc>
        <w:tc>
          <w:tcPr>
            <w:tcW w:w="5228" w:type="dxa"/>
            <w:vAlign w:val="center"/>
          </w:tcPr>
          <w:p w14:paraId="62D8763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查询渠道：信用中国网站和中国政府采购网</w:t>
            </w:r>
          </w:p>
          <w:p w14:paraId="46D1B9B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查询时间：响应截止时间后至资格审查阶段完成；</w:t>
            </w:r>
          </w:p>
          <w:p w14:paraId="57DA850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及其他不符合《中华人民共和国政府采购法》第二十二条规定条件的供应商，其响应无效。联合体形式投标的，联合体成员存在不良信用记录，视同联合体存在不良信用记录。无须供应商提供，由采购人或采购代理机构查询结果为准。</w:t>
            </w:r>
          </w:p>
        </w:tc>
      </w:tr>
      <w:tr w14:paraId="3AED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C2D456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7</w:t>
            </w:r>
          </w:p>
        </w:tc>
        <w:tc>
          <w:tcPr>
            <w:tcW w:w="2536" w:type="dxa"/>
            <w:vAlign w:val="center"/>
          </w:tcPr>
          <w:p w14:paraId="39BA996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磋商保证金</w:t>
            </w:r>
          </w:p>
        </w:tc>
        <w:tc>
          <w:tcPr>
            <w:tcW w:w="5228" w:type="dxa"/>
            <w:vAlign w:val="center"/>
          </w:tcPr>
          <w:p w14:paraId="266D658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按照采购文件的规定提交磋商保证金</w:t>
            </w:r>
          </w:p>
        </w:tc>
      </w:tr>
      <w:tr w14:paraId="6B7D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056CBC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8</w:t>
            </w:r>
          </w:p>
        </w:tc>
        <w:tc>
          <w:tcPr>
            <w:tcW w:w="2536" w:type="dxa"/>
            <w:vAlign w:val="center"/>
          </w:tcPr>
          <w:p w14:paraId="03B4C31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落实政府采购政策</w:t>
            </w:r>
          </w:p>
          <w:p w14:paraId="35EC102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的资格要求</w:t>
            </w:r>
          </w:p>
        </w:tc>
        <w:tc>
          <w:tcPr>
            <w:tcW w:w="5228" w:type="dxa"/>
            <w:vAlign w:val="center"/>
          </w:tcPr>
          <w:p w14:paraId="447F19A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本项目专门面向中小企业，服务的承接商应符合《政府采购促进中小企业发展管理办法》(财库〔2020〕46号) 第四条规定的情形，且应当提供《政府采购促进中小企业发展管理办法》(财库〔2020〕46号)规定的《中小企业声明函》</w:t>
            </w:r>
          </w:p>
        </w:tc>
      </w:tr>
    </w:tbl>
    <w:p w14:paraId="4D87791B">
      <w:pPr>
        <w:pStyle w:val="27"/>
        <w:widowControl w:val="0"/>
        <w:numPr>
          <w:ilvl w:val="0"/>
          <w:numId w:val="0"/>
        </w:numPr>
        <w:autoSpaceDE w:val="0"/>
        <w:autoSpaceDN w:val="0"/>
        <w:spacing w:before="0" w:after="0" w:line="240" w:lineRule="auto"/>
        <w:ind w:right="0" w:rightChars="0"/>
        <w:jc w:val="left"/>
        <w:rPr>
          <w:rFonts w:hint="eastAsia" w:ascii="仿宋" w:hAnsi="仿宋" w:eastAsia="仿宋" w:cs="仿宋"/>
          <w:b/>
          <w:bCs/>
          <w:highlight w:val="none"/>
          <w:lang w:val="en-US" w:eastAsia="zh-CN"/>
        </w:rPr>
      </w:pPr>
    </w:p>
    <w:p w14:paraId="036FE82B">
      <w:pPr>
        <w:pStyle w:val="27"/>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仿宋" w:hAnsi="仿宋" w:eastAsia="仿宋" w:cs="仿宋"/>
          <w:highlight w:val="none"/>
          <w:lang w:val="en-US" w:eastAsia="zh-CN"/>
        </w:rPr>
      </w:pPr>
      <w:bookmarkStart w:id="24" w:name="_Toc27889"/>
      <w:r>
        <w:rPr>
          <w:rFonts w:hint="eastAsia" w:ascii="仿宋" w:hAnsi="仿宋" w:eastAsia="仿宋" w:cs="仿宋"/>
          <w:b/>
          <w:bCs/>
          <w:sz w:val="24"/>
          <w:szCs w:val="24"/>
          <w:highlight w:val="none"/>
          <w:lang w:val="en-US" w:eastAsia="zh-CN"/>
        </w:rPr>
        <w:t>符合性审查</w:t>
      </w:r>
      <w:bookmarkEnd w:id="24"/>
    </w:p>
    <w:p w14:paraId="400DEE7A">
      <w:pPr>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016D3419">
      <w:pPr>
        <w:pStyle w:val="27"/>
        <w:jc w:val="center"/>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符合性审查要求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96C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E9604E1">
            <w:pPr>
              <w:spacing w:line="500" w:lineRule="exact"/>
              <w:jc w:val="center"/>
              <w:rPr>
                <w:rFonts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序号</w:t>
            </w:r>
          </w:p>
        </w:tc>
        <w:tc>
          <w:tcPr>
            <w:tcW w:w="2132" w:type="dxa"/>
            <w:vAlign w:val="center"/>
          </w:tcPr>
          <w:p w14:paraId="5C462A5E">
            <w:pPr>
              <w:spacing w:line="500" w:lineRule="exact"/>
              <w:jc w:val="center"/>
              <w:rPr>
                <w:rFonts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审查因素</w:t>
            </w:r>
          </w:p>
        </w:tc>
        <w:tc>
          <w:tcPr>
            <w:tcW w:w="5573" w:type="dxa"/>
            <w:vAlign w:val="center"/>
          </w:tcPr>
          <w:p w14:paraId="0AD43118">
            <w:pPr>
              <w:spacing w:line="500" w:lineRule="exact"/>
              <w:jc w:val="center"/>
              <w:rPr>
                <w:rFonts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审查内容</w:t>
            </w:r>
          </w:p>
        </w:tc>
      </w:tr>
      <w:tr w14:paraId="0AAE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0CD9ED5">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w:t>
            </w:r>
          </w:p>
        </w:tc>
        <w:tc>
          <w:tcPr>
            <w:tcW w:w="2132" w:type="dxa"/>
            <w:vAlign w:val="center"/>
          </w:tcPr>
          <w:p w14:paraId="3B531B1C">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授权委托书</w:t>
            </w:r>
          </w:p>
        </w:tc>
        <w:tc>
          <w:tcPr>
            <w:tcW w:w="5573" w:type="dxa"/>
            <w:vAlign w:val="center"/>
          </w:tcPr>
          <w:p w14:paraId="7E43D0D1">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文件中由法定代表人签字或盖签名章的，须提供法定代表人身份证明书；</w:t>
            </w: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文件中由授权委托人签字的，须提供法定代表人授权委托书及法定代表人身份证明书。</w:t>
            </w:r>
          </w:p>
        </w:tc>
      </w:tr>
      <w:tr w14:paraId="4658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2A1783F">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2</w:t>
            </w:r>
          </w:p>
        </w:tc>
        <w:tc>
          <w:tcPr>
            <w:tcW w:w="2132" w:type="dxa"/>
            <w:vAlign w:val="center"/>
          </w:tcPr>
          <w:p w14:paraId="378EFED3">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投标完整性</w:t>
            </w:r>
          </w:p>
        </w:tc>
        <w:tc>
          <w:tcPr>
            <w:tcW w:w="5573" w:type="dxa"/>
            <w:vAlign w:val="center"/>
          </w:tcPr>
          <w:p w14:paraId="03D2BAE6">
            <w:pPr>
              <w:spacing w:line="500" w:lineRule="exact"/>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rPr>
              <w:t>未将一个采购包/标项中的内容拆开</w:t>
            </w:r>
            <w:r>
              <w:rPr>
                <w:rFonts w:hint="eastAsia" w:ascii="方正仿宋_GB2312" w:hAnsi="方正仿宋_GB2312" w:eastAsia="方正仿宋_GB2312" w:cs="方正仿宋_GB2312"/>
                <w:color w:val="auto"/>
                <w:sz w:val="21"/>
                <w:szCs w:val="21"/>
                <w:highlight w:val="none"/>
                <w:lang w:val="en-US" w:eastAsia="zh-CN"/>
              </w:rPr>
              <w:t>响应</w:t>
            </w:r>
          </w:p>
        </w:tc>
      </w:tr>
      <w:tr w14:paraId="0FD2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5BD490D">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3</w:t>
            </w:r>
          </w:p>
        </w:tc>
        <w:tc>
          <w:tcPr>
            <w:tcW w:w="2132" w:type="dxa"/>
            <w:vAlign w:val="center"/>
          </w:tcPr>
          <w:p w14:paraId="59A85A54">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投标报价</w:t>
            </w:r>
          </w:p>
        </w:tc>
        <w:tc>
          <w:tcPr>
            <w:tcW w:w="5573" w:type="dxa"/>
            <w:vAlign w:val="center"/>
          </w:tcPr>
          <w:p w14:paraId="2A9E23DB">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投标报价未超过</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文件中规定的采购品目单价预算金额/单价最高限价或项目/采购包预算金额或者项目/采购包最高限价；</w:t>
            </w:r>
          </w:p>
        </w:tc>
      </w:tr>
      <w:tr w14:paraId="0FD3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1BFFB24">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4</w:t>
            </w:r>
          </w:p>
        </w:tc>
        <w:tc>
          <w:tcPr>
            <w:tcW w:w="2132" w:type="dxa"/>
            <w:vAlign w:val="center"/>
          </w:tcPr>
          <w:p w14:paraId="0D124370">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报价唯一性</w:t>
            </w:r>
          </w:p>
        </w:tc>
        <w:tc>
          <w:tcPr>
            <w:tcW w:w="5573" w:type="dxa"/>
            <w:vAlign w:val="center"/>
          </w:tcPr>
          <w:p w14:paraId="10B1CB60">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文件未出现可选择性或可调整的报价（</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文件另有规定的除外）</w:t>
            </w:r>
          </w:p>
        </w:tc>
      </w:tr>
      <w:tr w14:paraId="3010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C145639">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5</w:t>
            </w:r>
          </w:p>
        </w:tc>
        <w:tc>
          <w:tcPr>
            <w:tcW w:w="2132" w:type="dxa"/>
            <w:vAlign w:val="center"/>
          </w:tcPr>
          <w:p w14:paraId="433C9655">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投标有效期</w:t>
            </w:r>
          </w:p>
        </w:tc>
        <w:tc>
          <w:tcPr>
            <w:tcW w:w="5573" w:type="dxa"/>
            <w:vAlign w:val="center"/>
          </w:tcPr>
          <w:p w14:paraId="06601B9D">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文件中承诺的投标有效期满足</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文件中载明的投标有效期的</w:t>
            </w:r>
          </w:p>
        </w:tc>
      </w:tr>
      <w:tr w14:paraId="2556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26B748">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6</w:t>
            </w:r>
          </w:p>
        </w:tc>
        <w:tc>
          <w:tcPr>
            <w:tcW w:w="2132" w:type="dxa"/>
            <w:vAlign w:val="center"/>
          </w:tcPr>
          <w:p w14:paraId="695235D9">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签署、盖章</w:t>
            </w:r>
          </w:p>
        </w:tc>
        <w:tc>
          <w:tcPr>
            <w:tcW w:w="5573" w:type="dxa"/>
            <w:vAlign w:val="center"/>
          </w:tcPr>
          <w:p w14:paraId="11E8A6DE">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按照</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文件要求签署、盖章的</w:t>
            </w:r>
          </w:p>
        </w:tc>
      </w:tr>
      <w:tr w14:paraId="203B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B179C6C">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7</w:t>
            </w:r>
          </w:p>
        </w:tc>
        <w:tc>
          <w:tcPr>
            <w:tcW w:w="2132" w:type="dxa"/>
            <w:vAlign w:val="center"/>
          </w:tcPr>
          <w:p w14:paraId="53D8CD6D">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采购需求的响应</w:t>
            </w:r>
          </w:p>
        </w:tc>
        <w:tc>
          <w:tcPr>
            <w:tcW w:w="5573" w:type="dxa"/>
            <w:vAlign w:val="center"/>
          </w:tcPr>
          <w:p w14:paraId="3F4DA18B">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文件满足</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文件中★号条款要求的</w:t>
            </w:r>
          </w:p>
        </w:tc>
      </w:tr>
      <w:tr w14:paraId="6753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6A6EDF">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8</w:t>
            </w:r>
          </w:p>
        </w:tc>
        <w:tc>
          <w:tcPr>
            <w:tcW w:w="2132" w:type="dxa"/>
            <w:vAlign w:val="center"/>
          </w:tcPr>
          <w:p w14:paraId="232C3323">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报价合理性</w:t>
            </w:r>
          </w:p>
        </w:tc>
        <w:tc>
          <w:tcPr>
            <w:tcW w:w="5573" w:type="dxa"/>
            <w:vAlign w:val="center"/>
          </w:tcPr>
          <w:p w14:paraId="71B27C2F">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报价合理，或投标人的报价明显低于其他通过符合性审查投标人的报价，有可能影响产品质量或者不能诚信履约的，能够应</w:t>
            </w:r>
            <w:r>
              <w:rPr>
                <w:rFonts w:hint="eastAsia" w:ascii="方正仿宋_GB2312" w:hAnsi="方正仿宋_GB2312" w:eastAsia="方正仿宋_GB2312" w:cs="方正仿宋_GB2312"/>
                <w:color w:val="auto"/>
                <w:sz w:val="21"/>
                <w:szCs w:val="21"/>
                <w:highlight w:val="none"/>
                <w:lang w:val="en-US" w:eastAsia="zh-CN"/>
              </w:rPr>
              <w:t>评审小组</w:t>
            </w:r>
            <w:r>
              <w:rPr>
                <w:rFonts w:hint="eastAsia" w:ascii="方正仿宋_GB2312" w:hAnsi="方正仿宋_GB2312" w:eastAsia="方正仿宋_GB2312" w:cs="方正仿宋_GB2312"/>
                <w:color w:val="auto"/>
                <w:sz w:val="21"/>
                <w:szCs w:val="21"/>
                <w:highlight w:val="none"/>
              </w:rPr>
              <w:t>要求在规定时间内证明其报价合理性的</w:t>
            </w:r>
          </w:p>
        </w:tc>
      </w:tr>
      <w:tr w14:paraId="577C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FE6D1F">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9</w:t>
            </w:r>
          </w:p>
        </w:tc>
        <w:tc>
          <w:tcPr>
            <w:tcW w:w="2132" w:type="dxa"/>
            <w:vAlign w:val="center"/>
          </w:tcPr>
          <w:p w14:paraId="30AD2969">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附加条件</w:t>
            </w:r>
          </w:p>
        </w:tc>
        <w:tc>
          <w:tcPr>
            <w:tcW w:w="5573" w:type="dxa"/>
            <w:vAlign w:val="center"/>
          </w:tcPr>
          <w:p w14:paraId="7E1A7164">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文件未含有采购人不能接受的附加条件的</w:t>
            </w:r>
          </w:p>
        </w:tc>
      </w:tr>
      <w:tr w14:paraId="74F5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03A36E0">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w:t>
            </w:r>
          </w:p>
        </w:tc>
        <w:tc>
          <w:tcPr>
            <w:tcW w:w="2132" w:type="dxa"/>
            <w:vAlign w:val="center"/>
          </w:tcPr>
          <w:p w14:paraId="04582850">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其他</w:t>
            </w:r>
          </w:p>
        </w:tc>
        <w:tc>
          <w:tcPr>
            <w:tcW w:w="5573" w:type="dxa"/>
            <w:vAlign w:val="center"/>
          </w:tcPr>
          <w:p w14:paraId="450F3F22">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文件中不存在违反国家法律、法规和</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文件规定的其他无效情形</w:t>
            </w:r>
          </w:p>
        </w:tc>
      </w:tr>
    </w:tbl>
    <w:p w14:paraId="20514797">
      <w:pPr>
        <w:pStyle w:val="27"/>
        <w:ind w:left="0" w:leftChars="0" w:firstLine="0" w:firstLineChars="0"/>
        <w:rPr>
          <w:rFonts w:hint="eastAsia" w:ascii="仿宋" w:hAnsi="仿宋" w:eastAsia="仿宋" w:cs="仿宋"/>
          <w:highlight w:val="none"/>
          <w:lang w:val="en-US" w:eastAsia="zh-CN"/>
        </w:rPr>
      </w:pPr>
    </w:p>
    <w:p w14:paraId="498595EC">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5" w:name="_Toc31864"/>
      <w:r>
        <w:rPr>
          <w:rFonts w:hint="eastAsia" w:ascii="仿宋" w:hAnsi="仿宋" w:eastAsia="仿宋" w:cs="仿宋"/>
          <w:b/>
          <w:bCs/>
          <w:sz w:val="24"/>
          <w:szCs w:val="24"/>
          <w:highlight w:val="none"/>
          <w:lang w:val="en-US" w:eastAsia="zh-CN"/>
        </w:rPr>
        <w:t>响应文件澄清</w:t>
      </w:r>
      <w:bookmarkEnd w:id="25"/>
    </w:p>
    <w:p w14:paraId="7AFDC30A">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
          <w:b/>
          <w:bCs/>
          <w:sz w:val="24"/>
          <w:szCs w:val="24"/>
          <w:highlight w:val="none"/>
          <w:lang w:val="en-US" w:eastAsia="zh-CN"/>
        </w:rPr>
        <w:t>授权代表人联系方式</w:t>
      </w:r>
      <w:r>
        <w:rPr>
          <w:rFonts w:hint="eastAsia" w:ascii="仿宋" w:hAnsi="仿宋" w:eastAsia="仿宋" w:cs="仿宋"/>
          <w:sz w:val="24"/>
          <w:szCs w:val="24"/>
          <w:highlight w:val="none"/>
          <w:lang w:val="en-US" w:eastAsia="zh-CN"/>
        </w:rPr>
        <w:t>发送短信提醒或电话告知。</w:t>
      </w:r>
    </w:p>
    <w:p w14:paraId="5C04D48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供应商需登录电子招投标系统平台项目采购系统的等候大厅，在规定时间内完成澄清（响应），并加盖电子印章。</w:t>
      </w:r>
    </w:p>
    <w:p w14:paraId="4ECEB32E">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22C08024">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磋商小组不接受供应商主动提出的澄清、说明或补正。</w:t>
      </w:r>
    </w:p>
    <w:p w14:paraId="51D53DEB">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磋商小组对供应商提交的澄清、说明或补正有疑问的，可以要求供应商进一步澄清、说明或补正。</w:t>
      </w:r>
    </w:p>
    <w:p w14:paraId="20FD028F">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sz w:val="24"/>
          <w:szCs w:val="24"/>
          <w:highlight w:val="none"/>
          <w:lang w:val="en-US" w:eastAsia="zh-CN"/>
        </w:rPr>
      </w:pPr>
      <w:bookmarkStart w:id="26" w:name="_Toc12580"/>
      <w:r>
        <w:rPr>
          <w:rFonts w:hint="eastAsia" w:ascii="仿宋" w:hAnsi="仿宋" w:eastAsia="仿宋" w:cs="仿宋"/>
          <w:b/>
          <w:bCs/>
          <w:sz w:val="24"/>
          <w:szCs w:val="24"/>
          <w:highlight w:val="none"/>
          <w:lang w:val="en-US" w:eastAsia="zh-CN"/>
        </w:rPr>
        <w:t>磋商</w:t>
      </w:r>
      <w:bookmarkEnd w:id="26"/>
    </w:p>
    <w:p w14:paraId="5E3F5F1E">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磋商小组所有成员应当集中与单一供应商分别进行磋商，并给予所有参加磋商的供应商平等的磋商机会。</w:t>
      </w:r>
    </w:p>
    <w:p w14:paraId="4BE06B91">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3FEBC70F">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对采购文件作出的实质性变动是采购文件的有效组成部分，磋商小组应当及时、同时通知所有参加磋商的供应商。</w:t>
      </w:r>
    </w:p>
    <w:p w14:paraId="2797909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2B08AEB9">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7" w:name="_Toc3596"/>
      <w:r>
        <w:rPr>
          <w:rFonts w:hint="eastAsia" w:ascii="仿宋" w:hAnsi="仿宋" w:eastAsia="仿宋" w:cs="仿宋"/>
          <w:b/>
          <w:bCs/>
          <w:sz w:val="24"/>
          <w:szCs w:val="24"/>
          <w:highlight w:val="none"/>
          <w:lang w:val="en-US" w:eastAsia="zh-CN"/>
        </w:rPr>
        <w:t>最后报价</w:t>
      </w:r>
      <w:bookmarkEnd w:id="27"/>
    </w:p>
    <w:p w14:paraId="1E0D72EF">
      <w:pPr>
        <w:pStyle w:val="27"/>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0D794409">
      <w:pPr>
        <w:pStyle w:val="27"/>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已提交响应文件的供应商，在提交最后报价之前，可以根据磋商情况退出磋商。</w:t>
      </w:r>
    </w:p>
    <w:p w14:paraId="05EF94DA">
      <w:pPr>
        <w:pStyle w:val="27"/>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除法规规定的特殊性情形外，提交最后报价的供应商不得少于3家。</w:t>
      </w:r>
    </w:p>
    <w:p w14:paraId="288FF391">
      <w:pPr>
        <w:pStyle w:val="27"/>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仿宋" w:hAnsi="仿宋" w:eastAsia="仿宋" w:cs="仿宋"/>
          <w:b/>
          <w:bCs/>
          <w:highlight w:val="none"/>
          <w:lang w:val="en-US" w:eastAsia="zh-CN"/>
        </w:rPr>
        <w:t>响应无效</w:t>
      </w:r>
      <w:r>
        <w:rPr>
          <w:rFonts w:hint="eastAsia" w:ascii="仿宋" w:hAnsi="仿宋" w:eastAsia="仿宋" w:cs="仿宋"/>
          <w:highlight w:val="none"/>
          <w:lang w:val="en-US" w:eastAsia="zh-CN"/>
        </w:rPr>
        <w:t>。</w:t>
      </w:r>
    </w:p>
    <w:p w14:paraId="09179368">
      <w:pPr>
        <w:keepNext w:val="0"/>
        <w:keepLines w:val="0"/>
        <w:pageBreakBefore w:val="0"/>
        <w:widowControl w:val="0"/>
        <w:numPr>
          <w:ilvl w:val="0"/>
          <w:numId w:val="12"/>
        </w:numPr>
        <w:kinsoku/>
        <w:wordWrap/>
        <w:overflowPunct/>
        <w:topLinePunct w:val="0"/>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8" w:name="_Toc22657"/>
      <w:r>
        <w:rPr>
          <w:rFonts w:hint="eastAsia" w:ascii="仿宋" w:hAnsi="仿宋" w:eastAsia="仿宋" w:cs="仿宋"/>
          <w:b/>
          <w:bCs/>
          <w:sz w:val="24"/>
          <w:szCs w:val="24"/>
          <w:highlight w:val="none"/>
          <w:lang w:val="en-US" w:eastAsia="zh-CN"/>
        </w:rPr>
        <w:t>详细评审</w:t>
      </w:r>
      <w:bookmarkEnd w:id="28"/>
    </w:p>
    <w:p w14:paraId="68F833DA">
      <w:pPr>
        <w:pStyle w:val="27"/>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磋商小组对提交最后报价的供应商的响应文件和最后报价，对其技术部分、商务部分及报价部分作进一步的综合比较和评价。详细评审标准如下：</w:t>
      </w:r>
    </w:p>
    <w:p w14:paraId="099899C1">
      <w:pPr>
        <w:pStyle w:val="27"/>
        <w:keepNext w:val="0"/>
        <w:keepLines w:val="0"/>
        <w:pageBreakBefore w:val="0"/>
        <w:widowControl w:val="0"/>
        <w:numPr>
          <w:ilvl w:val="0"/>
          <w:numId w:val="0"/>
        </w:numPr>
        <w:kinsoku/>
        <w:wordWrap/>
        <w:overflowPunct/>
        <w:topLinePunct w:val="0"/>
        <w:bidi w:val="0"/>
        <w:adjustRightInd/>
        <w:snapToGrid/>
        <w:spacing w:line="500" w:lineRule="exact"/>
        <w:ind w:leftChars="0" w:right="0" w:rightChars="0"/>
        <w:jc w:val="center"/>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详细评审标准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994"/>
        <w:gridCol w:w="843"/>
        <w:gridCol w:w="5610"/>
      </w:tblGrid>
      <w:tr w14:paraId="4482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37930E9">
            <w:pPr>
              <w:spacing w:line="240" w:lineRule="auto"/>
              <w:ind w:right="730" w:rightChars="304"/>
              <w:jc w:val="center"/>
              <w:rPr>
                <w:rFonts w:ascii="仿宋" w:hAnsi="仿宋" w:eastAsia="仿宋" w:cs="仿宋"/>
                <w:b/>
                <w:sz w:val="21"/>
                <w:szCs w:val="21"/>
                <w:highlight w:val="none"/>
              </w:rPr>
            </w:pPr>
            <w:r>
              <w:rPr>
                <w:rFonts w:hint="eastAsia" w:ascii="仿宋" w:hAnsi="仿宋" w:eastAsia="仿宋" w:cs="仿宋"/>
                <w:b/>
                <w:kern w:val="0"/>
                <w:sz w:val="21"/>
                <w:szCs w:val="21"/>
                <w:highlight w:val="none"/>
              </w:rPr>
              <w:t>评分因素</w:t>
            </w:r>
          </w:p>
        </w:tc>
        <w:tc>
          <w:tcPr>
            <w:tcW w:w="843" w:type="dxa"/>
            <w:vAlign w:val="center"/>
          </w:tcPr>
          <w:p w14:paraId="66CAF4C7">
            <w:pPr>
              <w:spacing w:line="240" w:lineRule="auto"/>
              <w:jc w:val="center"/>
              <w:rPr>
                <w:rFonts w:ascii="仿宋" w:hAnsi="仿宋" w:eastAsia="仿宋" w:cs="仿宋"/>
                <w:b/>
                <w:sz w:val="21"/>
                <w:szCs w:val="21"/>
                <w:highlight w:val="none"/>
              </w:rPr>
            </w:pPr>
            <w:r>
              <w:rPr>
                <w:rFonts w:hint="eastAsia" w:ascii="仿宋" w:hAnsi="仿宋" w:eastAsia="仿宋" w:cs="仿宋"/>
                <w:b/>
                <w:kern w:val="0"/>
                <w:sz w:val="21"/>
                <w:szCs w:val="21"/>
                <w:highlight w:val="none"/>
              </w:rPr>
              <w:t>分值</w:t>
            </w:r>
          </w:p>
        </w:tc>
        <w:tc>
          <w:tcPr>
            <w:tcW w:w="5610" w:type="dxa"/>
            <w:vAlign w:val="center"/>
          </w:tcPr>
          <w:p w14:paraId="4FE2B81F">
            <w:pPr>
              <w:spacing w:line="240" w:lineRule="auto"/>
              <w:ind w:right="-36" w:rightChars="-15"/>
              <w:jc w:val="center"/>
              <w:rPr>
                <w:rFonts w:ascii="仿宋" w:hAnsi="仿宋" w:eastAsia="仿宋" w:cs="仿宋"/>
                <w:b/>
                <w:sz w:val="21"/>
                <w:szCs w:val="21"/>
                <w:highlight w:val="none"/>
              </w:rPr>
            </w:pPr>
            <w:r>
              <w:rPr>
                <w:rFonts w:hint="eastAsia" w:ascii="仿宋" w:hAnsi="仿宋" w:eastAsia="仿宋" w:cs="仿宋"/>
                <w:b/>
                <w:kern w:val="0"/>
                <w:sz w:val="21"/>
                <w:szCs w:val="21"/>
                <w:highlight w:val="none"/>
              </w:rPr>
              <w:t>评分细则</w:t>
            </w:r>
          </w:p>
        </w:tc>
      </w:tr>
      <w:tr w14:paraId="0FFE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0F1B16A1">
            <w:pPr>
              <w:spacing w:line="240" w:lineRule="auto"/>
              <w:ind w:right="730" w:rightChars="304"/>
              <w:jc w:val="center"/>
              <w:rPr>
                <w:rFonts w:ascii="仿宋" w:hAnsi="仿宋" w:eastAsia="仿宋" w:cs="仿宋"/>
                <w:b/>
                <w:kern w:val="0"/>
                <w:sz w:val="21"/>
                <w:szCs w:val="21"/>
                <w:highlight w:val="none"/>
              </w:rPr>
            </w:pPr>
            <w:r>
              <w:rPr>
                <w:rFonts w:hint="eastAsia" w:ascii="仿宋" w:hAnsi="仿宋" w:eastAsia="仿宋" w:cs="仿宋"/>
                <w:bCs/>
                <w:kern w:val="0"/>
                <w:sz w:val="21"/>
                <w:szCs w:val="21"/>
                <w:highlight w:val="none"/>
              </w:rPr>
              <w:t>分值构成</w:t>
            </w:r>
          </w:p>
        </w:tc>
        <w:tc>
          <w:tcPr>
            <w:tcW w:w="6453" w:type="dxa"/>
            <w:gridSpan w:val="2"/>
            <w:vAlign w:val="center"/>
          </w:tcPr>
          <w:p w14:paraId="1112CF08">
            <w:pPr>
              <w:spacing w:line="240" w:lineRule="auto"/>
              <w:ind w:right="-36" w:rightChars="-15"/>
              <w:jc w:val="left"/>
              <w:rPr>
                <w:rFonts w:ascii="仿宋" w:hAnsi="仿宋" w:eastAsia="仿宋" w:cs="仿宋"/>
                <w:bCs/>
                <w:kern w:val="0"/>
                <w:sz w:val="21"/>
                <w:szCs w:val="21"/>
                <w:highlight w:val="none"/>
              </w:rPr>
            </w:pPr>
            <w:r>
              <w:rPr>
                <w:rFonts w:hint="eastAsia" w:ascii="仿宋" w:hAnsi="仿宋" w:eastAsia="仿宋" w:cs="仿宋"/>
                <w:bCs/>
                <w:kern w:val="0"/>
                <w:sz w:val="21"/>
                <w:szCs w:val="21"/>
                <w:highlight w:val="none"/>
              </w:rPr>
              <w:t>商务部分</w:t>
            </w:r>
            <w:r>
              <w:rPr>
                <w:rFonts w:hint="eastAsia" w:ascii="仿宋" w:hAnsi="仿宋" w:eastAsia="仿宋" w:cs="仿宋"/>
                <w:bCs/>
                <w:kern w:val="0"/>
                <w:sz w:val="21"/>
                <w:szCs w:val="21"/>
                <w:highlight w:val="none"/>
                <w:lang w:val="en-US" w:eastAsia="zh-CN"/>
              </w:rPr>
              <w:t>10</w:t>
            </w:r>
            <w:r>
              <w:rPr>
                <w:rFonts w:hint="eastAsia" w:ascii="仿宋" w:hAnsi="仿宋" w:eastAsia="仿宋" w:cs="仿宋"/>
                <w:bCs/>
                <w:kern w:val="0"/>
                <w:sz w:val="21"/>
                <w:szCs w:val="21"/>
                <w:highlight w:val="none"/>
              </w:rPr>
              <w:t>.0分</w:t>
            </w:r>
          </w:p>
          <w:p w14:paraId="0EF51821">
            <w:pPr>
              <w:spacing w:line="240" w:lineRule="auto"/>
              <w:ind w:right="-36" w:rightChars="-15"/>
              <w:jc w:val="left"/>
              <w:rPr>
                <w:rFonts w:ascii="仿宋" w:hAnsi="仿宋" w:eastAsia="仿宋" w:cs="仿宋"/>
                <w:bCs/>
                <w:kern w:val="0"/>
                <w:sz w:val="21"/>
                <w:szCs w:val="21"/>
                <w:highlight w:val="none"/>
              </w:rPr>
            </w:pPr>
            <w:r>
              <w:rPr>
                <w:rFonts w:hint="eastAsia" w:ascii="仿宋" w:hAnsi="仿宋" w:eastAsia="仿宋" w:cs="仿宋"/>
                <w:bCs/>
                <w:kern w:val="0"/>
                <w:sz w:val="21"/>
                <w:szCs w:val="21"/>
                <w:highlight w:val="none"/>
              </w:rPr>
              <w:t>技术部分6</w:t>
            </w:r>
            <w:r>
              <w:rPr>
                <w:rFonts w:hint="eastAsia" w:ascii="仿宋" w:hAnsi="仿宋" w:eastAsia="仿宋" w:cs="仿宋"/>
                <w:bCs/>
                <w:kern w:val="0"/>
                <w:sz w:val="21"/>
                <w:szCs w:val="21"/>
                <w:highlight w:val="none"/>
                <w:lang w:val="en-US" w:eastAsia="zh-CN"/>
              </w:rPr>
              <w:t>0</w:t>
            </w:r>
            <w:r>
              <w:rPr>
                <w:rFonts w:hint="eastAsia" w:ascii="仿宋" w:hAnsi="仿宋" w:eastAsia="仿宋" w:cs="仿宋"/>
                <w:bCs/>
                <w:kern w:val="0"/>
                <w:sz w:val="21"/>
                <w:szCs w:val="21"/>
                <w:highlight w:val="none"/>
              </w:rPr>
              <w:t>.0分</w:t>
            </w:r>
          </w:p>
          <w:p w14:paraId="0668C36C">
            <w:pPr>
              <w:spacing w:line="240" w:lineRule="auto"/>
              <w:ind w:right="-36" w:rightChars="-15"/>
              <w:jc w:val="left"/>
              <w:rPr>
                <w:rFonts w:ascii="仿宋" w:hAnsi="仿宋" w:eastAsia="仿宋" w:cs="仿宋"/>
                <w:b/>
                <w:kern w:val="0"/>
                <w:sz w:val="21"/>
                <w:szCs w:val="21"/>
                <w:highlight w:val="none"/>
              </w:rPr>
            </w:pPr>
            <w:r>
              <w:rPr>
                <w:rFonts w:hint="eastAsia" w:ascii="仿宋" w:hAnsi="仿宋" w:eastAsia="仿宋" w:cs="仿宋"/>
                <w:bCs/>
                <w:kern w:val="0"/>
                <w:sz w:val="21"/>
                <w:szCs w:val="21"/>
                <w:highlight w:val="none"/>
              </w:rPr>
              <w:t>报价得分30.0分</w:t>
            </w:r>
          </w:p>
        </w:tc>
      </w:tr>
      <w:tr w14:paraId="424D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19A19E6C">
            <w:pPr>
              <w:pStyle w:val="2"/>
              <w:spacing w:line="240" w:lineRule="auto"/>
              <w:ind w:right="8"/>
              <w:jc w:val="center"/>
              <w:rPr>
                <w:rFonts w:ascii="仿宋" w:hAnsi="仿宋" w:eastAsia="仿宋" w:cs="仿宋"/>
                <w:sz w:val="21"/>
                <w:szCs w:val="21"/>
                <w:highlight w:val="none"/>
              </w:rPr>
            </w:pPr>
            <w:r>
              <w:rPr>
                <w:rFonts w:hint="eastAsia" w:ascii="仿宋" w:hAnsi="仿宋" w:eastAsia="仿宋" w:cs="仿宋"/>
                <w:sz w:val="21"/>
                <w:szCs w:val="21"/>
                <w:highlight w:val="none"/>
              </w:rPr>
              <w:t>报价部分（30 分）</w:t>
            </w:r>
          </w:p>
        </w:tc>
        <w:tc>
          <w:tcPr>
            <w:tcW w:w="843" w:type="dxa"/>
            <w:vAlign w:val="center"/>
          </w:tcPr>
          <w:p w14:paraId="0F3DF113">
            <w:pPr>
              <w:pStyle w:val="2"/>
              <w:spacing w:line="240" w:lineRule="auto"/>
              <w:jc w:val="center"/>
              <w:rPr>
                <w:rFonts w:ascii="仿宋" w:hAnsi="仿宋" w:eastAsia="仿宋" w:cs="仿宋"/>
                <w:sz w:val="21"/>
                <w:szCs w:val="21"/>
                <w:highlight w:val="none"/>
              </w:rPr>
            </w:pPr>
            <w:r>
              <w:rPr>
                <w:rFonts w:hint="eastAsia" w:ascii="仿宋" w:hAnsi="仿宋" w:eastAsia="仿宋" w:cs="仿宋"/>
                <w:sz w:val="21"/>
                <w:szCs w:val="21"/>
                <w:highlight w:val="none"/>
              </w:rPr>
              <w:t>30</w:t>
            </w:r>
          </w:p>
        </w:tc>
        <w:tc>
          <w:tcPr>
            <w:tcW w:w="5610" w:type="dxa"/>
          </w:tcPr>
          <w:p w14:paraId="3E5C6BAF">
            <w:pPr>
              <w:pStyle w:val="2"/>
              <w:spacing w:line="240" w:lineRule="auto"/>
              <w:ind w:right="-36" w:rightChars="-15"/>
              <w:rPr>
                <w:rFonts w:ascii="仿宋" w:hAnsi="仿宋" w:eastAsia="仿宋" w:cs="仿宋"/>
                <w:sz w:val="21"/>
                <w:szCs w:val="21"/>
                <w:highlight w:val="none"/>
              </w:rPr>
            </w:pPr>
            <w:r>
              <w:rPr>
                <w:rFonts w:hint="eastAsia" w:ascii="仿宋" w:hAnsi="仿宋" w:eastAsia="仿宋" w:cs="仿宋"/>
                <w:sz w:val="21"/>
                <w:szCs w:val="21"/>
                <w:highlight w:val="none"/>
              </w:rPr>
              <w:t>满足磋商文件要求且最后报价最低的响应人的价格为磋商基准价,其价格为满分30分。其他响应人的价格分统一按照下列公式计算：</w:t>
            </w:r>
          </w:p>
          <w:p w14:paraId="0B07362D">
            <w:pPr>
              <w:pStyle w:val="2"/>
              <w:spacing w:line="240" w:lineRule="auto"/>
              <w:ind w:right="-36" w:rightChars="-15"/>
              <w:rPr>
                <w:rFonts w:ascii="仿宋" w:hAnsi="仿宋" w:eastAsia="仿宋" w:cs="仿宋"/>
                <w:sz w:val="21"/>
                <w:szCs w:val="21"/>
                <w:highlight w:val="none"/>
              </w:rPr>
            </w:pPr>
            <w:r>
              <w:rPr>
                <w:rFonts w:hint="eastAsia" w:ascii="仿宋" w:hAnsi="仿宋" w:eastAsia="仿宋" w:cs="仿宋"/>
                <w:sz w:val="21"/>
                <w:szCs w:val="21"/>
                <w:highlight w:val="none"/>
              </w:rPr>
              <w:t>磋商报价得分=(磋商基准价/最后磋商报价)×价格满分分值</w:t>
            </w:r>
          </w:p>
        </w:tc>
      </w:tr>
      <w:tr w14:paraId="169F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1074" w:type="dxa"/>
            <w:vMerge w:val="restart"/>
            <w:tcBorders>
              <w:right w:val="single" w:color="000000" w:sz="4" w:space="0"/>
            </w:tcBorders>
            <w:vAlign w:val="center"/>
          </w:tcPr>
          <w:p w14:paraId="0A8C73F8">
            <w:pPr>
              <w:pStyle w:val="2"/>
              <w:spacing w:line="240" w:lineRule="auto"/>
              <w:ind w:right="-22" w:rightChars="-9"/>
              <w:jc w:val="center"/>
              <w:rPr>
                <w:rFonts w:ascii="仿宋" w:hAnsi="仿宋" w:eastAsia="仿宋" w:cs="仿宋"/>
                <w:sz w:val="21"/>
                <w:szCs w:val="21"/>
                <w:highlight w:val="none"/>
              </w:rPr>
            </w:pPr>
            <w:r>
              <w:rPr>
                <w:rFonts w:hint="eastAsia" w:ascii="仿宋" w:hAnsi="仿宋" w:eastAsia="仿宋" w:cs="仿宋"/>
                <w:sz w:val="21"/>
                <w:szCs w:val="21"/>
                <w:highlight w:val="none"/>
              </w:rPr>
              <w:t>商务部分(</w:t>
            </w:r>
            <w:r>
              <w:rPr>
                <w:rFonts w:hint="eastAsia" w:ascii="仿宋" w:hAnsi="仿宋" w:eastAsia="仿宋" w:cs="仿宋"/>
                <w:sz w:val="21"/>
                <w:szCs w:val="21"/>
                <w:highlight w:val="none"/>
                <w:lang w:val="en-US" w:eastAsia="zh-CN"/>
              </w:rPr>
              <w:t>10</w:t>
            </w:r>
            <w:r>
              <w:rPr>
                <w:rFonts w:hint="eastAsia" w:ascii="仿宋" w:hAnsi="仿宋" w:eastAsia="仿宋" w:cs="仿宋"/>
                <w:sz w:val="21"/>
                <w:szCs w:val="21"/>
                <w:highlight w:val="none"/>
              </w:rPr>
              <w:t>分)</w:t>
            </w:r>
          </w:p>
        </w:tc>
        <w:tc>
          <w:tcPr>
            <w:tcW w:w="994" w:type="dxa"/>
            <w:tcBorders>
              <w:left w:val="single" w:color="000000" w:sz="4" w:space="0"/>
            </w:tcBorders>
            <w:vAlign w:val="center"/>
          </w:tcPr>
          <w:p w14:paraId="5D8D87B7">
            <w:pPr>
              <w:pStyle w:val="2"/>
              <w:spacing w:line="240" w:lineRule="auto"/>
              <w:ind w:right="36" w:rightChars="15"/>
              <w:jc w:val="center"/>
              <w:rPr>
                <w:rFonts w:ascii="仿宋" w:hAnsi="仿宋" w:eastAsia="仿宋" w:cs="仿宋"/>
                <w:sz w:val="21"/>
                <w:szCs w:val="21"/>
                <w:highlight w:val="none"/>
              </w:rPr>
            </w:pPr>
            <w:r>
              <w:rPr>
                <w:rFonts w:hint="eastAsia" w:ascii="仿宋" w:hAnsi="仿宋" w:eastAsia="仿宋" w:cs="仿宋"/>
                <w:sz w:val="21"/>
                <w:szCs w:val="21"/>
                <w:highlight w:val="none"/>
              </w:rPr>
              <w:t>类似项目业绩</w:t>
            </w:r>
          </w:p>
        </w:tc>
        <w:tc>
          <w:tcPr>
            <w:tcW w:w="843" w:type="dxa"/>
            <w:vAlign w:val="center"/>
          </w:tcPr>
          <w:p w14:paraId="4279E39B">
            <w:pPr>
              <w:pStyle w:val="2"/>
              <w:spacing w:line="240" w:lineRule="auto"/>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5610" w:type="dxa"/>
          </w:tcPr>
          <w:p w14:paraId="556AFB54">
            <w:pPr>
              <w:pStyle w:val="2"/>
              <w:spacing w:line="240" w:lineRule="auto"/>
              <w:ind w:right="-36" w:rightChars="-15"/>
              <w:rPr>
                <w:rFonts w:ascii="仿宋" w:hAnsi="仿宋" w:eastAsia="仿宋" w:cs="仿宋"/>
                <w:sz w:val="21"/>
                <w:szCs w:val="21"/>
                <w:highlight w:val="none"/>
              </w:rPr>
            </w:pPr>
            <w:r>
              <w:rPr>
                <w:rFonts w:hint="eastAsia" w:ascii="仿宋" w:hAnsi="仿宋" w:eastAsia="仿宋" w:cs="仿宋"/>
                <w:sz w:val="21"/>
                <w:szCs w:val="21"/>
                <w:highlight w:val="none"/>
              </w:rPr>
              <w:t>供应商自 202</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 xml:space="preserve">年 1 月 1 日至响应截止之日止（以合同签订合同时间为准）独立承担的类似项目业绩，每提供 1 份有效的业绩资料得 </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 xml:space="preserve"> 分，满分 </w:t>
            </w:r>
            <w:r>
              <w:rPr>
                <w:rFonts w:hint="eastAsia" w:ascii="仿宋" w:hAnsi="仿宋" w:eastAsia="仿宋" w:cs="仿宋"/>
                <w:sz w:val="21"/>
                <w:szCs w:val="21"/>
                <w:highlight w:val="none"/>
                <w:lang w:val="en-US" w:eastAsia="zh-CN"/>
              </w:rPr>
              <w:t>7</w:t>
            </w:r>
            <w:r>
              <w:rPr>
                <w:rFonts w:hint="eastAsia" w:ascii="仿宋" w:hAnsi="仿宋" w:eastAsia="仿宋" w:cs="仿宋"/>
                <w:sz w:val="21"/>
                <w:szCs w:val="21"/>
                <w:highlight w:val="none"/>
              </w:rPr>
              <w:t>分。</w:t>
            </w:r>
          </w:p>
          <w:p w14:paraId="6D76C145">
            <w:pPr>
              <w:pStyle w:val="2"/>
              <w:spacing w:line="240" w:lineRule="auto"/>
              <w:ind w:right="-36" w:rightChars="-15"/>
              <w:rPr>
                <w:rFonts w:ascii="仿宋" w:hAnsi="仿宋" w:eastAsia="仿宋" w:cs="仿宋"/>
                <w:sz w:val="21"/>
                <w:szCs w:val="21"/>
                <w:highlight w:val="none"/>
              </w:rPr>
            </w:pPr>
            <w:r>
              <w:rPr>
                <w:rFonts w:hint="eastAsia" w:ascii="仿宋" w:hAnsi="仿宋" w:eastAsia="仿宋" w:cs="仿宋"/>
                <w:sz w:val="21"/>
                <w:szCs w:val="21"/>
                <w:highlight w:val="none"/>
              </w:rPr>
              <w:t>注：1.须提供业绩合同关键页（含：首页、内容信息页、合同金额页、签字盖章页）。复印件加盖公章，时间以合同签订日期为准。不符合上述要求或未按要求提供有效证明文件的业绩在评审时将不予承认。</w:t>
            </w:r>
          </w:p>
          <w:p w14:paraId="2E903BEF">
            <w:pPr>
              <w:pStyle w:val="2"/>
              <w:spacing w:line="240" w:lineRule="auto"/>
              <w:ind w:right="-36" w:rightChars="-15"/>
              <w:rPr>
                <w:rFonts w:ascii="仿宋" w:hAnsi="仿宋" w:eastAsia="仿宋" w:cs="仿宋"/>
                <w:sz w:val="21"/>
                <w:szCs w:val="21"/>
                <w:highlight w:val="none"/>
              </w:rPr>
            </w:pPr>
            <w:r>
              <w:rPr>
                <w:rFonts w:hint="eastAsia" w:ascii="仿宋" w:hAnsi="仿宋" w:eastAsia="仿宋" w:cs="仿宋"/>
                <w:sz w:val="21"/>
                <w:szCs w:val="21"/>
                <w:highlight w:val="none"/>
              </w:rPr>
              <w:t>2.供应商提供虚假合同的，按虚假投标处理。</w:t>
            </w:r>
          </w:p>
        </w:tc>
      </w:tr>
      <w:tr w14:paraId="5C2F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074" w:type="dxa"/>
            <w:vMerge w:val="continue"/>
            <w:tcBorders>
              <w:right w:val="single" w:color="000000" w:sz="4" w:space="0"/>
            </w:tcBorders>
            <w:vAlign w:val="center"/>
          </w:tcPr>
          <w:p w14:paraId="428D6C4A">
            <w:pPr>
              <w:pStyle w:val="2"/>
              <w:spacing w:line="240" w:lineRule="auto"/>
              <w:ind w:right="-22" w:rightChars="-9"/>
              <w:jc w:val="center"/>
              <w:rPr>
                <w:rFonts w:hint="eastAsia" w:ascii="仿宋" w:hAnsi="仿宋" w:eastAsia="仿宋" w:cs="仿宋"/>
                <w:sz w:val="21"/>
                <w:szCs w:val="21"/>
                <w:highlight w:val="none"/>
              </w:rPr>
            </w:pPr>
          </w:p>
        </w:tc>
        <w:tc>
          <w:tcPr>
            <w:tcW w:w="994" w:type="dxa"/>
            <w:tcBorders>
              <w:left w:val="single" w:color="000000" w:sz="4" w:space="0"/>
            </w:tcBorders>
            <w:vAlign w:val="center"/>
          </w:tcPr>
          <w:p w14:paraId="7DF79A3F">
            <w:pPr>
              <w:pStyle w:val="2"/>
              <w:spacing w:line="240" w:lineRule="auto"/>
              <w:ind w:right="36" w:rightChars="15"/>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履约能力</w:t>
            </w:r>
          </w:p>
        </w:tc>
        <w:tc>
          <w:tcPr>
            <w:tcW w:w="843" w:type="dxa"/>
            <w:vAlign w:val="center"/>
          </w:tcPr>
          <w:p w14:paraId="54B6985B">
            <w:pPr>
              <w:pStyle w:val="2"/>
              <w:spacing w:line="240" w:lineRule="auto"/>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5610" w:type="dxa"/>
          </w:tcPr>
          <w:p w14:paraId="72B68769">
            <w:pPr>
              <w:pStyle w:val="2"/>
              <w:spacing w:line="240" w:lineRule="auto"/>
              <w:ind w:right="-36" w:rightChars="-15"/>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提供与上述业绩相对应的使用方《服务评价表》或《服务意见征询函》等满意度调查情况证明文件，每提供1份有效的证明材料得1分，满分</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lang w:val="en-US"/>
              </w:rPr>
              <w:t>分。</w:t>
            </w:r>
          </w:p>
          <w:p w14:paraId="7C2959AF">
            <w:pPr>
              <w:pStyle w:val="2"/>
              <w:spacing w:line="240" w:lineRule="auto"/>
              <w:ind w:right="-36" w:rightChars="-15"/>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注：相关证明材料需为复印件加盖公章，且与所附业绩相符。</w:t>
            </w:r>
          </w:p>
        </w:tc>
      </w:tr>
      <w:tr w14:paraId="0FAD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74" w:type="dxa"/>
            <w:vMerge w:val="restart"/>
            <w:tcBorders>
              <w:right w:val="single" w:color="000000" w:sz="4" w:space="0"/>
            </w:tcBorders>
            <w:vAlign w:val="center"/>
          </w:tcPr>
          <w:p w14:paraId="47178782">
            <w:pPr>
              <w:pStyle w:val="2"/>
              <w:spacing w:line="240" w:lineRule="auto"/>
              <w:ind w:right="-22" w:rightChars="-9"/>
              <w:jc w:val="center"/>
              <w:rPr>
                <w:rFonts w:ascii="仿宋" w:hAnsi="仿宋" w:eastAsia="仿宋" w:cs="仿宋"/>
                <w:sz w:val="21"/>
                <w:szCs w:val="21"/>
                <w:highlight w:val="none"/>
              </w:rPr>
            </w:pPr>
            <w:r>
              <w:rPr>
                <w:rFonts w:hint="eastAsia" w:ascii="仿宋" w:hAnsi="仿宋" w:eastAsia="仿宋" w:cs="仿宋"/>
                <w:sz w:val="21"/>
                <w:szCs w:val="21"/>
                <w:highlight w:val="none"/>
              </w:rPr>
              <w:t>技术部分 (6</w:t>
            </w:r>
            <w:r>
              <w:rPr>
                <w:rFonts w:hint="eastAsia" w:ascii="仿宋" w:hAnsi="仿宋" w:eastAsia="仿宋" w:cs="仿宋"/>
                <w:sz w:val="21"/>
                <w:szCs w:val="21"/>
                <w:highlight w:val="none"/>
                <w:lang w:val="en-US" w:eastAsia="zh-CN"/>
              </w:rPr>
              <w:t>0</w:t>
            </w:r>
            <w:r>
              <w:rPr>
                <w:rFonts w:hint="eastAsia" w:ascii="仿宋" w:hAnsi="仿宋" w:eastAsia="仿宋" w:cs="仿宋"/>
                <w:sz w:val="21"/>
                <w:szCs w:val="21"/>
                <w:highlight w:val="none"/>
              </w:rPr>
              <w:t>分)</w:t>
            </w:r>
          </w:p>
        </w:tc>
        <w:tc>
          <w:tcPr>
            <w:tcW w:w="994" w:type="dxa"/>
            <w:tcBorders>
              <w:left w:val="single" w:color="000000" w:sz="4" w:space="0"/>
            </w:tcBorders>
            <w:vAlign w:val="center"/>
          </w:tcPr>
          <w:p w14:paraId="79614849">
            <w:pPr>
              <w:pStyle w:val="2"/>
              <w:ind w:right="36" w:rightChars="15"/>
              <w:jc w:val="center"/>
              <w:rPr>
                <w:rFonts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服务内容的响应程度</w:t>
            </w:r>
          </w:p>
        </w:tc>
        <w:tc>
          <w:tcPr>
            <w:tcW w:w="843" w:type="dxa"/>
            <w:vAlign w:val="center"/>
          </w:tcPr>
          <w:p w14:paraId="2FBF0440">
            <w:pPr>
              <w:pStyle w:val="2"/>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34</w:t>
            </w:r>
          </w:p>
        </w:tc>
        <w:tc>
          <w:tcPr>
            <w:tcW w:w="5610" w:type="dxa"/>
            <w:vAlign w:val="top"/>
          </w:tcPr>
          <w:p w14:paraId="209994D7">
            <w:pPr>
              <w:pStyle w:val="2"/>
              <w:ind w:right="-36" w:rightChars="-15"/>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本项目采购需求中服务参数要求，全部响应得34分。</w:t>
            </w:r>
          </w:p>
          <w:p w14:paraId="2AF363F1">
            <w:pPr>
              <w:pStyle w:val="2"/>
              <w:ind w:right="-36" w:rightChars="-15"/>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其中</w:t>
            </w:r>
            <w:r>
              <w:rPr>
                <w:rFonts w:hint="eastAsia" w:ascii="仿宋_GB2312" w:hAnsi="仿宋_GB2312" w:cs="仿宋_GB2312"/>
                <w:color w:val="auto"/>
                <w:sz w:val="21"/>
                <w:szCs w:val="21"/>
                <w:highlight w:val="none"/>
              </w:rPr>
              <w:t>★</w:t>
            </w:r>
            <w:r>
              <w:rPr>
                <w:rFonts w:hint="eastAsia" w:ascii="仿宋" w:hAnsi="仿宋" w:eastAsia="仿宋" w:cs="仿宋"/>
                <w:kern w:val="2"/>
                <w:sz w:val="21"/>
                <w:szCs w:val="21"/>
                <w:highlight w:val="none"/>
                <w:lang w:val="en-US" w:eastAsia="zh-CN" w:bidi="ar-SA"/>
              </w:rPr>
              <w:t>参数为实质性参数（共3项），供应商须证明服务内容明确符合或者优于此类指标，否则视为符合性审查不合格，按无效响应处理。</w:t>
            </w:r>
          </w:p>
          <w:p w14:paraId="1CAD651B">
            <w:pPr>
              <w:pStyle w:val="2"/>
              <w:ind w:right="-36" w:rightChars="-15"/>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其他未标注</w:t>
            </w:r>
            <w:r>
              <w:rPr>
                <w:rFonts w:hint="eastAsia" w:ascii="仿宋_GB2312" w:hAnsi="仿宋_GB2312" w:cs="仿宋_GB2312"/>
                <w:color w:val="auto"/>
                <w:sz w:val="21"/>
                <w:szCs w:val="21"/>
                <w:highlight w:val="none"/>
              </w:rPr>
              <w:t>★</w:t>
            </w:r>
            <w:r>
              <w:rPr>
                <w:rFonts w:hint="eastAsia" w:ascii="仿宋" w:hAnsi="仿宋" w:eastAsia="仿宋" w:cs="仿宋"/>
                <w:kern w:val="2"/>
                <w:sz w:val="21"/>
                <w:szCs w:val="21"/>
                <w:highlight w:val="none"/>
                <w:lang w:val="en-US" w:eastAsia="zh-CN" w:bidi="ar-SA"/>
              </w:rPr>
              <w:t>参数为一般参数，共17项，每有一项不满足扣2分，满分34分，扣完为止。</w:t>
            </w:r>
          </w:p>
          <w:p w14:paraId="0288798E">
            <w:pPr>
              <w:pStyle w:val="2"/>
              <w:ind w:right="-36" w:rightChars="-15"/>
              <w:rPr>
                <w:rFonts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注：供应商须对本采购文件服务要求进行点对点应答，必须在引用本采购文件的基础上,进行逐条逐项答复、说明和解释或承诺。</w:t>
            </w:r>
          </w:p>
        </w:tc>
      </w:tr>
      <w:tr w14:paraId="0155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74" w:type="dxa"/>
            <w:vMerge w:val="continue"/>
            <w:tcBorders>
              <w:right w:val="single" w:color="000000" w:sz="4" w:space="0"/>
            </w:tcBorders>
            <w:vAlign w:val="center"/>
          </w:tcPr>
          <w:p w14:paraId="5F65E6C3">
            <w:pPr>
              <w:pStyle w:val="2"/>
              <w:spacing w:line="240" w:lineRule="auto"/>
              <w:ind w:right="-22" w:rightChars="-9"/>
              <w:jc w:val="center"/>
              <w:rPr>
                <w:rFonts w:hint="eastAsia" w:ascii="仿宋" w:hAnsi="仿宋" w:eastAsia="仿宋" w:cs="仿宋"/>
                <w:sz w:val="21"/>
                <w:szCs w:val="21"/>
                <w:highlight w:val="none"/>
              </w:rPr>
            </w:pPr>
          </w:p>
        </w:tc>
        <w:tc>
          <w:tcPr>
            <w:tcW w:w="994" w:type="dxa"/>
            <w:tcBorders>
              <w:left w:val="single" w:color="000000" w:sz="4" w:space="0"/>
            </w:tcBorders>
            <w:shd w:val="clear" w:color="auto" w:fill="auto"/>
            <w:vAlign w:val="center"/>
          </w:tcPr>
          <w:p w14:paraId="3308FA5B">
            <w:pPr>
              <w:pStyle w:val="2"/>
              <w:ind w:left="0" w:leftChars="0" w:right="36" w:rightChars="1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项目组织实施服务方案</w:t>
            </w:r>
          </w:p>
        </w:tc>
        <w:tc>
          <w:tcPr>
            <w:tcW w:w="843" w:type="dxa"/>
            <w:shd w:val="clear" w:color="auto" w:fill="auto"/>
            <w:vAlign w:val="center"/>
          </w:tcPr>
          <w:p w14:paraId="0C199F93">
            <w:pPr>
              <w:pStyle w:val="2"/>
              <w:jc w:val="both"/>
              <w:rPr>
                <w:rFonts w:ascii="仿宋" w:hAnsi="仿宋" w:eastAsia="仿宋" w:cs="仿宋"/>
                <w:strike/>
                <w:color w:val="FF0000"/>
                <w:sz w:val="21"/>
                <w:szCs w:val="21"/>
                <w:highlight w:val="none"/>
              </w:rPr>
            </w:pPr>
          </w:p>
          <w:p w14:paraId="28585C1A">
            <w:pPr>
              <w:pStyle w:val="2"/>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5</w:t>
            </w:r>
          </w:p>
        </w:tc>
        <w:tc>
          <w:tcPr>
            <w:tcW w:w="5610" w:type="dxa"/>
            <w:shd w:val="clear" w:color="auto" w:fill="auto"/>
            <w:vAlign w:val="top"/>
          </w:tcPr>
          <w:p w14:paraId="44DF3A7D">
            <w:pPr>
              <w:pStyle w:val="2"/>
              <w:ind w:right="-36" w:rightChars="-15"/>
              <w:rPr>
                <w:rFonts w:ascii="仿宋" w:hAnsi="仿宋" w:eastAsia="仿宋" w:cs="仿宋"/>
                <w:sz w:val="21"/>
                <w:szCs w:val="21"/>
                <w:highlight w:val="none"/>
              </w:rPr>
            </w:pPr>
            <w:r>
              <w:rPr>
                <w:rFonts w:hint="eastAsia" w:ascii="仿宋" w:hAnsi="仿宋" w:eastAsia="仿宋" w:cs="仿宋"/>
                <w:sz w:val="21"/>
                <w:szCs w:val="21"/>
                <w:highlight w:val="none"/>
              </w:rPr>
              <w:t>1.组织实施服务方案内容全面、具体、科学、合理，针对性强，完全符采购需求、相关标准及规范要求，得</w:t>
            </w:r>
            <w:r>
              <w:rPr>
                <w:rFonts w:hint="eastAsia" w:ascii="仿宋" w:hAnsi="仿宋" w:eastAsia="仿宋" w:cs="仿宋"/>
                <w:sz w:val="21"/>
                <w:szCs w:val="21"/>
                <w:highlight w:val="none"/>
                <w:lang w:val="en-US" w:eastAsia="zh-CN"/>
              </w:rPr>
              <w:t>5</w:t>
            </w:r>
            <w:r>
              <w:rPr>
                <w:rFonts w:hint="eastAsia" w:ascii="仿宋" w:hAnsi="仿宋" w:eastAsia="仿宋" w:cs="仿宋"/>
                <w:sz w:val="21"/>
                <w:szCs w:val="21"/>
                <w:highlight w:val="none"/>
              </w:rPr>
              <w:t>分；</w:t>
            </w:r>
          </w:p>
          <w:p w14:paraId="3C576AB9">
            <w:pPr>
              <w:pStyle w:val="2"/>
              <w:ind w:right="-36" w:rightChars="-15"/>
              <w:rPr>
                <w:rFonts w:ascii="仿宋" w:hAnsi="仿宋" w:eastAsia="仿宋" w:cs="仿宋"/>
                <w:sz w:val="21"/>
                <w:szCs w:val="21"/>
                <w:highlight w:val="none"/>
              </w:rPr>
            </w:pPr>
            <w:r>
              <w:rPr>
                <w:rFonts w:hint="eastAsia" w:ascii="仿宋" w:hAnsi="仿宋" w:eastAsia="仿宋" w:cs="仿宋"/>
                <w:sz w:val="21"/>
                <w:szCs w:val="21"/>
                <w:highlight w:val="none"/>
              </w:rPr>
              <w:t>2.组织实施服务方案内容较全面、较具体、较科学、较合理，针对性较强，符合采购需求、相关标准及规范要求，得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p w14:paraId="209EBDE7">
            <w:pPr>
              <w:pStyle w:val="2"/>
              <w:ind w:right="-36" w:rightChars="-15"/>
              <w:rPr>
                <w:rFonts w:ascii="仿宋" w:hAnsi="仿宋" w:eastAsia="仿宋" w:cs="仿宋"/>
                <w:sz w:val="21"/>
                <w:szCs w:val="21"/>
                <w:highlight w:val="none"/>
              </w:rPr>
            </w:pPr>
            <w:r>
              <w:rPr>
                <w:rFonts w:hint="eastAsia" w:ascii="仿宋" w:hAnsi="仿宋" w:eastAsia="仿宋" w:cs="仿宋"/>
                <w:sz w:val="21"/>
                <w:szCs w:val="21"/>
                <w:highlight w:val="none"/>
              </w:rPr>
              <w:t>3.组织实施服务方案较全面、较具体、有一定的科学性和合理性，针对性一般，但能符合采购需求、相关标准及规范要求，得</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分；</w:t>
            </w:r>
          </w:p>
          <w:p w14:paraId="21C1EEC4">
            <w:pPr>
              <w:pStyle w:val="2"/>
              <w:ind w:right="-36" w:rightChars="-15"/>
              <w:rPr>
                <w:rFonts w:ascii="仿宋" w:hAnsi="仿宋" w:eastAsia="仿宋" w:cs="仿宋"/>
                <w:sz w:val="21"/>
                <w:szCs w:val="21"/>
                <w:highlight w:val="none"/>
              </w:rPr>
            </w:pPr>
            <w:r>
              <w:rPr>
                <w:rFonts w:hint="eastAsia" w:ascii="仿宋" w:hAnsi="仿宋" w:eastAsia="仿宋" w:cs="仿宋"/>
                <w:sz w:val="21"/>
                <w:szCs w:val="21"/>
                <w:highlight w:val="none"/>
              </w:rPr>
              <w:t>4组织实施服务方案不全面、不具体、科学性和合理性较差，针对性较弱，勉强符合采购需求、相关标准及规范要求，得</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p w14:paraId="1CEC932F">
            <w:pPr>
              <w:pStyle w:val="2"/>
              <w:ind w:right="-36" w:rightChars="-15"/>
              <w:rPr>
                <w:rFonts w:ascii="仿宋" w:hAnsi="仿宋" w:eastAsia="仿宋" w:cs="仿宋"/>
                <w:sz w:val="21"/>
                <w:szCs w:val="21"/>
                <w:highlight w:val="none"/>
              </w:rPr>
            </w:pPr>
            <w:r>
              <w:rPr>
                <w:rFonts w:hint="eastAsia" w:ascii="仿宋" w:hAnsi="仿宋" w:eastAsia="仿宋" w:cs="仿宋"/>
                <w:sz w:val="21"/>
                <w:szCs w:val="21"/>
                <w:highlight w:val="none"/>
              </w:rPr>
              <w:t>5.组织实施服务方案内容不全面、不具体、科学性和合理性较差，无针对性，不能完全符合采购需求、相关标准及规范要求，得</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w:t>
            </w:r>
          </w:p>
          <w:p w14:paraId="64B686D7">
            <w:pPr>
              <w:pStyle w:val="2"/>
              <w:ind w:left="0" w:leftChars="0" w:right="-36" w:rightChars="-15"/>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6.未提供组织实施服务方案内容，得0分。</w:t>
            </w:r>
          </w:p>
        </w:tc>
      </w:tr>
      <w:tr w14:paraId="6816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74" w:type="dxa"/>
            <w:vMerge w:val="continue"/>
            <w:tcBorders>
              <w:right w:val="single" w:color="000000" w:sz="4" w:space="0"/>
            </w:tcBorders>
            <w:vAlign w:val="center"/>
          </w:tcPr>
          <w:p w14:paraId="771AAEC8">
            <w:pPr>
              <w:pStyle w:val="2"/>
              <w:spacing w:line="240" w:lineRule="auto"/>
              <w:ind w:right="730" w:rightChars="304"/>
              <w:jc w:val="center"/>
              <w:rPr>
                <w:rFonts w:ascii="仿宋" w:hAnsi="仿宋" w:eastAsia="仿宋" w:cs="仿宋"/>
                <w:sz w:val="21"/>
                <w:szCs w:val="21"/>
                <w:highlight w:val="none"/>
              </w:rPr>
            </w:pPr>
          </w:p>
        </w:tc>
        <w:tc>
          <w:tcPr>
            <w:tcW w:w="994" w:type="dxa"/>
            <w:tcBorders>
              <w:left w:val="single" w:color="000000" w:sz="4" w:space="0"/>
            </w:tcBorders>
            <w:vAlign w:val="center"/>
          </w:tcPr>
          <w:p w14:paraId="726DAFA7">
            <w:pPr>
              <w:pStyle w:val="2"/>
              <w:ind w:left="0" w:leftChars="0" w:right="36" w:rightChars="15"/>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活动策划方案</w:t>
            </w:r>
          </w:p>
        </w:tc>
        <w:tc>
          <w:tcPr>
            <w:tcW w:w="843" w:type="dxa"/>
            <w:vAlign w:val="center"/>
          </w:tcPr>
          <w:p w14:paraId="279EEE1C">
            <w:pPr>
              <w:pStyle w:val="2"/>
              <w:ind w:left="0" w:leftChars="0" w:right="36" w:rightChars="15"/>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c>
          <w:tcPr>
            <w:tcW w:w="5610" w:type="dxa"/>
            <w:vAlign w:val="top"/>
          </w:tcPr>
          <w:p w14:paraId="0922D95A">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对供应商为本项目制定的活动策划方案内容进行综合评审：</w:t>
            </w:r>
          </w:p>
          <w:p w14:paraId="4E3ED1F7">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1.活动策划方案内容全面、具体、科学、合理，针对性强，完全符合采购人实际背景及采购需求，得10分；</w:t>
            </w:r>
          </w:p>
          <w:p w14:paraId="0E9F310A">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2.活动策划方案内容较全面、较具体、较科学、较合理，针对性较强，基本符合采购人实际背景及采购需求，得8分；</w:t>
            </w:r>
          </w:p>
          <w:p w14:paraId="3268432D">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3.活动策划方案较全面、较具体、有一定的科学性和合理性，针对性一般，但能符合采购人实际背景及采购需求得6分；</w:t>
            </w:r>
          </w:p>
          <w:p w14:paraId="5F40F748">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4.活动策划方案不全面、不具体、科学性和合理性较差，针对性较弱，勉强符合采购人实际背景及采购需求得4分；</w:t>
            </w:r>
          </w:p>
          <w:p w14:paraId="3FF34E13">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5.活动策划方案内容不全面、不具体、科学性和合理性较差，无针对性，不能完全符合采购需求、相关标准及规范要求，得2分；</w:t>
            </w:r>
          </w:p>
          <w:p w14:paraId="5B34CA67">
            <w:pPr>
              <w:pStyle w:val="2"/>
              <w:ind w:left="0" w:leftChars="0"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6.未提供活动策划方案内容或活动策划方案少于采购需求中数量要求，得0分。</w:t>
            </w:r>
          </w:p>
        </w:tc>
      </w:tr>
      <w:tr w14:paraId="1239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74" w:type="dxa"/>
            <w:vMerge w:val="continue"/>
            <w:tcBorders>
              <w:right w:val="single" w:color="000000" w:sz="4" w:space="0"/>
            </w:tcBorders>
            <w:vAlign w:val="center"/>
          </w:tcPr>
          <w:p w14:paraId="278677B1">
            <w:pPr>
              <w:pStyle w:val="2"/>
              <w:spacing w:line="240" w:lineRule="auto"/>
              <w:ind w:right="730" w:rightChars="304"/>
              <w:jc w:val="center"/>
              <w:rPr>
                <w:rFonts w:ascii="仿宋" w:hAnsi="仿宋" w:eastAsia="仿宋" w:cs="仿宋"/>
                <w:sz w:val="21"/>
                <w:szCs w:val="21"/>
                <w:highlight w:val="none"/>
              </w:rPr>
            </w:pPr>
          </w:p>
        </w:tc>
        <w:tc>
          <w:tcPr>
            <w:tcW w:w="994" w:type="dxa"/>
            <w:tcBorders>
              <w:left w:val="single" w:color="000000" w:sz="4" w:space="0"/>
            </w:tcBorders>
            <w:vAlign w:val="center"/>
          </w:tcPr>
          <w:p w14:paraId="07B7BEDC">
            <w:pPr>
              <w:pStyle w:val="2"/>
              <w:ind w:left="0" w:leftChars="0" w:right="36" w:rightChars="15"/>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推广运行方案</w:t>
            </w:r>
          </w:p>
        </w:tc>
        <w:tc>
          <w:tcPr>
            <w:tcW w:w="843" w:type="dxa"/>
            <w:vAlign w:val="center"/>
          </w:tcPr>
          <w:p w14:paraId="59FDF77D">
            <w:pPr>
              <w:pStyle w:val="2"/>
              <w:ind w:left="0" w:leftChars="0" w:right="36" w:rightChars="15"/>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5610" w:type="dxa"/>
            <w:vAlign w:val="top"/>
          </w:tcPr>
          <w:p w14:paraId="2C73CED8">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对供应商为本项目制定的推广运行方案内容进行综合评审：</w:t>
            </w:r>
          </w:p>
          <w:p w14:paraId="03A61FC0">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1.推广运行方案内容全面、具体、科学、合理，针对性强，完全符合采购人实际背景及采购需求，得5分；</w:t>
            </w:r>
          </w:p>
          <w:p w14:paraId="486E1491">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2.推广运行方案内容较全面、较具体、较科学、较合理，针对性较强，基本符合采购人实际背景及采购需求，得4分；</w:t>
            </w:r>
          </w:p>
          <w:p w14:paraId="3085C8A9">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3.推广运行方案较全面、较具体、有一定的科学性和合理性，针对性一般，但能符合采购人实际背景及采购需求得3分；</w:t>
            </w:r>
          </w:p>
          <w:p w14:paraId="6D9462B2">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4.推广运行方案不全面、不具体、科学性和合理性较差，针对性较弱，勉强符合采购人实际背景及采购需求得2分；</w:t>
            </w:r>
          </w:p>
          <w:p w14:paraId="67BFDB96">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5.推广运行方案内容不全面、不具体、科学性和合理性较差，无针对性，不能完全符合采购需求、相关标准及规范要求，得1分；</w:t>
            </w:r>
          </w:p>
          <w:p w14:paraId="14183BCA">
            <w:pPr>
              <w:pStyle w:val="2"/>
              <w:ind w:left="0" w:leftChars="0" w:right="36" w:rightChars="15"/>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6.未提供推广运行方案内容，得0分。</w:t>
            </w:r>
          </w:p>
        </w:tc>
      </w:tr>
      <w:tr w14:paraId="3E8A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74" w:type="dxa"/>
            <w:vMerge w:val="continue"/>
            <w:tcBorders>
              <w:right w:val="single" w:color="000000" w:sz="4" w:space="0"/>
            </w:tcBorders>
            <w:vAlign w:val="center"/>
          </w:tcPr>
          <w:p w14:paraId="53A02AA7">
            <w:pPr>
              <w:pStyle w:val="2"/>
              <w:spacing w:line="240" w:lineRule="auto"/>
              <w:ind w:right="730" w:rightChars="304"/>
              <w:jc w:val="center"/>
              <w:rPr>
                <w:rFonts w:ascii="仿宋" w:hAnsi="仿宋" w:eastAsia="仿宋" w:cs="仿宋"/>
                <w:sz w:val="21"/>
                <w:szCs w:val="21"/>
                <w:highlight w:val="none"/>
              </w:rPr>
            </w:pPr>
          </w:p>
        </w:tc>
        <w:tc>
          <w:tcPr>
            <w:tcW w:w="994" w:type="dxa"/>
            <w:tcBorders>
              <w:left w:val="single" w:color="000000" w:sz="4" w:space="0"/>
            </w:tcBorders>
            <w:vAlign w:val="center"/>
          </w:tcPr>
          <w:p w14:paraId="00730359">
            <w:pPr>
              <w:pStyle w:val="2"/>
              <w:ind w:right="36" w:rightChars="15"/>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项目团队人员</w:t>
            </w:r>
          </w:p>
        </w:tc>
        <w:tc>
          <w:tcPr>
            <w:tcW w:w="843" w:type="dxa"/>
            <w:vAlign w:val="center"/>
          </w:tcPr>
          <w:p w14:paraId="5B7D3974">
            <w:pPr>
              <w:pStyle w:val="2"/>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5610" w:type="dxa"/>
            <w:vAlign w:val="top"/>
          </w:tcPr>
          <w:p w14:paraId="3D8A9929">
            <w:pPr>
              <w:pStyle w:val="2"/>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拟投入本项目的团队配置（包括但不限于主要负责人从事相关领域工作的经验及资质证书等，需提供团队成员名单、资历经验证明等相关材料并加盖投标人公章），团队组建完整，管理清晰，具有经验丰富及实施方案根据本项目特征制定了对开展各项工作做出的承诺进行评分。</w:t>
            </w:r>
          </w:p>
          <w:p w14:paraId="344D7CB4">
            <w:pPr>
              <w:pStyle w:val="2"/>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团队配置方案详细，团队组建完整、管理清晰、具有丰富的实施经验及承诺的得4分；</w:t>
            </w:r>
          </w:p>
          <w:p w14:paraId="096533A4">
            <w:pPr>
              <w:pStyle w:val="2"/>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团队配置方案较详细，团队组建较完整、管理较清晰，有实施经验及承诺的得3分；</w:t>
            </w:r>
          </w:p>
          <w:p w14:paraId="70C13048">
            <w:pPr>
              <w:pStyle w:val="2"/>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团队配置方案一般，团队组建不完整、管理较清晰，有较少的实施经验及承诺的得2分</w:t>
            </w:r>
          </w:p>
          <w:p w14:paraId="4B355F1F">
            <w:pPr>
              <w:pStyle w:val="2"/>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团队配置方案差，团队组建不完整，管理不清晰，没有具体的实施经验及承诺的得1分；</w:t>
            </w:r>
          </w:p>
          <w:p w14:paraId="2A1B4700">
            <w:pPr>
              <w:pStyle w:val="2"/>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不满足项目要求或未提供内容的得0分。</w:t>
            </w:r>
          </w:p>
        </w:tc>
      </w:tr>
      <w:tr w14:paraId="4F2E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74" w:type="dxa"/>
            <w:vMerge w:val="continue"/>
            <w:tcBorders>
              <w:right w:val="single" w:color="000000" w:sz="4" w:space="0"/>
            </w:tcBorders>
            <w:vAlign w:val="center"/>
          </w:tcPr>
          <w:p w14:paraId="442B5E2B">
            <w:pPr>
              <w:pStyle w:val="2"/>
              <w:spacing w:line="240" w:lineRule="auto"/>
              <w:ind w:right="730" w:rightChars="304"/>
              <w:jc w:val="center"/>
              <w:rPr>
                <w:rFonts w:ascii="仿宋" w:hAnsi="仿宋" w:eastAsia="仿宋" w:cs="仿宋"/>
                <w:sz w:val="21"/>
                <w:szCs w:val="21"/>
                <w:highlight w:val="none"/>
              </w:rPr>
            </w:pPr>
          </w:p>
        </w:tc>
        <w:tc>
          <w:tcPr>
            <w:tcW w:w="994" w:type="dxa"/>
            <w:tcBorders>
              <w:left w:val="single" w:color="000000" w:sz="4" w:space="0"/>
            </w:tcBorders>
            <w:vAlign w:val="center"/>
          </w:tcPr>
          <w:p w14:paraId="52ACFA75">
            <w:pPr>
              <w:pStyle w:val="2"/>
              <w:ind w:right="-36" w:rightChars="-15"/>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应急预案</w:t>
            </w:r>
          </w:p>
        </w:tc>
        <w:tc>
          <w:tcPr>
            <w:tcW w:w="843" w:type="dxa"/>
            <w:vAlign w:val="center"/>
          </w:tcPr>
          <w:p w14:paraId="0E35A7F4">
            <w:pPr>
              <w:pStyle w:val="2"/>
              <w:ind w:right="-36" w:rightChars="-15"/>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5610" w:type="dxa"/>
            <w:vAlign w:val="top"/>
          </w:tcPr>
          <w:p w14:paraId="75FDA3DA">
            <w:pPr>
              <w:pStyle w:val="2"/>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对供应商针对本项目在实际运行中可能发生的突发事件的考虑以及应对措施的全面性、时效性、可行性等进行综合评审：</w:t>
            </w:r>
          </w:p>
          <w:p w14:paraId="6731F721">
            <w:pPr>
              <w:pStyle w:val="2"/>
              <w:numPr>
                <w:ilvl w:val="0"/>
                <w:numId w:val="13"/>
              </w:numPr>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措施合理全面，时效性强，可执行度高的得 2分；</w:t>
            </w:r>
          </w:p>
          <w:p w14:paraId="1ACE2274">
            <w:pPr>
              <w:pStyle w:val="2"/>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（2）措施合理性、全面性有欠缺、基本可执行、时效性有缺漏的的 1 分； </w:t>
            </w:r>
          </w:p>
          <w:p w14:paraId="1D403039">
            <w:pPr>
              <w:pStyle w:val="2"/>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（3）未提供不得分。</w:t>
            </w:r>
          </w:p>
        </w:tc>
      </w:tr>
    </w:tbl>
    <w:p w14:paraId="78DB682D">
      <w:pPr>
        <w:pStyle w:val="24"/>
        <w:rPr>
          <w:rFonts w:hint="eastAsia" w:ascii="仿宋" w:hAnsi="仿宋" w:eastAsia="仿宋" w:cs="仿宋"/>
          <w:highlight w:val="none"/>
          <w:lang w:val="en-US" w:eastAsia="zh-CN"/>
        </w:rPr>
      </w:pPr>
    </w:p>
    <w:p w14:paraId="7A06F49B">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评审标准中应考虑下列因素：</w:t>
      </w:r>
    </w:p>
    <w:p w14:paraId="67BC3FAC">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
          <w:sz w:val="24"/>
          <w:szCs w:val="24"/>
          <w:highlight w:val="none"/>
          <w:u w:val="single"/>
          <w:lang w:val="en-US" w:eastAsia="zh-CN"/>
        </w:rPr>
        <w:t xml:space="preserve"> 10 % </w:t>
      </w:r>
      <w:r>
        <w:rPr>
          <w:rFonts w:hint="eastAsia" w:ascii="仿宋" w:hAnsi="仿宋" w:eastAsia="仿宋" w:cs="仿宋"/>
          <w:sz w:val="24"/>
          <w:szCs w:val="24"/>
          <w:highlight w:val="none"/>
          <w:lang w:val="en-US" w:eastAsia="zh-CN"/>
        </w:rPr>
        <w:t>后参与评审。对于同时属于小微企业、监狱企业或残疾人福利性单位的，不重复进行最后报价扣除。</w:t>
      </w:r>
    </w:p>
    <w:p w14:paraId="0A96D96B">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sz w:val="24"/>
          <w:szCs w:val="24"/>
          <w:highlight w:val="none"/>
          <w:u w:val="single"/>
          <w:lang w:val="en-US" w:eastAsia="zh-CN"/>
        </w:rPr>
        <w:t xml:space="preserve"> 30 %</w:t>
      </w:r>
      <w:r>
        <w:rPr>
          <w:rFonts w:hint="eastAsia" w:ascii="仿宋" w:hAnsi="仿宋" w:eastAsia="仿宋" w:cs="仿宋"/>
          <w:sz w:val="24"/>
          <w:szCs w:val="24"/>
          <w:highlight w:val="none"/>
          <w:lang w:val="en-US" w:eastAsia="zh-CN"/>
        </w:rPr>
        <w:t>以上的联合体或者大中型企业的报价给予</w:t>
      </w:r>
      <w:r>
        <w:rPr>
          <w:rFonts w:hint="eastAsia" w:ascii="仿宋" w:hAnsi="仿宋" w:eastAsia="仿宋" w:cs="仿宋"/>
          <w:sz w:val="24"/>
          <w:szCs w:val="24"/>
          <w:highlight w:val="none"/>
          <w:u w:val="single"/>
          <w:lang w:val="en-US" w:eastAsia="zh-CN"/>
        </w:rPr>
        <w:t xml:space="preserve"> 4% </w:t>
      </w:r>
      <w:r>
        <w:rPr>
          <w:rFonts w:hint="eastAsia" w:ascii="仿宋" w:hAnsi="仿宋" w:eastAsia="仿宋" w:cs="仿宋"/>
          <w:sz w:val="24"/>
          <w:szCs w:val="24"/>
          <w:highlight w:val="none"/>
          <w:lang w:val="en-US" w:eastAsia="zh-CN"/>
        </w:rPr>
        <w:t>的扣除，用扣除后的价格参加评审。</w:t>
      </w:r>
    </w:p>
    <w:p w14:paraId="03389D0C">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组成联合体或者接受分包的小微企业与联合体内其他企业、分包企业之间存在直接控股、管理关系的，不享受价格扣除优惠政策。</w:t>
      </w:r>
    </w:p>
    <w:p w14:paraId="65134BE8">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价格扣除比例对小型企业和微型企业同等对待，不作区分。</w:t>
      </w:r>
    </w:p>
    <w:p w14:paraId="68A4354C">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6B58CD7E">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供应商所投产品列入无线局域网产品清单，应提供相关证明，在评标时予以优先采购，具体优惠措施为：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47F821F3">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2114AA8B">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sz w:val="24"/>
          <w:szCs w:val="24"/>
          <w:highlight w:val="none"/>
          <w:u w:val="single"/>
          <w:lang w:val="en-US" w:eastAsia="zh-CN"/>
        </w:rPr>
        <w:t xml:space="preserve">  综合得分相同时排名优先。</w:t>
      </w:r>
    </w:p>
    <w:p w14:paraId="2107800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同品牌同型号处理办法：</w:t>
      </w:r>
    </w:p>
    <w:p w14:paraId="513869F2">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45C81A5E">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如一个分包内包含多种产品的，采购人或采购代理机构将在</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 xml:space="preserve">中载明核心产品，多家供应商提供的所有核心产品品牌型号均相同的，按前款规定处理。 </w:t>
      </w:r>
    </w:p>
    <w:p w14:paraId="54B49620">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确定中标候选人名单</w:t>
      </w:r>
    </w:p>
    <w:p w14:paraId="60AC1DF0">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7A72CE3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磋商小组要对评分汇总情况进行复核，特别是对排名第一的、报价最低的、响应文件被认定为无效的情形进行重点复核。</w:t>
      </w:r>
    </w:p>
    <w:p w14:paraId="03319A5A">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14B70B94">
      <w:pPr>
        <w:rPr>
          <w:rFonts w:hint="eastAsia" w:ascii="仿宋_GB2312" w:hAnsi="仿宋_GB2312" w:eastAsia="仿宋_GB2312" w:cs="仿宋_GB2312"/>
          <w:sz w:val="24"/>
          <w:szCs w:val="24"/>
          <w:highlight w:val="none"/>
          <w:lang w:val="en-US" w:eastAsia="zh-CN"/>
        </w:rPr>
      </w:pPr>
    </w:p>
    <w:p w14:paraId="1794F976">
      <w:pPr>
        <w:pStyle w:val="27"/>
        <w:rPr>
          <w:rFonts w:hint="eastAsia" w:ascii="仿宋_GB2312" w:hAnsi="仿宋_GB2312" w:eastAsia="仿宋_GB2312" w:cs="仿宋_GB2312"/>
          <w:sz w:val="24"/>
          <w:szCs w:val="24"/>
          <w:highlight w:val="none"/>
          <w:lang w:val="en-US" w:eastAsia="zh-CN"/>
        </w:rPr>
      </w:pPr>
    </w:p>
    <w:p w14:paraId="355B76FD">
      <w:pPr>
        <w:rPr>
          <w:rFonts w:hint="eastAsia"/>
          <w:highlight w:val="none"/>
          <w:lang w:val="en-US" w:eastAsia="zh-CN"/>
        </w:rPr>
      </w:pPr>
      <w:r>
        <w:rPr>
          <w:rFonts w:hint="eastAsia"/>
          <w:highlight w:val="none"/>
          <w:lang w:val="en-US" w:eastAsia="zh-CN"/>
        </w:rPr>
        <w:br w:type="page"/>
      </w:r>
    </w:p>
    <w:p w14:paraId="5CD1327E">
      <w:pPr>
        <w:pStyle w:val="27"/>
        <w:numPr>
          <w:ilvl w:val="0"/>
          <w:numId w:val="4"/>
        </w:numPr>
        <w:bidi w:val="0"/>
        <w:jc w:val="center"/>
        <w:outlineLvl w:val="0"/>
        <w:rPr>
          <w:rFonts w:hint="eastAsia" w:ascii="仿宋" w:hAnsi="仿宋" w:eastAsia="仿宋" w:cs="仿宋"/>
          <w:b/>
          <w:bCs/>
          <w:sz w:val="32"/>
          <w:szCs w:val="32"/>
          <w:highlight w:val="none"/>
          <w:lang w:val="en-US" w:eastAsia="zh-CN"/>
        </w:rPr>
      </w:pPr>
      <w:bookmarkStart w:id="29" w:name="_Toc8139"/>
      <w:r>
        <w:rPr>
          <w:rFonts w:hint="eastAsia" w:ascii="仿宋" w:hAnsi="仿宋" w:eastAsia="仿宋" w:cs="仿宋"/>
          <w:b/>
          <w:bCs/>
          <w:sz w:val="32"/>
          <w:szCs w:val="32"/>
          <w:highlight w:val="none"/>
          <w:lang w:val="en-US" w:eastAsia="zh-CN"/>
        </w:rPr>
        <w:t>响应文件格式</w:t>
      </w:r>
      <w:bookmarkEnd w:id="29"/>
    </w:p>
    <w:p w14:paraId="2134ED2C">
      <w:pPr>
        <w:pStyle w:val="27"/>
        <w:rPr>
          <w:rFonts w:hint="eastAsia" w:ascii="仿宋" w:hAnsi="仿宋" w:eastAsia="仿宋" w:cs="仿宋"/>
          <w:highlight w:val="none"/>
          <w:lang w:val="en-US" w:eastAsia="zh-CN"/>
        </w:rPr>
      </w:pPr>
    </w:p>
    <w:p w14:paraId="635D9911">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供应商编制文件须知</w:t>
      </w:r>
    </w:p>
    <w:p w14:paraId="5CAE5659">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1.为保证评标工作的顺利进行，各供应商需参照如下的格式，认真进行响应文件的编写工作。需建立详细的目录。</w:t>
      </w:r>
    </w:p>
    <w:p w14:paraId="7F0483B6">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2.各供应商提交文件中涉及商业机密的，应明确标明，采购人及最终用户将给予保密处理，否则视为公开资料。</w:t>
      </w:r>
    </w:p>
    <w:p w14:paraId="73A5DD8A">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BD3CECB">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4.“法定代表人（单位负责人）”指供应商营业执照或登记证书载明的“法定代表人”、“负责人”、“执行事务合伙人”、“投资人”等。</w:t>
      </w:r>
    </w:p>
    <w:p w14:paraId="191FE7B9">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5.全部声明和问题的回答及所附材料必须是真实的、准确的和完整的。</w:t>
      </w:r>
    </w:p>
    <w:p w14:paraId="0FA32132">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6.以联合体参加的，除采购文件格式中要求外，采购文件要求的供应商盖章处应按加盖联合体协议中约定的联合体牵头人公章或所有联合体成员公章。</w:t>
      </w:r>
    </w:p>
    <w:p w14:paraId="785943B7">
      <w:pPr>
        <w:rPr>
          <w:rFonts w:hint="eastAsia" w:ascii="仿宋" w:hAnsi="仿宋" w:eastAsia="仿宋" w:cs="仿宋"/>
          <w:highlight w:val="none"/>
          <w:lang w:val="en-US" w:eastAsia="zh-CN"/>
        </w:rPr>
      </w:pPr>
    </w:p>
    <w:p w14:paraId="3BE00BA3">
      <w:pPr>
        <w:pStyle w:val="27"/>
        <w:rPr>
          <w:rFonts w:hint="eastAsia" w:ascii="仿宋" w:hAnsi="仿宋" w:eastAsia="仿宋" w:cs="仿宋"/>
          <w:highlight w:val="none"/>
          <w:lang w:val="en-US" w:eastAsia="zh-CN"/>
        </w:rPr>
      </w:pPr>
    </w:p>
    <w:p w14:paraId="56DCDB95">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8834D1C">
      <w:pPr>
        <w:keepNext w:val="0"/>
        <w:keepLines w:val="0"/>
        <w:widowControl/>
        <w:suppressLineNumbers w:val="0"/>
        <w:jc w:val="left"/>
        <w:outlineLvl w:val="1"/>
        <w:rPr>
          <w:rFonts w:hint="eastAsia" w:ascii="仿宋" w:hAnsi="仿宋" w:eastAsia="仿宋" w:cs="仿宋"/>
          <w:b/>
          <w:bCs/>
          <w:color w:val="000000"/>
          <w:kern w:val="0"/>
          <w:sz w:val="24"/>
          <w:szCs w:val="24"/>
          <w:highlight w:val="none"/>
          <w:lang w:val="en-US" w:eastAsia="zh-CN" w:bidi="ar"/>
        </w:rPr>
      </w:pPr>
      <w:bookmarkStart w:id="30" w:name="_Toc24875"/>
      <w:bookmarkStart w:id="31" w:name="_Toc14175"/>
      <w:r>
        <w:rPr>
          <w:rFonts w:hint="eastAsia" w:ascii="仿宋" w:hAnsi="仿宋" w:eastAsia="仿宋" w:cs="仿宋"/>
          <w:b/>
          <w:bCs/>
          <w:color w:val="000000"/>
          <w:kern w:val="0"/>
          <w:sz w:val="24"/>
          <w:szCs w:val="24"/>
          <w:highlight w:val="none"/>
          <w:lang w:val="en-US" w:eastAsia="zh-CN" w:bidi="ar"/>
        </w:rPr>
        <w:t>投标文件封面（参考格式）</w:t>
      </w:r>
      <w:bookmarkEnd w:id="30"/>
      <w:bookmarkEnd w:id="31"/>
    </w:p>
    <w:p w14:paraId="15EDC4D1">
      <w:pPr>
        <w:keepNext w:val="0"/>
        <w:keepLines w:val="0"/>
        <w:widowControl/>
        <w:suppressLineNumbers w:val="0"/>
        <w:jc w:val="left"/>
        <w:rPr>
          <w:rFonts w:hint="eastAsia" w:ascii="仿宋" w:hAnsi="仿宋" w:eastAsia="仿宋" w:cs="仿宋"/>
          <w:b/>
          <w:bCs/>
          <w:color w:val="000000"/>
          <w:kern w:val="0"/>
          <w:sz w:val="84"/>
          <w:szCs w:val="84"/>
          <w:highlight w:val="none"/>
          <w:lang w:val="en-US" w:eastAsia="zh-CN" w:bidi="ar"/>
        </w:rPr>
      </w:pPr>
    </w:p>
    <w:p w14:paraId="4EC9A8F9">
      <w:pPr>
        <w:pStyle w:val="28"/>
        <w:rPr>
          <w:rFonts w:hint="eastAsia" w:ascii="仿宋" w:hAnsi="仿宋" w:eastAsia="仿宋" w:cs="仿宋"/>
          <w:highlight w:val="none"/>
          <w:lang w:val="en-US" w:eastAsia="zh-CN"/>
        </w:rPr>
      </w:pPr>
    </w:p>
    <w:p w14:paraId="64E02C75">
      <w:pPr>
        <w:keepNext w:val="0"/>
        <w:keepLines w:val="0"/>
        <w:widowControl/>
        <w:suppressLineNumbers w:val="0"/>
        <w:jc w:val="center"/>
        <w:rPr>
          <w:rFonts w:hint="eastAsia" w:ascii="仿宋" w:hAnsi="仿宋" w:eastAsia="仿宋" w:cs="仿宋"/>
          <w:highlight w:val="none"/>
        </w:rPr>
      </w:pPr>
      <w:r>
        <w:rPr>
          <w:rFonts w:hint="eastAsia" w:ascii="仿宋" w:hAnsi="仿宋" w:eastAsia="仿宋" w:cs="仿宋"/>
          <w:b/>
          <w:bCs/>
          <w:color w:val="000000"/>
          <w:kern w:val="0"/>
          <w:sz w:val="84"/>
          <w:szCs w:val="84"/>
          <w:highlight w:val="none"/>
          <w:lang w:val="en-US" w:eastAsia="zh-CN" w:bidi="ar"/>
        </w:rPr>
        <w:t>响应文件</w:t>
      </w:r>
    </w:p>
    <w:p w14:paraId="4175DDA5">
      <w:pPr>
        <w:keepNext w:val="0"/>
        <w:keepLines w:val="0"/>
        <w:widowControl/>
        <w:suppressLineNumbers w:val="0"/>
        <w:jc w:val="left"/>
        <w:rPr>
          <w:rFonts w:hint="eastAsia" w:ascii="仿宋" w:hAnsi="仿宋" w:eastAsia="仿宋" w:cs="仿宋"/>
          <w:b/>
          <w:bCs/>
          <w:color w:val="000000"/>
          <w:kern w:val="0"/>
          <w:sz w:val="52"/>
          <w:szCs w:val="52"/>
          <w:highlight w:val="none"/>
          <w:lang w:val="en-US" w:eastAsia="zh-CN" w:bidi="ar"/>
        </w:rPr>
      </w:pPr>
    </w:p>
    <w:p w14:paraId="00409DB4">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52"/>
          <w:szCs w:val="52"/>
          <w:highlight w:val="none"/>
          <w:lang w:val="en-US" w:eastAsia="zh-CN" w:bidi="ar"/>
        </w:rPr>
        <w:t xml:space="preserve"> </w:t>
      </w:r>
    </w:p>
    <w:p w14:paraId="15455444">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70FF4B8B">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6D08A90E">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768EA4A9">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 xml:space="preserve">项目名称: </w:t>
      </w:r>
    </w:p>
    <w:p w14:paraId="3EC8D2A2">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 xml:space="preserve">项目编号/包号： </w:t>
      </w:r>
    </w:p>
    <w:p w14:paraId="77C1FD8D">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12138103">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41DE6F55">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5877D05A">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供应商名称（盖公章）：</w:t>
      </w:r>
    </w:p>
    <w:p w14:paraId="642806EE">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法定代表人或其授权代表（签字或印鉴）：</w:t>
      </w:r>
    </w:p>
    <w:p w14:paraId="28DB82B4">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6BD4C33C">
      <w:pPr>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br w:type="page"/>
      </w:r>
    </w:p>
    <w:p w14:paraId="47A1260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   满足《中华人民共和国政府采购法》第二十二条规定及法律法规的其他规定 </w:t>
      </w:r>
    </w:p>
    <w:p w14:paraId="46EE3B6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p>
    <w:p w14:paraId="1A4A6F3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附件 1-1 法人或者其他组织的营业执照等证明文件或自然人的身份证明复印件;</w:t>
      </w:r>
    </w:p>
    <w:p w14:paraId="7078D980">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06E80973">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30C59D7C">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AE8E3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 xml:space="preserve">附件 </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2</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具有良好的商业信誉和健全的财务会计制度的证明文件</w:t>
      </w:r>
    </w:p>
    <w:p w14:paraId="2059A7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0092855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2" w:name="_Toc17403"/>
      <w:bookmarkStart w:id="33" w:name="_Toc29059"/>
      <w:r>
        <w:rPr>
          <w:rFonts w:hint="eastAsia" w:ascii="仿宋" w:hAnsi="仿宋" w:eastAsia="仿宋" w:cs="仿宋"/>
          <w:color w:val="000000"/>
          <w:kern w:val="0"/>
          <w:sz w:val="24"/>
          <w:highlight w:val="none"/>
          <w:u w:val="none"/>
          <w:lang w:bidi="ar"/>
        </w:rPr>
        <w:t>1、复印件并加盖本单位公章</w:t>
      </w:r>
      <w:bookmarkEnd w:id="32"/>
      <w:bookmarkEnd w:id="33"/>
    </w:p>
    <w:p w14:paraId="421B87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2、若提供的是复印件，采购人、采购代理机构保留审核原件的权利。</w:t>
      </w:r>
    </w:p>
    <w:p w14:paraId="5C073B1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4" w:name="_Toc4372"/>
      <w:bookmarkStart w:id="35" w:name="_Toc14987"/>
      <w:r>
        <w:rPr>
          <w:rFonts w:hint="eastAsia" w:ascii="仿宋" w:hAnsi="仿宋" w:eastAsia="仿宋" w:cs="仿宋"/>
          <w:color w:val="000000"/>
          <w:kern w:val="0"/>
          <w:sz w:val="24"/>
          <w:highlight w:val="none"/>
          <w:u w:val="none"/>
          <w:lang w:bidi="ar"/>
        </w:rPr>
        <w:t>3、如果是联合体</w:t>
      </w:r>
      <w:r>
        <w:rPr>
          <w:rFonts w:hint="eastAsia" w:ascii="仿宋" w:hAnsi="仿宋" w:eastAsia="仿宋" w:cs="仿宋"/>
          <w:color w:val="000000"/>
          <w:kern w:val="0"/>
          <w:sz w:val="24"/>
          <w:highlight w:val="none"/>
          <w:u w:val="none"/>
          <w:lang w:val="en-US" w:eastAsia="zh-CN" w:bidi="ar"/>
        </w:rPr>
        <w:t>响应</w:t>
      </w:r>
      <w:r>
        <w:rPr>
          <w:rFonts w:hint="eastAsia" w:ascii="仿宋" w:hAnsi="仿宋" w:eastAsia="仿宋" w:cs="仿宋"/>
          <w:color w:val="000000"/>
          <w:kern w:val="0"/>
          <w:sz w:val="24"/>
          <w:highlight w:val="none"/>
          <w:u w:val="none"/>
          <w:lang w:bidi="ar"/>
        </w:rPr>
        <w:t>，联合体各方均需提供上述证明。</w:t>
      </w:r>
      <w:bookmarkEnd w:id="34"/>
      <w:bookmarkEnd w:id="35"/>
    </w:p>
    <w:p w14:paraId="4040B8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64D25ED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3CE2DF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3</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val="en-US" w:eastAsia="zh-CN"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缴纳税收的证明</w:t>
      </w:r>
    </w:p>
    <w:p w14:paraId="67EB29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2BDF5A9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6" w:name="_Toc7925"/>
      <w:bookmarkStart w:id="37" w:name="_Toc18995"/>
      <w:r>
        <w:rPr>
          <w:rFonts w:hint="eastAsia" w:ascii="仿宋" w:hAnsi="仿宋" w:eastAsia="仿宋" w:cs="仿宋"/>
          <w:color w:val="000000"/>
          <w:kern w:val="0"/>
          <w:sz w:val="24"/>
          <w:highlight w:val="none"/>
          <w:u w:val="none"/>
          <w:lang w:bidi="ar"/>
        </w:rPr>
        <w:t>1、复印件并加盖本单位公章</w:t>
      </w:r>
      <w:bookmarkEnd w:id="36"/>
      <w:bookmarkEnd w:id="37"/>
    </w:p>
    <w:p w14:paraId="7308B2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2、若提供的是复印件，采购人、采购代理机构保留审核原件的权利。</w:t>
      </w:r>
    </w:p>
    <w:p w14:paraId="291A7DF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8" w:name="_Toc4614"/>
      <w:bookmarkStart w:id="39" w:name="_Toc27172"/>
      <w:r>
        <w:rPr>
          <w:rFonts w:hint="eastAsia" w:ascii="仿宋" w:hAnsi="仿宋" w:eastAsia="仿宋" w:cs="仿宋"/>
          <w:color w:val="000000"/>
          <w:kern w:val="0"/>
          <w:sz w:val="24"/>
          <w:highlight w:val="none"/>
          <w:u w:val="none"/>
          <w:lang w:bidi="ar"/>
        </w:rPr>
        <w:t>3、如果是联合体</w:t>
      </w:r>
      <w:r>
        <w:rPr>
          <w:rFonts w:hint="eastAsia" w:ascii="仿宋" w:hAnsi="仿宋" w:eastAsia="仿宋" w:cs="仿宋"/>
          <w:color w:val="000000"/>
          <w:kern w:val="0"/>
          <w:sz w:val="24"/>
          <w:highlight w:val="none"/>
          <w:u w:val="none"/>
          <w:lang w:val="en-US" w:eastAsia="zh-CN" w:bidi="ar"/>
        </w:rPr>
        <w:t>响应</w:t>
      </w:r>
      <w:r>
        <w:rPr>
          <w:rFonts w:hint="eastAsia" w:ascii="仿宋" w:hAnsi="仿宋" w:eastAsia="仿宋" w:cs="仿宋"/>
          <w:color w:val="000000"/>
          <w:kern w:val="0"/>
          <w:sz w:val="24"/>
          <w:highlight w:val="none"/>
          <w:u w:val="none"/>
          <w:lang w:bidi="ar"/>
        </w:rPr>
        <w:t>，联合体各方均需提供上述证明。</w:t>
      </w:r>
      <w:r>
        <w:rPr>
          <w:rFonts w:hint="eastAsia" w:ascii="仿宋" w:hAnsi="仿宋" w:eastAsia="仿宋" w:cs="仿宋"/>
          <w:color w:val="000000"/>
          <w:kern w:val="0"/>
          <w:sz w:val="24"/>
          <w:highlight w:val="none"/>
          <w:u w:val="none"/>
          <w:lang w:bidi="ar"/>
        </w:rPr>
        <w:br w:type="page"/>
      </w:r>
      <w:bookmarkEnd w:id="38"/>
      <w:bookmarkEnd w:id="39"/>
    </w:p>
    <w:p w14:paraId="4990C4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4</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val="en-US" w:eastAsia="zh-CN"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为职工缴纳社会保险的证明</w:t>
      </w:r>
    </w:p>
    <w:p w14:paraId="5586A9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7AE1002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40" w:name="_Toc9131"/>
      <w:bookmarkStart w:id="41" w:name="_Toc14978"/>
      <w:r>
        <w:rPr>
          <w:rFonts w:hint="eastAsia" w:ascii="仿宋" w:hAnsi="仿宋" w:eastAsia="仿宋" w:cs="仿宋"/>
          <w:color w:val="000000"/>
          <w:kern w:val="0"/>
          <w:sz w:val="24"/>
          <w:highlight w:val="none"/>
          <w:u w:val="none"/>
          <w:lang w:bidi="ar"/>
        </w:rPr>
        <w:t>1、复印件并加盖本单位公章</w:t>
      </w:r>
      <w:bookmarkEnd w:id="40"/>
      <w:bookmarkEnd w:id="41"/>
    </w:p>
    <w:p w14:paraId="3B34B3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2、若提供的是复印件，采购人、采购代理机构保留审核原件的权利。</w:t>
      </w:r>
    </w:p>
    <w:p w14:paraId="5E3AE7B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42" w:name="_Toc11092"/>
      <w:bookmarkStart w:id="43" w:name="_Toc8733"/>
      <w:r>
        <w:rPr>
          <w:rFonts w:hint="eastAsia" w:ascii="仿宋" w:hAnsi="仿宋" w:eastAsia="仿宋" w:cs="仿宋"/>
          <w:color w:val="000000"/>
          <w:kern w:val="0"/>
          <w:sz w:val="24"/>
          <w:highlight w:val="none"/>
          <w:u w:val="none"/>
          <w:lang w:bidi="ar"/>
        </w:rPr>
        <w:t>3、如果是联合体</w:t>
      </w:r>
      <w:r>
        <w:rPr>
          <w:rFonts w:hint="eastAsia" w:ascii="仿宋" w:hAnsi="仿宋" w:eastAsia="仿宋" w:cs="仿宋"/>
          <w:color w:val="000000"/>
          <w:kern w:val="0"/>
          <w:sz w:val="24"/>
          <w:highlight w:val="none"/>
          <w:u w:val="none"/>
          <w:lang w:val="en-US" w:eastAsia="zh-CN" w:bidi="ar"/>
        </w:rPr>
        <w:t>响应</w:t>
      </w:r>
      <w:r>
        <w:rPr>
          <w:rFonts w:hint="eastAsia" w:ascii="仿宋" w:hAnsi="仿宋" w:eastAsia="仿宋" w:cs="仿宋"/>
          <w:color w:val="000000"/>
          <w:kern w:val="0"/>
          <w:sz w:val="24"/>
          <w:highlight w:val="none"/>
          <w:u w:val="none"/>
          <w:lang w:bidi="ar"/>
        </w:rPr>
        <w:t>，联合体各方均需提供上述证明。</w:t>
      </w:r>
      <w:bookmarkEnd w:id="42"/>
      <w:bookmarkEnd w:id="43"/>
    </w:p>
    <w:p w14:paraId="102F73C3">
      <w:pPr>
        <w:rPr>
          <w:rFonts w:hint="eastAsia" w:ascii="仿宋" w:hAnsi="仿宋" w:eastAsia="仿宋" w:cs="仿宋"/>
          <w:color w:val="000000"/>
          <w:kern w:val="0"/>
          <w:sz w:val="24"/>
          <w:highlight w:val="none"/>
          <w:u w:val="none"/>
          <w:lang w:bidi="ar"/>
        </w:rPr>
      </w:pPr>
    </w:p>
    <w:p w14:paraId="01183F66">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3E8BC375">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 xml:space="preserve">附件 </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5</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资格声明书</w:t>
      </w:r>
    </w:p>
    <w:p w14:paraId="563A0DB6">
      <w:pPr>
        <w:rPr>
          <w:rFonts w:hint="eastAsia" w:ascii="仿宋" w:hAnsi="仿宋" w:eastAsia="仿宋" w:cs="仿宋"/>
          <w:color w:val="000000"/>
          <w:kern w:val="0"/>
          <w:sz w:val="24"/>
          <w:highlight w:val="none"/>
          <w:u w:val="none"/>
          <w:lang w:bidi="ar"/>
        </w:rPr>
      </w:pPr>
    </w:p>
    <w:p w14:paraId="0F4098BE">
      <w:pPr>
        <w:keepNext w:val="0"/>
        <w:keepLines w:val="0"/>
        <w:widowControl/>
        <w:suppressLineNumbers w:val="0"/>
        <w:jc w:val="center"/>
        <w:rPr>
          <w:rFonts w:hint="eastAsia" w:ascii="仿宋" w:hAnsi="仿宋" w:eastAsia="仿宋" w:cs="仿宋"/>
          <w:b w:val="0"/>
          <w:bCs w:val="0"/>
          <w:sz w:val="32"/>
          <w:szCs w:val="32"/>
          <w:highlight w:val="none"/>
        </w:rPr>
      </w:pPr>
      <w:r>
        <w:rPr>
          <w:rFonts w:hint="eastAsia" w:ascii="仿宋" w:hAnsi="仿宋" w:eastAsia="仿宋" w:cs="仿宋"/>
          <w:b w:val="0"/>
          <w:bCs w:val="0"/>
          <w:color w:val="000000"/>
          <w:kern w:val="0"/>
          <w:sz w:val="32"/>
          <w:szCs w:val="32"/>
          <w:highlight w:val="none"/>
          <w:lang w:val="en-US" w:eastAsia="zh-CN" w:bidi="ar"/>
        </w:rPr>
        <w:t>供应商资格声明书</w:t>
      </w:r>
    </w:p>
    <w:p w14:paraId="25F125FA">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5444DD2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 xml:space="preserve">采购人或采购代理机构 </w:t>
      </w:r>
    </w:p>
    <w:p w14:paraId="1063C94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在参与本次项目采购活动中，我单位承诺： </w:t>
      </w:r>
    </w:p>
    <w:p w14:paraId="78C380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（一）具有良好的商业信誉和健全的财务会计制度； </w:t>
      </w:r>
    </w:p>
    <w:p w14:paraId="0A66CD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（二）具有履行合同所必需的设备和专业技术能力； </w:t>
      </w:r>
    </w:p>
    <w:p w14:paraId="06B1E28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（三）有依法缴纳税收和社会保障资金的良好记录； </w:t>
      </w:r>
    </w:p>
    <w:p w14:paraId="147E61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26A85C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3D7B80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798F6E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3782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C750314">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序号</w:t>
            </w:r>
          </w:p>
        </w:tc>
        <w:tc>
          <w:tcPr>
            <w:tcW w:w="3798" w:type="dxa"/>
            <w:vAlign w:val="center"/>
          </w:tcPr>
          <w:p w14:paraId="690D934D">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单位名称</w:t>
            </w:r>
          </w:p>
        </w:tc>
        <w:tc>
          <w:tcPr>
            <w:tcW w:w="3406" w:type="dxa"/>
            <w:vAlign w:val="center"/>
          </w:tcPr>
          <w:p w14:paraId="60D7BABD">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相互关系</w:t>
            </w:r>
          </w:p>
        </w:tc>
      </w:tr>
      <w:tr w14:paraId="4A09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D985745">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1</w:t>
            </w:r>
          </w:p>
        </w:tc>
        <w:tc>
          <w:tcPr>
            <w:tcW w:w="3798" w:type="dxa"/>
          </w:tcPr>
          <w:p w14:paraId="65D6D0CF">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c>
          <w:tcPr>
            <w:tcW w:w="3406" w:type="dxa"/>
          </w:tcPr>
          <w:p w14:paraId="5CC06D3D">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r>
      <w:tr w14:paraId="583F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CE669A2">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2</w:t>
            </w:r>
          </w:p>
        </w:tc>
        <w:tc>
          <w:tcPr>
            <w:tcW w:w="3798" w:type="dxa"/>
          </w:tcPr>
          <w:p w14:paraId="2DA39746">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c>
          <w:tcPr>
            <w:tcW w:w="3406" w:type="dxa"/>
          </w:tcPr>
          <w:p w14:paraId="1F7BB68B">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r>
      <w:tr w14:paraId="2901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01620B08">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w:t>
            </w:r>
          </w:p>
        </w:tc>
        <w:tc>
          <w:tcPr>
            <w:tcW w:w="3798" w:type="dxa"/>
          </w:tcPr>
          <w:p w14:paraId="5B94053E">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c>
          <w:tcPr>
            <w:tcW w:w="3406" w:type="dxa"/>
          </w:tcPr>
          <w:p w14:paraId="6945F882">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r>
    </w:tbl>
    <w:p w14:paraId="04227F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上述声明真实有效，否则我方负全部责任。 </w:t>
      </w:r>
    </w:p>
    <w:p w14:paraId="492023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2C4987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536E66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供应商名称：  </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u w:val="single"/>
          <w:lang w:val="en-US" w:eastAsia="zh-CN" w:bidi="ar"/>
        </w:rPr>
        <w:t>（加盖公章）</w:t>
      </w:r>
    </w:p>
    <w:p w14:paraId="52D5B08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法定代表人或其授权代理人：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u w:val="single"/>
          <w:lang w:val="en-US" w:eastAsia="zh-CN" w:bidi="ar"/>
        </w:rPr>
        <w:tab/>
      </w:r>
      <w:r>
        <w:rPr>
          <w:rFonts w:hint="eastAsia" w:ascii="仿宋" w:hAnsi="仿宋" w:eastAsia="仿宋" w:cs="仿宋"/>
          <w:color w:val="000000"/>
          <w:kern w:val="0"/>
          <w:sz w:val="24"/>
          <w:szCs w:val="24"/>
          <w:highlight w:val="none"/>
          <w:u w:val="single"/>
          <w:lang w:val="en-US" w:eastAsia="zh-CN" w:bidi="ar"/>
        </w:rPr>
        <w:t>（签字或印鉴）</w:t>
      </w:r>
      <w:r>
        <w:rPr>
          <w:rFonts w:hint="eastAsia" w:ascii="仿宋" w:hAnsi="仿宋" w:eastAsia="仿宋" w:cs="仿宋"/>
          <w:color w:val="000000"/>
          <w:kern w:val="0"/>
          <w:sz w:val="24"/>
          <w:szCs w:val="24"/>
          <w:highlight w:val="none"/>
          <w:lang w:val="en-US" w:eastAsia="zh-CN" w:bidi="ar"/>
        </w:rPr>
        <w:tab/>
      </w:r>
    </w:p>
    <w:p w14:paraId="65E2B8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6F283F8B">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71D6B0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0689A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（2）本条所指单位负责人为同一人指单位法定代表人或者法律、行政法规规定代表单位行使职权的主要负责人。</w:t>
      </w:r>
    </w:p>
    <w:p w14:paraId="07B626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（3）本条所指控股关系指单位或股东的控股关系。控股股东指:</w:t>
      </w:r>
    </w:p>
    <w:p w14:paraId="53E016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142248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09A5D99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（4）本条所指管理关系指不具有出资持股关系的其他单位之间存在的管理与被管理关系。</w:t>
      </w:r>
    </w:p>
    <w:p w14:paraId="4F7A32D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（5）本条所指的控股、管理关系仅限于直接控股、直接管理关系，不包括间接控股或管理关系。</w:t>
      </w:r>
    </w:p>
    <w:p w14:paraId="78DF68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（6）如无相关情况，请在相应栏填写“无”。</w:t>
      </w:r>
    </w:p>
    <w:p w14:paraId="2D6DD1BB">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18DD1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4" w:name="_Toc21978"/>
      <w:bookmarkStart w:id="45" w:name="_Toc14014"/>
      <w:r>
        <w:rPr>
          <w:rFonts w:hint="eastAsia" w:ascii="仿宋" w:hAnsi="仿宋" w:eastAsia="仿宋" w:cs="仿宋"/>
          <w:color w:val="000000"/>
          <w:kern w:val="0"/>
          <w:sz w:val="24"/>
          <w:szCs w:val="24"/>
          <w:highlight w:val="none"/>
          <w:lang w:val="en-US" w:eastAsia="zh-CN" w:bidi="ar"/>
        </w:rPr>
        <w:t>2 落实政府采购政策需满足的资格要求（如有）</w:t>
      </w:r>
      <w:bookmarkEnd w:id="44"/>
      <w:bookmarkEnd w:id="45"/>
      <w:r>
        <w:rPr>
          <w:rFonts w:hint="eastAsia" w:ascii="仿宋" w:hAnsi="仿宋" w:eastAsia="仿宋" w:cs="仿宋"/>
          <w:color w:val="000000"/>
          <w:kern w:val="0"/>
          <w:sz w:val="24"/>
          <w:szCs w:val="24"/>
          <w:highlight w:val="none"/>
          <w:lang w:val="en-US" w:eastAsia="zh-CN" w:bidi="ar"/>
        </w:rPr>
        <w:t xml:space="preserve"> </w:t>
      </w:r>
    </w:p>
    <w:p w14:paraId="06CFF3C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2-1 中小企业声明函 </w:t>
      </w:r>
    </w:p>
    <w:p w14:paraId="6F3E8944">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说明： </w:t>
      </w:r>
    </w:p>
    <w:p w14:paraId="613F32B8">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（1）如本项目（包）不专门面向中小企业预留采购份额，资格证明文件部分无需提供《中小企业声明函》。 </w:t>
      </w:r>
    </w:p>
    <w:p w14:paraId="2761214F">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AD0484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2E44FCD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级以上监狱管理局、戒毒管理局（含新疆生产建设兵团）出具的属于监狱企业</w:t>
      </w:r>
    </w:p>
    <w:p w14:paraId="629AE51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的证明文件，还须同时提供《拟分包情况说明》及《分包意向协议》，且建议</w:t>
      </w:r>
    </w:p>
    <w:p w14:paraId="705A19F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在资格证明文件部分提供。 </w:t>
      </w:r>
    </w:p>
    <w:p w14:paraId="0929DF33">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67682B89">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（5）中小企业声明函填写注意事项 </w:t>
      </w:r>
    </w:p>
    <w:p w14:paraId="3858A693">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187AB5AE">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2）对于联合体中由中小企业承担的部分，或者分包给中小企业的部分，必须全</w:t>
      </w:r>
    </w:p>
    <w:p w14:paraId="7D5C2340">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部由中小企业制造、承建或者承接。供应商应当在声明函“标的名称”部分标明</w:t>
      </w:r>
    </w:p>
    <w:p w14:paraId="2C8FBE0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联合体中中小企业承担的具体内容或者中小企业的具体分包内容。 </w:t>
      </w:r>
    </w:p>
    <w:p w14:paraId="005176DE">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6BCD194">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5F01F4F2">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18CDCD7E">
      <w:pPr>
        <w:widowControl/>
        <w:jc w:val="center"/>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bidi="ar"/>
        </w:rPr>
        <w:t>中小企业声明函（工程、服务）</w:t>
      </w:r>
    </w:p>
    <w:p w14:paraId="70A2DE92">
      <w:pPr>
        <w:widowControl/>
        <w:jc w:val="left"/>
        <w:rPr>
          <w:rFonts w:hint="eastAsia" w:ascii="仿宋" w:hAnsi="仿宋" w:eastAsia="仿宋" w:cs="仿宋"/>
          <w:color w:val="000000"/>
          <w:kern w:val="0"/>
          <w:highlight w:val="none"/>
          <w:lang w:bidi="ar"/>
        </w:rPr>
      </w:pPr>
    </w:p>
    <w:p w14:paraId="3CD0EF98">
      <w:pPr>
        <w:widowControl/>
        <w:ind w:firstLine="480" w:firstLineChars="200"/>
        <w:jc w:val="left"/>
        <w:rPr>
          <w:rFonts w:hint="eastAsia" w:ascii="仿宋" w:hAnsi="仿宋" w:eastAsia="仿宋" w:cs="仿宋"/>
          <w:highlight w:val="none"/>
        </w:rPr>
      </w:pPr>
      <w:r>
        <w:rPr>
          <w:rFonts w:hint="eastAsia" w:ascii="仿宋" w:hAnsi="仿宋" w:eastAsia="仿宋" w:cs="仿宋"/>
          <w:color w:val="000000"/>
          <w:kern w:val="0"/>
          <w:highlight w:val="none"/>
          <w:lang w:bidi="ar"/>
        </w:rPr>
        <w:t xml:space="preserve">本公司（联合体）郑重声明，根据《政府采购促进中小企业发展管理办法》 </w:t>
      </w:r>
    </w:p>
    <w:p w14:paraId="689C6CAB">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（财库﹝2020﹞46号）的规定，本公司（联合体）参加</w:t>
      </w:r>
      <w:r>
        <w:rPr>
          <w:rFonts w:hint="eastAsia" w:ascii="仿宋" w:hAnsi="仿宋" w:eastAsia="仿宋" w:cs="仿宋"/>
          <w:i/>
          <w:iCs/>
          <w:color w:val="000000"/>
          <w:kern w:val="0"/>
          <w:highlight w:val="none"/>
          <w:u w:val="single"/>
          <w:lang w:bidi="ar"/>
        </w:rPr>
        <w:t>（单位名称）</w:t>
      </w:r>
      <w:r>
        <w:rPr>
          <w:rFonts w:hint="eastAsia" w:ascii="仿宋" w:hAnsi="仿宋" w:eastAsia="仿宋" w:cs="仿宋"/>
          <w:color w:val="000000"/>
          <w:kern w:val="0"/>
          <w:highlight w:val="none"/>
          <w:lang w:bidi="ar"/>
        </w:rPr>
        <w:t>的</w:t>
      </w:r>
      <w:r>
        <w:rPr>
          <w:rFonts w:hint="eastAsia" w:ascii="仿宋" w:hAnsi="仿宋" w:eastAsia="仿宋" w:cs="仿宋"/>
          <w:i/>
          <w:iCs/>
          <w:color w:val="000000"/>
          <w:kern w:val="0"/>
          <w:highlight w:val="none"/>
          <w:u w:val="single"/>
          <w:lang w:bidi="ar"/>
        </w:rPr>
        <w:t>（项目名称）</w:t>
      </w:r>
      <w:r>
        <w:rPr>
          <w:rFonts w:hint="eastAsia" w:ascii="仿宋" w:hAnsi="仿宋" w:eastAsia="仿宋" w:cs="仿宋"/>
          <w:color w:val="000000"/>
          <w:kern w:val="0"/>
          <w:highlight w:val="none"/>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3258BC3E">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 xml:space="preserve">1. </w:t>
      </w:r>
      <w:r>
        <w:rPr>
          <w:rFonts w:hint="eastAsia" w:ascii="仿宋" w:hAnsi="仿宋" w:eastAsia="仿宋" w:cs="仿宋"/>
          <w:i/>
          <w:iCs/>
          <w:color w:val="000000"/>
          <w:kern w:val="0"/>
          <w:highlight w:val="none"/>
          <w:u w:val="single"/>
          <w:lang w:bidi="ar"/>
        </w:rPr>
        <w:t>（标的名称）</w:t>
      </w:r>
      <w:r>
        <w:rPr>
          <w:rFonts w:hint="eastAsia" w:ascii="仿宋" w:hAnsi="仿宋" w:eastAsia="仿宋" w:cs="仿宋"/>
          <w:color w:val="000000"/>
          <w:kern w:val="0"/>
          <w:highlight w:val="none"/>
          <w:lang w:bidi="ar"/>
        </w:rPr>
        <w:t>，属于</w:t>
      </w:r>
      <w:r>
        <w:rPr>
          <w:rFonts w:hint="eastAsia" w:ascii="仿宋" w:hAnsi="仿宋" w:eastAsia="仿宋" w:cs="仿宋"/>
          <w:i/>
          <w:iCs/>
          <w:color w:val="000000"/>
          <w:kern w:val="0"/>
          <w:highlight w:val="none"/>
          <w:u w:val="single"/>
          <w:lang w:bidi="ar"/>
        </w:rPr>
        <w:t>（采购文件中明确的所属行业）</w:t>
      </w:r>
      <w:r>
        <w:rPr>
          <w:rFonts w:hint="eastAsia" w:ascii="仿宋" w:hAnsi="仿宋" w:eastAsia="仿宋" w:cs="仿宋"/>
          <w:color w:val="000000"/>
          <w:kern w:val="0"/>
          <w:highlight w:val="none"/>
          <w:lang w:bidi="ar"/>
        </w:rPr>
        <w:t xml:space="preserve">；承建（承接）企业 </w:t>
      </w:r>
    </w:p>
    <w:p w14:paraId="3E8395D3">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为</w:t>
      </w:r>
      <w:r>
        <w:rPr>
          <w:rFonts w:hint="eastAsia" w:ascii="仿宋" w:hAnsi="仿宋" w:eastAsia="仿宋" w:cs="仿宋"/>
          <w:i/>
          <w:iCs/>
          <w:color w:val="000000"/>
          <w:kern w:val="0"/>
          <w:highlight w:val="none"/>
          <w:u w:val="single"/>
          <w:lang w:bidi="ar"/>
        </w:rPr>
        <w:t>（企业名称）</w:t>
      </w:r>
      <w:r>
        <w:rPr>
          <w:rFonts w:hint="eastAsia" w:ascii="仿宋" w:hAnsi="仿宋" w:eastAsia="仿宋" w:cs="仿宋"/>
          <w:color w:val="000000"/>
          <w:kern w:val="0"/>
          <w:highlight w:val="none"/>
          <w:lang w:bidi="ar"/>
        </w:rPr>
        <w:t>，从业人员</w:t>
      </w:r>
      <w:r>
        <w:rPr>
          <w:rFonts w:hint="eastAsia" w:ascii="仿宋" w:hAnsi="仿宋" w:eastAsia="仿宋" w:cs="仿宋"/>
          <w:color w:val="000000"/>
          <w:kern w:val="0"/>
          <w:highlight w:val="none"/>
          <w:u w:val="single"/>
          <w:lang w:bidi="ar"/>
        </w:rPr>
        <w:t xml:space="preserve">    </w:t>
      </w:r>
      <w:r>
        <w:rPr>
          <w:rFonts w:hint="eastAsia" w:ascii="仿宋" w:hAnsi="仿宋" w:eastAsia="仿宋" w:cs="仿宋"/>
          <w:color w:val="000000"/>
          <w:kern w:val="0"/>
          <w:highlight w:val="none"/>
          <w:lang w:bidi="ar"/>
        </w:rPr>
        <w:t>人，营业收入为</w:t>
      </w:r>
      <w:r>
        <w:rPr>
          <w:rFonts w:hint="eastAsia" w:ascii="仿宋" w:hAnsi="仿宋" w:eastAsia="仿宋" w:cs="仿宋"/>
          <w:color w:val="000000"/>
          <w:kern w:val="0"/>
          <w:highlight w:val="none"/>
          <w:u w:val="single"/>
          <w:lang w:bidi="ar"/>
        </w:rPr>
        <w:t xml:space="preserve">      </w:t>
      </w:r>
      <w:r>
        <w:rPr>
          <w:rFonts w:hint="eastAsia" w:ascii="仿宋" w:hAnsi="仿宋" w:eastAsia="仿宋" w:cs="仿宋"/>
          <w:color w:val="000000"/>
          <w:kern w:val="0"/>
          <w:highlight w:val="none"/>
          <w:lang w:bidi="ar"/>
        </w:rPr>
        <w:t>万元，资产总额为</w:t>
      </w:r>
      <w:r>
        <w:rPr>
          <w:rFonts w:hint="eastAsia" w:ascii="仿宋" w:hAnsi="仿宋" w:eastAsia="仿宋" w:cs="仿宋"/>
          <w:color w:val="000000"/>
          <w:kern w:val="0"/>
          <w:highlight w:val="none"/>
          <w:u w:val="single"/>
          <w:lang w:bidi="ar"/>
        </w:rPr>
        <w:t xml:space="preserve">     </w:t>
      </w:r>
      <w:r>
        <w:rPr>
          <w:rFonts w:hint="eastAsia" w:ascii="仿宋" w:hAnsi="仿宋" w:eastAsia="仿宋" w:cs="仿宋"/>
          <w:color w:val="000000"/>
          <w:kern w:val="0"/>
          <w:highlight w:val="none"/>
          <w:lang w:bidi="ar"/>
        </w:rPr>
        <w:t>万元，属于</w:t>
      </w:r>
      <w:r>
        <w:rPr>
          <w:rFonts w:hint="eastAsia" w:ascii="仿宋" w:hAnsi="仿宋" w:eastAsia="仿宋" w:cs="仿宋"/>
          <w:i/>
          <w:iCs/>
          <w:color w:val="000000"/>
          <w:kern w:val="0"/>
          <w:highlight w:val="none"/>
          <w:u w:val="single"/>
          <w:lang w:bidi="ar"/>
        </w:rPr>
        <w:t>（中型企业、小型企业、微型企业）</w:t>
      </w:r>
      <w:r>
        <w:rPr>
          <w:rFonts w:hint="eastAsia" w:ascii="仿宋" w:hAnsi="仿宋" w:eastAsia="仿宋" w:cs="仿宋"/>
          <w:color w:val="000000"/>
          <w:kern w:val="0"/>
          <w:highlight w:val="none"/>
          <w:lang w:bidi="ar"/>
        </w:rPr>
        <w:t xml:space="preserve">； </w:t>
      </w:r>
    </w:p>
    <w:p w14:paraId="090A851F">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 xml:space="preserve">2. </w:t>
      </w:r>
      <w:r>
        <w:rPr>
          <w:rFonts w:hint="eastAsia" w:ascii="仿宋" w:hAnsi="仿宋" w:eastAsia="仿宋" w:cs="仿宋"/>
          <w:i/>
          <w:iCs/>
          <w:color w:val="000000"/>
          <w:kern w:val="0"/>
          <w:highlight w:val="none"/>
          <w:u w:val="single"/>
          <w:lang w:bidi="ar"/>
        </w:rPr>
        <w:t>（标的名称）</w:t>
      </w:r>
      <w:r>
        <w:rPr>
          <w:rFonts w:hint="eastAsia" w:ascii="仿宋" w:hAnsi="仿宋" w:eastAsia="仿宋" w:cs="仿宋"/>
          <w:color w:val="000000"/>
          <w:kern w:val="0"/>
          <w:highlight w:val="none"/>
          <w:lang w:bidi="ar"/>
        </w:rPr>
        <w:t>，属于</w:t>
      </w:r>
      <w:r>
        <w:rPr>
          <w:rFonts w:hint="eastAsia" w:ascii="仿宋" w:hAnsi="仿宋" w:eastAsia="仿宋" w:cs="仿宋"/>
          <w:i/>
          <w:iCs/>
          <w:color w:val="000000"/>
          <w:kern w:val="0"/>
          <w:highlight w:val="none"/>
          <w:u w:val="single"/>
          <w:lang w:bidi="ar"/>
        </w:rPr>
        <w:t>（采购文件中明确的所属行业）</w:t>
      </w:r>
      <w:r>
        <w:rPr>
          <w:rFonts w:hint="eastAsia" w:ascii="仿宋" w:hAnsi="仿宋" w:eastAsia="仿宋" w:cs="仿宋"/>
          <w:color w:val="000000"/>
          <w:kern w:val="0"/>
          <w:highlight w:val="none"/>
          <w:lang w:bidi="ar"/>
        </w:rPr>
        <w:t>；承建（承接）企业</w:t>
      </w:r>
    </w:p>
    <w:p w14:paraId="724B9A37">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为</w:t>
      </w:r>
      <w:r>
        <w:rPr>
          <w:rFonts w:hint="eastAsia" w:ascii="仿宋" w:hAnsi="仿宋" w:eastAsia="仿宋" w:cs="仿宋"/>
          <w:i/>
          <w:iCs/>
          <w:color w:val="000000"/>
          <w:kern w:val="0"/>
          <w:highlight w:val="none"/>
          <w:u w:val="single"/>
          <w:lang w:bidi="ar"/>
        </w:rPr>
        <w:t>（企业名称）</w:t>
      </w:r>
      <w:r>
        <w:rPr>
          <w:rFonts w:hint="eastAsia" w:ascii="仿宋" w:hAnsi="仿宋" w:eastAsia="仿宋" w:cs="仿宋"/>
          <w:color w:val="000000"/>
          <w:kern w:val="0"/>
          <w:highlight w:val="none"/>
          <w:lang w:bidi="ar"/>
        </w:rPr>
        <w:t>，从业人员</w:t>
      </w:r>
      <w:r>
        <w:rPr>
          <w:rFonts w:hint="eastAsia" w:ascii="仿宋" w:hAnsi="仿宋" w:eastAsia="仿宋" w:cs="仿宋"/>
          <w:color w:val="000000"/>
          <w:kern w:val="0"/>
          <w:highlight w:val="none"/>
          <w:u w:val="single"/>
          <w:lang w:bidi="ar"/>
        </w:rPr>
        <w:t xml:space="preserve">    </w:t>
      </w:r>
      <w:r>
        <w:rPr>
          <w:rFonts w:hint="eastAsia" w:ascii="仿宋" w:hAnsi="仿宋" w:eastAsia="仿宋" w:cs="仿宋"/>
          <w:color w:val="000000"/>
          <w:kern w:val="0"/>
          <w:highlight w:val="none"/>
          <w:lang w:bidi="ar"/>
        </w:rPr>
        <w:t>人，营业收入为</w:t>
      </w:r>
      <w:r>
        <w:rPr>
          <w:rFonts w:hint="eastAsia" w:ascii="仿宋" w:hAnsi="仿宋" w:eastAsia="仿宋" w:cs="仿宋"/>
          <w:color w:val="000000"/>
          <w:kern w:val="0"/>
          <w:highlight w:val="none"/>
          <w:u w:val="single"/>
          <w:lang w:bidi="ar"/>
        </w:rPr>
        <w:t xml:space="preserve">      </w:t>
      </w:r>
      <w:r>
        <w:rPr>
          <w:rFonts w:hint="eastAsia" w:ascii="仿宋" w:hAnsi="仿宋" w:eastAsia="仿宋" w:cs="仿宋"/>
          <w:color w:val="000000"/>
          <w:kern w:val="0"/>
          <w:highlight w:val="none"/>
          <w:lang w:bidi="ar"/>
        </w:rPr>
        <w:t>万元，资产总额为</w:t>
      </w:r>
      <w:r>
        <w:rPr>
          <w:rFonts w:hint="eastAsia" w:ascii="仿宋" w:hAnsi="仿宋" w:eastAsia="仿宋" w:cs="仿宋"/>
          <w:color w:val="000000"/>
          <w:kern w:val="0"/>
          <w:highlight w:val="none"/>
          <w:u w:val="single"/>
          <w:lang w:bidi="ar"/>
        </w:rPr>
        <w:t xml:space="preserve">     </w:t>
      </w:r>
      <w:r>
        <w:rPr>
          <w:rFonts w:hint="eastAsia" w:ascii="仿宋" w:hAnsi="仿宋" w:eastAsia="仿宋" w:cs="仿宋"/>
          <w:color w:val="000000"/>
          <w:kern w:val="0"/>
          <w:highlight w:val="none"/>
          <w:lang w:bidi="ar"/>
        </w:rPr>
        <w:t>万元，属于</w:t>
      </w:r>
      <w:r>
        <w:rPr>
          <w:rFonts w:hint="eastAsia" w:ascii="仿宋" w:hAnsi="仿宋" w:eastAsia="仿宋" w:cs="仿宋"/>
          <w:i/>
          <w:iCs/>
          <w:color w:val="000000"/>
          <w:kern w:val="0"/>
          <w:highlight w:val="none"/>
          <w:u w:val="single"/>
          <w:lang w:bidi="ar"/>
        </w:rPr>
        <w:t>（中型企业、小型企业、微型企业）</w:t>
      </w:r>
      <w:r>
        <w:rPr>
          <w:rFonts w:hint="eastAsia" w:ascii="仿宋" w:hAnsi="仿宋" w:eastAsia="仿宋" w:cs="仿宋"/>
          <w:color w:val="000000"/>
          <w:kern w:val="0"/>
          <w:highlight w:val="none"/>
          <w:lang w:bidi="ar"/>
        </w:rPr>
        <w:t xml:space="preserve">；； </w:t>
      </w:r>
    </w:p>
    <w:p w14:paraId="3E1D2A1F">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 xml:space="preserve">…… </w:t>
      </w:r>
    </w:p>
    <w:p w14:paraId="5D1F6B0A">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 xml:space="preserve">以上企业，不属于大企业的分支机构，不存在控股股东为大企业的情形， </w:t>
      </w:r>
    </w:p>
    <w:p w14:paraId="4881FF2D">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 xml:space="preserve">也不存在与大企业的负责人为同一人的情形。 </w:t>
      </w:r>
    </w:p>
    <w:p w14:paraId="2A3EF4F2">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本企业对上述声明内容的真实性负责。如有虚假，将依法承担相应责任。</w:t>
      </w:r>
    </w:p>
    <w:p w14:paraId="398B5BA6">
      <w:pPr>
        <w:pStyle w:val="26"/>
        <w:widowControl/>
        <w:spacing w:beforeAutospacing="0" w:afterAutospacing="0"/>
        <w:ind w:firstLine="420"/>
        <w:jc w:val="center"/>
        <w:rPr>
          <w:rFonts w:hint="eastAsia" w:ascii="仿宋" w:hAnsi="仿宋" w:eastAsia="仿宋" w:cs="仿宋"/>
          <w:color w:val="000000"/>
          <w:highlight w:val="none"/>
        </w:rPr>
      </w:pPr>
      <w:r>
        <w:rPr>
          <w:rFonts w:hint="eastAsia" w:ascii="仿宋" w:hAnsi="仿宋" w:eastAsia="仿宋" w:cs="仿宋"/>
          <w:color w:val="000000"/>
          <w:highlight w:val="none"/>
        </w:rPr>
        <w:t xml:space="preserve"> </w:t>
      </w:r>
    </w:p>
    <w:p w14:paraId="42FA3673">
      <w:pPr>
        <w:pStyle w:val="26"/>
        <w:widowControl/>
        <w:spacing w:beforeAutospacing="0" w:afterAutospacing="0"/>
        <w:ind w:firstLine="420"/>
        <w:jc w:val="center"/>
        <w:rPr>
          <w:rFonts w:hint="eastAsia" w:ascii="仿宋" w:hAnsi="仿宋" w:eastAsia="仿宋" w:cs="仿宋"/>
          <w:color w:val="000000"/>
          <w:highlight w:val="none"/>
          <w:u w:val="single"/>
        </w:rPr>
      </w:pPr>
      <w:r>
        <w:rPr>
          <w:rFonts w:hint="eastAsia" w:ascii="仿宋" w:hAnsi="仿宋" w:eastAsia="仿宋" w:cs="仿宋"/>
          <w:color w:val="000000"/>
          <w:highlight w:val="none"/>
        </w:rPr>
        <w:t xml:space="preserve">             企业名称（盖章）：</w:t>
      </w:r>
      <w:r>
        <w:rPr>
          <w:rFonts w:hint="eastAsia" w:ascii="仿宋" w:hAnsi="仿宋" w:eastAsia="仿宋" w:cs="仿宋"/>
          <w:color w:val="000000"/>
          <w:highlight w:val="none"/>
          <w:u w:val="single"/>
        </w:rPr>
        <w:t xml:space="preserve">          </w:t>
      </w:r>
    </w:p>
    <w:p w14:paraId="22892B99">
      <w:pPr>
        <w:pStyle w:val="26"/>
        <w:widowControl/>
        <w:spacing w:beforeAutospacing="0" w:afterAutospacing="0"/>
        <w:ind w:firstLine="5520" w:firstLineChars="2300"/>
        <w:jc w:val="both"/>
        <w:rPr>
          <w:rFonts w:hint="eastAsia" w:ascii="仿宋" w:hAnsi="仿宋" w:eastAsia="仿宋" w:cs="仿宋"/>
          <w:color w:val="000000"/>
          <w:sz w:val="27"/>
          <w:szCs w:val="27"/>
          <w:highlight w:val="none"/>
          <w:u w:val="single"/>
        </w:rPr>
      </w:pPr>
      <w:r>
        <w:rPr>
          <w:rFonts w:hint="eastAsia" w:ascii="仿宋" w:hAnsi="仿宋" w:eastAsia="仿宋" w:cs="仿宋"/>
          <w:color w:val="000000"/>
          <w:highlight w:val="none"/>
        </w:rPr>
        <w:t>日期：</w:t>
      </w:r>
      <w:r>
        <w:rPr>
          <w:rFonts w:hint="eastAsia" w:ascii="仿宋" w:hAnsi="仿宋" w:eastAsia="仿宋" w:cs="仿宋"/>
          <w:color w:val="000000"/>
          <w:highlight w:val="none"/>
          <w:u w:val="single"/>
        </w:rPr>
        <w:t xml:space="preserve">         </w:t>
      </w:r>
    </w:p>
    <w:p w14:paraId="05904453">
      <w:pPr>
        <w:rPr>
          <w:rFonts w:hint="eastAsia" w:ascii="仿宋" w:hAnsi="仿宋" w:eastAsia="仿宋" w:cs="仿宋"/>
          <w:color w:val="000000"/>
          <w:kern w:val="0"/>
          <w:sz w:val="21"/>
          <w:szCs w:val="21"/>
          <w:highlight w:val="none"/>
          <w:lang w:bidi="ar"/>
        </w:rPr>
      </w:pPr>
    </w:p>
    <w:p w14:paraId="43A25AB8">
      <w:pPr>
        <w:rPr>
          <w:rFonts w:hint="eastAsia" w:ascii="仿宋" w:hAnsi="仿宋" w:eastAsia="仿宋" w:cs="仿宋"/>
          <w:color w:val="000000"/>
          <w:kern w:val="0"/>
          <w:sz w:val="21"/>
          <w:szCs w:val="21"/>
          <w:highlight w:val="none"/>
          <w:lang w:bidi="ar"/>
        </w:rPr>
      </w:pPr>
    </w:p>
    <w:p w14:paraId="006CC610">
      <w:pPr>
        <w:rPr>
          <w:rFonts w:hint="eastAsia" w:ascii="仿宋" w:hAnsi="仿宋" w:eastAsia="仿宋" w:cs="仿宋"/>
          <w:color w:val="000000"/>
          <w:kern w:val="0"/>
          <w:sz w:val="21"/>
          <w:szCs w:val="21"/>
          <w:highlight w:val="none"/>
          <w:lang w:bidi="ar"/>
        </w:rPr>
      </w:pPr>
    </w:p>
    <w:p w14:paraId="22FF3ED1">
      <w:pPr>
        <w:rPr>
          <w:rFonts w:hint="eastAsia" w:ascii="仿宋" w:hAnsi="仿宋" w:eastAsia="仿宋" w:cs="仿宋"/>
          <w:color w:val="000000"/>
          <w:kern w:val="0"/>
          <w:sz w:val="21"/>
          <w:szCs w:val="21"/>
          <w:highlight w:val="none"/>
          <w:lang w:bidi="ar"/>
        </w:rPr>
      </w:pPr>
    </w:p>
    <w:p w14:paraId="4142BB5E">
      <w:pPr>
        <w:rPr>
          <w:rFonts w:hint="eastAsia" w:ascii="仿宋" w:hAnsi="仿宋" w:eastAsia="仿宋" w:cs="仿宋"/>
          <w:color w:val="000000"/>
          <w:kern w:val="0"/>
          <w:sz w:val="21"/>
          <w:szCs w:val="21"/>
          <w:highlight w:val="none"/>
          <w:lang w:bidi="ar"/>
        </w:rPr>
      </w:pPr>
    </w:p>
    <w:p w14:paraId="5BA3D761">
      <w:pPr>
        <w:rPr>
          <w:rFonts w:hint="eastAsia" w:ascii="仿宋" w:hAnsi="仿宋" w:eastAsia="仿宋" w:cs="仿宋"/>
          <w:color w:val="000000"/>
          <w:kern w:val="0"/>
          <w:sz w:val="21"/>
          <w:szCs w:val="21"/>
          <w:highlight w:val="none"/>
          <w:lang w:bidi="ar"/>
        </w:rPr>
      </w:pPr>
    </w:p>
    <w:p w14:paraId="5D69D429">
      <w:pP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从业人员、营业收入、资产总额填报上一年度数据，无上一年度数据的新成立企业可不填报。</w:t>
      </w:r>
    </w:p>
    <w:p w14:paraId="584198FF">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893BF49">
      <w:pPr>
        <w:pStyle w:val="2"/>
        <w:rPr>
          <w:rFonts w:hint="eastAsia" w:ascii="仿宋" w:hAnsi="仿宋" w:eastAsia="仿宋" w:cs="仿宋"/>
          <w:highlight w:val="none"/>
          <w:lang w:val="en-US" w:eastAsia="zh-CN"/>
        </w:rPr>
      </w:pPr>
    </w:p>
    <w:p w14:paraId="3E9757B1">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残疾人福利性单位声明函格式</w:t>
      </w:r>
    </w:p>
    <w:p w14:paraId="457C23E6">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p>
    <w:p w14:paraId="65FD9F8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 w:hAnsi="仿宋" w:eastAsia="仿宋" w:cs="仿宋"/>
          <w:b/>
          <w:bCs/>
          <w:color w:val="000000"/>
          <w:kern w:val="0"/>
          <w:sz w:val="24"/>
          <w:szCs w:val="24"/>
          <w:highlight w:val="none"/>
          <w:lang w:val="en-US" w:eastAsia="zh-CN" w:bidi="ar"/>
        </w:rPr>
        <w:t>（请进行勾选）</w:t>
      </w:r>
      <w:r>
        <w:rPr>
          <w:rFonts w:hint="eastAsia" w:ascii="仿宋" w:hAnsi="仿宋" w:eastAsia="仿宋" w:cs="仿宋"/>
          <w:color w:val="000000"/>
          <w:kern w:val="0"/>
          <w:sz w:val="24"/>
          <w:szCs w:val="24"/>
          <w:highlight w:val="none"/>
          <w:lang w:val="en-US" w:eastAsia="zh-CN" w:bidi="ar"/>
        </w:rPr>
        <w:t xml:space="preserve">： </w:t>
      </w:r>
    </w:p>
    <w:p w14:paraId="3C3F0B3E">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□不属于符合条件的残疾人福利性单位。 </w:t>
      </w:r>
    </w:p>
    <w:p w14:paraId="62DB986D">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□属于符合条件的残疾人福利性单位，</w:t>
      </w:r>
      <w:r>
        <w:rPr>
          <w:rFonts w:hint="eastAsia" w:ascii="仿宋" w:hAnsi="仿宋" w:eastAsia="仿宋" w:cs="仿宋"/>
          <w:color w:val="000000"/>
          <w:kern w:val="0"/>
          <w:sz w:val="24"/>
          <w:szCs w:val="24"/>
          <w:highlight w:val="none"/>
          <w:lang w:val="en-US" w:eastAsia="zh-CN" w:bidi="ar"/>
        </w:rPr>
        <w:t>且本单位参加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单位的</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3E7FF9C0">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本单位对上述声明的真实性负责。如有虚假，将依法承担相应责任。 </w:t>
      </w:r>
    </w:p>
    <w:p w14:paraId="3E9C2C3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1732A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02E088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单位名称（盖章）：</w:t>
      </w:r>
    </w:p>
    <w:p w14:paraId="0909F04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日期：</w:t>
      </w:r>
    </w:p>
    <w:p w14:paraId="3A15CE97">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FE8E5E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2-2 拟分包情况说明及分包意向协议 （如有）</w:t>
      </w:r>
    </w:p>
    <w:p w14:paraId="4083D0E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12CE172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拟分包情况说明</w:t>
      </w:r>
    </w:p>
    <w:p w14:paraId="5C88CED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3B039A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（采购人或采购代理机构）</w:t>
      </w:r>
      <w:r>
        <w:rPr>
          <w:rFonts w:hint="eastAsia" w:ascii="仿宋" w:hAnsi="仿宋" w:eastAsia="仿宋" w:cs="仿宋"/>
          <w:color w:val="000000"/>
          <w:kern w:val="0"/>
          <w:sz w:val="24"/>
          <w:szCs w:val="24"/>
          <w:highlight w:val="none"/>
          <w:lang w:val="en-US" w:eastAsia="zh-CN" w:bidi="ar"/>
        </w:rPr>
        <w:t xml:space="preserve"> </w:t>
      </w:r>
    </w:p>
    <w:p w14:paraId="01136D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我单位参加贵单位组织的项目编号为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的</w:t>
      </w:r>
      <w:r>
        <w:rPr>
          <w:rFonts w:hint="eastAsia" w:ascii="仿宋" w:hAnsi="仿宋" w:eastAsia="仿宋" w:cs="仿宋"/>
          <w:color w:val="000000"/>
          <w:kern w:val="0"/>
          <w:sz w:val="24"/>
          <w:szCs w:val="24"/>
          <w:highlight w:val="none"/>
          <w:u w:val="single"/>
          <w:lang w:val="en-US" w:eastAsia="zh-CN" w:bidi="ar"/>
        </w:rPr>
        <w:t xml:space="preserve"> （填写采购项目名称）  </w:t>
      </w:r>
      <w:r>
        <w:rPr>
          <w:rFonts w:hint="eastAsia" w:ascii="仿宋" w:hAnsi="仿宋" w:eastAsia="仿宋" w:cs="仿宋"/>
          <w:color w:val="000000"/>
          <w:kern w:val="0"/>
          <w:sz w:val="24"/>
          <w:szCs w:val="24"/>
          <w:highlight w:val="none"/>
          <w:lang w:val="en-US" w:eastAsia="zh-CN" w:bidi="ar"/>
        </w:rPr>
        <w:t>项目中</w:t>
      </w:r>
      <w:r>
        <w:rPr>
          <w:rFonts w:hint="eastAsia" w:ascii="仿宋" w:hAnsi="仿宋" w:eastAsia="仿宋" w:cs="仿宋"/>
          <w:color w:val="000000"/>
          <w:kern w:val="0"/>
          <w:sz w:val="24"/>
          <w:szCs w:val="24"/>
          <w:highlight w:val="none"/>
          <w:u w:val="single"/>
          <w:lang w:val="en-US" w:eastAsia="zh-CN" w:bidi="ar"/>
        </w:rPr>
        <w:t xml:space="preserve"> （填写包号） </w:t>
      </w:r>
      <w:r>
        <w:rPr>
          <w:rFonts w:hint="eastAsia" w:ascii="仿宋" w:hAnsi="仿宋" w:eastAsia="仿宋" w:cs="仿宋"/>
          <w:color w:val="000000"/>
          <w:kern w:val="0"/>
          <w:sz w:val="24"/>
          <w:szCs w:val="24"/>
          <w:highlight w:val="none"/>
          <w:lang w:val="en-US" w:eastAsia="zh-CN" w:bidi="ar"/>
        </w:rPr>
        <w:t xml:space="preserve">包的采购活动。拟签订分包合同的单位情况如下表所示，我单 </w:t>
      </w:r>
    </w:p>
    <w:p w14:paraId="2B0300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248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A34A70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序号</w:t>
            </w:r>
          </w:p>
        </w:tc>
        <w:tc>
          <w:tcPr>
            <w:tcW w:w="1323" w:type="dxa"/>
            <w:vAlign w:val="center"/>
          </w:tcPr>
          <w:p w14:paraId="62218C5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分包承担</w:t>
            </w:r>
          </w:p>
          <w:p w14:paraId="6C04105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主体名称</w:t>
            </w:r>
          </w:p>
        </w:tc>
        <w:tc>
          <w:tcPr>
            <w:tcW w:w="1338" w:type="dxa"/>
            <w:vAlign w:val="center"/>
          </w:tcPr>
          <w:p w14:paraId="563186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分包承担</w:t>
            </w:r>
          </w:p>
          <w:p w14:paraId="4383DE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主体类型</w:t>
            </w:r>
          </w:p>
          <w:p w14:paraId="0BE1AD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（勾选）</w:t>
            </w:r>
          </w:p>
        </w:tc>
        <w:tc>
          <w:tcPr>
            <w:tcW w:w="1123" w:type="dxa"/>
            <w:vAlign w:val="center"/>
          </w:tcPr>
          <w:p w14:paraId="27721C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资质等级</w:t>
            </w:r>
          </w:p>
        </w:tc>
        <w:tc>
          <w:tcPr>
            <w:tcW w:w="1154" w:type="dxa"/>
            <w:vAlign w:val="center"/>
          </w:tcPr>
          <w:p w14:paraId="31FB50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拟分包</w:t>
            </w:r>
          </w:p>
          <w:p w14:paraId="512779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合同内容</w:t>
            </w:r>
          </w:p>
        </w:tc>
        <w:tc>
          <w:tcPr>
            <w:tcW w:w="1439" w:type="dxa"/>
            <w:vAlign w:val="center"/>
          </w:tcPr>
          <w:p w14:paraId="6D6B00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拟分包</w:t>
            </w:r>
          </w:p>
          <w:p w14:paraId="0EB765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合同金额</w:t>
            </w:r>
          </w:p>
          <w:p w14:paraId="67C5DC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（人民币元）</w:t>
            </w:r>
          </w:p>
        </w:tc>
        <w:tc>
          <w:tcPr>
            <w:tcW w:w="1422" w:type="dxa"/>
            <w:vAlign w:val="center"/>
          </w:tcPr>
          <w:p w14:paraId="29A3908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占该采购包</w:t>
            </w:r>
            <w:r>
              <w:rPr>
                <w:rFonts w:hint="eastAsia" w:ascii="仿宋" w:hAnsi="仿宋" w:eastAsia="仿宋" w:cs="仿宋"/>
                <w:b/>
                <w:bCs/>
                <w:color w:val="000000"/>
                <w:kern w:val="0"/>
                <w:sz w:val="21"/>
                <w:szCs w:val="21"/>
                <w:highlight w:val="none"/>
                <w:lang w:val="en-US" w:eastAsia="zh-CN" w:bidi="ar"/>
              </w:rPr>
              <w:t>预算金额的</w:t>
            </w:r>
            <w:r>
              <w:rPr>
                <w:rFonts w:hint="eastAsia" w:ascii="仿宋" w:hAnsi="仿宋" w:eastAsia="仿宋" w:cs="仿宋"/>
                <w:color w:val="000000"/>
                <w:kern w:val="0"/>
                <w:sz w:val="21"/>
                <w:szCs w:val="21"/>
                <w:highlight w:val="none"/>
                <w:lang w:val="en-US" w:eastAsia="zh-CN" w:bidi="ar"/>
              </w:rPr>
              <w:t>比例（%）</w:t>
            </w:r>
          </w:p>
        </w:tc>
      </w:tr>
      <w:tr w14:paraId="1CA9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09EBA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1</w:t>
            </w:r>
          </w:p>
        </w:tc>
        <w:tc>
          <w:tcPr>
            <w:tcW w:w="1323" w:type="dxa"/>
            <w:vAlign w:val="center"/>
          </w:tcPr>
          <w:p w14:paraId="017ED57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338" w:type="dxa"/>
            <w:vAlign w:val="center"/>
          </w:tcPr>
          <w:p w14:paraId="69E690D2">
            <w:pPr>
              <w:keepNext w:val="0"/>
              <w:keepLines w:val="0"/>
              <w:widowControl/>
              <w:suppressLineNumbers w:val="0"/>
              <w:jc w:val="center"/>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□中型企业</w:t>
            </w:r>
          </w:p>
          <w:p w14:paraId="4EB4527B">
            <w:pPr>
              <w:keepNext w:val="0"/>
              <w:keepLines w:val="0"/>
              <w:widowControl/>
              <w:suppressLineNumbers w:val="0"/>
              <w:jc w:val="center"/>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□小微企业</w:t>
            </w:r>
          </w:p>
        </w:tc>
        <w:tc>
          <w:tcPr>
            <w:tcW w:w="1123" w:type="dxa"/>
            <w:vAlign w:val="center"/>
          </w:tcPr>
          <w:p w14:paraId="4E795C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154" w:type="dxa"/>
            <w:vAlign w:val="center"/>
          </w:tcPr>
          <w:p w14:paraId="4445A97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39" w:type="dxa"/>
            <w:vAlign w:val="center"/>
          </w:tcPr>
          <w:p w14:paraId="3414684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22" w:type="dxa"/>
            <w:vAlign w:val="center"/>
          </w:tcPr>
          <w:p w14:paraId="2B3BFE2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r>
      <w:tr w14:paraId="02A0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91AF43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2</w:t>
            </w:r>
          </w:p>
        </w:tc>
        <w:tc>
          <w:tcPr>
            <w:tcW w:w="1323" w:type="dxa"/>
            <w:vAlign w:val="center"/>
          </w:tcPr>
          <w:p w14:paraId="49EFFFB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338" w:type="dxa"/>
            <w:vAlign w:val="center"/>
          </w:tcPr>
          <w:p w14:paraId="729E9A10">
            <w:pPr>
              <w:keepNext w:val="0"/>
              <w:keepLines w:val="0"/>
              <w:widowControl/>
              <w:suppressLineNumbers w:val="0"/>
              <w:jc w:val="center"/>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□中型企业</w:t>
            </w:r>
          </w:p>
          <w:p w14:paraId="01F7EA5C">
            <w:pPr>
              <w:keepNext w:val="0"/>
              <w:keepLines w:val="0"/>
              <w:widowControl/>
              <w:suppressLineNumbers w:val="0"/>
              <w:jc w:val="center"/>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□小微企业</w:t>
            </w:r>
          </w:p>
        </w:tc>
        <w:tc>
          <w:tcPr>
            <w:tcW w:w="1123" w:type="dxa"/>
            <w:vAlign w:val="center"/>
          </w:tcPr>
          <w:p w14:paraId="00675F9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154" w:type="dxa"/>
            <w:vAlign w:val="center"/>
          </w:tcPr>
          <w:p w14:paraId="11484DA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39" w:type="dxa"/>
            <w:vAlign w:val="center"/>
          </w:tcPr>
          <w:p w14:paraId="3DFC0B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22" w:type="dxa"/>
            <w:vAlign w:val="center"/>
          </w:tcPr>
          <w:p w14:paraId="54E8DE3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r>
      <w:tr w14:paraId="5AB0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FE1237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w:t>
            </w:r>
          </w:p>
        </w:tc>
        <w:tc>
          <w:tcPr>
            <w:tcW w:w="1323" w:type="dxa"/>
            <w:vAlign w:val="center"/>
          </w:tcPr>
          <w:p w14:paraId="482FE1B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338" w:type="dxa"/>
            <w:vAlign w:val="center"/>
          </w:tcPr>
          <w:p w14:paraId="40DB0E0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123" w:type="dxa"/>
            <w:vAlign w:val="center"/>
          </w:tcPr>
          <w:p w14:paraId="3D82EE3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154" w:type="dxa"/>
            <w:vAlign w:val="center"/>
          </w:tcPr>
          <w:p w14:paraId="02DEE59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39" w:type="dxa"/>
            <w:vAlign w:val="center"/>
          </w:tcPr>
          <w:p w14:paraId="557B8DB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22" w:type="dxa"/>
            <w:vAlign w:val="center"/>
          </w:tcPr>
          <w:p w14:paraId="0CF133A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r>
      <w:tr w14:paraId="77D1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225443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合计</w:t>
            </w:r>
          </w:p>
        </w:tc>
        <w:tc>
          <w:tcPr>
            <w:tcW w:w="1439" w:type="dxa"/>
            <w:vAlign w:val="center"/>
          </w:tcPr>
          <w:p w14:paraId="3C9DCF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22" w:type="dxa"/>
            <w:vAlign w:val="center"/>
          </w:tcPr>
          <w:p w14:paraId="58800ED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r>
    </w:tbl>
    <w:p w14:paraId="533CB037">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0BC9F3F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u w:val="single"/>
          <w:lang w:val="en-US"/>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p>
    <w:p w14:paraId="3D2201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r>
        <w:rPr>
          <w:rFonts w:hint="eastAsia" w:ascii="仿宋" w:hAnsi="仿宋" w:eastAsia="仿宋" w:cs="仿宋"/>
          <w:color w:val="000000"/>
          <w:kern w:val="0"/>
          <w:sz w:val="24"/>
          <w:szCs w:val="24"/>
          <w:highlight w:val="none"/>
          <w:lang w:val="en-US" w:eastAsia="zh-CN" w:bidi="ar"/>
        </w:rPr>
        <w:t xml:space="preserve"> </w:t>
      </w:r>
    </w:p>
    <w:p w14:paraId="3346E9F2">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3142E3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说明： </w:t>
      </w:r>
    </w:p>
    <w:p w14:paraId="6D234B16">
      <w:pPr>
        <w:keepNext w:val="0"/>
        <w:keepLines w:val="0"/>
        <w:pageBreakBefore w:val="0"/>
        <w:widowControl/>
        <w:numPr>
          <w:ilvl w:val="0"/>
          <w:numId w:val="14"/>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本表仅在供应商“为落实政府采购政策”而向中小企业分包时填写。</w:t>
      </w:r>
    </w:p>
    <w:p w14:paraId="1AD104A2">
      <w:pPr>
        <w:keepNext w:val="0"/>
        <w:keepLines w:val="0"/>
        <w:pageBreakBefore w:val="0"/>
        <w:widowControl/>
        <w:numPr>
          <w:ilvl w:val="0"/>
          <w:numId w:val="14"/>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如本采购文件《供应商须知资料表》载明本项目分包承担主体应具备的相应资质条件，则供应商须在本表中列明分包承担主体的资质等级，并后附资质证书复印件加盖供应商公章，否则</w:t>
      </w:r>
      <w:r>
        <w:rPr>
          <w:rFonts w:hint="eastAsia" w:ascii="仿宋" w:hAnsi="仿宋" w:eastAsia="仿宋" w:cs="仿宋"/>
          <w:b/>
          <w:bCs/>
          <w:color w:val="000000"/>
          <w:kern w:val="0"/>
          <w:sz w:val="24"/>
          <w:szCs w:val="24"/>
          <w:highlight w:val="none"/>
          <w:lang w:val="en-US" w:eastAsia="zh-CN" w:bidi="ar"/>
        </w:rPr>
        <w:t>响应无效</w:t>
      </w:r>
      <w:r>
        <w:rPr>
          <w:rFonts w:hint="eastAsia" w:ascii="仿宋" w:hAnsi="仿宋" w:eastAsia="仿宋" w:cs="仿宋"/>
          <w:color w:val="000000"/>
          <w:kern w:val="0"/>
          <w:sz w:val="24"/>
          <w:szCs w:val="24"/>
          <w:highlight w:val="none"/>
          <w:lang w:val="en-US" w:eastAsia="zh-CN" w:bidi="ar"/>
        </w:rPr>
        <w:t xml:space="preserve">。 </w:t>
      </w:r>
    </w:p>
    <w:p w14:paraId="240B1B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（3）供应商与上述拟分包承担主体签署的《分包意向协议》后附。</w:t>
      </w:r>
    </w:p>
    <w:p w14:paraId="03F8AD69">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3EF8182A">
      <w:pPr>
        <w:rPr>
          <w:rFonts w:hint="eastAsia" w:ascii="仿宋" w:hAnsi="仿宋" w:eastAsia="仿宋" w:cs="仿宋"/>
          <w:b w:val="0"/>
          <w:bCs w:val="0"/>
          <w:sz w:val="24"/>
          <w:szCs w:val="24"/>
          <w:highlight w:val="none"/>
        </w:rPr>
      </w:pPr>
      <w:r>
        <w:rPr>
          <w:rFonts w:hint="eastAsia" w:ascii="仿宋" w:hAnsi="仿宋" w:eastAsia="仿宋" w:cs="仿宋"/>
          <w:b w:val="0"/>
          <w:bCs w:val="0"/>
          <w:color w:val="000000"/>
          <w:kern w:val="0"/>
          <w:sz w:val="24"/>
          <w:szCs w:val="24"/>
          <w:highlight w:val="none"/>
          <w:lang w:val="en-US" w:eastAsia="zh-CN" w:bidi="ar"/>
        </w:rPr>
        <w:t xml:space="preserve">附：分包意向协议（参考格式） </w:t>
      </w:r>
    </w:p>
    <w:p w14:paraId="3D7307C4">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714C97CB">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6720D7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u w:val="single"/>
          <w:lang w:val="en-US" w:eastAsia="zh-CN" w:bidi="ar"/>
        </w:rPr>
      </w:pPr>
      <w:r>
        <w:rPr>
          <w:rFonts w:hint="eastAsia" w:ascii="仿宋" w:hAnsi="仿宋" w:eastAsia="仿宋" w:cs="仿宋"/>
          <w:color w:val="000000"/>
          <w:kern w:val="0"/>
          <w:sz w:val="24"/>
          <w:szCs w:val="24"/>
          <w:highlight w:val="none"/>
          <w:lang w:val="en-US" w:eastAsia="zh-CN" w:bidi="ar"/>
        </w:rPr>
        <w:t>甲方（供应商）：</w:t>
      </w:r>
      <w:r>
        <w:rPr>
          <w:rFonts w:hint="eastAsia" w:ascii="仿宋" w:hAnsi="仿宋" w:eastAsia="仿宋" w:cs="仿宋"/>
          <w:color w:val="000000"/>
          <w:kern w:val="0"/>
          <w:sz w:val="24"/>
          <w:szCs w:val="24"/>
          <w:highlight w:val="none"/>
          <w:u w:val="single"/>
          <w:lang w:val="en-US" w:eastAsia="zh-CN" w:bidi="ar"/>
        </w:rPr>
        <w:t xml:space="preserve">                 </w:t>
      </w:r>
    </w:p>
    <w:p w14:paraId="7CA1992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乙方（拟分包单位）：</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2CCB14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甲方承诺，一旦在</w:t>
      </w:r>
      <w:r>
        <w:rPr>
          <w:rFonts w:hint="eastAsia" w:ascii="仿宋" w:hAnsi="仿宋" w:eastAsia="仿宋" w:cs="仿宋"/>
          <w:color w:val="000000"/>
          <w:kern w:val="0"/>
          <w:sz w:val="24"/>
          <w:szCs w:val="24"/>
          <w:highlight w:val="none"/>
          <w:u w:val="single"/>
          <w:lang w:val="en-US" w:eastAsia="zh-CN" w:bidi="ar"/>
        </w:rPr>
        <w:t xml:space="preserve">（采购项目名称）（项目编号/包号为：     </w:t>
      </w:r>
      <w:r>
        <w:rPr>
          <w:rFonts w:hint="eastAsia" w:ascii="仿宋" w:hAnsi="仿宋" w:eastAsia="仿宋" w:cs="仿宋"/>
          <w:color w:val="000000"/>
          <w:kern w:val="0"/>
          <w:sz w:val="24"/>
          <w:szCs w:val="24"/>
          <w:highlight w:val="none"/>
          <w:lang w:val="en-US" w:eastAsia="zh-CN" w:bidi="ar"/>
        </w:rPr>
        <w:t xml:space="preserve">）采购项目中获得采购合同，将按照下述约定将合同项下部分内容分包给乙方： </w:t>
      </w:r>
    </w:p>
    <w:p w14:paraId="418216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6" w:name="_Toc23780"/>
      <w:bookmarkStart w:id="47" w:name="_Toc25788"/>
      <w:r>
        <w:rPr>
          <w:rFonts w:hint="eastAsia" w:ascii="仿宋" w:hAnsi="仿宋" w:eastAsia="仿宋" w:cs="仿宋"/>
          <w:color w:val="000000"/>
          <w:kern w:val="0"/>
          <w:sz w:val="24"/>
          <w:szCs w:val="24"/>
          <w:highlight w:val="none"/>
          <w:lang w:val="en-US" w:eastAsia="zh-CN" w:bidi="ar"/>
        </w:rPr>
        <w:t>1.分包内容：</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w:t>
      </w:r>
      <w:bookmarkEnd w:id="46"/>
      <w:bookmarkEnd w:id="47"/>
      <w:r>
        <w:rPr>
          <w:rFonts w:hint="eastAsia" w:ascii="仿宋" w:hAnsi="仿宋" w:eastAsia="仿宋" w:cs="仿宋"/>
          <w:color w:val="000000"/>
          <w:kern w:val="0"/>
          <w:sz w:val="24"/>
          <w:szCs w:val="24"/>
          <w:highlight w:val="none"/>
          <w:lang w:val="en-US" w:eastAsia="zh-CN" w:bidi="ar"/>
        </w:rPr>
        <w:t xml:space="preserve"> </w:t>
      </w:r>
    </w:p>
    <w:p w14:paraId="670597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2.分包金额：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，该金额占该采购包预算总金额的比例为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3977C2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乙方承诺将在上述情况下与甲方签订分包合同。 </w:t>
      </w:r>
    </w:p>
    <w:p w14:paraId="37519A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本协议自各方盖章之日起生效，如甲方未在该项目（采购包）中标，本协议自动终止。 </w:t>
      </w:r>
    </w:p>
    <w:p w14:paraId="0054C8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537F92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甲方（盖章）：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乙方（盖章）：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116594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日期： </w:t>
      </w:r>
      <w:r>
        <w:rPr>
          <w:rFonts w:hint="eastAsia" w:ascii="仿宋" w:hAnsi="仿宋" w:eastAsia="仿宋" w:cs="仿宋"/>
          <w:color w:val="000000"/>
          <w:kern w:val="0"/>
          <w:sz w:val="24"/>
          <w:szCs w:val="24"/>
          <w:highlight w:val="none"/>
          <w:u w:val="single"/>
          <w:lang w:val="en-US" w:eastAsia="zh-CN" w:bidi="ar"/>
        </w:rPr>
        <w:t xml:space="preserve">    年    月    日</w:t>
      </w:r>
      <w:r>
        <w:rPr>
          <w:rFonts w:hint="eastAsia" w:ascii="仿宋" w:hAnsi="仿宋" w:eastAsia="仿宋" w:cs="仿宋"/>
          <w:color w:val="000000"/>
          <w:kern w:val="0"/>
          <w:sz w:val="24"/>
          <w:szCs w:val="24"/>
          <w:highlight w:val="none"/>
          <w:lang w:val="en-US" w:eastAsia="zh-CN" w:bidi="ar"/>
        </w:rPr>
        <w:t xml:space="preserve"> </w:t>
      </w:r>
    </w:p>
    <w:p w14:paraId="47F8A07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702EB7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说明：本协议仅在供应商“为落实政府采购政策”而向中小企业分包时必须提供，否则响应无效；且供应商须与所有拟分包单位分别签订《分包意向协议》，每单位签订一份，并在响应文件中提交全部协议原件的电子件，否则响应无效。</w:t>
      </w:r>
    </w:p>
    <w:p w14:paraId="6DDA07CA">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3383EAE0">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2-3 其它落实政府采购政策的资格要求（如有）</w:t>
      </w:r>
    </w:p>
    <w:p w14:paraId="76F66EC6">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608B6F78">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0C3E7AF6">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6C8D300A">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3  本项目的特定资格要求（如有） </w:t>
      </w:r>
    </w:p>
    <w:p w14:paraId="4A1C9D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6559E280">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9F57459">
      <w:pPr>
        <w:keepNext w:val="0"/>
        <w:keepLines w:val="0"/>
        <w:widowControl/>
        <w:suppressLineNumbers w:val="0"/>
        <w:jc w:val="left"/>
        <w:rPr>
          <w:rFonts w:hint="eastAsia" w:ascii="仿宋" w:hAnsi="仿宋" w:eastAsia="仿宋" w:cs="仿宋"/>
          <w:sz w:val="24"/>
          <w:szCs w:val="24"/>
          <w:highlight w:val="none"/>
          <w:lang w:val="en-US"/>
        </w:rPr>
      </w:pPr>
      <w:r>
        <w:rPr>
          <w:rFonts w:hint="eastAsia" w:ascii="仿宋" w:hAnsi="仿宋" w:eastAsia="仿宋" w:cs="仿宋"/>
          <w:color w:val="000000"/>
          <w:kern w:val="0"/>
          <w:sz w:val="24"/>
          <w:szCs w:val="24"/>
          <w:highlight w:val="none"/>
          <w:lang w:val="en-US" w:eastAsia="zh-CN" w:bidi="ar"/>
        </w:rPr>
        <w:t>4  投标保证金凭证/交款单据电子件</w:t>
      </w:r>
    </w:p>
    <w:p w14:paraId="07D89C2A">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493445E0">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67CC4852">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21769100">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152EB9C8">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5  投标书 </w:t>
      </w:r>
    </w:p>
    <w:p w14:paraId="0891F09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3726A1C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投标书</w:t>
      </w:r>
    </w:p>
    <w:p w14:paraId="1C0552B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2611DC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（采购人或采购代理机构）</w:t>
      </w:r>
      <w:r>
        <w:rPr>
          <w:rFonts w:hint="eastAsia" w:ascii="仿宋" w:hAnsi="仿宋" w:eastAsia="仿宋" w:cs="仿宋"/>
          <w:color w:val="000000"/>
          <w:kern w:val="0"/>
          <w:sz w:val="24"/>
          <w:szCs w:val="24"/>
          <w:highlight w:val="none"/>
          <w:lang w:val="en-US" w:eastAsia="zh-CN" w:bidi="ar"/>
        </w:rPr>
        <w:t xml:space="preserve"> </w:t>
      </w:r>
    </w:p>
    <w:p w14:paraId="57A4C9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我方参加你方就</w:t>
      </w:r>
      <w:r>
        <w:rPr>
          <w:rFonts w:hint="eastAsia" w:ascii="仿宋" w:hAnsi="仿宋" w:eastAsia="仿宋" w:cs="仿宋"/>
          <w:color w:val="000000"/>
          <w:kern w:val="0"/>
          <w:sz w:val="24"/>
          <w:szCs w:val="24"/>
          <w:highlight w:val="none"/>
          <w:u w:val="single"/>
          <w:lang w:val="en-US" w:eastAsia="zh-CN" w:bidi="ar"/>
        </w:rPr>
        <w:t>（项目名称，项目编号/包号）</w:t>
      </w:r>
      <w:r>
        <w:rPr>
          <w:rFonts w:hint="eastAsia" w:ascii="仿宋" w:hAnsi="仿宋" w:eastAsia="仿宋" w:cs="仿宋"/>
          <w:color w:val="000000"/>
          <w:kern w:val="0"/>
          <w:sz w:val="24"/>
          <w:szCs w:val="24"/>
          <w:highlight w:val="none"/>
          <w:lang w:val="en-US" w:eastAsia="zh-CN" w:bidi="ar"/>
        </w:rPr>
        <w:t xml:space="preserve">组织的采购活动，并对此项目进行投标响应。 </w:t>
      </w:r>
    </w:p>
    <w:p w14:paraId="33AAF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8" w:name="_Toc962"/>
      <w:bookmarkStart w:id="49" w:name="_Toc31541"/>
      <w:r>
        <w:rPr>
          <w:rFonts w:hint="eastAsia" w:ascii="仿宋" w:hAnsi="仿宋" w:eastAsia="仿宋" w:cs="仿宋"/>
          <w:color w:val="000000"/>
          <w:kern w:val="0"/>
          <w:sz w:val="24"/>
          <w:szCs w:val="24"/>
          <w:highlight w:val="none"/>
          <w:lang w:val="en-US" w:eastAsia="zh-CN" w:bidi="ar"/>
        </w:rPr>
        <w:t>1. 我方已详细审查全部采购文件，自愿参与投标响应并承诺如下：</w:t>
      </w:r>
      <w:bookmarkEnd w:id="48"/>
      <w:bookmarkEnd w:id="49"/>
      <w:r>
        <w:rPr>
          <w:rFonts w:hint="eastAsia" w:ascii="仿宋" w:hAnsi="仿宋" w:eastAsia="仿宋" w:cs="仿宋"/>
          <w:color w:val="000000"/>
          <w:kern w:val="0"/>
          <w:sz w:val="24"/>
          <w:szCs w:val="24"/>
          <w:highlight w:val="none"/>
          <w:lang w:val="en-US" w:eastAsia="zh-CN" w:bidi="ar"/>
        </w:rPr>
        <w:t xml:space="preserve"> </w:t>
      </w:r>
    </w:p>
    <w:p w14:paraId="434D40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（1）本响应有效期为自提交响应文件的截止之日起</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个日历日。 </w:t>
      </w:r>
    </w:p>
    <w:p w14:paraId="183538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（2）除合同条款及采购需求偏离表列出的偏离外，我方响应采购文件的全部要求。 </w:t>
      </w:r>
    </w:p>
    <w:p w14:paraId="67CF88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（3）我方已提供的全部文件资料是真实、准确的，并对此承担一切法律后果。 </w:t>
      </w:r>
    </w:p>
    <w:p w14:paraId="227C446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3F57EA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50" w:name="_Toc7839"/>
      <w:bookmarkStart w:id="51" w:name="_Toc30568"/>
      <w:r>
        <w:rPr>
          <w:rFonts w:hint="eastAsia" w:ascii="仿宋" w:hAnsi="仿宋" w:eastAsia="仿宋" w:cs="仿宋"/>
          <w:color w:val="000000"/>
          <w:kern w:val="0"/>
          <w:sz w:val="24"/>
          <w:szCs w:val="24"/>
          <w:highlight w:val="none"/>
          <w:lang w:val="en-US" w:eastAsia="zh-CN" w:bidi="ar"/>
        </w:rPr>
        <w:t>2. 其他补充条款（如有）：</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w:t>
      </w:r>
      <w:bookmarkEnd w:id="50"/>
      <w:bookmarkEnd w:id="51"/>
      <w:r>
        <w:rPr>
          <w:rFonts w:hint="eastAsia" w:ascii="仿宋" w:hAnsi="仿宋" w:eastAsia="仿宋" w:cs="仿宋"/>
          <w:color w:val="000000"/>
          <w:kern w:val="0"/>
          <w:sz w:val="24"/>
          <w:szCs w:val="24"/>
          <w:highlight w:val="none"/>
          <w:lang w:val="en-US" w:eastAsia="zh-CN" w:bidi="ar"/>
        </w:rPr>
        <w:t xml:space="preserve"> </w:t>
      </w:r>
    </w:p>
    <w:p w14:paraId="1326BE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与本投标有关的一切正式往来信函请寄： </w:t>
      </w:r>
    </w:p>
    <w:p w14:paraId="7E378E7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地址</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传真</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143542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电话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电子函件</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4DF080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46CE3B9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供应商名称（加盖公章） </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310D8F6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648E3A0F">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54208E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52" w:name="_Toc19816"/>
      <w:bookmarkStart w:id="53" w:name="_Toc26890"/>
      <w:r>
        <w:rPr>
          <w:rFonts w:hint="eastAsia" w:ascii="仿宋" w:hAnsi="仿宋" w:eastAsia="仿宋" w:cs="仿宋"/>
          <w:color w:val="000000"/>
          <w:kern w:val="0"/>
          <w:sz w:val="24"/>
          <w:szCs w:val="24"/>
          <w:highlight w:val="none"/>
          <w:lang w:val="en-US" w:eastAsia="zh-CN" w:bidi="ar"/>
        </w:rPr>
        <w:t>6  授权委托书</w:t>
      </w:r>
      <w:bookmarkEnd w:id="52"/>
      <w:bookmarkEnd w:id="53"/>
      <w:r>
        <w:rPr>
          <w:rFonts w:hint="eastAsia" w:ascii="仿宋" w:hAnsi="仿宋" w:eastAsia="仿宋" w:cs="仿宋"/>
          <w:color w:val="000000"/>
          <w:kern w:val="0"/>
          <w:sz w:val="24"/>
          <w:szCs w:val="24"/>
          <w:highlight w:val="none"/>
          <w:lang w:val="en-US" w:eastAsia="zh-CN" w:bidi="ar"/>
        </w:rPr>
        <w:t xml:space="preserve"> </w:t>
      </w:r>
    </w:p>
    <w:p w14:paraId="67CB86A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000000"/>
          <w:kern w:val="0"/>
          <w:sz w:val="32"/>
          <w:szCs w:val="32"/>
          <w:highlight w:val="none"/>
          <w:lang w:val="en-US" w:eastAsia="zh-CN" w:bidi="ar"/>
        </w:rPr>
      </w:pPr>
    </w:p>
    <w:p w14:paraId="0B34B9D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授权委托书</w:t>
      </w:r>
    </w:p>
    <w:p w14:paraId="4A0F661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1B961A7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（姓名）系</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（供应商名称）的法定代表人（单位负责人），现委托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（姓名）为我方代理人。代理人根据授权，以我方名义签署、澄清确认、递交、撤回、修改</w:t>
      </w:r>
      <w:r>
        <w:rPr>
          <w:rFonts w:hint="eastAsia" w:ascii="仿宋" w:hAnsi="仿宋" w:eastAsia="仿宋" w:cs="仿宋"/>
          <w:color w:val="000000"/>
          <w:kern w:val="0"/>
          <w:sz w:val="24"/>
          <w:szCs w:val="24"/>
          <w:highlight w:val="none"/>
          <w:u w:val="single"/>
          <w:lang w:val="en-US" w:eastAsia="zh-CN" w:bidi="ar"/>
        </w:rPr>
        <w:t xml:space="preserve">           （项目名称）</w:t>
      </w:r>
      <w:r>
        <w:rPr>
          <w:rFonts w:hint="eastAsia" w:ascii="仿宋" w:hAnsi="仿宋" w:eastAsia="仿宋" w:cs="仿宋"/>
          <w:color w:val="000000"/>
          <w:kern w:val="0"/>
          <w:sz w:val="24"/>
          <w:szCs w:val="24"/>
          <w:highlight w:val="none"/>
          <w:lang w:val="en-US" w:eastAsia="zh-CN" w:bidi="ar"/>
        </w:rPr>
        <w:t xml:space="preserve">响应文件和处理有关事宜，其法律后果由我方承担。 </w:t>
      </w:r>
    </w:p>
    <w:p w14:paraId="7257816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委托期限：自本授权委托书签署之日起至响应有效期届满之日止。 </w:t>
      </w:r>
    </w:p>
    <w:p w14:paraId="47EAB9F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代理人无转委托权。 </w:t>
      </w:r>
    </w:p>
    <w:p w14:paraId="362DF8F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755D50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30D133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448448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7A1CAE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r>
        <w:rPr>
          <w:rFonts w:hint="eastAsia" w:ascii="仿宋" w:hAnsi="仿宋" w:eastAsia="仿宋" w:cs="仿宋"/>
          <w:color w:val="000000"/>
          <w:kern w:val="0"/>
          <w:sz w:val="24"/>
          <w:szCs w:val="24"/>
          <w:highlight w:val="none"/>
          <w:lang w:val="en-US" w:eastAsia="zh-CN" w:bidi="ar"/>
        </w:rPr>
        <w:t xml:space="preserve"> </w:t>
      </w:r>
    </w:p>
    <w:p w14:paraId="713CE7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24A224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C04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2F3B72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411A65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1C4BD9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3A3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1614DB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7C505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2BCE7B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778966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517DE6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54" w:name="_Toc24165"/>
      <w:bookmarkStart w:id="55" w:name="_Toc19808"/>
      <w:r>
        <w:rPr>
          <w:rFonts w:hint="eastAsia" w:ascii="仿宋" w:hAnsi="仿宋" w:eastAsia="仿宋" w:cs="仿宋"/>
          <w:color w:val="000000"/>
          <w:kern w:val="0"/>
          <w:sz w:val="24"/>
          <w:szCs w:val="24"/>
          <w:highlight w:val="none"/>
          <w:lang w:val="en-US" w:eastAsia="zh-CN" w:bidi="ar"/>
        </w:rPr>
        <w:t>3.供应商为自然人的情形，可不提供本《授权委托书》。</w:t>
      </w:r>
      <w:bookmarkEnd w:id="54"/>
      <w:bookmarkEnd w:id="55"/>
    </w:p>
    <w:p w14:paraId="1651868B">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33ECF64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附：法定代表人（单位负责人）身份证明</w:t>
      </w:r>
    </w:p>
    <w:p w14:paraId="15A2AE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3BD30B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 xml:space="preserve">（采购人或采购代理机构） </w:t>
      </w:r>
    </w:p>
    <w:p w14:paraId="75DBE17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兹证明， </w:t>
      </w:r>
    </w:p>
    <w:p w14:paraId="720FC4E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000000"/>
          <w:kern w:val="0"/>
          <w:sz w:val="24"/>
          <w:szCs w:val="24"/>
          <w:highlight w:val="none"/>
          <w:u w:val="single"/>
          <w:lang w:val="en-US" w:eastAsia="zh-CN" w:bidi="ar"/>
        </w:rPr>
      </w:pPr>
      <w:r>
        <w:rPr>
          <w:rFonts w:hint="eastAsia" w:ascii="仿宋" w:hAnsi="仿宋" w:eastAsia="仿宋" w:cs="仿宋"/>
          <w:color w:val="000000"/>
          <w:kern w:val="0"/>
          <w:sz w:val="24"/>
          <w:szCs w:val="24"/>
          <w:highlight w:val="none"/>
          <w:lang w:val="en-US" w:eastAsia="zh-CN" w:bidi="ar"/>
        </w:rPr>
        <w:t>姓名：</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性别：</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年龄：</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职务：</w:t>
      </w:r>
      <w:r>
        <w:rPr>
          <w:rFonts w:hint="eastAsia" w:ascii="仿宋" w:hAnsi="仿宋" w:eastAsia="仿宋" w:cs="仿宋"/>
          <w:color w:val="000000"/>
          <w:kern w:val="0"/>
          <w:sz w:val="24"/>
          <w:szCs w:val="24"/>
          <w:highlight w:val="none"/>
          <w:u w:val="single"/>
          <w:lang w:val="en-US" w:eastAsia="zh-CN" w:bidi="ar"/>
        </w:rPr>
        <w:t xml:space="preserve">     </w:t>
      </w:r>
    </w:p>
    <w:p w14:paraId="3A8FDA8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系</w:t>
      </w:r>
      <w:r>
        <w:rPr>
          <w:rFonts w:hint="eastAsia" w:ascii="仿宋" w:hAnsi="仿宋" w:eastAsia="仿宋" w:cs="仿宋"/>
          <w:color w:val="000000"/>
          <w:kern w:val="0"/>
          <w:sz w:val="24"/>
          <w:szCs w:val="24"/>
          <w:highlight w:val="none"/>
          <w:u w:val="single"/>
          <w:lang w:val="en-US" w:eastAsia="zh-CN" w:bidi="ar"/>
        </w:rPr>
        <w:t xml:space="preserve">       （供应商名称）</w:t>
      </w:r>
      <w:r>
        <w:rPr>
          <w:rFonts w:hint="eastAsia" w:ascii="仿宋" w:hAnsi="仿宋" w:eastAsia="仿宋" w:cs="仿宋"/>
          <w:color w:val="000000"/>
          <w:kern w:val="0"/>
          <w:sz w:val="24"/>
          <w:szCs w:val="24"/>
          <w:highlight w:val="none"/>
          <w:lang w:val="en-US" w:eastAsia="zh-CN" w:bidi="ar"/>
        </w:rPr>
        <w:t xml:space="preserve">的法定代表人（单位负责人）。 </w:t>
      </w:r>
    </w:p>
    <w:p w14:paraId="4C2D79D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5F2BD6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5CB2F7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附：法定代表人（单位负责人）有效期内的身份证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CE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1C1B0A57">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c>
          <w:tcPr>
            <w:tcW w:w="4261" w:type="dxa"/>
          </w:tcPr>
          <w:p w14:paraId="3E34C14E">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r>
    </w:tbl>
    <w:p w14:paraId="5D2FD15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4117CC7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064B45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13AF65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07E169F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36BA7A7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0AA597F9">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28F291C">
      <w:pPr>
        <w:outlineLvl w:val="1"/>
        <w:rPr>
          <w:rFonts w:hint="eastAsia" w:ascii="仿宋" w:hAnsi="仿宋" w:eastAsia="仿宋" w:cs="仿宋"/>
          <w:sz w:val="24"/>
          <w:szCs w:val="24"/>
          <w:highlight w:val="none"/>
          <w:lang w:val="en-US" w:eastAsia="zh-CN"/>
        </w:rPr>
      </w:pPr>
      <w:bookmarkStart w:id="56" w:name="_Toc26817"/>
      <w:bookmarkStart w:id="57" w:name="_Toc18742"/>
      <w:r>
        <w:rPr>
          <w:rFonts w:hint="eastAsia" w:ascii="仿宋" w:hAnsi="仿宋" w:eastAsia="仿宋" w:cs="仿宋"/>
          <w:sz w:val="24"/>
          <w:szCs w:val="24"/>
          <w:highlight w:val="none"/>
          <w:lang w:val="en-US" w:eastAsia="zh-CN"/>
        </w:rPr>
        <w:t>7  报价一览表</w:t>
      </w:r>
      <w:bookmarkEnd w:id="56"/>
      <w:bookmarkEnd w:id="57"/>
    </w:p>
    <w:p w14:paraId="1012B5E1">
      <w:pPr>
        <w:rPr>
          <w:rFonts w:hint="eastAsia" w:ascii="仿宋" w:hAnsi="仿宋" w:eastAsia="仿宋" w:cs="仿宋"/>
          <w:highlight w:val="none"/>
          <w:lang w:val="en-US" w:eastAsia="zh-CN"/>
        </w:rPr>
      </w:pPr>
    </w:p>
    <w:p w14:paraId="28343AC6">
      <w:pPr>
        <w:jc w:val="center"/>
        <w:rPr>
          <w:rFonts w:hint="eastAsia" w:ascii="仿宋" w:hAnsi="仿宋" w:eastAsia="仿宋" w:cs="仿宋"/>
          <w:highlight w:val="none"/>
          <w:lang w:val="en-US" w:eastAsia="zh-CN"/>
        </w:rPr>
      </w:pPr>
      <w:r>
        <w:rPr>
          <w:rFonts w:hint="eastAsia" w:ascii="仿宋" w:hAnsi="仿宋" w:eastAsia="仿宋" w:cs="仿宋"/>
          <w:b/>
          <w:bCs/>
          <w:sz w:val="32"/>
          <w:szCs w:val="32"/>
          <w:highlight w:val="none"/>
          <w:lang w:val="en-US" w:eastAsia="zh-CN"/>
        </w:rPr>
        <w:t>首次报价表</w:t>
      </w:r>
    </w:p>
    <w:p w14:paraId="6A3A2058">
      <w:pPr>
        <w:rPr>
          <w:rFonts w:hint="eastAsia" w:ascii="仿宋" w:hAnsi="仿宋" w:eastAsia="仿宋" w:cs="仿宋"/>
          <w:highlight w:val="none"/>
          <w:lang w:val="en-US" w:eastAsia="zh-CN"/>
        </w:rPr>
      </w:pPr>
    </w:p>
    <w:p w14:paraId="7A67F252">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t>项目编号/包号：</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none"/>
          <w:lang w:val="en-US" w:eastAsia="zh-CN"/>
        </w:rPr>
        <w:t xml:space="preserve">     </w:t>
      </w:r>
      <w:r>
        <w:rPr>
          <w:rFonts w:hint="eastAsia" w:ascii="仿宋" w:hAnsi="仿宋" w:eastAsia="仿宋" w:cs="仿宋"/>
          <w:highlight w:val="none"/>
          <w:lang w:val="en-US" w:eastAsia="zh-CN"/>
        </w:rPr>
        <w:t>项目名称：</w:t>
      </w:r>
      <w:r>
        <w:rPr>
          <w:rFonts w:hint="eastAsia" w:ascii="仿宋" w:hAnsi="仿宋" w:eastAsia="仿宋" w:cs="仿宋"/>
          <w:highlight w:val="none"/>
          <w:u w:val="single"/>
          <w:lang w:val="en-US" w:eastAsia="zh-CN"/>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2367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6DAD2325">
            <w:pPr>
              <w:pStyle w:val="28"/>
              <w:ind w:left="0" w:leftChars="0" w:firstLine="0" w:firstLineChars="0"/>
              <w:jc w:val="center"/>
              <w:rPr>
                <w:rFonts w:hint="eastAsia" w:ascii="仿宋" w:hAnsi="仿宋" w:eastAsia="仿宋" w:cs="仿宋"/>
                <w:b/>
                <w:bCs/>
                <w:highlight w:val="none"/>
                <w:vertAlign w:val="baseline"/>
                <w:lang w:val="en-US" w:eastAsia="zh-CN"/>
              </w:rPr>
            </w:pPr>
            <w:r>
              <w:rPr>
                <w:rFonts w:hint="eastAsia" w:ascii="仿宋" w:hAnsi="仿宋" w:eastAsia="仿宋" w:cs="仿宋"/>
                <w:b/>
                <w:bCs/>
                <w:highlight w:val="none"/>
                <w:vertAlign w:val="baseline"/>
                <w:lang w:val="en-US" w:eastAsia="zh-CN"/>
              </w:rPr>
              <w:t>序号</w:t>
            </w:r>
          </w:p>
        </w:tc>
        <w:tc>
          <w:tcPr>
            <w:tcW w:w="2951" w:type="dxa"/>
            <w:vMerge w:val="restart"/>
            <w:vAlign w:val="center"/>
          </w:tcPr>
          <w:p w14:paraId="2173653F">
            <w:pPr>
              <w:pStyle w:val="28"/>
              <w:ind w:left="0" w:leftChars="0" w:firstLine="0" w:firstLineChars="0"/>
              <w:jc w:val="center"/>
              <w:rPr>
                <w:rFonts w:hint="eastAsia" w:ascii="仿宋" w:hAnsi="仿宋" w:eastAsia="仿宋" w:cs="仿宋"/>
                <w:b/>
                <w:bCs/>
                <w:highlight w:val="none"/>
                <w:vertAlign w:val="baseline"/>
                <w:lang w:val="en-US" w:eastAsia="zh-CN"/>
              </w:rPr>
            </w:pPr>
            <w:r>
              <w:rPr>
                <w:rFonts w:hint="eastAsia" w:ascii="仿宋" w:hAnsi="仿宋" w:eastAsia="仿宋" w:cs="仿宋"/>
                <w:b/>
                <w:bCs/>
                <w:highlight w:val="none"/>
                <w:vertAlign w:val="baseline"/>
                <w:lang w:val="en-US" w:eastAsia="zh-CN"/>
              </w:rPr>
              <w:t>供应商名称</w:t>
            </w:r>
          </w:p>
        </w:tc>
        <w:tc>
          <w:tcPr>
            <w:tcW w:w="4262" w:type="dxa"/>
            <w:gridSpan w:val="2"/>
            <w:vAlign w:val="center"/>
          </w:tcPr>
          <w:p w14:paraId="14ECBA15">
            <w:pPr>
              <w:pStyle w:val="28"/>
              <w:ind w:left="0" w:leftChars="0" w:firstLine="0" w:firstLineChars="0"/>
              <w:jc w:val="center"/>
              <w:rPr>
                <w:rFonts w:hint="eastAsia" w:ascii="仿宋" w:hAnsi="仿宋" w:eastAsia="仿宋" w:cs="仿宋"/>
                <w:b/>
                <w:bCs/>
                <w:highlight w:val="none"/>
                <w:vertAlign w:val="baseline"/>
                <w:lang w:val="en-US" w:eastAsia="zh-CN"/>
              </w:rPr>
            </w:pPr>
            <w:r>
              <w:rPr>
                <w:rFonts w:hint="eastAsia" w:ascii="仿宋" w:hAnsi="仿宋" w:eastAsia="仿宋" w:cs="仿宋"/>
                <w:b/>
                <w:bCs/>
                <w:highlight w:val="none"/>
                <w:vertAlign w:val="baseline"/>
                <w:lang w:val="en-US" w:eastAsia="zh-CN"/>
              </w:rPr>
              <w:t>响应报价（元）</w:t>
            </w:r>
          </w:p>
        </w:tc>
      </w:tr>
      <w:tr w14:paraId="1271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5442235C">
            <w:pPr>
              <w:pStyle w:val="28"/>
              <w:jc w:val="center"/>
              <w:rPr>
                <w:rFonts w:hint="eastAsia" w:ascii="仿宋" w:hAnsi="仿宋" w:eastAsia="仿宋" w:cs="仿宋"/>
                <w:b/>
                <w:bCs/>
                <w:highlight w:val="none"/>
                <w:vertAlign w:val="baseline"/>
                <w:lang w:val="en-US" w:eastAsia="zh-CN"/>
              </w:rPr>
            </w:pPr>
          </w:p>
        </w:tc>
        <w:tc>
          <w:tcPr>
            <w:tcW w:w="2951" w:type="dxa"/>
            <w:vMerge w:val="continue"/>
            <w:vAlign w:val="center"/>
          </w:tcPr>
          <w:p w14:paraId="62DEBB03">
            <w:pPr>
              <w:pStyle w:val="28"/>
              <w:jc w:val="center"/>
              <w:rPr>
                <w:rFonts w:hint="eastAsia" w:ascii="仿宋" w:hAnsi="仿宋" w:eastAsia="仿宋" w:cs="仿宋"/>
                <w:b/>
                <w:bCs/>
                <w:highlight w:val="none"/>
                <w:vertAlign w:val="baseline"/>
                <w:lang w:val="en-US" w:eastAsia="zh-CN"/>
              </w:rPr>
            </w:pPr>
          </w:p>
        </w:tc>
        <w:tc>
          <w:tcPr>
            <w:tcW w:w="2131" w:type="dxa"/>
            <w:vAlign w:val="center"/>
          </w:tcPr>
          <w:p w14:paraId="6075BDEE">
            <w:pPr>
              <w:pStyle w:val="28"/>
              <w:ind w:left="0" w:leftChars="0" w:firstLine="0" w:firstLineChars="0"/>
              <w:jc w:val="center"/>
              <w:rPr>
                <w:rFonts w:hint="eastAsia" w:ascii="仿宋" w:hAnsi="仿宋" w:eastAsia="仿宋" w:cs="仿宋"/>
                <w:b/>
                <w:bCs/>
                <w:highlight w:val="none"/>
                <w:vertAlign w:val="baseline"/>
                <w:lang w:val="en-US" w:eastAsia="zh-CN"/>
              </w:rPr>
            </w:pPr>
            <w:r>
              <w:rPr>
                <w:rFonts w:hint="eastAsia" w:ascii="仿宋" w:hAnsi="仿宋" w:eastAsia="仿宋" w:cs="仿宋"/>
                <w:b/>
                <w:bCs/>
                <w:highlight w:val="none"/>
                <w:vertAlign w:val="baseline"/>
                <w:lang w:val="en-US" w:eastAsia="zh-CN"/>
              </w:rPr>
              <w:t>大写</w:t>
            </w:r>
          </w:p>
        </w:tc>
        <w:tc>
          <w:tcPr>
            <w:tcW w:w="2131" w:type="dxa"/>
            <w:vAlign w:val="center"/>
          </w:tcPr>
          <w:p w14:paraId="3773AB71">
            <w:pPr>
              <w:pStyle w:val="28"/>
              <w:ind w:left="0" w:leftChars="0" w:firstLine="0" w:firstLineChars="0"/>
              <w:jc w:val="center"/>
              <w:rPr>
                <w:rFonts w:hint="eastAsia" w:ascii="仿宋" w:hAnsi="仿宋" w:eastAsia="仿宋" w:cs="仿宋"/>
                <w:b/>
                <w:bCs/>
                <w:highlight w:val="none"/>
                <w:vertAlign w:val="baseline"/>
                <w:lang w:val="en-US" w:eastAsia="zh-CN"/>
              </w:rPr>
            </w:pPr>
            <w:r>
              <w:rPr>
                <w:rFonts w:hint="eastAsia" w:ascii="仿宋" w:hAnsi="仿宋" w:eastAsia="仿宋" w:cs="仿宋"/>
                <w:b/>
                <w:bCs/>
                <w:highlight w:val="none"/>
                <w:vertAlign w:val="baseline"/>
                <w:lang w:val="en-US" w:eastAsia="zh-CN"/>
              </w:rPr>
              <w:t>小写</w:t>
            </w:r>
          </w:p>
        </w:tc>
      </w:tr>
      <w:tr w14:paraId="13B4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1CE4A7C2">
            <w:pPr>
              <w:pStyle w:val="28"/>
              <w:jc w:val="center"/>
              <w:rPr>
                <w:rFonts w:hint="eastAsia" w:ascii="仿宋" w:hAnsi="仿宋" w:eastAsia="仿宋" w:cs="仿宋"/>
                <w:highlight w:val="none"/>
                <w:vertAlign w:val="baseline"/>
                <w:lang w:val="en-US" w:eastAsia="zh-CN"/>
              </w:rPr>
            </w:pPr>
          </w:p>
        </w:tc>
        <w:tc>
          <w:tcPr>
            <w:tcW w:w="2951" w:type="dxa"/>
            <w:vAlign w:val="center"/>
          </w:tcPr>
          <w:p w14:paraId="4B98391B">
            <w:pPr>
              <w:pStyle w:val="28"/>
              <w:jc w:val="center"/>
              <w:rPr>
                <w:rFonts w:hint="eastAsia" w:ascii="仿宋" w:hAnsi="仿宋" w:eastAsia="仿宋" w:cs="仿宋"/>
                <w:highlight w:val="none"/>
                <w:vertAlign w:val="baseline"/>
                <w:lang w:val="en-US" w:eastAsia="zh-CN"/>
              </w:rPr>
            </w:pPr>
          </w:p>
        </w:tc>
        <w:tc>
          <w:tcPr>
            <w:tcW w:w="2131" w:type="dxa"/>
            <w:vAlign w:val="center"/>
          </w:tcPr>
          <w:p w14:paraId="578B9AB9">
            <w:pPr>
              <w:pStyle w:val="28"/>
              <w:jc w:val="center"/>
              <w:rPr>
                <w:rFonts w:hint="eastAsia" w:ascii="仿宋" w:hAnsi="仿宋" w:eastAsia="仿宋" w:cs="仿宋"/>
                <w:highlight w:val="none"/>
                <w:vertAlign w:val="baseline"/>
                <w:lang w:val="en-US" w:eastAsia="zh-CN"/>
              </w:rPr>
            </w:pPr>
          </w:p>
        </w:tc>
        <w:tc>
          <w:tcPr>
            <w:tcW w:w="2131" w:type="dxa"/>
            <w:vAlign w:val="center"/>
          </w:tcPr>
          <w:p w14:paraId="66B534AD">
            <w:pPr>
              <w:pStyle w:val="28"/>
              <w:jc w:val="center"/>
              <w:rPr>
                <w:rFonts w:hint="eastAsia" w:ascii="仿宋" w:hAnsi="仿宋" w:eastAsia="仿宋" w:cs="仿宋"/>
                <w:highlight w:val="none"/>
                <w:vertAlign w:val="baseline"/>
                <w:lang w:val="en-US" w:eastAsia="zh-CN"/>
              </w:rPr>
            </w:pPr>
          </w:p>
        </w:tc>
      </w:tr>
    </w:tbl>
    <w:p w14:paraId="2AF4E673">
      <w:pPr>
        <w:pStyle w:val="28"/>
        <w:ind w:left="0" w:leftChars="0" w:firstLine="0" w:firstLineChars="0"/>
        <w:rPr>
          <w:rFonts w:hint="eastAsia" w:ascii="仿宋" w:hAnsi="仿宋" w:eastAsia="仿宋" w:cs="仿宋"/>
          <w:highlight w:val="none"/>
          <w:lang w:val="en-US" w:eastAsia="zh-CN"/>
        </w:rPr>
      </w:pPr>
    </w:p>
    <w:p w14:paraId="733EE155">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r>
        <w:rPr>
          <w:rFonts w:hint="eastAsia" w:ascii="仿宋" w:hAnsi="仿宋" w:eastAsia="仿宋" w:cs="仿宋"/>
          <w:kern w:val="2"/>
          <w:sz w:val="21"/>
          <w:szCs w:val="24"/>
          <w:highlight w:val="none"/>
          <w:lang w:val="en-US" w:eastAsia="zh-CN" w:bidi="zh-CN"/>
        </w:rPr>
        <w:t>注：1.此表中，每包的响应报价应和《分项报价表》中的总价相一致。</w:t>
      </w:r>
    </w:p>
    <w:p w14:paraId="22C63FA3">
      <w:pPr>
        <w:widowControl w:val="0"/>
        <w:spacing w:line="360" w:lineRule="auto"/>
        <w:ind w:firstLine="210" w:firstLineChars="100"/>
        <w:jc w:val="both"/>
        <w:outlineLvl w:val="1"/>
        <w:rPr>
          <w:rFonts w:hint="eastAsia" w:ascii="仿宋" w:hAnsi="仿宋" w:eastAsia="仿宋" w:cs="仿宋"/>
          <w:kern w:val="2"/>
          <w:sz w:val="21"/>
          <w:szCs w:val="24"/>
          <w:highlight w:val="none"/>
          <w:lang w:val="en-US" w:eastAsia="zh-CN" w:bidi="zh-CN"/>
        </w:rPr>
      </w:pPr>
      <w:bookmarkStart w:id="58" w:name="_Toc16486"/>
      <w:bookmarkStart w:id="59" w:name="_Toc28372"/>
      <w:r>
        <w:rPr>
          <w:rFonts w:hint="eastAsia" w:ascii="仿宋" w:hAnsi="仿宋" w:eastAsia="仿宋" w:cs="仿宋"/>
          <w:kern w:val="2"/>
          <w:sz w:val="21"/>
          <w:szCs w:val="24"/>
          <w:highlight w:val="none"/>
          <w:lang w:val="en-US" w:eastAsia="zh-CN" w:bidi="zh-CN"/>
        </w:rPr>
        <w:t>2.本表必须按包分别填写。</w:t>
      </w:r>
      <w:bookmarkEnd w:id="58"/>
      <w:bookmarkEnd w:id="59"/>
    </w:p>
    <w:p w14:paraId="2DD9D2F8">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70079A56">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28313B57">
      <w:pPr>
        <w:widowControl w:val="0"/>
        <w:spacing w:line="360" w:lineRule="auto"/>
        <w:ind w:firstLine="240" w:firstLineChars="100"/>
        <w:jc w:val="both"/>
        <w:rPr>
          <w:rFonts w:hint="eastAsia" w:ascii="仿宋" w:hAnsi="仿宋" w:eastAsia="仿宋" w:cs="仿宋"/>
          <w:kern w:val="2"/>
          <w:sz w:val="24"/>
          <w:szCs w:val="24"/>
          <w:highlight w:val="none"/>
          <w:u w:val="single"/>
          <w:lang w:val="en-US" w:eastAsia="zh-CN" w:bidi="zh-CN"/>
        </w:rPr>
      </w:pPr>
      <w:r>
        <w:rPr>
          <w:rFonts w:hint="eastAsia" w:ascii="仿宋" w:hAnsi="仿宋" w:eastAsia="仿宋" w:cs="仿宋"/>
          <w:kern w:val="2"/>
          <w:sz w:val="24"/>
          <w:szCs w:val="24"/>
          <w:highlight w:val="none"/>
          <w:lang w:val="en-US" w:eastAsia="zh-CN" w:bidi="zh-CN"/>
        </w:rPr>
        <w:t xml:space="preserve">供应商名称（加盖公章）： </w:t>
      </w:r>
      <w:r>
        <w:rPr>
          <w:rFonts w:hint="eastAsia" w:ascii="仿宋" w:hAnsi="仿宋" w:eastAsia="仿宋" w:cs="仿宋"/>
          <w:kern w:val="2"/>
          <w:sz w:val="24"/>
          <w:szCs w:val="24"/>
          <w:highlight w:val="none"/>
          <w:u w:val="single"/>
          <w:lang w:val="en-US" w:eastAsia="zh-CN" w:bidi="zh-CN"/>
        </w:rPr>
        <w:t xml:space="preserve">                </w:t>
      </w:r>
    </w:p>
    <w:p w14:paraId="68F0B5D6">
      <w:pPr>
        <w:widowControl w:val="0"/>
        <w:spacing w:line="360" w:lineRule="auto"/>
        <w:ind w:firstLine="240" w:firstLineChars="10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日期：</w:t>
      </w:r>
      <w:r>
        <w:rPr>
          <w:rFonts w:hint="eastAsia" w:ascii="仿宋" w:hAnsi="仿宋" w:eastAsia="仿宋" w:cs="仿宋"/>
          <w:kern w:val="2"/>
          <w:sz w:val="24"/>
          <w:szCs w:val="24"/>
          <w:highlight w:val="none"/>
          <w:u w:val="single"/>
          <w:lang w:val="en-US" w:eastAsia="zh-CN" w:bidi="zh-CN"/>
        </w:rPr>
        <w:t xml:space="preserve">     年    月    日</w:t>
      </w:r>
    </w:p>
    <w:p w14:paraId="45E8C077">
      <w:pPr>
        <w:pStyle w:val="24"/>
        <w:rPr>
          <w:rFonts w:hint="eastAsia" w:ascii="仿宋" w:hAnsi="仿宋" w:eastAsia="仿宋" w:cs="仿宋"/>
          <w:highlight w:val="none"/>
          <w:lang w:val="en-US" w:eastAsia="zh-CN"/>
        </w:rPr>
      </w:pPr>
    </w:p>
    <w:p w14:paraId="79C43A3D">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44FD8F03">
      <w:pPr>
        <w:pStyle w:val="28"/>
        <w:ind w:left="0" w:leftChars="0" w:firstLine="0" w:firstLineChars="0"/>
        <w:outlineLvl w:val="1"/>
        <w:rPr>
          <w:rFonts w:hint="eastAsia" w:ascii="仿宋" w:hAnsi="仿宋" w:eastAsia="仿宋" w:cs="仿宋"/>
          <w:sz w:val="24"/>
          <w:szCs w:val="24"/>
          <w:highlight w:val="none"/>
          <w:lang w:val="en-US" w:eastAsia="zh-CN"/>
        </w:rPr>
      </w:pPr>
      <w:bookmarkStart w:id="60" w:name="_Toc32732"/>
      <w:bookmarkStart w:id="61" w:name="_Toc16619"/>
      <w:r>
        <w:rPr>
          <w:rFonts w:hint="eastAsia" w:ascii="仿宋" w:hAnsi="仿宋" w:eastAsia="仿宋" w:cs="仿宋"/>
          <w:sz w:val="24"/>
          <w:szCs w:val="24"/>
          <w:highlight w:val="none"/>
          <w:lang w:val="en-US" w:eastAsia="zh-CN"/>
        </w:rPr>
        <w:t>7  分项报价表</w:t>
      </w:r>
      <w:bookmarkEnd w:id="60"/>
      <w:bookmarkEnd w:id="61"/>
    </w:p>
    <w:p w14:paraId="55599F4D">
      <w:pPr>
        <w:pStyle w:val="28"/>
        <w:ind w:left="0" w:leftChars="0" w:firstLine="0" w:firstLineChars="0"/>
        <w:jc w:val="cente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分项报价表</w:t>
      </w:r>
    </w:p>
    <w:p w14:paraId="137A032D">
      <w:pPr>
        <w:pStyle w:val="28"/>
        <w:ind w:left="0" w:leftChars="0" w:firstLine="0" w:firstLineChars="0"/>
        <w:jc w:val="center"/>
        <w:rPr>
          <w:rFonts w:hint="eastAsia" w:ascii="仿宋" w:hAnsi="仿宋" w:eastAsia="仿宋" w:cs="仿宋"/>
          <w:highlight w:val="none"/>
          <w:lang w:val="en-US" w:eastAsia="zh-CN"/>
        </w:rPr>
      </w:pPr>
    </w:p>
    <w:p w14:paraId="520BD296">
      <w:pPr>
        <w:pStyle w:val="28"/>
        <w:ind w:left="0" w:leftChars="0" w:firstLine="0" w:firstLineChars="0"/>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项目编号/包号：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项目名称：</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报价单位：人民币元</w:t>
      </w:r>
    </w:p>
    <w:tbl>
      <w:tblPr>
        <w:tblStyle w:val="30"/>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59F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1CC24A4F">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5E594A4">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58EF8FBF">
            <w:pP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24538E1A">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3DAA98A8">
            <w:pP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6DB41544">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2D8BDD0B">
            <w:pP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7472C066">
            <w:pP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CB25DAD">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7D9FC493">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6EE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35369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D2E46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A9FA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6FF58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940D54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8598F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66A416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AD0D28">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6D5DF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598D449">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9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AD9300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F35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BA020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68BCA6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51D398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80B4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1F1AC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9C3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977E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D75F5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789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809039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2AADB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DEF475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9D5CF1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4D1B9E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228C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4EA4A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D020A8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0A7B0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1BBE4E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EA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38D7125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F808D7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D144A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0C7D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BF65100">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E829A1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0C1B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95E0895">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0884BB3">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7EE09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1F9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1F4CCA7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272F81EC">
      <w:pPr>
        <w:widowControl w:val="0"/>
        <w:spacing w:line="360" w:lineRule="auto"/>
        <w:ind w:left="0" w:leftChars="0" w:firstLine="0" w:firstLineChars="0"/>
        <w:jc w:val="both"/>
        <w:rPr>
          <w:rFonts w:hint="eastAsia" w:ascii="仿宋" w:hAnsi="仿宋" w:eastAsia="仿宋" w:cs="仿宋"/>
          <w:kern w:val="2"/>
          <w:sz w:val="21"/>
          <w:szCs w:val="24"/>
          <w:highlight w:val="none"/>
          <w:lang w:val="en-US" w:eastAsia="zh-CN" w:bidi="zh-CN"/>
        </w:rPr>
      </w:pPr>
    </w:p>
    <w:p w14:paraId="4E619126">
      <w:pPr>
        <w:pStyle w:val="24"/>
        <w:rPr>
          <w:rFonts w:hint="eastAsia" w:ascii="仿宋" w:hAnsi="仿宋" w:eastAsia="仿宋" w:cs="仿宋"/>
          <w:highlight w:val="none"/>
          <w:lang w:val="en-US" w:eastAsia="zh-CN"/>
        </w:rPr>
      </w:pPr>
    </w:p>
    <w:p w14:paraId="75600CC7">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注：1.本表应按包分别填写。</w:t>
      </w:r>
    </w:p>
    <w:p w14:paraId="102987BE">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384325DA">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6DA036BB">
      <w:pPr>
        <w:spacing w:line="360" w:lineRule="auto"/>
        <w:rPr>
          <w:rFonts w:hint="eastAsia" w:ascii="仿宋" w:hAnsi="仿宋" w:eastAsia="仿宋" w:cs="仿宋"/>
          <w:sz w:val="24"/>
          <w:szCs w:val="24"/>
          <w:highlight w:val="none"/>
          <w:lang w:val="en-US" w:eastAsia="zh-CN"/>
        </w:rPr>
      </w:pPr>
    </w:p>
    <w:p w14:paraId="2EF77BF3">
      <w:pPr>
        <w:spacing w:line="360" w:lineRule="auto"/>
        <w:rPr>
          <w:rFonts w:hint="eastAsia" w:ascii="仿宋" w:hAnsi="仿宋" w:eastAsia="仿宋" w:cs="仿宋"/>
          <w:sz w:val="24"/>
          <w:szCs w:val="24"/>
          <w:highlight w:val="none"/>
          <w:lang w:val="en-US" w:eastAsia="zh-CN"/>
        </w:rPr>
      </w:pPr>
    </w:p>
    <w:p w14:paraId="2C1BC5A8">
      <w:pPr>
        <w:spacing w:line="360" w:lineRule="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供应商名称（加盖公章）：</w:t>
      </w:r>
      <w:r>
        <w:rPr>
          <w:rFonts w:hint="eastAsia" w:ascii="仿宋" w:hAnsi="仿宋" w:eastAsia="仿宋" w:cs="仿宋"/>
          <w:sz w:val="24"/>
          <w:szCs w:val="24"/>
          <w:highlight w:val="none"/>
          <w:u w:val="single"/>
          <w:lang w:val="en-US" w:eastAsia="zh-CN"/>
        </w:rPr>
        <w:t xml:space="preserve">              </w:t>
      </w:r>
    </w:p>
    <w:p w14:paraId="60B97F61">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6E78EE3C">
      <w:pPr>
        <w:pStyle w:val="28"/>
        <w:rPr>
          <w:rFonts w:hint="eastAsia" w:ascii="仿宋" w:hAnsi="仿宋" w:eastAsia="仿宋" w:cs="仿宋"/>
          <w:sz w:val="24"/>
          <w:szCs w:val="24"/>
          <w:highlight w:val="none"/>
          <w:lang w:val="en-US" w:eastAsia="zh-CN"/>
        </w:rPr>
      </w:pPr>
    </w:p>
    <w:p w14:paraId="6950C6F0">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824B020">
      <w:pPr>
        <w:pStyle w:val="24"/>
        <w:ind w:left="0" w:leftChars="0" w:firstLine="0" w:firstLineChars="0"/>
        <w:jc w:val="left"/>
        <w:outlineLvl w:val="1"/>
        <w:rPr>
          <w:rFonts w:hint="eastAsia" w:ascii="仿宋" w:hAnsi="仿宋" w:eastAsia="仿宋" w:cs="仿宋"/>
          <w:sz w:val="24"/>
          <w:szCs w:val="24"/>
          <w:highlight w:val="none"/>
          <w:lang w:val="en-US" w:eastAsia="zh-CN"/>
        </w:rPr>
      </w:pPr>
      <w:bookmarkStart w:id="62" w:name="_Toc27376"/>
      <w:bookmarkStart w:id="63" w:name="_Toc23182"/>
      <w:r>
        <w:rPr>
          <w:rFonts w:hint="eastAsia" w:ascii="仿宋" w:hAnsi="仿宋" w:eastAsia="仿宋" w:cs="仿宋"/>
          <w:sz w:val="24"/>
          <w:szCs w:val="24"/>
          <w:highlight w:val="none"/>
          <w:lang w:val="en-US" w:eastAsia="zh-CN"/>
        </w:rPr>
        <w:t>8  合同条款偏离表</w:t>
      </w:r>
      <w:bookmarkEnd w:id="62"/>
      <w:bookmarkEnd w:id="63"/>
    </w:p>
    <w:p w14:paraId="11360D99">
      <w:pPr>
        <w:pStyle w:val="24"/>
        <w:ind w:left="0" w:leftChars="0" w:firstLine="0" w:firstLineChars="0"/>
        <w:jc w:val="center"/>
        <w:rPr>
          <w:rFonts w:hint="eastAsia" w:ascii="仿宋" w:hAnsi="仿宋" w:eastAsia="仿宋" w:cs="仿宋"/>
          <w:sz w:val="32"/>
          <w:szCs w:val="32"/>
          <w:highlight w:val="none"/>
          <w:lang w:val="en-US" w:eastAsia="zh-CN"/>
        </w:rPr>
      </w:pPr>
    </w:p>
    <w:p w14:paraId="273B6473">
      <w:pPr>
        <w:pStyle w:val="24"/>
        <w:ind w:left="0" w:leftChars="0" w:firstLine="0" w:firstLineChars="0"/>
        <w:jc w:val="center"/>
        <w:rPr>
          <w:rFonts w:hint="eastAsia" w:ascii="仿宋" w:hAnsi="仿宋" w:eastAsia="仿宋" w:cs="仿宋"/>
          <w:b/>
          <w:bCs/>
          <w:i w:val="0"/>
          <w:iCs w:val="0"/>
          <w:sz w:val="32"/>
          <w:szCs w:val="32"/>
          <w:highlight w:val="none"/>
          <w:lang w:val="en-US" w:eastAsia="zh-CN"/>
        </w:rPr>
      </w:pPr>
      <w:r>
        <w:rPr>
          <w:rFonts w:hint="eastAsia" w:ascii="仿宋" w:hAnsi="仿宋" w:eastAsia="仿宋" w:cs="仿宋"/>
          <w:b/>
          <w:bCs/>
          <w:i w:val="0"/>
          <w:iCs w:val="0"/>
          <w:sz w:val="32"/>
          <w:szCs w:val="32"/>
          <w:highlight w:val="none"/>
          <w:lang w:val="en-US" w:eastAsia="zh-CN"/>
        </w:rPr>
        <w:t>合同条款偏离表</w:t>
      </w:r>
    </w:p>
    <w:p w14:paraId="76E7CE8F">
      <w:pPr>
        <w:rPr>
          <w:rFonts w:hint="eastAsia" w:ascii="仿宋" w:hAnsi="仿宋" w:eastAsia="仿宋" w:cs="仿宋"/>
          <w:highlight w:val="none"/>
          <w:lang w:val="en-US" w:eastAsia="zh-CN"/>
        </w:rPr>
      </w:pPr>
    </w:p>
    <w:p w14:paraId="0568A7D5">
      <w:pPr>
        <w:pStyle w:val="24"/>
        <w:ind w:left="0" w:leftChars="0" w:firstLine="0" w:firstLineChars="0"/>
        <w:jc w:val="left"/>
        <w:rPr>
          <w:rFonts w:hint="eastAsia" w:ascii="仿宋" w:hAnsi="仿宋" w:eastAsia="仿宋" w:cs="仿宋"/>
          <w:highlight w:val="none"/>
          <w:lang w:val="en-US" w:eastAsia="zh-CN"/>
        </w:rPr>
      </w:pPr>
      <w:r>
        <w:rPr>
          <w:rFonts w:hint="eastAsia" w:ascii="仿宋" w:hAnsi="仿宋" w:eastAsia="仿宋" w:cs="仿宋"/>
          <w:highlight w:val="none"/>
          <w:lang w:val="en-US" w:eastAsia="zh-CN"/>
        </w:rPr>
        <w:t>项目编号/包号：</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lang w:val="en-US" w:eastAsia="zh-CN"/>
        </w:rPr>
        <w:t xml:space="preserve"> 项目名称：</w:t>
      </w:r>
      <w:r>
        <w:rPr>
          <w:rFonts w:hint="eastAsia" w:ascii="仿宋" w:hAnsi="仿宋" w:eastAsia="仿宋" w:cs="仿宋"/>
          <w:highlight w:val="none"/>
          <w:u w:val="single"/>
          <w:lang w:val="en-US" w:eastAsia="zh-CN"/>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64B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1A6623D0">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对本项目合同条款的偏离情况（请进行勾选）：</w:t>
            </w:r>
          </w:p>
          <w:p w14:paraId="7C128923">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无偏离</w:t>
            </w:r>
            <w:r>
              <w:rPr>
                <w:rFonts w:hint="eastAsia" w:ascii="仿宋" w:hAnsi="仿宋" w:eastAsia="仿宋" w:cs="仿宋"/>
                <w:sz w:val="24"/>
                <w:szCs w:val="24"/>
                <w:highlight w:val="none"/>
                <w:vertAlign w:val="baseline"/>
                <w:lang w:val="en-US" w:eastAsia="zh-CN"/>
              </w:rPr>
              <w:t>（如无偏离，仅选择无偏离即可；无偏离即为对合同条款中的所有要求，均视作供应商已对之理解和响应。）</w:t>
            </w:r>
          </w:p>
          <w:p w14:paraId="39C1BFBA">
            <w:pPr>
              <w:spacing w:line="240" w:lineRule="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有偏离</w:t>
            </w:r>
            <w:r>
              <w:rPr>
                <w:rFonts w:hint="eastAsia" w:ascii="仿宋" w:hAnsi="仿宋" w:eastAsia="仿宋" w:cs="仿宋"/>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BCE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45501EF4">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1" w:type="dxa"/>
            <w:vAlign w:val="center"/>
          </w:tcPr>
          <w:p w14:paraId="269B8121">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w:t>
            </w:r>
          </w:p>
          <w:p w14:paraId="047A5A80">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条目号</w:t>
            </w:r>
          </w:p>
          <w:p w14:paraId="4BC5FAA7">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（页码）</w:t>
            </w:r>
          </w:p>
        </w:tc>
        <w:tc>
          <w:tcPr>
            <w:tcW w:w="1901" w:type="dxa"/>
            <w:vAlign w:val="center"/>
          </w:tcPr>
          <w:p w14:paraId="1B77C531">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753" w:type="dxa"/>
            <w:vAlign w:val="center"/>
          </w:tcPr>
          <w:p w14:paraId="6D3D52BB">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561" w:type="dxa"/>
            <w:vAlign w:val="center"/>
          </w:tcPr>
          <w:p w14:paraId="332F60CE">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052" w:type="dxa"/>
            <w:vAlign w:val="center"/>
          </w:tcPr>
          <w:p w14:paraId="45FB582D">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2ED0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8E3CC3C">
            <w:pPr>
              <w:rPr>
                <w:rFonts w:hint="eastAsia" w:ascii="仿宋" w:hAnsi="仿宋" w:eastAsia="仿宋" w:cs="仿宋"/>
                <w:sz w:val="21"/>
                <w:szCs w:val="21"/>
                <w:highlight w:val="none"/>
                <w:vertAlign w:val="baseline"/>
                <w:lang w:val="en-US" w:eastAsia="zh-CN"/>
              </w:rPr>
            </w:pPr>
          </w:p>
        </w:tc>
        <w:tc>
          <w:tcPr>
            <w:tcW w:w="1421" w:type="dxa"/>
          </w:tcPr>
          <w:p w14:paraId="3A1102B1">
            <w:pPr>
              <w:rPr>
                <w:rFonts w:hint="eastAsia" w:ascii="仿宋" w:hAnsi="仿宋" w:eastAsia="仿宋" w:cs="仿宋"/>
                <w:sz w:val="21"/>
                <w:szCs w:val="21"/>
                <w:highlight w:val="none"/>
                <w:vertAlign w:val="baseline"/>
                <w:lang w:val="en-US" w:eastAsia="zh-CN"/>
              </w:rPr>
            </w:pPr>
          </w:p>
        </w:tc>
        <w:tc>
          <w:tcPr>
            <w:tcW w:w="1901" w:type="dxa"/>
          </w:tcPr>
          <w:p w14:paraId="2774F1D5">
            <w:pPr>
              <w:rPr>
                <w:rFonts w:hint="eastAsia" w:ascii="仿宋" w:hAnsi="仿宋" w:eastAsia="仿宋" w:cs="仿宋"/>
                <w:sz w:val="21"/>
                <w:szCs w:val="21"/>
                <w:highlight w:val="none"/>
                <w:vertAlign w:val="baseline"/>
                <w:lang w:val="en-US" w:eastAsia="zh-CN"/>
              </w:rPr>
            </w:pPr>
          </w:p>
        </w:tc>
        <w:tc>
          <w:tcPr>
            <w:tcW w:w="1753" w:type="dxa"/>
          </w:tcPr>
          <w:p w14:paraId="7470A57D">
            <w:pPr>
              <w:rPr>
                <w:rFonts w:hint="eastAsia" w:ascii="仿宋" w:hAnsi="仿宋" w:eastAsia="仿宋" w:cs="仿宋"/>
                <w:sz w:val="21"/>
                <w:szCs w:val="21"/>
                <w:highlight w:val="none"/>
                <w:vertAlign w:val="baseline"/>
                <w:lang w:val="en-US" w:eastAsia="zh-CN"/>
              </w:rPr>
            </w:pPr>
          </w:p>
        </w:tc>
        <w:tc>
          <w:tcPr>
            <w:tcW w:w="1561" w:type="dxa"/>
          </w:tcPr>
          <w:p w14:paraId="7FC761BA">
            <w:pPr>
              <w:rPr>
                <w:rFonts w:hint="eastAsia" w:ascii="仿宋" w:hAnsi="仿宋" w:eastAsia="仿宋" w:cs="仿宋"/>
                <w:sz w:val="21"/>
                <w:szCs w:val="21"/>
                <w:highlight w:val="none"/>
                <w:vertAlign w:val="baseline"/>
                <w:lang w:val="en-US" w:eastAsia="zh-CN"/>
              </w:rPr>
            </w:pPr>
          </w:p>
        </w:tc>
        <w:tc>
          <w:tcPr>
            <w:tcW w:w="1052" w:type="dxa"/>
          </w:tcPr>
          <w:p w14:paraId="787D5EC3">
            <w:pPr>
              <w:rPr>
                <w:rFonts w:hint="eastAsia" w:ascii="仿宋" w:hAnsi="仿宋" w:eastAsia="仿宋" w:cs="仿宋"/>
                <w:sz w:val="21"/>
                <w:szCs w:val="21"/>
                <w:highlight w:val="none"/>
                <w:vertAlign w:val="baseline"/>
                <w:lang w:val="en-US" w:eastAsia="zh-CN"/>
              </w:rPr>
            </w:pPr>
          </w:p>
        </w:tc>
      </w:tr>
      <w:tr w14:paraId="54A7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98F2267">
            <w:pPr>
              <w:rPr>
                <w:rFonts w:hint="eastAsia" w:ascii="仿宋" w:hAnsi="仿宋" w:eastAsia="仿宋" w:cs="仿宋"/>
                <w:sz w:val="21"/>
                <w:szCs w:val="21"/>
                <w:highlight w:val="none"/>
                <w:vertAlign w:val="baseline"/>
                <w:lang w:val="en-US" w:eastAsia="zh-CN"/>
              </w:rPr>
            </w:pPr>
          </w:p>
        </w:tc>
        <w:tc>
          <w:tcPr>
            <w:tcW w:w="1421" w:type="dxa"/>
          </w:tcPr>
          <w:p w14:paraId="5E2E0E1C">
            <w:pPr>
              <w:rPr>
                <w:rFonts w:hint="eastAsia" w:ascii="仿宋" w:hAnsi="仿宋" w:eastAsia="仿宋" w:cs="仿宋"/>
                <w:sz w:val="21"/>
                <w:szCs w:val="21"/>
                <w:highlight w:val="none"/>
                <w:vertAlign w:val="baseline"/>
                <w:lang w:val="en-US" w:eastAsia="zh-CN"/>
              </w:rPr>
            </w:pPr>
          </w:p>
        </w:tc>
        <w:tc>
          <w:tcPr>
            <w:tcW w:w="1901" w:type="dxa"/>
          </w:tcPr>
          <w:p w14:paraId="3B62EA10">
            <w:pPr>
              <w:rPr>
                <w:rFonts w:hint="eastAsia" w:ascii="仿宋" w:hAnsi="仿宋" w:eastAsia="仿宋" w:cs="仿宋"/>
                <w:sz w:val="21"/>
                <w:szCs w:val="21"/>
                <w:highlight w:val="none"/>
                <w:vertAlign w:val="baseline"/>
                <w:lang w:val="en-US" w:eastAsia="zh-CN"/>
              </w:rPr>
            </w:pPr>
          </w:p>
        </w:tc>
        <w:tc>
          <w:tcPr>
            <w:tcW w:w="1753" w:type="dxa"/>
          </w:tcPr>
          <w:p w14:paraId="069357D7">
            <w:pPr>
              <w:rPr>
                <w:rFonts w:hint="eastAsia" w:ascii="仿宋" w:hAnsi="仿宋" w:eastAsia="仿宋" w:cs="仿宋"/>
                <w:sz w:val="21"/>
                <w:szCs w:val="21"/>
                <w:highlight w:val="none"/>
                <w:vertAlign w:val="baseline"/>
                <w:lang w:val="en-US" w:eastAsia="zh-CN"/>
              </w:rPr>
            </w:pPr>
          </w:p>
        </w:tc>
        <w:tc>
          <w:tcPr>
            <w:tcW w:w="1561" w:type="dxa"/>
          </w:tcPr>
          <w:p w14:paraId="55327BE4">
            <w:pPr>
              <w:rPr>
                <w:rFonts w:hint="eastAsia" w:ascii="仿宋" w:hAnsi="仿宋" w:eastAsia="仿宋" w:cs="仿宋"/>
                <w:sz w:val="21"/>
                <w:szCs w:val="21"/>
                <w:highlight w:val="none"/>
                <w:vertAlign w:val="baseline"/>
                <w:lang w:val="en-US" w:eastAsia="zh-CN"/>
              </w:rPr>
            </w:pPr>
          </w:p>
        </w:tc>
        <w:tc>
          <w:tcPr>
            <w:tcW w:w="1052" w:type="dxa"/>
          </w:tcPr>
          <w:p w14:paraId="104F5D34">
            <w:pPr>
              <w:rPr>
                <w:rFonts w:hint="eastAsia" w:ascii="仿宋" w:hAnsi="仿宋" w:eastAsia="仿宋" w:cs="仿宋"/>
                <w:sz w:val="21"/>
                <w:szCs w:val="21"/>
                <w:highlight w:val="none"/>
                <w:vertAlign w:val="baseline"/>
                <w:lang w:val="en-US" w:eastAsia="zh-CN"/>
              </w:rPr>
            </w:pPr>
          </w:p>
        </w:tc>
      </w:tr>
      <w:tr w14:paraId="3396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ECEAF2F">
            <w:pPr>
              <w:rPr>
                <w:rFonts w:hint="eastAsia" w:ascii="仿宋" w:hAnsi="仿宋" w:eastAsia="仿宋" w:cs="仿宋"/>
                <w:sz w:val="21"/>
                <w:szCs w:val="21"/>
                <w:highlight w:val="none"/>
                <w:vertAlign w:val="baseline"/>
                <w:lang w:val="en-US" w:eastAsia="zh-CN"/>
              </w:rPr>
            </w:pPr>
          </w:p>
        </w:tc>
        <w:tc>
          <w:tcPr>
            <w:tcW w:w="1421" w:type="dxa"/>
          </w:tcPr>
          <w:p w14:paraId="493AB0BA">
            <w:pPr>
              <w:rPr>
                <w:rFonts w:hint="eastAsia" w:ascii="仿宋" w:hAnsi="仿宋" w:eastAsia="仿宋" w:cs="仿宋"/>
                <w:sz w:val="21"/>
                <w:szCs w:val="21"/>
                <w:highlight w:val="none"/>
                <w:vertAlign w:val="baseline"/>
                <w:lang w:val="en-US" w:eastAsia="zh-CN"/>
              </w:rPr>
            </w:pPr>
          </w:p>
        </w:tc>
        <w:tc>
          <w:tcPr>
            <w:tcW w:w="1901" w:type="dxa"/>
          </w:tcPr>
          <w:p w14:paraId="3EEA3F2E">
            <w:pPr>
              <w:rPr>
                <w:rFonts w:hint="eastAsia" w:ascii="仿宋" w:hAnsi="仿宋" w:eastAsia="仿宋" w:cs="仿宋"/>
                <w:sz w:val="21"/>
                <w:szCs w:val="21"/>
                <w:highlight w:val="none"/>
                <w:vertAlign w:val="baseline"/>
                <w:lang w:val="en-US" w:eastAsia="zh-CN"/>
              </w:rPr>
            </w:pPr>
          </w:p>
        </w:tc>
        <w:tc>
          <w:tcPr>
            <w:tcW w:w="1753" w:type="dxa"/>
          </w:tcPr>
          <w:p w14:paraId="55598200">
            <w:pPr>
              <w:rPr>
                <w:rFonts w:hint="eastAsia" w:ascii="仿宋" w:hAnsi="仿宋" w:eastAsia="仿宋" w:cs="仿宋"/>
                <w:sz w:val="21"/>
                <w:szCs w:val="21"/>
                <w:highlight w:val="none"/>
                <w:vertAlign w:val="baseline"/>
                <w:lang w:val="en-US" w:eastAsia="zh-CN"/>
              </w:rPr>
            </w:pPr>
          </w:p>
        </w:tc>
        <w:tc>
          <w:tcPr>
            <w:tcW w:w="1561" w:type="dxa"/>
          </w:tcPr>
          <w:p w14:paraId="51DF95C0">
            <w:pPr>
              <w:rPr>
                <w:rFonts w:hint="eastAsia" w:ascii="仿宋" w:hAnsi="仿宋" w:eastAsia="仿宋" w:cs="仿宋"/>
                <w:sz w:val="21"/>
                <w:szCs w:val="21"/>
                <w:highlight w:val="none"/>
                <w:vertAlign w:val="baseline"/>
                <w:lang w:val="en-US" w:eastAsia="zh-CN"/>
              </w:rPr>
            </w:pPr>
          </w:p>
        </w:tc>
        <w:tc>
          <w:tcPr>
            <w:tcW w:w="1052" w:type="dxa"/>
          </w:tcPr>
          <w:p w14:paraId="0D1B2A52">
            <w:pPr>
              <w:rPr>
                <w:rFonts w:hint="eastAsia" w:ascii="仿宋" w:hAnsi="仿宋" w:eastAsia="仿宋" w:cs="仿宋"/>
                <w:sz w:val="21"/>
                <w:szCs w:val="21"/>
                <w:highlight w:val="none"/>
                <w:vertAlign w:val="baseline"/>
                <w:lang w:val="en-US" w:eastAsia="zh-CN"/>
              </w:rPr>
            </w:pPr>
          </w:p>
        </w:tc>
      </w:tr>
      <w:tr w14:paraId="2903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566E3E25">
            <w:pPr>
              <w:rPr>
                <w:rFonts w:hint="eastAsia" w:ascii="仿宋" w:hAnsi="仿宋" w:eastAsia="仿宋" w:cs="仿宋"/>
                <w:sz w:val="21"/>
                <w:szCs w:val="21"/>
                <w:highlight w:val="none"/>
                <w:vertAlign w:val="baseline"/>
                <w:lang w:val="en-US" w:eastAsia="zh-CN"/>
              </w:rPr>
            </w:pPr>
          </w:p>
        </w:tc>
        <w:tc>
          <w:tcPr>
            <w:tcW w:w="1421" w:type="dxa"/>
          </w:tcPr>
          <w:p w14:paraId="0250942E">
            <w:pPr>
              <w:rPr>
                <w:rFonts w:hint="eastAsia" w:ascii="仿宋" w:hAnsi="仿宋" w:eastAsia="仿宋" w:cs="仿宋"/>
                <w:sz w:val="21"/>
                <w:szCs w:val="21"/>
                <w:highlight w:val="none"/>
                <w:vertAlign w:val="baseline"/>
                <w:lang w:val="en-US" w:eastAsia="zh-CN"/>
              </w:rPr>
            </w:pPr>
          </w:p>
        </w:tc>
        <w:tc>
          <w:tcPr>
            <w:tcW w:w="1901" w:type="dxa"/>
          </w:tcPr>
          <w:p w14:paraId="6C737130">
            <w:pPr>
              <w:rPr>
                <w:rFonts w:hint="eastAsia" w:ascii="仿宋" w:hAnsi="仿宋" w:eastAsia="仿宋" w:cs="仿宋"/>
                <w:sz w:val="21"/>
                <w:szCs w:val="21"/>
                <w:highlight w:val="none"/>
                <w:vertAlign w:val="baseline"/>
                <w:lang w:val="en-US" w:eastAsia="zh-CN"/>
              </w:rPr>
            </w:pPr>
          </w:p>
        </w:tc>
        <w:tc>
          <w:tcPr>
            <w:tcW w:w="1753" w:type="dxa"/>
          </w:tcPr>
          <w:p w14:paraId="48DC39E5">
            <w:pPr>
              <w:rPr>
                <w:rFonts w:hint="eastAsia" w:ascii="仿宋" w:hAnsi="仿宋" w:eastAsia="仿宋" w:cs="仿宋"/>
                <w:sz w:val="21"/>
                <w:szCs w:val="21"/>
                <w:highlight w:val="none"/>
                <w:vertAlign w:val="baseline"/>
                <w:lang w:val="en-US" w:eastAsia="zh-CN"/>
              </w:rPr>
            </w:pPr>
          </w:p>
        </w:tc>
        <w:tc>
          <w:tcPr>
            <w:tcW w:w="1561" w:type="dxa"/>
          </w:tcPr>
          <w:p w14:paraId="4CEEEA80">
            <w:pPr>
              <w:rPr>
                <w:rFonts w:hint="eastAsia" w:ascii="仿宋" w:hAnsi="仿宋" w:eastAsia="仿宋" w:cs="仿宋"/>
                <w:sz w:val="21"/>
                <w:szCs w:val="21"/>
                <w:highlight w:val="none"/>
                <w:vertAlign w:val="baseline"/>
                <w:lang w:val="en-US" w:eastAsia="zh-CN"/>
              </w:rPr>
            </w:pPr>
          </w:p>
        </w:tc>
        <w:tc>
          <w:tcPr>
            <w:tcW w:w="1052" w:type="dxa"/>
          </w:tcPr>
          <w:p w14:paraId="0DA23D2D">
            <w:pPr>
              <w:rPr>
                <w:rFonts w:hint="eastAsia" w:ascii="仿宋" w:hAnsi="仿宋" w:eastAsia="仿宋" w:cs="仿宋"/>
                <w:sz w:val="21"/>
                <w:szCs w:val="21"/>
                <w:highlight w:val="none"/>
                <w:vertAlign w:val="baseline"/>
                <w:lang w:val="en-US" w:eastAsia="zh-CN"/>
              </w:rPr>
            </w:pPr>
          </w:p>
        </w:tc>
      </w:tr>
      <w:tr w14:paraId="6D2E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320F3A73">
            <w:pPr>
              <w:rPr>
                <w:rFonts w:hint="eastAsia" w:ascii="仿宋" w:hAnsi="仿宋" w:eastAsia="仿宋" w:cs="仿宋"/>
                <w:sz w:val="21"/>
                <w:szCs w:val="21"/>
                <w:highlight w:val="none"/>
                <w:vertAlign w:val="baseline"/>
                <w:lang w:val="en-US" w:eastAsia="zh-CN"/>
              </w:rPr>
            </w:pPr>
          </w:p>
        </w:tc>
        <w:tc>
          <w:tcPr>
            <w:tcW w:w="1421" w:type="dxa"/>
          </w:tcPr>
          <w:p w14:paraId="4B54C322">
            <w:pPr>
              <w:rPr>
                <w:rFonts w:hint="eastAsia" w:ascii="仿宋" w:hAnsi="仿宋" w:eastAsia="仿宋" w:cs="仿宋"/>
                <w:sz w:val="21"/>
                <w:szCs w:val="21"/>
                <w:highlight w:val="none"/>
                <w:vertAlign w:val="baseline"/>
                <w:lang w:val="en-US" w:eastAsia="zh-CN"/>
              </w:rPr>
            </w:pPr>
          </w:p>
        </w:tc>
        <w:tc>
          <w:tcPr>
            <w:tcW w:w="1901" w:type="dxa"/>
          </w:tcPr>
          <w:p w14:paraId="64FBA299">
            <w:pPr>
              <w:rPr>
                <w:rFonts w:hint="eastAsia" w:ascii="仿宋" w:hAnsi="仿宋" w:eastAsia="仿宋" w:cs="仿宋"/>
                <w:sz w:val="21"/>
                <w:szCs w:val="21"/>
                <w:highlight w:val="none"/>
                <w:vertAlign w:val="baseline"/>
                <w:lang w:val="en-US" w:eastAsia="zh-CN"/>
              </w:rPr>
            </w:pPr>
          </w:p>
        </w:tc>
        <w:tc>
          <w:tcPr>
            <w:tcW w:w="1753" w:type="dxa"/>
          </w:tcPr>
          <w:p w14:paraId="53BA3995">
            <w:pPr>
              <w:rPr>
                <w:rFonts w:hint="eastAsia" w:ascii="仿宋" w:hAnsi="仿宋" w:eastAsia="仿宋" w:cs="仿宋"/>
                <w:sz w:val="21"/>
                <w:szCs w:val="21"/>
                <w:highlight w:val="none"/>
                <w:vertAlign w:val="baseline"/>
                <w:lang w:val="en-US" w:eastAsia="zh-CN"/>
              </w:rPr>
            </w:pPr>
          </w:p>
        </w:tc>
        <w:tc>
          <w:tcPr>
            <w:tcW w:w="1561" w:type="dxa"/>
          </w:tcPr>
          <w:p w14:paraId="0BF02E3C">
            <w:pPr>
              <w:rPr>
                <w:rFonts w:hint="eastAsia" w:ascii="仿宋" w:hAnsi="仿宋" w:eastAsia="仿宋" w:cs="仿宋"/>
                <w:sz w:val="21"/>
                <w:szCs w:val="21"/>
                <w:highlight w:val="none"/>
                <w:vertAlign w:val="baseline"/>
                <w:lang w:val="en-US" w:eastAsia="zh-CN"/>
              </w:rPr>
            </w:pPr>
          </w:p>
        </w:tc>
        <w:tc>
          <w:tcPr>
            <w:tcW w:w="1052" w:type="dxa"/>
          </w:tcPr>
          <w:p w14:paraId="0BA95A9A">
            <w:pPr>
              <w:rPr>
                <w:rFonts w:hint="eastAsia" w:ascii="仿宋" w:hAnsi="仿宋" w:eastAsia="仿宋" w:cs="仿宋"/>
                <w:sz w:val="21"/>
                <w:szCs w:val="21"/>
                <w:highlight w:val="none"/>
                <w:vertAlign w:val="baseline"/>
                <w:lang w:val="en-US" w:eastAsia="zh-CN"/>
              </w:rPr>
            </w:pPr>
          </w:p>
        </w:tc>
      </w:tr>
    </w:tbl>
    <w:p w14:paraId="558135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05D9A9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 对合同条款中的所有要求，除本表所列明的所有偏离外，均视作供应商已对之理解和响应。</w:t>
      </w:r>
    </w:p>
    <w:p w14:paraId="30E1B7E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sz w:val="24"/>
          <w:szCs w:val="24"/>
          <w:highlight w:val="none"/>
          <w:lang w:val="en-US" w:eastAsia="zh-CN"/>
        </w:rPr>
      </w:pPr>
      <w:bookmarkStart w:id="64" w:name="_Toc30559"/>
      <w:bookmarkStart w:id="65" w:name="_Toc5054"/>
      <w:r>
        <w:rPr>
          <w:rFonts w:hint="eastAsia" w:ascii="仿宋" w:hAnsi="仿宋" w:eastAsia="仿宋" w:cs="仿宋"/>
          <w:sz w:val="24"/>
          <w:szCs w:val="24"/>
          <w:highlight w:val="none"/>
          <w:lang w:val="en-US" w:eastAsia="zh-CN"/>
        </w:rPr>
        <w:t>2. “偏离情况”列应据实填写“正偏离”或“负偏离”。</w:t>
      </w:r>
      <w:bookmarkEnd w:id="64"/>
      <w:bookmarkEnd w:id="65"/>
    </w:p>
    <w:p w14:paraId="79DB1F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6B4DDC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0ED927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供应商名称（加盖公章）：</w:t>
      </w:r>
      <w:r>
        <w:rPr>
          <w:rFonts w:hint="eastAsia" w:ascii="仿宋" w:hAnsi="仿宋" w:eastAsia="仿宋" w:cs="仿宋"/>
          <w:sz w:val="24"/>
          <w:szCs w:val="24"/>
          <w:highlight w:val="none"/>
          <w:u w:val="single"/>
          <w:lang w:val="en-US" w:eastAsia="zh-CN"/>
        </w:rPr>
        <w:t xml:space="preserve">                 </w:t>
      </w:r>
    </w:p>
    <w:p w14:paraId="30F8E58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32918240">
      <w:pPr>
        <w:pStyle w:val="28"/>
        <w:rPr>
          <w:rFonts w:hint="eastAsia" w:ascii="仿宋" w:hAnsi="仿宋" w:eastAsia="仿宋" w:cs="仿宋"/>
          <w:sz w:val="24"/>
          <w:szCs w:val="24"/>
          <w:highlight w:val="none"/>
          <w:lang w:val="en-US" w:eastAsia="zh-CN"/>
        </w:rPr>
      </w:pPr>
    </w:p>
    <w:p w14:paraId="055C4C17">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5C774360">
      <w:pPr>
        <w:pStyle w:val="24"/>
        <w:ind w:left="0" w:leftChars="0" w:firstLine="0" w:firstLineChars="0"/>
        <w:outlineLvl w:val="1"/>
        <w:rPr>
          <w:rFonts w:hint="eastAsia" w:ascii="仿宋" w:hAnsi="仿宋" w:eastAsia="仿宋" w:cs="仿宋"/>
          <w:sz w:val="24"/>
          <w:szCs w:val="24"/>
          <w:highlight w:val="none"/>
          <w:lang w:val="en-US" w:eastAsia="zh-CN"/>
        </w:rPr>
      </w:pPr>
      <w:bookmarkStart w:id="66" w:name="_Toc12415"/>
      <w:bookmarkStart w:id="67" w:name="_Toc3795"/>
      <w:r>
        <w:rPr>
          <w:rFonts w:hint="eastAsia" w:ascii="仿宋" w:hAnsi="仿宋" w:eastAsia="仿宋" w:cs="仿宋"/>
          <w:sz w:val="24"/>
          <w:szCs w:val="24"/>
          <w:highlight w:val="none"/>
          <w:lang w:val="en-US" w:eastAsia="zh-CN"/>
        </w:rPr>
        <w:t>9  技术要求偏离表</w:t>
      </w:r>
      <w:bookmarkEnd w:id="66"/>
      <w:bookmarkEnd w:id="67"/>
    </w:p>
    <w:p w14:paraId="020D0C1A">
      <w:pPr>
        <w:pStyle w:val="24"/>
        <w:ind w:left="0" w:leftChars="0" w:firstLine="0" w:firstLineChars="0"/>
        <w:rPr>
          <w:rFonts w:hint="eastAsia" w:ascii="仿宋" w:hAnsi="仿宋" w:eastAsia="仿宋" w:cs="仿宋"/>
          <w:sz w:val="24"/>
          <w:szCs w:val="24"/>
          <w:highlight w:val="none"/>
          <w:lang w:val="en-US" w:eastAsia="zh-CN"/>
        </w:rPr>
      </w:pPr>
    </w:p>
    <w:p w14:paraId="564DD193">
      <w:pPr>
        <w:pStyle w:val="24"/>
        <w:ind w:left="0" w:leftChars="0" w:firstLine="0" w:firstLineChars="0"/>
        <w:jc w:val="cente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采购需求偏离表</w:t>
      </w:r>
    </w:p>
    <w:p w14:paraId="115E8D60">
      <w:pPr>
        <w:pStyle w:val="24"/>
        <w:ind w:left="0" w:leftChars="0" w:firstLine="0" w:firstLineChars="0"/>
        <w:rPr>
          <w:rFonts w:hint="eastAsia" w:ascii="仿宋" w:hAnsi="仿宋" w:eastAsia="仿宋" w:cs="仿宋"/>
          <w:sz w:val="24"/>
          <w:szCs w:val="24"/>
          <w:highlight w:val="none"/>
          <w:lang w:val="en-US" w:eastAsia="zh-CN"/>
        </w:rPr>
      </w:pPr>
    </w:p>
    <w:p w14:paraId="5AA8282B">
      <w:pPr>
        <w:pStyle w:val="24"/>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项目编号/包号：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项目名称：</w:t>
      </w:r>
      <w:r>
        <w:rPr>
          <w:rFonts w:hint="eastAsia" w:ascii="仿宋" w:hAnsi="仿宋" w:eastAsia="仿宋" w:cs="仿宋"/>
          <w:sz w:val="21"/>
          <w:szCs w:val="21"/>
          <w:highlight w:val="none"/>
          <w:u w:val="single"/>
          <w:lang w:val="en-US" w:eastAsia="zh-CN"/>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4A7C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6B3559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2" w:type="dxa"/>
            <w:vAlign w:val="center"/>
          </w:tcPr>
          <w:p w14:paraId="652B7C0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采购文件条</w:t>
            </w:r>
          </w:p>
          <w:p w14:paraId="39806F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目号(页码)</w:t>
            </w:r>
          </w:p>
        </w:tc>
        <w:tc>
          <w:tcPr>
            <w:tcW w:w="1805" w:type="dxa"/>
            <w:vAlign w:val="center"/>
          </w:tcPr>
          <w:p w14:paraId="008090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672" w:type="dxa"/>
            <w:vAlign w:val="center"/>
          </w:tcPr>
          <w:p w14:paraId="43D499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421" w:type="dxa"/>
            <w:vAlign w:val="center"/>
          </w:tcPr>
          <w:p w14:paraId="2C16E5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421" w:type="dxa"/>
            <w:vAlign w:val="center"/>
          </w:tcPr>
          <w:p w14:paraId="45FFD8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02A0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11293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4AE36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39F7540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1AAF87C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2DE0C50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23A18B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2BD5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562FD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249A4E3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035BD4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44DBA3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7F53C8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796138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14DD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7DCC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5CFF1A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49C26D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0264DB4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3DF801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B0A4A8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3EDF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CBDAB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5C81E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2A8537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4AE7CB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31A524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710A57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4C36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2E7C0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018726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5C9A06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6D35979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839B1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39C60E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3631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818E98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479E26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141909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115DB1F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9C6D9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70FC9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2213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6B711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023438B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1742E2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25DCA0A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9D062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64773E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bl>
    <w:p w14:paraId="0C3267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5D60BF0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1.供应商应对采购文件第五章采购需求的内容给予逐条响应，以投标产品和服务所能达到的内容予以填写，而不得复制采购的技术要求作为响应内容，有具体参数的应填写具体参数。</w:t>
      </w:r>
    </w:p>
    <w:p w14:paraId="4D9ED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2.在本表中未对采购文件第五章采购需求的内容给予逐条响应的视为没有实质上响应采购文件的要求，响应无效。 此表中仅标注“全部满足”、“全部响应”等，无法体现供应商实质性响应或者偏离技术要求的；或无任何文字说明，内容为空白的，其响应无效。</w:t>
      </w:r>
    </w:p>
    <w:p w14:paraId="632316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3.供应商应按照采购文件第五章采购需求中要求提供投标产品技术支持资料（或证明材料），并在采购需求响应及偏离表中给予文件名称、所处响应文件页码或位置等必要说明。</w:t>
      </w:r>
    </w:p>
    <w:p w14:paraId="0A8B5A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4.“偏离情况”列应据实填写“正偏离”、“负偏离”或“无偏离”。</w:t>
      </w:r>
    </w:p>
    <w:p w14:paraId="14B2E6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1A28773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25B504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供应商名称（加盖公章）： </w:t>
      </w:r>
      <w:r>
        <w:rPr>
          <w:rFonts w:hint="eastAsia" w:ascii="仿宋" w:hAnsi="仿宋" w:eastAsia="仿宋" w:cs="仿宋"/>
          <w:sz w:val="24"/>
          <w:szCs w:val="24"/>
          <w:highlight w:val="none"/>
          <w:u w:val="single"/>
          <w:lang w:val="en-US" w:eastAsia="zh-CN"/>
        </w:rPr>
        <w:t xml:space="preserve">              </w:t>
      </w:r>
    </w:p>
    <w:p w14:paraId="117619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72F8646C">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7AD82DF6">
      <w:pPr>
        <w:widowControl w:val="0"/>
        <w:spacing w:line="360" w:lineRule="auto"/>
        <w:ind w:left="0" w:leftChars="0" w:firstLine="0" w:firstLineChars="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10   采购文件要求提供或供应商认为应附的其他材料</w:t>
      </w:r>
    </w:p>
    <w:p w14:paraId="6150AB90">
      <w:pPr>
        <w:pStyle w:val="24"/>
        <w:rPr>
          <w:rFonts w:hint="eastAsia" w:ascii="仿宋" w:hAnsi="仿宋" w:eastAsia="仿宋" w:cs="仿宋"/>
          <w:highlight w:val="none"/>
          <w:lang w:val="en-US" w:eastAsia="zh-CN"/>
        </w:rPr>
      </w:pPr>
    </w:p>
    <w:p w14:paraId="0D8730BE">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4361562">
      <w:pPr>
        <w:keepNext/>
        <w:keepLines/>
        <w:widowControl w:val="0"/>
        <w:spacing w:before="0" w:after="260" w:line="240" w:lineRule="atLeast"/>
        <w:jc w:val="both"/>
        <w:outlineLvl w:val="1"/>
        <w:rPr>
          <w:rFonts w:hint="eastAsia" w:ascii="仿宋" w:hAnsi="仿宋" w:eastAsia="仿宋" w:cs="仿宋"/>
          <w:b w:val="0"/>
          <w:bCs/>
          <w:kern w:val="2"/>
          <w:sz w:val="24"/>
          <w:szCs w:val="32"/>
          <w:highlight w:val="none"/>
          <w:lang w:val="en-US" w:eastAsia="zh-CN" w:bidi="ar-SA"/>
        </w:rPr>
      </w:pPr>
      <w:bookmarkStart w:id="68" w:name="_Toc520356224"/>
      <w:bookmarkStart w:id="69" w:name="_Toc480942355"/>
      <w:bookmarkStart w:id="70" w:name="_Toc216582819"/>
      <w:bookmarkStart w:id="71" w:name="_Ref467988543"/>
      <w:bookmarkStart w:id="72" w:name="_Toc21379"/>
      <w:bookmarkStart w:id="73" w:name="_Toc20238"/>
      <w:bookmarkStart w:id="74" w:name="_Toc15963"/>
      <w:bookmarkStart w:id="75" w:name="_Toc17143"/>
      <w:bookmarkStart w:id="76" w:name="_Toc4183"/>
      <w:bookmarkStart w:id="77" w:name="_Toc9592"/>
      <w:bookmarkStart w:id="78" w:name="_Toc507399535"/>
      <w:bookmarkStart w:id="79" w:name="_Toc21320"/>
      <w:bookmarkStart w:id="80" w:name="_Toc16088"/>
      <w:bookmarkStart w:id="81" w:name="_Toc3420"/>
      <w:bookmarkStart w:id="82" w:name="_Toc8281"/>
      <w:r>
        <w:rPr>
          <w:rFonts w:hint="eastAsia" w:ascii="仿宋" w:hAnsi="仿宋" w:eastAsia="仿宋" w:cs="仿宋"/>
          <w:b/>
          <w:bCs/>
          <w:kern w:val="2"/>
          <w:sz w:val="24"/>
          <w:szCs w:val="32"/>
          <w:highlight w:val="none"/>
          <w:lang w:val="en-US" w:eastAsia="zh-CN" w:bidi="ar-SA"/>
        </w:rPr>
        <w:t xml:space="preserve">11   </w:t>
      </w:r>
      <w:bookmarkEnd w:id="68"/>
      <w:bookmarkEnd w:id="69"/>
      <w:bookmarkEnd w:id="70"/>
      <w:bookmarkEnd w:id="71"/>
      <w:bookmarkStart w:id="83" w:name="_Hlt520343000"/>
      <w:bookmarkEnd w:id="83"/>
      <w:bookmarkStart w:id="84" w:name="_Hlt520274393"/>
      <w:bookmarkEnd w:id="84"/>
      <w:bookmarkStart w:id="85" w:name="_Hlt520274407"/>
      <w:bookmarkEnd w:id="85"/>
      <w:bookmarkStart w:id="86" w:name="_Hlt520274911"/>
      <w:bookmarkEnd w:id="86"/>
      <w:bookmarkStart w:id="87" w:name="_Hlt520273711"/>
      <w:bookmarkEnd w:id="87"/>
      <w:bookmarkStart w:id="88" w:name="_Hlt520273973"/>
      <w:bookmarkEnd w:id="88"/>
      <w:bookmarkStart w:id="89" w:name="_Hlt520350918"/>
      <w:bookmarkEnd w:id="89"/>
      <w:bookmarkStart w:id="90" w:name="_Hlt520274065"/>
      <w:bookmarkEnd w:id="90"/>
      <w:bookmarkStart w:id="91" w:name="_Hlt520350957"/>
      <w:bookmarkEnd w:id="91"/>
      <w:bookmarkStart w:id="92" w:name="_Hlt520343392"/>
      <w:bookmarkEnd w:id="92"/>
      <w:bookmarkStart w:id="93" w:name="_Hlt520271212"/>
      <w:bookmarkEnd w:id="93"/>
      <w:bookmarkStart w:id="94" w:name="_Toc216582821"/>
      <w:bookmarkStart w:id="95" w:name="_Toc216513801"/>
      <w:r>
        <w:rPr>
          <w:rFonts w:hint="eastAsia" w:ascii="仿宋" w:hAnsi="仿宋" w:eastAsia="仿宋" w:cs="仿宋"/>
          <w:b/>
          <w:bCs/>
          <w:kern w:val="2"/>
          <w:sz w:val="24"/>
          <w:szCs w:val="32"/>
          <w:highlight w:val="none"/>
          <w:lang w:val="en-US" w:eastAsia="zh-CN" w:bidi="ar-SA"/>
        </w:rPr>
        <w:t>中标服务费承诺书</w:t>
      </w:r>
      <w:bookmarkEnd w:id="72"/>
      <w:bookmarkEnd w:id="73"/>
      <w:bookmarkEnd w:id="74"/>
      <w:bookmarkEnd w:id="75"/>
      <w:bookmarkEnd w:id="76"/>
      <w:bookmarkEnd w:id="77"/>
      <w:bookmarkEnd w:id="78"/>
      <w:bookmarkEnd w:id="79"/>
      <w:bookmarkEnd w:id="80"/>
    </w:p>
    <w:p w14:paraId="3ED674D0">
      <w:pPr>
        <w:spacing w:line="240" w:lineRule="atLeast"/>
        <w:ind w:left="1157" w:leftChars="257" w:hanging="540"/>
        <w:rPr>
          <w:rFonts w:hint="eastAsia" w:ascii="仿宋" w:hAnsi="仿宋" w:eastAsia="仿宋" w:cs="仿宋"/>
          <w:b/>
          <w:sz w:val="24"/>
          <w:highlight w:val="none"/>
        </w:rPr>
      </w:pPr>
    </w:p>
    <w:p w14:paraId="580A7901">
      <w:pPr>
        <w:spacing w:line="240" w:lineRule="atLeast"/>
        <w:ind w:left="1157" w:leftChars="257" w:hanging="540"/>
        <w:jc w:val="center"/>
        <w:rPr>
          <w:rFonts w:hint="eastAsia" w:ascii="仿宋" w:hAnsi="仿宋" w:eastAsia="仿宋" w:cs="仿宋"/>
          <w:b/>
          <w:bCs/>
          <w:sz w:val="24"/>
          <w:highlight w:val="none"/>
        </w:rPr>
      </w:pPr>
      <w:r>
        <w:rPr>
          <w:rFonts w:hint="eastAsia" w:ascii="仿宋" w:hAnsi="仿宋" w:eastAsia="仿宋" w:cs="仿宋"/>
          <w:b/>
          <w:bCs/>
          <w:sz w:val="24"/>
          <w:highlight w:val="none"/>
        </w:rPr>
        <w:t>中标服务费承诺书</w:t>
      </w:r>
    </w:p>
    <w:p w14:paraId="573F23B6">
      <w:pPr>
        <w:spacing w:line="440" w:lineRule="exact"/>
        <w:ind w:left="1080" w:hanging="1080"/>
        <w:rPr>
          <w:rFonts w:hint="eastAsia" w:ascii="仿宋" w:hAnsi="仿宋" w:eastAsia="仿宋" w:cs="仿宋"/>
          <w:sz w:val="24"/>
          <w:highlight w:val="none"/>
        </w:rPr>
      </w:pPr>
    </w:p>
    <w:p w14:paraId="5195BB00">
      <w:pPr>
        <w:spacing w:line="360" w:lineRule="auto"/>
        <w:ind w:left="1080" w:hanging="1080"/>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致：</w:t>
      </w:r>
      <w:r>
        <w:rPr>
          <w:rFonts w:hint="eastAsia" w:ascii="仿宋" w:hAnsi="仿宋" w:eastAsia="仿宋" w:cs="仿宋"/>
          <w:sz w:val="24"/>
          <w:highlight w:val="none"/>
          <w:lang w:val="en-US" w:eastAsia="zh-CN"/>
        </w:rPr>
        <w:t>新疆世纪星工程咨询有限公司</w:t>
      </w:r>
    </w:p>
    <w:p w14:paraId="3B7E109C">
      <w:pPr>
        <w:spacing w:line="360" w:lineRule="auto"/>
        <w:ind w:left="1157" w:leftChars="257" w:hanging="540"/>
        <w:rPr>
          <w:rFonts w:hint="eastAsia" w:ascii="仿宋" w:hAnsi="仿宋" w:eastAsia="仿宋" w:cs="仿宋"/>
          <w:sz w:val="24"/>
          <w:highlight w:val="none"/>
        </w:rPr>
      </w:pPr>
    </w:p>
    <w:p w14:paraId="5244FC89">
      <w:pPr>
        <w:spacing w:line="360" w:lineRule="auto"/>
        <w:rPr>
          <w:rFonts w:hint="eastAsia"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sz w:val="24"/>
          <w:highlight w:val="none"/>
        </w:rPr>
        <w:t xml:space="preserve"> 我们在贵公司组织的</w:t>
      </w:r>
      <w:r>
        <w:rPr>
          <w:rFonts w:hint="eastAsia" w:ascii="仿宋" w:hAnsi="仿宋" w:eastAsia="仿宋" w:cs="仿宋"/>
          <w:sz w:val="24"/>
          <w:highlight w:val="none"/>
          <w:u w:val="single"/>
        </w:rPr>
        <w:tab/>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lang w:val="en-US" w:eastAsia="zh-CN"/>
        </w:rPr>
        <w:t>项目名称、项目编号</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rPr>
        <w:t>项目</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中若获得中标资格，我们保证在领取中标通知书的同时按</w:t>
      </w:r>
      <w:r>
        <w:rPr>
          <w:rFonts w:hint="eastAsia" w:ascii="仿宋" w:hAnsi="仿宋" w:eastAsia="仿宋" w:cs="仿宋"/>
          <w:sz w:val="24"/>
          <w:highlight w:val="none"/>
          <w:lang w:val="en-US" w:eastAsia="zh-CN"/>
        </w:rPr>
        <w:t>采购文件</w:t>
      </w:r>
      <w:r>
        <w:rPr>
          <w:rFonts w:hint="eastAsia" w:ascii="仿宋" w:hAnsi="仿宋" w:eastAsia="仿宋" w:cs="仿宋"/>
          <w:sz w:val="24"/>
          <w:highlight w:val="none"/>
        </w:rPr>
        <w:t>的规定，以支票、电汇等形式，向贵公司一次性支付应由我们交纳的中标服务费用。</w:t>
      </w:r>
    </w:p>
    <w:p w14:paraId="4B2C8C0B">
      <w:pPr>
        <w:spacing w:line="360" w:lineRule="auto"/>
        <w:ind w:left="1157" w:leftChars="257" w:hanging="540"/>
        <w:rPr>
          <w:rFonts w:hint="eastAsia" w:ascii="仿宋" w:hAnsi="仿宋" w:eastAsia="仿宋" w:cs="仿宋"/>
          <w:sz w:val="24"/>
          <w:highlight w:val="none"/>
        </w:rPr>
      </w:pPr>
      <w:r>
        <w:rPr>
          <w:rFonts w:hint="eastAsia" w:ascii="仿宋" w:hAnsi="仿宋" w:eastAsia="仿宋" w:cs="仿宋"/>
          <w:sz w:val="24"/>
          <w:highlight w:val="none"/>
        </w:rPr>
        <w:t>特此承诺！</w:t>
      </w:r>
    </w:p>
    <w:p w14:paraId="0CBCB6B4">
      <w:pPr>
        <w:spacing w:line="440" w:lineRule="exact"/>
        <w:ind w:left="1157" w:leftChars="257" w:hanging="540"/>
        <w:rPr>
          <w:rFonts w:hint="eastAsia" w:ascii="仿宋" w:hAnsi="仿宋" w:eastAsia="仿宋" w:cs="仿宋"/>
          <w:sz w:val="24"/>
          <w:highlight w:val="none"/>
        </w:rPr>
      </w:pPr>
    </w:p>
    <w:p w14:paraId="45AF2269">
      <w:pPr>
        <w:spacing w:line="440" w:lineRule="exact"/>
        <w:ind w:left="1157" w:leftChars="257" w:hanging="540"/>
        <w:rPr>
          <w:rFonts w:hint="eastAsia" w:ascii="仿宋" w:hAnsi="仿宋" w:eastAsia="仿宋" w:cs="仿宋"/>
          <w:sz w:val="24"/>
          <w:highlight w:val="none"/>
        </w:rPr>
      </w:pPr>
    </w:p>
    <w:p w14:paraId="241E546A">
      <w:pPr>
        <w:spacing w:line="440" w:lineRule="exact"/>
        <w:ind w:left="1157" w:leftChars="257" w:hanging="540"/>
        <w:rPr>
          <w:rFonts w:hint="eastAsia" w:ascii="仿宋" w:hAnsi="仿宋" w:eastAsia="仿宋" w:cs="仿宋"/>
          <w:sz w:val="24"/>
          <w:highlight w:val="none"/>
        </w:rPr>
      </w:pPr>
    </w:p>
    <w:p w14:paraId="5C6B5C6E">
      <w:pPr>
        <w:spacing w:line="440" w:lineRule="exact"/>
        <w:ind w:left="1157" w:leftChars="257" w:hanging="540"/>
        <w:rPr>
          <w:rFonts w:hint="eastAsia" w:ascii="仿宋" w:hAnsi="仿宋" w:eastAsia="仿宋" w:cs="仿宋"/>
          <w:sz w:val="24"/>
          <w:highlight w:val="none"/>
        </w:rPr>
      </w:pPr>
    </w:p>
    <w:p w14:paraId="32FADFAA">
      <w:pPr>
        <w:spacing w:line="440" w:lineRule="exact"/>
        <w:ind w:left="1080" w:hanging="1080"/>
        <w:rPr>
          <w:rFonts w:hint="eastAsia" w:ascii="仿宋" w:hAnsi="仿宋" w:eastAsia="仿宋" w:cs="仿宋"/>
          <w:sz w:val="24"/>
          <w:highlight w:val="none"/>
        </w:rPr>
      </w:pPr>
    </w:p>
    <w:p w14:paraId="5D872B34">
      <w:pPr>
        <w:spacing w:line="440" w:lineRule="exact"/>
        <w:ind w:left="1495" w:leftChars="273" w:hanging="840" w:hangingChars="350"/>
        <w:rPr>
          <w:rFonts w:hint="eastAsia" w:ascii="仿宋" w:hAnsi="仿宋" w:eastAsia="仿宋" w:cs="仿宋"/>
          <w:sz w:val="24"/>
          <w:highlight w:val="none"/>
        </w:rPr>
      </w:pPr>
      <w:r>
        <w:rPr>
          <w:rFonts w:hint="eastAsia" w:ascii="仿宋" w:hAnsi="仿宋" w:eastAsia="仿宋" w:cs="仿宋"/>
          <w:sz w:val="24"/>
          <w:highlight w:val="none"/>
        </w:rPr>
        <w:t>承诺方法定名称：</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47D45949">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380F1F40">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传真：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2C1DBB31">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电传：</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邮编：</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14CA156C">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承诺方授权代表签字：</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（承诺方盖章）</w:t>
      </w:r>
    </w:p>
    <w:p w14:paraId="79B861A9">
      <w:pPr>
        <w:spacing w:line="440" w:lineRule="exact"/>
        <w:ind w:left="1697" w:leftChars="257" w:hanging="1080"/>
        <w:rPr>
          <w:rFonts w:hint="eastAsia" w:ascii="仿宋" w:hAnsi="仿宋" w:eastAsia="仿宋" w:cs="仿宋"/>
          <w:sz w:val="24"/>
          <w:highlight w:val="none"/>
          <w:u w:val="single"/>
        </w:rPr>
      </w:pPr>
      <w:r>
        <w:rPr>
          <w:rFonts w:hint="eastAsia" w:ascii="仿宋" w:hAnsi="仿宋" w:eastAsia="仿宋" w:cs="仿宋"/>
          <w:sz w:val="24"/>
          <w:highlight w:val="none"/>
        </w:rPr>
        <w:t>承诺日期：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bookmarkEnd w:id="94"/>
      <w:bookmarkEnd w:id="95"/>
    </w:p>
    <w:p w14:paraId="457F2B28">
      <w:pPr>
        <w:rPr>
          <w:rFonts w:hint="eastAsia" w:ascii="仿宋" w:hAnsi="仿宋" w:eastAsia="仿宋" w:cs="仿宋"/>
          <w:b w:val="0"/>
          <w:bCs w:val="0"/>
          <w:kern w:val="2"/>
          <w:sz w:val="24"/>
          <w:szCs w:val="24"/>
          <w:highlight w:val="none"/>
          <w:lang w:val="en-US" w:eastAsia="zh-CN" w:bidi="zh-CN"/>
        </w:rPr>
      </w:pPr>
      <w:r>
        <w:rPr>
          <w:rFonts w:hint="eastAsia" w:ascii="仿宋" w:hAnsi="仿宋" w:eastAsia="仿宋" w:cs="仿宋"/>
          <w:b w:val="0"/>
          <w:bCs w:val="0"/>
          <w:kern w:val="2"/>
          <w:sz w:val="24"/>
          <w:szCs w:val="24"/>
          <w:highlight w:val="none"/>
          <w:lang w:val="en-US" w:eastAsia="zh-CN" w:bidi="zh-CN"/>
        </w:rPr>
        <w:br w:type="page"/>
      </w:r>
    </w:p>
    <w:p w14:paraId="7FFC600E">
      <w:pPr>
        <w:widowControl w:val="0"/>
        <w:spacing w:before="1"/>
        <w:jc w:val="both"/>
        <w:outlineLvl w:val="1"/>
        <w:rPr>
          <w:rFonts w:hint="eastAsia" w:ascii="仿宋" w:hAnsi="仿宋" w:eastAsia="仿宋" w:cs="仿宋"/>
          <w:b w:val="0"/>
          <w:bCs w:val="0"/>
          <w:kern w:val="2"/>
          <w:sz w:val="24"/>
          <w:szCs w:val="24"/>
          <w:highlight w:val="none"/>
          <w:lang w:val="zh-CN" w:eastAsia="zh-CN" w:bidi="zh-CN"/>
        </w:rPr>
      </w:pPr>
      <w:bookmarkStart w:id="96" w:name="_Toc571"/>
      <w:bookmarkStart w:id="97" w:name="_Toc20782"/>
      <w:bookmarkStart w:id="98" w:name="_Toc19305"/>
      <w:bookmarkStart w:id="99" w:name="_Toc15106"/>
      <w:bookmarkStart w:id="100" w:name="_Toc8649"/>
      <w:bookmarkStart w:id="101" w:name="_Toc24678"/>
      <w:r>
        <w:rPr>
          <w:rFonts w:hint="eastAsia" w:ascii="仿宋" w:hAnsi="仿宋" w:eastAsia="仿宋" w:cs="仿宋"/>
          <w:b w:val="0"/>
          <w:bCs w:val="0"/>
          <w:kern w:val="2"/>
          <w:sz w:val="24"/>
          <w:szCs w:val="24"/>
          <w:highlight w:val="none"/>
          <w:lang w:val="en-US" w:eastAsia="zh-CN" w:bidi="zh-CN"/>
        </w:rPr>
        <w:t xml:space="preserve">12   </w:t>
      </w:r>
      <w:r>
        <w:rPr>
          <w:rFonts w:hint="eastAsia" w:ascii="仿宋" w:hAnsi="仿宋" w:eastAsia="仿宋" w:cs="仿宋"/>
          <w:b w:val="0"/>
          <w:bCs w:val="0"/>
          <w:kern w:val="2"/>
          <w:sz w:val="24"/>
          <w:szCs w:val="24"/>
          <w:highlight w:val="none"/>
          <w:lang w:val="zh-CN" w:eastAsia="zh-CN" w:bidi="zh-CN"/>
        </w:rPr>
        <w:t>保证金信息表</w:t>
      </w:r>
      <w:bookmarkEnd w:id="81"/>
      <w:bookmarkEnd w:id="82"/>
      <w:r>
        <w:rPr>
          <w:rFonts w:hint="eastAsia" w:ascii="仿宋" w:hAnsi="仿宋" w:eastAsia="仿宋" w:cs="仿宋"/>
          <w:b w:val="0"/>
          <w:bCs w:val="0"/>
          <w:kern w:val="2"/>
          <w:sz w:val="24"/>
          <w:szCs w:val="24"/>
          <w:highlight w:val="none"/>
          <w:lang w:val="zh-CN" w:eastAsia="zh-CN" w:bidi="zh-CN"/>
        </w:rPr>
        <w:t>（</w:t>
      </w:r>
      <w:r>
        <w:rPr>
          <w:rFonts w:hint="eastAsia" w:ascii="仿宋" w:hAnsi="仿宋" w:eastAsia="仿宋" w:cs="仿宋"/>
          <w:b w:val="0"/>
          <w:bCs w:val="0"/>
          <w:kern w:val="2"/>
          <w:sz w:val="24"/>
          <w:szCs w:val="24"/>
          <w:highlight w:val="none"/>
          <w:lang w:val="en-US" w:eastAsia="zh-CN" w:bidi="zh-CN"/>
        </w:rPr>
        <w:t>保函方式提交的无需提供</w:t>
      </w:r>
      <w:r>
        <w:rPr>
          <w:rFonts w:hint="eastAsia" w:ascii="仿宋" w:hAnsi="仿宋" w:eastAsia="仿宋" w:cs="仿宋"/>
          <w:b w:val="0"/>
          <w:bCs w:val="0"/>
          <w:kern w:val="2"/>
          <w:sz w:val="24"/>
          <w:szCs w:val="24"/>
          <w:highlight w:val="none"/>
          <w:lang w:val="zh-CN" w:eastAsia="zh-CN" w:bidi="zh-CN"/>
        </w:rPr>
        <w:t>）</w:t>
      </w:r>
      <w:bookmarkEnd w:id="96"/>
      <w:bookmarkEnd w:id="97"/>
      <w:bookmarkEnd w:id="98"/>
      <w:bookmarkEnd w:id="99"/>
      <w:bookmarkEnd w:id="100"/>
      <w:bookmarkEnd w:id="101"/>
    </w:p>
    <w:p w14:paraId="22337E7F">
      <w:pPr>
        <w:widowControl w:val="0"/>
        <w:snapToGrid w:val="0"/>
        <w:spacing w:line="440" w:lineRule="exact"/>
        <w:jc w:val="center"/>
        <w:outlineLvl w:val="9"/>
        <w:rPr>
          <w:rFonts w:hint="eastAsia" w:ascii="仿宋" w:hAnsi="仿宋" w:eastAsia="仿宋" w:cs="仿宋"/>
          <w:b/>
          <w:kern w:val="2"/>
          <w:sz w:val="32"/>
          <w:szCs w:val="32"/>
          <w:highlight w:val="none"/>
          <w:lang w:val="en-US" w:eastAsia="zh-CN" w:bidi="ar-SA"/>
        </w:rPr>
      </w:pPr>
    </w:p>
    <w:p w14:paraId="26345253">
      <w:pPr>
        <w:widowControl w:val="0"/>
        <w:snapToGrid w:val="0"/>
        <w:spacing w:line="440" w:lineRule="exact"/>
        <w:jc w:val="center"/>
        <w:outlineLvl w:val="0"/>
        <w:rPr>
          <w:rFonts w:hint="eastAsia" w:ascii="仿宋" w:hAnsi="仿宋" w:eastAsia="仿宋" w:cs="仿宋"/>
          <w:b/>
          <w:kern w:val="2"/>
          <w:sz w:val="32"/>
          <w:szCs w:val="32"/>
          <w:highlight w:val="none"/>
          <w:lang w:val="en-US" w:eastAsia="zh-CN" w:bidi="ar-SA"/>
        </w:rPr>
      </w:pPr>
      <w:bookmarkStart w:id="102" w:name="_Toc25967"/>
      <w:bookmarkStart w:id="103" w:name="_Toc16938"/>
      <w:bookmarkStart w:id="104" w:name="_Toc31463"/>
      <w:bookmarkStart w:id="105" w:name="_Toc3718"/>
      <w:bookmarkStart w:id="106" w:name="_Toc28181"/>
      <w:bookmarkStart w:id="107" w:name="_Toc26104"/>
      <w:bookmarkStart w:id="108" w:name="_Toc14307"/>
      <w:bookmarkStart w:id="109" w:name="_Toc27316"/>
      <w:r>
        <w:rPr>
          <w:rFonts w:hint="eastAsia" w:ascii="仿宋" w:hAnsi="仿宋" w:eastAsia="仿宋" w:cs="仿宋"/>
          <w:b/>
          <w:kern w:val="2"/>
          <w:sz w:val="24"/>
          <w:szCs w:val="24"/>
          <w:highlight w:val="none"/>
          <w:lang w:val="en-US" w:eastAsia="zh-CN" w:bidi="ar-SA"/>
        </w:rPr>
        <w:t>退还保证金申请函</w:t>
      </w:r>
      <w:bookmarkEnd w:id="102"/>
      <w:bookmarkEnd w:id="103"/>
      <w:bookmarkEnd w:id="104"/>
      <w:bookmarkEnd w:id="105"/>
      <w:bookmarkEnd w:id="106"/>
      <w:bookmarkEnd w:id="107"/>
      <w:bookmarkEnd w:id="108"/>
      <w:bookmarkEnd w:id="109"/>
    </w:p>
    <w:p w14:paraId="5AB61544">
      <w:pPr>
        <w:spacing w:line="360" w:lineRule="auto"/>
        <w:rPr>
          <w:rFonts w:hint="eastAsia" w:ascii="仿宋" w:hAnsi="仿宋" w:eastAsia="仿宋" w:cs="仿宋"/>
          <w:color w:val="000000"/>
          <w:sz w:val="21"/>
          <w:szCs w:val="21"/>
          <w:highlight w:val="none"/>
          <w:u w:val="single"/>
          <w:lang w:eastAsia="zh-CN"/>
        </w:rPr>
      </w:pPr>
      <w:r>
        <w:rPr>
          <w:rFonts w:hint="eastAsia" w:ascii="仿宋" w:hAnsi="仿宋" w:eastAsia="仿宋" w:cs="仿宋"/>
          <w:color w:val="000000"/>
          <w:sz w:val="21"/>
          <w:szCs w:val="21"/>
          <w:highlight w:val="none"/>
        </w:rPr>
        <w:t>致：</w:t>
      </w:r>
      <w:r>
        <w:rPr>
          <w:rFonts w:hint="eastAsia" w:ascii="仿宋" w:hAnsi="仿宋" w:eastAsia="仿宋" w:cs="仿宋"/>
          <w:color w:val="000000"/>
          <w:sz w:val="21"/>
          <w:szCs w:val="21"/>
          <w:highlight w:val="none"/>
          <w:u w:val="single"/>
          <w:lang w:eastAsia="zh-CN"/>
        </w:rPr>
        <w:t>新疆世纪星工程咨询有限公司</w:t>
      </w:r>
    </w:p>
    <w:p w14:paraId="3F0EDAC0">
      <w:pPr>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u w:val="single"/>
        </w:rPr>
        <w:t>（</w:t>
      </w:r>
      <w:r>
        <w:rPr>
          <w:rFonts w:hint="eastAsia" w:ascii="仿宋" w:hAnsi="仿宋" w:eastAsia="仿宋" w:cs="仿宋"/>
          <w:color w:val="000000"/>
          <w:sz w:val="21"/>
          <w:szCs w:val="21"/>
          <w:highlight w:val="none"/>
          <w:u w:val="single"/>
          <w:lang w:val="en-US" w:eastAsia="zh-CN"/>
        </w:rPr>
        <w:t>供应商</w:t>
      </w:r>
      <w:r>
        <w:rPr>
          <w:rFonts w:hint="eastAsia" w:ascii="仿宋" w:hAnsi="仿宋" w:eastAsia="仿宋" w:cs="仿宋"/>
          <w:color w:val="000000"/>
          <w:sz w:val="21"/>
          <w:szCs w:val="21"/>
          <w:highlight w:val="none"/>
          <w:u w:val="single"/>
        </w:rPr>
        <w:t xml:space="preserve">全称) </w:t>
      </w:r>
      <w:r>
        <w:rPr>
          <w:rFonts w:hint="eastAsia" w:ascii="仿宋" w:hAnsi="仿宋" w:eastAsia="仿宋" w:cs="仿宋"/>
          <w:color w:val="000000"/>
          <w:sz w:val="21"/>
          <w:szCs w:val="21"/>
          <w:highlight w:val="none"/>
        </w:rPr>
        <w:t>参加贵方组织的，</w:t>
      </w:r>
      <w:r>
        <w:rPr>
          <w:rFonts w:hint="eastAsia" w:ascii="仿宋" w:hAnsi="仿宋" w:eastAsia="仿宋" w:cs="仿宋"/>
          <w:b w:val="0"/>
          <w:bCs w:val="0"/>
          <w:sz w:val="21"/>
          <w:szCs w:val="21"/>
          <w:highlight w:val="none"/>
          <w:u w:val="single"/>
          <w:lang w:val="en-US" w:eastAsia="zh-CN"/>
        </w:rPr>
        <w:t>（项目名称）（项目编号）</w:t>
      </w:r>
      <w:r>
        <w:rPr>
          <w:rFonts w:hint="eastAsia" w:ascii="仿宋" w:hAnsi="仿宋" w:eastAsia="仿宋" w:cs="仿宋"/>
          <w:color w:val="000000"/>
          <w:sz w:val="21"/>
          <w:szCs w:val="21"/>
          <w:highlight w:val="none"/>
        </w:rPr>
        <w:t>的</w:t>
      </w:r>
      <w:r>
        <w:rPr>
          <w:rFonts w:hint="eastAsia" w:ascii="仿宋" w:hAnsi="仿宋" w:eastAsia="仿宋" w:cs="仿宋"/>
          <w:color w:val="000000"/>
          <w:sz w:val="21"/>
          <w:szCs w:val="21"/>
          <w:highlight w:val="none"/>
          <w:lang w:val="en-US" w:eastAsia="zh-CN"/>
        </w:rPr>
        <w:t>招标</w:t>
      </w:r>
      <w:r>
        <w:rPr>
          <w:rFonts w:hint="eastAsia" w:ascii="仿宋" w:hAnsi="仿宋" w:eastAsia="仿宋" w:cs="仿宋"/>
          <w:color w:val="000000"/>
          <w:sz w:val="21"/>
          <w:szCs w:val="21"/>
          <w:highlight w:val="none"/>
        </w:rPr>
        <w:t>采购活动。按</w:t>
      </w:r>
      <w:r>
        <w:rPr>
          <w:rFonts w:hint="eastAsia" w:ascii="仿宋" w:hAnsi="仿宋" w:eastAsia="仿宋" w:cs="仿宋"/>
          <w:color w:val="000000"/>
          <w:sz w:val="21"/>
          <w:szCs w:val="21"/>
          <w:highlight w:val="none"/>
          <w:lang w:val="en-US" w:eastAsia="zh-CN"/>
        </w:rPr>
        <w:t>采购文件</w:t>
      </w:r>
      <w:r>
        <w:rPr>
          <w:rFonts w:hint="eastAsia" w:ascii="仿宋" w:hAnsi="仿宋" w:eastAsia="仿宋" w:cs="仿宋"/>
          <w:color w:val="000000"/>
          <w:sz w:val="21"/>
          <w:szCs w:val="21"/>
          <w:highlight w:val="none"/>
        </w:rPr>
        <w:t>的规定，已通过</w:t>
      </w:r>
      <w:r>
        <w:rPr>
          <w:rFonts w:hint="eastAsia" w:ascii="仿宋" w:hAnsi="仿宋" w:eastAsia="仿宋" w:cs="仿宋"/>
          <w:color w:val="000000"/>
          <w:sz w:val="21"/>
          <w:szCs w:val="21"/>
          <w:highlight w:val="none"/>
          <w:u w:val="single"/>
        </w:rPr>
        <w:t>银行转帐/银行汇款</w:t>
      </w:r>
      <w:r>
        <w:rPr>
          <w:rFonts w:hint="eastAsia" w:ascii="仿宋" w:hAnsi="仿宋" w:eastAsia="仿宋" w:cs="仿宋"/>
          <w:color w:val="000000"/>
          <w:sz w:val="21"/>
          <w:szCs w:val="21"/>
          <w:highlight w:val="none"/>
        </w:rPr>
        <w:t>形式缴纳人民币</w:t>
      </w:r>
      <w:r>
        <w:rPr>
          <w:rFonts w:hint="eastAsia" w:ascii="仿宋" w:hAnsi="仿宋" w:eastAsia="仿宋" w:cs="仿宋"/>
          <w:color w:val="000000"/>
          <w:sz w:val="21"/>
          <w:szCs w:val="21"/>
          <w:highlight w:val="none"/>
          <w:u w:val="single"/>
        </w:rPr>
        <w:t xml:space="preserve">（大写）  　　  </w:t>
      </w:r>
      <w:r>
        <w:rPr>
          <w:rFonts w:hint="eastAsia" w:ascii="仿宋" w:hAnsi="仿宋" w:eastAsia="仿宋" w:cs="仿宋"/>
          <w:color w:val="000000"/>
          <w:sz w:val="21"/>
          <w:szCs w:val="21"/>
          <w:highlight w:val="none"/>
        </w:rPr>
        <w:t>元的保证金。</w:t>
      </w:r>
    </w:p>
    <w:p w14:paraId="2E251A39">
      <w:pPr>
        <w:autoSpaceDE w:val="0"/>
        <w:autoSpaceDN w:val="0"/>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17AE88D8">
      <w:pPr>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名称：</w:t>
      </w:r>
      <w:r>
        <w:rPr>
          <w:rFonts w:hint="eastAsia" w:ascii="仿宋" w:hAnsi="仿宋" w:eastAsia="仿宋" w:cs="仿宋"/>
          <w:i/>
          <w:iCs/>
          <w:color w:val="000000"/>
          <w:sz w:val="21"/>
          <w:szCs w:val="21"/>
          <w:highlight w:val="none"/>
          <w:u w:val="single"/>
        </w:rPr>
        <w:t xml:space="preserve">                                 </w:t>
      </w:r>
      <w:r>
        <w:rPr>
          <w:rFonts w:hint="eastAsia" w:ascii="仿宋" w:hAnsi="仿宋" w:eastAsia="仿宋" w:cs="仿宋"/>
          <w:color w:val="000000"/>
          <w:sz w:val="21"/>
          <w:szCs w:val="21"/>
          <w:highlight w:val="none"/>
        </w:rPr>
        <w:t xml:space="preserve"> </w:t>
      </w:r>
    </w:p>
    <w:p w14:paraId="055D910F">
      <w:pPr>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开户银行：</w:t>
      </w:r>
      <w:r>
        <w:rPr>
          <w:rFonts w:hint="eastAsia" w:ascii="仿宋" w:hAnsi="仿宋" w:eastAsia="仿宋" w:cs="仿宋"/>
          <w:color w:val="000000"/>
          <w:sz w:val="21"/>
          <w:szCs w:val="21"/>
          <w:highlight w:val="none"/>
          <w:u w:val="single"/>
        </w:rPr>
        <w:t xml:space="preserve">                             </w:t>
      </w:r>
    </w:p>
    <w:p w14:paraId="2E38A459">
      <w:pPr>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开户银行行号：</w:t>
      </w:r>
      <w:r>
        <w:rPr>
          <w:rFonts w:hint="eastAsia" w:ascii="仿宋" w:hAnsi="仿宋" w:eastAsia="仿宋" w:cs="仿宋"/>
          <w:color w:val="000000"/>
          <w:sz w:val="21"/>
          <w:szCs w:val="21"/>
          <w:highlight w:val="none"/>
          <w:u w:val="single"/>
        </w:rPr>
        <w:t xml:space="preserve">                         </w:t>
      </w:r>
    </w:p>
    <w:p w14:paraId="64EEF65B">
      <w:pPr>
        <w:spacing w:line="360" w:lineRule="auto"/>
        <w:ind w:firstLine="420" w:firstLineChars="200"/>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银行帐号：</w:t>
      </w:r>
      <w:r>
        <w:rPr>
          <w:rFonts w:hint="eastAsia" w:ascii="仿宋" w:hAnsi="仿宋" w:eastAsia="仿宋" w:cs="仿宋"/>
          <w:color w:val="000000"/>
          <w:sz w:val="21"/>
          <w:szCs w:val="21"/>
          <w:highlight w:val="none"/>
          <w:u w:val="single"/>
        </w:rPr>
        <w:t xml:space="preserve">                             </w:t>
      </w:r>
    </w:p>
    <w:p w14:paraId="2BCD2482">
      <w:pPr>
        <w:adjustRightInd w:val="0"/>
        <w:snapToGrid w:val="0"/>
        <w:spacing w:line="360" w:lineRule="auto"/>
        <w:rPr>
          <w:rFonts w:hint="eastAsia" w:ascii="仿宋" w:hAnsi="仿宋" w:eastAsia="仿宋" w:cs="仿宋"/>
          <w:color w:val="000000"/>
          <w:sz w:val="21"/>
          <w:szCs w:val="21"/>
          <w:highlight w:val="none"/>
        </w:rPr>
      </w:pPr>
    </w:p>
    <w:p w14:paraId="6C4A0CF2">
      <w:pPr>
        <w:adjustRightInd w:val="0"/>
        <w:snapToGrid w:val="0"/>
        <w:spacing w:line="360" w:lineRule="auto"/>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法定代表人（或法定代表人授权代表）签字：</w:t>
      </w:r>
    </w:p>
    <w:p w14:paraId="17FE0668">
      <w:pPr>
        <w:adjustRightInd w:val="0"/>
        <w:snapToGrid w:val="0"/>
        <w:spacing w:line="360" w:lineRule="auto"/>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名称（加盖公章）：</w:t>
      </w:r>
    </w:p>
    <w:p w14:paraId="3587DB28">
      <w:pPr>
        <w:adjustRightInd w:val="0"/>
        <w:snapToGrid w:val="0"/>
        <w:spacing w:line="360" w:lineRule="auto"/>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rPr>
        <w:t>日期：   年   月   日</w:t>
      </w:r>
    </w:p>
    <w:p w14:paraId="15741ABD">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p>
    <w:p w14:paraId="5DF814DD">
      <w:pPr>
        <w:widowControl w:val="0"/>
        <w:snapToGrid w:val="0"/>
        <w:spacing w:line="440" w:lineRule="exact"/>
        <w:jc w:val="both"/>
        <w:rPr>
          <w:rFonts w:hint="eastAsia" w:ascii="仿宋" w:hAnsi="仿宋" w:eastAsia="仿宋" w:cs="仿宋"/>
          <w:b/>
          <w:kern w:val="2"/>
          <w:sz w:val="21"/>
          <w:szCs w:val="21"/>
          <w:highlight w:val="none"/>
          <w:lang w:val="en-US" w:eastAsia="zh-CN" w:bidi="ar-SA"/>
        </w:rPr>
      </w:pPr>
      <w:r>
        <w:rPr>
          <w:rFonts w:hint="eastAsia" w:ascii="仿宋" w:hAnsi="仿宋" w:eastAsia="仿宋" w:cs="仿宋"/>
          <w:b/>
          <w:kern w:val="2"/>
          <w:sz w:val="21"/>
          <w:szCs w:val="21"/>
          <w:highlight w:val="none"/>
          <w:lang w:val="en-US" w:eastAsia="zh-CN" w:bidi="ar-SA"/>
        </w:rPr>
        <w:t>注：为方便代理机构后续退款事宜，请供应商认真填写此函信息，并后附转帐或汇款的银行凭证复印件。</w:t>
      </w:r>
    </w:p>
    <w:tbl>
      <w:tblPr>
        <w:tblStyle w:val="29"/>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33CB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25D70DFF">
            <w:pPr>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（粘贴转帐或汇款的银行凭证复印件）</w:t>
            </w:r>
          </w:p>
        </w:tc>
      </w:tr>
    </w:tbl>
    <w:p w14:paraId="57B52AC0">
      <w:pPr>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仿宋" w:hAnsi="仿宋" w:eastAsia="仿宋" w:cs="仿宋"/>
          <w:kern w:val="2"/>
          <w:sz w:val="21"/>
          <w:szCs w:val="21"/>
          <w:highlight w:val="none"/>
          <w:lang w:val="zh-CN" w:eastAsia="zh-CN" w:bidi="zh-CN"/>
        </w:rPr>
      </w:pPr>
    </w:p>
    <w:p w14:paraId="0117802B">
      <w:pPr>
        <w:widowControl w:val="0"/>
        <w:tabs>
          <w:tab w:val="left" w:pos="1325"/>
        </w:tabs>
        <w:spacing w:before="90"/>
        <w:jc w:val="both"/>
        <w:outlineLvl w:val="1"/>
        <w:rPr>
          <w:rFonts w:hint="eastAsia" w:ascii="仿宋" w:hAnsi="仿宋" w:eastAsia="仿宋" w:cs="仿宋"/>
          <w:b w:val="0"/>
          <w:bCs w:val="0"/>
          <w:kern w:val="2"/>
          <w:sz w:val="24"/>
          <w:szCs w:val="24"/>
          <w:highlight w:val="none"/>
          <w:lang w:val="zh-CN" w:eastAsia="zh-CN" w:bidi="zh-CN"/>
        </w:rPr>
      </w:pPr>
      <w:bookmarkStart w:id="110" w:name="_Toc17857"/>
      <w:bookmarkStart w:id="111" w:name="_Toc19434"/>
      <w:bookmarkStart w:id="112" w:name="_Toc1413"/>
      <w:bookmarkStart w:id="113" w:name="_Toc21100"/>
      <w:bookmarkStart w:id="114" w:name="_Toc2994"/>
      <w:bookmarkStart w:id="115" w:name="_Toc28409"/>
      <w:bookmarkStart w:id="116" w:name="_Toc8576"/>
      <w:bookmarkStart w:id="117" w:name="_Toc3759"/>
      <w:r>
        <w:rPr>
          <w:rFonts w:hint="eastAsia" w:ascii="仿宋" w:hAnsi="仿宋" w:eastAsia="仿宋" w:cs="仿宋"/>
          <w:b w:val="0"/>
          <w:bCs w:val="0"/>
          <w:kern w:val="2"/>
          <w:sz w:val="24"/>
          <w:szCs w:val="24"/>
          <w:highlight w:val="none"/>
          <w:lang w:val="en-US" w:eastAsia="zh-CN" w:bidi="zh-CN"/>
        </w:rPr>
        <w:t>13   开票信息</w:t>
      </w:r>
      <w:r>
        <w:rPr>
          <w:rFonts w:hint="eastAsia" w:ascii="仿宋" w:hAnsi="仿宋" w:eastAsia="仿宋" w:cs="仿宋"/>
          <w:b w:val="0"/>
          <w:bCs w:val="0"/>
          <w:kern w:val="2"/>
          <w:sz w:val="24"/>
          <w:szCs w:val="24"/>
          <w:highlight w:val="none"/>
          <w:lang w:val="zh-CN" w:eastAsia="zh-CN" w:bidi="zh-CN"/>
        </w:rPr>
        <w:t>（统一格式）</w:t>
      </w:r>
      <w:bookmarkEnd w:id="110"/>
      <w:bookmarkEnd w:id="111"/>
      <w:bookmarkEnd w:id="112"/>
      <w:bookmarkEnd w:id="113"/>
      <w:bookmarkEnd w:id="114"/>
      <w:bookmarkEnd w:id="115"/>
      <w:bookmarkEnd w:id="116"/>
      <w:bookmarkEnd w:id="117"/>
    </w:p>
    <w:p w14:paraId="3C8200EC">
      <w:pPr>
        <w:widowControl w:val="0"/>
        <w:snapToGrid w:val="0"/>
        <w:spacing w:line="440" w:lineRule="exact"/>
        <w:ind w:firstLine="480" w:firstLineChars="200"/>
        <w:jc w:val="both"/>
        <w:rPr>
          <w:rFonts w:hint="eastAsia" w:ascii="仿宋" w:hAnsi="仿宋" w:eastAsia="仿宋" w:cs="仿宋"/>
          <w:bCs/>
          <w:kern w:val="2"/>
          <w:sz w:val="24"/>
          <w:szCs w:val="18"/>
          <w:highlight w:val="none"/>
          <w:lang w:val="en-US" w:eastAsia="zh-CN" w:bidi="ar-SA"/>
        </w:rPr>
      </w:pPr>
    </w:p>
    <w:p w14:paraId="3488BB7B">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新疆世纪星工程咨询有限公司：</w:t>
      </w:r>
    </w:p>
    <w:p w14:paraId="077BEEA3">
      <w:pPr>
        <w:widowControl w:val="0"/>
        <w:snapToGrid w:val="0"/>
        <w:spacing w:line="440" w:lineRule="exact"/>
        <w:ind w:firstLine="420" w:firstLineChars="20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 xml:space="preserve">    </w:t>
      </w:r>
      <w:r>
        <w:rPr>
          <w:rFonts w:hint="eastAsia" w:ascii="仿宋" w:hAnsi="仿宋" w:eastAsia="仿宋" w:cs="仿宋"/>
          <w:kern w:val="2"/>
          <w:sz w:val="21"/>
          <w:szCs w:val="21"/>
          <w:highlight w:val="none"/>
          <w:lang w:val="en-US" w:eastAsia="zh-CN" w:bidi="ar-SA"/>
        </w:rPr>
        <w:t>本</w:t>
      </w:r>
      <w:r>
        <w:rPr>
          <w:rFonts w:hint="eastAsia" w:ascii="仿宋" w:hAnsi="仿宋" w:eastAsia="仿宋" w:cs="仿宋"/>
          <w:kern w:val="2"/>
          <w:sz w:val="21"/>
          <w:szCs w:val="21"/>
          <w:highlight w:val="none"/>
          <w:u w:val="single"/>
          <w:lang w:val="en-US" w:eastAsia="zh-CN" w:bidi="ar-SA"/>
        </w:rPr>
        <w:t xml:space="preserve">   （供应商名称）   </w:t>
      </w:r>
      <w:r>
        <w:rPr>
          <w:rFonts w:hint="eastAsia" w:ascii="仿宋" w:hAnsi="仿宋" w:eastAsia="仿宋" w:cs="仿宋"/>
          <w:kern w:val="2"/>
          <w:sz w:val="21"/>
          <w:szCs w:val="21"/>
          <w:highlight w:val="none"/>
          <w:lang w:val="en-US" w:eastAsia="zh-CN" w:bidi="ar-SA"/>
        </w:rPr>
        <w:t>公司在参加在贵司进行的</w:t>
      </w:r>
      <w:r>
        <w:rPr>
          <w:rFonts w:hint="eastAsia" w:ascii="仿宋" w:hAnsi="仿宋" w:eastAsia="仿宋" w:cs="仿宋"/>
          <w:kern w:val="2"/>
          <w:sz w:val="21"/>
          <w:szCs w:val="21"/>
          <w:highlight w:val="none"/>
          <w:u w:val="single"/>
          <w:lang w:val="en-US" w:eastAsia="zh-CN" w:bidi="ar-SA"/>
        </w:rPr>
        <w:t xml:space="preserve">  </w:t>
      </w:r>
      <w:r>
        <w:rPr>
          <w:rFonts w:hint="eastAsia" w:ascii="仿宋" w:hAnsi="仿宋" w:eastAsia="仿宋" w:cs="仿宋"/>
          <w:b w:val="0"/>
          <w:bCs w:val="0"/>
          <w:kern w:val="2"/>
          <w:sz w:val="21"/>
          <w:szCs w:val="21"/>
          <w:highlight w:val="none"/>
          <w:u w:val="single"/>
          <w:lang w:val="en-US" w:eastAsia="zh-CN" w:bidi="ar-SA"/>
        </w:rPr>
        <w:t>（项目名称）（项目编号）</w:t>
      </w:r>
      <w:r>
        <w:rPr>
          <w:rFonts w:hint="eastAsia" w:ascii="仿宋" w:hAnsi="仿宋" w:eastAsia="仿宋" w:cs="仿宋"/>
          <w:kern w:val="2"/>
          <w:sz w:val="21"/>
          <w:szCs w:val="21"/>
          <w:highlight w:val="none"/>
          <w:u w:val="single"/>
          <w:lang w:val="en-US" w:eastAsia="zh-CN" w:bidi="ar-SA"/>
        </w:rPr>
        <w:t xml:space="preserve"> </w:t>
      </w:r>
      <w:r>
        <w:rPr>
          <w:rFonts w:hint="eastAsia" w:ascii="仿宋" w:hAnsi="仿宋" w:eastAsia="仿宋" w:cs="仿宋"/>
          <w:kern w:val="2"/>
          <w:sz w:val="21"/>
          <w:szCs w:val="21"/>
          <w:highlight w:val="none"/>
          <w:lang w:val="en-US" w:eastAsia="zh-CN" w:bidi="ar-SA"/>
        </w:rPr>
        <w:t xml:space="preserve">招标，我司缴纳标书费和代理服务费后开具发票的事宜，我司声明如下： </w:t>
      </w:r>
    </w:p>
    <w:p w14:paraId="42C76A1B">
      <w:pPr>
        <w:widowControl w:val="0"/>
        <w:snapToGrid w:val="0"/>
        <w:spacing w:line="440" w:lineRule="exact"/>
        <w:ind w:firstLine="420" w:firstLineChars="200"/>
        <w:jc w:val="both"/>
        <w:rPr>
          <w:rFonts w:hint="eastAsia" w:ascii="仿宋" w:hAnsi="仿宋" w:eastAsia="仿宋" w:cs="仿宋"/>
          <w:kern w:val="2"/>
          <w:sz w:val="21"/>
          <w:szCs w:val="21"/>
          <w:highlight w:val="none"/>
          <w:lang w:val="en-US" w:eastAsia="zh-CN" w:bidi="ar-SA"/>
        </w:rPr>
      </w:pPr>
    </w:p>
    <w:tbl>
      <w:tblPr>
        <w:tblStyle w:val="3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B2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6E45CF65">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增值税发票开票信息</w:t>
            </w:r>
          </w:p>
        </w:tc>
      </w:tr>
      <w:tr w14:paraId="6282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7030AF3">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增值税发票开票种类</w:t>
            </w:r>
          </w:p>
        </w:tc>
        <w:tc>
          <w:tcPr>
            <w:tcW w:w="7472" w:type="dxa"/>
            <w:gridSpan w:val="3"/>
            <w:vAlign w:val="center"/>
          </w:tcPr>
          <w:p w14:paraId="3A70B172">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（请在此处注明增值税专用发票或增值税普通发票）</w:t>
            </w:r>
          </w:p>
        </w:tc>
      </w:tr>
      <w:tr w14:paraId="72EB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6A88B67">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单位名称</w:t>
            </w:r>
          </w:p>
        </w:tc>
        <w:tc>
          <w:tcPr>
            <w:tcW w:w="7472" w:type="dxa"/>
            <w:gridSpan w:val="3"/>
            <w:vAlign w:val="center"/>
          </w:tcPr>
          <w:p w14:paraId="41456EA5">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r>
      <w:tr w14:paraId="190D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4A3C226">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单位地址</w:t>
            </w:r>
          </w:p>
        </w:tc>
        <w:tc>
          <w:tcPr>
            <w:tcW w:w="7472" w:type="dxa"/>
            <w:gridSpan w:val="3"/>
            <w:vAlign w:val="center"/>
          </w:tcPr>
          <w:p w14:paraId="11FFB4BE">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r>
      <w:tr w14:paraId="4310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794F885">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纳税人识别号</w:t>
            </w:r>
          </w:p>
        </w:tc>
        <w:tc>
          <w:tcPr>
            <w:tcW w:w="3576" w:type="dxa"/>
            <w:vAlign w:val="center"/>
          </w:tcPr>
          <w:p w14:paraId="651F5E24">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c>
          <w:tcPr>
            <w:tcW w:w="1791" w:type="dxa"/>
            <w:vAlign w:val="center"/>
          </w:tcPr>
          <w:p w14:paraId="5D5D599D">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固定电话</w:t>
            </w:r>
          </w:p>
        </w:tc>
        <w:tc>
          <w:tcPr>
            <w:tcW w:w="2105" w:type="dxa"/>
            <w:vAlign w:val="center"/>
          </w:tcPr>
          <w:p w14:paraId="67B6A2EC">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r>
      <w:tr w14:paraId="1B40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2DE91FF">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开户银行名称</w:t>
            </w:r>
          </w:p>
        </w:tc>
        <w:tc>
          <w:tcPr>
            <w:tcW w:w="3576" w:type="dxa"/>
            <w:vAlign w:val="center"/>
          </w:tcPr>
          <w:p w14:paraId="556F474D">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c>
          <w:tcPr>
            <w:tcW w:w="1791" w:type="dxa"/>
            <w:vAlign w:val="center"/>
          </w:tcPr>
          <w:p w14:paraId="3D1BECD4">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联系人姓名</w:t>
            </w:r>
          </w:p>
        </w:tc>
        <w:tc>
          <w:tcPr>
            <w:tcW w:w="2105" w:type="dxa"/>
            <w:vAlign w:val="center"/>
          </w:tcPr>
          <w:p w14:paraId="2DB08F30">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r>
      <w:tr w14:paraId="16C7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43B9078">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开户银行账号</w:t>
            </w:r>
          </w:p>
        </w:tc>
        <w:tc>
          <w:tcPr>
            <w:tcW w:w="3576" w:type="dxa"/>
            <w:vAlign w:val="center"/>
          </w:tcPr>
          <w:p w14:paraId="26394BF2">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c>
          <w:tcPr>
            <w:tcW w:w="1791" w:type="dxa"/>
            <w:vAlign w:val="center"/>
          </w:tcPr>
          <w:p w14:paraId="2034F81A">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联系人电话</w:t>
            </w:r>
          </w:p>
        </w:tc>
        <w:tc>
          <w:tcPr>
            <w:tcW w:w="2105" w:type="dxa"/>
            <w:vAlign w:val="center"/>
          </w:tcPr>
          <w:p w14:paraId="1F5F59EE">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r>
      <w:tr w14:paraId="1CDE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A63434B">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电子发票收件</w:t>
            </w:r>
          </w:p>
          <w:p w14:paraId="35C80E0F">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电子邮箱</w:t>
            </w:r>
          </w:p>
        </w:tc>
        <w:tc>
          <w:tcPr>
            <w:tcW w:w="7472" w:type="dxa"/>
            <w:gridSpan w:val="3"/>
            <w:vAlign w:val="center"/>
          </w:tcPr>
          <w:p w14:paraId="62EB8FE5">
            <w:pPr>
              <w:widowControl w:val="0"/>
              <w:snapToGrid w:val="0"/>
              <w:spacing w:line="440" w:lineRule="exact"/>
              <w:jc w:val="left"/>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Email</w:t>
            </w:r>
          </w:p>
        </w:tc>
      </w:tr>
      <w:tr w14:paraId="1A22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78E6A823">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发票邮寄地址：</w:t>
            </w:r>
          </w:p>
        </w:tc>
        <w:tc>
          <w:tcPr>
            <w:tcW w:w="7472" w:type="dxa"/>
            <w:gridSpan w:val="3"/>
            <w:vAlign w:val="center"/>
          </w:tcPr>
          <w:p w14:paraId="058560A2">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地址：</w:t>
            </w:r>
          </w:p>
          <w:p w14:paraId="20552232">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收件人：                电话：</w:t>
            </w:r>
          </w:p>
        </w:tc>
      </w:tr>
    </w:tbl>
    <w:p w14:paraId="16F608CB">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 xml:space="preserve">    我公司提供的上述开票信息准确无误，如果因我公司提供上述信息错误，导致发票无效的，将由我公司承担相应后果。</w:t>
      </w:r>
    </w:p>
    <w:p w14:paraId="5CEC3F86">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p>
    <w:p w14:paraId="2B8F76C7">
      <w:pPr>
        <w:widowControl w:val="0"/>
        <w:snapToGrid w:val="0"/>
        <w:spacing w:line="440" w:lineRule="exact"/>
        <w:ind w:firstLine="420" w:firstLineChars="200"/>
        <w:jc w:val="both"/>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注：供应商需要采购代理机构开具增值税发票的，请在上表中填写相关信息，</w:t>
      </w:r>
      <w:r>
        <w:rPr>
          <w:rFonts w:hint="eastAsia" w:ascii="仿宋" w:hAnsi="仿宋" w:eastAsia="仿宋" w:cs="仿宋"/>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仿宋" w:hAnsi="仿宋" w:eastAsia="仿宋" w:cs="仿宋"/>
          <w:bCs/>
          <w:kern w:val="2"/>
          <w:sz w:val="21"/>
          <w:szCs w:val="21"/>
          <w:highlight w:val="none"/>
          <w:lang w:val="en-US" w:eastAsia="zh-CN" w:bidi="ar-SA"/>
        </w:rPr>
        <w:t>如供应商在开票信息中未注明开具</w:t>
      </w:r>
      <w:r>
        <w:rPr>
          <w:rFonts w:hint="eastAsia" w:ascii="仿宋" w:hAnsi="仿宋" w:eastAsia="仿宋" w:cs="仿宋"/>
          <w:b/>
          <w:kern w:val="2"/>
          <w:sz w:val="21"/>
          <w:szCs w:val="21"/>
          <w:highlight w:val="none"/>
          <w:lang w:val="en-US" w:eastAsia="zh-CN" w:bidi="ar-SA"/>
        </w:rPr>
        <w:t>增值税专用发票</w:t>
      </w:r>
      <w:r>
        <w:rPr>
          <w:rFonts w:hint="eastAsia" w:ascii="仿宋" w:hAnsi="仿宋" w:eastAsia="仿宋" w:cs="仿宋"/>
          <w:bCs/>
          <w:kern w:val="2"/>
          <w:sz w:val="21"/>
          <w:szCs w:val="21"/>
          <w:highlight w:val="none"/>
          <w:lang w:val="en-US" w:eastAsia="zh-CN" w:bidi="ar-SA"/>
        </w:rPr>
        <w:t>且未提供上述材料，代理机构将默认开具增值税普通发票。</w:t>
      </w:r>
    </w:p>
    <w:p w14:paraId="7405E6F6">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p>
    <w:p w14:paraId="1D640C39">
      <w:pPr>
        <w:adjustRightInd w:val="0"/>
        <w:snapToGrid w:val="0"/>
        <w:spacing w:line="440" w:lineRule="exact"/>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法定代表人（或法定代表人授权代表）签字：</w:t>
      </w:r>
    </w:p>
    <w:p w14:paraId="3346E0EE">
      <w:pPr>
        <w:adjustRightInd w:val="0"/>
        <w:snapToGrid w:val="0"/>
        <w:spacing w:line="440" w:lineRule="exact"/>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名称（加盖公章）：</w:t>
      </w:r>
    </w:p>
    <w:p w14:paraId="15B87643">
      <w:pPr>
        <w:widowControl w:val="0"/>
        <w:snapToGrid w:val="0"/>
        <w:spacing w:line="440" w:lineRule="exact"/>
        <w:jc w:val="both"/>
        <w:rPr>
          <w:rFonts w:hint="eastAsia" w:ascii="仿宋" w:hAnsi="仿宋" w:eastAsia="仿宋" w:cs="仿宋"/>
          <w:b/>
          <w:bCs/>
          <w:color w:val="000000"/>
          <w:kern w:val="2"/>
          <w:sz w:val="21"/>
          <w:szCs w:val="21"/>
          <w:highlight w:val="none"/>
          <w:lang w:val="en-US" w:eastAsia="zh-CN" w:bidi="ar"/>
        </w:rPr>
      </w:pPr>
      <w:r>
        <w:rPr>
          <w:rFonts w:hint="eastAsia" w:ascii="仿宋" w:hAnsi="仿宋" w:eastAsia="仿宋" w:cs="仿宋"/>
          <w:color w:val="000000"/>
          <w:kern w:val="2"/>
          <w:sz w:val="21"/>
          <w:szCs w:val="21"/>
          <w:highlight w:val="none"/>
          <w:lang w:val="en-US" w:eastAsia="zh-CN" w:bidi="ar-SA"/>
        </w:rPr>
        <w:t>日期：   年   月   日</w:t>
      </w:r>
    </w:p>
    <w:p w14:paraId="752D84FA">
      <w:pPr>
        <w:pStyle w:val="27"/>
        <w:rPr>
          <w:rFonts w:hint="eastAsia" w:ascii="仿宋" w:hAnsi="仿宋" w:eastAsia="仿宋" w:cs="仿宋"/>
          <w:highlight w:val="none"/>
          <w:lang w:val="en-US" w:eastAsia="zh-CN"/>
        </w:rPr>
      </w:pPr>
    </w:p>
    <w:p w14:paraId="0F0FF612">
      <w:pPr>
        <w:pStyle w:val="27"/>
        <w:rPr>
          <w:rFonts w:hint="eastAsia" w:ascii="仿宋" w:hAnsi="仿宋" w:eastAsia="仿宋" w:cs="仿宋"/>
          <w:highlight w:val="none"/>
          <w:lang w:val="en-US" w:eastAsia="zh-CN"/>
        </w:rPr>
      </w:pPr>
    </w:p>
    <w:sectPr>
      <w:headerReference r:id="rId6" w:type="default"/>
      <w:footerReference r:id="rId7" w:type="default"/>
      <w:pgSz w:w="11906" w:h="16838"/>
      <w:pgMar w:top="1440" w:right="1800" w:bottom="1440" w:left="1800" w:header="851" w:footer="992" w:gutter="0"/>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E33FCDE-8F82-4892-95C6-20285B4E49C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B58C36F6-DB2A-4B49-8D0A-6B7E2DBEDC61}"/>
  </w:font>
  <w:font w:name="微软雅黑">
    <w:panose1 w:val="020B0503020204020204"/>
    <w:charset w:val="86"/>
    <w:family w:val="auto"/>
    <w:pitch w:val="default"/>
    <w:sig w:usb0="80000287" w:usb1="2ACF3C50" w:usb2="00000016" w:usb3="00000000" w:csb0="0004001F" w:csb1="00000000"/>
    <w:embedRegular r:id="rId3" w:fontKey="{5290456F-A3BF-4F98-97CA-BC238AE070F6}"/>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4" w:fontKey="{EA96F6F7-8974-4763-9894-56ED2C77DCBD}"/>
  </w:font>
  <w:font w:name="华文楷体">
    <w:altName w:val="宋体"/>
    <w:panose1 w:val="02010600040101010101"/>
    <w:charset w:val="86"/>
    <w:family w:val="auto"/>
    <w:pitch w:val="default"/>
    <w:sig w:usb0="00000000" w:usb1="00000000" w:usb2="00000000" w:usb3="00000000" w:csb0="0004009F" w:csb1="DFD70000"/>
  </w:font>
  <w:font w:name="Microsoft JhengHei UI">
    <w:panose1 w:val="020B0604030504040204"/>
    <w:charset w:val="88"/>
    <w:family w:val="auto"/>
    <w:pitch w:val="default"/>
    <w:sig w:usb0="000002A7" w:usb1="28CF4400" w:usb2="00000016" w:usb3="00000000" w:csb0="00100009" w:csb1="00000000"/>
    <w:embedRegular r:id="rId5" w:fontKey="{2D45A3EF-6D1E-4E95-83CE-981119502560}"/>
  </w:font>
  <w:font w:name="方正仿宋_GB2312">
    <w:panose1 w:val="02000000000000000000"/>
    <w:charset w:val="86"/>
    <w:family w:val="auto"/>
    <w:pitch w:val="default"/>
    <w:sig w:usb0="A00002BF" w:usb1="184F6CFA" w:usb2="00000012" w:usb3="00000000" w:csb0="00040001" w:csb1="00000000"/>
    <w:embedRegular r:id="rId6" w:fontKey="{AAFEC647-D7B5-471B-902B-AEC77098FF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8022C">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B54CD">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6B54CD">
                    <w:pPr>
                      <w:pStyle w:val="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E4047">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02348">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48E14">
                          <w:pPr>
                            <w:pStyle w:val="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5948E14">
                    <w:pPr>
                      <w:pStyle w:val="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9D1DF">
    <w:pPr>
      <w:pStyle w:val="21"/>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21B553EE">
    <w:pPr>
      <w:pStyle w:val="21"/>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305E">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A4B1DEFC"/>
    <w:multiLevelType w:val="singleLevel"/>
    <w:tmpl w:val="A4B1DEFC"/>
    <w:lvl w:ilvl="0" w:tentative="0">
      <w:start w:val="1"/>
      <w:numFmt w:val="decimal"/>
      <w:suff w:val="nothing"/>
      <w:lvlText w:val="（%1）"/>
      <w:lvlJc w:val="left"/>
    </w:lvl>
  </w:abstractNum>
  <w:abstractNum w:abstractNumId="2">
    <w:nsid w:val="BC82F1D4"/>
    <w:multiLevelType w:val="singleLevel"/>
    <w:tmpl w:val="BC82F1D4"/>
    <w:lvl w:ilvl="0" w:tentative="0">
      <w:start w:val="1"/>
      <w:numFmt w:val="chineseCounting"/>
      <w:suff w:val="space"/>
      <w:lvlText w:val="第%1章"/>
      <w:lvlJc w:val="left"/>
      <w:rPr>
        <w:rFonts w:hint="eastAsia"/>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47A33987"/>
    <w:multiLevelType w:val="singleLevel"/>
    <w:tmpl w:val="47A33987"/>
    <w:lvl w:ilvl="0" w:tentative="0">
      <w:start w:val="3"/>
      <w:numFmt w:val="chineseCounting"/>
      <w:suff w:val="nothing"/>
      <w:lvlText w:val="%1、"/>
      <w:lvlJc w:val="left"/>
      <w:rPr>
        <w:rFonts w:hint="eastAsia"/>
      </w:rPr>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63862E25"/>
    <w:multiLevelType w:val="singleLevel"/>
    <w:tmpl w:val="63862E25"/>
    <w:lvl w:ilvl="0" w:tentative="0">
      <w:start w:val="1"/>
      <w:numFmt w:val="decimal"/>
      <w:suff w:val="space"/>
      <w:lvlText w:val="（%1）"/>
      <w:lvlJc w:val="left"/>
    </w:lvl>
  </w:abstractNum>
  <w:abstractNum w:abstractNumId="10">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1">
    <w:nsid w:val="73E6972B"/>
    <w:multiLevelType w:val="singleLevel"/>
    <w:tmpl w:val="73E6972B"/>
    <w:lvl w:ilvl="0" w:tentative="0">
      <w:start w:val="1"/>
      <w:numFmt w:val="chineseCounting"/>
      <w:suff w:val="space"/>
      <w:lvlText w:val="%1、"/>
      <w:lvlJc w:val="left"/>
      <w:rPr>
        <w:rFonts w:hint="eastAsia"/>
      </w:rPr>
    </w:lvl>
  </w:abstractNum>
  <w:abstractNum w:abstractNumId="12">
    <w:nsid w:val="7633D9B6"/>
    <w:multiLevelType w:val="singleLevel"/>
    <w:tmpl w:val="7633D9B6"/>
    <w:lvl w:ilvl="0" w:tentative="0">
      <w:start w:val="3"/>
      <w:numFmt w:val="chineseCounting"/>
      <w:suff w:val="space"/>
      <w:lvlText w:val="第%1章"/>
      <w:lvlJc w:val="left"/>
      <w:rPr>
        <w:rFonts w:hint="eastAsia"/>
      </w:rPr>
    </w:lvl>
  </w:abstractNum>
  <w:abstractNum w:abstractNumId="13">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11"/>
  </w:num>
  <w:num w:numId="3">
    <w:abstractNumId w:val="8"/>
  </w:num>
  <w:num w:numId="4">
    <w:abstractNumId w:val="12"/>
  </w:num>
  <w:num w:numId="5">
    <w:abstractNumId w:val="13"/>
  </w:num>
  <w:num w:numId="6">
    <w:abstractNumId w:val="10"/>
  </w:num>
  <w:num w:numId="7">
    <w:abstractNumId w:val="6"/>
  </w:num>
  <w:num w:numId="8">
    <w:abstractNumId w:val="3"/>
  </w:num>
  <w:num w:numId="9">
    <w:abstractNumId w:val="9"/>
  </w:num>
  <w:num w:numId="10">
    <w:abstractNumId w:val="4"/>
  </w:num>
  <w:num w:numId="11">
    <w:abstractNumId w:val="7"/>
  </w:num>
  <w:num w:numId="12">
    <w:abstractNumId w:val="5"/>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GVhMzY2Mjc2ZTVmNTg0OTc4MWEzZmNmZjdjMjUifQ=="/>
    <w:docVar w:name="KSO_WPS_MARK_KEY" w:val="3fd9e1fc-8ed0-4397-a4e7-6faf45fc3682"/>
  </w:docVars>
  <w:rsids>
    <w:rsidRoot w:val="1AA24D9F"/>
    <w:rsid w:val="02353A89"/>
    <w:rsid w:val="02813328"/>
    <w:rsid w:val="02B773B3"/>
    <w:rsid w:val="030A23FA"/>
    <w:rsid w:val="034F484F"/>
    <w:rsid w:val="04071455"/>
    <w:rsid w:val="04100C9A"/>
    <w:rsid w:val="061B1E9A"/>
    <w:rsid w:val="06C4362D"/>
    <w:rsid w:val="07011CC2"/>
    <w:rsid w:val="071751E8"/>
    <w:rsid w:val="07644792"/>
    <w:rsid w:val="07BE71A8"/>
    <w:rsid w:val="0822060B"/>
    <w:rsid w:val="08DB3AF1"/>
    <w:rsid w:val="08E17110"/>
    <w:rsid w:val="09284798"/>
    <w:rsid w:val="09353BD7"/>
    <w:rsid w:val="099153F6"/>
    <w:rsid w:val="09BC4A90"/>
    <w:rsid w:val="0C5D0751"/>
    <w:rsid w:val="0C6E02C3"/>
    <w:rsid w:val="0D6A1561"/>
    <w:rsid w:val="0D8A6C86"/>
    <w:rsid w:val="0D9037A8"/>
    <w:rsid w:val="0D9F625A"/>
    <w:rsid w:val="0E0407B3"/>
    <w:rsid w:val="0F2B6FD9"/>
    <w:rsid w:val="0F6459AD"/>
    <w:rsid w:val="10240C99"/>
    <w:rsid w:val="11286567"/>
    <w:rsid w:val="11DF4F81"/>
    <w:rsid w:val="1294398E"/>
    <w:rsid w:val="12A10538"/>
    <w:rsid w:val="131D68ED"/>
    <w:rsid w:val="1324792E"/>
    <w:rsid w:val="1393060F"/>
    <w:rsid w:val="14B12D68"/>
    <w:rsid w:val="15113EE2"/>
    <w:rsid w:val="1585667E"/>
    <w:rsid w:val="16175528"/>
    <w:rsid w:val="16970452"/>
    <w:rsid w:val="170B3BD8"/>
    <w:rsid w:val="172C5B37"/>
    <w:rsid w:val="17363E85"/>
    <w:rsid w:val="181A30AD"/>
    <w:rsid w:val="183C240D"/>
    <w:rsid w:val="183D67F3"/>
    <w:rsid w:val="18EE62E8"/>
    <w:rsid w:val="19105687"/>
    <w:rsid w:val="19CA28B1"/>
    <w:rsid w:val="1A7D3DC7"/>
    <w:rsid w:val="1A824F3A"/>
    <w:rsid w:val="1A8607B2"/>
    <w:rsid w:val="1AA24D9F"/>
    <w:rsid w:val="1AA9696A"/>
    <w:rsid w:val="1B723BA2"/>
    <w:rsid w:val="1B8D0258"/>
    <w:rsid w:val="1C6923AC"/>
    <w:rsid w:val="1DCB5CE7"/>
    <w:rsid w:val="1F882798"/>
    <w:rsid w:val="1FB05EDF"/>
    <w:rsid w:val="22491B20"/>
    <w:rsid w:val="22D44F47"/>
    <w:rsid w:val="22FD7853"/>
    <w:rsid w:val="234542AA"/>
    <w:rsid w:val="239C20E2"/>
    <w:rsid w:val="23CF5A1D"/>
    <w:rsid w:val="24182C11"/>
    <w:rsid w:val="24264886"/>
    <w:rsid w:val="244200FD"/>
    <w:rsid w:val="24CB1224"/>
    <w:rsid w:val="258636AA"/>
    <w:rsid w:val="263F63D5"/>
    <w:rsid w:val="27AB78DE"/>
    <w:rsid w:val="28DA2E89"/>
    <w:rsid w:val="29314D5B"/>
    <w:rsid w:val="2A4254F9"/>
    <w:rsid w:val="2AE167BD"/>
    <w:rsid w:val="2B065713"/>
    <w:rsid w:val="2BE72BEF"/>
    <w:rsid w:val="2C0C0B07"/>
    <w:rsid w:val="2C9C19FD"/>
    <w:rsid w:val="2D1F32F4"/>
    <w:rsid w:val="2D9C13E5"/>
    <w:rsid w:val="2FBB1B81"/>
    <w:rsid w:val="30986E0D"/>
    <w:rsid w:val="30C07F7C"/>
    <w:rsid w:val="30CC121C"/>
    <w:rsid w:val="321D38DA"/>
    <w:rsid w:val="323B4D81"/>
    <w:rsid w:val="32742892"/>
    <w:rsid w:val="32DA370D"/>
    <w:rsid w:val="32E4458C"/>
    <w:rsid w:val="34B70380"/>
    <w:rsid w:val="34BA26CB"/>
    <w:rsid w:val="35E13004"/>
    <w:rsid w:val="365C69BF"/>
    <w:rsid w:val="366D4898"/>
    <w:rsid w:val="36C31C10"/>
    <w:rsid w:val="3783605E"/>
    <w:rsid w:val="38A706FA"/>
    <w:rsid w:val="3AE174A3"/>
    <w:rsid w:val="3B133C60"/>
    <w:rsid w:val="3B810614"/>
    <w:rsid w:val="3C6109FB"/>
    <w:rsid w:val="3CA61E79"/>
    <w:rsid w:val="3D1B32A0"/>
    <w:rsid w:val="3E0C6989"/>
    <w:rsid w:val="3EA60A3D"/>
    <w:rsid w:val="3F172BE7"/>
    <w:rsid w:val="3F3314F0"/>
    <w:rsid w:val="3F6455D5"/>
    <w:rsid w:val="40BE2AD0"/>
    <w:rsid w:val="41AA5E71"/>
    <w:rsid w:val="421F113C"/>
    <w:rsid w:val="427E1DB3"/>
    <w:rsid w:val="42AC04F6"/>
    <w:rsid w:val="42B71375"/>
    <w:rsid w:val="43446334"/>
    <w:rsid w:val="448C5F4F"/>
    <w:rsid w:val="44A84E71"/>
    <w:rsid w:val="4714034E"/>
    <w:rsid w:val="477172B3"/>
    <w:rsid w:val="477DCE1E"/>
    <w:rsid w:val="48D6451F"/>
    <w:rsid w:val="492A660D"/>
    <w:rsid w:val="4C2061DD"/>
    <w:rsid w:val="4C577725"/>
    <w:rsid w:val="4DC139EC"/>
    <w:rsid w:val="4E9C3B15"/>
    <w:rsid w:val="4EC72940"/>
    <w:rsid w:val="4F1418FD"/>
    <w:rsid w:val="4FEE65F2"/>
    <w:rsid w:val="50D737EC"/>
    <w:rsid w:val="51416E8D"/>
    <w:rsid w:val="51A52CE0"/>
    <w:rsid w:val="5253098E"/>
    <w:rsid w:val="525C3CE7"/>
    <w:rsid w:val="52DC78FB"/>
    <w:rsid w:val="535C4392"/>
    <w:rsid w:val="536A4041"/>
    <w:rsid w:val="542D2F61"/>
    <w:rsid w:val="54581294"/>
    <w:rsid w:val="56557314"/>
    <w:rsid w:val="567B1976"/>
    <w:rsid w:val="56E60023"/>
    <w:rsid w:val="57037009"/>
    <w:rsid w:val="570D1A54"/>
    <w:rsid w:val="573E1E21"/>
    <w:rsid w:val="58C61EBA"/>
    <w:rsid w:val="592A2449"/>
    <w:rsid w:val="593D0B75"/>
    <w:rsid w:val="5A571512"/>
    <w:rsid w:val="5B44356A"/>
    <w:rsid w:val="5B487E91"/>
    <w:rsid w:val="5C553C81"/>
    <w:rsid w:val="5C7D4F86"/>
    <w:rsid w:val="5CF9550F"/>
    <w:rsid w:val="5D5508DA"/>
    <w:rsid w:val="5D6B74D4"/>
    <w:rsid w:val="5E4C10B3"/>
    <w:rsid w:val="5E781EA8"/>
    <w:rsid w:val="5E955F07"/>
    <w:rsid w:val="5EA84152"/>
    <w:rsid w:val="5EFEBDE8"/>
    <w:rsid w:val="60755DA6"/>
    <w:rsid w:val="6085265B"/>
    <w:rsid w:val="60FD0443"/>
    <w:rsid w:val="6155202D"/>
    <w:rsid w:val="619B0311"/>
    <w:rsid w:val="61EF5BD9"/>
    <w:rsid w:val="625B691D"/>
    <w:rsid w:val="626D784A"/>
    <w:rsid w:val="642B176B"/>
    <w:rsid w:val="64FD3107"/>
    <w:rsid w:val="65B6781F"/>
    <w:rsid w:val="67571A34"/>
    <w:rsid w:val="676962DE"/>
    <w:rsid w:val="67E61C31"/>
    <w:rsid w:val="68CA2609"/>
    <w:rsid w:val="68CC1AED"/>
    <w:rsid w:val="692A0243"/>
    <w:rsid w:val="69BB0F42"/>
    <w:rsid w:val="69E3462A"/>
    <w:rsid w:val="6A637494"/>
    <w:rsid w:val="6AD23432"/>
    <w:rsid w:val="6B1308BC"/>
    <w:rsid w:val="6B493DA1"/>
    <w:rsid w:val="6BB81877"/>
    <w:rsid w:val="6BCF62E6"/>
    <w:rsid w:val="6C8639E2"/>
    <w:rsid w:val="6CD3A16D"/>
    <w:rsid w:val="6D4C44E9"/>
    <w:rsid w:val="6D535020"/>
    <w:rsid w:val="6E5F49A6"/>
    <w:rsid w:val="6F23376B"/>
    <w:rsid w:val="6FBE656C"/>
    <w:rsid w:val="6FE0165C"/>
    <w:rsid w:val="6FF637CB"/>
    <w:rsid w:val="6FFF37D2"/>
    <w:rsid w:val="70127B77"/>
    <w:rsid w:val="70DA1D6D"/>
    <w:rsid w:val="70DE2EF1"/>
    <w:rsid w:val="712E4649"/>
    <w:rsid w:val="71520337"/>
    <w:rsid w:val="71AA1F21"/>
    <w:rsid w:val="7221658E"/>
    <w:rsid w:val="727260E7"/>
    <w:rsid w:val="72DC0379"/>
    <w:rsid w:val="73BF43B6"/>
    <w:rsid w:val="744E77CB"/>
    <w:rsid w:val="75203B28"/>
    <w:rsid w:val="752F73D8"/>
    <w:rsid w:val="75B00123"/>
    <w:rsid w:val="76057F95"/>
    <w:rsid w:val="76181E56"/>
    <w:rsid w:val="76691AD0"/>
    <w:rsid w:val="767B4F55"/>
    <w:rsid w:val="769413F2"/>
    <w:rsid w:val="780D6D66"/>
    <w:rsid w:val="782D2AB2"/>
    <w:rsid w:val="797301D5"/>
    <w:rsid w:val="79D815F5"/>
    <w:rsid w:val="7A6D3E2A"/>
    <w:rsid w:val="7B436597"/>
    <w:rsid w:val="7BB75966"/>
    <w:rsid w:val="7BEC59DF"/>
    <w:rsid w:val="7C5F4108"/>
    <w:rsid w:val="7CCF6CE0"/>
    <w:rsid w:val="7D092933"/>
    <w:rsid w:val="7D332F7E"/>
    <w:rsid w:val="7DF86D11"/>
    <w:rsid w:val="7E687DD8"/>
    <w:rsid w:val="7F79C282"/>
    <w:rsid w:val="7F7B6CAE"/>
    <w:rsid w:val="7F846D97"/>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4">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5">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6">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sz w:val="28"/>
    </w:rPr>
  </w:style>
  <w:style w:type="paragraph" w:styleId="7">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8">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9">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10">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1">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31">
    <w:name w:val="Default Paragraph Font"/>
    <w:qFormat/>
    <w:uiPriority w:val="0"/>
    <w:rPr>
      <w:rFonts w:eastAsia="微软雅黑" w:asciiTheme="minorAscii" w:hAnsiTheme="minorAscii"/>
    </w:rPr>
  </w:style>
  <w:style w:type="table" w:default="1" w:styleId="29">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12">
    <w:name w:val="Normal Indent"/>
    <w:basedOn w:val="1"/>
    <w:next w:val="13"/>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3">
    <w:name w:val="toc 4"/>
    <w:basedOn w:val="1"/>
    <w:next w:val="1"/>
    <w:unhideWhenUsed/>
    <w:qFormat/>
    <w:uiPriority w:val="39"/>
    <w:pPr>
      <w:ind w:left="630"/>
      <w:jc w:val="left"/>
    </w:pPr>
    <w:rPr>
      <w:rFonts w:ascii="Calibri" w:hAnsi="Calibri" w:cs="Calibri"/>
      <w:sz w:val="18"/>
      <w:szCs w:val="18"/>
    </w:rPr>
  </w:style>
  <w:style w:type="paragraph" w:styleId="14">
    <w:name w:val="toa heading"/>
    <w:next w:val="1"/>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5">
    <w:name w:val="annotation text"/>
    <w:basedOn w:val="1"/>
    <w:qFormat/>
    <w:uiPriority w:val="0"/>
    <w:pPr>
      <w:jc w:val="left"/>
    </w:pPr>
  </w:style>
  <w:style w:type="paragraph" w:styleId="16">
    <w:name w:val="Body Text"/>
    <w:basedOn w:val="1"/>
    <w:next w:val="1"/>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7">
    <w:name w:val="Body Text Indent"/>
    <w:basedOn w:val="1"/>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8">
    <w:name w:val="Plain Text"/>
    <w:basedOn w:val="1"/>
    <w:qFormat/>
    <w:uiPriority w:val="0"/>
    <w:rPr>
      <w:rFonts w:ascii="宋体" w:hAnsi="Courier New" w:cs="Courier New"/>
      <w:szCs w:val="21"/>
    </w:rPr>
  </w:style>
  <w:style w:type="paragraph" w:styleId="19">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20">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2">
    <w:name w:val="toc 1"/>
    <w:basedOn w:val="1"/>
    <w:next w:val="1"/>
    <w:qFormat/>
    <w:uiPriority w:val="0"/>
  </w:style>
  <w:style w:type="paragraph" w:styleId="23">
    <w:name w:val="footnote text"/>
    <w:basedOn w:val="1"/>
    <w:qFormat/>
    <w:uiPriority w:val="0"/>
    <w:pPr>
      <w:snapToGrid w:val="0"/>
      <w:jc w:val="left"/>
    </w:pPr>
    <w:rPr>
      <w:rFonts w:ascii="Times New Roman" w:hAnsi="Times New Roman" w:eastAsia="宋体" w:cs="Times New Roman"/>
      <w:sz w:val="18"/>
    </w:rPr>
  </w:style>
  <w:style w:type="paragraph" w:styleId="24">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5">
    <w:name w:val="toc 2"/>
    <w:basedOn w:val="1"/>
    <w:next w:val="1"/>
    <w:qFormat/>
    <w:uiPriority w:val="0"/>
    <w:pPr>
      <w:ind w:left="420" w:leftChars="200"/>
    </w:pPr>
  </w:style>
  <w:style w:type="paragraph" w:styleId="26">
    <w:name w:val="Normal (Web)"/>
    <w:basedOn w:val="1"/>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7">
    <w:name w:val="Body Text First Indent"/>
    <w:next w:val="24"/>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8">
    <w:name w:val="Body Text First Indent 2"/>
    <w:next w:val="27"/>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30">
    <w:name w:val="Table Grid"/>
    <w:basedOn w:val="29"/>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0"/>
    <w:rPr>
      <w:b/>
    </w:rPr>
  </w:style>
  <w:style w:type="paragraph" w:customStyle="1" w:styleId="33">
    <w:name w:val="表格文字2"/>
    <w:basedOn w:val="34"/>
    <w:qFormat/>
    <w:uiPriority w:val="99"/>
    <w:pPr>
      <w:spacing w:before="25" w:after="25"/>
      <w:jc w:val="left"/>
    </w:pPr>
    <w:rPr>
      <w:bCs/>
      <w:spacing w:val="10"/>
      <w:kern w:val="0"/>
    </w:rPr>
  </w:style>
  <w:style w:type="paragraph" w:customStyle="1" w:styleId="34">
    <w:name w:val="正文2"/>
    <w:next w:val="35"/>
    <w:qFormat/>
    <w:uiPriority w:val="0"/>
    <w:pPr>
      <w:jc w:val="both"/>
    </w:pPr>
    <w:rPr>
      <w:rFonts w:ascii="Times New Roman" w:hAnsi="Times New Roman" w:eastAsia="宋体" w:cs="Times New Roman"/>
      <w:kern w:val="2"/>
      <w:sz w:val="21"/>
      <w:szCs w:val="21"/>
      <w:lang w:val="en-US" w:eastAsia="zh-CN" w:bidi="ar-SA"/>
    </w:rPr>
  </w:style>
  <w:style w:type="paragraph" w:customStyle="1" w:styleId="35">
    <w:name w:val="正文缩进1"/>
    <w:basedOn w:val="36"/>
    <w:unhideWhenUsed/>
    <w:qFormat/>
    <w:uiPriority w:val="0"/>
    <w:pPr>
      <w:ind w:firstLine="420" w:firstLineChars="200"/>
    </w:pPr>
    <w:rPr>
      <w:rFonts w:ascii="Calibri" w:hAnsi="Calibri"/>
      <w:szCs w:val="22"/>
    </w:rPr>
  </w:style>
  <w:style w:type="paragraph" w:customStyle="1" w:styleId="36">
    <w:name w:val="正文21"/>
    <w:next w:val="35"/>
    <w:qFormat/>
    <w:uiPriority w:val="0"/>
    <w:pPr>
      <w:jc w:val="both"/>
    </w:pPr>
    <w:rPr>
      <w:rFonts w:ascii="Times New Roman" w:hAnsi="Times New Roman" w:eastAsia="宋体" w:cs="Times New Roman"/>
      <w:kern w:val="2"/>
      <w:sz w:val="21"/>
      <w:szCs w:val="21"/>
      <w:lang w:val="en-US" w:eastAsia="zh-CN" w:bidi="ar-SA"/>
    </w:rPr>
  </w:style>
  <w:style w:type="paragraph" w:customStyle="1" w:styleId="37">
    <w:name w:val="FootnoteText"/>
    <w:basedOn w:val="1"/>
    <w:qFormat/>
    <w:uiPriority w:val="0"/>
    <w:pPr>
      <w:snapToGrid w:val="0"/>
    </w:pPr>
    <w:rPr>
      <w:sz w:val="18"/>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paragraph" w:customStyle="1" w:styleId="40">
    <w:name w:val="正文缩进_2"/>
    <w:basedOn w:val="41"/>
    <w:unhideWhenUsed/>
    <w:qFormat/>
    <w:uiPriority w:val="0"/>
    <w:pPr>
      <w:ind w:firstLine="420" w:firstLineChars="200"/>
    </w:pPr>
    <w:rPr>
      <w:rFonts w:ascii="Calibri" w:hAnsi="Calibri"/>
    </w:rPr>
  </w:style>
  <w:style w:type="paragraph" w:customStyle="1" w:styleId="41">
    <w:name w:val="正文_4"/>
    <w:next w:val="4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页脚_3"/>
    <w:basedOn w:val="41"/>
    <w:unhideWhenUsed/>
    <w:qFormat/>
    <w:uiPriority w:val="99"/>
    <w:pPr>
      <w:tabs>
        <w:tab w:val="center" w:pos="4153"/>
        <w:tab w:val="right" w:pos="8306"/>
      </w:tabs>
      <w:snapToGrid w:val="0"/>
      <w:jc w:val="left"/>
    </w:pPr>
    <w:rPr>
      <w:sz w:val="18"/>
      <w:szCs w:val="18"/>
    </w:rPr>
  </w:style>
  <w:style w:type="paragraph" w:customStyle="1" w:styleId="4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4">
    <w:name w:val="列出段落1"/>
    <w:basedOn w:val="1"/>
    <w:qFormat/>
    <w:uiPriority w:val="0"/>
    <w:pPr>
      <w:ind w:firstLine="420" w:firstLineChars="200"/>
    </w:pPr>
    <w:rPr>
      <w:szCs w:val="21"/>
    </w:rPr>
  </w:style>
  <w:style w:type="paragraph" w:customStyle="1" w:styleId="45">
    <w:name w:val="Table Text"/>
    <w:basedOn w:val="1"/>
    <w:semiHidden/>
    <w:qFormat/>
    <w:uiPriority w:val="0"/>
    <w:rPr>
      <w:rFonts w:ascii="宋体" w:hAnsi="宋体" w:eastAsia="宋体" w:cs="宋体"/>
      <w:sz w:val="23"/>
      <w:szCs w:val="23"/>
      <w:lang w:val="en-US" w:eastAsia="en-US" w:bidi="ar-SA"/>
    </w:rPr>
  </w:style>
  <w:style w:type="table" w:customStyle="1" w:styleId="46">
    <w:name w:val="Table Normal"/>
    <w:semiHidden/>
    <w:unhideWhenUsed/>
    <w:qFormat/>
    <w:uiPriority w:val="0"/>
    <w:tblPr>
      <w:tblCellMar>
        <w:top w:w="0" w:type="dxa"/>
        <w:left w:w="0" w:type="dxa"/>
        <w:bottom w:w="0" w:type="dxa"/>
        <w:right w:w="0" w:type="dxa"/>
      </w:tblCellMar>
    </w:tblPr>
  </w:style>
  <w:style w:type="paragraph" w:customStyle="1" w:styleId="47">
    <w:name w:val="采购正文"/>
    <w:basedOn w:val="1"/>
    <w:qFormat/>
    <w:uiPriority w:val="0"/>
    <w:rPr>
      <w:rFonts w:ascii="宋体" w:hAnsi="宋体" w:eastAsia="宋体"/>
      <w:szCs w:val="24"/>
    </w:rPr>
  </w:style>
  <w:style w:type="paragraph" w:styleId="48">
    <w:name w:val="List Paragraph"/>
    <w:basedOn w:val="1"/>
    <w:qFormat/>
    <w:uiPriority w:val="34"/>
    <w:pPr>
      <w:ind w:firstLine="420"/>
    </w:pPr>
  </w:style>
  <w:style w:type="paragraph" w:customStyle="1" w:styleId="49">
    <w:name w:val="标题三"/>
    <w:basedOn w:val="1"/>
    <w:qFormat/>
    <w:uiPriority w:val="0"/>
    <w:pPr>
      <w:ind w:firstLine="643"/>
    </w:pPr>
    <w:rPr>
      <w:b/>
      <w:sz w:val="32"/>
    </w:rPr>
  </w:style>
  <w:style w:type="paragraph" w:customStyle="1" w:styleId="50">
    <w:name w:val="Table Paragraph"/>
    <w:basedOn w:val="1"/>
    <w:qFormat/>
    <w:uiPriority w:val="1"/>
    <w:pPr>
      <w:snapToGrid w:val="0"/>
      <w:spacing w:before="2" w:line="400" w:lineRule="exact"/>
      <w:ind w:left="107" w:right="94" w:rightChars="45" w:firstLine="0" w:firstLineChars="0"/>
      <w:jc w:val="both"/>
    </w:pPr>
    <w:rPr>
      <w:rFonts w:ascii="Times New Roman" w:hAnsi="Times New Roman" w:eastAsiaTheme="minorEastAsia" w:cstheme="minorBidi"/>
      <w:color w:val="000000"/>
      <w:szCs w:val="24"/>
    </w:rPr>
  </w:style>
  <w:style w:type="paragraph" w:customStyle="1" w:styleId="51">
    <w:name w:val="正文（培训）"/>
    <w:basedOn w:val="1"/>
    <w:qFormat/>
    <w:uiPriority w:val="0"/>
    <w:pPr>
      <w:adjustRightInd w:val="0"/>
      <w:snapToGrid w:val="0"/>
    </w:pPr>
    <w:rPr>
      <w:rFonts w:ascii="宋体" w:hAnsi="宋体" w:eastAsiaTheme="minorEastAsia" w:cstheme="minorBidi"/>
      <w:color w:val="000000"/>
      <w:szCs w:val="24"/>
    </w:rPr>
  </w:style>
  <w:style w:type="paragraph" w:customStyle="1" w:styleId="52">
    <w:name w:val="正文内容"/>
    <w:basedOn w:val="1"/>
    <w:qFormat/>
    <w:uiPriority w:val="5"/>
    <w:pPr>
      <w:adjustRightInd w:val="0"/>
      <w:ind w:firstLine="0" w:firstLineChars="0"/>
    </w:pPr>
    <w:rPr>
      <w:rFonts w:ascii="Times New Roman" w:hAnsi="Times New Roman" w:cs="Times New Roman"/>
      <w:sz w:val="24"/>
      <w:szCs w:val="24"/>
    </w:rPr>
  </w:style>
  <w:style w:type="paragraph" w:customStyle="1" w:styleId="53">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1887</Words>
  <Characters>2219</Characters>
  <Lines>0</Lines>
  <Paragraphs>0</Paragraphs>
  <TotalTime>80</TotalTime>
  <ScaleCrop>false</ScaleCrop>
  <LinksUpToDate>false</LinksUpToDate>
  <CharactersWithSpaces>2400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李梦媛</cp:lastModifiedBy>
  <dcterms:modified xsi:type="dcterms:W3CDTF">2025-04-08T07:16:35Z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2B3090C0BD56486184C2A5988DDB40FE_13</vt:lpwstr>
  </property>
  <property fmtid="{D5CDD505-2E9C-101B-9397-08002B2CF9AE}" pid="6" name="KSOTemplateDocerSaveRecord">
    <vt:lpwstr>eyJoZGlkIjoiYTY0ZGVhMzY2Mjc2ZTVmNTg0OTc4MWEzZmNmZjdjMjUiLCJ1c2VySWQiOiI0NTE3ODAxODIifQ==</vt:lpwstr>
  </property>
</Properties>
</file>